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2F944FD3" w14:textId="15F3FDA1">
      <w:pPr>
        <w:pStyle w:val="Header"/>
        <w:rPr>
          <w:rFonts w:ascii="Times New Roman" w:hAnsi="Times New Roman"/>
          <w:color w:val="FFFFFF" w:themeColor="background1"/>
          <w:szCs w:val="24"/>
        </w:rPr>
      </w:pPr>
      <w:bookmarkStart w:name="_GoBack" w:id="0"/>
      <w:bookmarkEnd w:id="0"/>
      <w:r w:rsidRPr="00C875E8">
        <w:rPr>
          <w:rFonts w:ascii="Times New Roman" w:hAnsi="Times New Roman"/>
          <w:szCs w:val="24"/>
        </w:rPr>
        <w:t xml:space="preserve">Tracking and OMB Number: </w:t>
      </w:r>
      <w:r w:rsidR="00A15C64">
        <w:rPr>
          <w:rFonts w:ascii="Times New Roman" w:hAnsi="Times New Roman"/>
          <w:szCs w:val="24"/>
        </w:rPr>
        <w:t>1840-0795</w:t>
      </w:r>
    </w:p>
    <w:p w:rsidRPr="00AD381B" w:rsidR="00EA1767" w:rsidP="006B4172" w:rsidRDefault="00EA1767" w14:paraId="67C70F3E" w14:textId="2E1A3454">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1F6F30">
        <w:rPr>
          <w:rFonts w:ascii="Times New Roman" w:hAnsi="Times New Roman"/>
          <w:szCs w:val="24"/>
        </w:rPr>
        <w:t>05/0</w:t>
      </w:r>
      <w:r w:rsidR="008B5BCA">
        <w:rPr>
          <w:rFonts w:ascii="Times New Roman" w:hAnsi="Times New Roman"/>
          <w:szCs w:val="24"/>
        </w:rPr>
        <w:t>8</w:t>
      </w:r>
      <w:r w:rsidR="001F6F30">
        <w:rPr>
          <w:rFonts w:ascii="Times New Roman" w:hAnsi="Times New Roman"/>
          <w:szCs w:val="24"/>
        </w:rPr>
        <w:t>/2020</w:t>
      </w:r>
    </w:p>
    <w:p w:rsidRPr="00AD381B" w:rsidR="00043C32" w:rsidP="00AD381B" w:rsidRDefault="00043C32" w14:paraId="5AA0A333" w14:textId="77777777">
      <w:pPr>
        <w:pStyle w:val="Heading1"/>
        <w:rPr>
          <w:sz w:val="24"/>
          <w:szCs w:val="24"/>
        </w:rPr>
      </w:pPr>
      <w:r w:rsidRPr="00AD381B">
        <w:rPr>
          <w:sz w:val="24"/>
          <w:szCs w:val="24"/>
        </w:rPr>
        <w:t>SUPPORTING STATEMENT</w:t>
      </w:r>
    </w:p>
    <w:p w:rsidRPr="00AD381B" w:rsidR="00043C32" w:rsidP="00AD381B" w:rsidRDefault="00043C32" w14:paraId="5FA1C806" w14:textId="77777777">
      <w:pPr>
        <w:pStyle w:val="Heading1"/>
        <w:rPr>
          <w:sz w:val="24"/>
          <w:szCs w:val="24"/>
        </w:rPr>
      </w:pPr>
      <w:r w:rsidRPr="00AD381B">
        <w:rPr>
          <w:sz w:val="24"/>
          <w:szCs w:val="24"/>
        </w:rPr>
        <w:t>FOR PAPERWORK REDUCTION ACT SUBMISSION</w:t>
      </w:r>
    </w:p>
    <w:p w:rsidRPr="00AD381B" w:rsidR="00043C32" w:rsidP="00AD381B" w:rsidRDefault="00043C32" w14:paraId="5C83689E" w14:textId="77777777">
      <w:pPr>
        <w:tabs>
          <w:tab w:val="left" w:pos="0"/>
        </w:tabs>
        <w:suppressAutoHyphens/>
        <w:rPr>
          <w:rFonts w:ascii="Times New Roman" w:hAnsi="Times New Roman"/>
          <w:szCs w:val="24"/>
        </w:rPr>
      </w:pPr>
    </w:p>
    <w:p w:rsidRPr="00AD381B" w:rsidR="00EA1767" w:rsidP="00AD381B" w:rsidRDefault="00043C32" w14:paraId="38515874"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23BB38ED" w14:textId="229E423E">
      <w:pPr>
        <w:pStyle w:val="ListParagraph"/>
        <w:suppressAutoHyphens/>
        <w:spacing w:line="240" w:lineRule="exact"/>
        <w:rPr>
          <w:rFonts w:ascii="Times New Roman" w:hAnsi="Times New Roman"/>
          <w:szCs w:val="24"/>
        </w:rPr>
      </w:pPr>
    </w:p>
    <w:p w:rsidR="00CC7819" w:rsidP="00521967" w:rsidRDefault="00251845" w14:paraId="13194629" w14:textId="59581FF1">
      <w:pPr>
        <w:ind w:left="720"/>
        <w:rPr>
          <w:rFonts w:ascii="Times New Roman" w:hAnsi="Times New Roman"/>
          <w:szCs w:val="24"/>
        </w:rPr>
      </w:pPr>
      <w:r>
        <w:rPr>
          <w:rFonts w:ascii="Times New Roman" w:hAnsi="Times New Roman"/>
          <w:szCs w:val="24"/>
        </w:rPr>
        <w:t xml:space="preserve">The U.S. Department of Education, </w:t>
      </w:r>
      <w:r w:rsidR="00717B8C">
        <w:rPr>
          <w:rFonts w:ascii="Times New Roman" w:hAnsi="Times New Roman"/>
          <w:szCs w:val="24"/>
        </w:rPr>
        <w:t xml:space="preserve">Office of Postsecondary Education, </w:t>
      </w:r>
      <w:r>
        <w:rPr>
          <w:rFonts w:ascii="Times New Roman" w:hAnsi="Times New Roman"/>
          <w:szCs w:val="24"/>
        </w:rPr>
        <w:t xml:space="preserve">International and Foreign Language Education </w:t>
      </w:r>
      <w:r w:rsidR="00F44FCD">
        <w:rPr>
          <w:rFonts w:ascii="Times New Roman" w:hAnsi="Times New Roman"/>
          <w:szCs w:val="24"/>
        </w:rPr>
        <w:t xml:space="preserve">(IFLE) </w:t>
      </w:r>
      <w:r w:rsidR="00F715B0">
        <w:rPr>
          <w:rFonts w:ascii="Times New Roman" w:hAnsi="Times New Roman"/>
          <w:szCs w:val="24"/>
        </w:rPr>
        <w:t xml:space="preserve">is scheduled to conduct a competition for Fiscal Year </w:t>
      </w:r>
      <w:r w:rsidR="00FA3287">
        <w:rPr>
          <w:rFonts w:ascii="Times New Roman" w:hAnsi="Times New Roman"/>
          <w:szCs w:val="24"/>
        </w:rPr>
        <w:t xml:space="preserve">(FY) </w:t>
      </w:r>
      <w:r w:rsidR="00F715B0">
        <w:rPr>
          <w:rFonts w:ascii="Times New Roman" w:hAnsi="Times New Roman"/>
          <w:szCs w:val="24"/>
        </w:rPr>
        <w:t xml:space="preserve">2020 new awards under the </w:t>
      </w:r>
      <w:r w:rsidRPr="00535626" w:rsidR="00162D11">
        <w:rPr>
          <w:rFonts w:ascii="Times New Roman" w:hAnsi="Times New Roman"/>
          <w:szCs w:val="24"/>
        </w:rPr>
        <w:t>International Research and Studies (IRS) program</w:t>
      </w:r>
      <w:r w:rsidR="00162D11">
        <w:rPr>
          <w:rFonts w:ascii="Times New Roman" w:hAnsi="Times New Roman"/>
          <w:szCs w:val="24"/>
        </w:rPr>
        <w:t xml:space="preserve"> </w:t>
      </w:r>
      <w:r w:rsidR="004501DC">
        <w:rPr>
          <w:rFonts w:ascii="Times New Roman" w:hAnsi="Times New Roman"/>
          <w:szCs w:val="24"/>
        </w:rPr>
        <w:t xml:space="preserve">in </w:t>
      </w:r>
      <w:r w:rsidR="00217781">
        <w:rPr>
          <w:rFonts w:ascii="Times New Roman" w:hAnsi="Times New Roman"/>
          <w:szCs w:val="24"/>
        </w:rPr>
        <w:t xml:space="preserve">early </w:t>
      </w:r>
      <w:r w:rsidR="004501DC">
        <w:rPr>
          <w:rFonts w:ascii="Times New Roman" w:hAnsi="Times New Roman"/>
          <w:szCs w:val="24"/>
        </w:rPr>
        <w:t xml:space="preserve">July 2020. </w:t>
      </w:r>
      <w:r w:rsidR="0099691F">
        <w:rPr>
          <w:rFonts w:ascii="Times New Roman" w:hAnsi="Times New Roman"/>
          <w:szCs w:val="24"/>
        </w:rPr>
        <w:t xml:space="preserve">We </w:t>
      </w:r>
      <w:r w:rsidR="00C74B04">
        <w:rPr>
          <w:rFonts w:ascii="Times New Roman" w:hAnsi="Times New Roman"/>
          <w:szCs w:val="24"/>
        </w:rPr>
        <w:t xml:space="preserve">use this information collection to </w:t>
      </w:r>
      <w:r w:rsidR="0099691F">
        <w:rPr>
          <w:rFonts w:ascii="Times New Roman" w:hAnsi="Times New Roman"/>
          <w:szCs w:val="24"/>
        </w:rPr>
        <w:t xml:space="preserve">invite applications under the IRS program </w:t>
      </w:r>
      <w:r w:rsidR="007C5295">
        <w:rPr>
          <w:rFonts w:ascii="Times New Roman" w:hAnsi="Times New Roman"/>
          <w:szCs w:val="24"/>
        </w:rPr>
        <w:t>eve</w:t>
      </w:r>
      <w:r w:rsidR="00401FD4">
        <w:rPr>
          <w:rFonts w:ascii="Times New Roman" w:hAnsi="Times New Roman"/>
          <w:szCs w:val="24"/>
        </w:rPr>
        <w:t>ry three years. The last competi</w:t>
      </w:r>
      <w:r w:rsidR="00395F41">
        <w:rPr>
          <w:rFonts w:ascii="Times New Roman" w:hAnsi="Times New Roman"/>
          <w:szCs w:val="24"/>
        </w:rPr>
        <w:t>t</w:t>
      </w:r>
      <w:r w:rsidR="00447CFD">
        <w:rPr>
          <w:rFonts w:ascii="Times New Roman" w:hAnsi="Times New Roman"/>
          <w:szCs w:val="24"/>
        </w:rPr>
        <w:t>i</w:t>
      </w:r>
      <w:r w:rsidR="00401FD4">
        <w:rPr>
          <w:rFonts w:ascii="Times New Roman" w:hAnsi="Times New Roman"/>
          <w:szCs w:val="24"/>
        </w:rPr>
        <w:t xml:space="preserve">on was conducted in </w:t>
      </w:r>
      <w:r w:rsidR="00E279D5">
        <w:rPr>
          <w:rFonts w:ascii="Times New Roman" w:hAnsi="Times New Roman"/>
          <w:szCs w:val="24"/>
        </w:rPr>
        <w:t>August 2017</w:t>
      </w:r>
      <w:r w:rsidR="00E00563">
        <w:rPr>
          <w:rFonts w:ascii="Times New Roman" w:hAnsi="Times New Roman"/>
          <w:szCs w:val="24"/>
        </w:rPr>
        <w:t xml:space="preserve">. </w:t>
      </w:r>
      <w:r w:rsidR="007F6824">
        <w:rPr>
          <w:rFonts w:ascii="Times New Roman" w:hAnsi="Times New Roman"/>
          <w:szCs w:val="24"/>
        </w:rPr>
        <w:t xml:space="preserve"> </w:t>
      </w:r>
    </w:p>
    <w:p w:rsidR="00CC7819" w:rsidP="00521967" w:rsidRDefault="00CC7819" w14:paraId="1F279513" w14:textId="77777777">
      <w:pPr>
        <w:ind w:left="720"/>
        <w:rPr>
          <w:rFonts w:ascii="Times New Roman" w:hAnsi="Times New Roman"/>
          <w:szCs w:val="24"/>
        </w:rPr>
      </w:pPr>
    </w:p>
    <w:p w:rsidR="00071A2F" w:rsidP="00521967" w:rsidRDefault="00075954" w14:paraId="27E6F596" w14:textId="5C8406F8">
      <w:pPr>
        <w:ind w:left="720"/>
        <w:rPr>
          <w:rFonts w:ascii="Times New Roman" w:hAnsi="Times New Roman"/>
        </w:rPr>
      </w:pPr>
      <w:r>
        <w:rPr>
          <w:rFonts w:ascii="Times New Roman" w:hAnsi="Times New Roman"/>
          <w:szCs w:val="24"/>
        </w:rPr>
        <w:t>An extension of the application instructions and forms is</w:t>
      </w:r>
      <w:r w:rsidR="00FA3287">
        <w:rPr>
          <w:rFonts w:ascii="Times New Roman" w:hAnsi="Times New Roman"/>
          <w:szCs w:val="24"/>
        </w:rPr>
        <w:t xml:space="preserve"> necessar</w:t>
      </w:r>
      <w:r w:rsidR="00F46DEF">
        <w:rPr>
          <w:rFonts w:ascii="Times New Roman" w:hAnsi="Times New Roman"/>
          <w:szCs w:val="24"/>
        </w:rPr>
        <w:t>y</w:t>
      </w:r>
      <w:r w:rsidR="00FA3287">
        <w:rPr>
          <w:rFonts w:ascii="Times New Roman" w:hAnsi="Times New Roman"/>
          <w:szCs w:val="24"/>
        </w:rPr>
        <w:t xml:space="preserve"> for </w:t>
      </w:r>
      <w:r w:rsidR="00F44FCD">
        <w:rPr>
          <w:rFonts w:ascii="Times New Roman" w:hAnsi="Times New Roman"/>
          <w:szCs w:val="24"/>
        </w:rPr>
        <w:t xml:space="preserve">IFLE to </w:t>
      </w:r>
      <w:r w:rsidR="00FA3287">
        <w:rPr>
          <w:rFonts w:ascii="Times New Roman" w:hAnsi="Times New Roman"/>
          <w:szCs w:val="24"/>
        </w:rPr>
        <w:t xml:space="preserve">conduct the </w:t>
      </w:r>
      <w:r w:rsidR="00F46DEF">
        <w:rPr>
          <w:rFonts w:ascii="Times New Roman" w:hAnsi="Times New Roman"/>
          <w:szCs w:val="24"/>
        </w:rPr>
        <w:t>FY 2</w:t>
      </w:r>
      <w:r w:rsidR="0009286F">
        <w:rPr>
          <w:rFonts w:ascii="Times New Roman" w:hAnsi="Times New Roman"/>
          <w:szCs w:val="24"/>
        </w:rPr>
        <w:t>0 competition</w:t>
      </w:r>
      <w:r w:rsidR="007B7FBB">
        <w:rPr>
          <w:rFonts w:ascii="Times New Roman" w:hAnsi="Times New Roman"/>
          <w:szCs w:val="24"/>
        </w:rPr>
        <w:t xml:space="preserve"> and complet</w:t>
      </w:r>
      <w:r w:rsidR="00F44FCD">
        <w:rPr>
          <w:rFonts w:ascii="Times New Roman" w:hAnsi="Times New Roman"/>
          <w:szCs w:val="24"/>
        </w:rPr>
        <w:t>e</w:t>
      </w:r>
      <w:r w:rsidR="007B7FBB">
        <w:rPr>
          <w:rFonts w:ascii="Times New Roman" w:hAnsi="Times New Roman"/>
          <w:szCs w:val="24"/>
        </w:rPr>
        <w:t xml:space="preserve"> </w:t>
      </w:r>
      <w:r w:rsidR="00D77F09">
        <w:rPr>
          <w:rFonts w:ascii="Times New Roman" w:hAnsi="Times New Roman"/>
          <w:szCs w:val="24"/>
        </w:rPr>
        <w:t xml:space="preserve">the Department’s </w:t>
      </w:r>
      <w:r w:rsidR="007B7FBB">
        <w:rPr>
          <w:rFonts w:ascii="Times New Roman" w:hAnsi="Times New Roman"/>
          <w:szCs w:val="24"/>
        </w:rPr>
        <w:t xml:space="preserve">required grant-making activities </w:t>
      </w:r>
      <w:r w:rsidR="00A85FF0">
        <w:rPr>
          <w:rFonts w:ascii="Times New Roman" w:hAnsi="Times New Roman"/>
          <w:szCs w:val="24"/>
        </w:rPr>
        <w:t xml:space="preserve">before </w:t>
      </w:r>
      <w:r w:rsidR="0061210F">
        <w:rPr>
          <w:rFonts w:ascii="Times New Roman" w:hAnsi="Times New Roman"/>
          <w:szCs w:val="24"/>
        </w:rPr>
        <w:t>August 30, 2</w:t>
      </w:r>
      <w:r w:rsidR="00A85FF0">
        <w:rPr>
          <w:rFonts w:ascii="Times New Roman" w:hAnsi="Times New Roman"/>
          <w:szCs w:val="24"/>
        </w:rPr>
        <w:t xml:space="preserve">020. </w:t>
      </w:r>
      <w:r w:rsidR="00BF23AB">
        <w:rPr>
          <w:rFonts w:ascii="Times New Roman" w:hAnsi="Times New Roman"/>
          <w:szCs w:val="24"/>
        </w:rPr>
        <w:t xml:space="preserve">The program is </w:t>
      </w:r>
      <w:r w:rsidRPr="00535626" w:rsidR="00162D11">
        <w:rPr>
          <w:rFonts w:ascii="Times New Roman" w:hAnsi="Times New Roman"/>
          <w:szCs w:val="24"/>
        </w:rPr>
        <w:t>authorized under Title VI of the Higher Education Act of 1965, as amended (20 U.S.C. Section 1125)</w:t>
      </w:r>
      <w:r w:rsidR="00D85DBA">
        <w:rPr>
          <w:rFonts w:ascii="Times New Roman" w:hAnsi="Times New Roman"/>
          <w:szCs w:val="24"/>
        </w:rPr>
        <w:t xml:space="preserve"> </w:t>
      </w:r>
      <w:r w:rsidR="00071A2F">
        <w:rPr>
          <w:rFonts w:ascii="Times New Roman" w:hAnsi="Times New Roman"/>
          <w:szCs w:val="24"/>
        </w:rPr>
        <w:t xml:space="preserve">to </w:t>
      </w:r>
      <w:r w:rsidRPr="00071A2F" w:rsidR="00071A2F">
        <w:rPr>
          <w:rFonts w:ascii="Times New Roman" w:hAnsi="Times New Roman"/>
        </w:rPr>
        <w:t>provide grants to institutions, public and private agencies, organizations, and individuals to conduct research and studies to improve and strengthen instruction in modern foreign languages, area studies, and other international fields.</w:t>
      </w:r>
    </w:p>
    <w:p w:rsidRPr="00071A2F" w:rsidR="00071A2F" w:rsidP="00071A2F" w:rsidRDefault="00E70D45" w14:paraId="10A62ECE" w14:textId="6AF93AF3">
      <w:pPr>
        <w:rPr>
          <w:rFonts w:ascii="Times New Roman" w:hAnsi="Times New Roman"/>
        </w:rPr>
      </w:pPr>
      <w:r>
        <w:rPr>
          <w:rFonts w:ascii="Times New Roman" w:hAnsi="Times New Roman"/>
        </w:rPr>
        <w:t xml:space="preserve"> </w:t>
      </w:r>
    </w:p>
    <w:p w:rsidR="00162D11" w:rsidP="00162D11" w:rsidRDefault="00162D11" w14:paraId="54EFB687" w14:textId="66D0CDAE">
      <w:pPr>
        <w:pStyle w:val="ListParagraph"/>
        <w:contextualSpacing w:val="0"/>
        <w:rPr>
          <w:rFonts w:ascii="Times New Roman" w:hAnsi="Times New Roman"/>
          <w:szCs w:val="24"/>
        </w:rPr>
      </w:pPr>
      <w:r>
        <w:rPr>
          <w:rFonts w:ascii="Times New Roman" w:hAnsi="Times New Roman"/>
          <w:szCs w:val="24"/>
        </w:rPr>
        <w:t xml:space="preserve">No </w:t>
      </w:r>
      <w:r w:rsidR="00BB6161">
        <w:rPr>
          <w:rFonts w:ascii="Times New Roman" w:hAnsi="Times New Roman"/>
          <w:szCs w:val="24"/>
        </w:rPr>
        <w:t>rulemaking</w:t>
      </w:r>
      <w:r>
        <w:rPr>
          <w:rFonts w:ascii="Times New Roman" w:hAnsi="Times New Roman"/>
          <w:szCs w:val="24"/>
        </w:rPr>
        <w:t xml:space="preserve"> is involved.</w:t>
      </w:r>
    </w:p>
    <w:p w:rsidR="00162D11" w:rsidP="00162D11" w:rsidRDefault="00162D11" w14:paraId="0B3A2B18" w14:textId="77777777">
      <w:pPr>
        <w:pStyle w:val="ListParagraph"/>
        <w:contextualSpacing w:val="0"/>
        <w:rPr>
          <w:rFonts w:ascii="Times New Roman" w:hAnsi="Times New Roman"/>
          <w:szCs w:val="24"/>
        </w:rPr>
      </w:pPr>
    </w:p>
    <w:p w:rsidR="00162D11" w:rsidP="00162D11" w:rsidRDefault="00162D11" w14:paraId="5193E739" w14:textId="77777777">
      <w:pPr>
        <w:pStyle w:val="ListParagraph"/>
        <w:spacing w:after="720" w:line="240" w:lineRule="exact"/>
        <w:rPr>
          <w:rFonts w:ascii="Times New Roman" w:hAnsi="Times New Roman"/>
          <w:szCs w:val="24"/>
        </w:rPr>
      </w:pPr>
      <w:r>
        <w:rPr>
          <w:rFonts w:ascii="Times New Roman" w:hAnsi="Times New Roman"/>
          <w:szCs w:val="24"/>
        </w:rPr>
        <w:t>The legislation and program regulations for the IRS program may be viewed at:</w:t>
      </w:r>
    </w:p>
    <w:p w:rsidR="00162D11" w:rsidP="00162D11" w:rsidRDefault="00162D11" w14:paraId="321A55B1" w14:textId="77777777">
      <w:pPr>
        <w:pStyle w:val="ListParagraph"/>
        <w:spacing w:after="720" w:line="240" w:lineRule="exact"/>
        <w:rPr>
          <w:rFonts w:ascii="Times New Roman" w:hAnsi="Times New Roman"/>
          <w:szCs w:val="24"/>
        </w:rPr>
      </w:pPr>
    </w:p>
    <w:p w:rsidR="00162D11" w:rsidP="00162D11" w:rsidRDefault="00255A08" w14:paraId="375634ED" w14:textId="77777777">
      <w:pPr>
        <w:pStyle w:val="ListParagraph"/>
        <w:spacing w:after="720" w:line="240" w:lineRule="exact"/>
        <w:ind w:firstLine="720"/>
        <w:rPr>
          <w:rFonts w:ascii="Times New Roman" w:hAnsi="Times New Roman"/>
          <w:szCs w:val="24"/>
        </w:rPr>
      </w:pPr>
      <w:hyperlink w:history="1" r:id="rId11">
        <w:r w:rsidRPr="00573142" w:rsidR="00162D11">
          <w:rPr>
            <w:rStyle w:val="Hyperlink"/>
            <w:rFonts w:ascii="Times New Roman" w:hAnsi="Times New Roman"/>
            <w:szCs w:val="24"/>
          </w:rPr>
          <w:t>https://www2.ed.gov/programs/iegpsirs/legislation.html</w:t>
        </w:r>
      </w:hyperlink>
    </w:p>
    <w:p w:rsidR="00162D11" w:rsidP="00162D11" w:rsidRDefault="00162D11" w14:paraId="013948D6" w14:textId="77777777">
      <w:pPr>
        <w:pStyle w:val="ListParagraph"/>
        <w:spacing w:after="720" w:line="240" w:lineRule="exact"/>
        <w:ind w:firstLine="720"/>
        <w:rPr>
          <w:rFonts w:ascii="Times New Roman" w:hAnsi="Times New Roman"/>
          <w:szCs w:val="24"/>
        </w:rPr>
      </w:pPr>
    </w:p>
    <w:p w:rsidR="00162D11" w:rsidP="00162D11" w:rsidRDefault="00162D11" w14:paraId="0DABD9F7" w14:textId="77777777">
      <w:pPr>
        <w:pStyle w:val="ListParagraph"/>
        <w:spacing w:after="720" w:line="240" w:lineRule="exact"/>
        <w:rPr>
          <w:rFonts w:ascii="Times New Roman" w:hAnsi="Times New Roman"/>
          <w:szCs w:val="24"/>
        </w:rPr>
      </w:pPr>
      <w:r>
        <w:rPr>
          <w:rFonts w:ascii="Times New Roman" w:hAnsi="Times New Roman"/>
          <w:szCs w:val="24"/>
        </w:rPr>
        <w:t>Other administrative regulations relevant to this information collection include the following:</w:t>
      </w:r>
    </w:p>
    <w:p w:rsidR="00162D11" w:rsidP="00162D11" w:rsidRDefault="00162D11" w14:paraId="14D59042" w14:textId="77777777">
      <w:pPr>
        <w:pStyle w:val="ListParagraph"/>
        <w:spacing w:after="720" w:line="240" w:lineRule="exact"/>
        <w:rPr>
          <w:rFonts w:ascii="Times New Roman" w:hAnsi="Times New Roman"/>
          <w:szCs w:val="24"/>
        </w:rPr>
      </w:pPr>
    </w:p>
    <w:p w:rsidR="00162D11" w:rsidP="00162D11" w:rsidRDefault="00162D11" w14:paraId="600BE371" w14:textId="1173481F">
      <w:pPr>
        <w:pStyle w:val="ListParagraph"/>
        <w:numPr>
          <w:ilvl w:val="0"/>
          <w:numId w:val="6"/>
        </w:numPr>
        <w:spacing w:after="720" w:line="240" w:lineRule="exact"/>
        <w:rPr>
          <w:rFonts w:ascii="Times New Roman" w:hAnsi="Times New Roman"/>
          <w:szCs w:val="24"/>
        </w:rPr>
      </w:pPr>
      <w:r>
        <w:rPr>
          <w:rFonts w:ascii="Times New Roman" w:hAnsi="Times New Roman"/>
          <w:szCs w:val="24"/>
        </w:rPr>
        <w:t xml:space="preserve">Government Performance and Results Act </w:t>
      </w:r>
      <w:r w:rsidR="00D43A23">
        <w:rPr>
          <w:rFonts w:ascii="Times New Roman" w:hAnsi="Times New Roman"/>
          <w:szCs w:val="24"/>
        </w:rPr>
        <w:t>(GPRA)</w:t>
      </w:r>
    </w:p>
    <w:p w:rsidR="00162D11" w:rsidP="00162D11" w:rsidRDefault="00255A08" w14:paraId="432155BB" w14:textId="77777777">
      <w:pPr>
        <w:pStyle w:val="ListParagraph"/>
        <w:spacing w:after="720" w:line="240" w:lineRule="exact"/>
        <w:ind w:left="1500"/>
        <w:rPr>
          <w:rFonts w:ascii="Times New Roman" w:hAnsi="Times New Roman"/>
          <w:szCs w:val="24"/>
        </w:rPr>
      </w:pPr>
      <w:hyperlink w:history="1" r:id="rId12">
        <w:r w:rsidRPr="00955783" w:rsidR="00162D11">
          <w:rPr>
            <w:rStyle w:val="Hyperlink"/>
            <w:rFonts w:ascii="Times New Roman" w:hAnsi="Times New Roman"/>
            <w:szCs w:val="24"/>
          </w:rPr>
          <w:t>https://www.whitehouse.gov/omb/mgmt-gpra/gplaw2m</w:t>
        </w:r>
      </w:hyperlink>
    </w:p>
    <w:p w:rsidR="00162D11" w:rsidP="00162D11" w:rsidRDefault="00162D11" w14:paraId="70E2C9D6" w14:textId="77777777">
      <w:pPr>
        <w:pStyle w:val="ListParagraph"/>
        <w:spacing w:after="720" w:line="240" w:lineRule="exact"/>
        <w:ind w:left="1500"/>
        <w:rPr>
          <w:rFonts w:ascii="Times New Roman" w:hAnsi="Times New Roman"/>
          <w:szCs w:val="24"/>
        </w:rPr>
      </w:pPr>
    </w:p>
    <w:p w:rsidR="00162D11" w:rsidP="00162D11" w:rsidRDefault="00162D11" w14:paraId="47660DF4" w14:textId="77777777">
      <w:pPr>
        <w:pStyle w:val="ListParagraph"/>
        <w:numPr>
          <w:ilvl w:val="0"/>
          <w:numId w:val="6"/>
        </w:numPr>
        <w:spacing w:after="720" w:line="240" w:lineRule="exact"/>
        <w:rPr>
          <w:rFonts w:ascii="Times New Roman" w:hAnsi="Times New Roman"/>
          <w:szCs w:val="24"/>
        </w:rPr>
      </w:pPr>
      <w:r>
        <w:rPr>
          <w:rFonts w:ascii="Times New Roman" w:hAnsi="Times New Roman"/>
          <w:szCs w:val="24"/>
        </w:rPr>
        <w:t>Section 427 of the General Provisions Act</w:t>
      </w:r>
    </w:p>
    <w:p w:rsidR="00162D11" w:rsidP="00162D11" w:rsidRDefault="00255A08" w14:paraId="3132232E" w14:textId="77777777">
      <w:pPr>
        <w:pStyle w:val="ListParagraph"/>
        <w:spacing w:after="720" w:line="240" w:lineRule="exact"/>
        <w:ind w:left="1500"/>
        <w:rPr>
          <w:rFonts w:ascii="Times New Roman" w:hAnsi="Times New Roman"/>
          <w:szCs w:val="24"/>
        </w:rPr>
      </w:pPr>
      <w:hyperlink w:history="1" r:id="rId13">
        <w:r w:rsidRPr="00955783" w:rsidR="00162D11">
          <w:rPr>
            <w:rStyle w:val="Hyperlink"/>
            <w:rFonts w:ascii="Times New Roman" w:hAnsi="Times New Roman"/>
            <w:szCs w:val="24"/>
          </w:rPr>
          <w:t>https://www2.ed.gov/.../gepa427</w:t>
        </w:r>
      </w:hyperlink>
    </w:p>
    <w:p w:rsidR="00162D11" w:rsidP="00162D11" w:rsidRDefault="00162D11" w14:paraId="6B7C77DF" w14:textId="77777777">
      <w:pPr>
        <w:pStyle w:val="ListParagraph"/>
        <w:spacing w:after="720" w:line="240" w:lineRule="exact"/>
        <w:ind w:left="1500"/>
        <w:rPr>
          <w:rFonts w:ascii="Times New Roman" w:hAnsi="Times New Roman"/>
          <w:szCs w:val="24"/>
        </w:rPr>
      </w:pPr>
    </w:p>
    <w:p w:rsidR="00162D11" w:rsidP="00162D11" w:rsidRDefault="00162D11" w14:paraId="210F8FE3" w14:textId="77777777">
      <w:pPr>
        <w:pStyle w:val="ListParagraph"/>
        <w:numPr>
          <w:ilvl w:val="0"/>
          <w:numId w:val="6"/>
        </w:numPr>
        <w:spacing w:after="720" w:line="240" w:lineRule="exact"/>
        <w:rPr>
          <w:rFonts w:ascii="Times New Roman" w:hAnsi="Times New Roman"/>
          <w:szCs w:val="24"/>
        </w:rPr>
      </w:pPr>
      <w:r>
        <w:rPr>
          <w:rFonts w:ascii="Times New Roman" w:hAnsi="Times New Roman"/>
          <w:szCs w:val="24"/>
        </w:rPr>
        <w:t>Government Paperwork Elimination Act</w:t>
      </w:r>
    </w:p>
    <w:p w:rsidR="00162D11" w:rsidP="00162D11" w:rsidRDefault="00255A08" w14:paraId="6D0FC444" w14:textId="77777777">
      <w:pPr>
        <w:pStyle w:val="ListParagraph"/>
        <w:spacing w:after="720" w:line="240" w:lineRule="exact"/>
        <w:ind w:left="1500"/>
        <w:rPr>
          <w:rFonts w:ascii="Times New Roman" w:hAnsi="Times New Roman"/>
          <w:szCs w:val="24"/>
        </w:rPr>
      </w:pPr>
      <w:hyperlink w:history="1" r:id="rId14">
        <w:r w:rsidRPr="00955783" w:rsidR="00162D11">
          <w:rPr>
            <w:rStyle w:val="Hyperlink"/>
            <w:rFonts w:ascii="Times New Roman" w:hAnsi="Times New Roman"/>
            <w:szCs w:val="24"/>
          </w:rPr>
          <w:t>http://www2.ed.gov/policy/gen/leg/gpea/index.html</w:t>
        </w:r>
      </w:hyperlink>
    </w:p>
    <w:p w:rsidR="00162D11" w:rsidP="00162D11" w:rsidRDefault="00162D11" w14:paraId="10E94584" w14:textId="77777777">
      <w:pPr>
        <w:pStyle w:val="ListParagraph"/>
        <w:spacing w:after="720" w:line="240" w:lineRule="exact"/>
        <w:ind w:left="1500"/>
        <w:rPr>
          <w:rFonts w:ascii="Times New Roman" w:hAnsi="Times New Roman"/>
          <w:szCs w:val="24"/>
        </w:rPr>
      </w:pPr>
    </w:p>
    <w:p w:rsidR="00162D11" w:rsidP="00162D11" w:rsidRDefault="00162D11" w14:paraId="601C8024" w14:textId="77777777">
      <w:pPr>
        <w:pStyle w:val="ListParagraph"/>
        <w:numPr>
          <w:ilvl w:val="0"/>
          <w:numId w:val="6"/>
        </w:numPr>
        <w:spacing w:after="720" w:line="240" w:lineRule="exact"/>
        <w:rPr>
          <w:rFonts w:ascii="Times New Roman" w:hAnsi="Times New Roman"/>
          <w:szCs w:val="24"/>
        </w:rPr>
      </w:pPr>
      <w:r>
        <w:rPr>
          <w:rFonts w:ascii="Times New Roman" w:hAnsi="Times New Roman"/>
          <w:szCs w:val="24"/>
        </w:rPr>
        <w:t>Education Department General Administrative Regulations</w:t>
      </w:r>
    </w:p>
    <w:p w:rsidR="00162D11" w:rsidP="00162D11" w:rsidRDefault="00255A08" w14:paraId="406CBED8" w14:textId="4D9CD206">
      <w:pPr>
        <w:pStyle w:val="ListParagraph"/>
        <w:spacing w:after="720" w:line="240" w:lineRule="exact"/>
        <w:ind w:left="1500"/>
        <w:rPr>
          <w:rStyle w:val="Hyperlink"/>
          <w:rFonts w:ascii="Times New Roman" w:hAnsi="Times New Roman"/>
          <w:szCs w:val="24"/>
        </w:rPr>
      </w:pPr>
      <w:hyperlink w:history="1" r:id="rId15">
        <w:r w:rsidRPr="00573142" w:rsidR="00162D11">
          <w:rPr>
            <w:rStyle w:val="Hyperlink"/>
            <w:rFonts w:ascii="Times New Roman" w:hAnsi="Times New Roman"/>
            <w:szCs w:val="24"/>
          </w:rPr>
          <w:t>http://www2.ed.gov/policy/fund/reg/edgarReg/edgar.html</w:t>
        </w:r>
      </w:hyperlink>
    </w:p>
    <w:p w:rsidR="00F059DF" w:rsidP="00162D11" w:rsidRDefault="00F059DF" w14:paraId="14320261" w14:textId="5D920C24">
      <w:pPr>
        <w:pStyle w:val="ListParagraph"/>
        <w:spacing w:after="720" w:line="240" w:lineRule="exact"/>
        <w:ind w:left="1500"/>
        <w:rPr>
          <w:rStyle w:val="Hyperlink"/>
          <w:rFonts w:ascii="Times New Roman" w:hAnsi="Times New Roman"/>
          <w:szCs w:val="24"/>
        </w:rPr>
      </w:pPr>
    </w:p>
    <w:p w:rsidR="00F059DF" w:rsidP="00162D11" w:rsidRDefault="00F059DF" w14:paraId="46E8B72A" w14:textId="68C7AA49">
      <w:pPr>
        <w:pStyle w:val="ListParagraph"/>
        <w:spacing w:after="720" w:line="240" w:lineRule="exact"/>
        <w:ind w:left="1500"/>
        <w:rPr>
          <w:rStyle w:val="Hyperlink"/>
          <w:rFonts w:ascii="Times New Roman" w:hAnsi="Times New Roman"/>
          <w:szCs w:val="24"/>
        </w:rPr>
      </w:pPr>
    </w:p>
    <w:p w:rsidRPr="00987CD9" w:rsidR="00987CD9" w:rsidP="00987CD9" w:rsidRDefault="00F059DF" w14:paraId="06FE736E" w14:textId="77777777">
      <w:pPr>
        <w:pStyle w:val="ListParagraph"/>
        <w:numPr>
          <w:ilvl w:val="0"/>
          <w:numId w:val="6"/>
        </w:numPr>
        <w:suppressAutoHyphens/>
        <w:spacing w:line="240" w:lineRule="exact"/>
        <w:contextualSpacing w:val="0"/>
        <w:rPr>
          <w:rFonts w:ascii="Times New Roman" w:hAnsi="Times New Roman"/>
        </w:rPr>
      </w:pPr>
      <w:r w:rsidRPr="00987CD9">
        <w:rPr>
          <w:rFonts w:ascii="Times New Roman" w:hAnsi="Times New Roman"/>
        </w:rPr>
        <w:lastRenderedPageBreak/>
        <w:t xml:space="preserve">The Uniform Administrative Requirements, Cost Principles, and Audit Requirements for Federal Awards in 2 CFR part 200, as adopted and amended as regulations of the Department in 2 CFR part 3474. </w:t>
      </w:r>
    </w:p>
    <w:p w:rsidRPr="00987CD9" w:rsidR="00987CD9" w:rsidP="00AD381B" w:rsidRDefault="00987CD9" w14:paraId="6D4490AC" w14:textId="77777777">
      <w:pPr>
        <w:pStyle w:val="ListParagraph"/>
        <w:suppressAutoHyphens/>
        <w:spacing w:line="240" w:lineRule="exact"/>
        <w:contextualSpacing w:val="0"/>
        <w:rPr>
          <w:rFonts w:ascii="Times New Roman" w:hAnsi="Times New Roman"/>
        </w:rPr>
      </w:pPr>
    </w:p>
    <w:p w:rsidRPr="00AD381B" w:rsidR="00AD381B" w:rsidP="00AD381B" w:rsidRDefault="00F059DF" w14:paraId="6083AD51" w14:textId="7A6EF75D">
      <w:pPr>
        <w:pStyle w:val="ListParagraph"/>
        <w:suppressAutoHyphens/>
        <w:spacing w:line="240" w:lineRule="exact"/>
        <w:contextualSpacing w:val="0"/>
        <w:rPr>
          <w:rFonts w:ascii="Times New Roman" w:hAnsi="Times New Roman"/>
          <w:szCs w:val="24"/>
        </w:rPr>
      </w:pPr>
      <w:r w:rsidRPr="000E6969">
        <w:rPr>
          <w:rFonts w:ascii="Courier New" w:hAnsi="Courier New" w:cs="Courier New"/>
        </w:rPr>
        <w:t xml:space="preserve"> </w:t>
      </w:r>
    </w:p>
    <w:p w:rsidR="00AD381B" w:rsidP="00AD381B" w:rsidRDefault="00043C32" w14:paraId="369CF8BC"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3EFF04E3" w14:textId="049105A9">
      <w:pPr>
        <w:suppressAutoHyphens/>
        <w:spacing w:line="240" w:lineRule="exact"/>
        <w:rPr>
          <w:rFonts w:ascii="Times New Roman" w:hAnsi="Times New Roman"/>
          <w:szCs w:val="24"/>
        </w:rPr>
      </w:pPr>
    </w:p>
    <w:p w:rsidR="00162D11" w:rsidP="00AD381B" w:rsidRDefault="00162D11" w14:paraId="4A92DD0A" w14:textId="7F36AEC2">
      <w:pPr>
        <w:suppressAutoHyphens/>
        <w:spacing w:line="240" w:lineRule="exact"/>
        <w:rPr>
          <w:rFonts w:ascii="Times New Roman" w:hAnsi="Times New Roman"/>
          <w:szCs w:val="24"/>
        </w:rPr>
      </w:pPr>
    </w:p>
    <w:p w:rsidR="00162D11" w:rsidP="00294969" w:rsidRDefault="00162D11" w14:paraId="6FDB386B" w14:textId="3BC87FB5">
      <w:pPr>
        <w:pStyle w:val="ListParagraph"/>
        <w:tabs>
          <w:tab w:val="left" w:pos="-720"/>
        </w:tabs>
        <w:suppressAutoHyphens/>
        <w:contextualSpacing w:val="0"/>
        <w:rPr>
          <w:rFonts w:ascii="Times New Roman" w:hAnsi="Times New Roman"/>
          <w:szCs w:val="24"/>
        </w:rPr>
      </w:pPr>
      <w:r>
        <w:rPr>
          <w:rFonts w:ascii="Times New Roman" w:hAnsi="Times New Roman"/>
          <w:szCs w:val="24"/>
        </w:rPr>
        <w:t>Eligible applicants</w:t>
      </w:r>
      <w:r w:rsidR="001F5275">
        <w:rPr>
          <w:rFonts w:ascii="Times New Roman" w:hAnsi="Times New Roman"/>
          <w:szCs w:val="24"/>
        </w:rPr>
        <w:t xml:space="preserve">, </w:t>
      </w:r>
      <w:r w:rsidR="00F35B09">
        <w:rPr>
          <w:rFonts w:ascii="Times New Roman" w:hAnsi="Times New Roman"/>
          <w:szCs w:val="24"/>
        </w:rPr>
        <w:t>including</w:t>
      </w:r>
      <w:r w:rsidR="00B736B3">
        <w:rPr>
          <w:rFonts w:ascii="Times New Roman" w:hAnsi="Times New Roman"/>
          <w:szCs w:val="24"/>
        </w:rPr>
        <w:t xml:space="preserve"> </w:t>
      </w:r>
      <w:r>
        <w:rPr>
          <w:rFonts w:ascii="Times New Roman" w:hAnsi="Times New Roman"/>
          <w:szCs w:val="24"/>
        </w:rPr>
        <w:t>institutions, public and private agencies, organizations, and individuals</w:t>
      </w:r>
      <w:r w:rsidR="00FF47B6">
        <w:rPr>
          <w:rFonts w:ascii="Times New Roman" w:hAnsi="Times New Roman"/>
          <w:szCs w:val="24"/>
        </w:rPr>
        <w:t>,</w:t>
      </w:r>
      <w:r>
        <w:rPr>
          <w:rFonts w:ascii="Times New Roman" w:hAnsi="Times New Roman"/>
          <w:szCs w:val="24"/>
        </w:rPr>
        <w:t xml:space="preserve"> use the </w:t>
      </w:r>
      <w:r w:rsidR="00841D1C">
        <w:rPr>
          <w:rFonts w:ascii="Times New Roman" w:hAnsi="Times New Roman"/>
          <w:szCs w:val="24"/>
        </w:rPr>
        <w:t xml:space="preserve">OMB </w:t>
      </w:r>
      <w:r>
        <w:rPr>
          <w:rFonts w:ascii="Times New Roman" w:hAnsi="Times New Roman"/>
          <w:szCs w:val="24"/>
        </w:rPr>
        <w:t xml:space="preserve">approved information collection to prepare and submit grant applications in response to the </w:t>
      </w:r>
      <w:r w:rsidR="00152FF5">
        <w:rPr>
          <w:rFonts w:ascii="Times New Roman" w:hAnsi="Times New Roman"/>
          <w:szCs w:val="24"/>
        </w:rPr>
        <w:t xml:space="preserve">Department’s </w:t>
      </w:r>
      <w:r>
        <w:rPr>
          <w:rFonts w:ascii="Times New Roman" w:hAnsi="Times New Roman"/>
          <w:szCs w:val="24"/>
        </w:rPr>
        <w:t>notice inviting applications. Peer review panels use the selection criteria in the information collection to evaluate</w:t>
      </w:r>
      <w:r w:rsidR="00907E31">
        <w:rPr>
          <w:rFonts w:ascii="Times New Roman" w:hAnsi="Times New Roman"/>
          <w:szCs w:val="24"/>
        </w:rPr>
        <w:t xml:space="preserve"> the competitive quality of submitted </w:t>
      </w:r>
      <w:r>
        <w:rPr>
          <w:rFonts w:ascii="Times New Roman" w:hAnsi="Times New Roman"/>
          <w:szCs w:val="24"/>
        </w:rPr>
        <w:t>applications</w:t>
      </w:r>
      <w:r w:rsidR="00907E31">
        <w:rPr>
          <w:rFonts w:ascii="Times New Roman" w:hAnsi="Times New Roman"/>
          <w:szCs w:val="24"/>
        </w:rPr>
        <w:t xml:space="preserve"> in a compara</w:t>
      </w:r>
      <w:r w:rsidR="00C54DBF">
        <w:rPr>
          <w:rFonts w:ascii="Times New Roman" w:hAnsi="Times New Roman"/>
          <w:szCs w:val="24"/>
        </w:rPr>
        <w:t>tive context</w:t>
      </w:r>
      <w:r>
        <w:rPr>
          <w:rFonts w:ascii="Times New Roman" w:hAnsi="Times New Roman"/>
          <w:szCs w:val="24"/>
        </w:rPr>
        <w:t xml:space="preserve">. </w:t>
      </w:r>
      <w:r w:rsidR="00AA2AD0">
        <w:rPr>
          <w:rFonts w:ascii="Times New Roman" w:hAnsi="Times New Roman"/>
          <w:szCs w:val="24"/>
        </w:rPr>
        <w:t xml:space="preserve">IFLE program officers </w:t>
      </w:r>
      <w:r w:rsidR="00613110">
        <w:rPr>
          <w:rFonts w:ascii="Times New Roman" w:hAnsi="Times New Roman"/>
          <w:szCs w:val="24"/>
        </w:rPr>
        <w:t xml:space="preserve">take </w:t>
      </w:r>
      <w:r w:rsidR="001F7F55">
        <w:rPr>
          <w:rFonts w:ascii="Times New Roman" w:hAnsi="Times New Roman"/>
          <w:szCs w:val="24"/>
        </w:rPr>
        <w:t xml:space="preserve">the </w:t>
      </w:r>
      <w:r w:rsidR="00B0017F">
        <w:rPr>
          <w:rFonts w:ascii="Times New Roman" w:hAnsi="Times New Roman"/>
          <w:szCs w:val="24"/>
        </w:rPr>
        <w:t>peer reviewers</w:t>
      </w:r>
      <w:r w:rsidR="000F471D">
        <w:rPr>
          <w:rFonts w:ascii="Times New Roman" w:hAnsi="Times New Roman"/>
          <w:szCs w:val="24"/>
        </w:rPr>
        <w:t xml:space="preserve">’ </w:t>
      </w:r>
      <w:r>
        <w:rPr>
          <w:rFonts w:ascii="Times New Roman" w:hAnsi="Times New Roman"/>
          <w:szCs w:val="24"/>
        </w:rPr>
        <w:t>evalu</w:t>
      </w:r>
      <w:r w:rsidR="000F471D">
        <w:rPr>
          <w:rFonts w:ascii="Times New Roman" w:hAnsi="Times New Roman"/>
          <w:szCs w:val="24"/>
        </w:rPr>
        <w:t>a</w:t>
      </w:r>
      <w:r>
        <w:rPr>
          <w:rFonts w:ascii="Times New Roman" w:hAnsi="Times New Roman"/>
          <w:szCs w:val="24"/>
        </w:rPr>
        <w:t xml:space="preserve">tions </w:t>
      </w:r>
      <w:r w:rsidR="000F471D">
        <w:rPr>
          <w:rFonts w:ascii="Times New Roman" w:hAnsi="Times New Roman"/>
          <w:szCs w:val="24"/>
        </w:rPr>
        <w:t xml:space="preserve">into </w:t>
      </w:r>
      <w:r>
        <w:rPr>
          <w:rFonts w:ascii="Times New Roman" w:hAnsi="Times New Roman"/>
          <w:szCs w:val="24"/>
        </w:rPr>
        <w:t xml:space="preserve">consideration </w:t>
      </w:r>
      <w:r w:rsidR="004D4D4E">
        <w:rPr>
          <w:rFonts w:ascii="Times New Roman" w:hAnsi="Times New Roman"/>
          <w:szCs w:val="24"/>
        </w:rPr>
        <w:t xml:space="preserve">when </w:t>
      </w:r>
      <w:r w:rsidR="0025021F">
        <w:rPr>
          <w:rFonts w:ascii="Times New Roman" w:hAnsi="Times New Roman"/>
          <w:szCs w:val="24"/>
        </w:rPr>
        <w:t xml:space="preserve">preparing </w:t>
      </w:r>
      <w:r w:rsidR="00422373">
        <w:rPr>
          <w:rFonts w:ascii="Times New Roman" w:hAnsi="Times New Roman"/>
          <w:szCs w:val="24"/>
        </w:rPr>
        <w:t>the</w:t>
      </w:r>
      <w:r w:rsidR="00115121">
        <w:rPr>
          <w:rFonts w:ascii="Times New Roman" w:hAnsi="Times New Roman"/>
          <w:szCs w:val="24"/>
        </w:rPr>
        <w:t xml:space="preserve"> </w:t>
      </w:r>
      <w:r w:rsidR="00D43A23">
        <w:rPr>
          <w:rFonts w:ascii="Times New Roman" w:hAnsi="Times New Roman"/>
          <w:szCs w:val="24"/>
        </w:rPr>
        <w:t>IRS</w:t>
      </w:r>
      <w:r w:rsidR="00115121">
        <w:rPr>
          <w:rFonts w:ascii="Times New Roman" w:hAnsi="Times New Roman"/>
          <w:szCs w:val="24"/>
        </w:rPr>
        <w:t xml:space="preserve"> new awards funding </w:t>
      </w:r>
      <w:r w:rsidR="00613110">
        <w:rPr>
          <w:rFonts w:ascii="Times New Roman" w:hAnsi="Times New Roman"/>
          <w:szCs w:val="24"/>
        </w:rPr>
        <w:t xml:space="preserve">memorandum and </w:t>
      </w:r>
      <w:r w:rsidR="001F7F55">
        <w:rPr>
          <w:rFonts w:ascii="Times New Roman" w:hAnsi="Times New Roman"/>
          <w:szCs w:val="24"/>
        </w:rPr>
        <w:t xml:space="preserve">funding </w:t>
      </w:r>
      <w:r w:rsidR="00115121">
        <w:rPr>
          <w:rFonts w:ascii="Times New Roman" w:hAnsi="Times New Roman"/>
          <w:szCs w:val="24"/>
        </w:rPr>
        <w:t>slate</w:t>
      </w:r>
      <w:r w:rsidR="00422373">
        <w:rPr>
          <w:rFonts w:ascii="Times New Roman" w:hAnsi="Times New Roman"/>
          <w:szCs w:val="24"/>
        </w:rPr>
        <w:t xml:space="preserve"> </w:t>
      </w:r>
      <w:r w:rsidR="004B6BEE">
        <w:rPr>
          <w:rFonts w:ascii="Times New Roman" w:hAnsi="Times New Roman"/>
          <w:szCs w:val="24"/>
        </w:rPr>
        <w:t>for</w:t>
      </w:r>
      <w:r w:rsidR="00D44481">
        <w:rPr>
          <w:rFonts w:ascii="Times New Roman" w:hAnsi="Times New Roman"/>
          <w:szCs w:val="24"/>
        </w:rPr>
        <w:t xml:space="preserve"> review and approval by </w:t>
      </w:r>
      <w:r w:rsidR="000412F7">
        <w:rPr>
          <w:rFonts w:ascii="Times New Roman" w:hAnsi="Times New Roman"/>
          <w:szCs w:val="24"/>
        </w:rPr>
        <w:t>Department officials</w:t>
      </w:r>
      <w:r w:rsidR="00305E77">
        <w:rPr>
          <w:rFonts w:ascii="Times New Roman" w:hAnsi="Times New Roman"/>
          <w:szCs w:val="24"/>
        </w:rPr>
        <w:t>.</w:t>
      </w:r>
      <w:r w:rsidR="000412F7">
        <w:rPr>
          <w:rFonts w:ascii="Times New Roman" w:hAnsi="Times New Roman"/>
          <w:szCs w:val="24"/>
        </w:rPr>
        <w:t xml:space="preserve"> </w:t>
      </w:r>
      <w:r w:rsidR="00E70468">
        <w:rPr>
          <w:rFonts w:ascii="Times New Roman" w:hAnsi="Times New Roman"/>
          <w:szCs w:val="24"/>
        </w:rPr>
        <w:t xml:space="preserve">We also use the </w:t>
      </w:r>
      <w:r>
        <w:rPr>
          <w:rFonts w:ascii="Times New Roman" w:hAnsi="Times New Roman"/>
          <w:szCs w:val="24"/>
        </w:rPr>
        <w:t xml:space="preserve">information </w:t>
      </w:r>
      <w:r w:rsidR="00D44481">
        <w:rPr>
          <w:rFonts w:ascii="Times New Roman" w:hAnsi="Times New Roman"/>
          <w:szCs w:val="24"/>
        </w:rPr>
        <w:t xml:space="preserve">collection </w:t>
      </w:r>
      <w:r w:rsidR="005736DE">
        <w:rPr>
          <w:rFonts w:ascii="Times New Roman" w:hAnsi="Times New Roman"/>
          <w:szCs w:val="24"/>
        </w:rPr>
        <w:t xml:space="preserve">to inform </w:t>
      </w:r>
      <w:r w:rsidR="002667ED">
        <w:rPr>
          <w:rFonts w:ascii="Times New Roman" w:hAnsi="Times New Roman"/>
          <w:szCs w:val="24"/>
        </w:rPr>
        <w:t>pos</w:t>
      </w:r>
      <w:r w:rsidR="00EF1876">
        <w:rPr>
          <w:rFonts w:ascii="Times New Roman" w:hAnsi="Times New Roman"/>
          <w:szCs w:val="24"/>
        </w:rPr>
        <w:t>t</w:t>
      </w:r>
      <w:r w:rsidR="005A6A25">
        <w:rPr>
          <w:rFonts w:ascii="Times New Roman" w:hAnsi="Times New Roman"/>
          <w:szCs w:val="24"/>
        </w:rPr>
        <w:t>-</w:t>
      </w:r>
      <w:r w:rsidR="00EF1876">
        <w:rPr>
          <w:rFonts w:ascii="Times New Roman" w:hAnsi="Times New Roman"/>
          <w:szCs w:val="24"/>
        </w:rPr>
        <w:t xml:space="preserve">award </w:t>
      </w:r>
      <w:r w:rsidR="00C16CF7">
        <w:rPr>
          <w:rFonts w:ascii="Times New Roman" w:hAnsi="Times New Roman"/>
          <w:szCs w:val="24"/>
        </w:rPr>
        <w:t>activities</w:t>
      </w:r>
      <w:r w:rsidR="00265E4B">
        <w:rPr>
          <w:rFonts w:ascii="Times New Roman" w:hAnsi="Times New Roman"/>
          <w:szCs w:val="24"/>
        </w:rPr>
        <w:t xml:space="preserve"> such as </w:t>
      </w:r>
      <w:r>
        <w:rPr>
          <w:rFonts w:ascii="Times New Roman" w:hAnsi="Times New Roman"/>
          <w:szCs w:val="24"/>
        </w:rPr>
        <w:t>project monitoring</w:t>
      </w:r>
      <w:r w:rsidR="007D343A">
        <w:rPr>
          <w:rFonts w:ascii="Times New Roman" w:hAnsi="Times New Roman"/>
          <w:szCs w:val="24"/>
        </w:rPr>
        <w:t xml:space="preserve"> </w:t>
      </w:r>
      <w:r w:rsidR="009D7336">
        <w:rPr>
          <w:rFonts w:ascii="Times New Roman" w:hAnsi="Times New Roman"/>
          <w:szCs w:val="24"/>
        </w:rPr>
        <w:t xml:space="preserve">and </w:t>
      </w:r>
      <w:r w:rsidR="007A7913">
        <w:rPr>
          <w:rFonts w:ascii="Times New Roman" w:hAnsi="Times New Roman"/>
          <w:szCs w:val="24"/>
        </w:rPr>
        <w:t>rev</w:t>
      </w:r>
      <w:r w:rsidR="00294969">
        <w:rPr>
          <w:rFonts w:ascii="Times New Roman" w:hAnsi="Times New Roman"/>
          <w:szCs w:val="24"/>
        </w:rPr>
        <w:t>iew</w:t>
      </w:r>
      <w:r w:rsidR="005A6A25">
        <w:rPr>
          <w:rFonts w:ascii="Times New Roman" w:hAnsi="Times New Roman"/>
          <w:szCs w:val="24"/>
        </w:rPr>
        <w:t xml:space="preserve">ing </w:t>
      </w:r>
      <w:r w:rsidR="007D343A">
        <w:rPr>
          <w:rFonts w:ascii="Times New Roman" w:hAnsi="Times New Roman"/>
          <w:szCs w:val="24"/>
        </w:rPr>
        <w:t>annual performance reports</w:t>
      </w:r>
      <w:r w:rsidR="005A6A25">
        <w:rPr>
          <w:rFonts w:ascii="Times New Roman" w:hAnsi="Times New Roman"/>
          <w:szCs w:val="24"/>
        </w:rPr>
        <w:t xml:space="preserve"> to assess grantees’ </w:t>
      </w:r>
      <w:r w:rsidR="00FA39A0">
        <w:rPr>
          <w:rFonts w:ascii="Times New Roman" w:hAnsi="Times New Roman"/>
          <w:szCs w:val="24"/>
        </w:rPr>
        <w:t>progress towards meeting the goals and objectives of the</w:t>
      </w:r>
      <w:r w:rsidR="008332E5">
        <w:rPr>
          <w:rFonts w:ascii="Times New Roman" w:hAnsi="Times New Roman"/>
          <w:szCs w:val="24"/>
        </w:rPr>
        <w:t>ir</w:t>
      </w:r>
      <w:r w:rsidR="00FA39A0">
        <w:rPr>
          <w:rFonts w:ascii="Times New Roman" w:hAnsi="Times New Roman"/>
          <w:szCs w:val="24"/>
        </w:rPr>
        <w:t xml:space="preserve"> approved projects</w:t>
      </w:r>
      <w:r w:rsidR="00833A14">
        <w:rPr>
          <w:rFonts w:ascii="Times New Roman" w:hAnsi="Times New Roman"/>
          <w:szCs w:val="24"/>
        </w:rPr>
        <w:t>. Throughout the grant award cycle</w:t>
      </w:r>
      <w:r w:rsidR="007F41A6">
        <w:rPr>
          <w:rFonts w:ascii="Times New Roman" w:hAnsi="Times New Roman"/>
          <w:szCs w:val="24"/>
        </w:rPr>
        <w:t>,</w:t>
      </w:r>
      <w:r w:rsidR="00833A14">
        <w:rPr>
          <w:rFonts w:ascii="Times New Roman" w:hAnsi="Times New Roman"/>
          <w:szCs w:val="24"/>
        </w:rPr>
        <w:t xml:space="preserve"> the information collection </w:t>
      </w:r>
      <w:r w:rsidR="00C36D89">
        <w:rPr>
          <w:rFonts w:ascii="Times New Roman" w:hAnsi="Times New Roman"/>
          <w:szCs w:val="24"/>
        </w:rPr>
        <w:t xml:space="preserve">is a resource for </w:t>
      </w:r>
      <w:r w:rsidR="00EF533F">
        <w:rPr>
          <w:rFonts w:ascii="Times New Roman" w:hAnsi="Times New Roman"/>
          <w:szCs w:val="24"/>
        </w:rPr>
        <w:t xml:space="preserve">the kinds of technical assistance activities we provide to ensure </w:t>
      </w:r>
      <w:r w:rsidR="00C37FDE">
        <w:rPr>
          <w:rFonts w:ascii="Times New Roman" w:hAnsi="Times New Roman"/>
          <w:szCs w:val="24"/>
        </w:rPr>
        <w:t xml:space="preserve">that </w:t>
      </w:r>
      <w:r w:rsidR="0064382C">
        <w:rPr>
          <w:rFonts w:ascii="Times New Roman" w:hAnsi="Times New Roman"/>
          <w:szCs w:val="24"/>
        </w:rPr>
        <w:t>what we a</w:t>
      </w:r>
      <w:r w:rsidR="004235C9">
        <w:rPr>
          <w:rFonts w:ascii="Times New Roman" w:hAnsi="Times New Roman"/>
          <w:szCs w:val="24"/>
        </w:rPr>
        <w:t xml:space="preserve">re providing </w:t>
      </w:r>
      <w:r w:rsidR="004E7E6F">
        <w:rPr>
          <w:rFonts w:ascii="Times New Roman" w:hAnsi="Times New Roman"/>
          <w:szCs w:val="24"/>
        </w:rPr>
        <w:t xml:space="preserve">continues to be effective and relevant to </w:t>
      </w:r>
      <w:r w:rsidR="00A20E72">
        <w:rPr>
          <w:rFonts w:ascii="Times New Roman" w:hAnsi="Times New Roman"/>
          <w:szCs w:val="24"/>
        </w:rPr>
        <w:t>customers’ needs.</w:t>
      </w:r>
      <w:r w:rsidR="008E228F">
        <w:rPr>
          <w:rFonts w:ascii="Times New Roman" w:hAnsi="Times New Roman"/>
          <w:szCs w:val="24"/>
        </w:rPr>
        <w:t xml:space="preserve"> </w:t>
      </w:r>
      <w:r w:rsidR="008D6C80">
        <w:rPr>
          <w:rFonts w:ascii="Times New Roman" w:hAnsi="Times New Roman"/>
          <w:szCs w:val="24"/>
        </w:rPr>
        <w:t xml:space="preserve"> </w:t>
      </w:r>
    </w:p>
    <w:p w:rsidRPr="00CB221F" w:rsidR="008D6C80" w:rsidP="00CB221F" w:rsidRDefault="008D6C80" w14:paraId="2ED4E053" w14:textId="37AE916A">
      <w:pPr>
        <w:tabs>
          <w:tab w:val="left" w:pos="-720"/>
        </w:tabs>
        <w:suppressAutoHyphens/>
        <w:rPr>
          <w:rFonts w:ascii="Times New Roman" w:hAnsi="Times New Roman"/>
          <w:szCs w:val="24"/>
        </w:rPr>
      </w:pPr>
    </w:p>
    <w:p w:rsidR="008D6C80" w:rsidP="00294969" w:rsidRDefault="008D6C80" w14:paraId="3F0D715D" w14:textId="0DC835D9">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w:t>
      </w:r>
      <w:r w:rsidR="002A19CC">
        <w:rPr>
          <w:rFonts w:ascii="Times New Roman" w:hAnsi="Times New Roman"/>
          <w:szCs w:val="24"/>
        </w:rPr>
        <w:t xml:space="preserve">information that we collect </w:t>
      </w:r>
      <w:r w:rsidR="00546CEF">
        <w:rPr>
          <w:rFonts w:ascii="Times New Roman" w:hAnsi="Times New Roman"/>
          <w:szCs w:val="24"/>
        </w:rPr>
        <w:t xml:space="preserve">in grant applications </w:t>
      </w:r>
      <w:r w:rsidR="00D43A23">
        <w:rPr>
          <w:rFonts w:ascii="Times New Roman" w:hAnsi="Times New Roman"/>
          <w:szCs w:val="24"/>
        </w:rPr>
        <w:t xml:space="preserve">for the IRS program </w:t>
      </w:r>
      <w:r w:rsidR="006149BB">
        <w:rPr>
          <w:rFonts w:ascii="Times New Roman" w:hAnsi="Times New Roman"/>
          <w:szCs w:val="24"/>
        </w:rPr>
        <w:t>provide</w:t>
      </w:r>
      <w:r w:rsidR="00E76E16">
        <w:rPr>
          <w:rFonts w:ascii="Times New Roman" w:hAnsi="Times New Roman"/>
          <w:szCs w:val="24"/>
        </w:rPr>
        <w:t xml:space="preserve">s </w:t>
      </w:r>
      <w:r w:rsidR="00546CEF">
        <w:rPr>
          <w:rFonts w:ascii="Times New Roman" w:hAnsi="Times New Roman"/>
          <w:szCs w:val="24"/>
        </w:rPr>
        <w:t xml:space="preserve">the basis for </w:t>
      </w:r>
      <w:r w:rsidR="00326119">
        <w:rPr>
          <w:rFonts w:ascii="Times New Roman" w:hAnsi="Times New Roman"/>
          <w:szCs w:val="24"/>
        </w:rPr>
        <w:t>the kind of information we collect in annual performance reports.  We use the performance reports to determine substantial progress</w:t>
      </w:r>
      <w:r w:rsidR="00A92131">
        <w:rPr>
          <w:rFonts w:ascii="Times New Roman" w:hAnsi="Times New Roman"/>
          <w:szCs w:val="24"/>
        </w:rPr>
        <w:t xml:space="preserve">, </w:t>
      </w:r>
      <w:r w:rsidR="00CA3A47">
        <w:rPr>
          <w:rFonts w:ascii="Times New Roman" w:hAnsi="Times New Roman"/>
          <w:szCs w:val="24"/>
        </w:rPr>
        <w:t>to assess risk,</w:t>
      </w:r>
      <w:r w:rsidR="00804C61">
        <w:rPr>
          <w:rFonts w:ascii="Times New Roman" w:hAnsi="Times New Roman"/>
          <w:szCs w:val="24"/>
        </w:rPr>
        <w:t xml:space="preserve"> </w:t>
      </w:r>
      <w:r w:rsidR="0052767E">
        <w:rPr>
          <w:rFonts w:ascii="Times New Roman" w:hAnsi="Times New Roman"/>
          <w:szCs w:val="24"/>
        </w:rPr>
        <w:t xml:space="preserve">and to make </w:t>
      </w:r>
      <w:r w:rsidR="00B34FE9">
        <w:rPr>
          <w:rFonts w:ascii="Times New Roman" w:hAnsi="Times New Roman"/>
          <w:szCs w:val="24"/>
        </w:rPr>
        <w:t>recommend</w:t>
      </w:r>
      <w:r w:rsidR="0052767E">
        <w:rPr>
          <w:rFonts w:ascii="Times New Roman" w:hAnsi="Times New Roman"/>
          <w:szCs w:val="24"/>
        </w:rPr>
        <w:t>ations for</w:t>
      </w:r>
      <w:r w:rsidR="00B34FE9">
        <w:rPr>
          <w:rFonts w:ascii="Times New Roman" w:hAnsi="Times New Roman"/>
          <w:szCs w:val="24"/>
        </w:rPr>
        <w:t xml:space="preserve"> non-competing continuation funding</w:t>
      </w:r>
      <w:r w:rsidR="00802AB2">
        <w:rPr>
          <w:rFonts w:ascii="Times New Roman" w:hAnsi="Times New Roman"/>
          <w:szCs w:val="24"/>
        </w:rPr>
        <w:t xml:space="preserve">. We also use </w:t>
      </w:r>
      <w:r w:rsidR="005D6917">
        <w:rPr>
          <w:rFonts w:ascii="Times New Roman" w:hAnsi="Times New Roman"/>
          <w:szCs w:val="24"/>
        </w:rPr>
        <w:t xml:space="preserve">the </w:t>
      </w:r>
      <w:r w:rsidR="00802AB2">
        <w:rPr>
          <w:rFonts w:ascii="Times New Roman" w:hAnsi="Times New Roman"/>
          <w:szCs w:val="24"/>
        </w:rPr>
        <w:t>outcome</w:t>
      </w:r>
      <w:r w:rsidR="005D6917">
        <w:rPr>
          <w:rFonts w:ascii="Times New Roman" w:hAnsi="Times New Roman"/>
          <w:szCs w:val="24"/>
        </w:rPr>
        <w:t>s reported collectively</w:t>
      </w:r>
      <w:r w:rsidR="008F3352">
        <w:rPr>
          <w:rFonts w:ascii="Times New Roman" w:hAnsi="Times New Roman"/>
          <w:szCs w:val="24"/>
        </w:rPr>
        <w:t xml:space="preserve"> for th</w:t>
      </w:r>
      <w:r w:rsidR="00396604">
        <w:rPr>
          <w:rFonts w:ascii="Times New Roman" w:hAnsi="Times New Roman"/>
          <w:szCs w:val="24"/>
        </w:rPr>
        <w:t>e program</w:t>
      </w:r>
      <w:r w:rsidR="005D6917">
        <w:rPr>
          <w:rFonts w:ascii="Times New Roman" w:hAnsi="Times New Roman"/>
          <w:szCs w:val="24"/>
        </w:rPr>
        <w:t xml:space="preserve"> </w:t>
      </w:r>
      <w:r w:rsidR="00CB5FC9">
        <w:rPr>
          <w:rFonts w:ascii="Times New Roman" w:hAnsi="Times New Roman"/>
          <w:szCs w:val="24"/>
        </w:rPr>
        <w:t xml:space="preserve">to </w:t>
      </w:r>
      <w:r w:rsidR="0026088D">
        <w:rPr>
          <w:rFonts w:ascii="Times New Roman" w:hAnsi="Times New Roman"/>
          <w:szCs w:val="24"/>
        </w:rPr>
        <w:t xml:space="preserve">determine the extent to which program outcomes </w:t>
      </w:r>
      <w:r w:rsidR="005D6917">
        <w:rPr>
          <w:rFonts w:ascii="Times New Roman" w:hAnsi="Times New Roman"/>
          <w:szCs w:val="24"/>
        </w:rPr>
        <w:t xml:space="preserve">meet </w:t>
      </w:r>
      <w:r w:rsidR="00702CE5">
        <w:rPr>
          <w:rFonts w:ascii="Times New Roman" w:hAnsi="Times New Roman"/>
          <w:szCs w:val="24"/>
        </w:rPr>
        <w:t>G</w:t>
      </w:r>
      <w:r w:rsidR="00FF3214">
        <w:rPr>
          <w:rFonts w:ascii="Times New Roman" w:hAnsi="Times New Roman"/>
          <w:szCs w:val="24"/>
        </w:rPr>
        <w:t xml:space="preserve">PRA measures. </w:t>
      </w:r>
    </w:p>
    <w:p w:rsidRPr="00AD381B" w:rsidR="00043C32" w:rsidP="00AD381B" w:rsidRDefault="00043C32" w14:paraId="586B41F8" w14:textId="77777777">
      <w:pPr>
        <w:suppressAutoHyphens/>
        <w:spacing w:line="240" w:lineRule="exact"/>
        <w:rPr>
          <w:rFonts w:ascii="Times New Roman" w:hAnsi="Times New Roman"/>
          <w:szCs w:val="24"/>
        </w:rPr>
      </w:pPr>
    </w:p>
    <w:p w:rsidR="00043C32" w:rsidP="00AD381B" w:rsidRDefault="00043C32" w14:paraId="25CEA834" w14:textId="3AE14E6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162D11" w:rsidP="00162D11" w:rsidRDefault="00162D11" w14:paraId="7089DCC5" w14:textId="13725BD1">
      <w:pPr>
        <w:tabs>
          <w:tab w:val="left" w:pos="-720"/>
        </w:tabs>
        <w:suppressAutoHyphens/>
        <w:rPr>
          <w:rFonts w:ascii="Times New Roman" w:hAnsi="Times New Roman"/>
          <w:b/>
          <w:szCs w:val="24"/>
        </w:rPr>
      </w:pPr>
    </w:p>
    <w:p w:rsidR="00162D11" w:rsidP="00162D11" w:rsidRDefault="00162D11" w14:paraId="7A571930" w14:textId="5F664796">
      <w:pPr>
        <w:pStyle w:val="ListParagraph"/>
        <w:tabs>
          <w:tab w:val="left" w:pos="-720"/>
        </w:tabs>
        <w:suppressAutoHyphens/>
        <w:contextualSpacing w:val="0"/>
        <w:rPr>
          <w:rFonts w:ascii="Times New Roman" w:hAnsi="Times New Roman"/>
          <w:szCs w:val="24"/>
        </w:rPr>
      </w:pPr>
      <w:r>
        <w:rPr>
          <w:rFonts w:ascii="Times New Roman" w:hAnsi="Times New Roman"/>
          <w:szCs w:val="24"/>
        </w:rPr>
        <w:t>IFLE</w:t>
      </w:r>
      <w:r w:rsidR="003E3AEF">
        <w:rPr>
          <w:rFonts w:ascii="Times New Roman" w:hAnsi="Times New Roman"/>
          <w:szCs w:val="24"/>
        </w:rPr>
        <w:t xml:space="preserve"> </w:t>
      </w:r>
      <w:r w:rsidR="0023502A">
        <w:rPr>
          <w:rFonts w:ascii="Times New Roman" w:hAnsi="Times New Roman"/>
          <w:szCs w:val="24"/>
        </w:rPr>
        <w:t xml:space="preserve">leverages </w:t>
      </w:r>
      <w:r>
        <w:rPr>
          <w:rFonts w:ascii="Times New Roman" w:hAnsi="Times New Roman"/>
          <w:szCs w:val="24"/>
        </w:rPr>
        <w:t>technology</w:t>
      </w:r>
      <w:r w:rsidR="00CD1ED1">
        <w:rPr>
          <w:rFonts w:ascii="Times New Roman" w:hAnsi="Times New Roman"/>
          <w:szCs w:val="24"/>
        </w:rPr>
        <w:t xml:space="preserve"> in conducting </w:t>
      </w:r>
      <w:r w:rsidR="00671737">
        <w:rPr>
          <w:rFonts w:ascii="Times New Roman" w:hAnsi="Times New Roman"/>
          <w:szCs w:val="24"/>
        </w:rPr>
        <w:t>pre</w:t>
      </w:r>
      <w:r w:rsidR="00EB7E32">
        <w:rPr>
          <w:rFonts w:ascii="Times New Roman" w:hAnsi="Times New Roman"/>
          <w:szCs w:val="24"/>
        </w:rPr>
        <w:t>-</w:t>
      </w:r>
      <w:r w:rsidR="00671737">
        <w:rPr>
          <w:rFonts w:ascii="Times New Roman" w:hAnsi="Times New Roman"/>
          <w:szCs w:val="24"/>
        </w:rPr>
        <w:t xml:space="preserve"> award </w:t>
      </w:r>
      <w:r w:rsidR="00296E7D">
        <w:rPr>
          <w:rFonts w:ascii="Times New Roman" w:hAnsi="Times New Roman"/>
          <w:szCs w:val="24"/>
        </w:rPr>
        <w:t>and post</w:t>
      </w:r>
      <w:r w:rsidR="00EB7E32">
        <w:rPr>
          <w:rFonts w:ascii="Times New Roman" w:hAnsi="Times New Roman"/>
          <w:szCs w:val="24"/>
        </w:rPr>
        <w:t>-</w:t>
      </w:r>
      <w:r w:rsidR="00296E7D">
        <w:rPr>
          <w:rFonts w:ascii="Times New Roman" w:hAnsi="Times New Roman"/>
          <w:szCs w:val="24"/>
        </w:rPr>
        <w:t xml:space="preserve"> award activities </w:t>
      </w:r>
      <w:r w:rsidR="00F112CE">
        <w:rPr>
          <w:rFonts w:ascii="Times New Roman" w:hAnsi="Times New Roman"/>
          <w:szCs w:val="24"/>
        </w:rPr>
        <w:t xml:space="preserve">tangential to this information collection </w:t>
      </w:r>
      <w:r>
        <w:rPr>
          <w:rFonts w:ascii="Times New Roman" w:hAnsi="Times New Roman"/>
          <w:szCs w:val="24"/>
        </w:rPr>
        <w:t xml:space="preserve">to reduce burden. Applicants submit </w:t>
      </w:r>
      <w:r w:rsidR="00E35232">
        <w:rPr>
          <w:rFonts w:ascii="Times New Roman" w:hAnsi="Times New Roman"/>
          <w:szCs w:val="24"/>
        </w:rPr>
        <w:t xml:space="preserve">grant </w:t>
      </w:r>
      <w:r>
        <w:rPr>
          <w:rFonts w:ascii="Times New Roman" w:hAnsi="Times New Roman"/>
          <w:szCs w:val="24"/>
        </w:rPr>
        <w:t xml:space="preserve">applications electronically using the </w:t>
      </w:r>
      <w:r w:rsidR="00213FA0">
        <w:rPr>
          <w:rFonts w:ascii="Times New Roman" w:hAnsi="Times New Roman"/>
          <w:szCs w:val="24"/>
        </w:rPr>
        <w:t>g</w:t>
      </w:r>
      <w:r>
        <w:rPr>
          <w:rFonts w:ascii="Times New Roman" w:hAnsi="Times New Roman"/>
          <w:szCs w:val="24"/>
        </w:rPr>
        <w:t xml:space="preserve">overnmentwide Grants.gov </w:t>
      </w:r>
      <w:hyperlink w:history="1" r:id="rId16">
        <w:r w:rsidRPr="00CC7918" w:rsidR="00EB7331">
          <w:rPr>
            <w:rStyle w:val="Hyperlink"/>
            <w:rFonts w:ascii="Times New Roman" w:hAnsi="Times New Roman"/>
            <w:szCs w:val="24"/>
          </w:rPr>
          <w:t>www.grants.gov</w:t>
        </w:r>
      </w:hyperlink>
      <w:r w:rsidR="00EB7331">
        <w:rPr>
          <w:rFonts w:ascii="Times New Roman" w:hAnsi="Times New Roman"/>
          <w:szCs w:val="24"/>
        </w:rPr>
        <w:t xml:space="preserve"> </w:t>
      </w:r>
      <w:r>
        <w:rPr>
          <w:rFonts w:ascii="Times New Roman" w:hAnsi="Times New Roman"/>
          <w:szCs w:val="24"/>
        </w:rPr>
        <w:t xml:space="preserve">site. </w:t>
      </w:r>
      <w:r w:rsidR="00BE48C2">
        <w:rPr>
          <w:rFonts w:ascii="Times New Roman" w:hAnsi="Times New Roman"/>
          <w:szCs w:val="24"/>
        </w:rPr>
        <w:t xml:space="preserve">We use the Department’s G5 e-Reader </w:t>
      </w:r>
      <w:r w:rsidR="004E7E58">
        <w:rPr>
          <w:rFonts w:ascii="Times New Roman" w:hAnsi="Times New Roman"/>
          <w:szCs w:val="24"/>
        </w:rPr>
        <w:t xml:space="preserve">system </w:t>
      </w:r>
      <w:hyperlink w:history="1" r:id="rId17">
        <w:r w:rsidRPr="00CC7918" w:rsidR="00E117F5">
          <w:rPr>
            <w:rStyle w:val="Hyperlink"/>
            <w:rFonts w:ascii="Times New Roman" w:hAnsi="Times New Roman"/>
            <w:szCs w:val="24"/>
          </w:rPr>
          <w:t>www.g5.gov</w:t>
        </w:r>
      </w:hyperlink>
      <w:r w:rsidR="00E117F5">
        <w:rPr>
          <w:rFonts w:ascii="Times New Roman" w:hAnsi="Times New Roman"/>
          <w:szCs w:val="24"/>
        </w:rPr>
        <w:t xml:space="preserve"> </w:t>
      </w:r>
      <w:r w:rsidR="00337E27">
        <w:rPr>
          <w:rFonts w:ascii="Times New Roman" w:hAnsi="Times New Roman"/>
          <w:szCs w:val="24"/>
        </w:rPr>
        <w:t>for</w:t>
      </w:r>
      <w:r w:rsidR="00DF624B">
        <w:rPr>
          <w:rFonts w:ascii="Times New Roman" w:hAnsi="Times New Roman"/>
          <w:szCs w:val="24"/>
        </w:rPr>
        <w:t xml:space="preserve"> </w:t>
      </w:r>
      <w:r w:rsidR="00300E51">
        <w:rPr>
          <w:rFonts w:ascii="Times New Roman" w:hAnsi="Times New Roman"/>
          <w:szCs w:val="24"/>
        </w:rPr>
        <w:t>setting up the review panels and assigning applications</w:t>
      </w:r>
      <w:r w:rsidR="00AE43BA">
        <w:rPr>
          <w:rFonts w:ascii="Times New Roman" w:hAnsi="Times New Roman"/>
          <w:szCs w:val="24"/>
        </w:rPr>
        <w:t xml:space="preserve">. </w:t>
      </w:r>
      <w:r w:rsidR="005B71C0">
        <w:rPr>
          <w:rFonts w:ascii="Times New Roman" w:hAnsi="Times New Roman"/>
          <w:szCs w:val="24"/>
        </w:rPr>
        <w:t xml:space="preserve">Grantees use our </w:t>
      </w:r>
      <w:r w:rsidR="000C0D5D">
        <w:rPr>
          <w:rFonts w:ascii="Times New Roman" w:hAnsi="Times New Roman"/>
          <w:szCs w:val="24"/>
        </w:rPr>
        <w:t xml:space="preserve">web-based </w:t>
      </w:r>
      <w:r w:rsidR="00446189">
        <w:rPr>
          <w:rFonts w:ascii="Times New Roman" w:hAnsi="Times New Roman"/>
          <w:szCs w:val="24"/>
        </w:rPr>
        <w:t xml:space="preserve">grant administration and performance </w:t>
      </w:r>
      <w:r w:rsidR="007C2A4D">
        <w:rPr>
          <w:rFonts w:ascii="Times New Roman" w:hAnsi="Times New Roman"/>
          <w:szCs w:val="24"/>
        </w:rPr>
        <w:t xml:space="preserve">report </w:t>
      </w:r>
      <w:r w:rsidR="00446189">
        <w:rPr>
          <w:rFonts w:ascii="Times New Roman" w:hAnsi="Times New Roman"/>
          <w:szCs w:val="24"/>
        </w:rPr>
        <w:t>system</w:t>
      </w:r>
      <w:r w:rsidR="00E73035">
        <w:rPr>
          <w:rFonts w:ascii="Times New Roman" w:hAnsi="Times New Roman"/>
          <w:szCs w:val="24"/>
        </w:rPr>
        <w:t xml:space="preserve"> </w:t>
      </w:r>
      <w:r w:rsidR="009562E9">
        <w:rPr>
          <w:rFonts w:ascii="Times New Roman" w:hAnsi="Times New Roman"/>
          <w:szCs w:val="24"/>
        </w:rPr>
        <w:t>(International Resource Information System</w:t>
      </w:r>
      <w:r w:rsidR="00221284">
        <w:rPr>
          <w:rFonts w:ascii="Times New Roman" w:hAnsi="Times New Roman"/>
          <w:szCs w:val="24"/>
        </w:rPr>
        <w:t xml:space="preserve"> (IRIS)</w:t>
      </w:r>
      <w:r w:rsidR="009562E9">
        <w:rPr>
          <w:rFonts w:ascii="Times New Roman" w:hAnsi="Times New Roman"/>
          <w:szCs w:val="24"/>
        </w:rPr>
        <w:t>)</w:t>
      </w:r>
      <w:r w:rsidR="00430F37">
        <w:rPr>
          <w:rFonts w:ascii="Times New Roman" w:hAnsi="Times New Roman"/>
          <w:szCs w:val="24"/>
        </w:rPr>
        <w:t xml:space="preserve"> to submit annual performance reports</w:t>
      </w:r>
      <w:r w:rsidR="00A455D7">
        <w:rPr>
          <w:rFonts w:ascii="Times New Roman" w:hAnsi="Times New Roman"/>
          <w:szCs w:val="24"/>
        </w:rPr>
        <w:t xml:space="preserve">, and we use </w:t>
      </w:r>
      <w:r w:rsidR="00221284">
        <w:rPr>
          <w:rFonts w:ascii="Times New Roman" w:hAnsi="Times New Roman"/>
          <w:szCs w:val="24"/>
        </w:rPr>
        <w:t>IRIS to conduct post-award grant activities</w:t>
      </w:r>
      <w:r w:rsidR="000D17E0">
        <w:rPr>
          <w:rFonts w:ascii="Times New Roman" w:hAnsi="Times New Roman"/>
          <w:szCs w:val="24"/>
        </w:rPr>
        <w:t>, such as approving</w:t>
      </w:r>
      <w:r w:rsidR="00DD4AB8">
        <w:rPr>
          <w:rFonts w:ascii="Times New Roman" w:hAnsi="Times New Roman"/>
          <w:szCs w:val="24"/>
        </w:rPr>
        <w:t xml:space="preserve"> grantees’ project-related</w:t>
      </w:r>
      <w:r w:rsidR="000D17E0">
        <w:rPr>
          <w:rFonts w:ascii="Times New Roman" w:hAnsi="Times New Roman"/>
          <w:szCs w:val="24"/>
        </w:rPr>
        <w:t xml:space="preserve"> </w:t>
      </w:r>
      <w:r w:rsidR="00C66098">
        <w:rPr>
          <w:rFonts w:ascii="Times New Roman" w:hAnsi="Times New Roman"/>
          <w:szCs w:val="24"/>
        </w:rPr>
        <w:t>travel requests</w:t>
      </w:r>
      <w:r w:rsidR="00B72D9D">
        <w:rPr>
          <w:rFonts w:ascii="Times New Roman" w:hAnsi="Times New Roman"/>
          <w:szCs w:val="24"/>
        </w:rPr>
        <w:t>.</w:t>
      </w:r>
    </w:p>
    <w:p w:rsidR="00AD381B" w:rsidP="00AD381B" w:rsidRDefault="00AD381B" w14:paraId="041795F5" w14:textId="77777777">
      <w:pPr>
        <w:pStyle w:val="ListParagraph"/>
        <w:tabs>
          <w:tab w:val="left" w:pos="-720"/>
        </w:tabs>
        <w:suppressAutoHyphens/>
        <w:contextualSpacing w:val="0"/>
        <w:rPr>
          <w:rFonts w:ascii="Times New Roman" w:hAnsi="Times New Roman"/>
          <w:szCs w:val="24"/>
        </w:rPr>
      </w:pPr>
    </w:p>
    <w:p w:rsidR="00AD381B" w:rsidP="00AD381B" w:rsidRDefault="00AD381B" w14:paraId="17E07AEC" w14:textId="77777777">
      <w:pPr>
        <w:pStyle w:val="ListParagraph"/>
        <w:tabs>
          <w:tab w:val="left" w:pos="-720"/>
        </w:tabs>
        <w:suppressAutoHyphens/>
        <w:contextualSpacing w:val="0"/>
        <w:rPr>
          <w:rFonts w:ascii="Times New Roman" w:hAnsi="Times New Roman"/>
          <w:szCs w:val="24"/>
        </w:rPr>
      </w:pPr>
    </w:p>
    <w:p w:rsidR="00AD381B" w:rsidP="00AD381B" w:rsidRDefault="00043C32" w14:paraId="19D87BF0" w14:textId="4A9B2DCB">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162D11" w:rsidP="00162D11" w:rsidRDefault="00162D11" w14:paraId="3E389645" w14:textId="6FCDEFC1">
      <w:pPr>
        <w:tabs>
          <w:tab w:val="left" w:pos="-720"/>
        </w:tabs>
        <w:suppressAutoHyphens/>
        <w:rPr>
          <w:rFonts w:ascii="Times New Roman" w:hAnsi="Times New Roman"/>
          <w:b/>
          <w:szCs w:val="24"/>
        </w:rPr>
      </w:pPr>
    </w:p>
    <w:p w:rsidR="007A1F36" w:rsidP="007A1F36" w:rsidRDefault="00D232AB" w14:paraId="798F37A8" w14:textId="25AC33D7">
      <w:pPr>
        <w:pStyle w:val="ListParagraph"/>
        <w:tabs>
          <w:tab w:val="left" w:pos="-720"/>
        </w:tabs>
        <w:suppressAutoHyphens/>
        <w:contextualSpacing w:val="0"/>
        <w:rPr>
          <w:rFonts w:ascii="Times New Roman" w:hAnsi="Times New Roman"/>
          <w:szCs w:val="24"/>
        </w:rPr>
      </w:pPr>
      <w:r>
        <w:rPr>
          <w:rFonts w:ascii="Times New Roman" w:hAnsi="Times New Roman"/>
          <w:bCs/>
          <w:szCs w:val="24"/>
        </w:rPr>
        <w:t xml:space="preserve">The </w:t>
      </w:r>
      <w:r w:rsidR="00BB1953">
        <w:rPr>
          <w:rFonts w:ascii="Times New Roman" w:hAnsi="Times New Roman"/>
          <w:bCs/>
          <w:szCs w:val="24"/>
        </w:rPr>
        <w:t>I</w:t>
      </w:r>
      <w:r w:rsidR="00EB5C52">
        <w:rPr>
          <w:rFonts w:ascii="Times New Roman" w:hAnsi="Times New Roman"/>
          <w:bCs/>
          <w:szCs w:val="24"/>
        </w:rPr>
        <w:t xml:space="preserve">nternational </w:t>
      </w:r>
      <w:r w:rsidR="00BB1953">
        <w:rPr>
          <w:rFonts w:ascii="Times New Roman" w:hAnsi="Times New Roman"/>
          <w:bCs/>
          <w:szCs w:val="24"/>
        </w:rPr>
        <w:t>R</w:t>
      </w:r>
      <w:r w:rsidR="00EB5C52">
        <w:rPr>
          <w:rFonts w:ascii="Times New Roman" w:hAnsi="Times New Roman"/>
          <w:bCs/>
          <w:szCs w:val="24"/>
        </w:rPr>
        <w:t xml:space="preserve">esearch and </w:t>
      </w:r>
      <w:r w:rsidR="00BB1953">
        <w:rPr>
          <w:rFonts w:ascii="Times New Roman" w:hAnsi="Times New Roman"/>
          <w:bCs/>
          <w:szCs w:val="24"/>
        </w:rPr>
        <w:t>S</w:t>
      </w:r>
      <w:r w:rsidR="00EB5C52">
        <w:rPr>
          <w:rFonts w:ascii="Times New Roman" w:hAnsi="Times New Roman"/>
          <w:bCs/>
          <w:szCs w:val="24"/>
        </w:rPr>
        <w:t>tudies</w:t>
      </w:r>
      <w:r>
        <w:rPr>
          <w:rFonts w:ascii="Times New Roman" w:hAnsi="Times New Roman"/>
          <w:bCs/>
          <w:szCs w:val="24"/>
        </w:rPr>
        <w:t xml:space="preserve"> program is </w:t>
      </w:r>
      <w:r w:rsidR="00D45504">
        <w:rPr>
          <w:rFonts w:ascii="Times New Roman" w:hAnsi="Times New Roman"/>
          <w:bCs/>
          <w:szCs w:val="24"/>
        </w:rPr>
        <w:t xml:space="preserve">a discretionary grant program </w:t>
      </w:r>
      <w:r>
        <w:rPr>
          <w:rFonts w:ascii="Times New Roman" w:hAnsi="Times New Roman"/>
          <w:bCs/>
          <w:szCs w:val="24"/>
        </w:rPr>
        <w:t xml:space="preserve">unique to the </w:t>
      </w:r>
      <w:r w:rsidR="00F84C29">
        <w:rPr>
          <w:rFonts w:ascii="Times New Roman" w:hAnsi="Times New Roman"/>
          <w:bCs/>
          <w:szCs w:val="24"/>
        </w:rPr>
        <w:t>U.S. Department of Education</w:t>
      </w:r>
      <w:r w:rsidR="001154EE">
        <w:rPr>
          <w:rFonts w:ascii="Times New Roman" w:hAnsi="Times New Roman"/>
          <w:bCs/>
          <w:szCs w:val="24"/>
        </w:rPr>
        <w:t xml:space="preserve">. </w:t>
      </w:r>
      <w:r w:rsidR="00162D11">
        <w:rPr>
          <w:rFonts w:ascii="Times New Roman" w:hAnsi="Times New Roman"/>
          <w:szCs w:val="24"/>
        </w:rPr>
        <w:t>There is no duplication of information</w:t>
      </w:r>
      <w:r w:rsidR="00794941">
        <w:rPr>
          <w:rFonts w:ascii="Times New Roman" w:hAnsi="Times New Roman"/>
          <w:szCs w:val="24"/>
        </w:rPr>
        <w:t xml:space="preserve"> elsewhere. </w:t>
      </w:r>
    </w:p>
    <w:p w:rsidR="007A1F36" w:rsidP="007A1F36" w:rsidRDefault="007A1F36" w14:paraId="56A70F07" w14:textId="77777777">
      <w:pPr>
        <w:pStyle w:val="ListParagraph"/>
        <w:tabs>
          <w:tab w:val="left" w:pos="-720"/>
        </w:tabs>
        <w:suppressAutoHyphens/>
        <w:contextualSpacing w:val="0"/>
        <w:rPr>
          <w:rFonts w:ascii="Times New Roman" w:hAnsi="Times New Roman"/>
          <w:szCs w:val="24"/>
        </w:rPr>
      </w:pPr>
    </w:p>
    <w:p w:rsidR="00043C32" w:rsidP="007A1F36" w:rsidRDefault="00043C32" w14:paraId="1C07D032" w14:textId="06571AAD">
      <w:pPr>
        <w:pStyle w:val="ListParagraph"/>
        <w:tabs>
          <w:tab w:val="left" w:pos="-720"/>
        </w:tabs>
        <w:suppressAutoHyphens/>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2CABE91" w14:textId="374656D0">
      <w:pPr>
        <w:pStyle w:val="ListParagraph"/>
        <w:contextualSpacing w:val="0"/>
        <w:rPr>
          <w:rFonts w:ascii="Times New Roman" w:hAnsi="Times New Roman"/>
          <w:szCs w:val="24"/>
        </w:rPr>
      </w:pPr>
    </w:p>
    <w:p w:rsidRPr="008463A7" w:rsidR="00162D11" w:rsidP="00162D11" w:rsidRDefault="00162D11" w14:paraId="7D6D9C2B" w14:textId="77777777">
      <w:pPr>
        <w:ind w:left="720"/>
        <w:rPr>
          <w:rFonts w:ascii="Times New Roman" w:hAnsi="Times New Roman"/>
          <w:szCs w:val="24"/>
        </w:rPr>
      </w:pPr>
      <w:r>
        <w:rPr>
          <w:rFonts w:ascii="Times New Roman" w:hAnsi="Times New Roman"/>
          <w:szCs w:val="24"/>
        </w:rPr>
        <w:t>This collection does not impact small businesses or entities.</w:t>
      </w:r>
    </w:p>
    <w:p w:rsidR="00162D11" w:rsidP="00AD381B" w:rsidRDefault="00162D11" w14:paraId="207D2E80" w14:textId="77777777">
      <w:pPr>
        <w:pStyle w:val="ListParagraph"/>
        <w:contextualSpacing w:val="0"/>
        <w:rPr>
          <w:rFonts w:ascii="Times New Roman" w:hAnsi="Times New Roman"/>
          <w:szCs w:val="24"/>
        </w:rPr>
      </w:pPr>
    </w:p>
    <w:p w:rsidR="00043C32" w:rsidP="00AD381B" w:rsidRDefault="00043C32" w14:paraId="2C11B533" w14:textId="57539F0E">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162D11" w:rsidP="00162D11" w:rsidRDefault="00162D11" w14:paraId="3E09B4A7" w14:textId="77777777">
      <w:pPr>
        <w:pStyle w:val="ListParagraph"/>
        <w:tabs>
          <w:tab w:val="left" w:pos="-720"/>
        </w:tabs>
        <w:suppressAutoHyphens/>
        <w:contextualSpacing w:val="0"/>
        <w:rPr>
          <w:rFonts w:ascii="Times New Roman" w:hAnsi="Times New Roman"/>
          <w:b/>
          <w:szCs w:val="24"/>
        </w:rPr>
      </w:pPr>
    </w:p>
    <w:p w:rsidR="00162D11" w:rsidP="00162D11" w:rsidRDefault="00162D11" w14:paraId="40EA54D1" w14:textId="52294FCE">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If the collection is not approved, we will not be able to conduct the </w:t>
      </w:r>
      <w:r w:rsidR="007A1F36">
        <w:rPr>
          <w:rFonts w:ascii="Times New Roman" w:hAnsi="Times New Roman"/>
          <w:szCs w:val="24"/>
        </w:rPr>
        <w:t xml:space="preserve">FY 2020 </w:t>
      </w:r>
      <w:r w:rsidR="00BB1953">
        <w:rPr>
          <w:rFonts w:ascii="Times New Roman" w:hAnsi="Times New Roman"/>
          <w:szCs w:val="24"/>
        </w:rPr>
        <w:t>IRS</w:t>
      </w:r>
      <w:r w:rsidR="00F83498">
        <w:rPr>
          <w:rFonts w:ascii="Times New Roman" w:hAnsi="Times New Roman"/>
          <w:szCs w:val="24"/>
        </w:rPr>
        <w:t xml:space="preserve"> competition</w:t>
      </w:r>
      <w:r w:rsidR="00A73265">
        <w:rPr>
          <w:rFonts w:ascii="Times New Roman" w:hAnsi="Times New Roman"/>
          <w:szCs w:val="24"/>
        </w:rPr>
        <w:t xml:space="preserve"> on time or at all, depending on how long it will take to </w:t>
      </w:r>
      <w:r w:rsidR="00921854">
        <w:rPr>
          <w:rFonts w:ascii="Times New Roman" w:hAnsi="Times New Roman"/>
          <w:szCs w:val="24"/>
        </w:rPr>
        <w:t>obtain OMB approval of this application package.</w:t>
      </w:r>
      <w:r w:rsidR="009A356D">
        <w:rPr>
          <w:rFonts w:ascii="Times New Roman" w:hAnsi="Times New Roman"/>
          <w:szCs w:val="24"/>
        </w:rPr>
        <w:t xml:space="preserve"> </w:t>
      </w:r>
      <w:r w:rsidR="00BE697B">
        <w:rPr>
          <w:rFonts w:ascii="Times New Roman" w:hAnsi="Times New Roman"/>
          <w:szCs w:val="24"/>
        </w:rPr>
        <w:t>With</w:t>
      </w:r>
      <w:r w:rsidR="007A45EB">
        <w:rPr>
          <w:rFonts w:ascii="Times New Roman" w:hAnsi="Times New Roman"/>
          <w:szCs w:val="24"/>
        </w:rPr>
        <w:t xml:space="preserve"> $900,000 allocated </w:t>
      </w:r>
      <w:r w:rsidR="00E734E1">
        <w:rPr>
          <w:rFonts w:ascii="Times New Roman" w:hAnsi="Times New Roman"/>
          <w:szCs w:val="24"/>
        </w:rPr>
        <w:t xml:space="preserve">for a </w:t>
      </w:r>
      <w:r w:rsidR="007A45EB">
        <w:rPr>
          <w:rFonts w:ascii="Times New Roman" w:hAnsi="Times New Roman"/>
          <w:szCs w:val="24"/>
        </w:rPr>
        <w:t xml:space="preserve">FY 2020 </w:t>
      </w:r>
      <w:r w:rsidR="00414D80">
        <w:rPr>
          <w:rFonts w:ascii="Times New Roman" w:hAnsi="Times New Roman"/>
          <w:szCs w:val="24"/>
        </w:rPr>
        <w:t>competition for new grant awards, n</w:t>
      </w:r>
      <w:r w:rsidR="009A356D">
        <w:rPr>
          <w:rFonts w:ascii="Times New Roman" w:hAnsi="Times New Roman"/>
          <w:szCs w:val="24"/>
        </w:rPr>
        <w:t xml:space="preserve">ot </w:t>
      </w:r>
      <w:r w:rsidR="00F51D9C">
        <w:rPr>
          <w:rFonts w:ascii="Times New Roman" w:hAnsi="Times New Roman"/>
          <w:szCs w:val="24"/>
        </w:rPr>
        <w:t xml:space="preserve">holding </w:t>
      </w:r>
      <w:r w:rsidR="0031112E">
        <w:rPr>
          <w:rFonts w:ascii="Times New Roman" w:hAnsi="Times New Roman"/>
          <w:szCs w:val="24"/>
        </w:rPr>
        <w:t xml:space="preserve">a </w:t>
      </w:r>
      <w:r w:rsidR="009A356D">
        <w:rPr>
          <w:rFonts w:ascii="Times New Roman" w:hAnsi="Times New Roman"/>
          <w:szCs w:val="24"/>
        </w:rPr>
        <w:t xml:space="preserve">competition and </w:t>
      </w:r>
      <w:r w:rsidR="006712B8">
        <w:rPr>
          <w:rFonts w:ascii="Times New Roman" w:hAnsi="Times New Roman"/>
          <w:szCs w:val="24"/>
        </w:rPr>
        <w:t xml:space="preserve">making new </w:t>
      </w:r>
      <w:r w:rsidR="00FF67FE">
        <w:rPr>
          <w:rFonts w:ascii="Times New Roman" w:hAnsi="Times New Roman"/>
          <w:szCs w:val="24"/>
        </w:rPr>
        <w:t>grant award</w:t>
      </w:r>
      <w:r w:rsidR="00135EA0">
        <w:rPr>
          <w:rFonts w:ascii="Times New Roman" w:hAnsi="Times New Roman"/>
          <w:szCs w:val="24"/>
        </w:rPr>
        <w:t>s</w:t>
      </w:r>
      <w:r w:rsidR="00FF67FE">
        <w:rPr>
          <w:rFonts w:ascii="Times New Roman" w:hAnsi="Times New Roman"/>
          <w:szCs w:val="24"/>
        </w:rPr>
        <w:t xml:space="preserve"> </w:t>
      </w:r>
      <w:r w:rsidR="00135EA0">
        <w:rPr>
          <w:rFonts w:ascii="Times New Roman" w:hAnsi="Times New Roman"/>
          <w:szCs w:val="24"/>
        </w:rPr>
        <w:t xml:space="preserve">will have </w:t>
      </w:r>
      <w:r w:rsidR="00887EF0">
        <w:rPr>
          <w:rFonts w:ascii="Times New Roman" w:hAnsi="Times New Roman"/>
          <w:szCs w:val="24"/>
        </w:rPr>
        <w:t xml:space="preserve">an </w:t>
      </w:r>
      <w:r w:rsidR="009107AF">
        <w:rPr>
          <w:rFonts w:ascii="Times New Roman" w:hAnsi="Times New Roman"/>
          <w:szCs w:val="24"/>
        </w:rPr>
        <w:t>exponentially negative impact</w:t>
      </w:r>
      <w:r w:rsidR="00B851CA">
        <w:rPr>
          <w:rFonts w:ascii="Times New Roman" w:hAnsi="Times New Roman"/>
          <w:szCs w:val="24"/>
        </w:rPr>
        <w:t xml:space="preserve"> </w:t>
      </w:r>
      <w:r w:rsidR="009107AF">
        <w:rPr>
          <w:rFonts w:ascii="Times New Roman" w:hAnsi="Times New Roman"/>
          <w:szCs w:val="24"/>
        </w:rPr>
        <w:t xml:space="preserve">on </w:t>
      </w:r>
      <w:r w:rsidR="0038551D">
        <w:rPr>
          <w:rFonts w:ascii="Times New Roman" w:hAnsi="Times New Roman"/>
          <w:szCs w:val="24"/>
        </w:rPr>
        <w:t xml:space="preserve">both our </w:t>
      </w:r>
      <w:r w:rsidR="00535C67">
        <w:rPr>
          <w:rFonts w:ascii="Times New Roman" w:hAnsi="Times New Roman"/>
          <w:szCs w:val="24"/>
        </w:rPr>
        <w:t xml:space="preserve">external and </w:t>
      </w:r>
      <w:r w:rsidR="00973090">
        <w:rPr>
          <w:rFonts w:ascii="Times New Roman" w:hAnsi="Times New Roman"/>
          <w:szCs w:val="24"/>
        </w:rPr>
        <w:t>internal</w:t>
      </w:r>
      <w:r w:rsidR="00B02B4A">
        <w:rPr>
          <w:rFonts w:ascii="Times New Roman" w:hAnsi="Times New Roman"/>
          <w:szCs w:val="24"/>
        </w:rPr>
        <w:t xml:space="preserve"> stakeholders.</w:t>
      </w:r>
      <w:r w:rsidR="00973090">
        <w:rPr>
          <w:rFonts w:ascii="Times New Roman" w:hAnsi="Times New Roman"/>
          <w:szCs w:val="24"/>
        </w:rPr>
        <w:t xml:space="preserve"> </w:t>
      </w:r>
      <w:r w:rsidR="00746D89">
        <w:rPr>
          <w:rFonts w:ascii="Times New Roman" w:hAnsi="Times New Roman"/>
          <w:szCs w:val="24"/>
        </w:rPr>
        <w:t xml:space="preserve"> </w:t>
      </w:r>
      <w:r w:rsidR="0049438A">
        <w:rPr>
          <w:rFonts w:ascii="Times New Roman" w:hAnsi="Times New Roman"/>
          <w:szCs w:val="24"/>
        </w:rPr>
        <w:t>Eligible applicants</w:t>
      </w:r>
      <w:r w:rsidR="00936B51">
        <w:rPr>
          <w:rFonts w:ascii="Times New Roman" w:hAnsi="Times New Roman"/>
          <w:szCs w:val="24"/>
        </w:rPr>
        <w:t xml:space="preserve"> would </w:t>
      </w:r>
      <w:r w:rsidR="00FC68D2">
        <w:rPr>
          <w:rFonts w:ascii="Times New Roman" w:hAnsi="Times New Roman"/>
          <w:szCs w:val="24"/>
        </w:rPr>
        <w:t xml:space="preserve">not </w:t>
      </w:r>
      <w:r w:rsidR="00E1201F">
        <w:rPr>
          <w:rFonts w:ascii="Times New Roman" w:hAnsi="Times New Roman"/>
          <w:szCs w:val="24"/>
        </w:rPr>
        <w:t xml:space="preserve">be provided </w:t>
      </w:r>
      <w:r w:rsidR="00671ECE">
        <w:rPr>
          <w:rFonts w:ascii="Times New Roman" w:hAnsi="Times New Roman"/>
          <w:szCs w:val="24"/>
        </w:rPr>
        <w:t xml:space="preserve">the </w:t>
      </w:r>
      <w:r w:rsidR="00287434">
        <w:rPr>
          <w:rFonts w:ascii="Times New Roman" w:hAnsi="Times New Roman"/>
          <w:szCs w:val="24"/>
        </w:rPr>
        <w:t>op</w:t>
      </w:r>
      <w:r w:rsidR="00206AF3">
        <w:rPr>
          <w:rFonts w:ascii="Times New Roman" w:hAnsi="Times New Roman"/>
          <w:szCs w:val="24"/>
        </w:rPr>
        <w:t xml:space="preserve">portunity </w:t>
      </w:r>
      <w:r w:rsidR="00287434">
        <w:rPr>
          <w:rFonts w:ascii="Times New Roman" w:hAnsi="Times New Roman"/>
          <w:szCs w:val="24"/>
        </w:rPr>
        <w:t>to</w:t>
      </w:r>
      <w:r w:rsidR="00BB5B90">
        <w:rPr>
          <w:rFonts w:ascii="Times New Roman" w:hAnsi="Times New Roman"/>
          <w:szCs w:val="24"/>
        </w:rPr>
        <w:t xml:space="preserve"> s</w:t>
      </w:r>
      <w:r w:rsidR="00671ECE">
        <w:rPr>
          <w:rFonts w:ascii="Times New Roman" w:hAnsi="Times New Roman"/>
          <w:szCs w:val="24"/>
        </w:rPr>
        <w:t xml:space="preserve">ubmit </w:t>
      </w:r>
      <w:r w:rsidR="00953227">
        <w:rPr>
          <w:rFonts w:ascii="Times New Roman" w:hAnsi="Times New Roman"/>
          <w:szCs w:val="24"/>
        </w:rPr>
        <w:t>pot</w:t>
      </w:r>
      <w:r w:rsidR="005B1A2B">
        <w:rPr>
          <w:rFonts w:ascii="Times New Roman" w:hAnsi="Times New Roman"/>
          <w:szCs w:val="24"/>
        </w:rPr>
        <w:t xml:space="preserve">entially </w:t>
      </w:r>
      <w:r w:rsidR="00206AF3">
        <w:rPr>
          <w:rFonts w:ascii="Times New Roman" w:hAnsi="Times New Roman"/>
          <w:szCs w:val="24"/>
        </w:rPr>
        <w:t>innovative grant applications</w:t>
      </w:r>
      <w:r w:rsidR="00DD1717">
        <w:rPr>
          <w:rFonts w:ascii="Times New Roman" w:hAnsi="Times New Roman"/>
          <w:szCs w:val="24"/>
        </w:rPr>
        <w:t xml:space="preserve"> </w:t>
      </w:r>
      <w:r w:rsidR="007C31DB">
        <w:rPr>
          <w:rFonts w:ascii="Times New Roman" w:hAnsi="Times New Roman"/>
          <w:szCs w:val="24"/>
        </w:rPr>
        <w:t xml:space="preserve">to propose projects </w:t>
      </w:r>
      <w:r w:rsidR="00140644">
        <w:rPr>
          <w:rFonts w:ascii="Times New Roman" w:hAnsi="Times New Roman"/>
          <w:szCs w:val="24"/>
        </w:rPr>
        <w:t xml:space="preserve">that </w:t>
      </w:r>
      <w:r w:rsidR="00A72C9D">
        <w:rPr>
          <w:rFonts w:ascii="Times New Roman" w:hAnsi="Times New Roman"/>
          <w:szCs w:val="24"/>
        </w:rPr>
        <w:t>could s</w:t>
      </w:r>
      <w:r w:rsidR="00AA54B4">
        <w:rPr>
          <w:rFonts w:ascii="Times New Roman" w:hAnsi="Times New Roman"/>
          <w:szCs w:val="24"/>
        </w:rPr>
        <w:t>trength</w:t>
      </w:r>
      <w:r w:rsidR="00FB5E49">
        <w:rPr>
          <w:rFonts w:ascii="Times New Roman" w:hAnsi="Times New Roman"/>
          <w:szCs w:val="24"/>
        </w:rPr>
        <w:t xml:space="preserve">en </w:t>
      </w:r>
      <w:r w:rsidR="00274E02">
        <w:rPr>
          <w:rFonts w:ascii="Times New Roman" w:hAnsi="Times New Roman"/>
          <w:szCs w:val="24"/>
        </w:rPr>
        <w:t xml:space="preserve">and expand the </w:t>
      </w:r>
      <w:r w:rsidR="00FB5E49">
        <w:rPr>
          <w:rFonts w:ascii="Times New Roman" w:hAnsi="Times New Roman"/>
          <w:szCs w:val="24"/>
        </w:rPr>
        <w:t xml:space="preserve">body of </w:t>
      </w:r>
      <w:r w:rsidR="00C15410">
        <w:rPr>
          <w:rFonts w:ascii="Times New Roman" w:hAnsi="Times New Roman"/>
          <w:szCs w:val="24"/>
        </w:rPr>
        <w:t>knowledge</w:t>
      </w:r>
      <w:r w:rsidR="00B817A0">
        <w:rPr>
          <w:rFonts w:ascii="Times New Roman" w:hAnsi="Times New Roman"/>
          <w:szCs w:val="24"/>
        </w:rPr>
        <w:t xml:space="preserve"> and </w:t>
      </w:r>
      <w:r w:rsidR="00C15410">
        <w:rPr>
          <w:rFonts w:ascii="Times New Roman" w:hAnsi="Times New Roman"/>
          <w:szCs w:val="24"/>
        </w:rPr>
        <w:t xml:space="preserve">research </w:t>
      </w:r>
      <w:r w:rsidR="000318C1">
        <w:rPr>
          <w:rFonts w:ascii="Times New Roman" w:hAnsi="Times New Roman"/>
          <w:szCs w:val="24"/>
        </w:rPr>
        <w:t xml:space="preserve">regarding </w:t>
      </w:r>
      <w:r w:rsidR="00FB5E49">
        <w:rPr>
          <w:rFonts w:ascii="Times New Roman" w:hAnsi="Times New Roman"/>
          <w:szCs w:val="24"/>
        </w:rPr>
        <w:t>modern</w:t>
      </w:r>
      <w:r w:rsidR="003B3123">
        <w:rPr>
          <w:rFonts w:ascii="Times New Roman" w:hAnsi="Times New Roman"/>
          <w:szCs w:val="24"/>
        </w:rPr>
        <w:t xml:space="preserve"> foreign language </w:t>
      </w:r>
      <w:r w:rsidR="005468CE">
        <w:rPr>
          <w:rFonts w:ascii="Times New Roman" w:hAnsi="Times New Roman"/>
          <w:szCs w:val="24"/>
        </w:rPr>
        <w:t>profi</w:t>
      </w:r>
      <w:r w:rsidR="00506697">
        <w:rPr>
          <w:rFonts w:ascii="Times New Roman" w:hAnsi="Times New Roman"/>
          <w:szCs w:val="24"/>
        </w:rPr>
        <w:t xml:space="preserve">ciency, </w:t>
      </w:r>
      <w:r w:rsidR="00FF2F5B">
        <w:rPr>
          <w:rFonts w:ascii="Times New Roman" w:hAnsi="Times New Roman"/>
          <w:szCs w:val="24"/>
        </w:rPr>
        <w:t>area studies, and other international fields.</w:t>
      </w:r>
      <w:r w:rsidR="00D63C89">
        <w:rPr>
          <w:rFonts w:ascii="Times New Roman" w:hAnsi="Times New Roman"/>
          <w:szCs w:val="24"/>
        </w:rPr>
        <w:t xml:space="preserve"> </w:t>
      </w:r>
      <w:r w:rsidR="00D01999">
        <w:rPr>
          <w:rFonts w:ascii="Times New Roman" w:hAnsi="Times New Roman"/>
          <w:szCs w:val="24"/>
        </w:rPr>
        <w:t xml:space="preserve"> </w:t>
      </w:r>
      <w:r w:rsidR="002D6199">
        <w:rPr>
          <w:rFonts w:ascii="Times New Roman" w:hAnsi="Times New Roman"/>
          <w:szCs w:val="24"/>
        </w:rPr>
        <w:t xml:space="preserve">Also, </w:t>
      </w:r>
      <w:r w:rsidR="005B6B92">
        <w:rPr>
          <w:rFonts w:ascii="Times New Roman" w:hAnsi="Times New Roman"/>
          <w:szCs w:val="24"/>
        </w:rPr>
        <w:t xml:space="preserve">a </w:t>
      </w:r>
      <w:r w:rsidR="00D01999">
        <w:rPr>
          <w:rFonts w:ascii="Times New Roman" w:hAnsi="Times New Roman"/>
          <w:szCs w:val="24"/>
        </w:rPr>
        <w:t xml:space="preserve">delay in </w:t>
      </w:r>
      <w:r w:rsidR="00AB52A4">
        <w:rPr>
          <w:rFonts w:ascii="Times New Roman" w:hAnsi="Times New Roman"/>
          <w:szCs w:val="24"/>
        </w:rPr>
        <w:t xml:space="preserve">the clearance process would seriously compromise </w:t>
      </w:r>
      <w:r w:rsidR="006E0017">
        <w:rPr>
          <w:rFonts w:ascii="Times New Roman" w:hAnsi="Times New Roman"/>
          <w:szCs w:val="24"/>
        </w:rPr>
        <w:t xml:space="preserve">our capacity </w:t>
      </w:r>
      <w:r w:rsidR="00C5152F">
        <w:rPr>
          <w:rFonts w:ascii="Times New Roman" w:hAnsi="Times New Roman"/>
          <w:szCs w:val="24"/>
        </w:rPr>
        <w:t>to</w:t>
      </w:r>
      <w:r w:rsidR="00535653">
        <w:rPr>
          <w:rFonts w:ascii="Times New Roman" w:hAnsi="Times New Roman"/>
          <w:szCs w:val="24"/>
        </w:rPr>
        <w:t xml:space="preserve"> </w:t>
      </w:r>
      <w:r w:rsidR="00BD59F0">
        <w:rPr>
          <w:rFonts w:ascii="Times New Roman" w:hAnsi="Times New Roman"/>
          <w:szCs w:val="24"/>
        </w:rPr>
        <w:t xml:space="preserve">issue new grant awards </w:t>
      </w:r>
      <w:r w:rsidR="00D12443">
        <w:rPr>
          <w:rFonts w:ascii="Times New Roman" w:hAnsi="Times New Roman"/>
          <w:szCs w:val="24"/>
        </w:rPr>
        <w:t>earl</w:t>
      </w:r>
      <w:r w:rsidR="00AC2DEC">
        <w:rPr>
          <w:rFonts w:ascii="Times New Roman" w:hAnsi="Times New Roman"/>
          <w:szCs w:val="24"/>
        </w:rPr>
        <w:t xml:space="preserve">y </w:t>
      </w:r>
      <w:r w:rsidR="00D12443">
        <w:rPr>
          <w:rFonts w:ascii="Times New Roman" w:hAnsi="Times New Roman"/>
          <w:szCs w:val="24"/>
        </w:rPr>
        <w:t xml:space="preserve">in the fiscal year. </w:t>
      </w:r>
      <w:r w:rsidR="003926D4">
        <w:rPr>
          <w:rFonts w:ascii="Times New Roman" w:hAnsi="Times New Roman"/>
          <w:szCs w:val="24"/>
        </w:rPr>
        <w:t xml:space="preserve">Effective with FY </w:t>
      </w:r>
      <w:r w:rsidR="0030439C">
        <w:rPr>
          <w:rFonts w:ascii="Times New Roman" w:hAnsi="Times New Roman"/>
          <w:szCs w:val="24"/>
        </w:rPr>
        <w:t xml:space="preserve">2020, the Department </w:t>
      </w:r>
      <w:r w:rsidR="005E4B74">
        <w:rPr>
          <w:rFonts w:ascii="Times New Roman" w:hAnsi="Times New Roman"/>
          <w:szCs w:val="24"/>
        </w:rPr>
        <w:t xml:space="preserve">implemented </w:t>
      </w:r>
      <w:r w:rsidR="00267EFE">
        <w:rPr>
          <w:rFonts w:ascii="Times New Roman" w:hAnsi="Times New Roman"/>
          <w:szCs w:val="24"/>
        </w:rPr>
        <w:t xml:space="preserve">a policy </w:t>
      </w:r>
      <w:r w:rsidR="000D61A1">
        <w:rPr>
          <w:rFonts w:ascii="Times New Roman" w:hAnsi="Times New Roman"/>
          <w:szCs w:val="24"/>
        </w:rPr>
        <w:t xml:space="preserve">that requires all grant-making units to </w:t>
      </w:r>
      <w:r w:rsidR="004B6EE8">
        <w:rPr>
          <w:rFonts w:ascii="Times New Roman" w:hAnsi="Times New Roman"/>
          <w:szCs w:val="24"/>
        </w:rPr>
        <w:t xml:space="preserve">conduct </w:t>
      </w:r>
      <w:r w:rsidR="00133815">
        <w:rPr>
          <w:rFonts w:ascii="Times New Roman" w:hAnsi="Times New Roman"/>
          <w:szCs w:val="24"/>
        </w:rPr>
        <w:t xml:space="preserve">their </w:t>
      </w:r>
      <w:r w:rsidR="00B16C92">
        <w:rPr>
          <w:rFonts w:ascii="Times New Roman" w:hAnsi="Times New Roman"/>
          <w:szCs w:val="24"/>
        </w:rPr>
        <w:t xml:space="preserve">competitions </w:t>
      </w:r>
      <w:r w:rsidR="004B6EE8">
        <w:rPr>
          <w:rFonts w:ascii="Times New Roman" w:hAnsi="Times New Roman"/>
          <w:szCs w:val="24"/>
        </w:rPr>
        <w:t xml:space="preserve">and award grants </w:t>
      </w:r>
      <w:r w:rsidR="008557C7">
        <w:rPr>
          <w:rFonts w:ascii="Times New Roman" w:hAnsi="Times New Roman"/>
          <w:szCs w:val="24"/>
        </w:rPr>
        <w:t xml:space="preserve">by July </w:t>
      </w:r>
      <w:r w:rsidR="00771E7F">
        <w:rPr>
          <w:rFonts w:ascii="Times New Roman" w:hAnsi="Times New Roman"/>
          <w:szCs w:val="24"/>
        </w:rPr>
        <w:t xml:space="preserve">1, </w:t>
      </w:r>
      <w:r w:rsidR="0060775A">
        <w:rPr>
          <w:rFonts w:ascii="Times New Roman" w:hAnsi="Times New Roman"/>
          <w:szCs w:val="24"/>
        </w:rPr>
        <w:t xml:space="preserve">to </w:t>
      </w:r>
      <w:r w:rsidR="00494485">
        <w:rPr>
          <w:rFonts w:ascii="Times New Roman" w:hAnsi="Times New Roman"/>
          <w:szCs w:val="24"/>
        </w:rPr>
        <w:t xml:space="preserve">give grantee institutions </w:t>
      </w:r>
      <w:r w:rsidR="00DA5B78">
        <w:rPr>
          <w:rFonts w:ascii="Times New Roman" w:hAnsi="Times New Roman"/>
          <w:szCs w:val="24"/>
        </w:rPr>
        <w:t xml:space="preserve">more time </w:t>
      </w:r>
      <w:r w:rsidR="00146A70">
        <w:rPr>
          <w:rFonts w:ascii="Times New Roman" w:hAnsi="Times New Roman"/>
          <w:szCs w:val="24"/>
        </w:rPr>
        <w:t xml:space="preserve">to </w:t>
      </w:r>
      <w:r w:rsidR="0066090F">
        <w:rPr>
          <w:rFonts w:ascii="Times New Roman" w:hAnsi="Times New Roman"/>
          <w:szCs w:val="24"/>
        </w:rPr>
        <w:t xml:space="preserve">prepare </w:t>
      </w:r>
      <w:r w:rsidR="00EE1A47">
        <w:rPr>
          <w:rFonts w:ascii="Times New Roman" w:hAnsi="Times New Roman"/>
          <w:szCs w:val="24"/>
        </w:rPr>
        <w:t xml:space="preserve">project implementation and fiscal </w:t>
      </w:r>
      <w:r w:rsidR="003064D5">
        <w:rPr>
          <w:rFonts w:ascii="Times New Roman" w:hAnsi="Times New Roman"/>
          <w:szCs w:val="24"/>
        </w:rPr>
        <w:t xml:space="preserve">oversight </w:t>
      </w:r>
      <w:r w:rsidR="00E02D39">
        <w:rPr>
          <w:rFonts w:ascii="Times New Roman" w:hAnsi="Times New Roman"/>
          <w:szCs w:val="24"/>
        </w:rPr>
        <w:t xml:space="preserve">activities and internal controls </w:t>
      </w:r>
      <w:r w:rsidR="003064D5">
        <w:rPr>
          <w:rFonts w:ascii="Times New Roman" w:hAnsi="Times New Roman"/>
          <w:szCs w:val="24"/>
        </w:rPr>
        <w:t xml:space="preserve">for </w:t>
      </w:r>
      <w:r w:rsidR="0066090F">
        <w:rPr>
          <w:rFonts w:ascii="Times New Roman" w:hAnsi="Times New Roman"/>
          <w:szCs w:val="24"/>
        </w:rPr>
        <w:t>the upcoming acade</w:t>
      </w:r>
      <w:r w:rsidR="00240DED">
        <w:rPr>
          <w:rFonts w:ascii="Times New Roman" w:hAnsi="Times New Roman"/>
          <w:szCs w:val="24"/>
        </w:rPr>
        <w:t xml:space="preserve">mic year. </w:t>
      </w:r>
      <w:r w:rsidR="00521CDF">
        <w:rPr>
          <w:rFonts w:ascii="Times New Roman" w:hAnsi="Times New Roman"/>
          <w:szCs w:val="24"/>
        </w:rPr>
        <w:t xml:space="preserve"> </w:t>
      </w:r>
      <w:r w:rsidR="00811FBA">
        <w:rPr>
          <w:rFonts w:ascii="Times New Roman" w:hAnsi="Times New Roman"/>
          <w:szCs w:val="24"/>
        </w:rPr>
        <w:t>Meeting our grant schedules is our highest priority</w:t>
      </w:r>
      <w:r w:rsidR="00C11754">
        <w:rPr>
          <w:rFonts w:ascii="Times New Roman" w:hAnsi="Times New Roman"/>
          <w:szCs w:val="24"/>
        </w:rPr>
        <w:t xml:space="preserve"> and </w:t>
      </w:r>
      <w:r w:rsidR="00CF0C56">
        <w:rPr>
          <w:rFonts w:ascii="Times New Roman" w:hAnsi="Times New Roman"/>
          <w:szCs w:val="24"/>
        </w:rPr>
        <w:t xml:space="preserve">we need this </w:t>
      </w:r>
      <w:r w:rsidR="00C11754">
        <w:rPr>
          <w:rFonts w:ascii="Times New Roman" w:hAnsi="Times New Roman"/>
          <w:szCs w:val="24"/>
        </w:rPr>
        <w:t xml:space="preserve">information collection </w:t>
      </w:r>
      <w:r w:rsidR="00CF0C56">
        <w:rPr>
          <w:rFonts w:ascii="Times New Roman" w:hAnsi="Times New Roman"/>
          <w:szCs w:val="24"/>
        </w:rPr>
        <w:t xml:space="preserve">in order to keep moving towards our </w:t>
      </w:r>
      <w:r w:rsidR="00AF0446">
        <w:rPr>
          <w:rFonts w:ascii="Times New Roman" w:hAnsi="Times New Roman"/>
          <w:szCs w:val="24"/>
        </w:rPr>
        <w:t>grant-making goals.</w:t>
      </w:r>
    </w:p>
    <w:p w:rsidR="00B46AB0" w:rsidP="00162D11" w:rsidRDefault="00B46AB0" w14:paraId="18F58B81" w14:textId="77777777">
      <w:pPr>
        <w:pStyle w:val="ListParagraph"/>
        <w:tabs>
          <w:tab w:val="left" w:pos="-720"/>
        </w:tabs>
        <w:suppressAutoHyphens/>
        <w:contextualSpacing w:val="0"/>
        <w:rPr>
          <w:rFonts w:ascii="Times New Roman" w:hAnsi="Times New Roman"/>
          <w:szCs w:val="24"/>
        </w:rPr>
      </w:pPr>
    </w:p>
    <w:p w:rsidR="00162D11" w:rsidP="00162D11" w:rsidRDefault="006F3D47" w14:paraId="78C49DC7" w14:textId="6B90BCB7">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There are no technical or legal </w:t>
      </w:r>
      <w:r w:rsidR="00BA5748">
        <w:rPr>
          <w:rFonts w:ascii="Times New Roman" w:hAnsi="Times New Roman"/>
          <w:szCs w:val="24"/>
        </w:rPr>
        <w:t>obstacles to reducing burden.</w:t>
      </w:r>
    </w:p>
    <w:p w:rsidRPr="00AD381B" w:rsidR="00162D11" w:rsidP="00162D11" w:rsidRDefault="00162D11" w14:paraId="20FC0741"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3E612B5C"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30C94D5A" w14:textId="77777777">
      <w:pPr>
        <w:tabs>
          <w:tab w:val="left" w:pos="-720"/>
        </w:tabs>
        <w:suppressAutoHyphens/>
        <w:rPr>
          <w:rFonts w:ascii="Times New Roman" w:hAnsi="Times New Roman"/>
          <w:b/>
          <w:szCs w:val="24"/>
        </w:rPr>
      </w:pPr>
    </w:p>
    <w:p w:rsidRPr="00AD381B" w:rsidR="00043C32" w:rsidP="00AD381B" w:rsidRDefault="00043C32" w14:paraId="35A942D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report information to the agency more often than quarterly;</w:t>
      </w:r>
    </w:p>
    <w:p w:rsidRPr="00AD381B" w:rsidR="00043C32" w:rsidP="00AD381B" w:rsidRDefault="00043C32" w14:paraId="3977424C"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2F373CE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7528DF0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C002F3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E1F07CC"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77B024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0512A69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378D0DE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395B08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46B5935"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554A2D9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9C3733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A26CBE8" w14:textId="77777777">
      <w:pPr>
        <w:numPr>
          <w:ilvl w:val="12"/>
          <w:numId w:val="0"/>
        </w:numPr>
        <w:tabs>
          <w:tab w:val="left" w:pos="-720"/>
        </w:tabs>
        <w:suppressAutoHyphens/>
        <w:rPr>
          <w:rFonts w:ascii="Times New Roman" w:hAnsi="Times New Roman"/>
          <w:b/>
          <w:szCs w:val="24"/>
        </w:rPr>
      </w:pPr>
    </w:p>
    <w:p w:rsidR="00043C32" w:rsidP="00AD381B" w:rsidRDefault="00043C32" w14:paraId="3D696A75" w14:textId="3BE29516">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162D11" w:rsidP="00162D11" w:rsidRDefault="00162D11" w14:paraId="4D05CFD6" w14:textId="77777777">
      <w:pPr>
        <w:pStyle w:val="ListParagraph"/>
        <w:rPr>
          <w:rFonts w:ascii="Times New Roman" w:hAnsi="Times New Roman"/>
          <w:b/>
          <w:szCs w:val="24"/>
        </w:rPr>
      </w:pPr>
    </w:p>
    <w:p w:rsidR="00AD381B" w:rsidP="00807690" w:rsidRDefault="00807690" w14:paraId="1025E8FE" w14:textId="0B8EA7E1">
      <w:pPr>
        <w:tabs>
          <w:tab w:val="left" w:pos="-720"/>
        </w:tabs>
        <w:suppressAutoHyphens/>
        <w:ind w:left="720"/>
        <w:rPr>
          <w:rFonts w:ascii="Times New Roman" w:hAnsi="Times New Roman"/>
          <w:b/>
          <w:szCs w:val="24"/>
        </w:rPr>
      </w:pPr>
      <w:r>
        <w:rPr>
          <w:rFonts w:ascii="Times New Roman" w:hAnsi="Times New Roman"/>
          <w:szCs w:val="24"/>
        </w:rPr>
        <w:t>The</w:t>
      </w:r>
      <w:r w:rsidR="00162D11">
        <w:rPr>
          <w:rFonts w:ascii="Times New Roman" w:hAnsi="Times New Roman"/>
          <w:szCs w:val="24"/>
        </w:rPr>
        <w:t xml:space="preserve"> special circumstances listed </w:t>
      </w:r>
      <w:r>
        <w:rPr>
          <w:rFonts w:ascii="Times New Roman" w:hAnsi="Times New Roman"/>
          <w:szCs w:val="24"/>
        </w:rPr>
        <w:t>a</w:t>
      </w:r>
      <w:r w:rsidR="00162D11">
        <w:rPr>
          <w:rFonts w:ascii="Times New Roman" w:hAnsi="Times New Roman"/>
          <w:szCs w:val="24"/>
        </w:rPr>
        <w:t xml:space="preserve">bove </w:t>
      </w:r>
      <w:r>
        <w:rPr>
          <w:rFonts w:ascii="Times New Roman" w:hAnsi="Times New Roman"/>
          <w:szCs w:val="24"/>
        </w:rPr>
        <w:t>are not applicable to this information collection</w:t>
      </w:r>
      <w:r w:rsidR="0011195F">
        <w:rPr>
          <w:rFonts w:ascii="Times New Roman" w:hAnsi="Times New Roman"/>
          <w:szCs w:val="24"/>
        </w:rPr>
        <w:t>.</w:t>
      </w:r>
    </w:p>
    <w:p w:rsidRPr="00AD381B" w:rsidR="00AD381B" w:rsidP="00AD381B" w:rsidRDefault="00AD381B" w14:paraId="19680DA0" w14:textId="77777777">
      <w:pPr>
        <w:tabs>
          <w:tab w:val="left" w:pos="-720"/>
        </w:tabs>
        <w:suppressAutoHyphens/>
        <w:rPr>
          <w:rFonts w:ascii="Times New Roman" w:hAnsi="Times New Roman"/>
          <w:szCs w:val="24"/>
        </w:rPr>
      </w:pPr>
    </w:p>
    <w:p w:rsidR="00D75313" w:rsidP="00AD381B" w:rsidRDefault="00043C32" w14:paraId="47DF7330"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252DDE3"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20174B6C" w14:textId="4F70A7A4">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sidR="00BB6161">
        <w:rPr>
          <w:rFonts w:ascii="Times New Roman" w:hAnsi="Times New Roman"/>
          <w:b/>
          <w:szCs w:val="24"/>
        </w:rPr>
        <w:t>60-day</w:t>
      </w:r>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r w:rsidR="00BB6161">
        <w:rPr>
          <w:rFonts w:ascii="Times New Roman" w:hAnsi="Times New Roman"/>
          <w:b/>
          <w:szCs w:val="24"/>
        </w:rPr>
        <w:t>60-day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38B52EA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19CC5E6B" w14:textId="2CCC2E13">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sidR="00BB6161">
        <w:rPr>
          <w:rFonts w:ascii="Times New Roman" w:hAnsi="Times New Roman"/>
          <w:b/>
          <w:szCs w:val="24"/>
        </w:rPr>
        <w:t>30-day</w:t>
      </w:r>
      <w:r>
        <w:rPr>
          <w:rFonts w:ascii="Times New Roman" w:hAnsi="Times New Roman"/>
          <w:b/>
          <w:szCs w:val="24"/>
        </w:rPr>
        <w:t xml:space="preserve"> notice, indicate that a notice will be published.</w:t>
      </w:r>
    </w:p>
    <w:p w:rsidRPr="00AD381B" w:rsidR="00043C32" w:rsidP="00AD381B" w:rsidRDefault="00043C32" w14:paraId="504EF1D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lastRenderedPageBreak/>
        <w:t>keeping, disclosure, or reporting format (if any), and on the data elements to be recorded, disclosed, or reported.</w:t>
      </w:r>
    </w:p>
    <w:p w:rsidRPr="00AD381B" w:rsidR="00043C32" w:rsidP="00AD381B" w:rsidRDefault="00043C32" w14:paraId="7FA1473B" w14:textId="77777777">
      <w:pPr>
        <w:tabs>
          <w:tab w:val="left" w:pos="-720"/>
        </w:tabs>
        <w:suppressAutoHyphens/>
        <w:rPr>
          <w:rStyle w:val="a"/>
          <w:rFonts w:ascii="Times New Roman" w:hAnsi="Times New Roman"/>
          <w:b/>
          <w:szCs w:val="24"/>
        </w:rPr>
      </w:pPr>
    </w:p>
    <w:p w:rsidR="00043C32" w:rsidP="00AD381B" w:rsidRDefault="00043C32" w14:paraId="6936991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6E9D094F" w14:textId="2DFD5AD8">
      <w:pPr>
        <w:tabs>
          <w:tab w:val="left" w:pos="-720"/>
        </w:tabs>
        <w:suppressAutoHyphens/>
        <w:ind w:left="720"/>
        <w:rPr>
          <w:rFonts w:ascii="Times New Roman" w:hAnsi="Times New Roman"/>
          <w:b/>
          <w:szCs w:val="24"/>
        </w:rPr>
      </w:pPr>
    </w:p>
    <w:p w:rsidR="00B35898" w:rsidP="00B35898" w:rsidRDefault="00212C3B" w14:paraId="797980D0" w14:textId="77C19D60">
      <w:pPr>
        <w:tabs>
          <w:tab w:val="left" w:pos="-720"/>
        </w:tabs>
        <w:suppressAutoHyphens/>
        <w:ind w:left="720"/>
        <w:rPr>
          <w:rStyle w:val="a"/>
          <w:rFonts w:ascii="Times New Roman" w:hAnsi="Times New Roman"/>
          <w:szCs w:val="24"/>
        </w:rPr>
      </w:pPr>
      <w:r>
        <w:rPr>
          <w:rStyle w:val="a"/>
          <w:rFonts w:ascii="Times New Roman" w:hAnsi="Times New Roman"/>
          <w:szCs w:val="24"/>
        </w:rPr>
        <w:t xml:space="preserve">Given the </w:t>
      </w:r>
      <w:r w:rsidR="008C1B4B">
        <w:rPr>
          <w:rStyle w:val="a"/>
          <w:rFonts w:ascii="Times New Roman" w:hAnsi="Times New Roman"/>
          <w:szCs w:val="24"/>
        </w:rPr>
        <w:t xml:space="preserve">loss of operations </w:t>
      </w:r>
      <w:r w:rsidR="00F4582B">
        <w:rPr>
          <w:rStyle w:val="a"/>
          <w:rFonts w:ascii="Times New Roman" w:hAnsi="Times New Roman"/>
          <w:szCs w:val="24"/>
        </w:rPr>
        <w:t xml:space="preserve">impacting </w:t>
      </w:r>
      <w:r w:rsidR="002833D4">
        <w:rPr>
          <w:rStyle w:val="a"/>
          <w:rFonts w:ascii="Times New Roman" w:hAnsi="Times New Roman"/>
          <w:szCs w:val="24"/>
        </w:rPr>
        <w:t xml:space="preserve">potential </w:t>
      </w:r>
      <w:r w:rsidR="007934B6">
        <w:rPr>
          <w:rStyle w:val="a"/>
          <w:rFonts w:ascii="Times New Roman" w:hAnsi="Times New Roman"/>
          <w:szCs w:val="24"/>
        </w:rPr>
        <w:t>a</w:t>
      </w:r>
      <w:r w:rsidR="00E31DE4">
        <w:rPr>
          <w:rStyle w:val="a"/>
          <w:rFonts w:ascii="Times New Roman" w:hAnsi="Times New Roman"/>
          <w:szCs w:val="24"/>
        </w:rPr>
        <w:t xml:space="preserve">pplicants </w:t>
      </w:r>
      <w:r w:rsidR="008C1B4B">
        <w:rPr>
          <w:rStyle w:val="a"/>
          <w:rFonts w:ascii="Times New Roman" w:hAnsi="Times New Roman"/>
          <w:szCs w:val="24"/>
        </w:rPr>
        <w:t xml:space="preserve">due to </w:t>
      </w:r>
      <w:r w:rsidR="002313F4">
        <w:rPr>
          <w:rStyle w:val="a"/>
          <w:rFonts w:ascii="Times New Roman" w:hAnsi="Times New Roman"/>
          <w:szCs w:val="24"/>
        </w:rPr>
        <w:t>the COVID-19 crisis, we will publish a 70</w:t>
      </w:r>
      <w:r w:rsidR="00FD4CDA">
        <w:rPr>
          <w:rStyle w:val="a"/>
          <w:rFonts w:ascii="Times New Roman" w:hAnsi="Times New Roman"/>
          <w:szCs w:val="24"/>
        </w:rPr>
        <w:t xml:space="preserve">-day Federal Register notice, per </w:t>
      </w:r>
      <w:r w:rsidR="00A74FA3">
        <w:rPr>
          <w:rStyle w:val="a"/>
          <w:rFonts w:ascii="Times New Roman" w:hAnsi="Times New Roman"/>
          <w:szCs w:val="24"/>
        </w:rPr>
        <w:t xml:space="preserve">the </w:t>
      </w:r>
      <w:r w:rsidR="0064347E">
        <w:rPr>
          <w:rStyle w:val="a"/>
          <w:rFonts w:ascii="Times New Roman" w:hAnsi="Times New Roman"/>
          <w:szCs w:val="24"/>
        </w:rPr>
        <w:t>advice</w:t>
      </w:r>
      <w:r w:rsidR="00CF718F">
        <w:rPr>
          <w:rStyle w:val="a"/>
          <w:rFonts w:ascii="Times New Roman" w:hAnsi="Times New Roman"/>
          <w:szCs w:val="24"/>
        </w:rPr>
        <w:t xml:space="preserve"> we received</w:t>
      </w:r>
      <w:r w:rsidR="0064347E">
        <w:rPr>
          <w:rStyle w:val="a"/>
          <w:rFonts w:ascii="Times New Roman" w:hAnsi="Times New Roman"/>
          <w:szCs w:val="24"/>
        </w:rPr>
        <w:t xml:space="preserve"> from the Department’s</w:t>
      </w:r>
      <w:r w:rsidR="004A3E1D">
        <w:rPr>
          <w:rStyle w:val="a"/>
          <w:rFonts w:ascii="Times New Roman" w:hAnsi="Times New Roman"/>
          <w:szCs w:val="24"/>
        </w:rPr>
        <w:t xml:space="preserve"> Office of the General Counsel, </w:t>
      </w:r>
      <w:r w:rsidR="00A74FA3">
        <w:rPr>
          <w:rStyle w:val="a"/>
          <w:rFonts w:ascii="Times New Roman" w:hAnsi="Times New Roman"/>
          <w:szCs w:val="24"/>
        </w:rPr>
        <w:t xml:space="preserve">Division of Regulatory </w:t>
      </w:r>
      <w:r w:rsidR="00303E9A">
        <w:rPr>
          <w:rStyle w:val="a"/>
          <w:rFonts w:ascii="Times New Roman" w:hAnsi="Times New Roman"/>
          <w:szCs w:val="24"/>
        </w:rPr>
        <w:t xml:space="preserve">Services and </w:t>
      </w:r>
      <w:r w:rsidR="004A3E1D">
        <w:rPr>
          <w:rStyle w:val="a"/>
          <w:rFonts w:ascii="Times New Roman" w:hAnsi="Times New Roman"/>
          <w:szCs w:val="24"/>
        </w:rPr>
        <w:t>t</w:t>
      </w:r>
      <w:r w:rsidR="007B2043">
        <w:rPr>
          <w:rStyle w:val="a"/>
          <w:rFonts w:ascii="Times New Roman" w:hAnsi="Times New Roman"/>
          <w:szCs w:val="24"/>
        </w:rPr>
        <w:t xml:space="preserve">he </w:t>
      </w:r>
      <w:r w:rsidR="00303E9A">
        <w:rPr>
          <w:rStyle w:val="a"/>
          <w:rFonts w:ascii="Times New Roman" w:hAnsi="Times New Roman"/>
          <w:szCs w:val="24"/>
        </w:rPr>
        <w:t>approval</w:t>
      </w:r>
      <w:r w:rsidR="00F21830">
        <w:rPr>
          <w:rStyle w:val="a"/>
          <w:rFonts w:ascii="Times New Roman" w:hAnsi="Times New Roman"/>
          <w:szCs w:val="24"/>
        </w:rPr>
        <w:t xml:space="preserve"> from </w:t>
      </w:r>
      <w:r w:rsidR="002F5344">
        <w:rPr>
          <w:rStyle w:val="a"/>
          <w:rFonts w:ascii="Times New Roman" w:hAnsi="Times New Roman"/>
          <w:szCs w:val="24"/>
        </w:rPr>
        <w:t xml:space="preserve">the Assistant Secretary for Postsecondary Education. </w:t>
      </w:r>
    </w:p>
    <w:p w:rsidR="00B35898" w:rsidP="00B35898" w:rsidRDefault="00B35898" w14:paraId="454FB402" w14:textId="121E29D2">
      <w:pPr>
        <w:tabs>
          <w:tab w:val="left" w:pos="-720"/>
        </w:tabs>
        <w:suppressAutoHyphens/>
        <w:ind w:left="720"/>
        <w:rPr>
          <w:rStyle w:val="a"/>
          <w:rFonts w:ascii="Times New Roman" w:hAnsi="Times New Roman"/>
          <w:szCs w:val="24"/>
        </w:rPr>
      </w:pPr>
    </w:p>
    <w:p w:rsidR="00B35898" w:rsidP="00AD381B" w:rsidRDefault="00F21830" w14:paraId="6B92CAC3" w14:textId="0D459260">
      <w:pPr>
        <w:tabs>
          <w:tab w:val="left" w:pos="-720"/>
        </w:tabs>
        <w:suppressAutoHyphens/>
        <w:ind w:left="720"/>
        <w:rPr>
          <w:rStyle w:val="a"/>
          <w:rFonts w:ascii="Times New Roman" w:hAnsi="Times New Roman"/>
          <w:szCs w:val="24"/>
        </w:rPr>
      </w:pPr>
      <w:r>
        <w:rPr>
          <w:rStyle w:val="a"/>
          <w:rFonts w:ascii="Times New Roman" w:hAnsi="Times New Roman"/>
          <w:szCs w:val="24"/>
        </w:rPr>
        <w:t>We</w:t>
      </w:r>
      <w:r w:rsidR="00D334D5">
        <w:rPr>
          <w:rStyle w:val="a"/>
          <w:rFonts w:ascii="Times New Roman" w:hAnsi="Times New Roman"/>
          <w:szCs w:val="24"/>
        </w:rPr>
        <w:t xml:space="preserve"> </w:t>
      </w:r>
      <w:r w:rsidR="007C60CD">
        <w:rPr>
          <w:rStyle w:val="a"/>
          <w:rFonts w:ascii="Times New Roman" w:hAnsi="Times New Roman"/>
          <w:szCs w:val="24"/>
        </w:rPr>
        <w:t>held a consultation with</w:t>
      </w:r>
      <w:r w:rsidR="00BE0205">
        <w:rPr>
          <w:rStyle w:val="a"/>
          <w:rFonts w:ascii="Times New Roman" w:hAnsi="Times New Roman"/>
          <w:szCs w:val="24"/>
        </w:rPr>
        <w:t xml:space="preserve"> six</w:t>
      </w:r>
      <w:r w:rsidR="007B2043">
        <w:rPr>
          <w:rStyle w:val="a"/>
          <w:rFonts w:ascii="Times New Roman" w:hAnsi="Times New Roman"/>
          <w:szCs w:val="24"/>
        </w:rPr>
        <w:t xml:space="preserve"> current</w:t>
      </w:r>
      <w:r w:rsidR="00835179">
        <w:rPr>
          <w:rStyle w:val="a"/>
          <w:rFonts w:ascii="Times New Roman" w:hAnsi="Times New Roman"/>
          <w:szCs w:val="24"/>
        </w:rPr>
        <w:t xml:space="preserve"> </w:t>
      </w:r>
      <w:r w:rsidR="00993BE8">
        <w:rPr>
          <w:rStyle w:val="a"/>
          <w:rFonts w:ascii="Times New Roman" w:hAnsi="Times New Roman"/>
          <w:szCs w:val="24"/>
        </w:rPr>
        <w:t xml:space="preserve">grantees to </w:t>
      </w:r>
      <w:r w:rsidR="0032240B">
        <w:rPr>
          <w:rStyle w:val="a"/>
          <w:rFonts w:ascii="Times New Roman" w:hAnsi="Times New Roman"/>
          <w:szCs w:val="24"/>
        </w:rPr>
        <w:t xml:space="preserve">get </w:t>
      </w:r>
      <w:r w:rsidR="008D53CD">
        <w:rPr>
          <w:rStyle w:val="a"/>
          <w:rFonts w:ascii="Times New Roman" w:hAnsi="Times New Roman"/>
          <w:szCs w:val="24"/>
        </w:rPr>
        <w:t xml:space="preserve">their feedback </w:t>
      </w:r>
      <w:r w:rsidR="007545BF">
        <w:rPr>
          <w:rStyle w:val="a"/>
          <w:rFonts w:ascii="Times New Roman" w:hAnsi="Times New Roman"/>
          <w:szCs w:val="24"/>
        </w:rPr>
        <w:t xml:space="preserve">about the </w:t>
      </w:r>
      <w:r w:rsidR="007B0957">
        <w:rPr>
          <w:rStyle w:val="a"/>
          <w:rFonts w:ascii="Times New Roman" w:hAnsi="Times New Roman"/>
          <w:szCs w:val="24"/>
        </w:rPr>
        <w:t xml:space="preserve">clarity of the </w:t>
      </w:r>
      <w:r w:rsidR="007545BF">
        <w:rPr>
          <w:rStyle w:val="a"/>
          <w:rFonts w:ascii="Times New Roman" w:hAnsi="Times New Roman"/>
          <w:szCs w:val="24"/>
        </w:rPr>
        <w:t xml:space="preserve">application </w:t>
      </w:r>
      <w:r w:rsidR="00601B4F">
        <w:rPr>
          <w:rStyle w:val="a"/>
          <w:rFonts w:ascii="Times New Roman" w:hAnsi="Times New Roman"/>
          <w:szCs w:val="24"/>
        </w:rPr>
        <w:t xml:space="preserve">instructions and forms and </w:t>
      </w:r>
      <w:r w:rsidR="000623EA">
        <w:rPr>
          <w:rStyle w:val="a"/>
          <w:rFonts w:ascii="Times New Roman" w:hAnsi="Times New Roman"/>
          <w:szCs w:val="24"/>
        </w:rPr>
        <w:t xml:space="preserve">the </w:t>
      </w:r>
      <w:r w:rsidR="00745C35">
        <w:rPr>
          <w:rStyle w:val="a"/>
          <w:rFonts w:ascii="Times New Roman" w:hAnsi="Times New Roman"/>
          <w:szCs w:val="24"/>
        </w:rPr>
        <w:t>time it takes to prepare a grant application for this program</w:t>
      </w:r>
      <w:r w:rsidR="00514872">
        <w:rPr>
          <w:rStyle w:val="a"/>
          <w:rFonts w:ascii="Times New Roman" w:hAnsi="Times New Roman"/>
          <w:szCs w:val="24"/>
        </w:rPr>
        <w:t>.</w:t>
      </w:r>
      <w:r w:rsidR="00DA52AA">
        <w:rPr>
          <w:rStyle w:val="a"/>
          <w:rFonts w:ascii="Times New Roman" w:hAnsi="Times New Roman"/>
          <w:szCs w:val="24"/>
        </w:rPr>
        <w:t xml:space="preserve"> Reflecting on t</w:t>
      </w:r>
      <w:r w:rsidR="001E4211">
        <w:rPr>
          <w:rStyle w:val="a"/>
          <w:rFonts w:ascii="Times New Roman" w:hAnsi="Times New Roman"/>
          <w:szCs w:val="24"/>
        </w:rPr>
        <w:t xml:space="preserve">heir </w:t>
      </w:r>
      <w:r w:rsidR="00D13C95">
        <w:rPr>
          <w:rStyle w:val="a"/>
          <w:rFonts w:ascii="Times New Roman" w:hAnsi="Times New Roman"/>
          <w:szCs w:val="24"/>
        </w:rPr>
        <w:t>efforts three years ago</w:t>
      </w:r>
      <w:r w:rsidR="00DA52AA">
        <w:rPr>
          <w:rStyle w:val="a"/>
          <w:rFonts w:ascii="Times New Roman" w:hAnsi="Times New Roman"/>
          <w:szCs w:val="24"/>
        </w:rPr>
        <w:t>,</w:t>
      </w:r>
      <w:r w:rsidR="00EA1027">
        <w:rPr>
          <w:rStyle w:val="a"/>
          <w:rFonts w:ascii="Times New Roman" w:hAnsi="Times New Roman"/>
          <w:szCs w:val="24"/>
        </w:rPr>
        <w:t xml:space="preserve"> </w:t>
      </w:r>
      <w:r w:rsidR="001453E3">
        <w:rPr>
          <w:rStyle w:val="a"/>
          <w:rFonts w:ascii="Times New Roman" w:hAnsi="Times New Roman"/>
          <w:szCs w:val="24"/>
        </w:rPr>
        <w:t xml:space="preserve">they </w:t>
      </w:r>
      <w:r w:rsidR="005658AB">
        <w:rPr>
          <w:rStyle w:val="a"/>
          <w:rFonts w:ascii="Times New Roman" w:hAnsi="Times New Roman"/>
          <w:szCs w:val="24"/>
        </w:rPr>
        <w:t>recalled</w:t>
      </w:r>
      <w:r w:rsidR="00B86F1F">
        <w:rPr>
          <w:rStyle w:val="a"/>
          <w:rFonts w:ascii="Times New Roman" w:hAnsi="Times New Roman"/>
          <w:szCs w:val="24"/>
        </w:rPr>
        <w:t xml:space="preserve"> that it took </w:t>
      </w:r>
      <w:r w:rsidR="0026186F">
        <w:rPr>
          <w:rStyle w:val="a"/>
          <w:rFonts w:ascii="Times New Roman" w:hAnsi="Times New Roman"/>
          <w:szCs w:val="24"/>
        </w:rPr>
        <w:t xml:space="preserve">them </w:t>
      </w:r>
      <w:r w:rsidR="00B86F1F">
        <w:rPr>
          <w:rStyle w:val="a"/>
          <w:rFonts w:ascii="Times New Roman" w:hAnsi="Times New Roman"/>
          <w:szCs w:val="24"/>
        </w:rPr>
        <w:t xml:space="preserve">between </w:t>
      </w:r>
      <w:r w:rsidR="00605885">
        <w:rPr>
          <w:rStyle w:val="a"/>
          <w:rFonts w:ascii="Times New Roman" w:hAnsi="Times New Roman"/>
          <w:szCs w:val="24"/>
        </w:rPr>
        <w:t>2</w:t>
      </w:r>
      <w:r w:rsidR="003D3791">
        <w:rPr>
          <w:rStyle w:val="a"/>
          <w:rFonts w:ascii="Times New Roman" w:hAnsi="Times New Roman"/>
          <w:szCs w:val="24"/>
        </w:rPr>
        <w:t>00</w:t>
      </w:r>
      <w:r w:rsidR="00605885">
        <w:rPr>
          <w:rStyle w:val="a"/>
          <w:rFonts w:ascii="Times New Roman" w:hAnsi="Times New Roman"/>
          <w:szCs w:val="24"/>
        </w:rPr>
        <w:t xml:space="preserve"> </w:t>
      </w:r>
      <w:r w:rsidR="007B7CEC">
        <w:rPr>
          <w:rStyle w:val="a"/>
          <w:rFonts w:ascii="Times New Roman" w:hAnsi="Times New Roman"/>
          <w:szCs w:val="24"/>
        </w:rPr>
        <w:t xml:space="preserve">hours </w:t>
      </w:r>
      <w:r w:rsidR="00605885">
        <w:rPr>
          <w:rStyle w:val="a"/>
          <w:rFonts w:ascii="Times New Roman" w:hAnsi="Times New Roman"/>
          <w:szCs w:val="24"/>
        </w:rPr>
        <w:t xml:space="preserve">and 960 hours to </w:t>
      </w:r>
      <w:r w:rsidR="0026186F">
        <w:rPr>
          <w:rStyle w:val="a"/>
          <w:rFonts w:ascii="Times New Roman" w:hAnsi="Times New Roman"/>
          <w:szCs w:val="24"/>
        </w:rPr>
        <w:t xml:space="preserve">review and complete </w:t>
      </w:r>
      <w:r w:rsidR="00454450">
        <w:rPr>
          <w:rStyle w:val="a"/>
          <w:rFonts w:ascii="Times New Roman" w:hAnsi="Times New Roman"/>
          <w:szCs w:val="24"/>
        </w:rPr>
        <w:t>their FY 2017 grant applications</w:t>
      </w:r>
      <w:r w:rsidR="007821D3">
        <w:rPr>
          <w:rStyle w:val="a"/>
          <w:rFonts w:ascii="Times New Roman" w:hAnsi="Times New Roman"/>
          <w:szCs w:val="24"/>
        </w:rPr>
        <w:t xml:space="preserve"> (information collections).</w:t>
      </w:r>
      <w:r w:rsidR="00306E08">
        <w:rPr>
          <w:rStyle w:val="a"/>
          <w:rFonts w:ascii="Times New Roman" w:hAnsi="Times New Roman"/>
          <w:szCs w:val="24"/>
        </w:rPr>
        <w:t xml:space="preserve"> </w:t>
      </w:r>
      <w:r w:rsidR="00454450">
        <w:rPr>
          <w:rStyle w:val="a"/>
          <w:rFonts w:ascii="Times New Roman" w:hAnsi="Times New Roman"/>
          <w:szCs w:val="24"/>
        </w:rPr>
        <w:t xml:space="preserve"> </w:t>
      </w:r>
      <w:r w:rsidR="005C6981">
        <w:rPr>
          <w:rStyle w:val="a"/>
          <w:rFonts w:ascii="Times New Roman" w:hAnsi="Times New Roman"/>
          <w:szCs w:val="24"/>
        </w:rPr>
        <w:t>Based on an 8-h</w:t>
      </w:r>
      <w:r w:rsidR="00BB1953">
        <w:rPr>
          <w:rStyle w:val="a"/>
          <w:rFonts w:ascii="Times New Roman" w:hAnsi="Times New Roman"/>
          <w:szCs w:val="24"/>
        </w:rPr>
        <w:t>ou</w:t>
      </w:r>
      <w:r w:rsidR="005C6981">
        <w:rPr>
          <w:rStyle w:val="a"/>
          <w:rFonts w:ascii="Times New Roman" w:hAnsi="Times New Roman"/>
          <w:szCs w:val="24"/>
        </w:rPr>
        <w:t xml:space="preserve">r </w:t>
      </w:r>
      <w:r w:rsidR="006E7EB8">
        <w:rPr>
          <w:rStyle w:val="a"/>
          <w:rFonts w:ascii="Times New Roman" w:hAnsi="Times New Roman"/>
          <w:szCs w:val="24"/>
        </w:rPr>
        <w:t>business day</w:t>
      </w:r>
      <w:r w:rsidR="005C6981">
        <w:rPr>
          <w:rStyle w:val="a"/>
          <w:rFonts w:ascii="Times New Roman" w:hAnsi="Times New Roman"/>
          <w:szCs w:val="24"/>
        </w:rPr>
        <w:t>, 200</w:t>
      </w:r>
      <w:r w:rsidR="007B7CEC">
        <w:rPr>
          <w:rStyle w:val="a"/>
          <w:rFonts w:ascii="Times New Roman" w:hAnsi="Times New Roman"/>
          <w:szCs w:val="24"/>
        </w:rPr>
        <w:t xml:space="preserve"> hours is </w:t>
      </w:r>
      <w:r w:rsidR="000E4FCB">
        <w:rPr>
          <w:rStyle w:val="a"/>
          <w:rFonts w:ascii="Times New Roman" w:hAnsi="Times New Roman"/>
          <w:szCs w:val="24"/>
        </w:rPr>
        <w:t xml:space="preserve">the </w:t>
      </w:r>
      <w:r w:rsidR="00C61713">
        <w:rPr>
          <w:rStyle w:val="a"/>
          <w:rFonts w:ascii="Times New Roman" w:hAnsi="Times New Roman"/>
          <w:szCs w:val="24"/>
        </w:rPr>
        <w:t xml:space="preserve">equivalent </w:t>
      </w:r>
      <w:r w:rsidR="0009259B">
        <w:rPr>
          <w:rStyle w:val="a"/>
          <w:rFonts w:ascii="Times New Roman" w:hAnsi="Times New Roman"/>
          <w:szCs w:val="24"/>
        </w:rPr>
        <w:t>of</w:t>
      </w:r>
      <w:r w:rsidR="00C61713">
        <w:rPr>
          <w:rStyle w:val="a"/>
          <w:rFonts w:ascii="Times New Roman" w:hAnsi="Times New Roman"/>
          <w:szCs w:val="24"/>
        </w:rPr>
        <w:t xml:space="preserve"> 25 days; and</w:t>
      </w:r>
      <w:r w:rsidR="009038A2">
        <w:rPr>
          <w:rStyle w:val="a"/>
          <w:rFonts w:ascii="Times New Roman" w:hAnsi="Times New Roman"/>
          <w:szCs w:val="24"/>
        </w:rPr>
        <w:t>,</w:t>
      </w:r>
      <w:r w:rsidR="00C61713">
        <w:rPr>
          <w:rStyle w:val="a"/>
          <w:rFonts w:ascii="Times New Roman" w:hAnsi="Times New Roman"/>
          <w:szCs w:val="24"/>
        </w:rPr>
        <w:t xml:space="preserve"> 960 hours is</w:t>
      </w:r>
      <w:r w:rsidR="0009259B">
        <w:rPr>
          <w:rStyle w:val="a"/>
          <w:rFonts w:ascii="Times New Roman" w:hAnsi="Times New Roman"/>
          <w:szCs w:val="24"/>
        </w:rPr>
        <w:t xml:space="preserve"> the</w:t>
      </w:r>
      <w:r w:rsidR="00C61713">
        <w:rPr>
          <w:rStyle w:val="a"/>
          <w:rFonts w:ascii="Times New Roman" w:hAnsi="Times New Roman"/>
          <w:szCs w:val="24"/>
        </w:rPr>
        <w:t xml:space="preserve"> equivalent </w:t>
      </w:r>
      <w:r w:rsidR="001D3334">
        <w:rPr>
          <w:rStyle w:val="a"/>
          <w:rFonts w:ascii="Times New Roman" w:hAnsi="Times New Roman"/>
          <w:szCs w:val="24"/>
        </w:rPr>
        <w:t>of</w:t>
      </w:r>
      <w:r w:rsidR="00C61713">
        <w:rPr>
          <w:rStyle w:val="a"/>
          <w:rFonts w:ascii="Times New Roman" w:hAnsi="Times New Roman"/>
          <w:szCs w:val="24"/>
        </w:rPr>
        <w:t xml:space="preserve"> </w:t>
      </w:r>
      <w:r w:rsidR="00044DAF">
        <w:rPr>
          <w:rStyle w:val="a"/>
          <w:rFonts w:ascii="Times New Roman" w:hAnsi="Times New Roman"/>
          <w:szCs w:val="24"/>
        </w:rPr>
        <w:t>120 days</w:t>
      </w:r>
      <w:r w:rsidR="009038A2">
        <w:rPr>
          <w:rStyle w:val="a"/>
          <w:rFonts w:ascii="Times New Roman" w:hAnsi="Times New Roman"/>
          <w:szCs w:val="24"/>
        </w:rPr>
        <w:t>.</w:t>
      </w:r>
    </w:p>
    <w:p w:rsidR="00E76E16" w:rsidP="00AD381B" w:rsidRDefault="00E76E16" w14:paraId="410D284B" w14:textId="30CFA0A9">
      <w:pPr>
        <w:tabs>
          <w:tab w:val="left" w:pos="-720"/>
        </w:tabs>
        <w:suppressAutoHyphens/>
        <w:ind w:left="720"/>
        <w:rPr>
          <w:rStyle w:val="a"/>
          <w:rFonts w:ascii="Times New Roman" w:hAnsi="Times New Roman"/>
          <w:szCs w:val="24"/>
        </w:rPr>
      </w:pPr>
    </w:p>
    <w:p w:rsidR="00E76E16" w:rsidP="00E76E16" w:rsidRDefault="00E76E16" w14:paraId="1C7C62DB" w14:textId="77777777">
      <w:pPr>
        <w:tabs>
          <w:tab w:val="left" w:pos="-720"/>
        </w:tabs>
        <w:suppressAutoHyphens/>
        <w:ind w:left="720"/>
        <w:rPr>
          <w:rFonts w:ascii="Times New Roman" w:hAnsi="Times New Roman"/>
          <w:b/>
          <w:szCs w:val="24"/>
        </w:rPr>
      </w:pPr>
      <w:r>
        <w:rPr>
          <w:rStyle w:val="a"/>
          <w:rFonts w:ascii="Times New Roman" w:hAnsi="Times New Roman"/>
          <w:szCs w:val="24"/>
        </w:rPr>
        <w:t>A 30-day notice will be published in the Federal Register to solicit public comments.</w:t>
      </w:r>
    </w:p>
    <w:p w:rsidR="00E66550" w:rsidP="00AD381B" w:rsidRDefault="00E66550" w14:paraId="197B0DBE" w14:textId="77777777">
      <w:pPr>
        <w:tabs>
          <w:tab w:val="left" w:pos="-720"/>
        </w:tabs>
        <w:suppressAutoHyphens/>
        <w:ind w:left="720"/>
        <w:rPr>
          <w:rFonts w:ascii="Times New Roman" w:hAnsi="Times New Roman"/>
          <w:szCs w:val="24"/>
        </w:rPr>
      </w:pPr>
    </w:p>
    <w:p w:rsidR="00043C32" w:rsidP="00AD381B" w:rsidRDefault="00043C32" w14:paraId="20CAF72F" w14:textId="300E6068">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Pr="00B35898" w:rsidR="00B35898" w:rsidP="00B35898" w:rsidRDefault="00B35898" w14:paraId="32954C2D" w14:textId="77777777">
      <w:pPr>
        <w:tabs>
          <w:tab w:val="left" w:pos="-720"/>
        </w:tabs>
        <w:suppressAutoHyphens/>
        <w:rPr>
          <w:rStyle w:val="a"/>
          <w:rFonts w:ascii="Times New Roman" w:hAnsi="Times New Roman"/>
          <w:b/>
          <w:szCs w:val="24"/>
        </w:rPr>
      </w:pPr>
    </w:p>
    <w:p w:rsidRPr="00B35898" w:rsidR="00B35898" w:rsidP="00B35898" w:rsidRDefault="00B35898" w14:paraId="52529E27" w14:textId="77777777">
      <w:pPr>
        <w:tabs>
          <w:tab w:val="left" w:pos="-720"/>
        </w:tabs>
        <w:suppressAutoHyphens/>
        <w:rPr>
          <w:rStyle w:val="a"/>
          <w:rFonts w:ascii="Times New Roman" w:hAnsi="Times New Roman"/>
          <w:szCs w:val="24"/>
        </w:rPr>
      </w:pPr>
      <w:r w:rsidRPr="00B35898">
        <w:rPr>
          <w:rFonts w:ascii="Times New Roman" w:hAnsi="Times New Roman"/>
          <w:b/>
          <w:szCs w:val="24"/>
        </w:rPr>
        <w:tab/>
      </w:r>
      <w:r w:rsidRPr="00B35898">
        <w:rPr>
          <w:rStyle w:val="a"/>
          <w:rFonts w:ascii="Times New Roman" w:hAnsi="Times New Roman"/>
          <w:szCs w:val="24"/>
        </w:rPr>
        <w:t>No payments or gifts are made to respondents.</w:t>
      </w:r>
    </w:p>
    <w:p w:rsidR="00920F63" w:rsidP="00920F63" w:rsidRDefault="00920F63" w14:paraId="257992A7" w14:textId="468A1D8D">
      <w:pPr>
        <w:pStyle w:val="ListParagraph"/>
        <w:tabs>
          <w:tab w:val="left" w:pos="-720"/>
        </w:tabs>
        <w:suppressAutoHyphens/>
        <w:contextualSpacing w:val="0"/>
        <w:rPr>
          <w:rFonts w:ascii="Times New Roman" w:hAnsi="Times New Roman"/>
          <w:b/>
          <w:szCs w:val="24"/>
        </w:rPr>
      </w:pPr>
    </w:p>
    <w:p w:rsidRPr="00D75313" w:rsidR="00043C32" w:rsidP="00AD381B" w:rsidRDefault="00043C32" w14:paraId="3049A6F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lastRenderedPageBreak/>
        <w:t>ensure that your response per respondent matches the estimate provided in number 12.</w:t>
      </w:r>
    </w:p>
    <w:p w:rsidR="00B35898" w:rsidP="00920F63" w:rsidRDefault="00B35898" w14:paraId="22A88754" w14:textId="365C789F">
      <w:pPr>
        <w:tabs>
          <w:tab w:val="left" w:pos="-720"/>
        </w:tabs>
        <w:suppressAutoHyphens/>
        <w:rPr>
          <w:rFonts w:ascii="Times New Roman" w:hAnsi="Times New Roman"/>
          <w:b/>
          <w:szCs w:val="24"/>
        </w:rPr>
      </w:pPr>
    </w:p>
    <w:p w:rsidR="00B35898" w:rsidP="00B35898" w:rsidRDefault="00B35898" w14:paraId="5DF8DD0A" w14:textId="1954246F">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A </w:t>
      </w:r>
      <w:r w:rsidR="00BB1953">
        <w:rPr>
          <w:rFonts w:ascii="Times New Roman" w:hAnsi="Times New Roman"/>
          <w:szCs w:val="24"/>
        </w:rPr>
        <w:t>Private Impact Assessment (</w:t>
      </w:r>
      <w:r>
        <w:rPr>
          <w:rFonts w:ascii="Times New Roman" w:hAnsi="Times New Roman"/>
          <w:szCs w:val="24"/>
        </w:rPr>
        <w:t>PIA</w:t>
      </w:r>
      <w:r w:rsidR="00BB1953">
        <w:rPr>
          <w:rFonts w:ascii="Times New Roman" w:hAnsi="Times New Roman"/>
          <w:szCs w:val="24"/>
        </w:rPr>
        <w:t>)</w:t>
      </w:r>
      <w:r>
        <w:rPr>
          <w:rFonts w:ascii="Times New Roman" w:hAnsi="Times New Roman"/>
          <w:szCs w:val="24"/>
        </w:rPr>
        <w:t xml:space="preserve"> was last conducted in 1999. The </w:t>
      </w:r>
      <w:r w:rsidR="00BB1953">
        <w:rPr>
          <w:rFonts w:ascii="Times New Roman" w:hAnsi="Times New Roman"/>
          <w:szCs w:val="24"/>
        </w:rPr>
        <w:t>Systems of Record Notice (</w:t>
      </w:r>
      <w:r>
        <w:rPr>
          <w:rFonts w:ascii="Times New Roman" w:hAnsi="Times New Roman"/>
          <w:szCs w:val="24"/>
        </w:rPr>
        <w:t>SORN</w:t>
      </w:r>
      <w:r w:rsidR="00BB1953">
        <w:rPr>
          <w:rFonts w:ascii="Times New Roman" w:hAnsi="Times New Roman"/>
          <w:szCs w:val="24"/>
        </w:rPr>
        <w:t>)</w:t>
      </w:r>
      <w:r>
        <w:rPr>
          <w:rFonts w:ascii="Times New Roman" w:hAnsi="Times New Roman"/>
          <w:szCs w:val="24"/>
        </w:rPr>
        <w:t xml:space="preserve"> was published June 4, 1999 in Vol. 64 No. </w:t>
      </w:r>
      <w:r w:rsidR="009C2FEC">
        <w:rPr>
          <w:rFonts w:ascii="Times New Roman" w:hAnsi="Times New Roman"/>
          <w:szCs w:val="24"/>
        </w:rPr>
        <w:t xml:space="preserve">30179 </w:t>
      </w:r>
      <w:r>
        <w:rPr>
          <w:rFonts w:ascii="Times New Roman" w:hAnsi="Times New Roman"/>
          <w:szCs w:val="24"/>
        </w:rPr>
        <w:t xml:space="preserve">of the </w:t>
      </w:r>
      <w:r w:rsidRPr="005A57CE">
        <w:rPr>
          <w:rFonts w:ascii="Times New Roman" w:hAnsi="Times New Roman"/>
          <w:szCs w:val="24"/>
          <w:u w:val="single"/>
        </w:rPr>
        <w:t>Federal Register</w:t>
      </w:r>
      <w:r>
        <w:rPr>
          <w:rFonts w:ascii="Times New Roman" w:hAnsi="Times New Roman"/>
          <w:szCs w:val="24"/>
        </w:rPr>
        <w:t>. T</w:t>
      </w:r>
      <w:r w:rsidRPr="004E63EA">
        <w:rPr>
          <w:rFonts w:ascii="Times New Roman" w:hAnsi="Times New Roman"/>
          <w:szCs w:val="24"/>
        </w:rPr>
        <w:t>he Department makes no pledge about the confidentially of the data.</w:t>
      </w:r>
    </w:p>
    <w:p w:rsidR="00342FBA" w:rsidP="00B35898" w:rsidRDefault="00342FBA" w14:paraId="46CFC5B5" w14:textId="2BE08C9E">
      <w:pPr>
        <w:pStyle w:val="ListParagraph"/>
        <w:tabs>
          <w:tab w:val="left" w:pos="-720"/>
        </w:tabs>
        <w:suppressAutoHyphens/>
        <w:contextualSpacing w:val="0"/>
        <w:rPr>
          <w:rFonts w:ascii="Times New Roman" w:hAnsi="Times New Roman"/>
          <w:szCs w:val="24"/>
        </w:rPr>
      </w:pPr>
    </w:p>
    <w:p w:rsidR="007446A3" w:rsidP="000F68E9" w:rsidRDefault="00342FBA" w14:paraId="7D9D9E5A" w14:textId="0773A591">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only PII </w:t>
      </w:r>
      <w:r w:rsidR="000F68E9">
        <w:rPr>
          <w:rFonts w:ascii="Times New Roman" w:hAnsi="Times New Roman"/>
          <w:szCs w:val="24"/>
        </w:rPr>
        <w:t xml:space="preserve">that </w:t>
      </w:r>
      <w:r w:rsidR="006F541F">
        <w:rPr>
          <w:rFonts w:ascii="Times New Roman" w:hAnsi="Times New Roman"/>
          <w:szCs w:val="24"/>
        </w:rPr>
        <w:t xml:space="preserve">is collected </w:t>
      </w:r>
      <w:r w:rsidR="00543438">
        <w:rPr>
          <w:rFonts w:ascii="Times New Roman" w:hAnsi="Times New Roman"/>
          <w:szCs w:val="24"/>
        </w:rPr>
        <w:t xml:space="preserve">regarding this program is </w:t>
      </w:r>
      <w:r w:rsidR="006E60C0">
        <w:rPr>
          <w:rFonts w:ascii="Times New Roman" w:hAnsi="Times New Roman"/>
          <w:szCs w:val="24"/>
        </w:rPr>
        <w:t xml:space="preserve">the applicant’s contact information that </w:t>
      </w:r>
      <w:r w:rsidR="00A37AF1">
        <w:rPr>
          <w:rFonts w:ascii="Times New Roman" w:hAnsi="Times New Roman"/>
          <w:szCs w:val="24"/>
        </w:rPr>
        <w:t>we will need for creating and issuing Grant Award Notifications, if the application is recommended for funding</w:t>
      </w:r>
      <w:r w:rsidR="004057FA">
        <w:rPr>
          <w:rFonts w:ascii="Times New Roman" w:hAnsi="Times New Roman"/>
          <w:szCs w:val="24"/>
        </w:rPr>
        <w:t xml:space="preserve"> and to create the performance report </w:t>
      </w:r>
      <w:r w:rsidR="00416B3B">
        <w:rPr>
          <w:rFonts w:ascii="Times New Roman" w:hAnsi="Times New Roman"/>
          <w:szCs w:val="24"/>
        </w:rPr>
        <w:t>template</w:t>
      </w:r>
      <w:r w:rsidR="00735092">
        <w:rPr>
          <w:rFonts w:ascii="Times New Roman" w:hAnsi="Times New Roman"/>
          <w:szCs w:val="24"/>
        </w:rPr>
        <w:t xml:space="preserve"> in our performance reporting system</w:t>
      </w:r>
      <w:r w:rsidR="005D2477">
        <w:rPr>
          <w:rFonts w:ascii="Times New Roman" w:hAnsi="Times New Roman"/>
          <w:szCs w:val="24"/>
        </w:rPr>
        <w:t xml:space="preserve">.  </w:t>
      </w:r>
      <w:r w:rsidR="006B1552">
        <w:rPr>
          <w:rFonts w:ascii="Times New Roman" w:hAnsi="Times New Roman"/>
          <w:szCs w:val="24"/>
        </w:rPr>
        <w:t>The contact information</w:t>
      </w:r>
      <w:r w:rsidR="00702472">
        <w:rPr>
          <w:rFonts w:ascii="Times New Roman" w:hAnsi="Times New Roman"/>
          <w:szCs w:val="24"/>
        </w:rPr>
        <w:t xml:space="preserve"> includes the </w:t>
      </w:r>
      <w:r w:rsidR="00FD3830">
        <w:rPr>
          <w:rFonts w:ascii="Times New Roman" w:hAnsi="Times New Roman"/>
          <w:szCs w:val="24"/>
        </w:rPr>
        <w:t xml:space="preserve">name, address, telephone </w:t>
      </w:r>
      <w:r w:rsidR="00AE5260">
        <w:rPr>
          <w:rFonts w:ascii="Times New Roman" w:hAnsi="Times New Roman"/>
          <w:szCs w:val="24"/>
        </w:rPr>
        <w:t xml:space="preserve">number, and email address. </w:t>
      </w:r>
      <w:r w:rsidR="007446A3">
        <w:rPr>
          <w:rFonts w:ascii="Times New Roman" w:hAnsi="Times New Roman"/>
          <w:szCs w:val="24"/>
        </w:rPr>
        <w:t xml:space="preserve">We do not </w:t>
      </w:r>
      <w:r w:rsidR="00377672">
        <w:rPr>
          <w:rFonts w:ascii="Times New Roman" w:hAnsi="Times New Roman"/>
          <w:szCs w:val="24"/>
        </w:rPr>
        <w:t xml:space="preserve">collect </w:t>
      </w:r>
      <w:r w:rsidR="00FD6A79">
        <w:rPr>
          <w:rFonts w:ascii="Times New Roman" w:hAnsi="Times New Roman"/>
          <w:szCs w:val="24"/>
        </w:rPr>
        <w:t>any SSNs.</w:t>
      </w:r>
    </w:p>
    <w:p w:rsidRPr="00920F63" w:rsidR="00FD6A79" w:rsidP="000F68E9" w:rsidRDefault="00FD6A79" w14:paraId="19C1AD1E" w14:textId="77777777">
      <w:pPr>
        <w:pStyle w:val="ListParagraph"/>
        <w:tabs>
          <w:tab w:val="left" w:pos="-720"/>
        </w:tabs>
        <w:suppressAutoHyphens/>
        <w:contextualSpacing w:val="0"/>
        <w:rPr>
          <w:rFonts w:ascii="Times New Roman" w:hAnsi="Times New Roman"/>
          <w:szCs w:val="24"/>
        </w:rPr>
      </w:pPr>
    </w:p>
    <w:p w:rsidR="00043C32" w:rsidP="00AD381B" w:rsidRDefault="00043C32" w14:paraId="6CBC9632" w14:textId="744F1A4B">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35898" w:rsidR="00B35898" w:rsidP="00B35898" w:rsidRDefault="00B35898" w14:paraId="19B0B78B" w14:textId="77777777">
      <w:pPr>
        <w:tabs>
          <w:tab w:val="left" w:pos="-720"/>
        </w:tabs>
        <w:suppressAutoHyphens/>
        <w:rPr>
          <w:rFonts w:ascii="Times New Roman" w:hAnsi="Times New Roman"/>
          <w:b/>
          <w:szCs w:val="24"/>
        </w:rPr>
      </w:pPr>
    </w:p>
    <w:p w:rsidR="00B35898" w:rsidP="00B35898" w:rsidRDefault="00B35898" w14:paraId="45C7A2A2" w14:textId="3BBC4985">
      <w:pPr>
        <w:pStyle w:val="ListParagraph"/>
        <w:tabs>
          <w:tab w:val="left" w:pos="-720"/>
        </w:tabs>
        <w:suppressAutoHyphens/>
        <w:contextualSpacing w:val="0"/>
        <w:rPr>
          <w:rFonts w:ascii="Times New Roman" w:hAnsi="Times New Roman"/>
          <w:szCs w:val="24"/>
        </w:rPr>
      </w:pPr>
      <w:r>
        <w:rPr>
          <w:rFonts w:ascii="Times New Roman" w:hAnsi="Times New Roman"/>
          <w:szCs w:val="24"/>
        </w:rPr>
        <w:t>No questions of a sensitive nature are asked.</w:t>
      </w:r>
    </w:p>
    <w:p w:rsidRPr="00920F63" w:rsidR="00920F63" w:rsidP="00920F63" w:rsidRDefault="00920F63" w14:paraId="7E6FD227" w14:textId="77777777">
      <w:pPr>
        <w:tabs>
          <w:tab w:val="left" w:pos="-720"/>
        </w:tabs>
        <w:suppressAutoHyphens/>
        <w:ind w:left="180"/>
        <w:rPr>
          <w:rFonts w:ascii="Times New Roman" w:hAnsi="Times New Roman"/>
          <w:szCs w:val="24"/>
        </w:rPr>
      </w:pPr>
    </w:p>
    <w:p w:rsidRPr="00920F63" w:rsidR="00043C32" w:rsidP="00AD381B" w:rsidRDefault="00043C32" w14:paraId="22DE2E23"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409CB3E1" w14:textId="77777777">
      <w:pPr>
        <w:tabs>
          <w:tab w:val="left" w:pos="-720"/>
        </w:tabs>
        <w:suppressAutoHyphens/>
        <w:rPr>
          <w:rStyle w:val="a"/>
          <w:rFonts w:ascii="Times New Roman" w:hAnsi="Times New Roman"/>
          <w:b/>
          <w:szCs w:val="24"/>
        </w:rPr>
      </w:pPr>
    </w:p>
    <w:p w:rsidR="00C224FD" w:rsidP="00C224FD" w:rsidRDefault="00C224FD" w14:paraId="56AD9D4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D784F4A"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B86AC3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2888934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1A866BD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8">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contracting out or paying outside parties for information collection activities </w:t>
      </w:r>
      <w:r w:rsidRPr="00920F63">
        <w:rPr>
          <w:rStyle w:val="a"/>
          <w:rFonts w:ascii="Times New Roman" w:hAnsi="Times New Roman"/>
          <w:b/>
          <w:szCs w:val="24"/>
        </w:rPr>
        <w:lastRenderedPageBreak/>
        <w:t>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31E43CFF" w14:textId="77777777">
      <w:pPr>
        <w:tabs>
          <w:tab w:val="left" w:pos="-720"/>
          <w:tab w:val="left" w:pos="1247"/>
        </w:tabs>
        <w:suppressAutoHyphens/>
        <w:rPr>
          <w:rStyle w:val="a"/>
          <w:rFonts w:ascii="Times New Roman" w:hAnsi="Times New Roman"/>
          <w:b/>
          <w:szCs w:val="24"/>
        </w:rPr>
      </w:pPr>
    </w:p>
    <w:p w:rsidRPr="00756FD3" w:rsidR="00946126" w:rsidP="00946126" w:rsidRDefault="00946126" w14:paraId="1C04E25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rsidRDefault="00920F63" w14:paraId="026B3BE9" w14:textId="5EE7F97F">
      <w:pPr>
        <w:pStyle w:val="ListParagraph"/>
        <w:tabs>
          <w:tab w:val="left" w:pos="-720"/>
        </w:tabs>
        <w:suppressAutoHyphens/>
        <w:rPr>
          <w:rStyle w:val="a"/>
          <w:rFonts w:ascii="Times New Roman" w:hAnsi="Times New Roman"/>
          <w:szCs w:val="24"/>
        </w:rPr>
      </w:pPr>
    </w:p>
    <w:p w:rsidR="00A81627" w:rsidP="00920F63" w:rsidRDefault="006E6DAA" w14:paraId="277676DD" w14:textId="60E2DAB9">
      <w:pPr>
        <w:pStyle w:val="ListParagraph"/>
        <w:tabs>
          <w:tab w:val="left" w:pos="-720"/>
        </w:tabs>
        <w:suppressAutoHyphens/>
        <w:rPr>
          <w:rStyle w:val="a"/>
          <w:rFonts w:ascii="Times New Roman" w:hAnsi="Times New Roman"/>
          <w:szCs w:val="24"/>
        </w:rPr>
      </w:pPr>
      <w:r>
        <w:rPr>
          <w:rStyle w:val="a"/>
          <w:rFonts w:ascii="Times New Roman" w:hAnsi="Times New Roman"/>
          <w:szCs w:val="24"/>
        </w:rPr>
        <w:t xml:space="preserve">The </w:t>
      </w:r>
      <w:r w:rsidR="005851E6">
        <w:rPr>
          <w:rStyle w:val="a"/>
          <w:rFonts w:ascii="Times New Roman" w:hAnsi="Times New Roman"/>
          <w:szCs w:val="24"/>
        </w:rPr>
        <w:t xml:space="preserve">information provided </w:t>
      </w:r>
      <w:r w:rsidR="00390E12">
        <w:rPr>
          <w:rStyle w:val="a"/>
          <w:rFonts w:ascii="Times New Roman" w:hAnsi="Times New Roman"/>
          <w:szCs w:val="24"/>
        </w:rPr>
        <w:t xml:space="preserve">in the table </w:t>
      </w:r>
      <w:r w:rsidR="005851E6">
        <w:rPr>
          <w:rStyle w:val="a"/>
          <w:rFonts w:ascii="Times New Roman" w:hAnsi="Times New Roman"/>
          <w:szCs w:val="24"/>
        </w:rPr>
        <w:t xml:space="preserve">below is based </w:t>
      </w:r>
      <w:r w:rsidR="0078515B">
        <w:rPr>
          <w:rStyle w:val="a"/>
          <w:rFonts w:ascii="Times New Roman" w:hAnsi="Times New Roman"/>
          <w:szCs w:val="24"/>
        </w:rPr>
        <w:t xml:space="preserve">on IFLE’s </w:t>
      </w:r>
      <w:r w:rsidR="004C4C35">
        <w:rPr>
          <w:rStyle w:val="a"/>
          <w:rFonts w:ascii="Times New Roman" w:hAnsi="Times New Roman"/>
          <w:szCs w:val="24"/>
        </w:rPr>
        <w:t>consultation</w:t>
      </w:r>
      <w:r w:rsidR="0078515B">
        <w:rPr>
          <w:rStyle w:val="a"/>
          <w:rFonts w:ascii="Times New Roman" w:hAnsi="Times New Roman"/>
          <w:szCs w:val="24"/>
        </w:rPr>
        <w:t xml:space="preserve"> </w:t>
      </w:r>
      <w:r w:rsidR="00A9364D">
        <w:rPr>
          <w:rStyle w:val="a"/>
          <w:rFonts w:ascii="Times New Roman" w:hAnsi="Times New Roman"/>
          <w:szCs w:val="24"/>
        </w:rPr>
        <w:t xml:space="preserve">with </w:t>
      </w:r>
      <w:r w:rsidR="00560893">
        <w:rPr>
          <w:rStyle w:val="a"/>
          <w:rFonts w:ascii="Times New Roman" w:hAnsi="Times New Roman"/>
          <w:szCs w:val="24"/>
        </w:rPr>
        <w:t xml:space="preserve">six current </w:t>
      </w:r>
      <w:r w:rsidR="0078515B">
        <w:rPr>
          <w:rStyle w:val="a"/>
          <w:rFonts w:ascii="Times New Roman" w:hAnsi="Times New Roman"/>
          <w:szCs w:val="24"/>
        </w:rPr>
        <w:t>grantees</w:t>
      </w:r>
      <w:r w:rsidR="00FD4388">
        <w:rPr>
          <w:rStyle w:val="a"/>
          <w:rFonts w:ascii="Times New Roman" w:hAnsi="Times New Roman"/>
          <w:szCs w:val="24"/>
        </w:rPr>
        <w:t xml:space="preserve">, which included </w:t>
      </w:r>
      <w:r w:rsidR="00DB5D45">
        <w:rPr>
          <w:rStyle w:val="a"/>
          <w:rFonts w:ascii="Times New Roman" w:hAnsi="Times New Roman"/>
          <w:szCs w:val="24"/>
        </w:rPr>
        <w:t>a state higher education system, a non-</w:t>
      </w:r>
      <w:r w:rsidR="002108CC">
        <w:rPr>
          <w:rStyle w:val="a"/>
          <w:rFonts w:ascii="Times New Roman" w:hAnsi="Times New Roman"/>
          <w:szCs w:val="24"/>
        </w:rPr>
        <w:t xml:space="preserve">profit international education organization, and </w:t>
      </w:r>
      <w:r w:rsidR="00DA7606">
        <w:rPr>
          <w:rStyle w:val="a"/>
          <w:rFonts w:ascii="Times New Roman" w:hAnsi="Times New Roman"/>
          <w:szCs w:val="24"/>
        </w:rPr>
        <w:t xml:space="preserve">four institutions of higher education. </w:t>
      </w:r>
    </w:p>
    <w:p w:rsidR="004E7F04" w:rsidP="00920F63" w:rsidRDefault="004E7F04" w14:paraId="401E9266" w14:textId="0C66B894">
      <w:pPr>
        <w:pStyle w:val="ListParagraph"/>
        <w:tabs>
          <w:tab w:val="left" w:pos="-720"/>
        </w:tabs>
        <w:suppressAutoHyphens/>
        <w:rPr>
          <w:rStyle w:val="a"/>
          <w:rFonts w:ascii="Times New Roman" w:hAnsi="Times New Roman"/>
          <w:szCs w:val="24"/>
        </w:rPr>
      </w:pPr>
    </w:p>
    <w:p w:rsidR="004E7F04" w:rsidP="00920F63" w:rsidRDefault="004E7F04" w14:paraId="5BC3CD9F"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6E5FE22" w14:textId="54319AB5">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3D516059" w14:textId="77777777">
        <w:trPr>
          <w:tblHeader/>
        </w:trPr>
        <w:tc>
          <w:tcPr>
            <w:tcW w:w="1345" w:type="dxa"/>
          </w:tcPr>
          <w:p w:rsidR="00C86713" w:rsidP="00FE1BAE" w:rsidRDefault="00C86713" w14:paraId="205349CE" w14:textId="77777777">
            <w:pPr>
              <w:jc w:val="center"/>
              <w:rPr>
                <w:rFonts w:ascii="Times New Roman" w:hAnsi="Times New Roman"/>
                <w:sz w:val="20"/>
              </w:rPr>
            </w:pPr>
          </w:p>
          <w:p w:rsidR="00C86713" w:rsidP="00FE1BAE" w:rsidRDefault="00C86713" w14:paraId="36431A16" w14:textId="77777777">
            <w:pPr>
              <w:jc w:val="center"/>
              <w:rPr>
                <w:rFonts w:ascii="Times New Roman" w:hAnsi="Times New Roman"/>
                <w:sz w:val="20"/>
              </w:rPr>
            </w:pPr>
          </w:p>
          <w:p w:rsidRPr="007F6104" w:rsidR="00C86713" w:rsidP="00FE1BAE" w:rsidRDefault="00C86713" w14:paraId="474C84F3"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D9538A4" w14:textId="77777777">
            <w:pPr>
              <w:jc w:val="center"/>
              <w:rPr>
                <w:rFonts w:ascii="Times New Roman" w:hAnsi="Times New Roman"/>
                <w:sz w:val="20"/>
              </w:rPr>
            </w:pPr>
          </w:p>
          <w:p w:rsidR="00C86713" w:rsidP="00FE1BAE" w:rsidRDefault="00C86713" w14:paraId="40AAC7AA" w14:textId="77777777">
            <w:pPr>
              <w:jc w:val="center"/>
              <w:rPr>
                <w:rFonts w:ascii="Times New Roman" w:hAnsi="Times New Roman"/>
                <w:sz w:val="20"/>
              </w:rPr>
            </w:pPr>
          </w:p>
          <w:p w:rsidRPr="007F6104" w:rsidR="00C86713" w:rsidP="00FE1BAE" w:rsidRDefault="00C86713" w14:paraId="72BAA7A9"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7DBEF59A" w14:textId="77777777">
            <w:pPr>
              <w:jc w:val="center"/>
              <w:rPr>
                <w:rFonts w:ascii="Times New Roman" w:hAnsi="Times New Roman"/>
                <w:sz w:val="20"/>
              </w:rPr>
            </w:pPr>
          </w:p>
          <w:p w:rsidR="00C86713" w:rsidP="00581C11" w:rsidRDefault="00C86713" w14:paraId="21E114DA"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2E9A511"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686E6E0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6F7F7E6B" w14:textId="77777777">
            <w:pPr>
              <w:jc w:val="center"/>
              <w:rPr>
                <w:rFonts w:ascii="Times New Roman" w:hAnsi="Times New Roman"/>
                <w:sz w:val="20"/>
              </w:rPr>
            </w:pPr>
          </w:p>
          <w:p w:rsidR="00C86713" w:rsidP="00FE1BAE" w:rsidRDefault="00C86713" w14:paraId="0921CF74" w14:textId="77777777">
            <w:pPr>
              <w:jc w:val="center"/>
              <w:rPr>
                <w:rFonts w:ascii="Times New Roman" w:hAnsi="Times New Roman"/>
                <w:sz w:val="20"/>
              </w:rPr>
            </w:pPr>
          </w:p>
          <w:p w:rsidRPr="007F6104" w:rsidR="00C86713" w:rsidP="00FE1BAE" w:rsidRDefault="00C86713" w14:paraId="71203CED"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7CCE3B3E" w14:textId="77777777">
            <w:pPr>
              <w:jc w:val="center"/>
              <w:rPr>
                <w:rFonts w:ascii="Times New Roman" w:hAnsi="Times New Roman"/>
                <w:sz w:val="20"/>
              </w:rPr>
            </w:pPr>
          </w:p>
          <w:p w:rsidRPr="007F6104" w:rsidR="00C86713" w:rsidP="00FE1BAE" w:rsidRDefault="00C86713" w14:paraId="0EC3B02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0448F6E0" w14:textId="77777777">
            <w:pPr>
              <w:jc w:val="center"/>
              <w:rPr>
                <w:rFonts w:ascii="Times New Roman" w:hAnsi="Times New Roman"/>
                <w:sz w:val="20"/>
              </w:rPr>
            </w:pPr>
          </w:p>
          <w:p w:rsidRPr="007F6104" w:rsidR="00C86713" w:rsidP="00F31BEC" w:rsidRDefault="00C86713" w14:paraId="7E339FC6"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1D857C2C" w14:textId="77777777">
            <w:pPr>
              <w:jc w:val="center"/>
              <w:rPr>
                <w:rFonts w:ascii="Times New Roman" w:hAnsi="Times New Roman"/>
                <w:sz w:val="20"/>
              </w:rPr>
            </w:pPr>
          </w:p>
          <w:p w:rsidR="00C86713" w:rsidP="00FE1BAE" w:rsidRDefault="00C86713" w14:paraId="24F96699" w14:textId="77777777">
            <w:pPr>
              <w:jc w:val="center"/>
              <w:rPr>
                <w:rFonts w:ascii="Times New Roman" w:hAnsi="Times New Roman"/>
                <w:sz w:val="20"/>
              </w:rPr>
            </w:pPr>
          </w:p>
          <w:p w:rsidRPr="007F6104" w:rsidR="00C86713" w:rsidP="00FE1BAE" w:rsidRDefault="00C86713" w14:paraId="0EE1C16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05C5E471" w14:textId="77777777">
            <w:pPr>
              <w:jc w:val="center"/>
              <w:rPr>
                <w:rFonts w:ascii="Times New Roman" w:hAnsi="Times New Roman"/>
                <w:sz w:val="20"/>
              </w:rPr>
            </w:pPr>
          </w:p>
          <w:p w:rsidR="00C86713" w:rsidP="00FE1BAE" w:rsidRDefault="00C86713" w14:paraId="13D969DE" w14:textId="77777777">
            <w:pPr>
              <w:jc w:val="center"/>
              <w:rPr>
                <w:rFonts w:ascii="Times New Roman" w:hAnsi="Times New Roman"/>
                <w:sz w:val="20"/>
              </w:rPr>
            </w:pPr>
          </w:p>
          <w:p w:rsidRPr="007F6104" w:rsidR="00C86713" w:rsidP="00FE1BAE" w:rsidRDefault="00C86713" w14:paraId="16BF2093"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D6D653A" w14:textId="77777777">
        <w:tc>
          <w:tcPr>
            <w:tcW w:w="1345" w:type="dxa"/>
          </w:tcPr>
          <w:p w:rsidRPr="00C5355A" w:rsidR="00C86713" w:rsidP="00FE1BAE" w:rsidRDefault="003D4C39" w14:paraId="75EA11F7" w14:textId="51A94D23">
            <w:pPr>
              <w:rPr>
                <w:rFonts w:ascii="Times New Roman" w:hAnsi="Times New Roman"/>
                <w:sz w:val="20"/>
              </w:rPr>
            </w:pPr>
            <w:r>
              <w:rPr>
                <w:rFonts w:ascii="Times New Roman" w:hAnsi="Times New Roman"/>
                <w:sz w:val="20"/>
              </w:rPr>
              <w:t xml:space="preserve">Application instructions and forms </w:t>
            </w:r>
            <w:r w:rsidR="009A6549">
              <w:rPr>
                <w:rFonts w:ascii="Times New Roman" w:hAnsi="Times New Roman"/>
                <w:sz w:val="20"/>
              </w:rPr>
              <w:t xml:space="preserve">completed by institutions, </w:t>
            </w:r>
            <w:r w:rsidR="001D3D52">
              <w:rPr>
                <w:rFonts w:ascii="Times New Roman" w:hAnsi="Times New Roman"/>
                <w:sz w:val="20"/>
              </w:rPr>
              <w:t xml:space="preserve">public and private agencies, </w:t>
            </w:r>
            <w:r w:rsidR="009A6549">
              <w:rPr>
                <w:rFonts w:ascii="Times New Roman" w:hAnsi="Times New Roman"/>
                <w:sz w:val="20"/>
              </w:rPr>
              <w:t xml:space="preserve">organizations, </w:t>
            </w:r>
            <w:r w:rsidR="00E1651A">
              <w:rPr>
                <w:rFonts w:ascii="Times New Roman" w:hAnsi="Times New Roman"/>
                <w:sz w:val="20"/>
              </w:rPr>
              <w:t xml:space="preserve">and </w:t>
            </w:r>
            <w:r w:rsidR="00B3408D">
              <w:rPr>
                <w:rFonts w:ascii="Times New Roman" w:hAnsi="Times New Roman"/>
                <w:sz w:val="20"/>
              </w:rPr>
              <w:t>individuals</w:t>
            </w:r>
            <w:r w:rsidR="00E1651A">
              <w:rPr>
                <w:rFonts w:ascii="Times New Roman" w:hAnsi="Times New Roman"/>
                <w:sz w:val="20"/>
              </w:rPr>
              <w:t>.</w:t>
            </w:r>
            <w:r w:rsidR="00B3408D">
              <w:rPr>
                <w:rFonts w:ascii="Times New Roman" w:hAnsi="Times New Roman"/>
                <w:sz w:val="20"/>
              </w:rPr>
              <w:t xml:space="preserve"> </w:t>
            </w:r>
          </w:p>
        </w:tc>
        <w:tc>
          <w:tcPr>
            <w:tcW w:w="1265" w:type="dxa"/>
          </w:tcPr>
          <w:p w:rsidRPr="00442E07" w:rsidR="00C86713" w:rsidP="00FE1BAE" w:rsidRDefault="00C16588" w14:paraId="2FC0368E" w14:textId="6D3E92FB">
            <w:pPr>
              <w:rPr>
                <w:rFonts w:ascii="Times New Roman" w:hAnsi="Times New Roman"/>
                <w:szCs w:val="24"/>
              </w:rPr>
            </w:pPr>
            <w:r>
              <w:rPr>
                <w:rFonts w:ascii="Times New Roman" w:hAnsi="Times New Roman"/>
                <w:szCs w:val="24"/>
              </w:rPr>
              <w:t>6</w:t>
            </w:r>
          </w:p>
        </w:tc>
        <w:tc>
          <w:tcPr>
            <w:tcW w:w="1255" w:type="dxa"/>
          </w:tcPr>
          <w:p w:rsidRPr="00124C41" w:rsidR="00C86713" w:rsidP="00FE1BAE" w:rsidRDefault="00E1651A" w14:paraId="7BF9A8F1" w14:textId="26CEECE5">
            <w:pPr>
              <w:rPr>
                <w:rFonts w:ascii="Times New Roman" w:hAnsi="Times New Roman"/>
                <w:sz w:val="20"/>
              </w:rPr>
            </w:pPr>
            <w:r w:rsidRPr="00124C41">
              <w:rPr>
                <w:rFonts w:ascii="Times New Roman" w:hAnsi="Times New Roman"/>
                <w:sz w:val="20"/>
              </w:rPr>
              <w:t>Once, every three years</w:t>
            </w:r>
          </w:p>
        </w:tc>
        <w:tc>
          <w:tcPr>
            <w:tcW w:w="1275" w:type="dxa"/>
          </w:tcPr>
          <w:p w:rsidRPr="00442E07" w:rsidR="00C86713" w:rsidP="00FE1BAE" w:rsidRDefault="008C5F36" w14:paraId="33D33111" w14:textId="29F8C22D">
            <w:pPr>
              <w:rPr>
                <w:rFonts w:ascii="Times New Roman" w:hAnsi="Times New Roman"/>
                <w:szCs w:val="24"/>
              </w:rPr>
            </w:pPr>
            <w:r>
              <w:rPr>
                <w:rFonts w:ascii="Times New Roman" w:hAnsi="Times New Roman"/>
                <w:szCs w:val="24"/>
              </w:rPr>
              <w:t>25</w:t>
            </w:r>
          </w:p>
        </w:tc>
        <w:tc>
          <w:tcPr>
            <w:tcW w:w="1080" w:type="dxa"/>
          </w:tcPr>
          <w:p w:rsidRPr="00442E07" w:rsidR="00C86713" w:rsidP="00FE1BAE" w:rsidRDefault="004F297B" w14:paraId="480E3B68" w14:textId="1DE1EF7F">
            <w:pPr>
              <w:jc w:val="center"/>
              <w:rPr>
                <w:rFonts w:ascii="Times New Roman" w:hAnsi="Times New Roman"/>
                <w:szCs w:val="24"/>
              </w:rPr>
            </w:pPr>
            <w:r>
              <w:rPr>
                <w:rFonts w:ascii="Times New Roman" w:hAnsi="Times New Roman"/>
                <w:szCs w:val="24"/>
              </w:rPr>
              <w:t>1</w:t>
            </w:r>
          </w:p>
        </w:tc>
        <w:tc>
          <w:tcPr>
            <w:tcW w:w="1335" w:type="dxa"/>
          </w:tcPr>
          <w:p w:rsidRPr="00442E07" w:rsidR="00C86713" w:rsidP="00FE1BAE" w:rsidRDefault="000440E7" w14:paraId="6509E3A3" w14:textId="668020E8">
            <w:pPr>
              <w:jc w:val="center"/>
              <w:rPr>
                <w:rFonts w:ascii="Times New Roman" w:hAnsi="Times New Roman"/>
                <w:szCs w:val="24"/>
              </w:rPr>
            </w:pPr>
            <w:r>
              <w:rPr>
                <w:rFonts w:ascii="Times New Roman" w:hAnsi="Times New Roman"/>
                <w:szCs w:val="24"/>
              </w:rPr>
              <w:t>200</w:t>
            </w:r>
          </w:p>
        </w:tc>
        <w:tc>
          <w:tcPr>
            <w:tcW w:w="900" w:type="dxa"/>
          </w:tcPr>
          <w:p w:rsidRPr="00442E07" w:rsidR="00C86713" w:rsidP="00FE1BAE" w:rsidRDefault="008B525D" w14:paraId="476EE2C5" w14:textId="4143C108">
            <w:pPr>
              <w:rPr>
                <w:rFonts w:ascii="Times New Roman" w:hAnsi="Times New Roman"/>
                <w:szCs w:val="24"/>
              </w:rPr>
            </w:pPr>
            <w:r>
              <w:rPr>
                <w:rFonts w:ascii="Times New Roman" w:hAnsi="Times New Roman"/>
                <w:szCs w:val="24"/>
              </w:rPr>
              <w:t>5000</w:t>
            </w:r>
          </w:p>
        </w:tc>
        <w:tc>
          <w:tcPr>
            <w:tcW w:w="1530" w:type="dxa"/>
          </w:tcPr>
          <w:p w:rsidRPr="00442E07" w:rsidR="00C86713" w:rsidP="00FE1BAE" w:rsidRDefault="005A7141" w14:paraId="03FE7164" w14:textId="0DA4A30C">
            <w:pPr>
              <w:rPr>
                <w:rFonts w:ascii="Times New Roman" w:hAnsi="Times New Roman"/>
                <w:szCs w:val="24"/>
              </w:rPr>
            </w:pPr>
            <w:r>
              <w:rPr>
                <w:rFonts w:ascii="Times New Roman" w:hAnsi="Times New Roman"/>
                <w:szCs w:val="24"/>
              </w:rPr>
              <w:t>34.79</w:t>
            </w:r>
            <w:r w:rsidR="002B5C80">
              <w:rPr>
                <w:rFonts w:ascii="Times New Roman" w:hAnsi="Times New Roman"/>
                <w:szCs w:val="24"/>
              </w:rPr>
              <w:t xml:space="preserve"> </w:t>
            </w:r>
          </w:p>
        </w:tc>
        <w:tc>
          <w:tcPr>
            <w:tcW w:w="1350" w:type="dxa"/>
          </w:tcPr>
          <w:p w:rsidRPr="00442E07" w:rsidR="00C86713" w:rsidP="00FE1BAE" w:rsidRDefault="00741807" w14:paraId="5350CA4A" w14:textId="06A29155">
            <w:pPr>
              <w:rPr>
                <w:rFonts w:ascii="Times New Roman" w:hAnsi="Times New Roman"/>
                <w:szCs w:val="24"/>
              </w:rPr>
            </w:pPr>
            <w:r>
              <w:rPr>
                <w:rFonts w:ascii="Times New Roman" w:hAnsi="Times New Roman"/>
                <w:szCs w:val="24"/>
              </w:rPr>
              <w:t>173950</w:t>
            </w:r>
          </w:p>
        </w:tc>
      </w:tr>
      <w:tr w:rsidRPr="00442E07" w:rsidR="00C86713" w:rsidTr="00C875E8" w14:paraId="2362B43C" w14:textId="77777777">
        <w:tc>
          <w:tcPr>
            <w:tcW w:w="1345" w:type="dxa"/>
          </w:tcPr>
          <w:p w:rsidRPr="00442E07" w:rsidR="00C86713" w:rsidP="00FE1BAE" w:rsidRDefault="00C86713" w14:paraId="48D154EF" w14:textId="77777777">
            <w:pPr>
              <w:rPr>
                <w:rFonts w:ascii="Times New Roman" w:hAnsi="Times New Roman"/>
                <w:szCs w:val="24"/>
              </w:rPr>
            </w:pPr>
          </w:p>
        </w:tc>
        <w:tc>
          <w:tcPr>
            <w:tcW w:w="1265" w:type="dxa"/>
          </w:tcPr>
          <w:p w:rsidRPr="00442E07" w:rsidR="00C86713" w:rsidP="00FE1BAE" w:rsidRDefault="00C86713" w14:paraId="21B44020" w14:textId="77777777">
            <w:pPr>
              <w:rPr>
                <w:rFonts w:ascii="Times New Roman" w:hAnsi="Times New Roman"/>
                <w:szCs w:val="24"/>
              </w:rPr>
            </w:pPr>
          </w:p>
        </w:tc>
        <w:tc>
          <w:tcPr>
            <w:tcW w:w="1255" w:type="dxa"/>
          </w:tcPr>
          <w:p w:rsidRPr="00442E07" w:rsidR="00C86713" w:rsidP="00FE1BAE" w:rsidRDefault="00C86713" w14:paraId="1B0CC34D" w14:textId="77777777">
            <w:pPr>
              <w:rPr>
                <w:rFonts w:ascii="Times New Roman" w:hAnsi="Times New Roman"/>
                <w:szCs w:val="24"/>
              </w:rPr>
            </w:pPr>
          </w:p>
        </w:tc>
        <w:tc>
          <w:tcPr>
            <w:tcW w:w="1275" w:type="dxa"/>
          </w:tcPr>
          <w:p w:rsidRPr="00442E07" w:rsidR="00C86713" w:rsidP="00FE1BAE" w:rsidRDefault="00C86713" w14:paraId="53AD12E0" w14:textId="29041D39">
            <w:pPr>
              <w:rPr>
                <w:rFonts w:ascii="Times New Roman" w:hAnsi="Times New Roman"/>
                <w:szCs w:val="24"/>
              </w:rPr>
            </w:pPr>
          </w:p>
        </w:tc>
        <w:tc>
          <w:tcPr>
            <w:tcW w:w="1080" w:type="dxa"/>
          </w:tcPr>
          <w:p w:rsidRPr="00442E07" w:rsidR="00C86713" w:rsidP="004F297B" w:rsidRDefault="00C86713" w14:paraId="31B9F42B" w14:textId="77777777">
            <w:pPr>
              <w:rPr>
                <w:rFonts w:ascii="Times New Roman" w:hAnsi="Times New Roman"/>
                <w:szCs w:val="24"/>
              </w:rPr>
            </w:pPr>
          </w:p>
        </w:tc>
        <w:tc>
          <w:tcPr>
            <w:tcW w:w="1335" w:type="dxa"/>
          </w:tcPr>
          <w:p w:rsidRPr="00442E07" w:rsidR="00C86713" w:rsidP="00FE1BAE" w:rsidRDefault="00C86713" w14:paraId="45D8D276" w14:textId="77777777">
            <w:pPr>
              <w:jc w:val="center"/>
              <w:rPr>
                <w:rFonts w:ascii="Times New Roman" w:hAnsi="Times New Roman"/>
                <w:szCs w:val="24"/>
              </w:rPr>
            </w:pPr>
          </w:p>
        </w:tc>
        <w:tc>
          <w:tcPr>
            <w:tcW w:w="900" w:type="dxa"/>
          </w:tcPr>
          <w:p w:rsidRPr="00442E07" w:rsidR="00C86713" w:rsidP="00FE1BAE" w:rsidRDefault="00C86713" w14:paraId="2A0EE597"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188A9AD7" w14:textId="77777777">
            <w:pPr>
              <w:rPr>
                <w:rFonts w:ascii="Times New Roman" w:hAnsi="Times New Roman"/>
                <w:szCs w:val="24"/>
              </w:rPr>
            </w:pPr>
          </w:p>
        </w:tc>
        <w:tc>
          <w:tcPr>
            <w:tcW w:w="1350" w:type="dxa"/>
          </w:tcPr>
          <w:p w:rsidRPr="00442E07" w:rsidR="00C86713" w:rsidP="00FE1BAE" w:rsidRDefault="00C86713" w14:paraId="1862DA70" w14:textId="77777777">
            <w:pPr>
              <w:rPr>
                <w:rFonts w:ascii="Times New Roman" w:hAnsi="Times New Roman"/>
                <w:szCs w:val="24"/>
              </w:rPr>
            </w:pPr>
          </w:p>
        </w:tc>
      </w:tr>
      <w:tr w:rsidRPr="00442E07" w:rsidR="00C86713" w:rsidTr="00C875E8" w14:paraId="619DC18F" w14:textId="77777777">
        <w:tc>
          <w:tcPr>
            <w:tcW w:w="1345" w:type="dxa"/>
          </w:tcPr>
          <w:p w:rsidRPr="00442E07" w:rsidR="00C86713" w:rsidP="00FE1BAE" w:rsidRDefault="00C86713" w14:paraId="1CA92875" w14:textId="77777777">
            <w:pPr>
              <w:rPr>
                <w:rFonts w:ascii="Times New Roman" w:hAnsi="Times New Roman"/>
                <w:szCs w:val="24"/>
              </w:rPr>
            </w:pPr>
          </w:p>
        </w:tc>
        <w:tc>
          <w:tcPr>
            <w:tcW w:w="1265" w:type="dxa"/>
          </w:tcPr>
          <w:p w:rsidRPr="00442E07" w:rsidR="00C86713" w:rsidP="00FE1BAE" w:rsidRDefault="00C86713" w14:paraId="2081CEFF" w14:textId="77777777">
            <w:pPr>
              <w:rPr>
                <w:rFonts w:ascii="Times New Roman" w:hAnsi="Times New Roman"/>
                <w:szCs w:val="24"/>
              </w:rPr>
            </w:pPr>
          </w:p>
        </w:tc>
        <w:tc>
          <w:tcPr>
            <w:tcW w:w="1255" w:type="dxa"/>
          </w:tcPr>
          <w:p w:rsidRPr="00442E07" w:rsidR="00C86713" w:rsidP="00FE1BAE" w:rsidRDefault="00C86713" w14:paraId="2EEED2D9" w14:textId="77777777">
            <w:pPr>
              <w:rPr>
                <w:rFonts w:ascii="Times New Roman" w:hAnsi="Times New Roman"/>
                <w:szCs w:val="24"/>
              </w:rPr>
            </w:pPr>
          </w:p>
        </w:tc>
        <w:tc>
          <w:tcPr>
            <w:tcW w:w="1275" w:type="dxa"/>
          </w:tcPr>
          <w:p w:rsidRPr="00442E07" w:rsidR="00C86713" w:rsidP="00FE1BAE" w:rsidRDefault="00C86713" w14:paraId="1B1B89E1" w14:textId="77777777">
            <w:pPr>
              <w:rPr>
                <w:rFonts w:ascii="Times New Roman" w:hAnsi="Times New Roman"/>
                <w:szCs w:val="24"/>
              </w:rPr>
            </w:pPr>
          </w:p>
        </w:tc>
        <w:tc>
          <w:tcPr>
            <w:tcW w:w="1080" w:type="dxa"/>
          </w:tcPr>
          <w:p w:rsidRPr="00442E07" w:rsidR="00C86713" w:rsidP="00FE1BAE" w:rsidRDefault="00C86713" w14:paraId="0A853550" w14:textId="77777777">
            <w:pPr>
              <w:jc w:val="center"/>
              <w:rPr>
                <w:rFonts w:ascii="Times New Roman" w:hAnsi="Times New Roman"/>
                <w:szCs w:val="24"/>
              </w:rPr>
            </w:pPr>
          </w:p>
        </w:tc>
        <w:tc>
          <w:tcPr>
            <w:tcW w:w="1335" w:type="dxa"/>
          </w:tcPr>
          <w:p w:rsidRPr="00442E07" w:rsidR="00C86713" w:rsidP="00FE1BAE" w:rsidRDefault="00C86713" w14:paraId="335AF6DC" w14:textId="77777777">
            <w:pPr>
              <w:jc w:val="center"/>
              <w:rPr>
                <w:rFonts w:ascii="Times New Roman" w:hAnsi="Times New Roman"/>
                <w:szCs w:val="24"/>
              </w:rPr>
            </w:pPr>
          </w:p>
        </w:tc>
        <w:tc>
          <w:tcPr>
            <w:tcW w:w="900" w:type="dxa"/>
          </w:tcPr>
          <w:p w:rsidRPr="00442E07" w:rsidR="00C86713" w:rsidP="00FE1BAE" w:rsidRDefault="00C86713" w14:paraId="43BD239F"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4A0C7276" w14:textId="77777777">
            <w:pPr>
              <w:rPr>
                <w:rFonts w:ascii="Times New Roman" w:hAnsi="Times New Roman"/>
                <w:szCs w:val="24"/>
              </w:rPr>
            </w:pPr>
          </w:p>
        </w:tc>
        <w:tc>
          <w:tcPr>
            <w:tcW w:w="1350" w:type="dxa"/>
          </w:tcPr>
          <w:p w:rsidRPr="00442E07" w:rsidR="00C86713" w:rsidP="00FE1BAE" w:rsidRDefault="00C86713" w14:paraId="5A9001B1" w14:textId="77777777">
            <w:pPr>
              <w:rPr>
                <w:rFonts w:ascii="Times New Roman" w:hAnsi="Times New Roman"/>
                <w:szCs w:val="24"/>
              </w:rPr>
            </w:pPr>
          </w:p>
        </w:tc>
      </w:tr>
      <w:tr w:rsidRPr="00442E07" w:rsidR="00C86713" w:rsidTr="00C875E8" w14:paraId="33148DF7" w14:textId="77777777">
        <w:tc>
          <w:tcPr>
            <w:tcW w:w="1345" w:type="dxa"/>
          </w:tcPr>
          <w:p w:rsidRPr="00442E07" w:rsidR="00C86713" w:rsidP="00FE1BAE" w:rsidRDefault="00C86713" w14:paraId="7C17781E" w14:textId="77777777">
            <w:pPr>
              <w:rPr>
                <w:rFonts w:ascii="Times New Roman" w:hAnsi="Times New Roman"/>
                <w:szCs w:val="24"/>
              </w:rPr>
            </w:pPr>
          </w:p>
        </w:tc>
        <w:tc>
          <w:tcPr>
            <w:tcW w:w="1265" w:type="dxa"/>
          </w:tcPr>
          <w:p w:rsidRPr="00442E07" w:rsidR="00C86713" w:rsidP="00FE1BAE" w:rsidRDefault="00C86713" w14:paraId="2B6809B1" w14:textId="77777777">
            <w:pPr>
              <w:rPr>
                <w:rFonts w:ascii="Times New Roman" w:hAnsi="Times New Roman"/>
                <w:szCs w:val="24"/>
              </w:rPr>
            </w:pPr>
          </w:p>
        </w:tc>
        <w:tc>
          <w:tcPr>
            <w:tcW w:w="1255" w:type="dxa"/>
          </w:tcPr>
          <w:p w:rsidRPr="00442E07" w:rsidR="00C86713" w:rsidP="00FE1BAE" w:rsidRDefault="00C86713" w14:paraId="51488944" w14:textId="77777777">
            <w:pPr>
              <w:rPr>
                <w:rFonts w:ascii="Times New Roman" w:hAnsi="Times New Roman"/>
                <w:szCs w:val="24"/>
              </w:rPr>
            </w:pPr>
          </w:p>
        </w:tc>
        <w:tc>
          <w:tcPr>
            <w:tcW w:w="1275" w:type="dxa"/>
          </w:tcPr>
          <w:p w:rsidRPr="00442E07" w:rsidR="00C86713" w:rsidP="00FE1BAE" w:rsidRDefault="00C86713" w14:paraId="66C6D7DB" w14:textId="77777777">
            <w:pPr>
              <w:rPr>
                <w:rFonts w:ascii="Times New Roman" w:hAnsi="Times New Roman"/>
                <w:szCs w:val="24"/>
              </w:rPr>
            </w:pPr>
          </w:p>
        </w:tc>
        <w:tc>
          <w:tcPr>
            <w:tcW w:w="1080" w:type="dxa"/>
          </w:tcPr>
          <w:p w:rsidRPr="00442E07" w:rsidR="00C86713" w:rsidP="00FE1BAE" w:rsidRDefault="00C86713" w14:paraId="7553EACF" w14:textId="77777777">
            <w:pPr>
              <w:rPr>
                <w:rFonts w:ascii="Times New Roman" w:hAnsi="Times New Roman"/>
                <w:szCs w:val="24"/>
              </w:rPr>
            </w:pPr>
          </w:p>
        </w:tc>
        <w:tc>
          <w:tcPr>
            <w:tcW w:w="1335" w:type="dxa"/>
          </w:tcPr>
          <w:p w:rsidRPr="00442E07" w:rsidR="00C86713" w:rsidP="00FE1BAE" w:rsidRDefault="00C86713" w14:paraId="2F6409E0" w14:textId="77777777">
            <w:pPr>
              <w:rPr>
                <w:rFonts w:ascii="Times New Roman" w:hAnsi="Times New Roman"/>
                <w:szCs w:val="24"/>
              </w:rPr>
            </w:pPr>
          </w:p>
        </w:tc>
        <w:tc>
          <w:tcPr>
            <w:tcW w:w="900" w:type="dxa"/>
          </w:tcPr>
          <w:p w:rsidRPr="00442E07" w:rsidR="00C86713" w:rsidP="00FE1BAE" w:rsidRDefault="00C86713" w14:paraId="2BDBA7D3" w14:textId="77777777">
            <w:pPr>
              <w:rPr>
                <w:rFonts w:ascii="Times New Roman" w:hAnsi="Times New Roman"/>
                <w:szCs w:val="24"/>
              </w:rPr>
            </w:pPr>
          </w:p>
        </w:tc>
        <w:tc>
          <w:tcPr>
            <w:tcW w:w="1530" w:type="dxa"/>
          </w:tcPr>
          <w:p w:rsidRPr="00442E07" w:rsidR="00C86713" w:rsidP="00FE1BAE" w:rsidRDefault="00C86713" w14:paraId="24C20E24" w14:textId="77777777">
            <w:pPr>
              <w:rPr>
                <w:rFonts w:ascii="Times New Roman" w:hAnsi="Times New Roman"/>
                <w:szCs w:val="24"/>
              </w:rPr>
            </w:pPr>
          </w:p>
        </w:tc>
        <w:tc>
          <w:tcPr>
            <w:tcW w:w="1350" w:type="dxa"/>
          </w:tcPr>
          <w:p w:rsidRPr="00442E07" w:rsidR="00C86713" w:rsidP="00FE1BAE" w:rsidRDefault="00C86713" w14:paraId="43A52F4E" w14:textId="77777777">
            <w:pPr>
              <w:rPr>
                <w:rFonts w:ascii="Times New Roman" w:hAnsi="Times New Roman"/>
                <w:szCs w:val="24"/>
              </w:rPr>
            </w:pPr>
          </w:p>
        </w:tc>
      </w:tr>
      <w:tr w:rsidRPr="00442E07" w:rsidR="009767AF" w:rsidTr="00C875E8" w14:paraId="4949E50C" w14:textId="77777777">
        <w:tc>
          <w:tcPr>
            <w:tcW w:w="1345" w:type="dxa"/>
          </w:tcPr>
          <w:p w:rsidRPr="00442E07" w:rsidR="009767AF" w:rsidP="00FE1BAE" w:rsidRDefault="009767AF" w14:paraId="36971346"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97F97" w14:paraId="5CCB3666" w14:textId="1B737EA5">
            <w:pPr>
              <w:rPr>
                <w:rFonts w:ascii="Times New Roman" w:hAnsi="Times New Roman"/>
                <w:szCs w:val="24"/>
              </w:rPr>
            </w:pPr>
            <w:r>
              <w:rPr>
                <w:rFonts w:ascii="Times New Roman" w:hAnsi="Times New Roman"/>
                <w:szCs w:val="24"/>
              </w:rPr>
              <w:t>6</w:t>
            </w:r>
          </w:p>
        </w:tc>
        <w:tc>
          <w:tcPr>
            <w:tcW w:w="1255" w:type="dxa"/>
          </w:tcPr>
          <w:p w:rsidRPr="00442E07" w:rsidR="009767AF" w:rsidP="00FE1BAE" w:rsidRDefault="009767AF" w14:paraId="7AF2DC50" w14:textId="77777777">
            <w:pPr>
              <w:rPr>
                <w:rFonts w:ascii="Times New Roman" w:hAnsi="Times New Roman"/>
                <w:szCs w:val="24"/>
              </w:rPr>
            </w:pPr>
          </w:p>
        </w:tc>
        <w:tc>
          <w:tcPr>
            <w:tcW w:w="1275" w:type="dxa"/>
          </w:tcPr>
          <w:p w:rsidRPr="00442E07" w:rsidR="009767AF" w:rsidP="00FE1BAE" w:rsidRDefault="00931762" w14:paraId="51FAF387" w14:textId="370C1450">
            <w:pPr>
              <w:rPr>
                <w:rFonts w:ascii="Times New Roman" w:hAnsi="Times New Roman"/>
                <w:szCs w:val="24"/>
              </w:rPr>
            </w:pPr>
            <w:r>
              <w:rPr>
                <w:rFonts w:ascii="Times New Roman" w:hAnsi="Times New Roman"/>
                <w:szCs w:val="24"/>
              </w:rPr>
              <w:t>25</w:t>
            </w:r>
          </w:p>
        </w:tc>
        <w:tc>
          <w:tcPr>
            <w:tcW w:w="1080" w:type="dxa"/>
          </w:tcPr>
          <w:p w:rsidRPr="00442E07" w:rsidR="009767AF" w:rsidP="00FE1BAE" w:rsidRDefault="002E3629" w14:paraId="235D75A9" w14:textId="7D80030C">
            <w:pPr>
              <w:rPr>
                <w:rFonts w:ascii="Times New Roman" w:hAnsi="Times New Roman"/>
                <w:szCs w:val="24"/>
              </w:rPr>
            </w:pPr>
            <w:r>
              <w:rPr>
                <w:rFonts w:ascii="Times New Roman" w:hAnsi="Times New Roman"/>
                <w:szCs w:val="24"/>
              </w:rPr>
              <w:t>1</w:t>
            </w:r>
          </w:p>
        </w:tc>
        <w:tc>
          <w:tcPr>
            <w:tcW w:w="1335" w:type="dxa"/>
          </w:tcPr>
          <w:p w:rsidRPr="00442E07" w:rsidR="009767AF" w:rsidP="00FE1BAE" w:rsidRDefault="009767AF" w14:paraId="53779249" w14:textId="77777777">
            <w:pPr>
              <w:rPr>
                <w:rFonts w:ascii="Times New Roman" w:hAnsi="Times New Roman"/>
                <w:szCs w:val="24"/>
              </w:rPr>
            </w:pPr>
          </w:p>
        </w:tc>
        <w:tc>
          <w:tcPr>
            <w:tcW w:w="900" w:type="dxa"/>
          </w:tcPr>
          <w:p w:rsidRPr="00442E07" w:rsidR="009767AF" w:rsidP="00FE1BAE" w:rsidRDefault="0054533E" w14:paraId="2D33D5B5" w14:textId="3CE1EB55">
            <w:pPr>
              <w:rPr>
                <w:rFonts w:ascii="Times New Roman" w:hAnsi="Times New Roman"/>
                <w:szCs w:val="24"/>
              </w:rPr>
            </w:pPr>
            <w:r>
              <w:rPr>
                <w:rFonts w:ascii="Times New Roman" w:hAnsi="Times New Roman"/>
                <w:szCs w:val="24"/>
              </w:rPr>
              <w:t>5000</w:t>
            </w:r>
          </w:p>
        </w:tc>
        <w:tc>
          <w:tcPr>
            <w:tcW w:w="1530" w:type="dxa"/>
          </w:tcPr>
          <w:p w:rsidRPr="00442E07" w:rsidR="009767AF" w:rsidP="00FE1BAE" w:rsidRDefault="009767AF" w14:paraId="389A5CC4" w14:textId="77777777">
            <w:pPr>
              <w:rPr>
                <w:rFonts w:ascii="Times New Roman" w:hAnsi="Times New Roman"/>
                <w:szCs w:val="24"/>
              </w:rPr>
            </w:pPr>
          </w:p>
        </w:tc>
        <w:tc>
          <w:tcPr>
            <w:tcW w:w="1350" w:type="dxa"/>
          </w:tcPr>
          <w:p w:rsidRPr="00442E07" w:rsidR="009767AF" w:rsidP="00FE1BAE" w:rsidRDefault="0054533E" w14:paraId="14E5A725" w14:textId="6ACC6B48">
            <w:pPr>
              <w:rPr>
                <w:rFonts w:ascii="Times New Roman" w:hAnsi="Times New Roman"/>
                <w:szCs w:val="24"/>
              </w:rPr>
            </w:pPr>
            <w:r>
              <w:rPr>
                <w:rFonts w:ascii="Times New Roman" w:hAnsi="Times New Roman"/>
                <w:szCs w:val="24"/>
              </w:rPr>
              <w:t>173950</w:t>
            </w:r>
          </w:p>
        </w:tc>
      </w:tr>
    </w:tbl>
    <w:p w:rsidR="001A6AE0" w:rsidP="000446F5" w:rsidRDefault="001A6AE0" w14:paraId="32E4D673"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1003D27F"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DAF0802"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3ED3259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5551ACB" w14:textId="77777777">
      <w:pPr>
        <w:tabs>
          <w:tab w:val="left" w:pos="-720"/>
        </w:tabs>
        <w:suppressAutoHyphens/>
        <w:rPr>
          <w:rFonts w:ascii="Times New Roman" w:hAnsi="Times New Roman"/>
          <w:b/>
          <w:szCs w:val="24"/>
        </w:rPr>
      </w:pPr>
    </w:p>
    <w:p w:rsidRPr="00ED7195" w:rsidR="00043C32" w:rsidP="00AD381B" w:rsidRDefault="00043C32" w14:paraId="6CF1C5E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ED7195">
        <w:rPr>
          <w:rFonts w:ascii="Times New Roman" w:hAnsi="Times New Roman"/>
          <w:b/>
          <w:szCs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1241CE7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19A70D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1CE7B822"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08FA38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218159B5" w14:textId="77777777">
      <w:pPr>
        <w:tabs>
          <w:tab w:val="left" w:pos="-720"/>
        </w:tabs>
        <w:suppressAutoHyphens/>
        <w:rPr>
          <w:rFonts w:ascii="Times New Roman" w:hAnsi="Times New Roman"/>
          <w:b/>
          <w:szCs w:val="24"/>
        </w:rPr>
      </w:pPr>
    </w:p>
    <w:p w:rsidRPr="00ED7195" w:rsidR="00043C32" w:rsidP="00AD381B" w:rsidRDefault="00043C32" w14:paraId="7A5B46E9" w14:textId="3812A95C">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r>
      <w:r w:rsidRPr="008817C6">
        <w:rPr>
          <w:rFonts w:ascii="Times New Roman" w:hAnsi="Times New Roman"/>
          <w:bCs/>
          <w:szCs w:val="24"/>
        </w:rPr>
        <w:t>:</w:t>
      </w:r>
      <w:r w:rsidRPr="008817C6" w:rsidR="00B441B8">
        <w:rPr>
          <w:rFonts w:ascii="Times New Roman" w:hAnsi="Times New Roman"/>
          <w:bCs/>
          <w:szCs w:val="24"/>
        </w:rPr>
        <w:t>0.00</w:t>
      </w:r>
    </w:p>
    <w:p w:rsidRPr="00ED7195" w:rsidR="00043C32" w:rsidP="00AD381B" w:rsidRDefault="00043C32" w14:paraId="1ABC57A7" w14:textId="32C048AB">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8817C6">
        <w:rPr>
          <w:rFonts w:ascii="Times New Roman" w:hAnsi="Times New Roman"/>
          <w:bCs/>
          <w:szCs w:val="24"/>
        </w:rPr>
        <w:t>:</w:t>
      </w:r>
      <w:r w:rsidRPr="008817C6" w:rsidR="00B441B8">
        <w:rPr>
          <w:rFonts w:ascii="Times New Roman" w:hAnsi="Times New Roman"/>
          <w:bCs/>
          <w:szCs w:val="24"/>
        </w:rPr>
        <w:t>0.00</w:t>
      </w:r>
    </w:p>
    <w:p w:rsidRPr="00ED7195" w:rsidR="00043C32" w:rsidP="00AD381B" w:rsidRDefault="00043C32" w14:paraId="467B50A6" w14:textId="26E8596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Pr="008817C6" w:rsidR="009A434B">
        <w:rPr>
          <w:rFonts w:ascii="Times New Roman" w:hAnsi="Times New Roman"/>
          <w:bCs/>
          <w:szCs w:val="24"/>
          <w:u w:val="single"/>
        </w:rPr>
        <w:t>0.00</w:t>
      </w:r>
    </w:p>
    <w:p w:rsidR="00043C32" w:rsidP="00AD381B" w:rsidRDefault="00043C32" w14:paraId="03D1C5E0" w14:textId="77777777">
      <w:pPr>
        <w:tabs>
          <w:tab w:val="left" w:pos="-720"/>
        </w:tabs>
        <w:suppressAutoHyphens/>
        <w:rPr>
          <w:rFonts w:ascii="Times New Roman" w:hAnsi="Times New Roman"/>
          <w:szCs w:val="24"/>
        </w:rPr>
      </w:pPr>
    </w:p>
    <w:p w:rsidRPr="004A2474" w:rsidR="00B35898" w:rsidP="00B35898" w:rsidRDefault="00043C32" w14:paraId="0F97218E" w14:textId="408AB8AE">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4A2474">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A2F16" w:rsidP="00B35898" w:rsidRDefault="005A2F16" w14:paraId="042F7757" w14:textId="2C01EF8A">
      <w:pPr>
        <w:tabs>
          <w:tab w:val="left" w:pos="-720"/>
        </w:tabs>
        <w:suppressAutoHyphens/>
        <w:rPr>
          <w:rStyle w:val="a"/>
          <w:rFonts w:ascii="Times New Roman" w:hAnsi="Times New Roman"/>
          <w:b/>
          <w:szCs w:val="24"/>
        </w:rPr>
      </w:pPr>
    </w:p>
    <w:p w:rsidR="005A2F16" w:rsidP="00B35898" w:rsidRDefault="005A2F16" w14:paraId="614F5E0B" w14:textId="24DBBCBC">
      <w:pPr>
        <w:tabs>
          <w:tab w:val="left" w:pos="-720"/>
        </w:tabs>
        <w:suppressAutoHyphens/>
        <w:rPr>
          <w:rStyle w:val="a"/>
          <w:rFonts w:ascii="Times New Roman" w:hAnsi="Times New Roman"/>
          <w:b/>
          <w:i/>
          <w:iCs/>
          <w:szCs w:val="24"/>
        </w:rPr>
      </w:pPr>
      <w:r>
        <w:rPr>
          <w:rStyle w:val="a"/>
          <w:rFonts w:ascii="Times New Roman" w:hAnsi="Times New Roman"/>
          <w:b/>
          <w:i/>
          <w:iCs/>
          <w:szCs w:val="24"/>
        </w:rPr>
        <w:t>Annualized cost to the Federal Government</w:t>
      </w:r>
      <w:r w:rsidR="008B3CEC">
        <w:rPr>
          <w:rStyle w:val="a"/>
          <w:rFonts w:ascii="Times New Roman" w:hAnsi="Times New Roman"/>
          <w:b/>
          <w:i/>
          <w:iCs/>
          <w:szCs w:val="24"/>
        </w:rPr>
        <w:t xml:space="preserve">. </w:t>
      </w:r>
    </w:p>
    <w:p w:rsidR="004A2474" w:rsidP="00B35898" w:rsidRDefault="004A2474" w14:paraId="1CE443C1" w14:textId="77777777">
      <w:pPr>
        <w:tabs>
          <w:tab w:val="left" w:pos="-720"/>
        </w:tabs>
        <w:suppressAutoHyphens/>
        <w:rPr>
          <w:rStyle w:val="a"/>
          <w:rFonts w:ascii="Times New Roman" w:hAnsi="Times New Roman"/>
          <w:b/>
          <w:i/>
          <w:iCs/>
          <w:szCs w:val="24"/>
        </w:rPr>
      </w:pPr>
    </w:p>
    <w:p w:rsidR="004A2474" w:rsidP="00B35898" w:rsidRDefault="008B3CEC" w14:paraId="15A3A167" w14:textId="77777777">
      <w:pPr>
        <w:tabs>
          <w:tab w:val="left" w:pos="-720"/>
        </w:tabs>
        <w:suppressAutoHyphens/>
        <w:rPr>
          <w:rStyle w:val="a"/>
          <w:rFonts w:ascii="Times New Roman" w:hAnsi="Times New Roman"/>
          <w:b/>
          <w:i/>
          <w:iCs/>
          <w:szCs w:val="24"/>
        </w:rPr>
      </w:pPr>
      <w:r>
        <w:rPr>
          <w:rStyle w:val="a"/>
          <w:rFonts w:ascii="Times New Roman" w:hAnsi="Times New Roman"/>
          <w:b/>
          <w:i/>
          <w:iCs/>
          <w:szCs w:val="24"/>
        </w:rPr>
        <w:tab/>
        <w:t xml:space="preserve">The information in the table below was </w:t>
      </w:r>
      <w:r w:rsidR="00484CB8">
        <w:rPr>
          <w:rStyle w:val="a"/>
          <w:rFonts w:ascii="Times New Roman" w:hAnsi="Times New Roman"/>
          <w:b/>
          <w:i/>
          <w:iCs/>
          <w:szCs w:val="24"/>
        </w:rPr>
        <w:t xml:space="preserve">calculated </w:t>
      </w:r>
      <w:r w:rsidR="0083342A">
        <w:rPr>
          <w:rStyle w:val="a"/>
          <w:rFonts w:ascii="Times New Roman" w:hAnsi="Times New Roman"/>
          <w:b/>
          <w:i/>
          <w:iCs/>
          <w:szCs w:val="24"/>
        </w:rPr>
        <w:t xml:space="preserve">based on the </w:t>
      </w:r>
      <w:r w:rsidR="00484CB8">
        <w:rPr>
          <w:rStyle w:val="a"/>
          <w:rFonts w:ascii="Times New Roman" w:hAnsi="Times New Roman"/>
          <w:b/>
          <w:i/>
          <w:iCs/>
          <w:szCs w:val="24"/>
        </w:rPr>
        <w:t>hourly wage</w:t>
      </w:r>
      <w:r w:rsidR="004A2474">
        <w:rPr>
          <w:rStyle w:val="a"/>
          <w:rFonts w:ascii="Times New Roman" w:hAnsi="Times New Roman"/>
          <w:b/>
          <w:i/>
          <w:iCs/>
          <w:szCs w:val="24"/>
        </w:rPr>
        <w:t>s</w:t>
      </w:r>
    </w:p>
    <w:p w:rsidRPr="005A2F16" w:rsidR="008B3CEC" w:rsidP="00B35898" w:rsidRDefault="00484CB8" w14:paraId="5D6DD6E8" w14:textId="17EDB774">
      <w:pPr>
        <w:tabs>
          <w:tab w:val="left" w:pos="-720"/>
        </w:tabs>
        <w:suppressAutoHyphens/>
        <w:rPr>
          <w:rStyle w:val="a"/>
          <w:rFonts w:ascii="Times New Roman" w:hAnsi="Times New Roman"/>
          <w:b/>
          <w:i/>
          <w:iCs/>
          <w:szCs w:val="24"/>
        </w:rPr>
      </w:pPr>
      <w:r>
        <w:rPr>
          <w:rStyle w:val="a"/>
          <w:rFonts w:ascii="Times New Roman" w:hAnsi="Times New Roman"/>
          <w:b/>
          <w:i/>
          <w:iCs/>
          <w:szCs w:val="24"/>
        </w:rPr>
        <w:t xml:space="preserve"> </w:t>
      </w:r>
      <w:r w:rsidR="003F2E97">
        <w:rPr>
          <w:rStyle w:val="a"/>
          <w:rFonts w:ascii="Times New Roman" w:hAnsi="Times New Roman"/>
          <w:b/>
          <w:i/>
          <w:iCs/>
          <w:szCs w:val="24"/>
        </w:rPr>
        <w:t xml:space="preserve">for </w:t>
      </w:r>
      <w:r w:rsidR="00087A44">
        <w:rPr>
          <w:rStyle w:val="a"/>
          <w:rFonts w:ascii="Times New Roman" w:hAnsi="Times New Roman"/>
          <w:b/>
          <w:i/>
          <w:iCs/>
          <w:szCs w:val="24"/>
        </w:rPr>
        <w:t xml:space="preserve">GS 15 and GS 12 </w:t>
      </w:r>
      <w:r w:rsidR="00974FA1">
        <w:rPr>
          <w:rStyle w:val="a"/>
          <w:rFonts w:ascii="Times New Roman" w:hAnsi="Times New Roman"/>
          <w:b/>
          <w:i/>
          <w:iCs/>
          <w:szCs w:val="24"/>
        </w:rPr>
        <w:t>employees</w:t>
      </w:r>
      <w:r w:rsidR="00F71404">
        <w:rPr>
          <w:rStyle w:val="a"/>
          <w:rFonts w:ascii="Times New Roman" w:hAnsi="Times New Roman"/>
          <w:b/>
          <w:i/>
          <w:iCs/>
          <w:szCs w:val="24"/>
        </w:rPr>
        <w:t xml:space="preserve">. </w:t>
      </w:r>
    </w:p>
    <w:p w:rsidRPr="00B35898" w:rsidR="00B35898" w:rsidP="00B35898" w:rsidRDefault="00B35898" w14:paraId="3CDA1D74" w14:textId="77777777">
      <w:pPr>
        <w:tabs>
          <w:tab w:val="left" w:pos="-720"/>
        </w:tabs>
        <w:suppressAutoHyphens/>
        <w:rPr>
          <w:rStyle w:val="a"/>
          <w:rFonts w:ascii="Times New Roman" w:hAnsi="Times New Roman"/>
          <w:b/>
          <w:szCs w:val="24"/>
        </w:rPr>
      </w:pPr>
      <w:r>
        <w:rPr>
          <w:rStyle w:val="a"/>
          <w:rFonts w:ascii="Times New Roman" w:hAnsi="Times New Roman"/>
          <w:b/>
          <w:szCs w:val="24"/>
        </w:rPr>
        <w:tab/>
      </w:r>
    </w:p>
    <w:tbl>
      <w:tblPr>
        <w:tblW w:w="9480" w:type="dxa"/>
        <w:tblInd w:w="93" w:type="dxa"/>
        <w:tblLook w:val="04A0" w:firstRow="1" w:lastRow="0" w:firstColumn="1" w:lastColumn="0" w:noHBand="0" w:noVBand="1"/>
      </w:tblPr>
      <w:tblGrid>
        <w:gridCol w:w="4315"/>
        <w:gridCol w:w="1664"/>
        <w:gridCol w:w="1170"/>
        <w:gridCol w:w="929"/>
        <w:gridCol w:w="1402"/>
      </w:tblGrid>
      <w:tr w:rsidRPr="005530F5" w:rsidR="00347CEF" w:rsidTr="00105442" w14:paraId="3F0F6E18" w14:textId="77777777">
        <w:trPr>
          <w:trHeight w:val="825"/>
        </w:trPr>
        <w:tc>
          <w:tcPr>
            <w:tcW w:w="4315"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B35898" w:rsidP="00612C7C" w:rsidRDefault="00B35898" w14:paraId="16A8C535" w14:textId="77777777">
            <w:pPr>
              <w:jc w:val="both"/>
              <w:rPr>
                <w:rFonts w:ascii="Times New Roman" w:hAnsi="Times New Roman"/>
                <w:color w:val="000000"/>
                <w:sz w:val="22"/>
                <w:szCs w:val="22"/>
              </w:rPr>
            </w:pPr>
            <w:r w:rsidRPr="005530F5">
              <w:rPr>
                <w:rFonts w:ascii="Times New Roman" w:hAnsi="Times New Roman"/>
                <w:color w:val="000000"/>
                <w:sz w:val="22"/>
                <w:szCs w:val="28"/>
              </w:rPr>
              <w:t xml:space="preserve">Operational or Programmatic Task </w:t>
            </w:r>
          </w:p>
        </w:tc>
        <w:tc>
          <w:tcPr>
            <w:tcW w:w="1664"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B35898" w:rsidP="00612C7C" w:rsidRDefault="00B35898" w14:paraId="63A24277" w14:textId="77777777">
            <w:pPr>
              <w:jc w:val="center"/>
              <w:rPr>
                <w:rFonts w:ascii="Times New Roman" w:hAnsi="Times New Roman"/>
                <w:b/>
                <w:bCs/>
                <w:color w:val="000000"/>
                <w:sz w:val="22"/>
                <w:szCs w:val="22"/>
              </w:rPr>
            </w:pPr>
            <w:r w:rsidRPr="005530F5">
              <w:rPr>
                <w:rFonts w:ascii="Times New Roman" w:hAnsi="Times New Roman"/>
                <w:b/>
                <w:bCs/>
                <w:color w:val="000000"/>
                <w:sz w:val="22"/>
              </w:rPr>
              <w:t>Wage per Hour</w:t>
            </w:r>
          </w:p>
        </w:tc>
        <w:tc>
          <w:tcPr>
            <w:tcW w:w="1170"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B35898" w:rsidP="00612C7C" w:rsidRDefault="00B35898" w14:paraId="62DCC29E" w14:textId="77777777">
            <w:pPr>
              <w:jc w:val="center"/>
              <w:rPr>
                <w:rFonts w:ascii="Times New Roman" w:hAnsi="Times New Roman"/>
                <w:b/>
                <w:bCs/>
                <w:color w:val="000000"/>
                <w:sz w:val="22"/>
                <w:szCs w:val="22"/>
              </w:rPr>
            </w:pPr>
            <w:r w:rsidRPr="005530F5">
              <w:rPr>
                <w:rFonts w:ascii="Times New Roman" w:hAnsi="Times New Roman"/>
                <w:b/>
                <w:bCs/>
                <w:color w:val="000000"/>
                <w:sz w:val="22"/>
              </w:rPr>
              <w:t>Staff Resources</w:t>
            </w:r>
          </w:p>
        </w:tc>
        <w:tc>
          <w:tcPr>
            <w:tcW w:w="929" w:type="dxa"/>
            <w:tcBorders>
              <w:top w:val="single" w:color="auto" w:sz="8" w:space="0"/>
              <w:left w:val="nil"/>
              <w:bottom w:val="nil"/>
              <w:right w:val="single" w:color="auto" w:sz="8" w:space="0"/>
            </w:tcBorders>
            <w:shd w:val="clear" w:color="000000" w:fill="E0E0E0"/>
            <w:vAlign w:val="center"/>
            <w:hideMark/>
          </w:tcPr>
          <w:p w:rsidRPr="005530F5" w:rsidR="00B35898" w:rsidP="00612C7C" w:rsidRDefault="00B35898" w14:paraId="4A231D1C" w14:textId="77777777">
            <w:pPr>
              <w:jc w:val="center"/>
              <w:rPr>
                <w:rFonts w:ascii="Times New Roman" w:hAnsi="Times New Roman"/>
                <w:b/>
                <w:bCs/>
                <w:color w:val="000000"/>
                <w:sz w:val="22"/>
                <w:szCs w:val="22"/>
              </w:rPr>
            </w:pPr>
            <w:r w:rsidRPr="005530F5">
              <w:rPr>
                <w:rFonts w:ascii="Times New Roman" w:hAnsi="Times New Roman"/>
                <w:b/>
                <w:bCs/>
                <w:color w:val="000000"/>
                <w:sz w:val="22"/>
              </w:rPr>
              <w:t>Total</w:t>
            </w:r>
          </w:p>
        </w:tc>
        <w:tc>
          <w:tcPr>
            <w:tcW w:w="1402" w:type="dxa"/>
            <w:vMerge w:val="restart"/>
            <w:tcBorders>
              <w:top w:val="single" w:color="auto" w:sz="8" w:space="0"/>
              <w:left w:val="single" w:color="auto" w:sz="8" w:space="0"/>
              <w:bottom w:val="single" w:color="000000" w:sz="8" w:space="0"/>
              <w:right w:val="single" w:color="auto" w:sz="8" w:space="0"/>
            </w:tcBorders>
            <w:shd w:val="clear" w:color="000000" w:fill="E0E0E0"/>
            <w:vAlign w:val="center"/>
            <w:hideMark/>
          </w:tcPr>
          <w:p w:rsidRPr="005530F5" w:rsidR="00B35898" w:rsidP="00612C7C" w:rsidRDefault="00B35898" w14:paraId="4020A2B9" w14:textId="77777777">
            <w:pPr>
              <w:jc w:val="center"/>
              <w:rPr>
                <w:rFonts w:ascii="Times New Roman" w:hAnsi="Times New Roman"/>
                <w:b/>
                <w:bCs/>
                <w:color w:val="000000"/>
                <w:sz w:val="22"/>
                <w:szCs w:val="22"/>
              </w:rPr>
            </w:pPr>
            <w:r w:rsidRPr="005530F5">
              <w:rPr>
                <w:rFonts w:ascii="Times New Roman" w:hAnsi="Times New Roman"/>
                <w:b/>
                <w:bCs/>
                <w:color w:val="000000"/>
                <w:sz w:val="22"/>
              </w:rPr>
              <w:t>Cost to Federal Government</w:t>
            </w:r>
          </w:p>
        </w:tc>
      </w:tr>
      <w:tr w:rsidRPr="005530F5" w:rsidR="00347CEF" w:rsidTr="00105442" w14:paraId="4F4CF094" w14:textId="77777777">
        <w:trPr>
          <w:trHeight w:val="315"/>
        </w:trPr>
        <w:tc>
          <w:tcPr>
            <w:tcW w:w="4315" w:type="dxa"/>
            <w:vMerge/>
            <w:tcBorders>
              <w:top w:val="single" w:color="auto" w:sz="8" w:space="0"/>
              <w:left w:val="single" w:color="auto" w:sz="8" w:space="0"/>
              <w:bottom w:val="single" w:color="000000" w:sz="8" w:space="0"/>
              <w:right w:val="single" w:color="auto" w:sz="8" w:space="0"/>
            </w:tcBorders>
            <w:vAlign w:val="center"/>
            <w:hideMark/>
          </w:tcPr>
          <w:p w:rsidRPr="005530F5" w:rsidR="00B35898" w:rsidP="00612C7C" w:rsidRDefault="00B35898" w14:paraId="4DFF7538" w14:textId="77777777">
            <w:pPr>
              <w:rPr>
                <w:rFonts w:ascii="Times New Roman" w:hAnsi="Times New Roman"/>
                <w:color w:val="000000"/>
                <w:sz w:val="22"/>
                <w:szCs w:val="22"/>
              </w:rPr>
            </w:pPr>
          </w:p>
        </w:tc>
        <w:tc>
          <w:tcPr>
            <w:tcW w:w="1664" w:type="dxa"/>
            <w:vMerge/>
            <w:tcBorders>
              <w:top w:val="single" w:color="auto" w:sz="8" w:space="0"/>
              <w:left w:val="single" w:color="auto" w:sz="8" w:space="0"/>
              <w:bottom w:val="single" w:color="000000" w:sz="8" w:space="0"/>
              <w:right w:val="single" w:color="auto" w:sz="8" w:space="0"/>
            </w:tcBorders>
            <w:vAlign w:val="center"/>
            <w:hideMark/>
          </w:tcPr>
          <w:p w:rsidRPr="005530F5" w:rsidR="00B35898" w:rsidP="00612C7C" w:rsidRDefault="00B35898" w14:paraId="5C40D1C3" w14:textId="77777777">
            <w:pPr>
              <w:rPr>
                <w:rFonts w:ascii="Times New Roman" w:hAnsi="Times New Roman"/>
                <w:b/>
                <w:bCs/>
                <w:color w:val="000000"/>
                <w:sz w:val="22"/>
                <w:szCs w:val="22"/>
              </w:rPr>
            </w:pP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5530F5" w:rsidR="00B35898" w:rsidP="00612C7C" w:rsidRDefault="00B35898" w14:paraId="3DBC1FAC" w14:textId="77777777">
            <w:pPr>
              <w:rPr>
                <w:rFonts w:ascii="Times New Roman" w:hAnsi="Times New Roman"/>
                <w:b/>
                <w:bCs/>
                <w:color w:val="000000"/>
                <w:sz w:val="22"/>
                <w:szCs w:val="22"/>
              </w:rPr>
            </w:pPr>
          </w:p>
        </w:tc>
        <w:tc>
          <w:tcPr>
            <w:tcW w:w="929" w:type="dxa"/>
            <w:tcBorders>
              <w:top w:val="nil"/>
              <w:left w:val="nil"/>
              <w:bottom w:val="single" w:color="auto" w:sz="8" w:space="0"/>
              <w:right w:val="single" w:color="auto" w:sz="8" w:space="0"/>
            </w:tcBorders>
            <w:shd w:val="clear" w:color="000000" w:fill="E0E0E0"/>
            <w:vAlign w:val="center"/>
            <w:hideMark/>
          </w:tcPr>
          <w:p w:rsidRPr="005530F5" w:rsidR="00B35898" w:rsidP="00612C7C" w:rsidRDefault="00B35898" w14:paraId="7517F0A8" w14:textId="77777777">
            <w:pPr>
              <w:jc w:val="center"/>
              <w:rPr>
                <w:rFonts w:ascii="Times New Roman" w:hAnsi="Times New Roman"/>
                <w:b/>
                <w:bCs/>
                <w:color w:val="000000"/>
                <w:sz w:val="22"/>
                <w:szCs w:val="22"/>
              </w:rPr>
            </w:pPr>
            <w:r w:rsidRPr="005530F5">
              <w:rPr>
                <w:rFonts w:ascii="Times New Roman" w:hAnsi="Times New Roman"/>
                <w:b/>
                <w:bCs/>
                <w:color w:val="000000"/>
                <w:sz w:val="22"/>
              </w:rPr>
              <w:t>Hours</w:t>
            </w:r>
          </w:p>
        </w:tc>
        <w:tc>
          <w:tcPr>
            <w:tcW w:w="1402" w:type="dxa"/>
            <w:vMerge/>
            <w:tcBorders>
              <w:top w:val="single" w:color="auto" w:sz="8" w:space="0"/>
              <w:left w:val="single" w:color="auto" w:sz="8" w:space="0"/>
              <w:bottom w:val="single" w:color="000000" w:sz="8" w:space="0"/>
              <w:right w:val="single" w:color="auto" w:sz="8" w:space="0"/>
            </w:tcBorders>
            <w:vAlign w:val="center"/>
            <w:hideMark/>
          </w:tcPr>
          <w:p w:rsidRPr="005530F5" w:rsidR="00B35898" w:rsidP="00612C7C" w:rsidRDefault="00B35898" w14:paraId="327861CE" w14:textId="77777777">
            <w:pPr>
              <w:rPr>
                <w:rFonts w:ascii="Times New Roman" w:hAnsi="Times New Roman"/>
                <w:b/>
                <w:bCs/>
                <w:color w:val="000000"/>
                <w:sz w:val="22"/>
                <w:szCs w:val="22"/>
              </w:rPr>
            </w:pPr>
          </w:p>
        </w:tc>
      </w:tr>
      <w:tr w:rsidRPr="005530F5" w:rsidR="00347CEF" w:rsidTr="00131D01" w14:paraId="3F518BA3" w14:textId="77777777">
        <w:trPr>
          <w:trHeight w:val="1168"/>
        </w:trPr>
        <w:tc>
          <w:tcPr>
            <w:tcW w:w="4315" w:type="dxa"/>
            <w:tcBorders>
              <w:top w:val="nil"/>
              <w:left w:val="single" w:color="auto" w:sz="8" w:space="0"/>
              <w:bottom w:val="single" w:color="auto" w:sz="8" w:space="0"/>
              <w:right w:val="single" w:color="auto" w:sz="8" w:space="0"/>
            </w:tcBorders>
            <w:shd w:val="clear" w:color="auto" w:fill="auto"/>
            <w:vAlign w:val="center"/>
            <w:hideMark/>
          </w:tcPr>
          <w:p w:rsidRPr="005530F5" w:rsidR="00B35898" w:rsidP="00612C7C" w:rsidRDefault="001B77F1" w14:paraId="55B64850" w14:textId="4B375687">
            <w:pPr>
              <w:rPr>
                <w:rFonts w:ascii="Times New Roman" w:hAnsi="Times New Roman"/>
                <w:color w:val="000000"/>
                <w:sz w:val="22"/>
                <w:szCs w:val="22"/>
              </w:rPr>
            </w:pPr>
            <w:r>
              <w:rPr>
                <w:rFonts w:ascii="Times New Roman" w:hAnsi="Times New Roman"/>
                <w:color w:val="000000"/>
                <w:sz w:val="22"/>
              </w:rPr>
              <w:lastRenderedPageBreak/>
              <w:t xml:space="preserve">ICC Package: </w:t>
            </w:r>
            <w:r w:rsidR="009230FE">
              <w:rPr>
                <w:rFonts w:ascii="Times New Roman" w:hAnsi="Times New Roman"/>
                <w:color w:val="000000"/>
                <w:sz w:val="22"/>
              </w:rPr>
              <w:t>Supporting Statement</w:t>
            </w:r>
            <w:r w:rsidR="00105442">
              <w:rPr>
                <w:rFonts w:ascii="Times New Roman" w:hAnsi="Times New Roman"/>
                <w:color w:val="000000"/>
                <w:sz w:val="22"/>
              </w:rPr>
              <w:t xml:space="preserve">, Data Forms, and PRA </w:t>
            </w:r>
            <w:r w:rsidR="00CC5EE2">
              <w:rPr>
                <w:rFonts w:ascii="Times New Roman" w:hAnsi="Times New Roman"/>
                <w:color w:val="000000"/>
                <w:sz w:val="22"/>
              </w:rPr>
              <w:t xml:space="preserve">statement </w:t>
            </w:r>
          </w:p>
        </w:tc>
        <w:tc>
          <w:tcPr>
            <w:tcW w:w="1664"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9230FE" w14:paraId="4D010A24" w14:textId="73E9A2FC">
            <w:pPr>
              <w:jc w:val="center"/>
              <w:rPr>
                <w:rFonts w:ascii="Times New Roman" w:hAnsi="Times New Roman"/>
                <w:color w:val="000000"/>
                <w:sz w:val="22"/>
                <w:szCs w:val="22"/>
              </w:rPr>
            </w:pPr>
            <w:r>
              <w:rPr>
                <w:rFonts w:ascii="Times New Roman" w:hAnsi="Times New Roman"/>
                <w:color w:val="000000"/>
                <w:sz w:val="22"/>
              </w:rPr>
              <w:t>75</w:t>
            </w:r>
          </w:p>
        </w:tc>
        <w:tc>
          <w:tcPr>
            <w:tcW w:w="1170"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B35898" w14:paraId="3BEEE231"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9"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F43EDA" w14:paraId="566846D8" w14:textId="0F90F537">
            <w:pPr>
              <w:jc w:val="center"/>
              <w:rPr>
                <w:rFonts w:ascii="Times New Roman" w:hAnsi="Times New Roman"/>
                <w:color w:val="000000"/>
                <w:sz w:val="22"/>
                <w:szCs w:val="22"/>
              </w:rPr>
            </w:pPr>
            <w:r>
              <w:rPr>
                <w:rFonts w:ascii="Times New Roman" w:hAnsi="Times New Roman"/>
                <w:color w:val="000000"/>
                <w:sz w:val="22"/>
                <w:szCs w:val="22"/>
              </w:rPr>
              <w:t>9</w:t>
            </w:r>
          </w:p>
        </w:tc>
        <w:tc>
          <w:tcPr>
            <w:tcW w:w="1402"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8A411E" w14:paraId="7972AC86" w14:textId="6765C7B2">
            <w:pPr>
              <w:jc w:val="center"/>
              <w:rPr>
                <w:rFonts w:ascii="Times New Roman" w:hAnsi="Times New Roman"/>
                <w:color w:val="000000"/>
                <w:sz w:val="22"/>
                <w:szCs w:val="22"/>
              </w:rPr>
            </w:pPr>
            <w:r>
              <w:rPr>
                <w:rFonts w:ascii="Times New Roman" w:hAnsi="Times New Roman"/>
                <w:color w:val="000000"/>
                <w:sz w:val="22"/>
              </w:rPr>
              <w:t>6</w:t>
            </w:r>
            <w:r>
              <w:rPr>
                <w:color w:val="000000"/>
                <w:sz w:val="22"/>
              </w:rPr>
              <w:t>75</w:t>
            </w:r>
          </w:p>
        </w:tc>
      </w:tr>
      <w:tr w:rsidRPr="005530F5" w:rsidR="00347CEF" w:rsidTr="00131D01" w14:paraId="1EA5866A" w14:textId="77777777">
        <w:trPr>
          <w:trHeight w:val="1429"/>
        </w:trPr>
        <w:tc>
          <w:tcPr>
            <w:tcW w:w="4315" w:type="dxa"/>
            <w:tcBorders>
              <w:top w:val="nil"/>
              <w:left w:val="single" w:color="auto" w:sz="8" w:space="0"/>
              <w:bottom w:val="single" w:color="auto" w:sz="8" w:space="0"/>
              <w:right w:val="single" w:color="auto" w:sz="8" w:space="0"/>
            </w:tcBorders>
            <w:shd w:val="clear" w:color="auto" w:fill="auto"/>
            <w:vAlign w:val="center"/>
            <w:hideMark/>
          </w:tcPr>
          <w:p w:rsidRPr="005530F5" w:rsidR="00B35898" w:rsidP="00612C7C" w:rsidRDefault="00B35898" w14:paraId="3666C8E7" w14:textId="6FDD78E9">
            <w:pPr>
              <w:rPr>
                <w:rFonts w:ascii="Times New Roman" w:hAnsi="Times New Roman"/>
                <w:color w:val="000000"/>
                <w:sz w:val="22"/>
                <w:szCs w:val="22"/>
              </w:rPr>
            </w:pPr>
            <w:r w:rsidRPr="005530F5">
              <w:rPr>
                <w:rFonts w:ascii="Times New Roman" w:hAnsi="Times New Roman"/>
                <w:color w:val="000000"/>
                <w:sz w:val="22"/>
              </w:rPr>
              <w:t xml:space="preserve">Develop </w:t>
            </w:r>
            <w:r w:rsidR="00385036">
              <w:rPr>
                <w:rFonts w:ascii="Times New Roman" w:hAnsi="Times New Roman"/>
                <w:color w:val="000000"/>
                <w:sz w:val="22"/>
              </w:rPr>
              <w:t xml:space="preserve">FY 20 </w:t>
            </w:r>
            <w:r w:rsidRPr="005530F5">
              <w:rPr>
                <w:rFonts w:ascii="Times New Roman" w:hAnsi="Times New Roman"/>
                <w:color w:val="000000"/>
                <w:sz w:val="22"/>
              </w:rPr>
              <w:t xml:space="preserve">application forms and instructions </w:t>
            </w:r>
            <w:r w:rsidR="0000509E">
              <w:rPr>
                <w:rFonts w:ascii="Times New Roman" w:hAnsi="Times New Roman"/>
                <w:color w:val="000000"/>
                <w:sz w:val="22"/>
              </w:rPr>
              <w:t>for OMB clearance</w:t>
            </w:r>
          </w:p>
        </w:tc>
        <w:tc>
          <w:tcPr>
            <w:tcW w:w="1664"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EC745E" w14:paraId="203613D8" w14:textId="1DA7CD29">
            <w:pPr>
              <w:jc w:val="center"/>
              <w:rPr>
                <w:rFonts w:ascii="Times New Roman" w:hAnsi="Times New Roman"/>
                <w:color w:val="000000"/>
                <w:sz w:val="22"/>
                <w:szCs w:val="22"/>
              </w:rPr>
            </w:pPr>
            <w:r>
              <w:rPr>
                <w:rFonts w:ascii="Times New Roman" w:hAnsi="Times New Roman"/>
                <w:color w:val="000000"/>
                <w:sz w:val="22"/>
              </w:rPr>
              <w:t>75</w:t>
            </w:r>
            <w:r w:rsidRPr="005530F5" w:rsidR="00B35898">
              <w:rPr>
                <w:rFonts w:ascii="Times New Roman" w:hAnsi="Times New Roman"/>
                <w:color w:val="000000"/>
                <w:sz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B35898" w14:paraId="55A41BB6"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9"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560449" w14:paraId="13C7F195" w14:textId="4C0A7768">
            <w:pPr>
              <w:jc w:val="center"/>
              <w:rPr>
                <w:rFonts w:ascii="Times New Roman" w:hAnsi="Times New Roman"/>
                <w:color w:val="000000"/>
                <w:sz w:val="22"/>
                <w:szCs w:val="22"/>
              </w:rPr>
            </w:pPr>
            <w:r>
              <w:rPr>
                <w:rFonts w:ascii="Times New Roman" w:hAnsi="Times New Roman"/>
                <w:color w:val="000000"/>
                <w:sz w:val="22"/>
                <w:szCs w:val="22"/>
              </w:rPr>
              <w:t>2</w:t>
            </w:r>
            <w:r>
              <w:rPr>
                <w:color w:val="000000"/>
                <w:sz w:val="22"/>
                <w:szCs w:val="22"/>
              </w:rPr>
              <w:t>7</w:t>
            </w:r>
          </w:p>
        </w:tc>
        <w:tc>
          <w:tcPr>
            <w:tcW w:w="1402"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560449" w14:paraId="788B9A25" w14:textId="4276D8E0">
            <w:pPr>
              <w:jc w:val="center"/>
              <w:rPr>
                <w:rFonts w:ascii="Times New Roman" w:hAnsi="Times New Roman"/>
                <w:color w:val="000000"/>
                <w:sz w:val="22"/>
                <w:szCs w:val="22"/>
              </w:rPr>
            </w:pPr>
            <w:r>
              <w:rPr>
                <w:rFonts w:ascii="Times New Roman" w:hAnsi="Times New Roman"/>
                <w:color w:val="000000"/>
                <w:sz w:val="22"/>
                <w:szCs w:val="22"/>
              </w:rPr>
              <w:t>2</w:t>
            </w:r>
            <w:r>
              <w:rPr>
                <w:color w:val="000000"/>
                <w:sz w:val="22"/>
                <w:szCs w:val="22"/>
              </w:rPr>
              <w:t>025</w:t>
            </w:r>
          </w:p>
        </w:tc>
      </w:tr>
      <w:tr w:rsidRPr="005530F5" w:rsidR="00347CEF" w:rsidTr="00105442" w14:paraId="118D9953" w14:textId="77777777">
        <w:trPr>
          <w:trHeight w:val="585"/>
        </w:trPr>
        <w:tc>
          <w:tcPr>
            <w:tcW w:w="4315"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B35898" w:rsidP="00612C7C" w:rsidRDefault="00CC261D" w14:paraId="4F22457B" w14:textId="29844E8D">
            <w:pPr>
              <w:rPr>
                <w:rFonts w:ascii="Times New Roman" w:hAnsi="Times New Roman"/>
                <w:color w:val="000000"/>
                <w:sz w:val="22"/>
                <w:szCs w:val="22"/>
              </w:rPr>
            </w:pPr>
            <w:r>
              <w:rPr>
                <w:rFonts w:ascii="Times New Roman" w:hAnsi="Times New Roman"/>
                <w:color w:val="000000"/>
                <w:sz w:val="22"/>
                <w:szCs w:val="22"/>
              </w:rPr>
              <w:t xml:space="preserve">Prepare FY 20 Notice Inviting Applications </w:t>
            </w:r>
          </w:p>
        </w:tc>
        <w:tc>
          <w:tcPr>
            <w:tcW w:w="1664"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B35898" w:rsidP="00612C7C" w:rsidRDefault="00C62B7B" w14:paraId="70D069A1" w14:textId="445D774F">
            <w:pPr>
              <w:jc w:val="center"/>
              <w:rPr>
                <w:rFonts w:ascii="Times New Roman" w:hAnsi="Times New Roman"/>
                <w:color w:val="000000"/>
                <w:sz w:val="22"/>
                <w:szCs w:val="22"/>
              </w:rPr>
            </w:pPr>
            <w:r>
              <w:rPr>
                <w:rFonts w:ascii="Times New Roman" w:hAnsi="Times New Roman"/>
                <w:color w:val="000000"/>
                <w:sz w:val="22"/>
                <w:szCs w:val="22"/>
              </w:rPr>
              <w:t>75</w:t>
            </w:r>
          </w:p>
        </w:tc>
        <w:tc>
          <w:tcPr>
            <w:tcW w:w="1170"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B35898" w:rsidP="00612C7C" w:rsidRDefault="00B35898" w14:paraId="06713F8D"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9"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B35898" w:rsidP="00612C7C" w:rsidRDefault="00560449" w14:paraId="419FB3A7" w14:textId="49DEB46C">
            <w:pPr>
              <w:jc w:val="center"/>
              <w:rPr>
                <w:rFonts w:ascii="Times New Roman" w:hAnsi="Times New Roman"/>
                <w:color w:val="000000"/>
                <w:sz w:val="22"/>
                <w:szCs w:val="22"/>
              </w:rPr>
            </w:pPr>
            <w:r>
              <w:rPr>
                <w:rFonts w:ascii="Times New Roman" w:hAnsi="Times New Roman"/>
                <w:color w:val="000000"/>
                <w:sz w:val="22"/>
                <w:szCs w:val="22"/>
              </w:rPr>
              <w:t>1</w:t>
            </w:r>
            <w:r>
              <w:rPr>
                <w:color w:val="000000"/>
                <w:sz w:val="22"/>
                <w:szCs w:val="22"/>
              </w:rPr>
              <w:t>8</w:t>
            </w:r>
          </w:p>
        </w:tc>
        <w:tc>
          <w:tcPr>
            <w:tcW w:w="1402"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B35898" w:rsidP="00612C7C" w:rsidRDefault="004D2B42" w14:paraId="26BBE6AF" w14:textId="6DC96EC6">
            <w:pPr>
              <w:jc w:val="center"/>
              <w:rPr>
                <w:rFonts w:ascii="Times New Roman" w:hAnsi="Times New Roman"/>
                <w:color w:val="000000"/>
                <w:sz w:val="22"/>
                <w:szCs w:val="22"/>
              </w:rPr>
            </w:pPr>
            <w:r>
              <w:rPr>
                <w:rFonts w:ascii="Times New Roman" w:hAnsi="Times New Roman"/>
                <w:color w:val="000000"/>
                <w:sz w:val="22"/>
                <w:szCs w:val="22"/>
              </w:rPr>
              <w:t>1</w:t>
            </w:r>
            <w:r>
              <w:rPr>
                <w:color w:val="000000"/>
                <w:sz w:val="22"/>
                <w:szCs w:val="22"/>
              </w:rPr>
              <w:t>350</w:t>
            </w:r>
          </w:p>
        </w:tc>
      </w:tr>
      <w:tr w:rsidRPr="005530F5" w:rsidR="00FB7495" w:rsidTr="00105442" w14:paraId="793CB12E" w14:textId="77777777">
        <w:trPr>
          <w:trHeight w:val="585"/>
        </w:trPr>
        <w:tc>
          <w:tcPr>
            <w:tcW w:w="4315" w:type="dxa"/>
            <w:vMerge/>
            <w:tcBorders>
              <w:top w:val="nil"/>
              <w:left w:val="single" w:color="auto" w:sz="8" w:space="0"/>
              <w:bottom w:val="single" w:color="000000" w:sz="8" w:space="0"/>
              <w:right w:val="single" w:color="auto" w:sz="8" w:space="0"/>
            </w:tcBorders>
            <w:shd w:val="clear" w:color="auto" w:fill="auto"/>
            <w:vAlign w:val="center"/>
          </w:tcPr>
          <w:p w:rsidR="00704225" w:rsidP="00612C7C" w:rsidRDefault="00704225" w14:paraId="0A932F99" w14:textId="77777777">
            <w:pPr>
              <w:rPr>
                <w:rFonts w:ascii="Times New Roman" w:hAnsi="Times New Roman"/>
                <w:color w:val="000000"/>
                <w:sz w:val="22"/>
                <w:szCs w:val="22"/>
              </w:rPr>
            </w:pPr>
          </w:p>
        </w:tc>
        <w:tc>
          <w:tcPr>
            <w:tcW w:w="1664" w:type="dxa"/>
            <w:vMerge/>
            <w:tcBorders>
              <w:top w:val="nil"/>
              <w:left w:val="single" w:color="auto" w:sz="8" w:space="0"/>
              <w:bottom w:val="single" w:color="000000" w:sz="8" w:space="0"/>
              <w:right w:val="single" w:color="auto" w:sz="8" w:space="0"/>
            </w:tcBorders>
            <w:shd w:val="clear" w:color="auto" w:fill="auto"/>
            <w:vAlign w:val="center"/>
          </w:tcPr>
          <w:p w:rsidR="00704225" w:rsidP="00612C7C" w:rsidRDefault="00704225" w14:paraId="4B95B10F" w14:textId="77777777">
            <w:pPr>
              <w:jc w:val="center"/>
              <w:rPr>
                <w:rFonts w:ascii="Times New Roman" w:hAnsi="Times New Roman"/>
                <w:color w:val="000000"/>
                <w:sz w:val="22"/>
                <w:szCs w:val="22"/>
              </w:rPr>
            </w:pPr>
          </w:p>
        </w:tc>
        <w:tc>
          <w:tcPr>
            <w:tcW w:w="1170" w:type="dxa"/>
            <w:vMerge/>
            <w:tcBorders>
              <w:top w:val="nil"/>
              <w:left w:val="single" w:color="auto" w:sz="8" w:space="0"/>
              <w:bottom w:val="single" w:color="000000" w:sz="8" w:space="0"/>
              <w:right w:val="single" w:color="auto" w:sz="8" w:space="0"/>
            </w:tcBorders>
            <w:shd w:val="clear" w:color="auto" w:fill="auto"/>
            <w:vAlign w:val="center"/>
          </w:tcPr>
          <w:p w:rsidRPr="005530F5" w:rsidR="00704225" w:rsidP="00612C7C" w:rsidRDefault="00704225" w14:paraId="48B67A4B" w14:textId="77777777">
            <w:pPr>
              <w:jc w:val="center"/>
              <w:rPr>
                <w:rFonts w:ascii="Times New Roman" w:hAnsi="Times New Roman"/>
                <w:color w:val="000000"/>
                <w:sz w:val="22"/>
              </w:rPr>
            </w:pPr>
          </w:p>
        </w:tc>
        <w:tc>
          <w:tcPr>
            <w:tcW w:w="929" w:type="dxa"/>
            <w:vMerge/>
            <w:tcBorders>
              <w:top w:val="nil"/>
              <w:left w:val="single" w:color="auto" w:sz="8" w:space="0"/>
              <w:bottom w:val="single" w:color="000000" w:sz="8" w:space="0"/>
              <w:right w:val="single" w:color="auto" w:sz="8" w:space="0"/>
            </w:tcBorders>
            <w:shd w:val="clear" w:color="auto" w:fill="auto"/>
            <w:vAlign w:val="center"/>
          </w:tcPr>
          <w:p w:rsidR="00704225" w:rsidP="00612C7C" w:rsidRDefault="00704225" w14:paraId="1B7E7407" w14:textId="77777777">
            <w:pPr>
              <w:jc w:val="center"/>
              <w:rPr>
                <w:rFonts w:ascii="Times New Roman" w:hAnsi="Times New Roman"/>
                <w:color w:val="000000"/>
                <w:sz w:val="22"/>
                <w:szCs w:val="22"/>
              </w:rPr>
            </w:pPr>
          </w:p>
        </w:tc>
        <w:tc>
          <w:tcPr>
            <w:tcW w:w="1402" w:type="dxa"/>
            <w:vMerge/>
            <w:tcBorders>
              <w:top w:val="nil"/>
              <w:left w:val="single" w:color="auto" w:sz="8" w:space="0"/>
              <w:bottom w:val="single" w:color="000000" w:sz="8" w:space="0"/>
              <w:right w:val="single" w:color="auto" w:sz="8" w:space="0"/>
            </w:tcBorders>
            <w:shd w:val="clear" w:color="auto" w:fill="auto"/>
            <w:vAlign w:val="center"/>
          </w:tcPr>
          <w:p w:rsidR="00704225" w:rsidP="00612C7C" w:rsidRDefault="00704225" w14:paraId="5D35EFC8" w14:textId="77777777">
            <w:pPr>
              <w:jc w:val="center"/>
              <w:rPr>
                <w:rFonts w:ascii="Times New Roman" w:hAnsi="Times New Roman"/>
                <w:color w:val="000000"/>
                <w:sz w:val="22"/>
                <w:szCs w:val="22"/>
              </w:rPr>
            </w:pPr>
          </w:p>
        </w:tc>
      </w:tr>
      <w:tr w:rsidRPr="005530F5" w:rsidR="00347CEF" w:rsidTr="00131D01" w14:paraId="11F125DF" w14:textId="77777777">
        <w:trPr>
          <w:trHeight w:val="272"/>
        </w:trPr>
        <w:tc>
          <w:tcPr>
            <w:tcW w:w="4315" w:type="dxa"/>
            <w:vMerge/>
            <w:tcBorders>
              <w:top w:val="nil"/>
              <w:left w:val="single" w:color="auto" w:sz="8" w:space="0"/>
              <w:bottom w:val="single" w:color="000000" w:sz="8" w:space="0"/>
              <w:right w:val="single" w:color="auto" w:sz="8" w:space="0"/>
            </w:tcBorders>
            <w:vAlign w:val="center"/>
            <w:hideMark/>
          </w:tcPr>
          <w:p w:rsidRPr="005530F5" w:rsidR="00B35898" w:rsidP="00612C7C" w:rsidRDefault="00B35898" w14:paraId="003FBF27" w14:textId="77777777">
            <w:pPr>
              <w:rPr>
                <w:rFonts w:ascii="Times New Roman" w:hAnsi="Times New Roman"/>
                <w:color w:val="000000"/>
                <w:sz w:val="22"/>
                <w:szCs w:val="22"/>
              </w:rPr>
            </w:pPr>
          </w:p>
        </w:tc>
        <w:tc>
          <w:tcPr>
            <w:tcW w:w="1664" w:type="dxa"/>
            <w:vMerge/>
            <w:tcBorders>
              <w:top w:val="nil"/>
              <w:left w:val="single" w:color="auto" w:sz="8" w:space="0"/>
              <w:bottom w:val="single" w:color="000000" w:sz="8" w:space="0"/>
              <w:right w:val="single" w:color="auto" w:sz="8" w:space="0"/>
            </w:tcBorders>
            <w:vAlign w:val="center"/>
            <w:hideMark/>
          </w:tcPr>
          <w:p w:rsidRPr="005530F5" w:rsidR="00B35898" w:rsidP="00612C7C" w:rsidRDefault="00B35898" w14:paraId="2894DEE9" w14:textId="77777777">
            <w:pPr>
              <w:rPr>
                <w:rFonts w:ascii="Times New Roman" w:hAnsi="Times New Roman"/>
                <w:color w:val="000000"/>
                <w:sz w:val="22"/>
                <w:szCs w:val="22"/>
              </w:rPr>
            </w:pPr>
          </w:p>
        </w:tc>
        <w:tc>
          <w:tcPr>
            <w:tcW w:w="1170" w:type="dxa"/>
            <w:vMerge/>
            <w:tcBorders>
              <w:top w:val="nil"/>
              <w:left w:val="single" w:color="auto" w:sz="8" w:space="0"/>
              <w:bottom w:val="single" w:color="000000" w:sz="8" w:space="0"/>
              <w:right w:val="single" w:color="auto" w:sz="8" w:space="0"/>
            </w:tcBorders>
            <w:vAlign w:val="center"/>
            <w:hideMark/>
          </w:tcPr>
          <w:p w:rsidRPr="005530F5" w:rsidR="00B35898" w:rsidP="00612C7C" w:rsidRDefault="00B35898" w14:paraId="72385CC5" w14:textId="77777777">
            <w:pPr>
              <w:rPr>
                <w:rFonts w:ascii="Times New Roman" w:hAnsi="Times New Roman"/>
                <w:color w:val="000000"/>
                <w:sz w:val="22"/>
                <w:szCs w:val="22"/>
              </w:rPr>
            </w:pPr>
          </w:p>
        </w:tc>
        <w:tc>
          <w:tcPr>
            <w:tcW w:w="929" w:type="dxa"/>
            <w:vMerge/>
            <w:tcBorders>
              <w:top w:val="nil"/>
              <w:left w:val="single" w:color="auto" w:sz="8" w:space="0"/>
              <w:bottom w:val="single" w:color="000000" w:sz="8" w:space="0"/>
              <w:right w:val="single" w:color="auto" w:sz="8" w:space="0"/>
            </w:tcBorders>
            <w:vAlign w:val="center"/>
            <w:hideMark/>
          </w:tcPr>
          <w:p w:rsidRPr="005530F5" w:rsidR="00B35898" w:rsidP="00612C7C" w:rsidRDefault="00B35898" w14:paraId="774BEEC5" w14:textId="77777777">
            <w:pPr>
              <w:rPr>
                <w:rFonts w:ascii="Times New Roman" w:hAnsi="Times New Roman"/>
                <w:color w:val="000000"/>
                <w:sz w:val="22"/>
                <w:szCs w:val="22"/>
              </w:rPr>
            </w:pPr>
          </w:p>
        </w:tc>
        <w:tc>
          <w:tcPr>
            <w:tcW w:w="1402" w:type="dxa"/>
            <w:vMerge/>
            <w:tcBorders>
              <w:top w:val="nil"/>
              <w:left w:val="single" w:color="auto" w:sz="8" w:space="0"/>
              <w:bottom w:val="single" w:color="000000" w:sz="8" w:space="0"/>
              <w:right w:val="single" w:color="auto" w:sz="8" w:space="0"/>
            </w:tcBorders>
            <w:vAlign w:val="center"/>
            <w:hideMark/>
          </w:tcPr>
          <w:p w:rsidRPr="005530F5" w:rsidR="00B35898" w:rsidP="00612C7C" w:rsidRDefault="00B35898" w14:paraId="3713E97D" w14:textId="77777777">
            <w:pPr>
              <w:rPr>
                <w:rFonts w:ascii="Times New Roman" w:hAnsi="Times New Roman"/>
                <w:color w:val="000000"/>
                <w:sz w:val="22"/>
                <w:szCs w:val="22"/>
              </w:rPr>
            </w:pPr>
          </w:p>
        </w:tc>
      </w:tr>
      <w:tr w:rsidRPr="005530F5" w:rsidR="00347CEF" w:rsidTr="00105442" w14:paraId="5F54E1F1" w14:textId="77777777">
        <w:trPr>
          <w:trHeight w:val="915"/>
        </w:trPr>
        <w:tc>
          <w:tcPr>
            <w:tcW w:w="4315" w:type="dxa"/>
            <w:tcBorders>
              <w:top w:val="nil"/>
              <w:left w:val="single" w:color="auto" w:sz="8" w:space="0"/>
              <w:bottom w:val="single" w:color="auto" w:sz="8" w:space="0"/>
              <w:right w:val="single" w:color="auto" w:sz="8" w:space="0"/>
            </w:tcBorders>
            <w:shd w:val="clear" w:color="auto" w:fill="auto"/>
            <w:vAlign w:val="center"/>
            <w:hideMark/>
          </w:tcPr>
          <w:p w:rsidRPr="005530F5" w:rsidR="00B35898" w:rsidP="00612C7C" w:rsidRDefault="00BD77A8" w14:paraId="69ACD117" w14:textId="169A114C">
            <w:pPr>
              <w:rPr>
                <w:rFonts w:ascii="Times New Roman" w:hAnsi="Times New Roman"/>
                <w:color w:val="000000"/>
                <w:sz w:val="22"/>
                <w:szCs w:val="22"/>
              </w:rPr>
            </w:pPr>
            <w:r>
              <w:rPr>
                <w:rFonts w:ascii="Times New Roman" w:hAnsi="Times New Roman"/>
                <w:color w:val="000000"/>
                <w:sz w:val="22"/>
              </w:rPr>
              <w:t xml:space="preserve">Conduct </w:t>
            </w:r>
            <w:r w:rsidR="0041446D">
              <w:rPr>
                <w:rFonts w:ascii="Times New Roman" w:hAnsi="Times New Roman"/>
                <w:color w:val="000000"/>
                <w:sz w:val="22"/>
              </w:rPr>
              <w:t xml:space="preserve">(2) </w:t>
            </w:r>
            <w:r>
              <w:rPr>
                <w:rFonts w:ascii="Times New Roman" w:hAnsi="Times New Roman"/>
                <w:color w:val="000000"/>
                <w:sz w:val="22"/>
              </w:rPr>
              <w:t>technical assistance webinar</w:t>
            </w:r>
            <w:r w:rsidR="0041446D">
              <w:rPr>
                <w:rFonts w:ascii="Times New Roman" w:hAnsi="Times New Roman"/>
                <w:color w:val="000000"/>
                <w:sz w:val="22"/>
              </w:rPr>
              <w:t xml:space="preserve">s, one for </w:t>
            </w:r>
            <w:r>
              <w:rPr>
                <w:rFonts w:ascii="Times New Roman" w:hAnsi="Times New Roman"/>
                <w:color w:val="000000"/>
                <w:sz w:val="22"/>
              </w:rPr>
              <w:t xml:space="preserve">prospective applicants </w:t>
            </w:r>
            <w:r w:rsidR="00F83C10">
              <w:rPr>
                <w:rFonts w:ascii="Times New Roman" w:hAnsi="Times New Roman"/>
                <w:color w:val="000000"/>
                <w:sz w:val="22"/>
              </w:rPr>
              <w:t xml:space="preserve">and one </w:t>
            </w:r>
            <w:r w:rsidR="00A352F9">
              <w:rPr>
                <w:rFonts w:ascii="Times New Roman" w:hAnsi="Times New Roman"/>
                <w:color w:val="000000"/>
                <w:sz w:val="22"/>
              </w:rPr>
              <w:t xml:space="preserve">panel </w:t>
            </w:r>
            <w:r w:rsidR="00F83C10">
              <w:rPr>
                <w:rFonts w:ascii="Times New Roman" w:hAnsi="Times New Roman"/>
                <w:color w:val="000000"/>
                <w:sz w:val="22"/>
              </w:rPr>
              <w:t xml:space="preserve">orientation webinar for </w:t>
            </w:r>
            <w:r w:rsidR="00F15D30">
              <w:rPr>
                <w:rFonts w:ascii="Times New Roman" w:hAnsi="Times New Roman"/>
                <w:color w:val="000000"/>
                <w:sz w:val="22"/>
              </w:rPr>
              <w:t xml:space="preserve">peer reviewers. </w:t>
            </w:r>
            <w:r w:rsidR="00F12403">
              <w:rPr>
                <w:rFonts w:ascii="Times New Roman" w:hAnsi="Times New Roman"/>
                <w:color w:val="000000"/>
                <w:sz w:val="22"/>
              </w:rPr>
              <w:t xml:space="preserve"> </w:t>
            </w:r>
            <w:r w:rsidR="007849AE">
              <w:rPr>
                <w:rFonts w:ascii="Times New Roman" w:hAnsi="Times New Roman"/>
                <w:color w:val="000000"/>
                <w:sz w:val="22"/>
              </w:rPr>
              <w:t xml:space="preserve"> </w:t>
            </w:r>
          </w:p>
        </w:tc>
        <w:tc>
          <w:tcPr>
            <w:tcW w:w="1664"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2F3922" w14:paraId="25DE4064" w14:textId="479179AD">
            <w:pPr>
              <w:jc w:val="center"/>
              <w:rPr>
                <w:rFonts w:ascii="Times New Roman" w:hAnsi="Times New Roman"/>
                <w:color w:val="000000"/>
                <w:sz w:val="22"/>
                <w:szCs w:val="22"/>
              </w:rPr>
            </w:pPr>
            <w:r>
              <w:rPr>
                <w:rFonts w:ascii="Times New Roman" w:hAnsi="Times New Roman"/>
                <w:color w:val="000000"/>
                <w:sz w:val="22"/>
                <w:szCs w:val="22"/>
              </w:rPr>
              <w:t>75</w:t>
            </w:r>
            <w:r w:rsidRPr="005530F5" w:rsidR="00B35898">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B35898" w14:paraId="5A58F86B"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9"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1D1991" w14:paraId="223F14A3" w14:textId="2DBA1A73">
            <w:pPr>
              <w:jc w:val="center"/>
              <w:rPr>
                <w:rFonts w:ascii="Times New Roman" w:hAnsi="Times New Roman"/>
                <w:color w:val="000000"/>
                <w:sz w:val="22"/>
                <w:szCs w:val="22"/>
              </w:rPr>
            </w:pPr>
            <w:r>
              <w:rPr>
                <w:rFonts w:ascii="Times New Roman" w:hAnsi="Times New Roman"/>
                <w:color w:val="000000"/>
                <w:sz w:val="22"/>
              </w:rPr>
              <w:t>4</w:t>
            </w:r>
          </w:p>
        </w:tc>
        <w:tc>
          <w:tcPr>
            <w:tcW w:w="1402" w:type="dxa"/>
            <w:tcBorders>
              <w:top w:val="nil"/>
              <w:left w:val="nil"/>
              <w:bottom w:val="single" w:color="auto" w:sz="8" w:space="0"/>
              <w:right w:val="single" w:color="auto" w:sz="8" w:space="0"/>
            </w:tcBorders>
            <w:shd w:val="clear" w:color="auto" w:fill="auto"/>
            <w:vAlign w:val="center"/>
            <w:hideMark/>
          </w:tcPr>
          <w:p w:rsidRPr="005530F5" w:rsidR="00B35898" w:rsidP="00612C7C" w:rsidRDefault="00B30B53" w14:paraId="69077D0A" w14:textId="7AA35F4C">
            <w:pPr>
              <w:jc w:val="center"/>
              <w:rPr>
                <w:rFonts w:ascii="Times New Roman" w:hAnsi="Times New Roman"/>
                <w:color w:val="000000"/>
                <w:sz w:val="22"/>
                <w:szCs w:val="22"/>
              </w:rPr>
            </w:pPr>
            <w:r>
              <w:rPr>
                <w:rFonts w:ascii="Times New Roman" w:hAnsi="Times New Roman"/>
                <w:color w:val="000000"/>
                <w:sz w:val="22"/>
                <w:szCs w:val="22"/>
              </w:rPr>
              <w:t>300</w:t>
            </w:r>
          </w:p>
        </w:tc>
      </w:tr>
      <w:tr w:rsidRPr="005530F5" w:rsidR="00EC7CB6" w:rsidTr="00105442" w14:paraId="01D88665" w14:textId="77777777">
        <w:trPr>
          <w:trHeight w:val="915"/>
        </w:trPr>
        <w:tc>
          <w:tcPr>
            <w:tcW w:w="4315" w:type="dxa"/>
            <w:tcBorders>
              <w:top w:val="nil"/>
              <w:left w:val="single" w:color="auto" w:sz="8" w:space="0"/>
              <w:bottom w:val="single" w:color="auto" w:sz="8" w:space="0"/>
              <w:right w:val="single" w:color="auto" w:sz="8" w:space="0"/>
            </w:tcBorders>
            <w:shd w:val="clear" w:color="auto" w:fill="auto"/>
            <w:vAlign w:val="center"/>
          </w:tcPr>
          <w:p w:rsidR="00EC7CB6" w:rsidP="00612C7C" w:rsidRDefault="006459E7" w14:paraId="39BDCF50" w14:textId="659B0378">
            <w:pPr>
              <w:rPr>
                <w:rFonts w:ascii="Times New Roman" w:hAnsi="Times New Roman"/>
                <w:color w:val="000000"/>
                <w:sz w:val="22"/>
              </w:rPr>
            </w:pPr>
            <w:r>
              <w:rPr>
                <w:rFonts w:ascii="Times New Roman" w:hAnsi="Times New Roman"/>
                <w:color w:val="000000"/>
                <w:sz w:val="22"/>
              </w:rPr>
              <w:t xml:space="preserve">Pre-screen all submitted applications for eligibility, completeness, and </w:t>
            </w:r>
            <w:r w:rsidR="00EB7340">
              <w:rPr>
                <w:rFonts w:ascii="Times New Roman" w:hAnsi="Times New Roman"/>
                <w:color w:val="000000"/>
                <w:sz w:val="22"/>
              </w:rPr>
              <w:t>type</w:t>
            </w:r>
            <w:r w:rsidR="000A58F1">
              <w:rPr>
                <w:rFonts w:ascii="Times New Roman" w:hAnsi="Times New Roman"/>
                <w:color w:val="000000"/>
                <w:sz w:val="22"/>
              </w:rPr>
              <w:t>, e.g., instructional materials or survey project</w:t>
            </w:r>
            <w:r w:rsidR="001E6F63">
              <w:rPr>
                <w:rFonts w:ascii="Times New Roman" w:hAnsi="Times New Roman"/>
                <w:color w:val="000000"/>
                <w:sz w:val="22"/>
              </w:rPr>
              <w:t>.</w:t>
            </w:r>
          </w:p>
        </w:tc>
        <w:tc>
          <w:tcPr>
            <w:tcW w:w="1664" w:type="dxa"/>
            <w:tcBorders>
              <w:top w:val="nil"/>
              <w:left w:val="nil"/>
              <w:bottom w:val="single" w:color="auto" w:sz="8" w:space="0"/>
              <w:right w:val="single" w:color="auto" w:sz="8" w:space="0"/>
            </w:tcBorders>
            <w:shd w:val="clear" w:color="auto" w:fill="auto"/>
            <w:vAlign w:val="center"/>
          </w:tcPr>
          <w:p w:rsidR="00EC7CB6" w:rsidP="00612C7C" w:rsidRDefault="00827087" w14:paraId="41C7106C" w14:textId="577CD2C0">
            <w:pPr>
              <w:jc w:val="center"/>
              <w:rPr>
                <w:rFonts w:ascii="Times New Roman" w:hAnsi="Times New Roman"/>
                <w:color w:val="000000"/>
                <w:sz w:val="22"/>
                <w:szCs w:val="22"/>
              </w:rPr>
            </w:pPr>
            <w:r>
              <w:rPr>
                <w:rFonts w:ascii="Times New Roman" w:hAnsi="Times New Roman"/>
                <w:color w:val="000000"/>
                <w:sz w:val="22"/>
                <w:szCs w:val="22"/>
              </w:rPr>
              <w:t>50</w:t>
            </w:r>
          </w:p>
        </w:tc>
        <w:tc>
          <w:tcPr>
            <w:tcW w:w="1170" w:type="dxa"/>
            <w:tcBorders>
              <w:top w:val="nil"/>
              <w:left w:val="nil"/>
              <w:bottom w:val="single" w:color="auto" w:sz="8" w:space="0"/>
              <w:right w:val="single" w:color="auto" w:sz="8" w:space="0"/>
            </w:tcBorders>
            <w:shd w:val="clear" w:color="auto" w:fill="auto"/>
            <w:vAlign w:val="center"/>
          </w:tcPr>
          <w:p w:rsidRPr="005530F5" w:rsidR="00EC7CB6" w:rsidP="00612C7C" w:rsidRDefault="001E6F63" w14:paraId="0CCDC958" w14:textId="565DC831">
            <w:pPr>
              <w:jc w:val="center"/>
              <w:rPr>
                <w:rFonts w:ascii="Times New Roman" w:hAnsi="Times New Roman"/>
                <w:color w:val="000000"/>
                <w:sz w:val="22"/>
              </w:rPr>
            </w:pPr>
            <w:r>
              <w:rPr>
                <w:rFonts w:ascii="Times New Roman" w:hAnsi="Times New Roman"/>
                <w:color w:val="000000"/>
                <w:sz w:val="22"/>
              </w:rPr>
              <w:t>1</w:t>
            </w:r>
          </w:p>
        </w:tc>
        <w:tc>
          <w:tcPr>
            <w:tcW w:w="929" w:type="dxa"/>
            <w:tcBorders>
              <w:top w:val="nil"/>
              <w:left w:val="nil"/>
              <w:bottom w:val="single" w:color="auto" w:sz="8" w:space="0"/>
              <w:right w:val="single" w:color="auto" w:sz="8" w:space="0"/>
            </w:tcBorders>
            <w:shd w:val="clear" w:color="auto" w:fill="auto"/>
            <w:vAlign w:val="center"/>
          </w:tcPr>
          <w:p w:rsidR="00EC7CB6" w:rsidP="00612C7C" w:rsidRDefault="00364B5C" w14:paraId="4DB1DABB" w14:textId="3C92E1F2">
            <w:pPr>
              <w:jc w:val="center"/>
              <w:rPr>
                <w:rFonts w:ascii="Times New Roman" w:hAnsi="Times New Roman"/>
                <w:color w:val="000000"/>
                <w:sz w:val="22"/>
              </w:rPr>
            </w:pPr>
            <w:r>
              <w:rPr>
                <w:rFonts w:ascii="Times New Roman" w:hAnsi="Times New Roman"/>
                <w:color w:val="000000"/>
                <w:sz w:val="22"/>
              </w:rPr>
              <w:t>7</w:t>
            </w:r>
          </w:p>
        </w:tc>
        <w:tc>
          <w:tcPr>
            <w:tcW w:w="1402" w:type="dxa"/>
            <w:tcBorders>
              <w:top w:val="nil"/>
              <w:left w:val="nil"/>
              <w:bottom w:val="single" w:color="auto" w:sz="8" w:space="0"/>
              <w:right w:val="single" w:color="auto" w:sz="8" w:space="0"/>
            </w:tcBorders>
            <w:shd w:val="clear" w:color="auto" w:fill="auto"/>
            <w:vAlign w:val="center"/>
          </w:tcPr>
          <w:p w:rsidR="00EC7CB6" w:rsidP="00612C7C" w:rsidRDefault="002E5752" w14:paraId="3B2126C1" w14:textId="440E6CAA">
            <w:pPr>
              <w:jc w:val="center"/>
              <w:rPr>
                <w:rFonts w:ascii="Times New Roman" w:hAnsi="Times New Roman"/>
                <w:color w:val="000000"/>
                <w:sz w:val="22"/>
                <w:szCs w:val="22"/>
              </w:rPr>
            </w:pPr>
            <w:r>
              <w:rPr>
                <w:rFonts w:ascii="Times New Roman" w:hAnsi="Times New Roman"/>
                <w:color w:val="000000"/>
                <w:sz w:val="22"/>
                <w:szCs w:val="22"/>
              </w:rPr>
              <w:t>350</w:t>
            </w:r>
          </w:p>
        </w:tc>
      </w:tr>
      <w:tr w:rsidRPr="005530F5" w:rsidR="00FB7495" w:rsidTr="00105442" w14:paraId="5F0C92E3" w14:textId="77777777">
        <w:trPr>
          <w:trHeight w:val="915"/>
        </w:trPr>
        <w:tc>
          <w:tcPr>
            <w:tcW w:w="4315" w:type="dxa"/>
            <w:tcBorders>
              <w:top w:val="nil"/>
              <w:left w:val="single" w:color="auto" w:sz="8" w:space="0"/>
              <w:bottom w:val="single" w:color="auto" w:sz="8" w:space="0"/>
              <w:right w:val="single" w:color="auto" w:sz="8" w:space="0"/>
            </w:tcBorders>
            <w:shd w:val="clear" w:color="auto" w:fill="auto"/>
            <w:vAlign w:val="center"/>
          </w:tcPr>
          <w:p w:rsidR="00F12403" w:rsidP="00F12403" w:rsidRDefault="00F12403" w14:paraId="7964457D" w14:textId="7C219F11">
            <w:pPr>
              <w:rPr>
                <w:rFonts w:ascii="Times New Roman" w:hAnsi="Times New Roman"/>
                <w:color w:val="000000"/>
                <w:sz w:val="22"/>
              </w:rPr>
            </w:pPr>
            <w:r>
              <w:rPr>
                <w:rFonts w:ascii="Times New Roman" w:hAnsi="Times New Roman"/>
                <w:color w:val="000000"/>
                <w:sz w:val="22"/>
              </w:rPr>
              <w:t xml:space="preserve">Create peer review panels and assign </w:t>
            </w:r>
            <w:r w:rsidR="00780D8E">
              <w:rPr>
                <w:rFonts w:ascii="Times New Roman" w:hAnsi="Times New Roman"/>
                <w:color w:val="000000"/>
                <w:sz w:val="22"/>
              </w:rPr>
              <w:t xml:space="preserve">applications </w:t>
            </w:r>
            <w:r w:rsidRPr="005530F5">
              <w:rPr>
                <w:rFonts w:ascii="Times New Roman" w:hAnsi="Times New Roman"/>
                <w:color w:val="000000"/>
                <w:sz w:val="22"/>
              </w:rPr>
              <w:t xml:space="preserve">in G5 </w:t>
            </w:r>
            <w:r>
              <w:rPr>
                <w:rFonts w:ascii="Times New Roman" w:hAnsi="Times New Roman"/>
                <w:color w:val="000000"/>
                <w:sz w:val="22"/>
              </w:rPr>
              <w:t xml:space="preserve">e-Reader </w:t>
            </w:r>
            <w:r w:rsidRPr="005530F5">
              <w:rPr>
                <w:rFonts w:ascii="Times New Roman" w:hAnsi="Times New Roman"/>
                <w:color w:val="000000"/>
                <w:sz w:val="22"/>
              </w:rPr>
              <w:t xml:space="preserve"> </w:t>
            </w:r>
          </w:p>
        </w:tc>
        <w:tc>
          <w:tcPr>
            <w:tcW w:w="1664" w:type="dxa"/>
            <w:tcBorders>
              <w:top w:val="nil"/>
              <w:left w:val="nil"/>
              <w:bottom w:val="single" w:color="auto" w:sz="8" w:space="0"/>
              <w:right w:val="single" w:color="auto" w:sz="8" w:space="0"/>
            </w:tcBorders>
            <w:shd w:val="clear" w:color="auto" w:fill="auto"/>
            <w:vAlign w:val="center"/>
          </w:tcPr>
          <w:p w:rsidRPr="005530F5" w:rsidR="00F12403" w:rsidP="00F12403" w:rsidRDefault="006C35B1" w14:paraId="16CACDE4" w14:textId="4EC65161">
            <w:pPr>
              <w:jc w:val="center"/>
              <w:rPr>
                <w:rFonts w:ascii="Times New Roman" w:hAnsi="Times New Roman"/>
                <w:color w:val="000000"/>
                <w:sz w:val="22"/>
                <w:szCs w:val="22"/>
              </w:rPr>
            </w:pPr>
            <w:r>
              <w:rPr>
                <w:rFonts w:ascii="Times New Roman" w:hAnsi="Times New Roman"/>
                <w:color w:val="000000"/>
                <w:sz w:val="22"/>
                <w:szCs w:val="22"/>
              </w:rPr>
              <w:t>50</w:t>
            </w:r>
          </w:p>
        </w:tc>
        <w:tc>
          <w:tcPr>
            <w:tcW w:w="1170" w:type="dxa"/>
            <w:tcBorders>
              <w:top w:val="nil"/>
              <w:left w:val="nil"/>
              <w:bottom w:val="single" w:color="auto" w:sz="8" w:space="0"/>
              <w:right w:val="single" w:color="auto" w:sz="8" w:space="0"/>
            </w:tcBorders>
            <w:shd w:val="clear" w:color="auto" w:fill="auto"/>
            <w:vAlign w:val="center"/>
          </w:tcPr>
          <w:p w:rsidRPr="005530F5" w:rsidR="00F12403" w:rsidP="00F12403" w:rsidRDefault="00F12403" w14:paraId="7D495281" w14:textId="3B18481B">
            <w:pPr>
              <w:jc w:val="center"/>
              <w:rPr>
                <w:rFonts w:ascii="Times New Roman" w:hAnsi="Times New Roman"/>
                <w:color w:val="000000"/>
                <w:sz w:val="22"/>
              </w:rPr>
            </w:pPr>
            <w:r w:rsidRPr="005530F5">
              <w:rPr>
                <w:rFonts w:ascii="Times New Roman" w:hAnsi="Times New Roman"/>
                <w:color w:val="000000"/>
                <w:sz w:val="22"/>
              </w:rPr>
              <w:t>1</w:t>
            </w:r>
          </w:p>
        </w:tc>
        <w:tc>
          <w:tcPr>
            <w:tcW w:w="929" w:type="dxa"/>
            <w:tcBorders>
              <w:top w:val="nil"/>
              <w:left w:val="nil"/>
              <w:bottom w:val="single" w:color="auto" w:sz="8" w:space="0"/>
              <w:right w:val="single" w:color="auto" w:sz="8" w:space="0"/>
            </w:tcBorders>
            <w:shd w:val="clear" w:color="auto" w:fill="auto"/>
            <w:vAlign w:val="center"/>
          </w:tcPr>
          <w:p w:rsidRPr="005530F5" w:rsidR="00F12403" w:rsidP="00F12403" w:rsidRDefault="00061500" w14:paraId="00EF254A" w14:textId="48D904B8">
            <w:pPr>
              <w:jc w:val="center"/>
              <w:rPr>
                <w:rFonts w:ascii="Times New Roman" w:hAnsi="Times New Roman"/>
                <w:color w:val="000000"/>
                <w:sz w:val="22"/>
              </w:rPr>
            </w:pPr>
            <w:r>
              <w:rPr>
                <w:rFonts w:ascii="Times New Roman" w:hAnsi="Times New Roman"/>
                <w:color w:val="000000"/>
                <w:sz w:val="22"/>
              </w:rPr>
              <w:t>5</w:t>
            </w:r>
          </w:p>
        </w:tc>
        <w:tc>
          <w:tcPr>
            <w:tcW w:w="1402" w:type="dxa"/>
            <w:tcBorders>
              <w:top w:val="nil"/>
              <w:left w:val="nil"/>
              <w:bottom w:val="single" w:color="auto" w:sz="8" w:space="0"/>
              <w:right w:val="single" w:color="auto" w:sz="8" w:space="0"/>
            </w:tcBorders>
            <w:shd w:val="clear" w:color="auto" w:fill="auto"/>
            <w:vAlign w:val="center"/>
          </w:tcPr>
          <w:p w:rsidRPr="005530F5" w:rsidR="00F12403" w:rsidP="00F12403" w:rsidRDefault="00D5207B" w14:paraId="71763643" w14:textId="28A292C6">
            <w:pPr>
              <w:jc w:val="center"/>
              <w:rPr>
                <w:rFonts w:ascii="Times New Roman" w:hAnsi="Times New Roman"/>
                <w:color w:val="000000"/>
                <w:sz w:val="22"/>
                <w:szCs w:val="22"/>
              </w:rPr>
            </w:pPr>
            <w:r>
              <w:rPr>
                <w:rFonts w:ascii="Times New Roman" w:hAnsi="Times New Roman"/>
                <w:color w:val="000000"/>
                <w:sz w:val="22"/>
                <w:szCs w:val="22"/>
              </w:rPr>
              <w:t>250</w:t>
            </w:r>
          </w:p>
        </w:tc>
      </w:tr>
      <w:tr w:rsidRPr="005530F5" w:rsidR="00347CEF" w:rsidTr="00105442" w14:paraId="3C0496EF" w14:textId="77777777">
        <w:trPr>
          <w:trHeight w:val="1515"/>
        </w:trPr>
        <w:tc>
          <w:tcPr>
            <w:tcW w:w="4315" w:type="dxa"/>
            <w:tcBorders>
              <w:top w:val="nil"/>
              <w:left w:val="single" w:color="auto" w:sz="8" w:space="0"/>
              <w:bottom w:val="single" w:color="auto" w:sz="8" w:space="0"/>
              <w:right w:val="single" w:color="auto" w:sz="8" w:space="0"/>
            </w:tcBorders>
            <w:shd w:val="clear" w:color="auto" w:fill="auto"/>
            <w:vAlign w:val="center"/>
            <w:hideMark/>
          </w:tcPr>
          <w:p w:rsidRPr="005530F5" w:rsidR="00F12403" w:rsidP="00F12403" w:rsidRDefault="00F56FAF" w14:paraId="566CB750" w14:textId="6B7B8D18">
            <w:pPr>
              <w:rPr>
                <w:rFonts w:ascii="Times New Roman" w:hAnsi="Times New Roman"/>
                <w:color w:val="000000"/>
                <w:sz w:val="22"/>
                <w:szCs w:val="22"/>
              </w:rPr>
            </w:pPr>
            <w:r>
              <w:rPr>
                <w:rFonts w:ascii="Times New Roman" w:hAnsi="Times New Roman"/>
                <w:color w:val="000000"/>
                <w:sz w:val="22"/>
              </w:rPr>
              <w:t>C</w:t>
            </w:r>
            <w:r w:rsidRPr="005530F5" w:rsidR="00F12403">
              <w:rPr>
                <w:rFonts w:ascii="Times New Roman" w:hAnsi="Times New Roman"/>
                <w:color w:val="000000"/>
                <w:sz w:val="22"/>
              </w:rPr>
              <w:t xml:space="preserve">onduct </w:t>
            </w:r>
            <w:r w:rsidR="00CA2472">
              <w:rPr>
                <w:rFonts w:ascii="Times New Roman" w:hAnsi="Times New Roman"/>
                <w:color w:val="000000"/>
                <w:sz w:val="22"/>
              </w:rPr>
              <w:t>two-week</w:t>
            </w:r>
            <w:r w:rsidR="00266990">
              <w:rPr>
                <w:rFonts w:ascii="Times New Roman" w:hAnsi="Times New Roman"/>
                <w:color w:val="000000"/>
                <w:sz w:val="22"/>
              </w:rPr>
              <w:t xml:space="preserve"> </w:t>
            </w:r>
            <w:r w:rsidR="005D2458">
              <w:rPr>
                <w:rFonts w:ascii="Times New Roman" w:hAnsi="Times New Roman"/>
                <w:color w:val="000000"/>
                <w:sz w:val="22"/>
              </w:rPr>
              <w:t>panel review</w:t>
            </w:r>
            <w:r>
              <w:rPr>
                <w:rFonts w:ascii="Times New Roman" w:hAnsi="Times New Roman"/>
                <w:color w:val="000000"/>
                <w:sz w:val="22"/>
              </w:rPr>
              <w:t xml:space="preserve"> of applications</w:t>
            </w:r>
            <w:r w:rsidR="009B252D">
              <w:rPr>
                <w:rFonts w:ascii="Times New Roman" w:hAnsi="Times New Roman"/>
                <w:color w:val="000000"/>
                <w:sz w:val="22"/>
              </w:rPr>
              <w:t xml:space="preserve"> (discussions with peer reviewers, review</w:t>
            </w:r>
            <w:r w:rsidR="00BB562E">
              <w:rPr>
                <w:rFonts w:ascii="Times New Roman" w:hAnsi="Times New Roman"/>
                <w:color w:val="000000"/>
                <w:sz w:val="22"/>
              </w:rPr>
              <w:t xml:space="preserve"> </w:t>
            </w:r>
            <w:r w:rsidR="009B252D">
              <w:rPr>
                <w:rFonts w:ascii="Times New Roman" w:hAnsi="Times New Roman"/>
                <w:color w:val="000000"/>
                <w:sz w:val="22"/>
              </w:rPr>
              <w:t>technical review forms in G5</w:t>
            </w:r>
            <w:r w:rsidR="000A2F3D">
              <w:rPr>
                <w:rFonts w:ascii="Times New Roman" w:hAnsi="Times New Roman"/>
                <w:color w:val="000000"/>
                <w:sz w:val="22"/>
              </w:rPr>
              <w:t>)</w:t>
            </w:r>
          </w:p>
        </w:tc>
        <w:tc>
          <w:tcPr>
            <w:tcW w:w="1664"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CC66F1" w14:paraId="23C14CF5" w14:textId="4C80BECB">
            <w:pPr>
              <w:jc w:val="center"/>
              <w:rPr>
                <w:rFonts w:ascii="Times New Roman" w:hAnsi="Times New Roman"/>
                <w:color w:val="000000"/>
                <w:sz w:val="22"/>
                <w:szCs w:val="22"/>
              </w:rPr>
            </w:pPr>
            <w:r>
              <w:rPr>
                <w:rFonts w:ascii="Times New Roman" w:hAnsi="Times New Roman"/>
                <w:color w:val="000000"/>
                <w:sz w:val="22"/>
                <w:szCs w:val="22"/>
              </w:rPr>
              <w:t>75</w:t>
            </w:r>
            <w:r w:rsidRPr="005530F5" w:rsidR="00F12403">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F12403" w14:paraId="49B22520"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9"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F12403" w14:paraId="52471976" w14:textId="77777777">
            <w:pPr>
              <w:jc w:val="center"/>
              <w:rPr>
                <w:rFonts w:ascii="Times New Roman" w:hAnsi="Times New Roman"/>
                <w:color w:val="000000"/>
                <w:sz w:val="22"/>
                <w:szCs w:val="22"/>
              </w:rPr>
            </w:pPr>
            <w:r w:rsidRPr="005530F5">
              <w:rPr>
                <w:rFonts w:ascii="Times New Roman" w:hAnsi="Times New Roman"/>
                <w:color w:val="000000"/>
                <w:sz w:val="22"/>
              </w:rPr>
              <w:t>100</w:t>
            </w:r>
          </w:p>
        </w:tc>
        <w:tc>
          <w:tcPr>
            <w:tcW w:w="1402"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266990" w14:paraId="0CA89FBC" w14:textId="401DC86D">
            <w:pPr>
              <w:jc w:val="center"/>
              <w:rPr>
                <w:rFonts w:ascii="Times New Roman" w:hAnsi="Times New Roman"/>
                <w:color w:val="000000"/>
                <w:sz w:val="22"/>
                <w:szCs w:val="22"/>
              </w:rPr>
            </w:pPr>
            <w:r>
              <w:rPr>
                <w:rFonts w:ascii="Times New Roman" w:hAnsi="Times New Roman"/>
                <w:color w:val="000000"/>
                <w:sz w:val="22"/>
                <w:szCs w:val="22"/>
              </w:rPr>
              <w:t>7500</w:t>
            </w:r>
            <w:r w:rsidRPr="005530F5" w:rsidR="00F12403">
              <w:rPr>
                <w:rFonts w:ascii="Times New Roman" w:hAnsi="Times New Roman"/>
                <w:color w:val="000000"/>
                <w:sz w:val="22"/>
                <w:szCs w:val="22"/>
              </w:rPr>
              <w:t xml:space="preserve"> </w:t>
            </w:r>
          </w:p>
        </w:tc>
      </w:tr>
      <w:tr w:rsidRPr="005530F5" w:rsidR="00BB5A7E" w:rsidTr="0085455A" w14:paraId="187B0DF0" w14:textId="77777777">
        <w:trPr>
          <w:trHeight w:val="585"/>
        </w:trPr>
        <w:tc>
          <w:tcPr>
            <w:tcW w:w="4315" w:type="dxa"/>
            <w:tcBorders>
              <w:top w:val="nil"/>
              <w:left w:val="single" w:color="auto" w:sz="8" w:space="0"/>
              <w:bottom w:val="single" w:color="000000" w:sz="8" w:space="0"/>
              <w:right w:val="single" w:color="auto" w:sz="8" w:space="0"/>
            </w:tcBorders>
            <w:shd w:val="clear" w:color="auto" w:fill="auto"/>
            <w:vAlign w:val="center"/>
          </w:tcPr>
          <w:p w:rsidRPr="005530F5" w:rsidR="00BB5A7E" w:rsidP="00F12403" w:rsidRDefault="00047942" w14:paraId="7FF7FD68" w14:textId="62BF53CA">
            <w:pPr>
              <w:rPr>
                <w:rFonts w:ascii="Times New Roman" w:hAnsi="Times New Roman"/>
                <w:color w:val="000000"/>
                <w:sz w:val="22"/>
              </w:rPr>
            </w:pPr>
            <w:r>
              <w:rPr>
                <w:rFonts w:ascii="Times New Roman" w:hAnsi="Times New Roman"/>
                <w:color w:val="000000"/>
                <w:sz w:val="22"/>
              </w:rPr>
              <w:t xml:space="preserve">Compensate nine peer reviewers </w:t>
            </w:r>
            <w:r w:rsidR="002E6BB4">
              <w:rPr>
                <w:rFonts w:ascii="Times New Roman" w:hAnsi="Times New Roman"/>
                <w:color w:val="000000"/>
                <w:sz w:val="22"/>
              </w:rPr>
              <w:t>@</w:t>
            </w:r>
            <w:r w:rsidR="00493AD3">
              <w:rPr>
                <w:rFonts w:ascii="Times New Roman" w:hAnsi="Times New Roman"/>
                <w:color w:val="000000"/>
                <w:sz w:val="22"/>
              </w:rPr>
              <w:t xml:space="preserve">1000 flat rate </w:t>
            </w:r>
            <w:r w:rsidR="0085455A">
              <w:rPr>
                <w:rFonts w:ascii="Times New Roman" w:hAnsi="Times New Roman"/>
                <w:color w:val="000000"/>
                <w:sz w:val="22"/>
              </w:rPr>
              <w:t>via OPE</w:t>
            </w:r>
            <w:r w:rsidR="0077015A">
              <w:rPr>
                <w:rFonts w:ascii="Times New Roman" w:hAnsi="Times New Roman"/>
                <w:color w:val="000000"/>
                <w:sz w:val="22"/>
              </w:rPr>
              <w:t>/IFLE logisti</w:t>
            </w:r>
            <w:r w:rsidR="00C65E95">
              <w:rPr>
                <w:rFonts w:ascii="Times New Roman" w:hAnsi="Times New Roman"/>
                <w:color w:val="000000"/>
                <w:sz w:val="22"/>
              </w:rPr>
              <w:t>cs</w:t>
            </w:r>
            <w:r w:rsidR="0077015A">
              <w:rPr>
                <w:rFonts w:ascii="Times New Roman" w:hAnsi="Times New Roman"/>
                <w:color w:val="000000"/>
                <w:sz w:val="22"/>
              </w:rPr>
              <w:t xml:space="preserve"> contract</w:t>
            </w:r>
          </w:p>
        </w:tc>
        <w:tc>
          <w:tcPr>
            <w:tcW w:w="1664" w:type="dxa"/>
            <w:tcBorders>
              <w:top w:val="nil"/>
              <w:left w:val="single" w:color="auto" w:sz="8" w:space="0"/>
              <w:bottom w:val="single" w:color="000000" w:sz="8" w:space="0"/>
              <w:right w:val="single" w:color="auto" w:sz="8" w:space="0"/>
            </w:tcBorders>
            <w:shd w:val="clear" w:color="auto" w:fill="D9D9D9" w:themeFill="background1" w:themeFillShade="D9"/>
            <w:vAlign w:val="center"/>
          </w:tcPr>
          <w:p w:rsidR="00BB5A7E" w:rsidP="00F12403" w:rsidRDefault="00BB5A7E" w14:paraId="67C16ECC" w14:textId="77777777">
            <w:pPr>
              <w:jc w:val="center"/>
              <w:rPr>
                <w:rFonts w:ascii="Times New Roman" w:hAnsi="Times New Roman"/>
                <w:color w:val="000000"/>
                <w:sz w:val="22"/>
                <w:szCs w:val="22"/>
              </w:rPr>
            </w:pPr>
          </w:p>
        </w:tc>
        <w:tc>
          <w:tcPr>
            <w:tcW w:w="1170" w:type="dxa"/>
            <w:tcBorders>
              <w:top w:val="nil"/>
              <w:left w:val="single" w:color="auto" w:sz="8" w:space="0"/>
              <w:bottom w:val="single" w:color="000000" w:sz="8" w:space="0"/>
              <w:right w:val="single" w:color="auto" w:sz="8" w:space="0"/>
            </w:tcBorders>
            <w:shd w:val="clear" w:color="auto" w:fill="D9D9D9" w:themeFill="background1" w:themeFillShade="D9"/>
            <w:vAlign w:val="center"/>
          </w:tcPr>
          <w:p w:rsidRPr="005530F5" w:rsidR="00BB5A7E" w:rsidP="00F12403" w:rsidRDefault="00BB5A7E" w14:paraId="02C4773B" w14:textId="77777777">
            <w:pPr>
              <w:jc w:val="center"/>
              <w:rPr>
                <w:rFonts w:ascii="Times New Roman" w:hAnsi="Times New Roman"/>
                <w:color w:val="000000"/>
                <w:sz w:val="22"/>
              </w:rPr>
            </w:pPr>
          </w:p>
        </w:tc>
        <w:tc>
          <w:tcPr>
            <w:tcW w:w="929" w:type="dxa"/>
            <w:tcBorders>
              <w:top w:val="nil"/>
              <w:left w:val="single" w:color="auto" w:sz="8" w:space="0"/>
              <w:bottom w:val="single" w:color="000000" w:sz="8" w:space="0"/>
              <w:right w:val="single" w:color="auto" w:sz="8" w:space="0"/>
            </w:tcBorders>
            <w:shd w:val="clear" w:color="auto" w:fill="D9D9D9" w:themeFill="background1" w:themeFillShade="D9"/>
            <w:vAlign w:val="center"/>
          </w:tcPr>
          <w:p w:rsidR="00BB5A7E" w:rsidP="00F12403" w:rsidRDefault="00BB5A7E" w14:paraId="461ED438" w14:textId="77777777">
            <w:pPr>
              <w:jc w:val="center"/>
              <w:rPr>
                <w:rFonts w:ascii="Times New Roman" w:hAnsi="Times New Roman"/>
                <w:color w:val="000000"/>
                <w:sz w:val="22"/>
              </w:rPr>
            </w:pPr>
          </w:p>
        </w:tc>
        <w:tc>
          <w:tcPr>
            <w:tcW w:w="1402" w:type="dxa"/>
            <w:tcBorders>
              <w:top w:val="nil"/>
              <w:left w:val="single" w:color="auto" w:sz="8" w:space="0"/>
              <w:bottom w:val="single" w:color="000000" w:sz="8" w:space="0"/>
              <w:right w:val="single" w:color="auto" w:sz="8" w:space="0"/>
            </w:tcBorders>
            <w:shd w:val="clear" w:color="auto" w:fill="auto"/>
            <w:vAlign w:val="center"/>
          </w:tcPr>
          <w:p w:rsidR="00BB5A7E" w:rsidP="00F12403" w:rsidRDefault="002E6BB4" w14:paraId="27C0549F" w14:textId="4EED6308">
            <w:pPr>
              <w:jc w:val="center"/>
              <w:rPr>
                <w:rFonts w:ascii="Times New Roman" w:hAnsi="Times New Roman"/>
                <w:color w:val="000000"/>
                <w:sz w:val="22"/>
                <w:szCs w:val="22"/>
              </w:rPr>
            </w:pPr>
            <w:r>
              <w:rPr>
                <w:rFonts w:ascii="Times New Roman" w:hAnsi="Times New Roman"/>
                <w:color w:val="000000"/>
                <w:sz w:val="22"/>
                <w:szCs w:val="22"/>
              </w:rPr>
              <w:t>9000</w:t>
            </w:r>
          </w:p>
        </w:tc>
      </w:tr>
      <w:tr w:rsidRPr="005530F5" w:rsidR="00347CEF" w:rsidTr="00105442" w14:paraId="0CE88D67" w14:textId="77777777">
        <w:trPr>
          <w:trHeight w:val="585"/>
        </w:trPr>
        <w:tc>
          <w:tcPr>
            <w:tcW w:w="4315"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F12403" w:rsidP="00F12403" w:rsidRDefault="00F12403" w14:paraId="79DFE7CB" w14:textId="77777777">
            <w:pPr>
              <w:rPr>
                <w:rFonts w:ascii="Times New Roman" w:hAnsi="Times New Roman"/>
                <w:color w:val="000000"/>
                <w:sz w:val="22"/>
                <w:szCs w:val="22"/>
              </w:rPr>
            </w:pPr>
            <w:r w:rsidRPr="005530F5">
              <w:rPr>
                <w:rFonts w:ascii="Times New Roman" w:hAnsi="Times New Roman"/>
                <w:color w:val="000000"/>
                <w:sz w:val="22"/>
              </w:rPr>
              <w:t>Develop slate memo and attachments</w:t>
            </w:r>
          </w:p>
        </w:tc>
        <w:tc>
          <w:tcPr>
            <w:tcW w:w="1664"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F12403" w:rsidP="00F12403" w:rsidRDefault="00572C22" w14:paraId="1DCC5EE5" w14:textId="312212F5">
            <w:pPr>
              <w:jc w:val="center"/>
              <w:rPr>
                <w:rFonts w:ascii="Times New Roman" w:hAnsi="Times New Roman"/>
                <w:color w:val="000000"/>
                <w:sz w:val="22"/>
                <w:szCs w:val="22"/>
              </w:rPr>
            </w:pPr>
            <w:r>
              <w:rPr>
                <w:rFonts w:ascii="Times New Roman" w:hAnsi="Times New Roman"/>
                <w:color w:val="000000"/>
                <w:sz w:val="22"/>
                <w:szCs w:val="22"/>
              </w:rPr>
              <w:t>7</w:t>
            </w:r>
            <w:r w:rsidR="00FD4A07">
              <w:rPr>
                <w:rFonts w:ascii="Times New Roman" w:hAnsi="Times New Roman"/>
                <w:color w:val="000000"/>
                <w:sz w:val="22"/>
                <w:szCs w:val="22"/>
              </w:rPr>
              <w:t>5</w:t>
            </w:r>
            <w:r w:rsidRPr="005530F5" w:rsidR="00F12403">
              <w:rPr>
                <w:rFonts w:ascii="Times New Roman" w:hAnsi="Times New Roman"/>
                <w:color w:val="000000"/>
                <w:sz w:val="22"/>
                <w:szCs w:val="22"/>
              </w:rPr>
              <w:t xml:space="preserve"> </w:t>
            </w:r>
          </w:p>
        </w:tc>
        <w:tc>
          <w:tcPr>
            <w:tcW w:w="1170"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F12403" w:rsidP="00F12403" w:rsidRDefault="00F12403" w14:paraId="44612C51"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9"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F12403" w:rsidP="00F12403" w:rsidRDefault="007D765D" w14:paraId="5EEDF0F2" w14:textId="6CF6B73F">
            <w:pPr>
              <w:jc w:val="center"/>
              <w:rPr>
                <w:rFonts w:ascii="Times New Roman" w:hAnsi="Times New Roman"/>
                <w:color w:val="000000"/>
                <w:sz w:val="22"/>
                <w:szCs w:val="22"/>
              </w:rPr>
            </w:pPr>
            <w:r>
              <w:rPr>
                <w:rFonts w:ascii="Times New Roman" w:hAnsi="Times New Roman"/>
                <w:color w:val="000000"/>
                <w:sz w:val="22"/>
              </w:rPr>
              <w:t>27</w:t>
            </w:r>
          </w:p>
        </w:tc>
        <w:tc>
          <w:tcPr>
            <w:tcW w:w="1402" w:type="dxa"/>
            <w:vMerge w:val="restart"/>
            <w:tcBorders>
              <w:top w:val="nil"/>
              <w:left w:val="single" w:color="auto" w:sz="8" w:space="0"/>
              <w:bottom w:val="single" w:color="000000" w:sz="8" w:space="0"/>
              <w:right w:val="single" w:color="auto" w:sz="8" w:space="0"/>
            </w:tcBorders>
            <w:shd w:val="clear" w:color="auto" w:fill="auto"/>
            <w:vAlign w:val="center"/>
            <w:hideMark/>
          </w:tcPr>
          <w:p w:rsidRPr="005530F5" w:rsidR="00F12403" w:rsidP="00F12403" w:rsidRDefault="00035B4C" w14:paraId="694165BA" w14:textId="079123EA">
            <w:pPr>
              <w:jc w:val="center"/>
              <w:rPr>
                <w:rFonts w:ascii="Times New Roman" w:hAnsi="Times New Roman"/>
                <w:color w:val="000000"/>
                <w:sz w:val="22"/>
                <w:szCs w:val="22"/>
              </w:rPr>
            </w:pPr>
            <w:r>
              <w:rPr>
                <w:rFonts w:ascii="Times New Roman" w:hAnsi="Times New Roman"/>
                <w:color w:val="000000"/>
                <w:sz w:val="22"/>
                <w:szCs w:val="22"/>
              </w:rPr>
              <w:t>2025</w:t>
            </w:r>
          </w:p>
        </w:tc>
      </w:tr>
      <w:tr w:rsidRPr="005530F5" w:rsidR="00347CEF" w:rsidTr="00105442" w14:paraId="406244A2" w14:textId="77777777">
        <w:trPr>
          <w:trHeight w:val="315"/>
        </w:trPr>
        <w:tc>
          <w:tcPr>
            <w:tcW w:w="4315" w:type="dxa"/>
            <w:vMerge/>
            <w:tcBorders>
              <w:top w:val="nil"/>
              <w:left w:val="single" w:color="auto" w:sz="8" w:space="0"/>
              <w:bottom w:val="single" w:color="000000" w:sz="8" w:space="0"/>
              <w:right w:val="single" w:color="auto" w:sz="8" w:space="0"/>
            </w:tcBorders>
            <w:vAlign w:val="center"/>
            <w:hideMark/>
          </w:tcPr>
          <w:p w:rsidRPr="005530F5" w:rsidR="00F12403" w:rsidP="00F12403" w:rsidRDefault="00F12403" w14:paraId="5085736C" w14:textId="77777777">
            <w:pPr>
              <w:rPr>
                <w:rFonts w:ascii="Times New Roman" w:hAnsi="Times New Roman"/>
                <w:color w:val="000000"/>
                <w:sz w:val="22"/>
                <w:szCs w:val="22"/>
              </w:rPr>
            </w:pPr>
          </w:p>
        </w:tc>
        <w:tc>
          <w:tcPr>
            <w:tcW w:w="1664" w:type="dxa"/>
            <w:vMerge/>
            <w:tcBorders>
              <w:top w:val="nil"/>
              <w:left w:val="single" w:color="auto" w:sz="8" w:space="0"/>
              <w:bottom w:val="single" w:color="000000" w:sz="8" w:space="0"/>
              <w:right w:val="single" w:color="auto" w:sz="8" w:space="0"/>
            </w:tcBorders>
            <w:vAlign w:val="center"/>
            <w:hideMark/>
          </w:tcPr>
          <w:p w:rsidRPr="005530F5" w:rsidR="00F12403" w:rsidP="00F12403" w:rsidRDefault="00F12403" w14:paraId="2AA9C942" w14:textId="77777777">
            <w:pPr>
              <w:rPr>
                <w:rFonts w:ascii="Times New Roman" w:hAnsi="Times New Roman"/>
                <w:color w:val="000000"/>
                <w:sz w:val="22"/>
                <w:szCs w:val="22"/>
              </w:rPr>
            </w:pPr>
          </w:p>
        </w:tc>
        <w:tc>
          <w:tcPr>
            <w:tcW w:w="1170" w:type="dxa"/>
            <w:vMerge/>
            <w:tcBorders>
              <w:top w:val="nil"/>
              <w:left w:val="single" w:color="auto" w:sz="8" w:space="0"/>
              <w:bottom w:val="single" w:color="000000" w:sz="8" w:space="0"/>
              <w:right w:val="single" w:color="auto" w:sz="8" w:space="0"/>
            </w:tcBorders>
            <w:vAlign w:val="center"/>
            <w:hideMark/>
          </w:tcPr>
          <w:p w:rsidRPr="005530F5" w:rsidR="00F12403" w:rsidP="00F12403" w:rsidRDefault="00F12403" w14:paraId="4E9AA658" w14:textId="77777777">
            <w:pPr>
              <w:rPr>
                <w:rFonts w:ascii="Times New Roman" w:hAnsi="Times New Roman"/>
                <w:color w:val="000000"/>
                <w:sz w:val="22"/>
                <w:szCs w:val="22"/>
              </w:rPr>
            </w:pPr>
          </w:p>
        </w:tc>
        <w:tc>
          <w:tcPr>
            <w:tcW w:w="929" w:type="dxa"/>
            <w:vMerge/>
            <w:tcBorders>
              <w:top w:val="nil"/>
              <w:left w:val="single" w:color="auto" w:sz="8" w:space="0"/>
              <w:bottom w:val="single" w:color="000000" w:sz="8" w:space="0"/>
              <w:right w:val="single" w:color="auto" w:sz="8" w:space="0"/>
            </w:tcBorders>
            <w:vAlign w:val="center"/>
            <w:hideMark/>
          </w:tcPr>
          <w:p w:rsidRPr="005530F5" w:rsidR="00F12403" w:rsidP="00F12403" w:rsidRDefault="00F12403" w14:paraId="1DEC4EBE" w14:textId="77777777">
            <w:pPr>
              <w:rPr>
                <w:rFonts w:ascii="Times New Roman" w:hAnsi="Times New Roman"/>
                <w:color w:val="000000"/>
                <w:sz w:val="22"/>
                <w:szCs w:val="22"/>
              </w:rPr>
            </w:pPr>
          </w:p>
        </w:tc>
        <w:tc>
          <w:tcPr>
            <w:tcW w:w="1402" w:type="dxa"/>
            <w:vMerge/>
            <w:tcBorders>
              <w:top w:val="nil"/>
              <w:left w:val="single" w:color="auto" w:sz="8" w:space="0"/>
              <w:bottom w:val="single" w:color="000000" w:sz="8" w:space="0"/>
              <w:right w:val="single" w:color="auto" w:sz="8" w:space="0"/>
            </w:tcBorders>
            <w:vAlign w:val="center"/>
            <w:hideMark/>
          </w:tcPr>
          <w:p w:rsidRPr="005530F5" w:rsidR="00F12403" w:rsidP="00F12403" w:rsidRDefault="00F12403" w14:paraId="0D95A186" w14:textId="77777777">
            <w:pPr>
              <w:rPr>
                <w:rFonts w:ascii="Times New Roman" w:hAnsi="Times New Roman"/>
                <w:color w:val="000000"/>
                <w:sz w:val="22"/>
                <w:szCs w:val="22"/>
              </w:rPr>
            </w:pPr>
          </w:p>
        </w:tc>
      </w:tr>
      <w:tr w:rsidRPr="005530F5" w:rsidR="00347CEF" w:rsidTr="00105442" w14:paraId="3DD30812" w14:textId="77777777">
        <w:trPr>
          <w:trHeight w:val="615"/>
        </w:trPr>
        <w:tc>
          <w:tcPr>
            <w:tcW w:w="4315" w:type="dxa"/>
            <w:tcBorders>
              <w:top w:val="nil"/>
              <w:left w:val="single" w:color="auto" w:sz="8" w:space="0"/>
              <w:bottom w:val="single" w:color="auto" w:sz="8" w:space="0"/>
              <w:right w:val="single" w:color="auto" w:sz="8" w:space="0"/>
            </w:tcBorders>
            <w:shd w:val="clear" w:color="auto" w:fill="auto"/>
            <w:vAlign w:val="center"/>
            <w:hideMark/>
          </w:tcPr>
          <w:p w:rsidRPr="005530F5" w:rsidR="00F12403" w:rsidP="00F12403" w:rsidRDefault="0049487A" w14:paraId="14EFC21C" w14:textId="5E8E72F5">
            <w:pPr>
              <w:rPr>
                <w:rFonts w:ascii="Times New Roman" w:hAnsi="Times New Roman"/>
                <w:color w:val="000000"/>
                <w:sz w:val="22"/>
                <w:szCs w:val="22"/>
              </w:rPr>
            </w:pPr>
            <w:r>
              <w:rPr>
                <w:rFonts w:ascii="Times New Roman" w:hAnsi="Times New Roman"/>
                <w:color w:val="000000"/>
                <w:sz w:val="22"/>
              </w:rPr>
              <w:t xml:space="preserve">Prepare awards in G5 </w:t>
            </w:r>
          </w:p>
        </w:tc>
        <w:tc>
          <w:tcPr>
            <w:tcW w:w="1664"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780D8E" w14:paraId="4CF67C0C" w14:textId="1A5A00E1">
            <w:pPr>
              <w:jc w:val="center"/>
              <w:rPr>
                <w:rFonts w:ascii="Times New Roman" w:hAnsi="Times New Roman"/>
                <w:color w:val="000000"/>
                <w:sz w:val="22"/>
                <w:szCs w:val="22"/>
              </w:rPr>
            </w:pPr>
            <w:r>
              <w:rPr>
                <w:rFonts w:ascii="Times New Roman" w:hAnsi="Times New Roman"/>
                <w:color w:val="000000"/>
                <w:sz w:val="22"/>
                <w:szCs w:val="22"/>
              </w:rPr>
              <w:t>75</w:t>
            </w:r>
            <w:r w:rsidRPr="005530F5" w:rsidR="00F12403">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F12403" w14:paraId="2701A3F7" w14:textId="77777777">
            <w:pPr>
              <w:jc w:val="center"/>
              <w:rPr>
                <w:rFonts w:ascii="Times New Roman" w:hAnsi="Times New Roman"/>
                <w:color w:val="000000"/>
                <w:sz w:val="22"/>
                <w:szCs w:val="22"/>
              </w:rPr>
            </w:pPr>
            <w:r w:rsidRPr="005530F5">
              <w:rPr>
                <w:rFonts w:ascii="Times New Roman" w:hAnsi="Times New Roman"/>
                <w:color w:val="000000"/>
                <w:sz w:val="22"/>
              </w:rPr>
              <w:t>1</w:t>
            </w:r>
          </w:p>
        </w:tc>
        <w:tc>
          <w:tcPr>
            <w:tcW w:w="929"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F12403" w14:paraId="04FBF8C6" w14:textId="77777777">
            <w:pPr>
              <w:jc w:val="center"/>
              <w:rPr>
                <w:rFonts w:ascii="Times New Roman" w:hAnsi="Times New Roman"/>
                <w:color w:val="000000"/>
                <w:sz w:val="22"/>
                <w:szCs w:val="22"/>
              </w:rPr>
            </w:pPr>
            <w:r w:rsidRPr="005530F5">
              <w:rPr>
                <w:rFonts w:ascii="Times New Roman" w:hAnsi="Times New Roman"/>
                <w:color w:val="000000"/>
                <w:sz w:val="22"/>
              </w:rPr>
              <w:t>3</w:t>
            </w:r>
          </w:p>
        </w:tc>
        <w:tc>
          <w:tcPr>
            <w:tcW w:w="1402"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1C1DB3" w14:paraId="518386B1" w14:textId="78B9285B">
            <w:pPr>
              <w:jc w:val="center"/>
              <w:rPr>
                <w:rFonts w:ascii="Times New Roman" w:hAnsi="Times New Roman"/>
                <w:color w:val="000000"/>
                <w:sz w:val="22"/>
                <w:szCs w:val="22"/>
              </w:rPr>
            </w:pPr>
            <w:r>
              <w:rPr>
                <w:rFonts w:ascii="Times New Roman" w:hAnsi="Times New Roman"/>
                <w:color w:val="000000"/>
                <w:sz w:val="22"/>
                <w:szCs w:val="22"/>
              </w:rPr>
              <w:t>225</w:t>
            </w:r>
          </w:p>
        </w:tc>
      </w:tr>
      <w:tr w:rsidRPr="005530F5" w:rsidR="00347CEF" w:rsidTr="00035B4C" w14:paraId="7531C450" w14:textId="77777777">
        <w:trPr>
          <w:trHeight w:val="315"/>
        </w:trPr>
        <w:tc>
          <w:tcPr>
            <w:tcW w:w="4315" w:type="dxa"/>
            <w:tcBorders>
              <w:top w:val="nil"/>
              <w:left w:val="single" w:color="auto" w:sz="8" w:space="0"/>
              <w:bottom w:val="single" w:color="auto" w:sz="8" w:space="0"/>
              <w:right w:val="single" w:color="auto" w:sz="8" w:space="0"/>
            </w:tcBorders>
            <w:shd w:val="clear" w:color="auto" w:fill="auto"/>
            <w:vAlign w:val="center"/>
            <w:hideMark/>
          </w:tcPr>
          <w:p w:rsidRPr="005530F5" w:rsidR="00F12403" w:rsidP="00F12403" w:rsidRDefault="00F12403" w14:paraId="23A7BB97" w14:textId="77777777">
            <w:pPr>
              <w:jc w:val="center"/>
              <w:rPr>
                <w:rFonts w:ascii="Times New Roman" w:hAnsi="Times New Roman"/>
                <w:color w:val="000000"/>
                <w:sz w:val="22"/>
                <w:szCs w:val="22"/>
              </w:rPr>
            </w:pPr>
            <w:r w:rsidRPr="005530F5">
              <w:rPr>
                <w:rFonts w:ascii="Times New Roman" w:hAnsi="Times New Roman"/>
                <w:color w:val="000000"/>
                <w:sz w:val="22"/>
                <w:szCs w:val="28"/>
              </w:rPr>
              <w:t>TOTAL</w:t>
            </w:r>
          </w:p>
        </w:tc>
        <w:tc>
          <w:tcPr>
            <w:tcW w:w="1664" w:type="dxa"/>
            <w:tcBorders>
              <w:top w:val="nil"/>
              <w:left w:val="nil"/>
              <w:bottom w:val="single" w:color="auto" w:sz="8" w:space="0"/>
              <w:right w:val="single" w:color="auto" w:sz="8" w:space="0"/>
            </w:tcBorders>
            <w:shd w:val="clear" w:color="000000" w:fill="E0E0E0"/>
            <w:vAlign w:val="center"/>
            <w:hideMark/>
          </w:tcPr>
          <w:p w:rsidRPr="005530F5" w:rsidR="00F12403" w:rsidP="00F12403" w:rsidRDefault="00F12403" w14:paraId="74D45370" w14:textId="77777777">
            <w:pPr>
              <w:rPr>
                <w:rFonts w:ascii="Times New Roman" w:hAnsi="Times New Roman"/>
                <w:b/>
                <w:bCs/>
                <w:color w:val="000000"/>
                <w:sz w:val="22"/>
                <w:szCs w:val="22"/>
              </w:rPr>
            </w:pPr>
            <w:r w:rsidRPr="005530F5">
              <w:rPr>
                <w:rFonts w:ascii="Times New Roman" w:hAnsi="Times New Roman"/>
                <w:b/>
                <w:bCs/>
                <w:color w:val="000000"/>
                <w:sz w:val="22"/>
              </w:rPr>
              <w:t> </w:t>
            </w:r>
          </w:p>
        </w:tc>
        <w:tc>
          <w:tcPr>
            <w:tcW w:w="1170" w:type="dxa"/>
            <w:tcBorders>
              <w:top w:val="nil"/>
              <w:left w:val="nil"/>
              <w:bottom w:val="single" w:color="auto" w:sz="8" w:space="0"/>
              <w:right w:val="single" w:color="auto" w:sz="8" w:space="0"/>
            </w:tcBorders>
            <w:shd w:val="clear" w:color="000000" w:fill="E0E0E0"/>
            <w:vAlign w:val="center"/>
            <w:hideMark/>
          </w:tcPr>
          <w:p w:rsidRPr="005530F5" w:rsidR="00F12403" w:rsidP="00F12403" w:rsidRDefault="00F12403" w14:paraId="1091E9C0" w14:textId="77777777">
            <w:pPr>
              <w:jc w:val="center"/>
              <w:rPr>
                <w:rFonts w:ascii="Times New Roman" w:hAnsi="Times New Roman"/>
                <w:b/>
                <w:bCs/>
                <w:color w:val="000000"/>
                <w:sz w:val="22"/>
                <w:szCs w:val="22"/>
              </w:rPr>
            </w:pPr>
            <w:r w:rsidRPr="005530F5">
              <w:rPr>
                <w:rFonts w:ascii="Times New Roman" w:hAnsi="Times New Roman"/>
                <w:b/>
                <w:bCs/>
                <w:color w:val="000000"/>
                <w:sz w:val="22"/>
              </w:rPr>
              <w:t> </w:t>
            </w:r>
          </w:p>
        </w:tc>
        <w:tc>
          <w:tcPr>
            <w:tcW w:w="929" w:type="dxa"/>
            <w:tcBorders>
              <w:top w:val="nil"/>
              <w:left w:val="nil"/>
              <w:bottom w:val="single" w:color="auto" w:sz="8" w:space="0"/>
              <w:right w:val="single" w:color="auto" w:sz="8" w:space="0"/>
            </w:tcBorders>
            <w:shd w:val="clear" w:color="auto" w:fill="auto"/>
            <w:vAlign w:val="center"/>
          </w:tcPr>
          <w:p w:rsidRPr="005530F5" w:rsidR="00F12403" w:rsidP="00F12403" w:rsidRDefault="002E5B0E" w14:paraId="48C11A2E" w14:textId="0B9756FC">
            <w:pPr>
              <w:jc w:val="center"/>
              <w:rPr>
                <w:rFonts w:ascii="Times New Roman" w:hAnsi="Times New Roman"/>
                <w:b/>
                <w:bCs/>
                <w:color w:val="000000"/>
                <w:sz w:val="22"/>
                <w:szCs w:val="22"/>
              </w:rPr>
            </w:pPr>
            <w:r>
              <w:rPr>
                <w:rFonts w:ascii="Times New Roman" w:hAnsi="Times New Roman"/>
                <w:b/>
                <w:bCs/>
                <w:color w:val="000000"/>
                <w:sz w:val="22"/>
                <w:szCs w:val="22"/>
              </w:rPr>
              <w:t>200</w:t>
            </w:r>
          </w:p>
        </w:tc>
        <w:tc>
          <w:tcPr>
            <w:tcW w:w="1402" w:type="dxa"/>
            <w:tcBorders>
              <w:top w:val="nil"/>
              <w:left w:val="nil"/>
              <w:bottom w:val="single" w:color="auto" w:sz="8" w:space="0"/>
              <w:right w:val="single" w:color="auto" w:sz="8" w:space="0"/>
            </w:tcBorders>
            <w:shd w:val="clear" w:color="auto" w:fill="auto"/>
            <w:vAlign w:val="center"/>
            <w:hideMark/>
          </w:tcPr>
          <w:p w:rsidRPr="005530F5" w:rsidR="00F12403" w:rsidP="00F12403" w:rsidRDefault="00B30B53" w14:paraId="33162FBA" w14:textId="688BEC94">
            <w:pPr>
              <w:jc w:val="center"/>
              <w:rPr>
                <w:rFonts w:ascii="Times New Roman" w:hAnsi="Times New Roman"/>
                <w:b/>
                <w:bCs/>
                <w:color w:val="000000"/>
                <w:sz w:val="22"/>
                <w:szCs w:val="22"/>
              </w:rPr>
            </w:pPr>
            <w:r>
              <w:rPr>
                <w:rFonts w:ascii="Times New Roman" w:hAnsi="Times New Roman"/>
                <w:b/>
                <w:bCs/>
                <w:color w:val="000000"/>
                <w:sz w:val="22"/>
                <w:szCs w:val="22"/>
              </w:rPr>
              <w:t>23700</w:t>
            </w:r>
          </w:p>
        </w:tc>
      </w:tr>
    </w:tbl>
    <w:p w:rsidRPr="00B35898" w:rsidR="00B35898" w:rsidP="00B35898" w:rsidRDefault="00B35898" w14:paraId="3A604C7C" w14:textId="4326A6CF">
      <w:pPr>
        <w:tabs>
          <w:tab w:val="left" w:pos="-720"/>
        </w:tabs>
        <w:suppressAutoHyphens/>
        <w:rPr>
          <w:rStyle w:val="a"/>
          <w:rFonts w:ascii="Times New Roman" w:hAnsi="Times New Roman"/>
          <w:b/>
          <w:szCs w:val="24"/>
        </w:rPr>
      </w:pPr>
    </w:p>
    <w:p w:rsidR="00534B4A" w:rsidP="00534B4A" w:rsidRDefault="00534B4A" w14:paraId="34B70128" w14:textId="77777777">
      <w:pPr>
        <w:tabs>
          <w:tab w:val="left" w:pos="-720"/>
        </w:tabs>
        <w:suppressAutoHyphens/>
        <w:rPr>
          <w:rFonts w:ascii="Times New Roman" w:hAnsi="Times New Roman"/>
          <w:szCs w:val="24"/>
        </w:rPr>
      </w:pPr>
    </w:p>
    <w:p w:rsidR="00534B4A" w:rsidP="00534B4A" w:rsidRDefault="00534B4A" w14:paraId="6BB43AC3"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C3F45DE"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r w:rsidRPr="00800D30">
        <w:rPr>
          <w:rFonts w:ascii="Times New Roman" w:hAnsi="Times New Roman"/>
          <w:b/>
          <w:szCs w:val="24"/>
        </w:rPr>
        <w:lastRenderedPageBreak/>
        <w:t>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22685FBE"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192DCCE0" w14:textId="6F180BF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9B10E0" w:rsidP="00800D30" w:rsidRDefault="009B10E0" w14:paraId="7534BF32" w14:textId="77777777">
      <w:pPr>
        <w:pStyle w:val="ListParagraph"/>
        <w:tabs>
          <w:tab w:val="left" w:pos="-720"/>
        </w:tabs>
        <w:suppressAutoHyphens/>
        <w:contextualSpacing w:val="0"/>
        <w:rPr>
          <w:rFonts w:ascii="Times New Roman" w:hAnsi="Times New Roman"/>
          <w:bCs/>
          <w:sz w:val="26"/>
          <w:szCs w:val="26"/>
        </w:rPr>
      </w:pPr>
    </w:p>
    <w:p w:rsidRPr="00756FD3" w:rsidR="00332DD1" w:rsidP="00800D30" w:rsidRDefault="00C727DD" w14:paraId="0B672E20" w14:textId="277EF85A">
      <w:pPr>
        <w:pStyle w:val="ListParagraph"/>
        <w:tabs>
          <w:tab w:val="left" w:pos="-720"/>
        </w:tabs>
        <w:suppressAutoHyphens/>
        <w:contextualSpacing w:val="0"/>
        <w:rPr>
          <w:rFonts w:ascii="Times New Roman" w:hAnsi="Times New Roman"/>
          <w:b/>
          <w:sz w:val="26"/>
          <w:szCs w:val="26"/>
        </w:rPr>
      </w:pPr>
      <w:r>
        <w:rPr>
          <w:rFonts w:ascii="Times New Roman" w:hAnsi="Times New Roman"/>
          <w:bCs/>
          <w:sz w:val="26"/>
          <w:szCs w:val="26"/>
        </w:rPr>
        <w:t>In item 12</w:t>
      </w:r>
      <w:r w:rsidR="009B10E0">
        <w:rPr>
          <w:rFonts w:ascii="Times New Roman" w:hAnsi="Times New Roman"/>
          <w:bCs/>
          <w:sz w:val="26"/>
          <w:szCs w:val="26"/>
        </w:rPr>
        <w:t xml:space="preserve"> above</w:t>
      </w:r>
      <w:r>
        <w:rPr>
          <w:rFonts w:ascii="Times New Roman" w:hAnsi="Times New Roman"/>
          <w:bCs/>
          <w:sz w:val="26"/>
          <w:szCs w:val="26"/>
        </w:rPr>
        <w:t>, t</w:t>
      </w:r>
      <w:r w:rsidR="00F2506D">
        <w:rPr>
          <w:rFonts w:ascii="Times New Roman" w:hAnsi="Times New Roman"/>
          <w:bCs/>
          <w:sz w:val="26"/>
          <w:szCs w:val="26"/>
        </w:rPr>
        <w:t xml:space="preserve">he estimated </w:t>
      </w:r>
      <w:r w:rsidR="006B37A9">
        <w:rPr>
          <w:rFonts w:ascii="Times New Roman" w:hAnsi="Times New Roman"/>
          <w:bCs/>
          <w:sz w:val="26"/>
          <w:szCs w:val="26"/>
        </w:rPr>
        <w:t>average burden hours</w:t>
      </w:r>
      <w:r w:rsidR="00777243">
        <w:rPr>
          <w:rFonts w:ascii="Times New Roman" w:hAnsi="Times New Roman"/>
          <w:bCs/>
          <w:sz w:val="26"/>
          <w:szCs w:val="26"/>
        </w:rPr>
        <w:t xml:space="preserve"> </w:t>
      </w:r>
      <w:r w:rsidR="006B37A9">
        <w:rPr>
          <w:rFonts w:ascii="Times New Roman" w:hAnsi="Times New Roman"/>
          <w:bCs/>
          <w:sz w:val="26"/>
          <w:szCs w:val="26"/>
        </w:rPr>
        <w:t xml:space="preserve">per response is </w:t>
      </w:r>
      <w:r w:rsidR="002B5C80">
        <w:rPr>
          <w:rFonts w:ascii="Times New Roman" w:hAnsi="Times New Roman"/>
          <w:bCs/>
          <w:sz w:val="26"/>
          <w:szCs w:val="26"/>
        </w:rPr>
        <w:t xml:space="preserve">200 </w:t>
      </w:r>
      <w:r w:rsidRPr="00A01465" w:rsidR="00C8726B">
        <w:rPr>
          <w:rFonts w:ascii="Times New Roman" w:hAnsi="Times New Roman"/>
          <w:bCs/>
          <w:sz w:val="26"/>
          <w:szCs w:val="26"/>
        </w:rPr>
        <w:t>hours</w:t>
      </w:r>
      <w:r w:rsidR="00A01465">
        <w:rPr>
          <w:rFonts w:ascii="Times New Roman" w:hAnsi="Times New Roman"/>
          <w:bCs/>
          <w:sz w:val="26"/>
          <w:szCs w:val="26"/>
        </w:rPr>
        <w:t>. This is a</w:t>
      </w:r>
      <w:r w:rsidR="00420F4B">
        <w:rPr>
          <w:rFonts w:ascii="Times New Roman" w:hAnsi="Times New Roman"/>
          <w:bCs/>
          <w:sz w:val="26"/>
          <w:szCs w:val="26"/>
        </w:rPr>
        <w:t xml:space="preserve">n </w:t>
      </w:r>
      <w:r w:rsidR="001E3726">
        <w:rPr>
          <w:rFonts w:ascii="Times New Roman" w:hAnsi="Times New Roman"/>
          <w:bCs/>
          <w:sz w:val="26"/>
          <w:szCs w:val="26"/>
        </w:rPr>
        <w:t>adjust</w:t>
      </w:r>
      <w:r w:rsidR="009F66A0">
        <w:rPr>
          <w:rFonts w:ascii="Times New Roman" w:hAnsi="Times New Roman"/>
          <w:bCs/>
          <w:sz w:val="26"/>
          <w:szCs w:val="26"/>
        </w:rPr>
        <w:t xml:space="preserve">ed </w:t>
      </w:r>
      <w:r w:rsidR="00420F4B">
        <w:rPr>
          <w:rFonts w:ascii="Times New Roman" w:hAnsi="Times New Roman"/>
          <w:bCs/>
          <w:sz w:val="26"/>
          <w:szCs w:val="26"/>
        </w:rPr>
        <w:t>increase of</w:t>
      </w:r>
      <w:r w:rsidR="00B72760">
        <w:rPr>
          <w:rFonts w:ascii="Times New Roman" w:hAnsi="Times New Roman"/>
          <w:bCs/>
          <w:sz w:val="26"/>
          <w:szCs w:val="26"/>
        </w:rPr>
        <w:t xml:space="preserve"> </w:t>
      </w:r>
      <w:r w:rsidR="002B5C80">
        <w:rPr>
          <w:rFonts w:ascii="Times New Roman" w:hAnsi="Times New Roman"/>
          <w:bCs/>
          <w:sz w:val="26"/>
          <w:szCs w:val="26"/>
        </w:rPr>
        <w:t>120</w:t>
      </w:r>
      <w:r w:rsidR="00B72760">
        <w:rPr>
          <w:rFonts w:ascii="Times New Roman" w:hAnsi="Times New Roman"/>
          <w:bCs/>
          <w:sz w:val="26"/>
          <w:szCs w:val="26"/>
        </w:rPr>
        <w:t xml:space="preserve"> </w:t>
      </w:r>
      <w:r w:rsidR="00C8726B">
        <w:rPr>
          <w:rFonts w:ascii="Times New Roman" w:hAnsi="Times New Roman"/>
          <w:bCs/>
          <w:sz w:val="26"/>
          <w:szCs w:val="26"/>
        </w:rPr>
        <w:t xml:space="preserve">hours </w:t>
      </w:r>
      <w:r w:rsidR="00AA1BEF">
        <w:rPr>
          <w:rFonts w:ascii="Times New Roman" w:hAnsi="Times New Roman"/>
          <w:bCs/>
          <w:sz w:val="26"/>
          <w:szCs w:val="26"/>
        </w:rPr>
        <w:t xml:space="preserve">above </w:t>
      </w:r>
      <w:r w:rsidR="00C8726B">
        <w:rPr>
          <w:rFonts w:ascii="Times New Roman" w:hAnsi="Times New Roman"/>
          <w:bCs/>
          <w:sz w:val="26"/>
          <w:szCs w:val="26"/>
        </w:rPr>
        <w:t xml:space="preserve">the </w:t>
      </w:r>
      <w:r w:rsidR="006B6BD6">
        <w:rPr>
          <w:rFonts w:ascii="Times New Roman" w:hAnsi="Times New Roman"/>
          <w:bCs/>
          <w:sz w:val="26"/>
          <w:szCs w:val="26"/>
        </w:rPr>
        <w:t xml:space="preserve">80 hours </w:t>
      </w:r>
      <w:r w:rsidR="0071057E">
        <w:rPr>
          <w:rFonts w:ascii="Times New Roman" w:hAnsi="Times New Roman"/>
          <w:bCs/>
          <w:sz w:val="26"/>
          <w:szCs w:val="26"/>
        </w:rPr>
        <w:t xml:space="preserve">per response </w:t>
      </w:r>
      <w:r w:rsidR="00524091">
        <w:rPr>
          <w:rFonts w:ascii="Times New Roman" w:hAnsi="Times New Roman"/>
          <w:bCs/>
          <w:sz w:val="26"/>
          <w:szCs w:val="26"/>
        </w:rPr>
        <w:t>t</w:t>
      </w:r>
      <w:r w:rsidR="00806C84">
        <w:rPr>
          <w:rFonts w:ascii="Times New Roman" w:hAnsi="Times New Roman"/>
          <w:bCs/>
          <w:sz w:val="26"/>
          <w:szCs w:val="26"/>
        </w:rPr>
        <w:t>hat the Department indicated</w:t>
      </w:r>
      <w:r w:rsidR="00E47F93">
        <w:rPr>
          <w:rFonts w:ascii="Times New Roman" w:hAnsi="Times New Roman"/>
          <w:bCs/>
          <w:sz w:val="26"/>
          <w:szCs w:val="26"/>
        </w:rPr>
        <w:t xml:space="preserve"> for the </w:t>
      </w:r>
      <w:r w:rsidR="0071057E">
        <w:rPr>
          <w:rFonts w:ascii="Times New Roman" w:hAnsi="Times New Roman"/>
          <w:bCs/>
          <w:sz w:val="26"/>
          <w:szCs w:val="26"/>
        </w:rPr>
        <w:t>FY 2017</w:t>
      </w:r>
      <w:r w:rsidR="0025653A">
        <w:rPr>
          <w:rFonts w:ascii="Times New Roman" w:hAnsi="Times New Roman"/>
          <w:bCs/>
          <w:sz w:val="26"/>
          <w:szCs w:val="26"/>
        </w:rPr>
        <w:t xml:space="preserve"> information collection</w:t>
      </w:r>
      <w:r w:rsidR="0071057E">
        <w:rPr>
          <w:rFonts w:ascii="Times New Roman" w:hAnsi="Times New Roman"/>
          <w:bCs/>
          <w:sz w:val="26"/>
          <w:szCs w:val="26"/>
        </w:rPr>
        <w:t xml:space="preserve">. </w:t>
      </w:r>
      <w:r w:rsidR="00175AA2">
        <w:rPr>
          <w:rFonts w:ascii="Times New Roman" w:hAnsi="Times New Roman"/>
          <w:bCs/>
          <w:sz w:val="26"/>
          <w:szCs w:val="26"/>
        </w:rPr>
        <w:t xml:space="preserve">The adjustment </w:t>
      </w:r>
      <w:r w:rsidR="005075AB">
        <w:rPr>
          <w:rFonts w:ascii="Times New Roman" w:hAnsi="Times New Roman"/>
          <w:bCs/>
          <w:sz w:val="26"/>
          <w:szCs w:val="26"/>
        </w:rPr>
        <w:t>of</w:t>
      </w:r>
      <w:r w:rsidR="009E4CE7">
        <w:rPr>
          <w:rFonts w:ascii="Times New Roman" w:hAnsi="Times New Roman"/>
          <w:bCs/>
          <w:sz w:val="26"/>
          <w:szCs w:val="26"/>
        </w:rPr>
        <w:t xml:space="preserve"> </w:t>
      </w:r>
      <w:r w:rsidR="000C26C8">
        <w:rPr>
          <w:rFonts w:ascii="Times New Roman" w:hAnsi="Times New Roman"/>
          <w:bCs/>
          <w:sz w:val="26"/>
          <w:szCs w:val="26"/>
        </w:rPr>
        <w:t xml:space="preserve">200 </w:t>
      </w:r>
      <w:r w:rsidR="007856CE">
        <w:rPr>
          <w:rFonts w:ascii="Times New Roman" w:hAnsi="Times New Roman"/>
          <w:bCs/>
          <w:sz w:val="26"/>
          <w:szCs w:val="26"/>
        </w:rPr>
        <w:t xml:space="preserve">average burden </w:t>
      </w:r>
      <w:r w:rsidR="00175AA2">
        <w:rPr>
          <w:rFonts w:ascii="Times New Roman" w:hAnsi="Times New Roman"/>
          <w:bCs/>
          <w:sz w:val="26"/>
          <w:szCs w:val="26"/>
        </w:rPr>
        <w:t>hours</w:t>
      </w:r>
      <w:r w:rsidR="008715D8">
        <w:rPr>
          <w:rFonts w:ascii="Times New Roman" w:hAnsi="Times New Roman"/>
          <w:bCs/>
          <w:sz w:val="26"/>
          <w:szCs w:val="26"/>
        </w:rPr>
        <w:t xml:space="preserve"> </w:t>
      </w:r>
      <w:r w:rsidR="00781207">
        <w:rPr>
          <w:rFonts w:ascii="Times New Roman" w:hAnsi="Times New Roman"/>
          <w:bCs/>
          <w:sz w:val="26"/>
          <w:szCs w:val="26"/>
        </w:rPr>
        <w:t xml:space="preserve">for </w:t>
      </w:r>
      <w:r w:rsidR="00351E84">
        <w:rPr>
          <w:rFonts w:ascii="Times New Roman" w:hAnsi="Times New Roman"/>
          <w:bCs/>
          <w:sz w:val="26"/>
          <w:szCs w:val="26"/>
        </w:rPr>
        <w:t xml:space="preserve">the </w:t>
      </w:r>
      <w:r w:rsidR="00781207">
        <w:rPr>
          <w:rFonts w:ascii="Times New Roman" w:hAnsi="Times New Roman"/>
          <w:bCs/>
          <w:sz w:val="26"/>
          <w:szCs w:val="26"/>
        </w:rPr>
        <w:t xml:space="preserve">FY 2020 </w:t>
      </w:r>
      <w:r w:rsidR="00351E84">
        <w:rPr>
          <w:rFonts w:ascii="Times New Roman" w:hAnsi="Times New Roman"/>
          <w:bCs/>
          <w:sz w:val="26"/>
          <w:szCs w:val="26"/>
        </w:rPr>
        <w:t xml:space="preserve">information collection </w:t>
      </w:r>
      <w:r w:rsidR="00F26380">
        <w:rPr>
          <w:rFonts w:ascii="Times New Roman" w:hAnsi="Times New Roman"/>
          <w:bCs/>
          <w:sz w:val="26"/>
          <w:szCs w:val="26"/>
        </w:rPr>
        <w:t xml:space="preserve">is based on our consultation with six </w:t>
      </w:r>
      <w:r w:rsidR="0085307F">
        <w:rPr>
          <w:rFonts w:ascii="Times New Roman" w:hAnsi="Times New Roman"/>
          <w:bCs/>
          <w:sz w:val="26"/>
          <w:szCs w:val="26"/>
        </w:rPr>
        <w:t xml:space="preserve">current grantees </w:t>
      </w:r>
      <w:r w:rsidR="00D6169A">
        <w:rPr>
          <w:rFonts w:ascii="Times New Roman" w:hAnsi="Times New Roman"/>
          <w:bCs/>
          <w:sz w:val="26"/>
          <w:szCs w:val="26"/>
        </w:rPr>
        <w:t>(see item 8.</w:t>
      </w:r>
      <w:r w:rsidR="00A5699B">
        <w:rPr>
          <w:rFonts w:ascii="Times New Roman" w:hAnsi="Times New Roman"/>
          <w:bCs/>
          <w:sz w:val="26"/>
          <w:szCs w:val="26"/>
        </w:rPr>
        <w:t xml:space="preserve">) </w:t>
      </w:r>
      <w:r w:rsidR="007E7942">
        <w:rPr>
          <w:rFonts w:ascii="Times New Roman" w:hAnsi="Times New Roman"/>
          <w:bCs/>
          <w:sz w:val="26"/>
          <w:szCs w:val="26"/>
        </w:rPr>
        <w:t xml:space="preserve">and </w:t>
      </w:r>
      <w:r w:rsidR="00445032">
        <w:rPr>
          <w:rFonts w:ascii="Times New Roman" w:hAnsi="Times New Roman"/>
          <w:bCs/>
          <w:sz w:val="26"/>
          <w:szCs w:val="26"/>
        </w:rPr>
        <w:t xml:space="preserve">the realization </w:t>
      </w:r>
      <w:r w:rsidR="009C1050">
        <w:rPr>
          <w:rFonts w:ascii="Times New Roman" w:hAnsi="Times New Roman"/>
          <w:bCs/>
          <w:sz w:val="26"/>
          <w:szCs w:val="26"/>
        </w:rPr>
        <w:t xml:space="preserve">that </w:t>
      </w:r>
      <w:r w:rsidR="009E5A34">
        <w:rPr>
          <w:rFonts w:ascii="Times New Roman" w:hAnsi="Times New Roman"/>
          <w:bCs/>
          <w:sz w:val="26"/>
          <w:szCs w:val="26"/>
        </w:rPr>
        <w:t>80</w:t>
      </w:r>
      <w:r w:rsidR="009A6F48">
        <w:rPr>
          <w:rFonts w:ascii="Times New Roman" w:hAnsi="Times New Roman"/>
          <w:bCs/>
          <w:sz w:val="26"/>
          <w:szCs w:val="26"/>
        </w:rPr>
        <w:t xml:space="preserve"> </w:t>
      </w:r>
      <w:r w:rsidR="009E5A34">
        <w:rPr>
          <w:rFonts w:ascii="Times New Roman" w:hAnsi="Times New Roman"/>
          <w:bCs/>
          <w:sz w:val="26"/>
          <w:szCs w:val="26"/>
        </w:rPr>
        <w:t>hour</w:t>
      </w:r>
      <w:r w:rsidR="009A6F48">
        <w:rPr>
          <w:rFonts w:ascii="Times New Roman" w:hAnsi="Times New Roman"/>
          <w:bCs/>
          <w:sz w:val="26"/>
          <w:szCs w:val="26"/>
        </w:rPr>
        <w:t>s</w:t>
      </w:r>
      <w:r w:rsidR="009E5A34">
        <w:rPr>
          <w:rFonts w:ascii="Times New Roman" w:hAnsi="Times New Roman"/>
          <w:bCs/>
          <w:sz w:val="26"/>
          <w:szCs w:val="26"/>
        </w:rPr>
        <w:t xml:space="preserve"> </w:t>
      </w:r>
      <w:r w:rsidR="00FF3F13">
        <w:rPr>
          <w:rFonts w:ascii="Times New Roman" w:hAnsi="Times New Roman"/>
          <w:bCs/>
          <w:sz w:val="26"/>
          <w:szCs w:val="26"/>
        </w:rPr>
        <w:t>(</w:t>
      </w:r>
      <w:r w:rsidR="006A0F1E">
        <w:rPr>
          <w:rFonts w:ascii="Times New Roman" w:hAnsi="Times New Roman"/>
          <w:bCs/>
          <w:sz w:val="26"/>
          <w:szCs w:val="26"/>
        </w:rPr>
        <w:t>te</w:t>
      </w:r>
      <w:r w:rsidR="001226F9">
        <w:rPr>
          <w:rFonts w:ascii="Times New Roman" w:hAnsi="Times New Roman"/>
          <w:bCs/>
          <w:sz w:val="26"/>
          <w:szCs w:val="26"/>
        </w:rPr>
        <w:t>n, 8-h</w:t>
      </w:r>
      <w:r w:rsidR="00B30B53">
        <w:rPr>
          <w:rFonts w:ascii="Times New Roman" w:hAnsi="Times New Roman"/>
          <w:bCs/>
          <w:sz w:val="26"/>
          <w:szCs w:val="26"/>
        </w:rPr>
        <w:t>ou</w:t>
      </w:r>
      <w:r w:rsidR="001226F9">
        <w:rPr>
          <w:rFonts w:ascii="Times New Roman" w:hAnsi="Times New Roman"/>
          <w:bCs/>
          <w:sz w:val="26"/>
          <w:szCs w:val="26"/>
        </w:rPr>
        <w:t xml:space="preserve">r </w:t>
      </w:r>
      <w:r w:rsidR="00B125D0">
        <w:rPr>
          <w:rFonts w:ascii="Times New Roman" w:hAnsi="Times New Roman"/>
          <w:bCs/>
          <w:sz w:val="26"/>
          <w:szCs w:val="26"/>
        </w:rPr>
        <w:t xml:space="preserve">business </w:t>
      </w:r>
      <w:r w:rsidR="00962F4D">
        <w:rPr>
          <w:rFonts w:ascii="Times New Roman" w:hAnsi="Times New Roman"/>
          <w:bCs/>
          <w:sz w:val="26"/>
          <w:szCs w:val="26"/>
        </w:rPr>
        <w:t>days</w:t>
      </w:r>
      <w:r w:rsidR="00FF3F13">
        <w:rPr>
          <w:rFonts w:ascii="Times New Roman" w:hAnsi="Times New Roman"/>
          <w:bCs/>
          <w:sz w:val="26"/>
          <w:szCs w:val="26"/>
        </w:rPr>
        <w:t xml:space="preserve">) </w:t>
      </w:r>
      <w:r w:rsidR="009E5A34">
        <w:rPr>
          <w:rFonts w:ascii="Times New Roman" w:hAnsi="Times New Roman"/>
          <w:bCs/>
          <w:sz w:val="26"/>
          <w:szCs w:val="26"/>
        </w:rPr>
        <w:t xml:space="preserve">was </w:t>
      </w:r>
      <w:r w:rsidR="00520C96">
        <w:rPr>
          <w:rFonts w:ascii="Times New Roman" w:hAnsi="Times New Roman"/>
          <w:bCs/>
          <w:sz w:val="26"/>
          <w:szCs w:val="26"/>
        </w:rPr>
        <w:t xml:space="preserve">not </w:t>
      </w:r>
      <w:r w:rsidR="00DD36D0">
        <w:rPr>
          <w:rFonts w:ascii="Times New Roman" w:hAnsi="Times New Roman"/>
          <w:bCs/>
          <w:sz w:val="26"/>
          <w:szCs w:val="26"/>
        </w:rPr>
        <w:t xml:space="preserve">enough time </w:t>
      </w:r>
      <w:r w:rsidR="00520C96">
        <w:rPr>
          <w:rFonts w:ascii="Times New Roman" w:hAnsi="Times New Roman"/>
          <w:bCs/>
          <w:sz w:val="26"/>
          <w:szCs w:val="26"/>
        </w:rPr>
        <w:t xml:space="preserve">complete </w:t>
      </w:r>
      <w:r w:rsidR="00AB3CDE">
        <w:rPr>
          <w:rFonts w:ascii="Times New Roman" w:hAnsi="Times New Roman"/>
          <w:bCs/>
          <w:sz w:val="26"/>
          <w:szCs w:val="26"/>
        </w:rPr>
        <w:t>this information collection</w:t>
      </w:r>
      <w:r w:rsidR="006059AA">
        <w:rPr>
          <w:rFonts w:ascii="Times New Roman" w:hAnsi="Times New Roman"/>
          <w:bCs/>
          <w:sz w:val="26"/>
          <w:szCs w:val="26"/>
        </w:rPr>
        <w:t xml:space="preserve">. </w:t>
      </w:r>
      <w:r w:rsidR="00B41E2E">
        <w:rPr>
          <w:rFonts w:ascii="Times New Roman" w:hAnsi="Times New Roman"/>
          <w:bCs/>
          <w:sz w:val="26"/>
          <w:szCs w:val="26"/>
        </w:rPr>
        <w:t xml:space="preserve"> </w:t>
      </w:r>
    </w:p>
    <w:p w:rsidR="00534B4A" w:rsidP="00534B4A" w:rsidRDefault="00534B4A" w14:paraId="0D19607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527684A" w14:textId="77777777">
        <w:tc>
          <w:tcPr>
            <w:tcW w:w="2048" w:type="dxa"/>
            <w:shd w:val="clear" w:color="auto" w:fill="D9D9D9" w:themeFill="background1" w:themeFillShade="D9"/>
          </w:tcPr>
          <w:p w:rsidR="0052073E" w:rsidP="00534B4A" w:rsidRDefault="0052073E" w14:paraId="2196FD84" w14:textId="085ED5BE">
            <w:pPr>
              <w:tabs>
                <w:tab w:val="left" w:pos="-720"/>
              </w:tabs>
              <w:suppressAutoHyphens/>
              <w:rPr>
                <w:rFonts w:ascii="Times New Roman" w:hAnsi="Times New Roman"/>
                <w:b/>
                <w:szCs w:val="24"/>
              </w:rPr>
            </w:pPr>
          </w:p>
        </w:tc>
        <w:tc>
          <w:tcPr>
            <w:tcW w:w="2048" w:type="dxa"/>
          </w:tcPr>
          <w:p w:rsidR="0052073E" w:rsidP="00534B4A" w:rsidRDefault="0052073E" w14:paraId="3888789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686DED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F1FE1D4"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66A3538" w14:textId="77777777">
        <w:tc>
          <w:tcPr>
            <w:tcW w:w="2048" w:type="dxa"/>
          </w:tcPr>
          <w:p w:rsidR="0052073E" w:rsidP="00534B4A" w:rsidRDefault="0052073E" w14:paraId="33D8DCC3"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219A04AD" w14:textId="77777777">
            <w:pPr>
              <w:tabs>
                <w:tab w:val="left" w:pos="-720"/>
              </w:tabs>
              <w:suppressAutoHyphens/>
              <w:rPr>
                <w:rFonts w:ascii="Times New Roman" w:hAnsi="Times New Roman"/>
                <w:b/>
                <w:szCs w:val="24"/>
              </w:rPr>
            </w:pPr>
          </w:p>
        </w:tc>
        <w:tc>
          <w:tcPr>
            <w:tcW w:w="2829" w:type="dxa"/>
          </w:tcPr>
          <w:p w:rsidR="0052073E" w:rsidP="00534B4A" w:rsidRDefault="0052073E" w14:paraId="2CB2208A" w14:textId="77777777">
            <w:pPr>
              <w:tabs>
                <w:tab w:val="left" w:pos="-720"/>
              </w:tabs>
              <w:suppressAutoHyphens/>
              <w:rPr>
                <w:rFonts w:ascii="Times New Roman" w:hAnsi="Times New Roman"/>
                <w:b/>
                <w:szCs w:val="24"/>
              </w:rPr>
            </w:pPr>
          </w:p>
        </w:tc>
        <w:tc>
          <w:tcPr>
            <w:tcW w:w="2520" w:type="dxa"/>
          </w:tcPr>
          <w:p w:rsidR="0052073E" w:rsidP="00534B4A" w:rsidRDefault="00E76E16" w14:paraId="489710BE" w14:textId="44FB0DFD">
            <w:pPr>
              <w:tabs>
                <w:tab w:val="left" w:pos="-720"/>
              </w:tabs>
              <w:suppressAutoHyphens/>
              <w:rPr>
                <w:rFonts w:ascii="Times New Roman" w:hAnsi="Times New Roman"/>
                <w:b/>
                <w:szCs w:val="24"/>
              </w:rPr>
            </w:pPr>
            <w:r>
              <w:rPr>
                <w:rFonts w:ascii="Times New Roman" w:hAnsi="Times New Roman"/>
                <w:b/>
                <w:szCs w:val="24"/>
              </w:rPr>
              <w:t>3000</w:t>
            </w:r>
          </w:p>
        </w:tc>
      </w:tr>
      <w:tr w:rsidR="0052073E" w:rsidTr="0052073E" w14:paraId="384F6F8E" w14:textId="77777777">
        <w:tc>
          <w:tcPr>
            <w:tcW w:w="2048" w:type="dxa"/>
          </w:tcPr>
          <w:p w:rsidR="0052073E" w:rsidP="00534B4A" w:rsidRDefault="0052073E" w14:paraId="13888A4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782D6C9A" w14:textId="77777777">
            <w:pPr>
              <w:tabs>
                <w:tab w:val="left" w:pos="-720"/>
              </w:tabs>
              <w:suppressAutoHyphens/>
              <w:rPr>
                <w:rFonts w:ascii="Times New Roman" w:hAnsi="Times New Roman"/>
                <w:b/>
                <w:szCs w:val="24"/>
              </w:rPr>
            </w:pPr>
          </w:p>
        </w:tc>
        <w:tc>
          <w:tcPr>
            <w:tcW w:w="2829" w:type="dxa"/>
          </w:tcPr>
          <w:p w:rsidR="0052073E" w:rsidP="00534B4A" w:rsidRDefault="0052073E" w14:paraId="01AC5399" w14:textId="77777777">
            <w:pPr>
              <w:tabs>
                <w:tab w:val="left" w:pos="-720"/>
              </w:tabs>
              <w:suppressAutoHyphens/>
              <w:rPr>
                <w:rFonts w:ascii="Times New Roman" w:hAnsi="Times New Roman"/>
                <w:b/>
                <w:szCs w:val="24"/>
              </w:rPr>
            </w:pPr>
          </w:p>
        </w:tc>
        <w:tc>
          <w:tcPr>
            <w:tcW w:w="2520" w:type="dxa"/>
          </w:tcPr>
          <w:p w:rsidR="0052073E" w:rsidP="00534B4A" w:rsidRDefault="00E76E16" w14:paraId="4B0FCD9A" w14:textId="3AD53CD4">
            <w:pPr>
              <w:tabs>
                <w:tab w:val="left" w:pos="-720"/>
              </w:tabs>
              <w:suppressAutoHyphens/>
              <w:rPr>
                <w:rFonts w:ascii="Times New Roman" w:hAnsi="Times New Roman"/>
                <w:b/>
                <w:szCs w:val="24"/>
              </w:rPr>
            </w:pPr>
            <w:r>
              <w:rPr>
                <w:rFonts w:ascii="Times New Roman" w:hAnsi="Times New Roman"/>
                <w:b/>
                <w:szCs w:val="24"/>
              </w:rPr>
              <w:t>0</w:t>
            </w:r>
          </w:p>
        </w:tc>
      </w:tr>
      <w:tr w:rsidR="0052073E" w:rsidTr="0052073E" w14:paraId="3D96936C" w14:textId="77777777">
        <w:tc>
          <w:tcPr>
            <w:tcW w:w="2048" w:type="dxa"/>
          </w:tcPr>
          <w:p w:rsidR="0052073E" w:rsidP="00534B4A" w:rsidRDefault="0052073E" w14:paraId="5A77669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31A68332" w14:textId="77777777">
            <w:pPr>
              <w:tabs>
                <w:tab w:val="left" w:pos="-720"/>
              </w:tabs>
              <w:suppressAutoHyphens/>
              <w:rPr>
                <w:rFonts w:ascii="Times New Roman" w:hAnsi="Times New Roman"/>
                <w:b/>
                <w:szCs w:val="24"/>
              </w:rPr>
            </w:pPr>
          </w:p>
        </w:tc>
        <w:tc>
          <w:tcPr>
            <w:tcW w:w="2829" w:type="dxa"/>
          </w:tcPr>
          <w:p w:rsidR="0052073E" w:rsidP="00534B4A" w:rsidRDefault="0052073E" w14:paraId="5C03E9AF" w14:textId="77777777">
            <w:pPr>
              <w:tabs>
                <w:tab w:val="left" w:pos="-720"/>
              </w:tabs>
              <w:suppressAutoHyphens/>
              <w:rPr>
                <w:rFonts w:ascii="Times New Roman" w:hAnsi="Times New Roman"/>
                <w:b/>
                <w:szCs w:val="24"/>
              </w:rPr>
            </w:pPr>
          </w:p>
        </w:tc>
        <w:tc>
          <w:tcPr>
            <w:tcW w:w="2520" w:type="dxa"/>
          </w:tcPr>
          <w:p w:rsidR="0052073E" w:rsidP="00534B4A" w:rsidRDefault="00464502" w14:paraId="1D28B438" w14:textId="3E867140">
            <w:pPr>
              <w:tabs>
                <w:tab w:val="left" w:pos="-720"/>
              </w:tabs>
              <w:suppressAutoHyphens/>
              <w:rPr>
                <w:rFonts w:ascii="Times New Roman" w:hAnsi="Times New Roman"/>
                <w:b/>
                <w:szCs w:val="24"/>
              </w:rPr>
            </w:pPr>
            <w:r>
              <w:rPr>
                <w:rFonts w:ascii="Times New Roman" w:hAnsi="Times New Roman"/>
                <w:b/>
                <w:szCs w:val="24"/>
              </w:rPr>
              <w:t>N</w:t>
            </w:r>
            <w:r w:rsidR="00CA59A3">
              <w:rPr>
                <w:rFonts w:ascii="Times New Roman" w:hAnsi="Times New Roman"/>
                <w:b/>
                <w:szCs w:val="24"/>
              </w:rPr>
              <w:t>/A</w:t>
            </w:r>
          </w:p>
        </w:tc>
      </w:tr>
    </w:tbl>
    <w:p w:rsidR="00F27AAF" w:rsidP="00534B4A" w:rsidRDefault="00F27AAF" w14:paraId="54A27039" w14:textId="77777777">
      <w:pPr>
        <w:tabs>
          <w:tab w:val="left" w:pos="-720"/>
        </w:tabs>
        <w:suppressAutoHyphens/>
        <w:rPr>
          <w:rFonts w:ascii="Times New Roman" w:hAnsi="Times New Roman"/>
          <w:b/>
          <w:szCs w:val="24"/>
        </w:rPr>
      </w:pPr>
    </w:p>
    <w:p w:rsidRPr="00534B4A" w:rsidR="00534B4A" w:rsidP="00534B4A" w:rsidRDefault="00534B4A" w14:paraId="76B81A50" w14:textId="77777777">
      <w:pPr>
        <w:tabs>
          <w:tab w:val="left" w:pos="-720"/>
        </w:tabs>
        <w:suppressAutoHyphens/>
        <w:rPr>
          <w:rFonts w:ascii="Times New Roman" w:hAnsi="Times New Roman"/>
          <w:szCs w:val="24"/>
        </w:rPr>
      </w:pPr>
    </w:p>
    <w:p w:rsidR="00043C32" w:rsidP="00AD381B" w:rsidRDefault="00043C32" w14:paraId="0FD66694" w14:textId="674549BC">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83C10" w:rsidP="00A83C10" w:rsidRDefault="00A83C10" w14:paraId="682A9181" w14:textId="77777777">
      <w:pPr>
        <w:pStyle w:val="ListParagraph"/>
        <w:tabs>
          <w:tab w:val="left" w:pos="-720"/>
        </w:tabs>
        <w:suppressAutoHyphens/>
        <w:ind w:left="806"/>
        <w:contextualSpacing w:val="0"/>
        <w:rPr>
          <w:rStyle w:val="a"/>
          <w:rFonts w:ascii="Times New Roman" w:hAnsi="Times New Roman"/>
          <w:b/>
          <w:szCs w:val="24"/>
        </w:rPr>
      </w:pPr>
    </w:p>
    <w:p w:rsidR="00534B4A" w:rsidP="00534B4A" w:rsidRDefault="00A83C10" w14:paraId="2F29E474" w14:textId="09AAAF75">
      <w:pPr>
        <w:tabs>
          <w:tab w:val="left" w:pos="-720"/>
        </w:tabs>
        <w:suppressAutoHyphens/>
        <w:rPr>
          <w:rFonts w:ascii="Times New Roman" w:hAnsi="Times New Roman"/>
          <w:szCs w:val="24"/>
        </w:rPr>
      </w:pPr>
      <w:r>
        <w:rPr>
          <w:rFonts w:ascii="Times New Roman" w:hAnsi="Times New Roman"/>
          <w:szCs w:val="24"/>
        </w:rPr>
        <w:tab/>
        <w:t xml:space="preserve"> </w:t>
      </w:r>
      <w:r>
        <w:rPr>
          <w:rStyle w:val="a"/>
          <w:rFonts w:ascii="Times New Roman" w:hAnsi="Times New Roman"/>
          <w:szCs w:val="24"/>
        </w:rPr>
        <w:t>The results of the collection will not be published.</w:t>
      </w:r>
    </w:p>
    <w:p w:rsidRPr="00534B4A" w:rsidR="00534B4A" w:rsidP="00534B4A" w:rsidRDefault="00534B4A" w14:paraId="752E01D1" w14:textId="77777777">
      <w:pPr>
        <w:tabs>
          <w:tab w:val="left" w:pos="-720"/>
        </w:tabs>
        <w:suppressAutoHyphens/>
        <w:rPr>
          <w:rFonts w:ascii="Times New Roman" w:hAnsi="Times New Roman"/>
          <w:szCs w:val="24"/>
        </w:rPr>
      </w:pPr>
    </w:p>
    <w:p w:rsidR="00043C32" w:rsidP="00AD381B" w:rsidRDefault="00043C32" w14:paraId="01089A4D" w14:textId="09351A54">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83C10" w:rsidR="00A83C10" w:rsidP="00A83C10" w:rsidRDefault="00A83C10" w14:paraId="553FD10C" w14:textId="77777777">
      <w:pPr>
        <w:tabs>
          <w:tab w:val="left" w:pos="-720"/>
        </w:tabs>
        <w:suppressAutoHyphens/>
        <w:rPr>
          <w:rStyle w:val="a"/>
          <w:rFonts w:ascii="Times New Roman" w:hAnsi="Times New Roman"/>
          <w:b/>
          <w:szCs w:val="24"/>
        </w:rPr>
      </w:pPr>
    </w:p>
    <w:p w:rsidR="00A83C10" w:rsidP="00A83C10" w:rsidRDefault="00A83C10" w14:paraId="1465AA82" w14:textId="39B45E87">
      <w:pPr>
        <w:pStyle w:val="ListParagraph"/>
        <w:tabs>
          <w:tab w:val="left" w:pos="-720"/>
        </w:tabs>
        <w:suppressAutoHyphens/>
        <w:ind w:left="907"/>
        <w:contextualSpacing w:val="0"/>
        <w:rPr>
          <w:rStyle w:val="a"/>
          <w:rFonts w:ascii="Times New Roman" w:hAnsi="Times New Roman"/>
          <w:szCs w:val="24"/>
        </w:rPr>
      </w:pPr>
      <w:r>
        <w:rPr>
          <w:rStyle w:val="a"/>
          <w:rFonts w:ascii="Times New Roman" w:hAnsi="Times New Roman"/>
          <w:szCs w:val="24"/>
        </w:rPr>
        <w:t>We will display the expiration date as required.</w:t>
      </w:r>
    </w:p>
    <w:p w:rsidR="00534B4A" w:rsidP="00534B4A" w:rsidRDefault="00534B4A" w14:paraId="42143AB0" w14:textId="1B4AF666">
      <w:pPr>
        <w:tabs>
          <w:tab w:val="left" w:pos="-720"/>
        </w:tabs>
        <w:suppressAutoHyphens/>
        <w:ind w:left="360"/>
        <w:rPr>
          <w:rFonts w:ascii="Times New Roman" w:hAnsi="Times New Roman"/>
          <w:b/>
          <w:szCs w:val="24"/>
        </w:rPr>
      </w:pPr>
    </w:p>
    <w:p w:rsidRPr="00534B4A" w:rsidR="00534B4A" w:rsidP="00534B4A" w:rsidRDefault="00534B4A" w14:paraId="1D1C4D0E" w14:textId="77777777">
      <w:pPr>
        <w:tabs>
          <w:tab w:val="left" w:pos="-720"/>
        </w:tabs>
        <w:suppressAutoHyphens/>
        <w:ind w:left="360"/>
        <w:rPr>
          <w:rFonts w:ascii="Times New Roman" w:hAnsi="Times New Roman"/>
          <w:szCs w:val="24"/>
        </w:rPr>
      </w:pPr>
    </w:p>
    <w:p w:rsidR="00A83C10" w:rsidP="00A83C10" w:rsidRDefault="00043C32" w14:paraId="566B1407"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83C10" w:rsidR="00A83C10" w:rsidP="00A83C10" w:rsidRDefault="00A83C10" w14:paraId="40026940" w14:textId="34A5C45E">
      <w:pPr>
        <w:pStyle w:val="ListParagraph"/>
        <w:tabs>
          <w:tab w:val="left" w:pos="-720"/>
        </w:tabs>
        <w:suppressAutoHyphens/>
        <w:ind w:left="900"/>
        <w:rPr>
          <w:rFonts w:ascii="Times New Roman" w:hAnsi="Times New Roman"/>
          <w:b/>
          <w:szCs w:val="24"/>
        </w:rPr>
      </w:pPr>
      <w:r w:rsidRPr="00A83C10">
        <w:rPr>
          <w:rFonts w:ascii="Times New Roman" w:hAnsi="Times New Roman"/>
          <w:b/>
          <w:szCs w:val="24"/>
        </w:rPr>
        <w:lastRenderedPageBreak/>
        <w:t xml:space="preserve">        </w:t>
      </w:r>
    </w:p>
    <w:p w:rsidRPr="00A83C10" w:rsidR="00A83C10" w:rsidP="00A83C10" w:rsidRDefault="00A83C10" w14:paraId="6ECF8CAC" w14:textId="53B27CCE">
      <w:pPr>
        <w:tabs>
          <w:tab w:val="left" w:pos="-720"/>
        </w:tabs>
        <w:suppressAutoHyphens/>
        <w:rPr>
          <w:rFonts w:ascii="Times New Roman" w:hAnsi="Times New Roman"/>
          <w:szCs w:val="24"/>
        </w:rPr>
      </w:pPr>
      <w:r w:rsidRPr="00A83C10">
        <w:rPr>
          <w:rFonts w:ascii="Times New Roman" w:hAnsi="Times New Roman"/>
          <w:b/>
          <w:szCs w:val="24"/>
        </w:rPr>
        <w:tab/>
      </w:r>
      <w:r>
        <w:rPr>
          <w:rFonts w:ascii="Times New Roman" w:hAnsi="Times New Roman"/>
          <w:b/>
          <w:szCs w:val="24"/>
        </w:rPr>
        <w:t xml:space="preserve">  </w:t>
      </w:r>
      <w:r w:rsidRPr="00A83C10">
        <w:rPr>
          <w:rStyle w:val="a"/>
          <w:rFonts w:ascii="Times New Roman" w:hAnsi="Times New Roman"/>
          <w:szCs w:val="24"/>
        </w:rPr>
        <w:t>There are no exceptions to the certification statement.</w:t>
      </w:r>
    </w:p>
    <w:p w:rsidRPr="00A83C10" w:rsidR="00A83C10" w:rsidP="00A83C10" w:rsidRDefault="00A83C10" w14:paraId="75BF4F79" w14:textId="2B548C96">
      <w:pPr>
        <w:tabs>
          <w:tab w:val="left" w:pos="-720"/>
        </w:tabs>
        <w:suppressAutoHyphens/>
        <w:rPr>
          <w:rFonts w:ascii="Times New Roman" w:hAnsi="Times New Roman"/>
          <w:b/>
          <w:szCs w:val="24"/>
        </w:rPr>
      </w:pPr>
    </w:p>
    <w:sectPr w:rsidRPr="00A83C10" w:rsidR="00A83C10" w:rsidSect="00043C32">
      <w:footerReference w:type="default" r:id="rId1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49DDA" w14:textId="77777777" w:rsidR="005A7B06" w:rsidRDefault="005A7B06" w:rsidP="00043C32">
      <w:r>
        <w:separator/>
      </w:r>
    </w:p>
  </w:endnote>
  <w:endnote w:type="continuationSeparator" w:id="0">
    <w:p w14:paraId="2237532A" w14:textId="77777777" w:rsidR="005A7B06" w:rsidRDefault="005A7B0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0A535" w14:textId="77777777" w:rsidR="00386054" w:rsidRDefault="00255A08">
    <w:pPr>
      <w:spacing w:before="140" w:line="100" w:lineRule="exact"/>
      <w:rPr>
        <w:sz w:val="10"/>
      </w:rPr>
    </w:pPr>
  </w:p>
  <w:p w14:paraId="174EB49A" w14:textId="77777777" w:rsidR="00386054" w:rsidRDefault="00255A08">
    <w:pPr>
      <w:tabs>
        <w:tab w:val="left" w:pos="0"/>
      </w:tabs>
      <w:suppressAutoHyphens/>
    </w:pPr>
  </w:p>
  <w:p w14:paraId="41734353" w14:textId="77777777" w:rsidR="00386054" w:rsidRDefault="00043C32">
    <w:pPr>
      <w:tabs>
        <w:tab w:val="left" w:pos="0"/>
      </w:tabs>
      <w:suppressAutoHyphens/>
    </w:pPr>
    <w:r>
      <w:rPr>
        <w:noProof/>
      </w:rPr>
      <mc:AlternateContent>
        <mc:Choice Requires="wps">
          <w:drawing>
            <wp:inline distT="0" distB="0" distL="0" distR="0" wp14:anchorId="0D756565" wp14:editId="6BBF9494">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546B9B"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D756565"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4D546B9B"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08D8" w14:textId="77777777" w:rsidR="005A7B06" w:rsidRDefault="005A7B06" w:rsidP="00043C32">
      <w:r>
        <w:separator/>
      </w:r>
    </w:p>
  </w:footnote>
  <w:footnote w:type="continuationSeparator" w:id="0">
    <w:p w14:paraId="0AAF34CB" w14:textId="77777777" w:rsidR="005A7B06" w:rsidRDefault="005A7B06" w:rsidP="00043C32">
      <w:r>
        <w:continuationSeparator/>
      </w:r>
    </w:p>
  </w:footnote>
  <w:footnote w:id="1">
    <w:p w14:paraId="2FB3D725"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87488D"/>
    <w:multiLevelType w:val="hybridMultilevel"/>
    <w:tmpl w:val="51E42A2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09E"/>
    <w:rsid w:val="00010D85"/>
    <w:rsid w:val="0001149D"/>
    <w:rsid w:val="000144CF"/>
    <w:rsid w:val="00014931"/>
    <w:rsid w:val="00015E51"/>
    <w:rsid w:val="00015F88"/>
    <w:rsid w:val="00017EC8"/>
    <w:rsid w:val="000202EF"/>
    <w:rsid w:val="00020576"/>
    <w:rsid w:val="00020932"/>
    <w:rsid w:val="0002158A"/>
    <w:rsid w:val="000262FC"/>
    <w:rsid w:val="000318C1"/>
    <w:rsid w:val="00031CB8"/>
    <w:rsid w:val="00035B4C"/>
    <w:rsid w:val="00035ED5"/>
    <w:rsid w:val="000412F7"/>
    <w:rsid w:val="000432C5"/>
    <w:rsid w:val="00043C32"/>
    <w:rsid w:val="000440E7"/>
    <w:rsid w:val="000443BF"/>
    <w:rsid w:val="000446F5"/>
    <w:rsid w:val="00044C39"/>
    <w:rsid w:val="00044DAF"/>
    <w:rsid w:val="0004738C"/>
    <w:rsid w:val="00047668"/>
    <w:rsid w:val="00047942"/>
    <w:rsid w:val="00055298"/>
    <w:rsid w:val="000562AF"/>
    <w:rsid w:val="00056597"/>
    <w:rsid w:val="00057081"/>
    <w:rsid w:val="00061500"/>
    <w:rsid w:val="000623EA"/>
    <w:rsid w:val="00066A0E"/>
    <w:rsid w:val="00071A2F"/>
    <w:rsid w:val="000739B6"/>
    <w:rsid w:val="00075954"/>
    <w:rsid w:val="00087A44"/>
    <w:rsid w:val="0009259B"/>
    <w:rsid w:val="0009286F"/>
    <w:rsid w:val="00093017"/>
    <w:rsid w:val="000A182B"/>
    <w:rsid w:val="000A2F3D"/>
    <w:rsid w:val="000A58F1"/>
    <w:rsid w:val="000B1A2A"/>
    <w:rsid w:val="000B1C54"/>
    <w:rsid w:val="000B4023"/>
    <w:rsid w:val="000B4C9E"/>
    <w:rsid w:val="000C0D5D"/>
    <w:rsid w:val="000C26C8"/>
    <w:rsid w:val="000C5EFF"/>
    <w:rsid w:val="000C75D7"/>
    <w:rsid w:val="000D17E0"/>
    <w:rsid w:val="000D260F"/>
    <w:rsid w:val="000D552A"/>
    <w:rsid w:val="000D61A1"/>
    <w:rsid w:val="000E4FCB"/>
    <w:rsid w:val="000F1CCF"/>
    <w:rsid w:val="000F471D"/>
    <w:rsid w:val="000F49C7"/>
    <w:rsid w:val="000F68E9"/>
    <w:rsid w:val="0010482F"/>
    <w:rsid w:val="00105442"/>
    <w:rsid w:val="00106A43"/>
    <w:rsid w:val="0011139A"/>
    <w:rsid w:val="0011195F"/>
    <w:rsid w:val="00115121"/>
    <w:rsid w:val="001151C1"/>
    <w:rsid w:val="001154EE"/>
    <w:rsid w:val="00121A14"/>
    <w:rsid w:val="00122056"/>
    <w:rsid w:val="001226F9"/>
    <w:rsid w:val="00123D18"/>
    <w:rsid w:val="0012490B"/>
    <w:rsid w:val="00124C41"/>
    <w:rsid w:val="001263F8"/>
    <w:rsid w:val="00131D01"/>
    <w:rsid w:val="0013303F"/>
    <w:rsid w:val="00133815"/>
    <w:rsid w:val="00135EA0"/>
    <w:rsid w:val="00137860"/>
    <w:rsid w:val="00137A8F"/>
    <w:rsid w:val="00140644"/>
    <w:rsid w:val="0014287F"/>
    <w:rsid w:val="00142DAD"/>
    <w:rsid w:val="001453E3"/>
    <w:rsid w:val="00146A70"/>
    <w:rsid w:val="0014723E"/>
    <w:rsid w:val="00152FF5"/>
    <w:rsid w:val="00161B6B"/>
    <w:rsid w:val="00162D11"/>
    <w:rsid w:val="00175AA2"/>
    <w:rsid w:val="00177EF3"/>
    <w:rsid w:val="001824F3"/>
    <w:rsid w:val="00183C3A"/>
    <w:rsid w:val="00194473"/>
    <w:rsid w:val="001A0B1C"/>
    <w:rsid w:val="001A28CF"/>
    <w:rsid w:val="001A6AE0"/>
    <w:rsid w:val="001B1055"/>
    <w:rsid w:val="001B6BA9"/>
    <w:rsid w:val="001B77F1"/>
    <w:rsid w:val="001C0323"/>
    <w:rsid w:val="001C16EF"/>
    <w:rsid w:val="001C1DB3"/>
    <w:rsid w:val="001C73C0"/>
    <w:rsid w:val="001D15AA"/>
    <w:rsid w:val="001D1991"/>
    <w:rsid w:val="001D3334"/>
    <w:rsid w:val="001D35B0"/>
    <w:rsid w:val="001D3D52"/>
    <w:rsid w:val="001D72F0"/>
    <w:rsid w:val="001E0543"/>
    <w:rsid w:val="001E3726"/>
    <w:rsid w:val="001E4211"/>
    <w:rsid w:val="001E6F63"/>
    <w:rsid w:val="001E75CE"/>
    <w:rsid w:val="001E79BD"/>
    <w:rsid w:val="001F5275"/>
    <w:rsid w:val="001F6F30"/>
    <w:rsid w:val="001F7F55"/>
    <w:rsid w:val="00206AF3"/>
    <w:rsid w:val="00207069"/>
    <w:rsid w:val="002074B5"/>
    <w:rsid w:val="002100B9"/>
    <w:rsid w:val="002108CC"/>
    <w:rsid w:val="00212C3B"/>
    <w:rsid w:val="00212E5F"/>
    <w:rsid w:val="00213FA0"/>
    <w:rsid w:val="00217781"/>
    <w:rsid w:val="00220F3F"/>
    <w:rsid w:val="00221284"/>
    <w:rsid w:val="002225CC"/>
    <w:rsid w:val="0022369C"/>
    <w:rsid w:val="00224714"/>
    <w:rsid w:val="00224A3B"/>
    <w:rsid w:val="00227BCB"/>
    <w:rsid w:val="002313F4"/>
    <w:rsid w:val="002330B5"/>
    <w:rsid w:val="0023502A"/>
    <w:rsid w:val="00240A39"/>
    <w:rsid w:val="00240DED"/>
    <w:rsid w:val="00246FE9"/>
    <w:rsid w:val="00250100"/>
    <w:rsid w:val="0025021F"/>
    <w:rsid w:val="00251845"/>
    <w:rsid w:val="00254DFC"/>
    <w:rsid w:val="00255A08"/>
    <w:rsid w:val="0025653A"/>
    <w:rsid w:val="0026088D"/>
    <w:rsid w:val="0026186F"/>
    <w:rsid w:val="00261C64"/>
    <w:rsid w:val="00262A69"/>
    <w:rsid w:val="00265E4B"/>
    <w:rsid w:val="002667ED"/>
    <w:rsid w:val="00266990"/>
    <w:rsid w:val="00267EFE"/>
    <w:rsid w:val="00270AF7"/>
    <w:rsid w:val="00274E02"/>
    <w:rsid w:val="00275A6A"/>
    <w:rsid w:val="00275B8C"/>
    <w:rsid w:val="002770D6"/>
    <w:rsid w:val="002833D4"/>
    <w:rsid w:val="00287434"/>
    <w:rsid w:val="002901FF"/>
    <w:rsid w:val="00294969"/>
    <w:rsid w:val="00296E7D"/>
    <w:rsid w:val="002A19CC"/>
    <w:rsid w:val="002A3221"/>
    <w:rsid w:val="002A7BBF"/>
    <w:rsid w:val="002A7FBF"/>
    <w:rsid w:val="002B271D"/>
    <w:rsid w:val="002B3BA4"/>
    <w:rsid w:val="002B5AC2"/>
    <w:rsid w:val="002B5C80"/>
    <w:rsid w:val="002B7172"/>
    <w:rsid w:val="002C005A"/>
    <w:rsid w:val="002C3520"/>
    <w:rsid w:val="002D497A"/>
    <w:rsid w:val="002D6199"/>
    <w:rsid w:val="002D7D87"/>
    <w:rsid w:val="002E14E0"/>
    <w:rsid w:val="002E1836"/>
    <w:rsid w:val="002E3629"/>
    <w:rsid w:val="002E3A26"/>
    <w:rsid w:val="002E49DE"/>
    <w:rsid w:val="002E5752"/>
    <w:rsid w:val="002E5B0E"/>
    <w:rsid w:val="002E6BB4"/>
    <w:rsid w:val="002F2BBB"/>
    <w:rsid w:val="002F3922"/>
    <w:rsid w:val="002F5344"/>
    <w:rsid w:val="002F55E5"/>
    <w:rsid w:val="00300E51"/>
    <w:rsid w:val="00303E9A"/>
    <w:rsid w:val="0030439C"/>
    <w:rsid w:val="0030469F"/>
    <w:rsid w:val="00305E77"/>
    <w:rsid w:val="003064D5"/>
    <w:rsid w:val="00306E08"/>
    <w:rsid w:val="0031112E"/>
    <w:rsid w:val="0032078A"/>
    <w:rsid w:val="0032240B"/>
    <w:rsid w:val="0032539E"/>
    <w:rsid w:val="00325E36"/>
    <w:rsid w:val="00326119"/>
    <w:rsid w:val="00332DD1"/>
    <w:rsid w:val="00337E27"/>
    <w:rsid w:val="00337E76"/>
    <w:rsid w:val="00342B47"/>
    <w:rsid w:val="00342FBA"/>
    <w:rsid w:val="00343611"/>
    <w:rsid w:val="00347CEF"/>
    <w:rsid w:val="00347F03"/>
    <w:rsid w:val="00351E84"/>
    <w:rsid w:val="003538D3"/>
    <w:rsid w:val="00360649"/>
    <w:rsid w:val="0036066A"/>
    <w:rsid w:val="00360EBB"/>
    <w:rsid w:val="00363F69"/>
    <w:rsid w:val="00364B5C"/>
    <w:rsid w:val="00366239"/>
    <w:rsid w:val="00376916"/>
    <w:rsid w:val="00377672"/>
    <w:rsid w:val="0038191B"/>
    <w:rsid w:val="00385036"/>
    <w:rsid w:val="0038551D"/>
    <w:rsid w:val="003860E4"/>
    <w:rsid w:val="00390E12"/>
    <w:rsid w:val="003926D4"/>
    <w:rsid w:val="003930FE"/>
    <w:rsid w:val="003943C1"/>
    <w:rsid w:val="00395F41"/>
    <w:rsid w:val="00396604"/>
    <w:rsid w:val="003A630B"/>
    <w:rsid w:val="003A7E3D"/>
    <w:rsid w:val="003B1545"/>
    <w:rsid w:val="003B3123"/>
    <w:rsid w:val="003B48D5"/>
    <w:rsid w:val="003C495E"/>
    <w:rsid w:val="003D3791"/>
    <w:rsid w:val="003D4C39"/>
    <w:rsid w:val="003E3A6F"/>
    <w:rsid w:val="003E3AEF"/>
    <w:rsid w:val="003F2E97"/>
    <w:rsid w:val="00400068"/>
    <w:rsid w:val="00401FD4"/>
    <w:rsid w:val="004057FA"/>
    <w:rsid w:val="00411BCF"/>
    <w:rsid w:val="0041213F"/>
    <w:rsid w:val="00412915"/>
    <w:rsid w:val="00413CFB"/>
    <w:rsid w:val="0041446D"/>
    <w:rsid w:val="00414D80"/>
    <w:rsid w:val="00415701"/>
    <w:rsid w:val="00415E7D"/>
    <w:rsid w:val="00416B3B"/>
    <w:rsid w:val="004201DC"/>
    <w:rsid w:val="00420F4B"/>
    <w:rsid w:val="004214FD"/>
    <w:rsid w:val="00422373"/>
    <w:rsid w:val="004235C9"/>
    <w:rsid w:val="004269DA"/>
    <w:rsid w:val="00426C92"/>
    <w:rsid w:val="004272FD"/>
    <w:rsid w:val="00430F37"/>
    <w:rsid w:val="00432336"/>
    <w:rsid w:val="00437FF6"/>
    <w:rsid w:val="00442E07"/>
    <w:rsid w:val="00445032"/>
    <w:rsid w:val="00446189"/>
    <w:rsid w:val="00447BF0"/>
    <w:rsid w:val="00447CFD"/>
    <w:rsid w:val="004501DC"/>
    <w:rsid w:val="004526CF"/>
    <w:rsid w:val="00454450"/>
    <w:rsid w:val="00464502"/>
    <w:rsid w:val="00466B52"/>
    <w:rsid w:val="00467CCF"/>
    <w:rsid w:val="00484CB8"/>
    <w:rsid w:val="00485E5C"/>
    <w:rsid w:val="0049011C"/>
    <w:rsid w:val="00491BF1"/>
    <w:rsid w:val="00493AD3"/>
    <w:rsid w:val="0049438A"/>
    <w:rsid w:val="00494485"/>
    <w:rsid w:val="0049487A"/>
    <w:rsid w:val="0049515B"/>
    <w:rsid w:val="004A2474"/>
    <w:rsid w:val="004A3E1D"/>
    <w:rsid w:val="004A6AFC"/>
    <w:rsid w:val="004B6BEE"/>
    <w:rsid w:val="004B6EE8"/>
    <w:rsid w:val="004C457E"/>
    <w:rsid w:val="004C4C35"/>
    <w:rsid w:val="004C6F07"/>
    <w:rsid w:val="004D128A"/>
    <w:rsid w:val="004D2B42"/>
    <w:rsid w:val="004D3638"/>
    <w:rsid w:val="004D4A9E"/>
    <w:rsid w:val="004D4D4E"/>
    <w:rsid w:val="004D51F6"/>
    <w:rsid w:val="004D67BD"/>
    <w:rsid w:val="004E7E58"/>
    <w:rsid w:val="004E7E6F"/>
    <w:rsid w:val="004E7F04"/>
    <w:rsid w:val="004F297B"/>
    <w:rsid w:val="00500DE5"/>
    <w:rsid w:val="00506697"/>
    <w:rsid w:val="005075AB"/>
    <w:rsid w:val="0051007C"/>
    <w:rsid w:val="00511B85"/>
    <w:rsid w:val="005121FC"/>
    <w:rsid w:val="00514872"/>
    <w:rsid w:val="0051583C"/>
    <w:rsid w:val="0052073E"/>
    <w:rsid w:val="00520C96"/>
    <w:rsid w:val="005218B6"/>
    <w:rsid w:val="00521967"/>
    <w:rsid w:val="00521CDF"/>
    <w:rsid w:val="005231EF"/>
    <w:rsid w:val="00524091"/>
    <w:rsid w:val="0052767E"/>
    <w:rsid w:val="00534B4A"/>
    <w:rsid w:val="00535653"/>
    <w:rsid w:val="00535C67"/>
    <w:rsid w:val="00543438"/>
    <w:rsid w:val="0054533E"/>
    <w:rsid w:val="00545CF4"/>
    <w:rsid w:val="005468CE"/>
    <w:rsid w:val="00546CEF"/>
    <w:rsid w:val="00554800"/>
    <w:rsid w:val="00560449"/>
    <w:rsid w:val="00560893"/>
    <w:rsid w:val="005658AB"/>
    <w:rsid w:val="005667C7"/>
    <w:rsid w:val="00572C22"/>
    <w:rsid w:val="005736DE"/>
    <w:rsid w:val="00575DDA"/>
    <w:rsid w:val="00581C11"/>
    <w:rsid w:val="005829E9"/>
    <w:rsid w:val="00582C0F"/>
    <w:rsid w:val="005851E6"/>
    <w:rsid w:val="0059627B"/>
    <w:rsid w:val="00597A00"/>
    <w:rsid w:val="00597BD2"/>
    <w:rsid w:val="005A2F16"/>
    <w:rsid w:val="005A6A25"/>
    <w:rsid w:val="005A7141"/>
    <w:rsid w:val="005A7B06"/>
    <w:rsid w:val="005B06B0"/>
    <w:rsid w:val="005B1A2B"/>
    <w:rsid w:val="005B6B92"/>
    <w:rsid w:val="005B71C0"/>
    <w:rsid w:val="005C1FFC"/>
    <w:rsid w:val="005C60D2"/>
    <w:rsid w:val="005C6981"/>
    <w:rsid w:val="005C76F8"/>
    <w:rsid w:val="005C78C7"/>
    <w:rsid w:val="005C7910"/>
    <w:rsid w:val="005D2458"/>
    <w:rsid w:val="005D2477"/>
    <w:rsid w:val="005D5248"/>
    <w:rsid w:val="005D6917"/>
    <w:rsid w:val="005E4B74"/>
    <w:rsid w:val="005F2DD6"/>
    <w:rsid w:val="006002FB"/>
    <w:rsid w:val="00601B4F"/>
    <w:rsid w:val="00605885"/>
    <w:rsid w:val="006059AA"/>
    <w:rsid w:val="0060775A"/>
    <w:rsid w:val="0061210F"/>
    <w:rsid w:val="00613110"/>
    <w:rsid w:val="006149BB"/>
    <w:rsid w:val="006169F5"/>
    <w:rsid w:val="00617B95"/>
    <w:rsid w:val="00620F3C"/>
    <w:rsid w:val="0063161C"/>
    <w:rsid w:val="0064347E"/>
    <w:rsid w:val="0064382C"/>
    <w:rsid w:val="006459E7"/>
    <w:rsid w:val="006504C6"/>
    <w:rsid w:val="00650EF2"/>
    <w:rsid w:val="00651668"/>
    <w:rsid w:val="00652D1E"/>
    <w:rsid w:val="00656E95"/>
    <w:rsid w:val="0066090F"/>
    <w:rsid w:val="00662340"/>
    <w:rsid w:val="00662B71"/>
    <w:rsid w:val="006643E5"/>
    <w:rsid w:val="0066691C"/>
    <w:rsid w:val="0067110B"/>
    <w:rsid w:val="006712B8"/>
    <w:rsid w:val="00671737"/>
    <w:rsid w:val="00671ECE"/>
    <w:rsid w:val="0068567A"/>
    <w:rsid w:val="006940F8"/>
    <w:rsid w:val="006A0F1E"/>
    <w:rsid w:val="006A292A"/>
    <w:rsid w:val="006A38F7"/>
    <w:rsid w:val="006A4EBB"/>
    <w:rsid w:val="006A5176"/>
    <w:rsid w:val="006A5ECF"/>
    <w:rsid w:val="006A6DDE"/>
    <w:rsid w:val="006B1552"/>
    <w:rsid w:val="006B37A9"/>
    <w:rsid w:val="006B4172"/>
    <w:rsid w:val="006B6BD6"/>
    <w:rsid w:val="006B7A95"/>
    <w:rsid w:val="006C35B1"/>
    <w:rsid w:val="006D6023"/>
    <w:rsid w:val="006E0017"/>
    <w:rsid w:val="006E60C0"/>
    <w:rsid w:val="006E6DAA"/>
    <w:rsid w:val="006E7EB8"/>
    <w:rsid w:val="006F3D47"/>
    <w:rsid w:val="006F4E5C"/>
    <w:rsid w:val="006F541F"/>
    <w:rsid w:val="006F5693"/>
    <w:rsid w:val="006F5F55"/>
    <w:rsid w:val="006F67F9"/>
    <w:rsid w:val="00702472"/>
    <w:rsid w:val="007028D7"/>
    <w:rsid w:val="00702CE5"/>
    <w:rsid w:val="00704225"/>
    <w:rsid w:val="00706557"/>
    <w:rsid w:val="007066AA"/>
    <w:rsid w:val="0071057E"/>
    <w:rsid w:val="00713B69"/>
    <w:rsid w:val="00714299"/>
    <w:rsid w:val="0071742B"/>
    <w:rsid w:val="00717B8C"/>
    <w:rsid w:val="0072591A"/>
    <w:rsid w:val="00727EE6"/>
    <w:rsid w:val="00735092"/>
    <w:rsid w:val="007353AD"/>
    <w:rsid w:val="007409B3"/>
    <w:rsid w:val="00741807"/>
    <w:rsid w:val="007446A3"/>
    <w:rsid w:val="00745C35"/>
    <w:rsid w:val="00746D89"/>
    <w:rsid w:val="00746F3E"/>
    <w:rsid w:val="00747807"/>
    <w:rsid w:val="00753BA6"/>
    <w:rsid w:val="007545BF"/>
    <w:rsid w:val="00754A2C"/>
    <w:rsid w:val="00755D99"/>
    <w:rsid w:val="00756FD3"/>
    <w:rsid w:val="00761637"/>
    <w:rsid w:val="00762053"/>
    <w:rsid w:val="00765392"/>
    <w:rsid w:val="0077015A"/>
    <w:rsid w:val="00771E7F"/>
    <w:rsid w:val="007737DD"/>
    <w:rsid w:val="007770D4"/>
    <w:rsid w:val="00777243"/>
    <w:rsid w:val="00780D8E"/>
    <w:rsid w:val="00781207"/>
    <w:rsid w:val="007821D3"/>
    <w:rsid w:val="00782616"/>
    <w:rsid w:val="007849AE"/>
    <w:rsid w:val="0078515B"/>
    <w:rsid w:val="007856CE"/>
    <w:rsid w:val="00790E3E"/>
    <w:rsid w:val="007930E6"/>
    <w:rsid w:val="007934B6"/>
    <w:rsid w:val="00794941"/>
    <w:rsid w:val="0079620A"/>
    <w:rsid w:val="0079765A"/>
    <w:rsid w:val="007A1F36"/>
    <w:rsid w:val="007A219D"/>
    <w:rsid w:val="007A45EB"/>
    <w:rsid w:val="007A5081"/>
    <w:rsid w:val="007A7913"/>
    <w:rsid w:val="007B0957"/>
    <w:rsid w:val="007B2043"/>
    <w:rsid w:val="007B4F61"/>
    <w:rsid w:val="007B77F0"/>
    <w:rsid w:val="007B7CEC"/>
    <w:rsid w:val="007B7FBB"/>
    <w:rsid w:val="007C0A4C"/>
    <w:rsid w:val="007C2487"/>
    <w:rsid w:val="007C2A4D"/>
    <w:rsid w:val="007C31DB"/>
    <w:rsid w:val="007C5295"/>
    <w:rsid w:val="007C60CD"/>
    <w:rsid w:val="007D343A"/>
    <w:rsid w:val="007D467D"/>
    <w:rsid w:val="007D765D"/>
    <w:rsid w:val="007E294B"/>
    <w:rsid w:val="007E7942"/>
    <w:rsid w:val="007F0456"/>
    <w:rsid w:val="007F41A6"/>
    <w:rsid w:val="007F6104"/>
    <w:rsid w:val="007F6824"/>
    <w:rsid w:val="00800D30"/>
    <w:rsid w:val="00802AB2"/>
    <w:rsid w:val="008040DD"/>
    <w:rsid w:val="0080423F"/>
    <w:rsid w:val="00804B36"/>
    <w:rsid w:val="00804C61"/>
    <w:rsid w:val="008056DB"/>
    <w:rsid w:val="00805C97"/>
    <w:rsid w:val="00805D4A"/>
    <w:rsid w:val="00806C84"/>
    <w:rsid w:val="00807690"/>
    <w:rsid w:val="00807D1A"/>
    <w:rsid w:val="00807EB9"/>
    <w:rsid w:val="0081142D"/>
    <w:rsid w:val="00811FBA"/>
    <w:rsid w:val="008143ED"/>
    <w:rsid w:val="008231A2"/>
    <w:rsid w:val="00824D16"/>
    <w:rsid w:val="00827087"/>
    <w:rsid w:val="00832554"/>
    <w:rsid w:val="008332E5"/>
    <w:rsid w:val="0083342A"/>
    <w:rsid w:val="00833A14"/>
    <w:rsid w:val="00834F57"/>
    <w:rsid w:val="00835179"/>
    <w:rsid w:val="0084079E"/>
    <w:rsid w:val="00841D1C"/>
    <w:rsid w:val="00844C4C"/>
    <w:rsid w:val="00850081"/>
    <w:rsid w:val="00851120"/>
    <w:rsid w:val="0085307F"/>
    <w:rsid w:val="0085455A"/>
    <w:rsid w:val="008557C7"/>
    <w:rsid w:val="0085583A"/>
    <w:rsid w:val="008564D1"/>
    <w:rsid w:val="008715D8"/>
    <w:rsid w:val="00874EFE"/>
    <w:rsid w:val="008817C6"/>
    <w:rsid w:val="00882126"/>
    <w:rsid w:val="0088763C"/>
    <w:rsid w:val="00887EF0"/>
    <w:rsid w:val="008933F1"/>
    <w:rsid w:val="00893EB5"/>
    <w:rsid w:val="008A37C0"/>
    <w:rsid w:val="008A411E"/>
    <w:rsid w:val="008A6683"/>
    <w:rsid w:val="008A66DB"/>
    <w:rsid w:val="008A7E6F"/>
    <w:rsid w:val="008B3CEC"/>
    <w:rsid w:val="008B525D"/>
    <w:rsid w:val="008B5BCA"/>
    <w:rsid w:val="008B7F98"/>
    <w:rsid w:val="008C1B4B"/>
    <w:rsid w:val="008C437D"/>
    <w:rsid w:val="008C4836"/>
    <w:rsid w:val="008C5F36"/>
    <w:rsid w:val="008D0601"/>
    <w:rsid w:val="008D1F11"/>
    <w:rsid w:val="008D53CD"/>
    <w:rsid w:val="008D6C80"/>
    <w:rsid w:val="008E228F"/>
    <w:rsid w:val="008E5919"/>
    <w:rsid w:val="008F0ACF"/>
    <w:rsid w:val="008F3352"/>
    <w:rsid w:val="008F7884"/>
    <w:rsid w:val="00900B34"/>
    <w:rsid w:val="009038A2"/>
    <w:rsid w:val="00905951"/>
    <w:rsid w:val="00907E31"/>
    <w:rsid w:val="009107AF"/>
    <w:rsid w:val="00912D2C"/>
    <w:rsid w:val="00914F4C"/>
    <w:rsid w:val="00916EE4"/>
    <w:rsid w:val="00920F63"/>
    <w:rsid w:val="00921480"/>
    <w:rsid w:val="00921854"/>
    <w:rsid w:val="009219D0"/>
    <w:rsid w:val="009230FE"/>
    <w:rsid w:val="00923125"/>
    <w:rsid w:val="00923217"/>
    <w:rsid w:val="009243F3"/>
    <w:rsid w:val="00931762"/>
    <w:rsid w:val="0093366B"/>
    <w:rsid w:val="00934185"/>
    <w:rsid w:val="00936A96"/>
    <w:rsid w:val="00936B51"/>
    <w:rsid w:val="0094464F"/>
    <w:rsid w:val="00946126"/>
    <w:rsid w:val="009509FE"/>
    <w:rsid w:val="00952DF9"/>
    <w:rsid w:val="00953227"/>
    <w:rsid w:val="0095395D"/>
    <w:rsid w:val="0095421D"/>
    <w:rsid w:val="009562E9"/>
    <w:rsid w:val="00960C86"/>
    <w:rsid w:val="00962F4D"/>
    <w:rsid w:val="009630E9"/>
    <w:rsid w:val="00973090"/>
    <w:rsid w:val="00974F4E"/>
    <w:rsid w:val="00974FA1"/>
    <w:rsid w:val="00975143"/>
    <w:rsid w:val="009760B7"/>
    <w:rsid w:val="009767AF"/>
    <w:rsid w:val="00981F58"/>
    <w:rsid w:val="00984E6E"/>
    <w:rsid w:val="00986D0A"/>
    <w:rsid w:val="00987CD9"/>
    <w:rsid w:val="00992411"/>
    <w:rsid w:val="00993BE8"/>
    <w:rsid w:val="00995CF1"/>
    <w:rsid w:val="0099691F"/>
    <w:rsid w:val="00997F97"/>
    <w:rsid w:val="009A356D"/>
    <w:rsid w:val="009A434B"/>
    <w:rsid w:val="009A55FB"/>
    <w:rsid w:val="009A6549"/>
    <w:rsid w:val="009A6F48"/>
    <w:rsid w:val="009B10E0"/>
    <w:rsid w:val="009B252D"/>
    <w:rsid w:val="009B449A"/>
    <w:rsid w:val="009C1025"/>
    <w:rsid w:val="009C1050"/>
    <w:rsid w:val="009C2FEC"/>
    <w:rsid w:val="009C450A"/>
    <w:rsid w:val="009C5D89"/>
    <w:rsid w:val="009C6E85"/>
    <w:rsid w:val="009C7739"/>
    <w:rsid w:val="009D08CE"/>
    <w:rsid w:val="009D0DC5"/>
    <w:rsid w:val="009D2091"/>
    <w:rsid w:val="009D3A5E"/>
    <w:rsid w:val="009D7336"/>
    <w:rsid w:val="009E2FAE"/>
    <w:rsid w:val="009E3E86"/>
    <w:rsid w:val="009E4CE7"/>
    <w:rsid w:val="009E5525"/>
    <w:rsid w:val="009E5A34"/>
    <w:rsid w:val="009E67C2"/>
    <w:rsid w:val="009F0486"/>
    <w:rsid w:val="009F1CFD"/>
    <w:rsid w:val="009F39C0"/>
    <w:rsid w:val="009F66A0"/>
    <w:rsid w:val="00A01465"/>
    <w:rsid w:val="00A03A11"/>
    <w:rsid w:val="00A03B7E"/>
    <w:rsid w:val="00A115C1"/>
    <w:rsid w:val="00A118A2"/>
    <w:rsid w:val="00A14F8A"/>
    <w:rsid w:val="00A15C64"/>
    <w:rsid w:val="00A15F37"/>
    <w:rsid w:val="00A201AA"/>
    <w:rsid w:val="00A20E72"/>
    <w:rsid w:val="00A226B7"/>
    <w:rsid w:val="00A23F26"/>
    <w:rsid w:val="00A24379"/>
    <w:rsid w:val="00A24572"/>
    <w:rsid w:val="00A352F9"/>
    <w:rsid w:val="00A369E6"/>
    <w:rsid w:val="00A37603"/>
    <w:rsid w:val="00A37AF1"/>
    <w:rsid w:val="00A4001C"/>
    <w:rsid w:val="00A40AAB"/>
    <w:rsid w:val="00A455D7"/>
    <w:rsid w:val="00A46D01"/>
    <w:rsid w:val="00A5196E"/>
    <w:rsid w:val="00A55614"/>
    <w:rsid w:val="00A5699B"/>
    <w:rsid w:val="00A6147F"/>
    <w:rsid w:val="00A63866"/>
    <w:rsid w:val="00A63B48"/>
    <w:rsid w:val="00A70816"/>
    <w:rsid w:val="00A72C9D"/>
    <w:rsid w:val="00A73265"/>
    <w:rsid w:val="00A73590"/>
    <w:rsid w:val="00A74FA3"/>
    <w:rsid w:val="00A7636D"/>
    <w:rsid w:val="00A81627"/>
    <w:rsid w:val="00A8237D"/>
    <w:rsid w:val="00A83478"/>
    <w:rsid w:val="00A83C10"/>
    <w:rsid w:val="00A85FF0"/>
    <w:rsid w:val="00A9138E"/>
    <w:rsid w:val="00A92131"/>
    <w:rsid w:val="00A930F8"/>
    <w:rsid w:val="00A9364D"/>
    <w:rsid w:val="00AA1BEF"/>
    <w:rsid w:val="00AA2AD0"/>
    <w:rsid w:val="00AA54B4"/>
    <w:rsid w:val="00AA71B3"/>
    <w:rsid w:val="00AB34FE"/>
    <w:rsid w:val="00AB3CDE"/>
    <w:rsid w:val="00AB52A4"/>
    <w:rsid w:val="00AB7EAB"/>
    <w:rsid w:val="00AC1C89"/>
    <w:rsid w:val="00AC2DEC"/>
    <w:rsid w:val="00AC34C3"/>
    <w:rsid w:val="00AC66F2"/>
    <w:rsid w:val="00AD381B"/>
    <w:rsid w:val="00AD68CC"/>
    <w:rsid w:val="00AE205B"/>
    <w:rsid w:val="00AE3E75"/>
    <w:rsid w:val="00AE43BA"/>
    <w:rsid w:val="00AE5260"/>
    <w:rsid w:val="00AF0446"/>
    <w:rsid w:val="00AF5B5B"/>
    <w:rsid w:val="00AF5D1A"/>
    <w:rsid w:val="00B0017F"/>
    <w:rsid w:val="00B017F9"/>
    <w:rsid w:val="00B02B4A"/>
    <w:rsid w:val="00B07213"/>
    <w:rsid w:val="00B10A05"/>
    <w:rsid w:val="00B11821"/>
    <w:rsid w:val="00B125D0"/>
    <w:rsid w:val="00B132B9"/>
    <w:rsid w:val="00B16C92"/>
    <w:rsid w:val="00B246CA"/>
    <w:rsid w:val="00B30B53"/>
    <w:rsid w:val="00B3172C"/>
    <w:rsid w:val="00B3408D"/>
    <w:rsid w:val="00B343EC"/>
    <w:rsid w:val="00B3480F"/>
    <w:rsid w:val="00B34FE9"/>
    <w:rsid w:val="00B35637"/>
    <w:rsid w:val="00B35898"/>
    <w:rsid w:val="00B36B00"/>
    <w:rsid w:val="00B37BD8"/>
    <w:rsid w:val="00B41E2E"/>
    <w:rsid w:val="00B441B8"/>
    <w:rsid w:val="00B46AB0"/>
    <w:rsid w:val="00B46B6D"/>
    <w:rsid w:val="00B51B2F"/>
    <w:rsid w:val="00B54167"/>
    <w:rsid w:val="00B54A1B"/>
    <w:rsid w:val="00B60520"/>
    <w:rsid w:val="00B61572"/>
    <w:rsid w:val="00B62E06"/>
    <w:rsid w:val="00B64945"/>
    <w:rsid w:val="00B64B1D"/>
    <w:rsid w:val="00B66013"/>
    <w:rsid w:val="00B72760"/>
    <w:rsid w:val="00B72D9D"/>
    <w:rsid w:val="00B736B3"/>
    <w:rsid w:val="00B7589B"/>
    <w:rsid w:val="00B817A0"/>
    <w:rsid w:val="00B851CA"/>
    <w:rsid w:val="00B86F1F"/>
    <w:rsid w:val="00B9383A"/>
    <w:rsid w:val="00B9671B"/>
    <w:rsid w:val="00B96FCA"/>
    <w:rsid w:val="00B97049"/>
    <w:rsid w:val="00BA1D31"/>
    <w:rsid w:val="00BA5748"/>
    <w:rsid w:val="00BA5B0B"/>
    <w:rsid w:val="00BB1953"/>
    <w:rsid w:val="00BB4CD0"/>
    <w:rsid w:val="00BB562E"/>
    <w:rsid w:val="00BB58B9"/>
    <w:rsid w:val="00BB5A7E"/>
    <w:rsid w:val="00BB5B90"/>
    <w:rsid w:val="00BB6161"/>
    <w:rsid w:val="00BC1062"/>
    <w:rsid w:val="00BC12C4"/>
    <w:rsid w:val="00BC4A74"/>
    <w:rsid w:val="00BD294F"/>
    <w:rsid w:val="00BD54D1"/>
    <w:rsid w:val="00BD59F0"/>
    <w:rsid w:val="00BD718E"/>
    <w:rsid w:val="00BD77A8"/>
    <w:rsid w:val="00BE0205"/>
    <w:rsid w:val="00BE47E0"/>
    <w:rsid w:val="00BE48C2"/>
    <w:rsid w:val="00BE5657"/>
    <w:rsid w:val="00BE697B"/>
    <w:rsid w:val="00BE7008"/>
    <w:rsid w:val="00BE730B"/>
    <w:rsid w:val="00BF23AB"/>
    <w:rsid w:val="00C11754"/>
    <w:rsid w:val="00C15410"/>
    <w:rsid w:val="00C164D3"/>
    <w:rsid w:val="00C16588"/>
    <w:rsid w:val="00C16CF7"/>
    <w:rsid w:val="00C17F4A"/>
    <w:rsid w:val="00C20670"/>
    <w:rsid w:val="00C22473"/>
    <w:rsid w:val="00C224FD"/>
    <w:rsid w:val="00C305CC"/>
    <w:rsid w:val="00C33E9E"/>
    <w:rsid w:val="00C3650B"/>
    <w:rsid w:val="00C36D89"/>
    <w:rsid w:val="00C37F6C"/>
    <w:rsid w:val="00C37FDE"/>
    <w:rsid w:val="00C5152F"/>
    <w:rsid w:val="00C52622"/>
    <w:rsid w:val="00C5355A"/>
    <w:rsid w:val="00C54549"/>
    <w:rsid w:val="00C54BDC"/>
    <w:rsid w:val="00C54DBF"/>
    <w:rsid w:val="00C56B15"/>
    <w:rsid w:val="00C61713"/>
    <w:rsid w:val="00C61BE6"/>
    <w:rsid w:val="00C62B7B"/>
    <w:rsid w:val="00C65E95"/>
    <w:rsid w:val="00C65FBE"/>
    <w:rsid w:val="00C66098"/>
    <w:rsid w:val="00C67E6B"/>
    <w:rsid w:val="00C71418"/>
    <w:rsid w:val="00C71DC3"/>
    <w:rsid w:val="00C727DD"/>
    <w:rsid w:val="00C74B04"/>
    <w:rsid w:val="00C76A4B"/>
    <w:rsid w:val="00C840B3"/>
    <w:rsid w:val="00C86713"/>
    <w:rsid w:val="00C8726B"/>
    <w:rsid w:val="00C875E8"/>
    <w:rsid w:val="00C92035"/>
    <w:rsid w:val="00C95006"/>
    <w:rsid w:val="00C96F22"/>
    <w:rsid w:val="00CA2472"/>
    <w:rsid w:val="00CA3A47"/>
    <w:rsid w:val="00CA59A3"/>
    <w:rsid w:val="00CA6951"/>
    <w:rsid w:val="00CA71A5"/>
    <w:rsid w:val="00CB221F"/>
    <w:rsid w:val="00CB5FC9"/>
    <w:rsid w:val="00CC261D"/>
    <w:rsid w:val="00CC2A72"/>
    <w:rsid w:val="00CC3FB5"/>
    <w:rsid w:val="00CC5EE2"/>
    <w:rsid w:val="00CC66F1"/>
    <w:rsid w:val="00CC6F6C"/>
    <w:rsid w:val="00CC7819"/>
    <w:rsid w:val="00CD0E88"/>
    <w:rsid w:val="00CD1ED1"/>
    <w:rsid w:val="00CD2067"/>
    <w:rsid w:val="00CD3D0B"/>
    <w:rsid w:val="00CD47BC"/>
    <w:rsid w:val="00CE7BE9"/>
    <w:rsid w:val="00CF0C56"/>
    <w:rsid w:val="00CF12A1"/>
    <w:rsid w:val="00CF514F"/>
    <w:rsid w:val="00CF718F"/>
    <w:rsid w:val="00D01999"/>
    <w:rsid w:val="00D03CE2"/>
    <w:rsid w:val="00D03E63"/>
    <w:rsid w:val="00D0717B"/>
    <w:rsid w:val="00D076B0"/>
    <w:rsid w:val="00D12443"/>
    <w:rsid w:val="00D13878"/>
    <w:rsid w:val="00D13C95"/>
    <w:rsid w:val="00D160DE"/>
    <w:rsid w:val="00D215DD"/>
    <w:rsid w:val="00D232AB"/>
    <w:rsid w:val="00D27B7F"/>
    <w:rsid w:val="00D31B91"/>
    <w:rsid w:val="00D32027"/>
    <w:rsid w:val="00D334D5"/>
    <w:rsid w:val="00D34984"/>
    <w:rsid w:val="00D36C35"/>
    <w:rsid w:val="00D43A23"/>
    <w:rsid w:val="00D44481"/>
    <w:rsid w:val="00D45504"/>
    <w:rsid w:val="00D5207B"/>
    <w:rsid w:val="00D549E0"/>
    <w:rsid w:val="00D60237"/>
    <w:rsid w:val="00D60F34"/>
    <w:rsid w:val="00D6169A"/>
    <w:rsid w:val="00D63C89"/>
    <w:rsid w:val="00D641A1"/>
    <w:rsid w:val="00D64A95"/>
    <w:rsid w:val="00D66274"/>
    <w:rsid w:val="00D75313"/>
    <w:rsid w:val="00D7590A"/>
    <w:rsid w:val="00D77C8B"/>
    <w:rsid w:val="00D77F09"/>
    <w:rsid w:val="00D82A2F"/>
    <w:rsid w:val="00D83B2D"/>
    <w:rsid w:val="00D851D1"/>
    <w:rsid w:val="00D85DBA"/>
    <w:rsid w:val="00D90BB6"/>
    <w:rsid w:val="00D913E4"/>
    <w:rsid w:val="00D91D82"/>
    <w:rsid w:val="00DA18B0"/>
    <w:rsid w:val="00DA52AA"/>
    <w:rsid w:val="00DA5B78"/>
    <w:rsid w:val="00DA7606"/>
    <w:rsid w:val="00DA7651"/>
    <w:rsid w:val="00DA7AFC"/>
    <w:rsid w:val="00DB0072"/>
    <w:rsid w:val="00DB1310"/>
    <w:rsid w:val="00DB5D45"/>
    <w:rsid w:val="00DB76CD"/>
    <w:rsid w:val="00DD1717"/>
    <w:rsid w:val="00DD36D0"/>
    <w:rsid w:val="00DD4AB8"/>
    <w:rsid w:val="00DD726A"/>
    <w:rsid w:val="00DD7A22"/>
    <w:rsid w:val="00DE13EC"/>
    <w:rsid w:val="00DE402C"/>
    <w:rsid w:val="00DE4B9A"/>
    <w:rsid w:val="00DE580F"/>
    <w:rsid w:val="00DF4343"/>
    <w:rsid w:val="00DF4DC7"/>
    <w:rsid w:val="00DF4F70"/>
    <w:rsid w:val="00DF5F4F"/>
    <w:rsid w:val="00DF624B"/>
    <w:rsid w:val="00DF69EE"/>
    <w:rsid w:val="00E00563"/>
    <w:rsid w:val="00E0092B"/>
    <w:rsid w:val="00E02D39"/>
    <w:rsid w:val="00E037DF"/>
    <w:rsid w:val="00E048B9"/>
    <w:rsid w:val="00E117F5"/>
    <w:rsid w:val="00E1201F"/>
    <w:rsid w:val="00E1651A"/>
    <w:rsid w:val="00E16ACD"/>
    <w:rsid w:val="00E17134"/>
    <w:rsid w:val="00E243F3"/>
    <w:rsid w:val="00E25EBC"/>
    <w:rsid w:val="00E279D5"/>
    <w:rsid w:val="00E31DE4"/>
    <w:rsid w:val="00E33A2A"/>
    <w:rsid w:val="00E34FC2"/>
    <w:rsid w:val="00E35232"/>
    <w:rsid w:val="00E37FF4"/>
    <w:rsid w:val="00E44FA0"/>
    <w:rsid w:val="00E47F93"/>
    <w:rsid w:val="00E51CEE"/>
    <w:rsid w:val="00E53674"/>
    <w:rsid w:val="00E53D1E"/>
    <w:rsid w:val="00E54C6D"/>
    <w:rsid w:val="00E66550"/>
    <w:rsid w:val="00E70468"/>
    <w:rsid w:val="00E70D45"/>
    <w:rsid w:val="00E72AED"/>
    <w:rsid w:val="00E73035"/>
    <w:rsid w:val="00E734E1"/>
    <w:rsid w:val="00E76E16"/>
    <w:rsid w:val="00E81F68"/>
    <w:rsid w:val="00E82E32"/>
    <w:rsid w:val="00E84E45"/>
    <w:rsid w:val="00E877BF"/>
    <w:rsid w:val="00EA1027"/>
    <w:rsid w:val="00EA1724"/>
    <w:rsid w:val="00EA1767"/>
    <w:rsid w:val="00EA24CF"/>
    <w:rsid w:val="00EA5B6B"/>
    <w:rsid w:val="00EA678B"/>
    <w:rsid w:val="00EA79AF"/>
    <w:rsid w:val="00EA7AB6"/>
    <w:rsid w:val="00EB0929"/>
    <w:rsid w:val="00EB0FA5"/>
    <w:rsid w:val="00EB1116"/>
    <w:rsid w:val="00EB1B8A"/>
    <w:rsid w:val="00EB1D21"/>
    <w:rsid w:val="00EB20CC"/>
    <w:rsid w:val="00EB4EF2"/>
    <w:rsid w:val="00EB5C52"/>
    <w:rsid w:val="00EB7331"/>
    <w:rsid w:val="00EB7340"/>
    <w:rsid w:val="00EB7E32"/>
    <w:rsid w:val="00EC01DD"/>
    <w:rsid w:val="00EC2FF8"/>
    <w:rsid w:val="00EC35E3"/>
    <w:rsid w:val="00EC402A"/>
    <w:rsid w:val="00EC5945"/>
    <w:rsid w:val="00EC6489"/>
    <w:rsid w:val="00EC745E"/>
    <w:rsid w:val="00EC7CB6"/>
    <w:rsid w:val="00ED088B"/>
    <w:rsid w:val="00ED0BB0"/>
    <w:rsid w:val="00ED539A"/>
    <w:rsid w:val="00ED7195"/>
    <w:rsid w:val="00EE1A47"/>
    <w:rsid w:val="00EF05A5"/>
    <w:rsid w:val="00EF1876"/>
    <w:rsid w:val="00EF1B80"/>
    <w:rsid w:val="00EF533F"/>
    <w:rsid w:val="00EF6315"/>
    <w:rsid w:val="00F03EF1"/>
    <w:rsid w:val="00F0414F"/>
    <w:rsid w:val="00F059DF"/>
    <w:rsid w:val="00F070F3"/>
    <w:rsid w:val="00F10498"/>
    <w:rsid w:val="00F112CE"/>
    <w:rsid w:val="00F12403"/>
    <w:rsid w:val="00F15D30"/>
    <w:rsid w:val="00F21830"/>
    <w:rsid w:val="00F2506D"/>
    <w:rsid w:val="00F26380"/>
    <w:rsid w:val="00F27AAF"/>
    <w:rsid w:val="00F315FB"/>
    <w:rsid w:val="00F31BEC"/>
    <w:rsid w:val="00F35B09"/>
    <w:rsid w:val="00F43EDA"/>
    <w:rsid w:val="00F44FCD"/>
    <w:rsid w:val="00F4582B"/>
    <w:rsid w:val="00F46DEF"/>
    <w:rsid w:val="00F51D9C"/>
    <w:rsid w:val="00F56FAF"/>
    <w:rsid w:val="00F5746D"/>
    <w:rsid w:val="00F5782B"/>
    <w:rsid w:val="00F644E6"/>
    <w:rsid w:val="00F71404"/>
    <w:rsid w:val="00F715B0"/>
    <w:rsid w:val="00F73131"/>
    <w:rsid w:val="00F74434"/>
    <w:rsid w:val="00F77A51"/>
    <w:rsid w:val="00F8056B"/>
    <w:rsid w:val="00F810B7"/>
    <w:rsid w:val="00F830AB"/>
    <w:rsid w:val="00F83498"/>
    <w:rsid w:val="00F83C10"/>
    <w:rsid w:val="00F8494B"/>
    <w:rsid w:val="00F84C29"/>
    <w:rsid w:val="00F84EA2"/>
    <w:rsid w:val="00F84EAA"/>
    <w:rsid w:val="00F84F48"/>
    <w:rsid w:val="00F913C1"/>
    <w:rsid w:val="00F91FF7"/>
    <w:rsid w:val="00F95C3F"/>
    <w:rsid w:val="00F96A12"/>
    <w:rsid w:val="00F97236"/>
    <w:rsid w:val="00FA3287"/>
    <w:rsid w:val="00FA39A0"/>
    <w:rsid w:val="00FB4179"/>
    <w:rsid w:val="00FB5E49"/>
    <w:rsid w:val="00FB7495"/>
    <w:rsid w:val="00FB7519"/>
    <w:rsid w:val="00FC669D"/>
    <w:rsid w:val="00FC68D2"/>
    <w:rsid w:val="00FC7AEF"/>
    <w:rsid w:val="00FD184E"/>
    <w:rsid w:val="00FD3830"/>
    <w:rsid w:val="00FD4388"/>
    <w:rsid w:val="00FD4A07"/>
    <w:rsid w:val="00FD4CDA"/>
    <w:rsid w:val="00FD4F0B"/>
    <w:rsid w:val="00FD6571"/>
    <w:rsid w:val="00FD6A79"/>
    <w:rsid w:val="00FE02FC"/>
    <w:rsid w:val="00FE1BAE"/>
    <w:rsid w:val="00FE6C5D"/>
    <w:rsid w:val="00FF218D"/>
    <w:rsid w:val="00FF2571"/>
    <w:rsid w:val="00FF2F5B"/>
    <w:rsid w:val="00FF3214"/>
    <w:rsid w:val="00FF3F13"/>
    <w:rsid w:val="00FF47B6"/>
    <w:rsid w:val="00FF67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38B514"/>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F059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gepa427" TargetMode="External"/><Relationship Id="rId18" Type="http://schemas.openxmlformats.org/officeDocument/2006/relationships/hyperlink" Target="https://www.bls.gov/oes/current/oes_nat.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hitehouse.gov/omb/mgmt-gpra/gplaw2m" TargetMode="External"/><Relationship Id="rId17" Type="http://schemas.openxmlformats.org/officeDocument/2006/relationships/hyperlink" Target="http://www.g5.gov" TargetMode="Externa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iegpsirs/legislation.html" TargetMode="External"/><Relationship Id="rId5" Type="http://schemas.openxmlformats.org/officeDocument/2006/relationships/numbering" Target="numbering.xml"/><Relationship Id="rId15" Type="http://schemas.openxmlformats.org/officeDocument/2006/relationships/hyperlink" Target="http://www2.ed.gov/policy/fund/reg/edgarReg/edgar.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ed.gov/policy/gen/leg/gpe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f87c7b8b-c0e7-4b77-a067-2c707fd1239f"/>
    <ds:schemaRef ds:uri="http://schemas.openxmlformats.org/package/2006/metadata/core-properties"/>
    <ds:schemaRef ds:uri="02e41e38-1731-4866-b09a-6257d8bc047f"/>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3FB99269-8FBC-4469-8193-1E06CB843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9116B-DB0B-4558-9E25-481DAD48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3623</Words>
  <Characters>20655</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2020-05-13T19:40:00Z</dcterms:created>
  <dcterms:modified xsi:type="dcterms:W3CDTF">2020-05-13T19:40:00Z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