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14FB" w:rsidR="005B14FB" w:rsidP="005D5DCC" w:rsidRDefault="006B5FE1" w14:paraId="27D4420F" w14:textId="77777777">
      <w:pPr>
        <w:rPr>
          <w:b/>
          <w:u w:val="single"/>
        </w:rPr>
      </w:pPr>
      <w:bookmarkStart w:name="_GoBack" w:id="0"/>
      <w:bookmarkEnd w:id="0"/>
      <w:r>
        <w:rPr>
          <w:b/>
          <w:u w:val="single"/>
        </w:rPr>
        <w:t xml:space="preserve">Revisions to </w:t>
      </w:r>
      <w:r w:rsidRPr="005B14FB" w:rsidR="005B14FB">
        <w:rPr>
          <w:b/>
          <w:u w:val="single"/>
        </w:rPr>
        <w:t>Call Report</w:t>
      </w:r>
      <w:r>
        <w:rPr>
          <w:b/>
          <w:u w:val="single"/>
        </w:rPr>
        <w:t xml:space="preserve"> Instructions</w:t>
      </w:r>
    </w:p>
    <w:p w:rsidR="00782DDE" w:rsidP="005D5DCC" w:rsidRDefault="00782DDE" w14:paraId="2A96C2DE" w14:textId="2AC1FF71">
      <w:pPr>
        <w:rPr>
          <w:u w:val="single"/>
        </w:rPr>
      </w:pPr>
    </w:p>
    <w:p w:rsidR="006F24B8" w:rsidP="005D5DCC" w:rsidRDefault="006F24B8" w14:paraId="6F716A77" w14:textId="2683142C">
      <w:pPr>
        <w:rPr>
          <w:u w:val="single"/>
        </w:rPr>
      </w:pPr>
      <w:r>
        <w:rPr>
          <w:u w:val="single"/>
        </w:rPr>
        <w:t>[Note – We would include the text below in the Supplemental Instructions starting in Q1 2020, and eventually add it to the General Instructions for Schedule RC-R. We would not overwrite the existing Call Report instructions for the 2019 CECL transition framework.]</w:t>
      </w:r>
    </w:p>
    <w:p w:rsidR="006F24B8" w:rsidP="005D5DCC" w:rsidRDefault="006F24B8" w14:paraId="566BBB0A" w14:textId="77777777">
      <w:pPr>
        <w:rPr>
          <w:u w:val="single"/>
        </w:rPr>
      </w:pPr>
    </w:p>
    <w:p w:rsidRPr="003424D6" w:rsidR="00AB310A" w:rsidP="005D5DCC" w:rsidRDefault="00AB310A" w14:paraId="612283CD" w14:textId="565FDBC5">
      <w:pPr>
        <w:rPr>
          <w:u w:val="single"/>
        </w:rPr>
      </w:pPr>
      <w:r w:rsidRPr="003424D6">
        <w:rPr>
          <w:u w:val="single"/>
        </w:rPr>
        <w:t>2020 CECL Transition Provision</w:t>
      </w:r>
    </w:p>
    <w:p w:rsidR="00AB310A" w:rsidP="005D5DCC" w:rsidRDefault="00782DDE" w14:paraId="04273827" w14:textId="04263A2D">
      <w:r>
        <w:t>Note: The reporting instructions are based on the 2020 transition provision in section 301of the agencies’ regulatory capital rules</w:t>
      </w:r>
      <w:r w:rsidR="006F24B8">
        <w:t xml:space="preserve"> and should be read in connection with those rules</w:t>
      </w:r>
      <w:r>
        <w:t>.</w:t>
      </w:r>
    </w:p>
    <w:p w:rsidR="00782DDE" w:rsidP="005D5DCC" w:rsidRDefault="00782DDE" w14:paraId="3BF150F7" w14:textId="77777777"/>
    <w:p w:rsidRPr="00997D8A" w:rsidR="00997D8A" w:rsidP="00997D8A" w:rsidRDefault="00997D8A" w14:paraId="6FA1DA20" w14:textId="77777777">
      <w:pPr>
        <w:rPr>
          <w:u w:val="single"/>
        </w:rPr>
      </w:pPr>
      <w:r>
        <w:rPr>
          <w:u w:val="single"/>
        </w:rPr>
        <w:t>Eligibility</w:t>
      </w:r>
    </w:p>
    <w:p w:rsidR="00997D8A" w:rsidP="00997D8A" w:rsidRDefault="00AB310A" w14:paraId="2F39F30A" w14:textId="49928639">
      <w:r>
        <w:t xml:space="preserve">An institution is eligible to use the 2020 CECL Transition Provision if it </w:t>
      </w:r>
      <w:r w:rsidR="00B22064">
        <w:t xml:space="preserve">is required to adopt </w:t>
      </w:r>
      <w:r>
        <w:t xml:space="preserve">CECL </w:t>
      </w:r>
      <w:r w:rsidR="0533B8D3">
        <w:t>under U.S. GAAP</w:t>
      </w:r>
      <w:r w:rsidR="00B22064">
        <w:t xml:space="preserve"> (as in effect on January 1, 2020)</w:t>
      </w:r>
      <w:r>
        <w:t xml:space="preserve"> </w:t>
      </w:r>
      <w:r w:rsidR="149EA801">
        <w:t>as of the first day of a fiscal year that begins during the 2020 calendar year</w:t>
      </w:r>
      <w:r>
        <w:t xml:space="preserve"> and:</w:t>
      </w:r>
    </w:p>
    <w:p w:rsidR="00AB310A" w:rsidP="00997D8A" w:rsidRDefault="00997D8A" w14:paraId="5D2D9262" w14:textId="685EC13F">
      <w:pPr>
        <w:pStyle w:val="ListParagraph"/>
      </w:pPr>
      <w:r>
        <w:t>(1)</w:t>
      </w:r>
      <w:r w:rsidR="00AB310A">
        <w:t xml:space="preserve"> reports a decrease in retained earnings immediately </w:t>
      </w:r>
      <w:r w:rsidR="00A230E0">
        <w:t xml:space="preserve">upon </w:t>
      </w:r>
      <w:r w:rsidR="00AB310A">
        <w:t>adopti</w:t>
      </w:r>
      <w:r w:rsidR="00A230E0">
        <w:t>o</w:t>
      </w:r>
      <w:r w:rsidR="00AB310A">
        <w:t>n</w:t>
      </w:r>
      <w:r w:rsidR="00A230E0">
        <w:t xml:space="preserve"> of</w:t>
      </w:r>
      <w:r w:rsidR="00AB310A">
        <w:t xml:space="preserve"> CECL</w:t>
      </w:r>
      <w:r>
        <w:t>; or</w:t>
      </w:r>
    </w:p>
    <w:p w:rsidR="00997D8A" w:rsidP="00997D8A" w:rsidRDefault="00997D8A" w14:paraId="3855ABF1" w14:textId="23F6BEC5">
      <w:pPr>
        <w:pStyle w:val="ListParagraph"/>
      </w:pPr>
      <w:r>
        <w:t xml:space="preserve">(2) </w:t>
      </w:r>
      <w:r w:rsidR="00A403DD">
        <w:t>would report</w:t>
      </w:r>
      <w:r>
        <w:t xml:space="preserve"> a positive </w:t>
      </w:r>
      <w:r w:rsidR="00B20E95">
        <w:t xml:space="preserve">Modified </w:t>
      </w:r>
      <w:r>
        <w:t xml:space="preserve">CECL Transitional Amount in any quarter </w:t>
      </w:r>
      <w:r w:rsidR="615AA60F">
        <w:t xml:space="preserve">ending in </w:t>
      </w:r>
      <w:r>
        <w:t>of 2020 after adopting CECL.</w:t>
      </w:r>
    </w:p>
    <w:p w:rsidR="00AB310A" w:rsidP="005D5DCC" w:rsidRDefault="00AB310A" w14:paraId="49B21D6F" w14:textId="77777777"/>
    <w:p w:rsidR="00997D8A" w:rsidP="005D5DCC" w:rsidRDefault="00997D8A" w14:paraId="511FFFD8" w14:textId="69745CCB">
      <w:r>
        <w:t xml:space="preserve">An institution must make its election </w:t>
      </w:r>
      <w:r w:rsidRPr="00A230E0" w:rsidR="00A230E0">
        <w:t>in calendar year 2020</w:t>
      </w:r>
      <w:r w:rsidR="00A230E0">
        <w:t xml:space="preserve"> </w:t>
      </w:r>
      <w:r>
        <w:t>on the first Call Report filed after the institution adopts CECL</w:t>
      </w:r>
      <w:r w:rsidR="006248E9">
        <w:t xml:space="preserve"> or </w:t>
      </w:r>
      <w:r w:rsidR="58DAFA09">
        <w:t xml:space="preserve">the same Call </w:t>
      </w:r>
      <w:r w:rsidR="5F41906D">
        <w:t>R</w:t>
      </w:r>
      <w:r w:rsidR="006248E9">
        <w:t xml:space="preserve">eport </w:t>
      </w:r>
      <w:r w:rsidR="17A302C3">
        <w:t xml:space="preserve">that an institution </w:t>
      </w:r>
      <w:r w:rsidR="006248E9">
        <w:t xml:space="preserve">reports a positive </w:t>
      </w:r>
      <w:r w:rsidR="0098052B">
        <w:t xml:space="preserve">Modified </w:t>
      </w:r>
      <w:r w:rsidR="006248E9">
        <w:t>CECL Transitional Amount</w:t>
      </w:r>
      <w:r w:rsidR="43882116">
        <w:t xml:space="preserve"> for any quarter ending in 2020</w:t>
      </w:r>
      <w:r>
        <w:t>.</w:t>
      </w:r>
    </w:p>
    <w:p w:rsidR="00997D8A" w:rsidP="005D5DCC" w:rsidRDefault="00997D8A" w14:paraId="53A6D71C" w14:textId="77777777"/>
    <w:p w:rsidR="00997D8A" w:rsidP="005D5DCC" w:rsidRDefault="00997D8A" w14:paraId="42973E9D" w14:textId="17B889EB">
      <w:r>
        <w:t xml:space="preserve">Even if an institution makes an election to use the 2020 CECL Transition Provision, </w:t>
      </w:r>
      <w:r w:rsidR="00EB3489">
        <w:t xml:space="preserve">the </w:t>
      </w:r>
      <w:r>
        <w:t xml:space="preserve">institution may only reflect the adjustment in </w:t>
      </w:r>
      <w:r w:rsidR="00EB3489">
        <w:t xml:space="preserve">the </w:t>
      </w:r>
      <w:r>
        <w:t xml:space="preserve">quarter </w:t>
      </w:r>
      <w:r w:rsidR="00EB3489">
        <w:t xml:space="preserve">or quarters </w:t>
      </w:r>
      <w:r w:rsidR="00570E00">
        <w:t>in which</w:t>
      </w:r>
      <w:r>
        <w:t xml:space="preserve"> the institution </w:t>
      </w:r>
      <w:r w:rsidR="003113D0">
        <w:t xml:space="preserve">implements </w:t>
      </w:r>
      <w:r>
        <w:t>CECL for regulatory reporting purposes.</w:t>
      </w:r>
      <w:r w:rsidR="002E319A">
        <w:t xml:space="preserve"> </w:t>
      </w:r>
    </w:p>
    <w:p w:rsidR="00997D8A" w:rsidP="005D5DCC" w:rsidRDefault="00997D8A" w14:paraId="3F49E706" w14:textId="77777777"/>
    <w:p w:rsidR="00997D8A" w:rsidP="005D5DCC" w:rsidRDefault="00997D8A" w14:paraId="1130B0CB" w14:textId="77642336">
      <w:pPr>
        <w:rPr>
          <w:u w:val="single"/>
        </w:rPr>
      </w:pPr>
      <w:r>
        <w:rPr>
          <w:u w:val="single"/>
        </w:rPr>
        <w:t>Transition Period</w:t>
      </w:r>
      <w:r w:rsidR="002B0747">
        <w:rPr>
          <w:u w:val="single"/>
        </w:rPr>
        <w:t xml:space="preserve"> under the 2020 CECL Transition</w:t>
      </w:r>
    </w:p>
    <w:p w:rsidR="00997D8A" w:rsidP="005D5DCC" w:rsidRDefault="00997D8A" w14:paraId="13FB0688" w14:textId="46A9B9EE">
      <w:r>
        <w:t xml:space="preserve">Beginning with the </w:t>
      </w:r>
      <w:r w:rsidR="0098052B">
        <w:t xml:space="preserve">earlier of 1) the </w:t>
      </w:r>
      <w:r>
        <w:t xml:space="preserve">first quarter </w:t>
      </w:r>
      <w:r w:rsidR="00283E2E">
        <w:t xml:space="preserve">of the fiscal year </w:t>
      </w:r>
      <w:r w:rsidR="009A3999">
        <w:t xml:space="preserve">that </w:t>
      </w:r>
      <w:r>
        <w:t>an institution</w:t>
      </w:r>
      <w:r w:rsidR="0098052B">
        <w:t xml:space="preserve"> </w:t>
      </w:r>
      <w:r w:rsidR="00B22064">
        <w:t>wa</w:t>
      </w:r>
      <w:r w:rsidR="0098052B">
        <w:t>s required to</w:t>
      </w:r>
      <w:r>
        <w:t xml:space="preserve"> adopt CECL</w:t>
      </w:r>
      <w:r w:rsidR="0098052B">
        <w:t xml:space="preserve"> under U.S. GAAP</w:t>
      </w:r>
      <w:r w:rsidR="00B22064">
        <w:t xml:space="preserve"> (as in effect on January 1, 2020)</w:t>
      </w:r>
      <w:r w:rsidR="0098052B">
        <w:t xml:space="preserve">, or 2) the first quarter </w:t>
      </w:r>
      <w:r w:rsidR="00B22064">
        <w:t>in which the institution files regulatory reports reflecting CECL</w:t>
      </w:r>
      <w:r>
        <w:t>, and for the subsequent 19 quarters</w:t>
      </w:r>
      <w:r w:rsidR="003113D0">
        <w:t xml:space="preserve"> (for a total of 20 quarters or the </w:t>
      </w:r>
      <w:r w:rsidR="0098296D">
        <w:t>five year transition period)</w:t>
      </w:r>
      <w:r>
        <w:t xml:space="preserve">, an institution is permitted to make </w:t>
      </w:r>
      <w:r w:rsidR="00570E00">
        <w:t>the</w:t>
      </w:r>
      <w:r>
        <w:t xml:space="preserve"> adjustments </w:t>
      </w:r>
      <w:r w:rsidR="00570E00">
        <w:t xml:space="preserve">described below </w:t>
      </w:r>
      <w:r>
        <w:t>to amounts used in calculating regulatory capital.</w:t>
      </w:r>
      <w:r w:rsidR="002E319A">
        <w:t xml:space="preserve"> If an institution temporarily ceases using CECL during this period, the institution may not reflect a regulatory capital adjustment for any </w:t>
      </w:r>
      <w:r w:rsidR="00C03C83">
        <w:t xml:space="preserve">quarter (during the first 8 quarters) </w:t>
      </w:r>
      <w:r w:rsidR="002E319A">
        <w:t xml:space="preserve">in which it did not </w:t>
      </w:r>
      <w:r w:rsidR="0098296D">
        <w:t xml:space="preserve">implement </w:t>
      </w:r>
      <w:r w:rsidR="002E319A">
        <w:t>CECL</w:t>
      </w:r>
      <w:r w:rsidR="473281C5">
        <w:t xml:space="preserve"> but would be allowed to apply the transition in subsequent quarters when the banking organization </w:t>
      </w:r>
      <w:r w:rsidR="00A403DD">
        <w:t xml:space="preserve">uses </w:t>
      </w:r>
      <w:r w:rsidR="473281C5">
        <w:t>CECL. However, an institution that has elected the transition, but does not apply it in any quarter, does not receive any extension of the transition period.</w:t>
      </w:r>
      <w:r w:rsidR="002E319A">
        <w:t xml:space="preserve">  </w:t>
      </w:r>
    </w:p>
    <w:p w:rsidR="00C1636E" w:rsidP="005D5DCC" w:rsidRDefault="00C1636E" w14:paraId="3D47B3E0" w14:textId="75B71723"/>
    <w:p w:rsidR="00C1636E" w:rsidP="005D5DCC" w:rsidRDefault="00C1636E" w14:paraId="0BFF85FE" w14:textId="1AC5676B">
      <w:r>
        <w:t xml:space="preserve">As an example, assume an institution is required under U.S. GAAP to adopt the provisions of </w:t>
      </w:r>
      <w:r w:rsidRPr="00DA5CF4" w:rsidR="0098296D">
        <w:t xml:space="preserve">Accounting Standards Update </w:t>
      </w:r>
      <w:r w:rsidR="0098296D">
        <w:t xml:space="preserve">No. </w:t>
      </w:r>
      <w:r w:rsidRPr="00DA5CF4" w:rsidR="0098296D">
        <w:t>2016-13, Financial Instruments—Credit Losses</w:t>
      </w:r>
      <w:r w:rsidR="0098296D">
        <w:t>, Topic 326, Measurement of Credit Losses on Financial Instruments</w:t>
      </w:r>
      <w:r w:rsidDel="00F82BB9" w:rsidR="0098296D">
        <w:t xml:space="preserve"> </w:t>
      </w:r>
      <w:r w:rsidR="0098296D">
        <w:t>(</w:t>
      </w:r>
      <w:r>
        <w:t>ASU 2016-13</w:t>
      </w:r>
      <w:r w:rsidR="0098296D">
        <w:t>)</w:t>
      </w:r>
      <w:r>
        <w:t xml:space="preserve"> on January 1, 2020. This institution delays adoption of CECL for Call Report purposes under the provisions of the </w:t>
      </w:r>
      <w:r w:rsidR="00E0772D">
        <w:rPr>
          <w:szCs w:val="24"/>
        </w:rPr>
        <w:t>Coronavirus Aid, Relief, and Economic Security Act (CARES Act)</w:t>
      </w:r>
      <w:r w:rsidR="00E0772D">
        <w:rPr>
          <w:rStyle w:val="FootnoteReference"/>
          <w:szCs w:val="24"/>
        </w:rPr>
        <w:footnoteReference w:id="2"/>
      </w:r>
      <w:r w:rsidR="00E0772D">
        <w:rPr>
          <w:szCs w:val="24"/>
        </w:rPr>
        <w:t xml:space="preserve"> </w:t>
      </w:r>
      <w:r>
        <w:t xml:space="preserve"> until </w:t>
      </w:r>
      <w:proofErr w:type="gramStart"/>
      <w:r>
        <w:t>July 1, 2020</w:t>
      </w:r>
      <w:r w:rsidR="00EB3489">
        <w:t>,</w:t>
      </w:r>
      <w:r>
        <w:t xml:space="preserve"> and</w:t>
      </w:r>
      <w:proofErr w:type="gramEnd"/>
      <w:r>
        <w:t xml:space="preserve"> elects to use the 2020 CECL Transition Provision at this time. This institution’s transition period </w:t>
      </w:r>
      <w:r>
        <w:lastRenderedPageBreak/>
        <w:t>begins on January 1, 2020, despite not adopting ASU 2016-13 until July 1, 2020</w:t>
      </w:r>
      <w:r w:rsidR="00EB3489">
        <w:t>,</w:t>
      </w:r>
      <w:r>
        <w:t xml:space="preserve"> for Call Report purposes. As such, this institution would have 18</w:t>
      </w:r>
      <w:r w:rsidR="00B20E95">
        <w:t xml:space="preserve"> quarters</w:t>
      </w:r>
      <w:r w:rsidR="00C03C83">
        <w:rPr>
          <w:rStyle w:val="FootnoteReference"/>
        </w:rPr>
        <w:footnoteReference w:id="3"/>
      </w:r>
      <w:r>
        <w:t xml:space="preserve">, including the </w:t>
      </w:r>
      <w:r w:rsidR="00B20E95">
        <w:t>quarter</w:t>
      </w:r>
      <w:r w:rsidR="003949EF">
        <w:t xml:space="preserve"> </w:t>
      </w:r>
      <w:r>
        <w:t xml:space="preserve">of adoption, remaining in its transition period. </w:t>
      </w:r>
    </w:p>
    <w:p w:rsidR="00C1636E" w:rsidP="005D5DCC" w:rsidRDefault="00C1636E" w14:paraId="567C4C5A" w14:textId="7989F4EE"/>
    <w:p w:rsidR="00C1636E" w:rsidP="00C1636E" w:rsidRDefault="00C1636E" w14:paraId="7DAE6EDC" w14:textId="221D3A3B">
      <w:r>
        <w:t xml:space="preserve">Further, assume an institution is required under </w:t>
      </w:r>
      <w:r w:rsidRPr="00A403DD">
        <w:t>U.S.</w:t>
      </w:r>
      <w:r>
        <w:t xml:space="preserve"> GAAP to adopt the provisions of ASU 2016-13 on October 1, 2020, and elects to use the 2020 CECL Transition Provision. This institution </w:t>
      </w:r>
      <w:r w:rsidR="00EB3489">
        <w:t xml:space="preserve">also </w:t>
      </w:r>
      <w:r>
        <w:t xml:space="preserve">does not delay adoption of CECL for Call Report purposes under the provisions of the CARES Act. This institution’s transition period </w:t>
      </w:r>
      <w:r w:rsidR="00EB3489">
        <w:t xml:space="preserve">would </w:t>
      </w:r>
      <w:r>
        <w:t xml:space="preserve">begin on October 1, 2020. As such, this institution would have 20 </w:t>
      </w:r>
      <w:r w:rsidR="00B20E95">
        <w:t>quarters</w:t>
      </w:r>
      <w:r>
        <w:t xml:space="preserve">, including the </w:t>
      </w:r>
      <w:r w:rsidR="00B20E95">
        <w:t xml:space="preserve">quarter </w:t>
      </w:r>
      <w:r>
        <w:t xml:space="preserve">of adoption, remaining in its transition period. </w:t>
      </w:r>
    </w:p>
    <w:p w:rsidR="00997D8A" w:rsidP="005D5DCC" w:rsidRDefault="00997D8A" w14:paraId="20365E62" w14:textId="77777777"/>
    <w:p w:rsidRPr="00997D8A" w:rsidR="00997D8A" w:rsidP="00997D8A" w:rsidRDefault="00997D8A" w14:paraId="60CF9A4F" w14:textId="6BF9B051">
      <w:r>
        <w:t>For the first 8 quarters</w:t>
      </w:r>
      <w:r w:rsidR="0098052B">
        <w:t xml:space="preserve"> </w:t>
      </w:r>
      <w:r w:rsidR="00C03C83">
        <w:t xml:space="preserve">after the start of its </w:t>
      </w:r>
      <w:r w:rsidR="0098052B">
        <w:t>transition period</w:t>
      </w:r>
      <w:r>
        <w:t xml:space="preserve">, an institution is permitted to make an adjustment of 100% of the </w:t>
      </w:r>
      <w:r w:rsidR="00EB3489">
        <w:t xml:space="preserve">transitional </w:t>
      </w:r>
      <w:r>
        <w:t>items calculated below</w:t>
      </w:r>
      <w:r w:rsidR="002E319A">
        <w:t xml:space="preserve">, for each quarter in which the institution </w:t>
      </w:r>
      <w:r w:rsidR="0098296D">
        <w:t>applies</w:t>
      </w:r>
      <w:r w:rsidR="002E319A">
        <w:t xml:space="preserve"> CECL for regulatory reporting purposes</w:t>
      </w:r>
      <w:r>
        <w:t>. At the end of this period, the institution phases out the cumulative adjustment at the end of the eighth quarter</w:t>
      </w:r>
      <w:r w:rsidR="00BE08A3">
        <w:t xml:space="preserve"> (i.e., first 2 years of the 2020 CECL Transition Provision)</w:t>
      </w:r>
      <w:r>
        <w:t>, over the following 12 quarters as follows: 75% adjustment in quarters 9-12</w:t>
      </w:r>
      <w:r w:rsidR="00BE08A3">
        <w:t xml:space="preserve"> (i.e., Year 3)</w:t>
      </w:r>
      <w:r>
        <w:t>; 50% in quarters 13-16</w:t>
      </w:r>
      <w:r w:rsidR="00BE08A3">
        <w:t xml:space="preserve"> (i.e., Year 4)</w:t>
      </w:r>
      <w:r>
        <w:t>; and 25% in quarters 17-20</w:t>
      </w:r>
      <w:r w:rsidR="00BE08A3">
        <w:t xml:space="preserve"> (i.e., Year 5)</w:t>
      </w:r>
      <w:r w:rsidR="002E319A">
        <w:t>.</w:t>
      </w:r>
    </w:p>
    <w:p w:rsidR="00AB310A" w:rsidP="005D5DCC" w:rsidRDefault="00AB310A" w14:paraId="175FB832" w14:textId="77777777"/>
    <w:p w:rsidRPr="006B5FE1" w:rsidR="006B5FE1" w:rsidP="005D5DCC" w:rsidRDefault="006B5FE1" w14:paraId="4E2A146E" w14:textId="2BCA93F0">
      <w:r>
        <w:t xml:space="preserve">Institutions that elect the </w:t>
      </w:r>
      <w:r w:rsidR="00AB310A">
        <w:t xml:space="preserve">2020 </w:t>
      </w:r>
      <w:r>
        <w:t xml:space="preserve">CECL transition approach </w:t>
      </w:r>
      <w:r w:rsidR="00AB5BD9">
        <w:t>would</w:t>
      </w:r>
      <w:r>
        <w:t xml:space="preserve"> calculate the following amounts</w:t>
      </w:r>
      <w:r w:rsidR="00656625">
        <w:t>, as applicable</w:t>
      </w:r>
      <w:r w:rsidR="00B03731">
        <w:t>.  AACL refers to the Adjusted Allowances for Credit Losses, as defined in 12 CFR 3.2 (OCC); 12 CFR 217.2 (Board); or 12 CFR 324.2 (FDIC).</w:t>
      </w:r>
    </w:p>
    <w:p w:rsidR="004D3AAF" w:rsidP="004D3AAF" w:rsidRDefault="004D3AAF" w14:paraId="3F5E97A1" w14:textId="77777777"/>
    <w:p w:rsidR="004D3AAF" w:rsidP="004D3AAF" w:rsidRDefault="004D3AAF" w14:paraId="2AEBC2E6" w14:textId="155545C4">
      <w:r w:rsidRPr="004D3AAF">
        <w:rPr>
          <w:i/>
        </w:rPr>
        <w:t xml:space="preserve">CECL </w:t>
      </w:r>
      <w:r>
        <w:rPr>
          <w:i/>
        </w:rPr>
        <w:t>T</w:t>
      </w:r>
      <w:r w:rsidRPr="004D3AAF">
        <w:rPr>
          <w:i/>
        </w:rPr>
        <w:t xml:space="preserve">ransitional </w:t>
      </w:r>
      <w:r>
        <w:rPr>
          <w:i/>
        </w:rPr>
        <w:t>A</w:t>
      </w:r>
      <w:r w:rsidRPr="004D3AAF">
        <w:rPr>
          <w:i/>
        </w:rPr>
        <w:t>mount</w:t>
      </w:r>
      <w:r w:rsidRPr="004D3AAF">
        <w:t xml:space="preserve"> means the decrease </w:t>
      </w:r>
      <w:r w:rsidR="6E3E1E34">
        <w:t>net of any DTAs</w:t>
      </w:r>
      <w:r>
        <w:t xml:space="preserve"> </w:t>
      </w:r>
      <w:r w:rsidRPr="004D3AAF">
        <w:t xml:space="preserve">in the amount of </w:t>
      </w:r>
      <w:r>
        <w:t>an institution</w:t>
      </w:r>
      <w:r w:rsidRPr="004D3AAF">
        <w:t xml:space="preserve">’s retained earnings as of the beginning of the fiscal year in which the </w:t>
      </w:r>
      <w:r>
        <w:t>institution</w:t>
      </w:r>
      <w:r w:rsidRPr="004D3AAF">
        <w:t xml:space="preserve"> adopts CECL from the amount of the </w:t>
      </w:r>
      <w:r>
        <w:t>institution</w:t>
      </w:r>
      <w:r w:rsidRPr="004D3AAF">
        <w:t xml:space="preserve">’s retained earnings as of the closing of the fiscal year-end immediately prior to the </w:t>
      </w:r>
      <w:r>
        <w:t>institution</w:t>
      </w:r>
      <w:r w:rsidRPr="004D3AAF">
        <w:t>’s adoption of CECL.</w:t>
      </w:r>
    </w:p>
    <w:p w:rsidRPr="004D3AAF" w:rsidR="004D3AAF" w:rsidP="004D3AAF" w:rsidRDefault="004D3AAF" w14:paraId="31A0A901" w14:textId="77777777"/>
    <w:p w:rsidR="004D3AAF" w:rsidP="004D3AAF" w:rsidRDefault="004D3AAF" w14:paraId="7B804EB8" w14:textId="77777777">
      <w:r w:rsidRPr="004D3AAF">
        <w:rPr>
          <w:i/>
        </w:rPr>
        <w:t xml:space="preserve">DTA </w:t>
      </w:r>
      <w:r>
        <w:rPr>
          <w:i/>
        </w:rPr>
        <w:t>T</w:t>
      </w:r>
      <w:r w:rsidRPr="004D3AAF">
        <w:rPr>
          <w:i/>
        </w:rPr>
        <w:t xml:space="preserve">ransitional </w:t>
      </w:r>
      <w:r>
        <w:rPr>
          <w:i/>
        </w:rPr>
        <w:t>A</w:t>
      </w:r>
      <w:r w:rsidRPr="004D3AAF">
        <w:rPr>
          <w:i/>
        </w:rPr>
        <w:t>mount</w:t>
      </w:r>
      <w:r w:rsidRPr="004D3AAF">
        <w:t xml:space="preserve"> means the increase in the amount of a</w:t>
      </w:r>
      <w:r>
        <w:t>n</w:t>
      </w:r>
      <w:r w:rsidRPr="004D3AAF">
        <w:t xml:space="preserve"> </w:t>
      </w:r>
      <w:r>
        <w:t>institution</w:t>
      </w:r>
      <w:r w:rsidRPr="004D3AAF">
        <w:t xml:space="preserve">’s DTAs arising from temporary differences as of the beginning of the fiscal year in which the </w:t>
      </w:r>
      <w:r>
        <w:t>institution</w:t>
      </w:r>
      <w:r w:rsidRPr="004D3AAF">
        <w:t xml:space="preserve"> adopts CECL from the amount of the </w:t>
      </w:r>
      <w:r>
        <w:t>institution</w:t>
      </w:r>
      <w:r w:rsidRPr="004D3AAF">
        <w:t xml:space="preserve">’s DTAs arising from temporary differences as of the closing of the fiscal year-end immediately prior to the </w:t>
      </w:r>
      <w:r>
        <w:t>institution</w:t>
      </w:r>
      <w:r w:rsidRPr="004D3AAF">
        <w:t>’s adoption of CECL.</w:t>
      </w:r>
    </w:p>
    <w:p w:rsidRPr="004D3AAF" w:rsidR="004D3AAF" w:rsidP="004D3AAF" w:rsidRDefault="004D3AAF" w14:paraId="0458F45D" w14:textId="77777777"/>
    <w:p w:rsidR="004D3AAF" w:rsidP="004D3AAF" w:rsidRDefault="004D3AAF" w14:paraId="63A34FA7" w14:textId="2718A113">
      <w:r w:rsidRPr="004D3AAF">
        <w:rPr>
          <w:i/>
        </w:rPr>
        <w:t xml:space="preserve">AACL </w:t>
      </w:r>
      <w:r>
        <w:rPr>
          <w:i/>
        </w:rPr>
        <w:t>T</w:t>
      </w:r>
      <w:r w:rsidRPr="004D3AAF">
        <w:rPr>
          <w:i/>
        </w:rPr>
        <w:t xml:space="preserve">ransitional </w:t>
      </w:r>
      <w:r>
        <w:rPr>
          <w:i/>
        </w:rPr>
        <w:t>A</w:t>
      </w:r>
      <w:r w:rsidRPr="004D3AAF">
        <w:rPr>
          <w:i/>
        </w:rPr>
        <w:t>mount</w:t>
      </w:r>
      <w:r w:rsidRPr="004D3AAF">
        <w:t xml:space="preserve"> means the difference in the amount of a</w:t>
      </w:r>
      <w:r>
        <w:t>n</w:t>
      </w:r>
      <w:r w:rsidRPr="004D3AAF">
        <w:t xml:space="preserve"> </w:t>
      </w:r>
      <w:r>
        <w:t>institution</w:t>
      </w:r>
      <w:r w:rsidRPr="004D3AAF">
        <w:t xml:space="preserve">’s AACL as of the beginning of the fiscal year in which the </w:t>
      </w:r>
      <w:r>
        <w:t>institution</w:t>
      </w:r>
      <w:r w:rsidRPr="004D3AAF">
        <w:t xml:space="preserve"> adopts CECL and the amount of the </w:t>
      </w:r>
      <w:r>
        <w:t>institution</w:t>
      </w:r>
      <w:r w:rsidRPr="004D3AAF">
        <w:t xml:space="preserve">’s ALLL as of the closing of the fiscal year-end immediately prior to the </w:t>
      </w:r>
      <w:r>
        <w:t>institution</w:t>
      </w:r>
      <w:r w:rsidRPr="004D3AAF">
        <w:t xml:space="preserve">’s adoption of CECL. </w:t>
      </w:r>
    </w:p>
    <w:p w:rsidRPr="004D3AAF" w:rsidR="004D3AAF" w:rsidP="004D3AAF" w:rsidRDefault="004D3AAF" w14:paraId="0B339888" w14:textId="77777777"/>
    <w:p w:rsidR="004D3AAF" w:rsidP="004D3AAF" w:rsidRDefault="004D3AAF" w14:paraId="556F4B3C" w14:textId="77777777">
      <w:r w:rsidRPr="004D3AAF">
        <w:rPr>
          <w:i/>
        </w:rPr>
        <w:t xml:space="preserve">Eligible </w:t>
      </w:r>
      <w:r>
        <w:rPr>
          <w:i/>
        </w:rPr>
        <w:t>C</w:t>
      </w:r>
      <w:r w:rsidRPr="004D3AAF">
        <w:rPr>
          <w:i/>
        </w:rPr>
        <w:t xml:space="preserve">redit </w:t>
      </w:r>
      <w:r>
        <w:rPr>
          <w:i/>
        </w:rPr>
        <w:t>R</w:t>
      </w:r>
      <w:r w:rsidRPr="004D3AAF">
        <w:rPr>
          <w:i/>
        </w:rPr>
        <w:t xml:space="preserve">eserves </w:t>
      </w:r>
      <w:r>
        <w:rPr>
          <w:i/>
        </w:rPr>
        <w:t>T</w:t>
      </w:r>
      <w:r w:rsidRPr="004D3AAF">
        <w:rPr>
          <w:i/>
        </w:rPr>
        <w:t xml:space="preserve">ransitional </w:t>
      </w:r>
      <w:r>
        <w:rPr>
          <w:i/>
        </w:rPr>
        <w:t>A</w:t>
      </w:r>
      <w:r w:rsidRPr="004D3AAF">
        <w:rPr>
          <w:i/>
        </w:rPr>
        <w:t>mount</w:t>
      </w:r>
      <w:r w:rsidRPr="004D3AAF">
        <w:t xml:space="preserve"> means the increase in the amount of a</w:t>
      </w:r>
      <w:r>
        <w:t>n</w:t>
      </w:r>
      <w:r w:rsidRPr="004D3AAF">
        <w:t xml:space="preserve"> </w:t>
      </w:r>
      <w:r>
        <w:t>institution</w:t>
      </w:r>
      <w:r w:rsidRPr="004D3AAF">
        <w:t xml:space="preserve">’s eligible credit reserves as of the beginning of the fiscal year in which the </w:t>
      </w:r>
      <w:r>
        <w:t>institution</w:t>
      </w:r>
      <w:r w:rsidRPr="004D3AAF">
        <w:t xml:space="preserve"> adopts CECL from the amount of the </w:t>
      </w:r>
      <w:r>
        <w:t>institution</w:t>
      </w:r>
      <w:r w:rsidRPr="004D3AAF">
        <w:t xml:space="preserve">’s eligible credit reserves as of the closing of the fiscal year-end immediately prior to the </w:t>
      </w:r>
      <w:r>
        <w:t>institution</w:t>
      </w:r>
      <w:r w:rsidRPr="004D3AAF">
        <w:t>’s adoption of CECL.</w:t>
      </w:r>
    </w:p>
    <w:p w:rsidRPr="004D3AAF" w:rsidR="004D3AAF" w:rsidP="004D3AAF" w:rsidRDefault="004D3AAF" w14:paraId="29A60E9F" w14:textId="77777777"/>
    <w:p w:rsidR="004D3AAF" w:rsidP="004D3AAF" w:rsidRDefault="0098052B" w14:paraId="628BAAB9" w14:textId="6B1BAC8C">
      <w:r>
        <w:rPr>
          <w:i/>
        </w:rPr>
        <w:t>Modified</w:t>
      </w:r>
      <w:r w:rsidRPr="004D3AAF">
        <w:rPr>
          <w:i/>
        </w:rPr>
        <w:t xml:space="preserve"> </w:t>
      </w:r>
      <w:r w:rsidRPr="004D3AAF" w:rsidR="004D3AAF">
        <w:rPr>
          <w:i/>
        </w:rPr>
        <w:t xml:space="preserve">CECL </w:t>
      </w:r>
      <w:r w:rsidR="004D3AAF">
        <w:rPr>
          <w:i/>
        </w:rPr>
        <w:t>T</w:t>
      </w:r>
      <w:r w:rsidRPr="004D3AAF" w:rsidR="004D3AAF">
        <w:rPr>
          <w:i/>
        </w:rPr>
        <w:t xml:space="preserve">ransitional </w:t>
      </w:r>
      <w:r w:rsidR="004D3AAF">
        <w:rPr>
          <w:i/>
        </w:rPr>
        <w:t>A</w:t>
      </w:r>
      <w:r w:rsidRPr="004D3AAF" w:rsidR="004D3AAF">
        <w:rPr>
          <w:i/>
        </w:rPr>
        <w:t>mount</w:t>
      </w:r>
      <w:r w:rsidRPr="004D3AAF" w:rsidR="004D3AAF">
        <w:t xml:space="preserve"> means </w:t>
      </w:r>
      <w:r>
        <w:t xml:space="preserve">A) during the first two years of the transition period, </w:t>
      </w:r>
      <w:r w:rsidRPr="004D3AAF" w:rsidR="004D3AAF">
        <w:t xml:space="preserve">the difference between AACL as reported in the most recent Call Report </w:t>
      </w:r>
      <w:r w:rsidR="004D3AAF">
        <w:t>(</w:t>
      </w:r>
      <w:r w:rsidRPr="004D3AAF" w:rsidR="004D3AAF">
        <w:t>or FR Y-9C</w:t>
      </w:r>
      <w:r w:rsidR="004D3AAF">
        <w:t>)</w:t>
      </w:r>
      <w:r w:rsidRPr="004D3AAF" w:rsidR="004D3AAF">
        <w:t xml:space="preserve">, and the </w:t>
      </w:r>
      <w:r w:rsidRPr="004D3AAF" w:rsidR="004D3AAF">
        <w:lastRenderedPageBreak/>
        <w:t xml:space="preserve">AACL as of the beginning of the fiscal year in which the </w:t>
      </w:r>
      <w:r w:rsidR="004D3AAF">
        <w:t>institution</w:t>
      </w:r>
      <w:r w:rsidRPr="004D3AAF" w:rsidR="004D3AAF">
        <w:t xml:space="preserve"> adopts CECL, multiplied by 0.25, plus the </w:t>
      </w:r>
      <w:r w:rsidRPr="004D3AAF" w:rsidR="004D3AAF">
        <w:rPr>
          <w:i/>
        </w:rPr>
        <w:t>CECL transitional amount</w:t>
      </w:r>
      <w:r>
        <w:t>, and B)</w:t>
      </w:r>
      <w:r w:rsidRPr="0098052B">
        <w:t xml:space="preserve"> </w:t>
      </w:r>
      <w:r>
        <w:t>d</w:t>
      </w:r>
      <w:r w:rsidRPr="0098052B">
        <w:t xml:space="preserve">uring the last three years of the transition period, the difference between AACL as reported in the Call Report at the end of the second year of the transition period and the AACL as of the beginning of the fiscal year in which the </w:t>
      </w:r>
      <w:r>
        <w:t>institution</w:t>
      </w:r>
      <w:r w:rsidRPr="0098052B">
        <w:t xml:space="preserve"> adopts CECL, multiplied by 0.25, plus the CECL transitional amount.</w:t>
      </w:r>
      <w:r>
        <w:t xml:space="preserve"> </w:t>
      </w:r>
    </w:p>
    <w:p w:rsidRPr="004D3AAF" w:rsidR="004D3AAF" w:rsidP="004D3AAF" w:rsidRDefault="004D3AAF" w14:paraId="2321678E" w14:textId="77777777">
      <w:r w:rsidRPr="004D3AAF">
        <w:t xml:space="preserve">  </w:t>
      </w:r>
    </w:p>
    <w:p w:rsidRPr="003B48DF" w:rsidR="004D3AAF" w:rsidP="004D3AAF" w:rsidRDefault="0098052B" w14:paraId="538E7F16" w14:textId="1FB76A7A">
      <w:r>
        <w:rPr>
          <w:i/>
        </w:rPr>
        <w:t>Modified</w:t>
      </w:r>
      <w:r w:rsidRPr="004D3AAF">
        <w:rPr>
          <w:i/>
        </w:rPr>
        <w:t xml:space="preserve"> </w:t>
      </w:r>
      <w:r w:rsidRPr="004D3AAF" w:rsidR="004D3AAF">
        <w:rPr>
          <w:i/>
        </w:rPr>
        <w:t xml:space="preserve">AACL </w:t>
      </w:r>
      <w:r w:rsidR="004D3AAF">
        <w:rPr>
          <w:i/>
        </w:rPr>
        <w:t>T</w:t>
      </w:r>
      <w:r w:rsidRPr="004D3AAF" w:rsidR="004D3AAF">
        <w:rPr>
          <w:i/>
        </w:rPr>
        <w:t xml:space="preserve">ransitional </w:t>
      </w:r>
      <w:r w:rsidR="004D3AAF">
        <w:rPr>
          <w:i/>
        </w:rPr>
        <w:t>A</w:t>
      </w:r>
      <w:r w:rsidRPr="004D3AAF" w:rsidR="004D3AAF">
        <w:rPr>
          <w:i/>
        </w:rPr>
        <w:t>mount</w:t>
      </w:r>
      <w:r w:rsidRPr="004D3AAF" w:rsidR="004D3AAF">
        <w:t xml:space="preserve"> means </w:t>
      </w:r>
      <w:r>
        <w:t xml:space="preserve">A) during the first two years of the transition period, </w:t>
      </w:r>
      <w:r w:rsidRPr="004D3AAF" w:rsidR="004D3AAF">
        <w:t xml:space="preserve">the difference between AACL as reported in the most recent Call Report </w:t>
      </w:r>
      <w:r w:rsidR="004D3AAF">
        <w:t>(</w:t>
      </w:r>
      <w:r w:rsidRPr="004D3AAF" w:rsidR="004D3AAF">
        <w:t>or FR Y-9C</w:t>
      </w:r>
      <w:r w:rsidR="004D3AAF">
        <w:t>)</w:t>
      </w:r>
      <w:r w:rsidRPr="004D3AAF" w:rsidR="004D3AAF">
        <w:t xml:space="preserve">, and the AACL as of the beginning of the fiscal year in which the </w:t>
      </w:r>
      <w:r w:rsidR="004D3AAF">
        <w:t>institution</w:t>
      </w:r>
      <w:r w:rsidRPr="004D3AAF" w:rsidR="004D3AAF">
        <w:t xml:space="preserve"> adopts CECL, multiplied by 0.25, plus the </w:t>
      </w:r>
      <w:r w:rsidRPr="004D3AAF" w:rsidR="004D3AAF">
        <w:rPr>
          <w:i/>
        </w:rPr>
        <w:t>AACL transitional amount</w:t>
      </w:r>
      <w:r w:rsidRPr="003B48DF">
        <w:t>, and B</w:t>
      </w:r>
      <w:r w:rsidRPr="003B48DF" w:rsidR="003B48DF">
        <w:t xml:space="preserve">) during the last three years of the transition period, the difference between AACL as reported in the Call Report at the end of the second year of the transition period and the AACL as of the beginning of the fiscal year in which the </w:t>
      </w:r>
      <w:r w:rsidR="003B48DF">
        <w:t>institution</w:t>
      </w:r>
      <w:r w:rsidRPr="003B48DF" w:rsidR="003B48DF">
        <w:t xml:space="preserve"> adopts CECL, multiplied by 0.25, plus the AACL transitional amount</w:t>
      </w:r>
      <w:r w:rsidRPr="003B48DF" w:rsidR="004D3AAF">
        <w:t>.</w:t>
      </w:r>
    </w:p>
    <w:p w:rsidR="002F47E1" w:rsidP="005D5DCC" w:rsidRDefault="002F47E1" w14:paraId="1CAE5A4B" w14:textId="77777777">
      <w:pPr>
        <w:rPr>
          <w:u w:val="single"/>
        </w:rPr>
      </w:pPr>
    </w:p>
    <w:p w:rsidR="00656625" w:rsidP="005D5DCC" w:rsidRDefault="00656625" w14:paraId="67CAA6EA" w14:textId="77777777">
      <w:pPr>
        <w:rPr>
          <w:b/>
          <w:u w:val="single"/>
        </w:rPr>
      </w:pPr>
      <w:r>
        <w:rPr>
          <w:b/>
          <w:u w:val="single"/>
        </w:rPr>
        <w:t xml:space="preserve">Adjustments to </w:t>
      </w:r>
      <w:r w:rsidR="004D3AAF">
        <w:rPr>
          <w:b/>
          <w:u w:val="single"/>
        </w:rPr>
        <w:t xml:space="preserve">Instructions for </w:t>
      </w:r>
      <w:r>
        <w:rPr>
          <w:b/>
          <w:u w:val="single"/>
        </w:rPr>
        <w:t>Call Report Data Items</w:t>
      </w:r>
    </w:p>
    <w:p w:rsidRPr="00656625" w:rsidR="00656625" w:rsidP="005D5DCC" w:rsidRDefault="00656625" w14:paraId="64725DA2" w14:textId="77777777"/>
    <w:p w:rsidRPr="004630D2" w:rsidR="00553DCA" w:rsidP="005D5DCC" w:rsidRDefault="00FE57B8" w14:paraId="127F0F02" w14:textId="69C2ED0B">
      <w:r w:rsidRPr="007B7684">
        <w:rPr>
          <w:b/>
        </w:rPr>
        <w:t>RC-R, Part I, Item 2</w:t>
      </w:r>
      <w:r w:rsidRPr="007B7684" w:rsidR="006B5FE1">
        <w:rPr>
          <w:b/>
        </w:rPr>
        <w:t xml:space="preserve">: </w:t>
      </w:r>
      <w:r w:rsidRPr="00782DDE" w:rsidR="00E43B13">
        <w:t>(</w:t>
      </w:r>
      <w:r w:rsidRPr="00782DDE" w:rsidR="00553DCA">
        <w:t>Retained Earnings</w:t>
      </w:r>
      <w:r w:rsidRPr="00782DDE" w:rsidR="00E43B13">
        <w:t>)</w:t>
      </w:r>
      <w:r w:rsidRPr="005B14FB" w:rsidR="005B14FB">
        <w:t xml:space="preserve"> </w:t>
      </w:r>
      <w:r w:rsidR="006B5FE1">
        <w:t xml:space="preserve">– An institution </w:t>
      </w:r>
      <w:r w:rsidR="004D3AAF">
        <w:t xml:space="preserve">electing the 2020 CECL transition </w:t>
      </w:r>
      <w:r w:rsidR="006B5FE1">
        <w:t xml:space="preserve">would add the </w:t>
      </w:r>
      <w:r w:rsidR="0098052B">
        <w:rPr>
          <w:i/>
        </w:rPr>
        <w:t>Modified</w:t>
      </w:r>
      <w:r w:rsidRPr="004630D2" w:rsidR="0098052B">
        <w:rPr>
          <w:i/>
        </w:rPr>
        <w:t xml:space="preserve"> </w:t>
      </w:r>
      <w:r w:rsidRPr="004630D2" w:rsidR="006B5FE1">
        <w:rPr>
          <w:i/>
        </w:rPr>
        <w:t xml:space="preserve">CECL </w:t>
      </w:r>
      <w:r w:rsidR="004630D2">
        <w:rPr>
          <w:i/>
        </w:rPr>
        <w:t>T</w:t>
      </w:r>
      <w:r w:rsidRPr="004630D2" w:rsidR="006B5FE1">
        <w:rPr>
          <w:i/>
        </w:rPr>
        <w:t>ransitional</w:t>
      </w:r>
      <w:r w:rsidR="004630D2">
        <w:rPr>
          <w:i/>
        </w:rPr>
        <w:t xml:space="preserve"> Amount</w:t>
      </w:r>
      <w:r w:rsidR="00782DDE">
        <w:t>, as defined in section 301 of the agencies’ regulatory capital rules,</w:t>
      </w:r>
      <w:r w:rsidR="00E43B13">
        <w:rPr>
          <w:i/>
        </w:rPr>
        <w:t xml:space="preserve"> </w:t>
      </w:r>
      <w:r w:rsidR="00E43B13">
        <w:t>when calculating this item</w:t>
      </w:r>
      <w:r w:rsidR="00584F04">
        <w:t>, adjusted as follows: 100% in Years 1 and 2 of the transition</w:t>
      </w:r>
      <w:r w:rsidR="00782DDE">
        <w:t xml:space="preserve"> period</w:t>
      </w:r>
      <w:r w:rsidR="00584F04">
        <w:t>; 75% in Year 3</w:t>
      </w:r>
      <w:r w:rsidR="00782DDE">
        <w:t xml:space="preserve"> of the transition period</w:t>
      </w:r>
      <w:r w:rsidR="00584F04">
        <w:t>; 50% in Year 4</w:t>
      </w:r>
      <w:r w:rsidR="00782DDE">
        <w:t xml:space="preserve"> of the transition period</w:t>
      </w:r>
      <w:r w:rsidR="00584F04">
        <w:t>; and 25% in Year 5</w:t>
      </w:r>
      <w:r w:rsidR="00782DDE">
        <w:t xml:space="preserve"> of the transition period</w:t>
      </w:r>
      <w:r w:rsidR="00584F04">
        <w:t>.</w:t>
      </w:r>
    </w:p>
    <w:p w:rsidR="00553DCA" w:rsidP="005D5DCC" w:rsidRDefault="00553DCA" w14:paraId="2F6F7C92" w14:textId="7D77F42C"/>
    <w:p w:rsidRPr="00156B2B" w:rsidR="00B22064" w:rsidP="00A403DD" w:rsidRDefault="00B22064" w14:paraId="571E68CD" w14:textId="6F5D0858">
      <w:pPr>
        <w:rPr>
          <w:color w:val="44546A"/>
          <w:sz w:val="22"/>
        </w:rPr>
      </w:pPr>
      <w:r w:rsidRPr="007B7684">
        <w:rPr>
          <w:b/>
        </w:rPr>
        <w:t>RC-R, Part I, Item 2.a:</w:t>
      </w:r>
      <w:r>
        <w:t xml:space="preserve"> (CECL Transition)</w:t>
      </w:r>
      <w:r w:rsidR="00C03C83">
        <w:t xml:space="preserve"> (Starting in June 30, 2020, Call Report)</w:t>
      </w:r>
      <w:r>
        <w:t xml:space="preserve"> – An institution that has adopted CECL would report whether it is using a CECL transition</w:t>
      </w:r>
      <w:r w:rsidR="00782DDE">
        <w:t>, as defined in section 301 of the agencies’ regulatory capital rules,</w:t>
      </w:r>
      <w:r>
        <w:t xml:space="preserve"> in the Call Report for the current quarter. The institution can choose from the following entries</w:t>
      </w:r>
      <w:r w:rsidRPr="00E31228">
        <w:t>: 0</w:t>
      </w:r>
      <w:r w:rsidRPr="00E31228" w:rsidR="00B278DF">
        <w:t xml:space="preserve"> </w:t>
      </w:r>
      <w:r w:rsidRPr="00E31228">
        <w:t>=</w:t>
      </w:r>
      <w:r w:rsidRPr="00E31228" w:rsidR="00B278DF">
        <w:t xml:space="preserve"> Did not Adopt</w:t>
      </w:r>
      <w:r w:rsidRPr="00E31228">
        <w:t xml:space="preserve">; 1 = </w:t>
      </w:r>
      <w:r w:rsidRPr="00E31228" w:rsidR="00B278DF">
        <w:t xml:space="preserve">Adopted Without Transition; 2 = </w:t>
      </w:r>
      <w:r w:rsidRPr="00E31228">
        <w:t xml:space="preserve">3-year CECL Transition; </w:t>
      </w:r>
      <w:r w:rsidRPr="00E31228" w:rsidR="00B278DF">
        <w:t>3</w:t>
      </w:r>
      <w:r w:rsidRPr="00E31228">
        <w:t xml:space="preserve"> = 5-year 2020 CECL Transition.</w:t>
      </w:r>
      <w:r w:rsidRPr="00E31228" w:rsidR="00B278DF">
        <w:rPr>
          <w:color w:val="44546A"/>
          <w:sz w:val="22"/>
          <w:szCs w:val="22"/>
        </w:rPr>
        <w:t xml:space="preserve"> </w:t>
      </w:r>
    </w:p>
    <w:p w:rsidRPr="005B14FB" w:rsidR="00B22064" w:rsidP="005D5DCC" w:rsidRDefault="00B22064" w14:paraId="16B70A55" w14:textId="77777777"/>
    <w:p w:rsidRPr="005B14FB" w:rsidR="00553DCA" w:rsidP="00553DCA" w:rsidRDefault="00AB310A" w14:paraId="630AB365" w14:textId="7AB26583">
      <w:r>
        <w:t xml:space="preserve">(FFIEC 041 and FFIEC 051) </w:t>
      </w:r>
      <w:r w:rsidRPr="007B7684" w:rsidR="00E43B13">
        <w:rPr>
          <w:b/>
        </w:rPr>
        <w:t>RC-R, Part I, Item 15:</w:t>
      </w:r>
      <w:r w:rsidR="00E43B13">
        <w:t xml:space="preserve"> (</w:t>
      </w:r>
      <w:r w:rsidRPr="00E43B13" w:rsidR="00553DCA">
        <w:t>DTAs</w:t>
      </w:r>
      <w:r w:rsidRPr="00E43B13" w:rsidR="005B14FB">
        <w:t xml:space="preserve"> </w:t>
      </w:r>
      <w:r w:rsidRPr="00E43B13" w:rsidR="00E43B13">
        <w:t>Arising from Temporary Differences</w:t>
      </w:r>
      <w:r w:rsidR="00E43B13">
        <w:t>) – An institution</w:t>
      </w:r>
      <w:r w:rsidR="004D3AAF">
        <w:t xml:space="preserve"> electing the 2020 CECL transition</w:t>
      </w:r>
      <w:r w:rsidR="00E43B13">
        <w:t xml:space="preserve"> would s</w:t>
      </w:r>
      <w:r w:rsidRPr="005B14FB" w:rsidR="00553DCA">
        <w:t xml:space="preserve">ubtract </w:t>
      </w:r>
      <w:r w:rsidR="00E43B13">
        <w:t xml:space="preserve">the </w:t>
      </w:r>
      <w:r w:rsidRPr="00584F04" w:rsidR="00553DCA">
        <w:rPr>
          <w:i/>
        </w:rPr>
        <w:t xml:space="preserve">DTA </w:t>
      </w:r>
      <w:r w:rsidRPr="00584F04" w:rsidR="00E43B13">
        <w:rPr>
          <w:i/>
        </w:rPr>
        <w:t xml:space="preserve">Transitional </w:t>
      </w:r>
      <w:r w:rsidRPr="00584F04" w:rsidR="00553DCA">
        <w:rPr>
          <w:i/>
        </w:rPr>
        <w:t>Amount</w:t>
      </w:r>
      <w:r w:rsidR="00782DDE">
        <w:t>, as defined in section 301 of the agencies’ regulatory capital rules,</w:t>
      </w:r>
      <w:r w:rsidR="00E43B13">
        <w:t xml:space="preserve"> from the amount of DTAs from temporary differences used in the calculation of this item</w:t>
      </w:r>
      <w:r w:rsidR="00584F04">
        <w:t>, adjusted as follows: 100% in Years 1 and 2 of the transition</w:t>
      </w:r>
      <w:r w:rsidR="00782DDE">
        <w:t xml:space="preserve"> period</w:t>
      </w:r>
      <w:r w:rsidR="00584F04">
        <w:t>; 75% in Year 3</w:t>
      </w:r>
      <w:r w:rsidR="00782DDE">
        <w:t xml:space="preserve"> of the transition period</w:t>
      </w:r>
      <w:r w:rsidR="00584F04">
        <w:t>; 50% in Year 4</w:t>
      </w:r>
      <w:r w:rsidR="00782DDE">
        <w:t xml:space="preserve"> of the transition period</w:t>
      </w:r>
      <w:r w:rsidR="00584F04">
        <w:t>; and 25% in Year 5</w:t>
      </w:r>
      <w:r w:rsidR="00782DDE">
        <w:t xml:space="preserve"> of the transition period</w:t>
      </w:r>
      <w:r w:rsidR="00584F04">
        <w:t>.</w:t>
      </w:r>
    </w:p>
    <w:p w:rsidR="006C2830" w:rsidP="005D5DCC" w:rsidRDefault="006C2830" w14:paraId="2C911909" w14:textId="77777777"/>
    <w:p w:rsidRPr="005B14FB" w:rsidR="00AB310A" w:rsidP="00AB310A" w:rsidRDefault="00AB310A" w14:paraId="557A44F6" w14:textId="28ED4754">
      <w:r>
        <w:t xml:space="preserve">(FFIEC 031) </w:t>
      </w:r>
      <w:r w:rsidRPr="007B7684">
        <w:rPr>
          <w:b/>
        </w:rPr>
        <w:t xml:space="preserve">RC-R, Part I, Item 15.a. or 15.b.: </w:t>
      </w:r>
      <w:r>
        <w:t>(</w:t>
      </w:r>
      <w:r w:rsidRPr="00E43B13">
        <w:t>DTAs Arising from Temporary Differences</w:t>
      </w:r>
      <w:r>
        <w:t>) – An institution</w:t>
      </w:r>
      <w:r w:rsidR="004D3AAF">
        <w:t xml:space="preserve"> electing the 2020 CECL transition</w:t>
      </w:r>
      <w:r>
        <w:t xml:space="preserve"> would s</w:t>
      </w:r>
      <w:r w:rsidRPr="005B14FB">
        <w:t xml:space="preserve">ubtract </w:t>
      </w:r>
      <w:r>
        <w:t xml:space="preserve">the </w:t>
      </w:r>
      <w:r w:rsidRPr="00584F04">
        <w:rPr>
          <w:i/>
        </w:rPr>
        <w:t>DTA Transitional Amount</w:t>
      </w:r>
      <w:r w:rsidR="00782DDE">
        <w:t>, as defined in section 301 of the agencies’ regulatory capital rules,</w:t>
      </w:r>
      <w:r>
        <w:t xml:space="preserve"> from the amount of DTAs from temporary differences used in the calculation of this item, adjusted as follows: 100% in Years 1 and 2 of the transition</w:t>
      </w:r>
      <w:r w:rsidR="00782DDE">
        <w:t xml:space="preserve"> period</w:t>
      </w:r>
      <w:r>
        <w:t>; 75% in Year 3</w:t>
      </w:r>
      <w:r w:rsidR="00782DDE">
        <w:t xml:space="preserve"> of the transition period</w:t>
      </w:r>
      <w:r>
        <w:t>; 50% in Year 4</w:t>
      </w:r>
      <w:r w:rsidR="00782DDE">
        <w:t xml:space="preserve"> of the transition period</w:t>
      </w:r>
      <w:r>
        <w:t>; and 25% in Year 5</w:t>
      </w:r>
      <w:r w:rsidR="00782DDE">
        <w:t xml:space="preserve"> of the transition period</w:t>
      </w:r>
      <w:r>
        <w:t>.</w:t>
      </w:r>
    </w:p>
    <w:p w:rsidR="00AB310A" w:rsidP="005D5DCC" w:rsidRDefault="00AB310A" w14:paraId="4EB47146" w14:textId="77777777"/>
    <w:p w:rsidRPr="006C2830" w:rsidR="006C2830" w:rsidP="005D5DCC" w:rsidRDefault="006C2830" w14:paraId="7B6A7772" w14:textId="11CD0F91">
      <w:r w:rsidRPr="007B7684">
        <w:rPr>
          <w:b/>
        </w:rPr>
        <w:t>RC-R, Part I, Item 27:</w:t>
      </w:r>
      <w:r>
        <w:t xml:space="preserve"> (Average Total Consolidated Assets) – An institution</w:t>
      </w:r>
      <w:r w:rsidR="004D3AAF">
        <w:t xml:space="preserve"> electing the 2020 CECL transition</w:t>
      </w:r>
      <w:r>
        <w:t xml:space="preserve"> would add the </w:t>
      </w:r>
      <w:r w:rsidR="00B20E95">
        <w:rPr>
          <w:i/>
        </w:rPr>
        <w:t xml:space="preserve">Modified </w:t>
      </w:r>
      <w:r>
        <w:rPr>
          <w:i/>
        </w:rPr>
        <w:t>CECL Transitional Amount</w:t>
      </w:r>
      <w:r w:rsidR="00782DDE">
        <w:t>, as defined in section 301 of the agencies’ regulatory capital rules,</w:t>
      </w:r>
      <w:r>
        <w:t xml:space="preserve"> when calculating this item</w:t>
      </w:r>
      <w:r w:rsidR="00584F04">
        <w:t xml:space="preserve">, adjusted as follows: 100% in </w:t>
      </w:r>
      <w:r w:rsidR="00584F04">
        <w:lastRenderedPageBreak/>
        <w:t>Years 1 and 2 of the transition</w:t>
      </w:r>
      <w:r w:rsidR="00782DDE">
        <w:t xml:space="preserve"> period</w:t>
      </w:r>
      <w:r w:rsidR="00584F04">
        <w:t>; 75% in Year 3</w:t>
      </w:r>
      <w:r w:rsidR="00782DDE">
        <w:t xml:space="preserve"> of the transition period</w:t>
      </w:r>
      <w:r w:rsidR="00584F04">
        <w:t>; 50% in Year 4</w:t>
      </w:r>
      <w:r w:rsidR="00782DDE">
        <w:t xml:space="preserve"> of the transition period</w:t>
      </w:r>
      <w:r w:rsidR="00584F04">
        <w:t>; and 25% in Year 5</w:t>
      </w:r>
      <w:r w:rsidR="00782DDE">
        <w:t xml:space="preserve"> of the transition period</w:t>
      </w:r>
      <w:r w:rsidR="00584F04">
        <w:t>.</w:t>
      </w:r>
    </w:p>
    <w:p w:rsidR="006C2830" w:rsidP="005D5DCC" w:rsidRDefault="006C2830" w14:paraId="3E755BA2" w14:textId="77777777"/>
    <w:p w:rsidRPr="006C2830" w:rsidR="006C2830" w:rsidP="005D5DCC" w:rsidRDefault="006C2830" w14:paraId="37491C36" w14:textId="61DC1B86">
      <w:r w:rsidRPr="007B7684">
        <w:rPr>
          <w:b/>
        </w:rPr>
        <w:t>RC-R, Part I, Item 42:</w:t>
      </w:r>
      <w:r>
        <w:t xml:space="preserve"> (</w:t>
      </w:r>
      <w:r w:rsidR="00AB310A">
        <w:t xml:space="preserve">Adjusted </w:t>
      </w:r>
      <w:r>
        <w:t>Allowances for Credit Losses</w:t>
      </w:r>
      <w:r w:rsidR="00AB310A">
        <w:t>/ALLL</w:t>
      </w:r>
      <w:r>
        <w:t xml:space="preserve"> in Tier 2 Capital) – An institution</w:t>
      </w:r>
      <w:r w:rsidR="004D3AAF">
        <w:t xml:space="preserve"> electing the 2020 CECL transition</w:t>
      </w:r>
      <w:r>
        <w:t xml:space="preserve"> would subtract the </w:t>
      </w:r>
      <w:r>
        <w:rPr>
          <w:i/>
        </w:rPr>
        <w:t xml:space="preserve"> </w:t>
      </w:r>
      <w:r w:rsidR="009B5E7F">
        <w:rPr>
          <w:i/>
        </w:rPr>
        <w:t xml:space="preserve">Modified </w:t>
      </w:r>
      <w:r>
        <w:rPr>
          <w:i/>
        </w:rPr>
        <w:t>AACL Transitional Amount</w:t>
      </w:r>
      <w:r w:rsidR="00782DDE">
        <w:t>, as defined in section 301 of the agencies’ regulatory capital rules,</w:t>
      </w:r>
      <w:r>
        <w:t xml:space="preserve"> when calculating this item</w:t>
      </w:r>
      <w:r w:rsidR="00584F04">
        <w:t>, adjusted as follows: 100% in Years 1 and 2 of the transition</w:t>
      </w:r>
      <w:r w:rsidR="00782DDE">
        <w:t xml:space="preserve"> period</w:t>
      </w:r>
      <w:r w:rsidR="00584F04">
        <w:t>; 75% in Year 3</w:t>
      </w:r>
      <w:r w:rsidR="00782DDE">
        <w:t xml:space="preserve"> of the transition period</w:t>
      </w:r>
      <w:r w:rsidR="00584F04">
        <w:t>; 50% in Year 4</w:t>
      </w:r>
      <w:r w:rsidR="00782DDE">
        <w:t xml:space="preserve"> of the transition period</w:t>
      </w:r>
      <w:r w:rsidR="00584F04">
        <w:t>; and 25% in Year 5</w:t>
      </w:r>
      <w:r w:rsidR="00782DDE">
        <w:t xml:space="preserve"> of the transition period</w:t>
      </w:r>
      <w:r w:rsidR="00584F04">
        <w:t>.</w:t>
      </w:r>
    </w:p>
    <w:p w:rsidR="006545CB" w:rsidP="005D5DCC" w:rsidRDefault="006545CB" w14:paraId="0ACC0C9A" w14:textId="77777777">
      <w:pPr>
        <w:rPr>
          <w:u w:val="single"/>
        </w:rPr>
      </w:pPr>
    </w:p>
    <w:p w:rsidR="006C2830" w:rsidP="005D5DCC" w:rsidRDefault="00AB310A" w14:paraId="510C2046" w14:textId="5418E0E2">
      <w:r>
        <w:t xml:space="preserve">(FFIEC 031 and FFIEC 041) </w:t>
      </w:r>
      <w:r w:rsidRPr="007B7684" w:rsidR="006C2830">
        <w:rPr>
          <w:b/>
        </w:rPr>
        <w:t>RC-R, Part I, Item 55.a:</w:t>
      </w:r>
      <w:r w:rsidR="006C2830">
        <w:t xml:space="preserve"> (Total Leverage Exposure) – For </w:t>
      </w:r>
      <w:r w:rsidR="004D3AAF">
        <w:t xml:space="preserve">an </w:t>
      </w:r>
      <w:r w:rsidR="006C2830">
        <w:t>institution subject to the supplementary leverage ratio</w:t>
      </w:r>
      <w:r w:rsidR="004D3AAF">
        <w:t xml:space="preserve"> (advanced approaches or Category III institution)</w:t>
      </w:r>
      <w:r w:rsidR="006C2830">
        <w:t>, the institution</w:t>
      </w:r>
      <w:r w:rsidR="004D3AAF">
        <w:t xml:space="preserve"> electing the 2020 CECL transition</w:t>
      </w:r>
      <w:r w:rsidR="006C2830">
        <w:t xml:space="preserve"> would add the </w:t>
      </w:r>
      <w:r w:rsidR="006C2830">
        <w:rPr>
          <w:i/>
        </w:rPr>
        <w:t xml:space="preserve"> </w:t>
      </w:r>
      <w:r w:rsidR="009B0026">
        <w:rPr>
          <w:i/>
        </w:rPr>
        <w:t xml:space="preserve">Modified </w:t>
      </w:r>
      <w:r w:rsidR="006C2830">
        <w:rPr>
          <w:i/>
        </w:rPr>
        <w:t>CECL Transitional Amount</w:t>
      </w:r>
      <w:r w:rsidR="00782DDE">
        <w:t>, as defined in section 301 of the agencies’ regulatory capital rules,</w:t>
      </w:r>
      <w:r w:rsidR="006C2830">
        <w:t xml:space="preserve"> when calculating this item</w:t>
      </w:r>
      <w:r w:rsidR="00584F04">
        <w:t>, adjusted as follows: 100% in Years 1 and 2 of the transition</w:t>
      </w:r>
      <w:r w:rsidR="00782DDE">
        <w:t xml:space="preserve"> period</w:t>
      </w:r>
      <w:r w:rsidR="00584F04">
        <w:t>;</w:t>
      </w:r>
      <w:r w:rsidRPr="00D75CDA" w:rsidR="00D75CDA">
        <w:t xml:space="preserve"> </w:t>
      </w:r>
      <w:r w:rsidR="00584F04">
        <w:t>75% in Year 3</w:t>
      </w:r>
      <w:r w:rsidR="00782DDE">
        <w:t xml:space="preserve"> of the transition period</w:t>
      </w:r>
      <w:r w:rsidR="00584F04">
        <w:t>; 50% in Year 4</w:t>
      </w:r>
      <w:r w:rsidR="00782DDE">
        <w:t xml:space="preserve"> of the transition period</w:t>
      </w:r>
      <w:r w:rsidR="00584F04">
        <w:t>; and 25% in Year 5</w:t>
      </w:r>
      <w:r w:rsidR="00782DDE">
        <w:t xml:space="preserve"> of the transition period</w:t>
      </w:r>
      <w:r w:rsidR="00584F04">
        <w:t>.</w:t>
      </w:r>
    </w:p>
    <w:p w:rsidR="006C2830" w:rsidP="005D5DCC" w:rsidRDefault="006C2830" w14:paraId="593EFD56" w14:textId="77777777"/>
    <w:p w:rsidR="002D1049" w:rsidP="002D1049" w:rsidRDefault="006C2830" w14:paraId="6089B943" w14:textId="5DBC7C61">
      <w:r>
        <w:t xml:space="preserve">(FFIEC 031): </w:t>
      </w:r>
      <w:r w:rsidRPr="007B7684">
        <w:rPr>
          <w:b/>
        </w:rPr>
        <w:t xml:space="preserve">RC-R, Part I, Item </w:t>
      </w:r>
      <w:r w:rsidRPr="007B7684" w:rsidR="00AB310A">
        <w:rPr>
          <w:b/>
        </w:rPr>
        <w:t>42.b</w:t>
      </w:r>
      <w:r w:rsidRPr="007B7684">
        <w:rPr>
          <w:b/>
        </w:rPr>
        <w:t xml:space="preserve">: </w:t>
      </w:r>
      <w:r>
        <w:t xml:space="preserve">(Eligible Credit Reserves) – For </w:t>
      </w:r>
      <w:r w:rsidR="004D3AAF">
        <w:t xml:space="preserve">an </w:t>
      </w:r>
      <w:r>
        <w:t>institution subject to the advanced approaches, the institution</w:t>
      </w:r>
      <w:r w:rsidR="004D3AAF">
        <w:t xml:space="preserve"> electing the 2020 CECL transition</w:t>
      </w:r>
      <w:r>
        <w:t xml:space="preserve"> would deduct </w:t>
      </w:r>
      <w:r>
        <w:rPr>
          <w:i/>
        </w:rPr>
        <w:t>Eligible Credit Reserves Transitional Amount</w:t>
      </w:r>
      <w:r w:rsidR="00782DDE">
        <w:t>, as defined in section 301 of the agencies’ regulatory capital rules,</w:t>
      </w:r>
      <w:r>
        <w:t xml:space="preserve"> when calculating this item</w:t>
      </w:r>
      <w:r w:rsidR="00584F04">
        <w:t>, adjusted as follows:</w:t>
      </w:r>
      <w:r w:rsidRPr="00584F04" w:rsidR="00584F04">
        <w:t xml:space="preserve"> </w:t>
      </w:r>
      <w:r w:rsidR="00584F04">
        <w:t>100% in Years 1 and 2 of the transition</w:t>
      </w:r>
      <w:r w:rsidR="00782DDE">
        <w:t xml:space="preserve"> period</w:t>
      </w:r>
      <w:r w:rsidR="00584F04">
        <w:t>; 75% in Year 3</w:t>
      </w:r>
      <w:r w:rsidR="00782DDE">
        <w:t xml:space="preserve"> of the transition period</w:t>
      </w:r>
      <w:r w:rsidR="00584F04">
        <w:t>; 50% in Year 4</w:t>
      </w:r>
      <w:r w:rsidR="00782DDE">
        <w:t xml:space="preserve"> of the transition period</w:t>
      </w:r>
      <w:r w:rsidR="00584F04">
        <w:t>; and 25% in Year 5</w:t>
      </w:r>
      <w:r w:rsidR="00782DDE">
        <w:t xml:space="preserve"> of the transition period</w:t>
      </w:r>
      <w:r w:rsidR="00584F04">
        <w:t>.</w:t>
      </w:r>
    </w:p>
    <w:p w:rsidR="00570E00" w:rsidP="002D1049" w:rsidRDefault="00570E00" w14:paraId="1E952432" w14:textId="77777777"/>
    <w:p w:rsidR="00570E00" w:rsidP="002D1049" w:rsidRDefault="00570E00" w14:paraId="5A9A585F" w14:textId="55A9EB46">
      <w:r w:rsidRPr="007B7684">
        <w:rPr>
          <w:b/>
        </w:rPr>
        <w:t>RC-R, Part II, Item 8:</w:t>
      </w:r>
      <w:r>
        <w:t xml:space="preserve"> (All Other Assets) – An institution</w:t>
      </w:r>
      <w:r w:rsidR="004D3AAF">
        <w:t xml:space="preserve"> electing the 2020 CECL transition</w:t>
      </w:r>
      <w:r>
        <w:t xml:space="preserve"> would subtract the </w:t>
      </w:r>
      <w:r>
        <w:rPr>
          <w:i/>
        </w:rPr>
        <w:t>DTA Transitional Amount</w:t>
      </w:r>
      <w:r w:rsidR="00782DDE">
        <w:t>, as defined in section 301 of the agencies’ regulatory capital rules,</w:t>
      </w:r>
      <w:r>
        <w:t xml:space="preserve"> from the amount of temporary difference DTAs associated with the AACL that are risk-weighted in this item</w:t>
      </w:r>
      <w:r w:rsidR="00782DDE">
        <w:t>, adjusted as follows:</w:t>
      </w:r>
      <w:r w:rsidRPr="00584F04" w:rsidR="00782DDE">
        <w:t xml:space="preserve"> </w:t>
      </w:r>
      <w:r w:rsidR="00782DDE">
        <w:t>100% in Years 1 and 2 of the transition period; 75% in Year 3 of the transition period; 50% in Year 4 of the transition period; and 25% in Year 5 of the transition period</w:t>
      </w:r>
      <w:r>
        <w:t>.</w:t>
      </w:r>
    </w:p>
    <w:p w:rsidR="00C03C83" w:rsidP="002D1049" w:rsidRDefault="00C03C83" w14:paraId="72B3C33B" w14:textId="7555905D"/>
    <w:p w:rsidRPr="00156B2B" w:rsidR="00C03C83" w:rsidP="00C03C83" w:rsidRDefault="00C03C83" w14:paraId="6C0554F0" w14:textId="71B3812B">
      <w:pPr>
        <w:rPr>
          <w:b/>
          <w:u w:val="single"/>
        </w:rPr>
      </w:pPr>
      <w:r>
        <w:rPr>
          <w:b/>
          <w:u w:val="single"/>
        </w:rPr>
        <w:t>Example of Application for Q1 2020:</w:t>
      </w:r>
    </w:p>
    <w:p w:rsidR="00C03C83" w:rsidP="00C03C83" w:rsidRDefault="00C03C83" w14:paraId="13B8B194" w14:textId="77777777"/>
    <w:p w:rsidR="00C03C83" w:rsidP="00C03C83" w:rsidRDefault="00C03C83" w14:paraId="5E519B67" w14:textId="2FBFCC17">
      <w:r>
        <w:t xml:space="preserve">As an example, assume an institution is required under U.S. GAAP to adopt the provisions of ASU 2016-13 on January 1, 2020. This institution chooses not to delay adoption of CECL for Call Report purposes under the provisions of the CARES </w:t>
      </w:r>
      <w:proofErr w:type="gramStart"/>
      <w:r>
        <w:t>Act, and</w:t>
      </w:r>
      <w:proofErr w:type="gramEnd"/>
      <w:r>
        <w:t xml:space="preserve"> elects to use the 2020 CECL Transition Provision in the March 31, 2020, Call Report. This institution’s 2020 CECL transition period begins on January 1, 2020.</w:t>
      </w:r>
    </w:p>
    <w:p w:rsidR="00C03C83" w:rsidP="00C03C83" w:rsidRDefault="00C03C83" w14:paraId="7BC39A34" w14:textId="77777777"/>
    <w:p w:rsidR="00C03C83" w:rsidP="00C03C83" w:rsidRDefault="00C03C83" w14:paraId="19FFAA4A" w14:textId="77777777">
      <w:r>
        <w:t>The institution’s December 31, 2019, Call Report reflected the following amounts:</w:t>
      </w:r>
    </w:p>
    <w:p w:rsidR="00C03C83" w:rsidP="00C03C83" w:rsidRDefault="00C03C83" w14:paraId="003493DB" w14:textId="77777777">
      <w:r>
        <w:t>ALLL: $120</w:t>
      </w:r>
    </w:p>
    <w:p w:rsidR="00C03C83" w:rsidP="00C03C83" w:rsidRDefault="00C03C83" w14:paraId="7C18EA28" w14:textId="77777777">
      <w:r>
        <w:t>Temporary Difference DTAs: $20</w:t>
      </w:r>
    </w:p>
    <w:p w:rsidR="00C03C83" w:rsidP="00C03C83" w:rsidRDefault="00C03C83" w14:paraId="62DC0A2D" w14:textId="77777777">
      <w:r>
        <w:t>Retained earnings: $200</w:t>
      </w:r>
    </w:p>
    <w:p w:rsidR="00C03C83" w:rsidP="00C03C83" w:rsidRDefault="00C03C83" w14:paraId="2E7F3C23" w14:textId="77777777">
      <w:r>
        <w:t>Eligible credit reserves (advanced approaches only): $110</w:t>
      </w:r>
    </w:p>
    <w:p w:rsidR="00C03C83" w:rsidP="00C03C83" w:rsidRDefault="00C03C83" w14:paraId="6232D1BF" w14:textId="77777777"/>
    <w:p w:rsidR="00C03C83" w:rsidP="00C03C83" w:rsidRDefault="00C03C83" w14:paraId="52A56DB8" w14:textId="77777777">
      <w:r>
        <w:lastRenderedPageBreak/>
        <w:t>On January 1, 2020, the institution adopted CECL and reflected the following amounts:</w:t>
      </w:r>
    </w:p>
    <w:p w:rsidR="00C03C83" w:rsidP="00C03C83" w:rsidRDefault="00C03C83" w14:paraId="2F6F03D0" w14:textId="77777777">
      <w:r>
        <w:t>AACL: $150</w:t>
      </w:r>
    </w:p>
    <w:p w:rsidR="00C03C83" w:rsidP="00C03C83" w:rsidRDefault="00C03C83" w14:paraId="50F1FF7A" w14:textId="77777777">
      <w:pPr>
        <w:ind w:firstLine="720"/>
      </w:pPr>
      <w:r w:rsidRPr="00417419">
        <w:rPr>
          <w:u w:val="single"/>
        </w:rPr>
        <w:t>AACL Transitional Amount</w:t>
      </w:r>
      <w:r>
        <w:t xml:space="preserve"> = $150 - $120 = $30 </w:t>
      </w:r>
    </w:p>
    <w:p w:rsidR="00C03C83" w:rsidP="00C03C83" w:rsidRDefault="00C03C83" w14:paraId="6EE2DF02" w14:textId="77777777">
      <w:pPr>
        <w:ind w:firstLine="720"/>
      </w:pPr>
      <w:r>
        <w:t>(AACL on 1/1/20 – ALLL on 12/31/19)</w:t>
      </w:r>
    </w:p>
    <w:p w:rsidR="00C03C83" w:rsidP="00C03C83" w:rsidRDefault="00C03C83" w14:paraId="10923AF4" w14:textId="77777777">
      <w:r>
        <w:t>Temporary Difference DTAs: $30</w:t>
      </w:r>
    </w:p>
    <w:p w:rsidR="00C03C83" w:rsidP="00C03C83" w:rsidRDefault="00C03C83" w14:paraId="54EC536B" w14:textId="77777777">
      <w:pPr>
        <w:ind w:firstLine="720"/>
      </w:pPr>
      <w:r w:rsidRPr="00417419">
        <w:rPr>
          <w:u w:val="single"/>
        </w:rPr>
        <w:t>DTA Transitional Amount</w:t>
      </w:r>
      <w:r>
        <w:t xml:space="preserve"> = $30 - $20 = $10</w:t>
      </w:r>
    </w:p>
    <w:p w:rsidR="00C03C83" w:rsidP="00C03C83" w:rsidRDefault="00C03C83" w14:paraId="0949133B" w14:textId="77777777">
      <w:pPr>
        <w:ind w:firstLine="720"/>
      </w:pPr>
      <w:r>
        <w:t>(DTAs on 1/1/20 – DTAs on 12/31/19)</w:t>
      </w:r>
    </w:p>
    <w:p w:rsidR="00C03C83" w:rsidP="00C03C83" w:rsidRDefault="00C03C83" w14:paraId="53736C5D" w14:textId="77777777">
      <w:r>
        <w:t>Retained earnings: $180</w:t>
      </w:r>
    </w:p>
    <w:p w:rsidR="00C03C83" w:rsidP="00C03C83" w:rsidRDefault="00C03C83" w14:paraId="0E1112E4" w14:textId="77777777">
      <w:r>
        <w:tab/>
      </w:r>
      <w:r w:rsidRPr="00417419">
        <w:rPr>
          <w:u w:val="single"/>
        </w:rPr>
        <w:t>CECL Transitional Amount</w:t>
      </w:r>
      <w:r>
        <w:t xml:space="preserve"> = $200 - $180 = $20</w:t>
      </w:r>
    </w:p>
    <w:p w:rsidR="00C03C83" w:rsidP="00C03C83" w:rsidRDefault="00C03C83" w14:paraId="400E65E8" w14:textId="77777777">
      <w:r>
        <w:tab/>
        <w:t>(Retained earnings on 12/31/19 – retained earnings on 1/1/20)</w:t>
      </w:r>
    </w:p>
    <w:p w:rsidR="00C03C83" w:rsidP="00C03C83" w:rsidRDefault="00C03C83" w14:paraId="03684E26" w14:textId="77777777">
      <w:r>
        <w:t>Eligible credit reserves (advanced approaches only): $140</w:t>
      </w:r>
    </w:p>
    <w:p w:rsidR="00C03C83" w:rsidP="00C03C83" w:rsidRDefault="00C03C83" w14:paraId="538ACB9D" w14:textId="77777777">
      <w:r>
        <w:tab/>
      </w:r>
      <w:r>
        <w:rPr>
          <w:u w:val="single"/>
        </w:rPr>
        <w:t>Eligible Credit Reserves Transitional Amount</w:t>
      </w:r>
      <w:r>
        <w:t xml:space="preserve"> = $140 - $110 = $30</w:t>
      </w:r>
    </w:p>
    <w:p w:rsidRPr="00ED0976" w:rsidR="00C03C83" w:rsidP="00C03C83" w:rsidRDefault="00C03C83" w14:paraId="0EB22EA3" w14:textId="77777777">
      <w:r>
        <w:tab/>
        <w:t>(Eligible credit reserves on 1/1/20 – eligible credit reserves on 12/31/19)</w:t>
      </w:r>
    </w:p>
    <w:p w:rsidR="00C03C83" w:rsidP="00C03C83" w:rsidRDefault="00C03C83" w14:paraId="64B3EC91" w14:textId="77777777"/>
    <w:p w:rsidR="00C03C83" w:rsidP="00C03C83" w:rsidRDefault="00C03C83" w14:paraId="65877035" w14:textId="77777777">
      <w:r>
        <w:t>On March 31, 2020, the institution reflected the following amounts:</w:t>
      </w:r>
    </w:p>
    <w:p w:rsidR="00C03C83" w:rsidP="00C03C83" w:rsidRDefault="00C03C83" w14:paraId="17E892EC" w14:textId="77777777">
      <w:r>
        <w:t>AACL: $170</w:t>
      </w:r>
    </w:p>
    <w:p w:rsidR="00C03C83" w:rsidP="00C03C83" w:rsidRDefault="00C03C83" w14:paraId="50593044" w14:textId="77777777">
      <w:r>
        <w:tab/>
      </w:r>
      <w:r w:rsidRPr="00417419">
        <w:rPr>
          <w:u w:val="single"/>
        </w:rPr>
        <w:t>Modified AACL Transitional Amount</w:t>
      </w:r>
      <w:r>
        <w:t xml:space="preserve"> = ($170-$</w:t>
      </w:r>
      <w:proofErr w:type="gramStart"/>
      <w:r>
        <w:t>150)*</w:t>
      </w:r>
      <w:proofErr w:type="gramEnd"/>
      <w:r>
        <w:t>0.25 + $30 = $35</w:t>
      </w:r>
    </w:p>
    <w:p w:rsidR="00C03C83" w:rsidP="00C03C83" w:rsidRDefault="00C03C83" w14:paraId="089D73F4" w14:textId="77777777">
      <w:r>
        <w:tab/>
        <w:t>(AACL on 3/31/20 – AACL on 1/1/</w:t>
      </w:r>
      <w:proofErr w:type="gramStart"/>
      <w:r>
        <w:t>20)*</w:t>
      </w:r>
      <w:proofErr w:type="gramEnd"/>
      <w:r>
        <w:t>0.25 + AACL Transitional Amount)</w:t>
      </w:r>
    </w:p>
    <w:p w:rsidR="00C03C83" w:rsidP="00C03C83" w:rsidRDefault="00C03C83" w14:paraId="1B76038D" w14:textId="77777777">
      <w:r>
        <w:tab/>
      </w:r>
      <w:r>
        <w:rPr>
          <w:u w:val="single"/>
        </w:rPr>
        <w:t>Modified CECL Transitional Amount</w:t>
      </w:r>
      <w:r>
        <w:t xml:space="preserve"> = ($170-$</w:t>
      </w:r>
      <w:proofErr w:type="gramStart"/>
      <w:r>
        <w:t>150)*</w:t>
      </w:r>
      <w:proofErr w:type="gramEnd"/>
      <w:r>
        <w:t>.25 + $20 = $25</w:t>
      </w:r>
    </w:p>
    <w:p w:rsidR="00C03C83" w:rsidP="00C03C83" w:rsidRDefault="00C03C83" w14:paraId="1972FCA3" w14:textId="77777777">
      <w:r>
        <w:tab/>
        <w:t>(AACL on 3/31/20 – AACL on 1/1/</w:t>
      </w:r>
      <w:proofErr w:type="gramStart"/>
      <w:r>
        <w:t>20)*</w:t>
      </w:r>
      <w:proofErr w:type="gramEnd"/>
      <w:r>
        <w:t>0.25 + CECL Transitional Amount)</w:t>
      </w:r>
    </w:p>
    <w:p w:rsidR="00C03C83" w:rsidP="00C03C83" w:rsidRDefault="00C03C83" w14:paraId="6B52A678" w14:textId="77777777"/>
    <w:p w:rsidR="00C03C83" w:rsidP="00C03C83" w:rsidRDefault="00C03C83" w14:paraId="5CC93EB5" w14:textId="77777777">
      <w:r>
        <w:t>The institution would adjust the following items in its March 31, 2020, Call Report, Schedule RC-R:</w:t>
      </w:r>
    </w:p>
    <w:p w:rsidR="00C03C83" w:rsidP="00C03C83" w:rsidRDefault="00C03C83" w14:paraId="2F777BFF" w14:textId="77777777">
      <w:pPr>
        <w:pStyle w:val="ListParagraph"/>
        <w:numPr>
          <w:ilvl w:val="0"/>
          <w:numId w:val="3"/>
        </w:numPr>
      </w:pPr>
      <w:r>
        <w:t>Part I, Item 2 (Retained earnings): Add $25 (Modified CECL Transitional Amount)</w:t>
      </w:r>
    </w:p>
    <w:p w:rsidR="00C03C83" w:rsidP="00C03C83" w:rsidRDefault="00C03C83" w14:paraId="15DCC21A" w14:textId="77777777">
      <w:pPr>
        <w:pStyle w:val="ListParagraph"/>
        <w:numPr>
          <w:ilvl w:val="0"/>
          <w:numId w:val="3"/>
        </w:numPr>
      </w:pPr>
      <w:r>
        <w:t>Part I, Item 15 (or 15.a/</w:t>
      </w:r>
      <w:proofErr w:type="gramStart"/>
      <w:r>
        <w:t>15.b</w:t>
      </w:r>
      <w:proofErr w:type="gramEnd"/>
      <w:r>
        <w:t>) (Temporary difference DTAs): Subtract $10 (DTA Transitional Amount) when calculating DTAs subject to deduction</w:t>
      </w:r>
    </w:p>
    <w:p w:rsidR="00C03C83" w:rsidP="00C03C83" w:rsidRDefault="00C03C83" w14:paraId="510F1877" w14:textId="77777777">
      <w:pPr>
        <w:pStyle w:val="ListParagraph"/>
        <w:numPr>
          <w:ilvl w:val="0"/>
          <w:numId w:val="3"/>
        </w:numPr>
      </w:pPr>
      <w:r>
        <w:t>Part I, Item 27 (Average total consolidated assets): Add $25 (Modified CECL Transitional Amount)</w:t>
      </w:r>
    </w:p>
    <w:p w:rsidR="00C03C83" w:rsidP="00C03C83" w:rsidRDefault="00C03C83" w14:paraId="4B2A6FD6" w14:textId="77777777">
      <w:r>
        <w:t>An institution that is not electing the CBLR framework would make these additional adjustments:</w:t>
      </w:r>
    </w:p>
    <w:p w:rsidR="00C03C83" w:rsidP="00C03C83" w:rsidRDefault="00C03C83" w14:paraId="36114015" w14:textId="77777777">
      <w:pPr>
        <w:pStyle w:val="ListParagraph"/>
        <w:numPr>
          <w:ilvl w:val="0"/>
          <w:numId w:val="3"/>
        </w:numPr>
      </w:pPr>
      <w:r>
        <w:t>Part I, Item 42 (Allowances in Tier 2 Capital): Subtract $35 (Modified AACL Transitional Amount)</w:t>
      </w:r>
    </w:p>
    <w:p w:rsidR="00C03C83" w:rsidP="00C03C83" w:rsidRDefault="00C03C83" w14:paraId="4ED42937" w14:textId="77777777">
      <w:pPr>
        <w:pStyle w:val="ListParagraph"/>
        <w:numPr>
          <w:ilvl w:val="0"/>
          <w:numId w:val="3"/>
        </w:numPr>
      </w:pPr>
      <w:r>
        <w:t>Part II, Item 8 (All other assets): Subtract $10 (DTA Transitional Amount)</w:t>
      </w:r>
    </w:p>
    <w:p w:rsidR="00C03C83" w:rsidP="00C03C83" w:rsidRDefault="00C03C83" w14:paraId="3C3DF6AD" w14:textId="77777777">
      <w:r>
        <w:t>An institution subject to the supplementary leverage ratio (advanced approaches &amp; Category III institutions) would make this additional adjustment:</w:t>
      </w:r>
    </w:p>
    <w:p w:rsidR="00C03C83" w:rsidP="00C03C83" w:rsidRDefault="00C03C83" w14:paraId="302D2091" w14:textId="77777777">
      <w:pPr>
        <w:pStyle w:val="ListParagraph"/>
        <w:numPr>
          <w:ilvl w:val="0"/>
          <w:numId w:val="3"/>
        </w:numPr>
      </w:pPr>
      <w:r>
        <w:t>Part I, Item 55.a (Total leverage exposure for SLR): Add $25 (Modified CECL Transitional Amount)</w:t>
      </w:r>
    </w:p>
    <w:p w:rsidR="00C03C83" w:rsidP="00C03C83" w:rsidRDefault="00C03C83" w14:paraId="4E472CB9" w14:textId="77777777">
      <w:r>
        <w:t>An institution subject to the advanced approaches would make this additional adjustment:</w:t>
      </w:r>
    </w:p>
    <w:p w:rsidR="00C03C83" w:rsidP="00C03C83" w:rsidRDefault="00C03C83" w14:paraId="1B8B8B14" w14:textId="77777777">
      <w:pPr>
        <w:pStyle w:val="ListParagraph"/>
        <w:numPr>
          <w:ilvl w:val="0"/>
          <w:numId w:val="3"/>
        </w:numPr>
      </w:pPr>
      <w:r>
        <w:t>Part I, Item 42.b (Eligible credit reserves): Deduct $30 (Eligible Credit Reserves Transitional Amount)</w:t>
      </w:r>
    </w:p>
    <w:p w:rsidRPr="00570E00" w:rsidR="00C03C83" w:rsidP="002D1049" w:rsidRDefault="00C03C83" w14:paraId="6E902935" w14:textId="77777777"/>
    <w:sectPr w:rsidRPr="00570E00" w:rsidR="00C03C83">
      <w:headerReference w:type="default" r:id="rId15"/>
      <w:footerReference w:type="default" r:id="rId16"/>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1864CC0" w16cex:dateUtc="2020-03-31T19:41:09.46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B3481" w14:textId="77777777" w:rsidR="00A403DD" w:rsidRDefault="00A403DD" w:rsidP="00DC51CD">
      <w:r>
        <w:separator/>
      </w:r>
    </w:p>
  </w:endnote>
  <w:endnote w:type="continuationSeparator" w:id="0">
    <w:p w14:paraId="5DF0C519" w14:textId="77777777" w:rsidR="00A403DD" w:rsidRDefault="00A403DD" w:rsidP="00DC51CD">
      <w:r>
        <w:continuationSeparator/>
      </w:r>
    </w:p>
  </w:endnote>
  <w:endnote w:type="continuationNotice" w:id="1">
    <w:p w14:paraId="6A257C26" w14:textId="77777777" w:rsidR="00A403DD" w:rsidRDefault="00A40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552231"/>
      <w:docPartObj>
        <w:docPartGallery w:val="Page Numbers (Bottom of Page)"/>
        <w:docPartUnique/>
      </w:docPartObj>
    </w:sdtPr>
    <w:sdtEndPr>
      <w:rPr>
        <w:noProof/>
      </w:rPr>
    </w:sdtEndPr>
    <w:sdtContent>
      <w:p w14:paraId="4E84AAF1" w14:textId="7B76C95E" w:rsidR="00D2738C" w:rsidRDefault="00D2738C">
        <w:pPr>
          <w:pStyle w:val="Footer"/>
          <w:jc w:val="center"/>
        </w:pPr>
        <w:r>
          <w:fldChar w:fldCharType="begin"/>
        </w:r>
        <w:r>
          <w:instrText xml:space="preserve"> PAGE   \* MERGEFORMAT </w:instrText>
        </w:r>
        <w:r>
          <w:fldChar w:fldCharType="separate"/>
        </w:r>
        <w:r w:rsidR="00E31228">
          <w:rPr>
            <w:noProof/>
          </w:rPr>
          <w:t>4</w:t>
        </w:r>
        <w:r>
          <w:rPr>
            <w:noProof/>
          </w:rPr>
          <w:fldChar w:fldCharType="end"/>
        </w:r>
      </w:p>
    </w:sdtContent>
  </w:sdt>
  <w:p w14:paraId="529EBBDD" w14:textId="77777777" w:rsidR="00D2738C" w:rsidRDefault="00D27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FF9F3" w14:textId="77777777" w:rsidR="00A403DD" w:rsidRDefault="00A403DD" w:rsidP="00DC51CD">
      <w:r>
        <w:separator/>
      </w:r>
    </w:p>
  </w:footnote>
  <w:footnote w:type="continuationSeparator" w:id="0">
    <w:p w14:paraId="506EAAEE" w14:textId="77777777" w:rsidR="00A403DD" w:rsidRDefault="00A403DD" w:rsidP="00DC51CD">
      <w:r>
        <w:continuationSeparator/>
      </w:r>
    </w:p>
  </w:footnote>
  <w:footnote w:type="continuationNotice" w:id="1">
    <w:p w14:paraId="5EE6D2F4" w14:textId="77777777" w:rsidR="00A403DD" w:rsidRDefault="00A403DD"/>
  </w:footnote>
  <w:footnote w:id="2">
    <w:p w14:paraId="16160A4A" w14:textId="0719AC69" w:rsidR="00E0772D" w:rsidRDefault="00E0772D">
      <w:pPr>
        <w:pStyle w:val="FootnoteText"/>
      </w:pPr>
      <w:r>
        <w:rPr>
          <w:rStyle w:val="FootnoteReference"/>
        </w:rPr>
        <w:footnoteRef/>
      </w:r>
      <w:r>
        <w:t xml:space="preserve"> </w:t>
      </w:r>
      <w:r w:rsidRPr="00C11724">
        <w:t>Coronavirus Aid, Relief, and Economic Security Act,</w:t>
      </w:r>
      <w:r w:rsidRPr="00C11724" w:rsidDel="00AB22BD">
        <w:t xml:space="preserve"> </w:t>
      </w:r>
      <w:r w:rsidRPr="00C11724">
        <w:t>Pub</w:t>
      </w:r>
      <w:r>
        <w:t>.</w:t>
      </w:r>
      <w:r w:rsidRPr="00C11724">
        <w:t xml:space="preserve"> L. No. 116-136, § 4014, 134 Stat. 281 (Mar</w:t>
      </w:r>
      <w:r>
        <w:t>ch</w:t>
      </w:r>
      <w:r w:rsidRPr="00C11724">
        <w:t>. 27, 2020).</w:t>
      </w:r>
    </w:p>
  </w:footnote>
  <w:footnote w:id="3">
    <w:p w14:paraId="29915E8B" w14:textId="66E89304" w:rsidR="00C03C83" w:rsidRDefault="00C03C83">
      <w:pPr>
        <w:pStyle w:val="FootnoteText"/>
      </w:pPr>
      <w:r>
        <w:rPr>
          <w:rStyle w:val="FootnoteReference"/>
        </w:rPr>
        <w:footnoteRef/>
      </w:r>
      <w:r>
        <w:t xml:space="preserve"> 6 quarters of the initial transition followed by 12 quarters of the phase-out of the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C3934" w14:textId="24694AE8" w:rsidR="00D2738C" w:rsidRDefault="00D2738C">
    <w:pPr>
      <w:pStyle w:val="Header"/>
    </w:pPr>
    <w:r>
      <w:t>Confidential</w:t>
    </w:r>
    <w:r>
      <w:tab/>
    </w:r>
    <w:r>
      <w:tab/>
    </w:r>
    <w:r w:rsidR="00C20367">
      <w:t>April 1</w:t>
    </w:r>
    <w:r>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75F42"/>
    <w:multiLevelType w:val="hybridMultilevel"/>
    <w:tmpl w:val="CE369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126E8C"/>
    <w:multiLevelType w:val="hybridMultilevel"/>
    <w:tmpl w:val="82824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5FD0351"/>
    <w:multiLevelType w:val="hybridMultilevel"/>
    <w:tmpl w:val="B284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DCC"/>
    <w:rsid w:val="000518CF"/>
    <w:rsid w:val="00064614"/>
    <w:rsid w:val="000957E1"/>
    <w:rsid w:val="00097CB9"/>
    <w:rsid w:val="000B170B"/>
    <w:rsid w:val="000C3BF0"/>
    <w:rsid w:val="000E125F"/>
    <w:rsid w:val="00156B2B"/>
    <w:rsid w:val="001952FB"/>
    <w:rsid w:val="00207F0E"/>
    <w:rsid w:val="00243EF9"/>
    <w:rsid w:val="00283E2E"/>
    <w:rsid w:val="002A4AE9"/>
    <w:rsid w:val="002B0747"/>
    <w:rsid w:val="002D1049"/>
    <w:rsid w:val="002E319A"/>
    <w:rsid w:val="002E5C79"/>
    <w:rsid w:val="002F47E1"/>
    <w:rsid w:val="003068DE"/>
    <w:rsid w:val="003113D0"/>
    <w:rsid w:val="003424D6"/>
    <w:rsid w:val="003949EF"/>
    <w:rsid w:val="00394DF2"/>
    <w:rsid w:val="003A3A48"/>
    <w:rsid w:val="003B12D0"/>
    <w:rsid w:val="003B48DF"/>
    <w:rsid w:val="00404CF0"/>
    <w:rsid w:val="00422C2D"/>
    <w:rsid w:val="00454FB3"/>
    <w:rsid w:val="00460413"/>
    <w:rsid w:val="004630D2"/>
    <w:rsid w:val="00467FB0"/>
    <w:rsid w:val="004D3AAF"/>
    <w:rsid w:val="00551A03"/>
    <w:rsid w:val="00553C48"/>
    <w:rsid w:val="00553DCA"/>
    <w:rsid w:val="0056191B"/>
    <w:rsid w:val="00570E00"/>
    <w:rsid w:val="00583343"/>
    <w:rsid w:val="00584F04"/>
    <w:rsid w:val="00591B16"/>
    <w:rsid w:val="005B14FB"/>
    <w:rsid w:val="005D5DCC"/>
    <w:rsid w:val="005E121E"/>
    <w:rsid w:val="005F2341"/>
    <w:rsid w:val="005F6136"/>
    <w:rsid w:val="00606FD9"/>
    <w:rsid w:val="006248E9"/>
    <w:rsid w:val="00651B4A"/>
    <w:rsid w:val="006545CB"/>
    <w:rsid w:val="00656625"/>
    <w:rsid w:val="00686636"/>
    <w:rsid w:val="006B5FE1"/>
    <w:rsid w:val="006C2830"/>
    <w:rsid w:val="006D121E"/>
    <w:rsid w:val="006D33CA"/>
    <w:rsid w:val="006F24B8"/>
    <w:rsid w:val="007066FE"/>
    <w:rsid w:val="007179FA"/>
    <w:rsid w:val="00782DDE"/>
    <w:rsid w:val="0079407E"/>
    <w:rsid w:val="007B7684"/>
    <w:rsid w:val="007B76FC"/>
    <w:rsid w:val="0081720C"/>
    <w:rsid w:val="008E4E10"/>
    <w:rsid w:val="008F0435"/>
    <w:rsid w:val="00915A12"/>
    <w:rsid w:val="00927F0E"/>
    <w:rsid w:val="00946B17"/>
    <w:rsid w:val="009601B1"/>
    <w:rsid w:val="009613A4"/>
    <w:rsid w:val="0098052B"/>
    <w:rsid w:val="0098296D"/>
    <w:rsid w:val="00997D8A"/>
    <w:rsid w:val="009A3999"/>
    <w:rsid w:val="009B0026"/>
    <w:rsid w:val="009B5E7F"/>
    <w:rsid w:val="009B7BEC"/>
    <w:rsid w:val="009D59C9"/>
    <w:rsid w:val="00A049D1"/>
    <w:rsid w:val="00A230E0"/>
    <w:rsid w:val="00A403DD"/>
    <w:rsid w:val="00A4127D"/>
    <w:rsid w:val="00A57109"/>
    <w:rsid w:val="00A6664D"/>
    <w:rsid w:val="00AB0F4E"/>
    <w:rsid w:val="00AB310A"/>
    <w:rsid w:val="00AB5BD9"/>
    <w:rsid w:val="00AC59D3"/>
    <w:rsid w:val="00B02215"/>
    <w:rsid w:val="00B03731"/>
    <w:rsid w:val="00B043B1"/>
    <w:rsid w:val="00B20E95"/>
    <w:rsid w:val="00B22064"/>
    <w:rsid w:val="00B238A7"/>
    <w:rsid w:val="00B278DF"/>
    <w:rsid w:val="00B42AFC"/>
    <w:rsid w:val="00B81FBF"/>
    <w:rsid w:val="00B83770"/>
    <w:rsid w:val="00BD1939"/>
    <w:rsid w:val="00BE08A3"/>
    <w:rsid w:val="00C03C83"/>
    <w:rsid w:val="00C1636E"/>
    <w:rsid w:val="00C20367"/>
    <w:rsid w:val="00C52EE9"/>
    <w:rsid w:val="00C53874"/>
    <w:rsid w:val="00C9348A"/>
    <w:rsid w:val="00CB09EB"/>
    <w:rsid w:val="00CB208C"/>
    <w:rsid w:val="00D00129"/>
    <w:rsid w:val="00D2738C"/>
    <w:rsid w:val="00D75CDA"/>
    <w:rsid w:val="00D90947"/>
    <w:rsid w:val="00D9265F"/>
    <w:rsid w:val="00DC51CD"/>
    <w:rsid w:val="00DE4B24"/>
    <w:rsid w:val="00E0772D"/>
    <w:rsid w:val="00E107A2"/>
    <w:rsid w:val="00E173C9"/>
    <w:rsid w:val="00E31228"/>
    <w:rsid w:val="00E43B13"/>
    <w:rsid w:val="00E57D1E"/>
    <w:rsid w:val="00EB3489"/>
    <w:rsid w:val="00F261C1"/>
    <w:rsid w:val="00F543D2"/>
    <w:rsid w:val="00F55243"/>
    <w:rsid w:val="00F6304C"/>
    <w:rsid w:val="00FA1547"/>
    <w:rsid w:val="00FB38B0"/>
    <w:rsid w:val="00FD770A"/>
    <w:rsid w:val="00FE57B8"/>
    <w:rsid w:val="0533B8D3"/>
    <w:rsid w:val="13F61A3C"/>
    <w:rsid w:val="149EA801"/>
    <w:rsid w:val="17A302C3"/>
    <w:rsid w:val="25AB7E91"/>
    <w:rsid w:val="311FBC33"/>
    <w:rsid w:val="323240C6"/>
    <w:rsid w:val="3DD93452"/>
    <w:rsid w:val="43882116"/>
    <w:rsid w:val="473281C5"/>
    <w:rsid w:val="4CE1DAD9"/>
    <w:rsid w:val="51699772"/>
    <w:rsid w:val="528E888A"/>
    <w:rsid w:val="55216207"/>
    <w:rsid w:val="554D827E"/>
    <w:rsid w:val="5571672F"/>
    <w:rsid w:val="58DAFA09"/>
    <w:rsid w:val="5A88155C"/>
    <w:rsid w:val="5F41906D"/>
    <w:rsid w:val="615AA60F"/>
    <w:rsid w:val="6487915D"/>
    <w:rsid w:val="659DC82C"/>
    <w:rsid w:val="68AEF4F2"/>
    <w:rsid w:val="6E3E1E34"/>
    <w:rsid w:val="79335D30"/>
    <w:rsid w:val="79EF40BE"/>
    <w:rsid w:val="7E968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A885"/>
  <w15:chartTrackingRefBased/>
  <w15:docId w15:val="{961AB14C-1366-42B5-BA98-6339CAC9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CD"/>
    <w:pPr>
      <w:tabs>
        <w:tab w:val="center" w:pos="4680"/>
        <w:tab w:val="right" w:pos="9360"/>
      </w:tabs>
    </w:pPr>
  </w:style>
  <w:style w:type="character" w:customStyle="1" w:styleId="HeaderChar">
    <w:name w:val="Header Char"/>
    <w:basedOn w:val="DefaultParagraphFont"/>
    <w:link w:val="Header"/>
    <w:uiPriority w:val="99"/>
    <w:rsid w:val="00DC51CD"/>
  </w:style>
  <w:style w:type="paragraph" w:styleId="Footer">
    <w:name w:val="footer"/>
    <w:basedOn w:val="Normal"/>
    <w:link w:val="FooterChar"/>
    <w:uiPriority w:val="99"/>
    <w:unhideWhenUsed/>
    <w:rsid w:val="00DC51CD"/>
    <w:pPr>
      <w:tabs>
        <w:tab w:val="center" w:pos="4680"/>
        <w:tab w:val="right" w:pos="9360"/>
      </w:tabs>
    </w:pPr>
  </w:style>
  <w:style w:type="character" w:customStyle="1" w:styleId="FooterChar">
    <w:name w:val="Footer Char"/>
    <w:basedOn w:val="DefaultParagraphFont"/>
    <w:link w:val="Footer"/>
    <w:uiPriority w:val="99"/>
    <w:rsid w:val="00DC51CD"/>
  </w:style>
  <w:style w:type="paragraph" w:styleId="ListParagraph">
    <w:name w:val="List Paragraph"/>
    <w:basedOn w:val="Normal"/>
    <w:uiPriority w:val="34"/>
    <w:qFormat/>
    <w:rsid w:val="005B14FB"/>
    <w:pPr>
      <w:ind w:left="720"/>
      <w:contextualSpacing/>
    </w:pPr>
  </w:style>
  <w:style w:type="character" w:styleId="CommentReference">
    <w:name w:val="annotation reference"/>
    <w:basedOn w:val="DefaultParagraphFont"/>
    <w:uiPriority w:val="99"/>
    <w:semiHidden/>
    <w:unhideWhenUsed/>
    <w:rsid w:val="002E5C79"/>
    <w:rPr>
      <w:sz w:val="16"/>
      <w:szCs w:val="16"/>
    </w:rPr>
  </w:style>
  <w:style w:type="paragraph" w:styleId="CommentText">
    <w:name w:val="annotation text"/>
    <w:basedOn w:val="Normal"/>
    <w:link w:val="CommentTextChar"/>
    <w:uiPriority w:val="99"/>
    <w:unhideWhenUsed/>
    <w:rsid w:val="002E5C79"/>
    <w:rPr>
      <w:sz w:val="20"/>
    </w:rPr>
  </w:style>
  <w:style w:type="character" w:customStyle="1" w:styleId="CommentTextChar">
    <w:name w:val="Comment Text Char"/>
    <w:basedOn w:val="DefaultParagraphFont"/>
    <w:link w:val="CommentText"/>
    <w:uiPriority w:val="99"/>
    <w:rsid w:val="002E5C79"/>
    <w:rPr>
      <w:sz w:val="20"/>
    </w:rPr>
  </w:style>
  <w:style w:type="paragraph" w:styleId="CommentSubject">
    <w:name w:val="annotation subject"/>
    <w:basedOn w:val="CommentText"/>
    <w:next w:val="CommentText"/>
    <w:link w:val="CommentSubjectChar"/>
    <w:uiPriority w:val="99"/>
    <w:semiHidden/>
    <w:unhideWhenUsed/>
    <w:rsid w:val="002E5C79"/>
    <w:rPr>
      <w:b/>
      <w:bCs/>
    </w:rPr>
  </w:style>
  <w:style w:type="character" w:customStyle="1" w:styleId="CommentSubjectChar">
    <w:name w:val="Comment Subject Char"/>
    <w:basedOn w:val="CommentTextChar"/>
    <w:link w:val="CommentSubject"/>
    <w:uiPriority w:val="99"/>
    <w:semiHidden/>
    <w:rsid w:val="002E5C79"/>
    <w:rPr>
      <w:b/>
      <w:bCs/>
      <w:sz w:val="20"/>
    </w:rPr>
  </w:style>
  <w:style w:type="paragraph" w:styleId="BalloonText">
    <w:name w:val="Balloon Text"/>
    <w:basedOn w:val="Normal"/>
    <w:link w:val="BalloonTextChar"/>
    <w:uiPriority w:val="99"/>
    <w:semiHidden/>
    <w:unhideWhenUsed/>
    <w:rsid w:val="002E5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C79"/>
    <w:rPr>
      <w:rFonts w:ascii="Segoe UI" w:hAnsi="Segoe UI" w:cs="Segoe UI"/>
      <w:sz w:val="18"/>
      <w:szCs w:val="18"/>
    </w:rPr>
  </w:style>
  <w:style w:type="paragraph" w:styleId="FootnoteText">
    <w:name w:val="footnote text"/>
    <w:basedOn w:val="Normal"/>
    <w:link w:val="FootnoteTextChar"/>
    <w:uiPriority w:val="99"/>
    <w:semiHidden/>
    <w:unhideWhenUsed/>
    <w:rsid w:val="00B03731"/>
    <w:rPr>
      <w:sz w:val="20"/>
    </w:rPr>
  </w:style>
  <w:style w:type="character" w:customStyle="1" w:styleId="FootnoteTextChar">
    <w:name w:val="Footnote Text Char"/>
    <w:basedOn w:val="DefaultParagraphFont"/>
    <w:link w:val="FootnoteText"/>
    <w:uiPriority w:val="99"/>
    <w:semiHidden/>
    <w:rsid w:val="00B03731"/>
    <w:rPr>
      <w:sz w:val="20"/>
    </w:rPr>
  </w:style>
  <w:style w:type="character" w:styleId="FootnoteReference">
    <w:name w:val="footnote reference"/>
    <w:basedOn w:val="DefaultParagraphFont"/>
    <w:uiPriority w:val="99"/>
    <w:semiHidden/>
    <w:unhideWhenUsed/>
    <w:rsid w:val="00B037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162209">
      <w:bodyDiv w:val="1"/>
      <w:marLeft w:val="0"/>
      <w:marRight w:val="0"/>
      <w:marTop w:val="0"/>
      <w:marBottom w:val="0"/>
      <w:divBdr>
        <w:top w:val="none" w:sz="0" w:space="0" w:color="auto"/>
        <w:left w:val="none" w:sz="0" w:space="0" w:color="auto"/>
        <w:bottom w:val="none" w:sz="0" w:space="0" w:color="auto"/>
        <w:right w:val="none" w:sz="0" w:space="0" w:color="auto"/>
      </w:divBdr>
    </w:div>
    <w:div w:id="1081414941">
      <w:bodyDiv w:val="1"/>
      <w:marLeft w:val="0"/>
      <w:marRight w:val="0"/>
      <w:marTop w:val="0"/>
      <w:marBottom w:val="0"/>
      <w:divBdr>
        <w:top w:val="none" w:sz="0" w:space="0" w:color="auto"/>
        <w:left w:val="none" w:sz="0" w:space="0" w:color="auto"/>
        <w:bottom w:val="none" w:sz="0" w:space="0" w:color="auto"/>
        <w:right w:val="none" w:sz="0" w:space="0" w:color="auto"/>
      </w:divBdr>
    </w:div>
    <w:div w:id="1649675096">
      <w:bodyDiv w:val="1"/>
      <w:marLeft w:val="0"/>
      <w:marRight w:val="0"/>
      <w:marTop w:val="0"/>
      <w:marBottom w:val="0"/>
      <w:divBdr>
        <w:top w:val="none" w:sz="0" w:space="0" w:color="auto"/>
        <w:left w:val="none" w:sz="0" w:space="0" w:color="auto"/>
        <w:bottom w:val="none" w:sz="0" w:space="0" w:color="auto"/>
        <w:right w:val="none" w:sz="0" w:space="0" w:color="auto"/>
      </w:divBdr>
    </w:div>
    <w:div w:id="172428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1f94f371d96243bc"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ain Them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ensitivity xmlns="6d0973a5-e413-4baa-8f89-2c16e4e9db93">Sensitive Data</Sensitivity>
  </documentManagement>
</p:properties>
</file>

<file path=customXml/item3.xml><?xml version="1.0" encoding="utf-8"?>
<ct:contentTypeSchema xmlns:ct="http://schemas.microsoft.com/office/2006/metadata/contentType" xmlns:ma="http://schemas.microsoft.com/office/2006/metadata/properties/metaAttributes" ct:_="" ma:_="" ma:contentTypeName="Rulemaking Doc" ma:contentTypeID="0x0101009047A1DC49BCAA498C61DB50EF03268C006A56F420ADD63248965D053BCF0B85E4" ma:contentTypeVersion="23" ma:contentTypeDescription="" ma:contentTypeScope="" ma:versionID="03e5a48a32e601e35740b6ae4e67bc16">
  <xsd:schema xmlns:xsd="http://www.w3.org/2001/XMLSchema" xmlns:xs="http://www.w3.org/2001/XMLSchema" xmlns:p="http://schemas.microsoft.com/office/2006/metadata/properties" xmlns:ns2="f79dc39a-5a6c-4ed1-a4d3-f678b71493f2" xmlns:ns3="c18f7c58-1fb1-474f-b42e-5adae7a00430" targetNamespace="http://schemas.microsoft.com/office/2006/metadata/properties" ma:root="true" ma:fieldsID="1e2c6dfc103ba5a42207994f273e2789" ns2:_="" ns3:_="">
    <xsd:import namespace="f79dc39a-5a6c-4ed1-a4d3-f678b71493f2"/>
    <xsd:import namespace="c18f7c58-1fb1-474f-b42e-5adae7a00430"/>
    <xsd:element name="properties">
      <xsd:complexType>
        <xsd:sequence>
          <xsd:element name="documentManagement">
            <xsd:complexType>
              <xsd:all>
                <xsd:element ref="ns2:RulemakingPhase1" minOccurs="0"/>
                <xsd:element ref="ns2:RulemakingDocType1" minOccurs="0"/>
                <xsd:element ref="ns2:PrimaryReg" minOccurs="0"/>
                <xsd:element ref="ns2:Information_x0020_Classification" minOccurs="0"/>
                <xsd:element ref="ns2:_dlc_DocId" minOccurs="0"/>
                <xsd:element ref="ns2:_dlc_DocIdUrl" minOccurs="0"/>
                <xsd:element ref="ns2:_dlc_DocIdPersistId" minOccurs="0"/>
                <xsd:element ref="ns2:RulemakingSourceLib" minOccurs="0"/>
                <xsd:element ref="ns2:Termsheet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dc39a-5a6c-4ed1-a4d3-f678b71493f2" elementFormDefault="qualified">
    <xsd:import namespace="http://schemas.microsoft.com/office/2006/documentManagement/types"/>
    <xsd:import namespace="http://schemas.microsoft.com/office/infopath/2007/PartnerControls"/>
    <xsd:element name="RulemakingPhase1" ma:index="2" nillable="true" ma:displayName="Phase" ma:format="RadioButtons" ma:internalName="RulemakingPhase1" ma:readOnly="false">
      <xsd:simpleType>
        <xsd:restriction base="dms:Choice">
          <xsd:enumeration value="Advanced notice of proposed rule (ANPR)"/>
          <xsd:enumeration value="Proposed rule (NPR)"/>
          <xsd:enumeration value="Final rule"/>
          <xsd:enumeration value="Implementation"/>
          <xsd:enumeration value="N/A"/>
        </xsd:restriction>
      </xsd:simpleType>
    </xsd:element>
    <xsd:element name="RulemakingDocType1" ma:index="3" nillable="true" ma:displayName="Rulemaking Doc Type" ma:format="Dropdown" ma:internalName="RulemakingDocType1" ma:readOnly="false">
      <xsd:simpleType>
        <xsd:restriction base="dms:Choice">
          <xsd:enumeration value="Background Reference"/>
          <xsd:enumeration value="Board Meeting Testimony"/>
          <xsd:enumeration value="Board Meeting Transcript"/>
          <xsd:enumeration value="Board Memo"/>
          <xsd:enumeration value="Briefing Memo"/>
          <xsd:enumeration value="Call Notes"/>
          <xsd:enumeration value="Comment Outline"/>
          <xsd:enumeration value="Comment Summary"/>
          <xsd:enumeration value="CSR Presentation"/>
          <xsd:enumeration value="Draft FR Notice"/>
          <xsd:enumeration value="Impact Data Analysis"/>
          <xsd:enumeration value="Interagency Comments"/>
          <xsd:enumeration value="Issues List"/>
          <xsd:enumeration value="Other Briefing Memo"/>
          <xsd:enumeration value="Preamble"/>
          <xsd:enumeration value="Preamble Outline"/>
          <xsd:enumeration value="Press Q&amp;As"/>
          <xsd:enumeration value="Press Release"/>
          <xsd:enumeration value="Project Plan/Timeline"/>
          <xsd:enumeration value="Regulatory Report Form"/>
          <xsd:enumeration value="Regulatory Report Instruction"/>
          <xsd:enumeration value="SC Talking Points"/>
          <xsd:enumeration value="Supporting"/>
          <xsd:enumeration value="Term Sheet"/>
          <xsd:enumeration value="Transmittal Memo"/>
          <xsd:enumeration value="Other"/>
        </xsd:restriction>
      </xsd:simpleType>
    </xsd:element>
    <xsd:element name="PrimaryReg" ma:index="4" nillable="true" ma:displayName="Primary Regulation" ma:format="Dropdown" ma:internalName="PrimaryReg" ma:readOnly="false">
      <xsd:simpleType>
        <xsd:restriction base="dms:Choice">
          <xsd:enumeration value="Regulation H"/>
          <xsd:enumeration value="Regulation KK"/>
          <xsd:enumeration value="Regulation Q"/>
          <xsd:enumeration value="Regulation QQ"/>
          <xsd:enumeration value="Regulation Y"/>
          <xsd:enumeration value="Regulation YY"/>
          <xsd:enumeration value="Regulation W"/>
          <xsd:enumeration value="Regulation WW"/>
          <xsd:enumeration value="Other"/>
        </xsd:restriction>
      </xsd:simpleType>
    </xsd:element>
    <xsd:element name="Information_x0020_Classification" ma:index="5" nillable="true" ma:displayName="Information Classification" ma:default="Internal FR" ma:format="Dropdown" ma:internalName="Information_x0020_Classification">
      <xsd:simpleType>
        <xsd:restriction base="dms:Choice">
          <xsd:enumeration value="Public"/>
          <xsd:enumeration value="Board Personnel"/>
          <xsd:enumeration value="Internal FR"/>
          <xsd:enumeration value="Restricted FR"/>
          <xsd:enumeration value="Restricted-Controlled FR"/>
          <xsd:enumeration value="FOMC"/>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RulemakingSourceLib" ma:index="15" nillable="true" ma:displayName="Rulemaking Source Library" ma:hidden="true" ma:internalName="RulemakingSourceLib" ma:readOnly="false">
      <xsd:simpleType>
        <xsd:restriction base="dms:Text">
          <xsd:maxLength value="255"/>
        </xsd:restriction>
      </xsd:simpleType>
    </xsd:element>
    <xsd:element name="TermsheetStatus" ma:index="16" nillable="true" ma:displayName="Term Sheet Status" ma:description="Applicable for term sheets only, set this to Current for the version to be rolled up into the Termsheets view on the home page" ma:format="RadioButtons" ma:internalName="TermsheetStatus" ma:readOnly="false">
      <xsd:simpleType>
        <xsd:restriction base="dms:Choice">
          <xsd:enumeration value="Current"/>
          <xsd:enumeration value="Old vers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c18f7c58-1fb1-474f-b42e-5adae7a00430"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ulemakingPhase1 xmlns="f79dc39a-5a6c-4ed1-a4d3-f678b71493f2">Final rule</RulemakingPhase1>
    <RulemakingSourceLib xmlns="f79dc39a-5a6c-4ed1-a4d3-f678b71493f2">CECL Transitions</RulemakingSourceLib>
    <PrimaryReg xmlns="f79dc39a-5a6c-4ed1-a4d3-f678b71493f2" xsi:nil="true"/>
    <Information_x0020_Classification xmlns="f79dc39a-5a6c-4ed1-a4d3-f678b71493f2">Internal FR</Information_x0020_Classification>
    <RulemakingDocType1 xmlns="f79dc39a-5a6c-4ed1-a4d3-f678b71493f2">Other</RulemakingDocType1>
    <TermsheetStatus xmlns="f79dc39a-5a6c-4ed1-a4d3-f678b71493f2" xsi:nil="true"/>
    <_dlc_DocId xmlns="f79dc39a-5a6c-4ed1-a4d3-f678b71493f2">5UEUVPNEAJDY-1406548104-20</_dlc_DocId>
    <_dlc_DocIdUrl xmlns="f79dc39a-5a6c-4ed1-a4d3-f678b71493f2">
      <Url>https://spweb.frb.gov/sites/BSRPolicy/Rulemaking/_layouts/15/DocIdRedir.aspx?ID=5UEUVPNEAJDY-1406548104-20</Url>
      <Description>5UEUVPNEAJDY-1406548104-20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848CD1EB867BD4ABABDDCD361A04661" ma:contentTypeVersion="9" ma:contentTypeDescription="Create a new document." ma:contentTypeScope="" ma:versionID="6513b6ad99e94a7ea5a59dc962d88a02">
  <xsd:schema xmlns:xsd="http://www.w3.org/2001/XMLSchema" xmlns:xs="http://www.w3.org/2001/XMLSchema" xmlns:p="http://schemas.microsoft.com/office/2006/metadata/properties" xmlns:ns2="6d0973a5-e413-4baa-8f89-2c16e4e9db93" xmlns:ns3="84162eff-ae67-48f9-b264-ec798b7bf956" targetNamespace="http://schemas.microsoft.com/office/2006/metadata/properties" ma:root="true" ma:fieldsID="870db5eb5c01df384570d7fe3a51a218" ns2:_="" ns3:_="">
    <xsd:import namespace="6d0973a5-e413-4baa-8f89-2c16e4e9db93"/>
    <xsd:import namespace="84162eff-ae67-48f9-b264-ec798b7bf956"/>
    <xsd:element name="properties">
      <xsd:complexType>
        <xsd:sequence>
          <xsd:element name="documentManagement">
            <xsd:complexType>
              <xsd:all>
                <xsd:element ref="ns2:Sensitivity"/>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973a5-e413-4baa-8f89-2c16e4e9db93" elementFormDefault="qualified">
    <xsd:import namespace="http://schemas.microsoft.com/office/2006/documentManagement/types"/>
    <xsd:import namespace="http://schemas.microsoft.com/office/infopath/2007/PartnerControls"/>
    <xsd:element name="Sensitivity" ma:index="8" ma:displayName="Sensitivity" ma:description="&#10;Sensitive Data = Any data that, if lost, stolen or misused, could adversely impact FDIC, insured institutions or individuals.&#10;    http://fdic01/division/doa/adminservices/records/directives/1000/1360-9.doc&#10;&#10;Sensitive PII = SSN alone and/or an individual’s full name plus 1 or more additional items of personal data.&#10;    http://fdic01/division/dit/ITGovernance/PrivacyProgram/PersonallyIdentifiableInformation/index.html&#10;&#10;Non-Sensitive Data = Data that can be shared or viewed with no restrictions internal or external to FDIC.&#10;    http://www.fdic.gov/regulations/laws/rules/2000-3800.html&#10;    " ma:format="Dropdown" ma:internalName="Sensitivity" ma:readOnly="false">
      <xsd:simpleType>
        <xsd:restriction base="dms:Choice">
          <xsd:enumeration value="Sensitive Data"/>
          <xsd:enumeration value="Sensitive PII"/>
          <xsd:enumeration value="Non-Sensitive Data"/>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62eff-ae67-48f9-b264-ec798b7bf9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E472F-5FBB-4DF2-BD1C-518CBBC0FC96}">
  <ds:schemaRefs>
    <ds:schemaRef ds:uri="http://schemas.microsoft.com/sharepoint/events"/>
  </ds:schemaRefs>
</ds:datastoreItem>
</file>

<file path=customXml/itemProps2.xml><?xml version="1.0" encoding="utf-8"?>
<ds:datastoreItem xmlns:ds="http://schemas.openxmlformats.org/officeDocument/2006/customXml" ds:itemID="{BD45C070-A84D-49D4-AB2E-062E8CC28868}">
  <ds:schemaRefs>
    <ds:schemaRef ds:uri="http://schemas.microsoft.com/office/2006/metadata/properties"/>
    <ds:schemaRef ds:uri="http://schemas.microsoft.com/office/infopath/2007/PartnerControls"/>
    <ds:schemaRef ds:uri="6d0973a5-e413-4baa-8f89-2c16e4e9db93"/>
  </ds:schemaRefs>
</ds:datastoreItem>
</file>

<file path=customXml/itemProps3.xml><?xml version="1.0" encoding="utf-8"?>
<ds:datastoreItem xmlns:ds="http://schemas.openxmlformats.org/officeDocument/2006/customXml" ds:itemID="{9C96A346-70F9-4A24-A6CD-21A1930D2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dc39a-5a6c-4ed1-a4d3-f678b71493f2"/>
    <ds:schemaRef ds:uri="c18f7c58-1fb1-474f-b42e-5adae7a00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13AA7-9006-4590-96AE-FEEE0D8CCA37}">
  <ds:schemaRefs>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c18f7c58-1fb1-474f-b42e-5adae7a00430"/>
    <ds:schemaRef ds:uri="f79dc39a-5a6c-4ed1-a4d3-f678b71493f2"/>
    <ds:schemaRef ds:uri="http://purl.org/dc/terms/"/>
  </ds:schemaRefs>
</ds:datastoreItem>
</file>

<file path=customXml/itemProps5.xml><?xml version="1.0" encoding="utf-8"?>
<ds:datastoreItem xmlns:ds="http://schemas.openxmlformats.org/officeDocument/2006/customXml" ds:itemID="{FE48EC82-D959-4DA1-A367-37FC2979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973a5-e413-4baa-8f89-2c16e4e9db93"/>
    <ds:schemaRef ds:uri="84162eff-ae67-48f9-b264-ec798b7bf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1DF9E8-98F2-4151-B5F8-73066AC0F5E4}">
  <ds:schemaRefs>
    <ds:schemaRef ds:uri="http://schemas.microsoft.com/sharepoint/v3/contenttype/forms"/>
  </ds:schemaRefs>
</ds:datastoreItem>
</file>

<file path=customXml/itemProps7.xml><?xml version="1.0" encoding="utf-8"?>
<ds:datastoreItem xmlns:ds="http://schemas.openxmlformats.org/officeDocument/2006/customXml" ds:itemID="{C3B9B355-78BF-4B35-A672-BAAC8AA7D719}">
  <ds:schemaRefs>
    <ds:schemaRef ds:uri="http://schemas.microsoft.com/sharepoint/v3/contenttype/forms"/>
  </ds:schemaRefs>
</ds:datastoreItem>
</file>

<file path=customXml/itemProps8.xml><?xml version="1.0" encoding="utf-8"?>
<ds:datastoreItem xmlns:ds="http://schemas.openxmlformats.org/officeDocument/2006/customXml" ds:itemID="{E7FDF389-EE1E-4F22-BC6B-74F60ACC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2173</Words>
  <Characters>12392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Korzeniewski, Kevin</dc:creator>
  <cp:keywords/>
  <dc:description/>
  <cp:lastModifiedBy>Gottlieb, Mary</cp:lastModifiedBy>
  <cp:revision>2</cp:revision>
  <dcterms:created xsi:type="dcterms:W3CDTF">2020-04-01T20:44:00Z</dcterms:created>
  <dcterms:modified xsi:type="dcterms:W3CDTF">2020-04-01T20:44:00Z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a30eb59b-989f-4477-98d3-48efea3e7865</vt:lpwstr>
  </property>
  <property fmtid="{D5CDD505-2E9C-101B-9397-08002B2CF9AE}" pid="3" name="ContentTypeId">
    <vt:lpwstr>0x0101009047A1DC49BCAA498C61DB50EF03268C006A56F420ADD63248965D053BCF0B85E4</vt:lpwstr>
  </property>
  <property fmtid="{D5CDD505-2E9C-101B-9397-08002B2CF9AE}" pid="4" name="_dlc_DocIdItemGuid">
    <vt:lpwstr>2600dde0-3770-4789-9a47-31fd8e80b3e6</vt:lpwstr>
  </property>
</Properties>
</file>