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160621" w:rsidRDefault="00DC1C23" w14:paraId="431EDC7B" w14:textId="3BB6213B">
      <w:pPr>
        <w:pStyle w:val="ReportCover-Title"/>
        <w:jc w:val="center"/>
        <w:rPr>
          <w:rFonts w:ascii="Arial" w:hAnsi="Arial" w:cs="Arial"/>
          <w:color w:val="auto"/>
        </w:rPr>
      </w:pPr>
      <w:r w:rsidRPr="004F7B95">
        <w:rPr>
          <w:rFonts w:ascii="Times New Roman" w:hAnsi="Times New Roman"/>
          <w:sz w:val="24"/>
          <w:szCs w:val="24"/>
        </w:rPr>
        <w:tab/>
      </w:r>
      <w:r w:rsidRPr="00716897" w:rsidR="00716897">
        <w:rPr>
          <w:rFonts w:ascii="Arial" w:hAnsi="Arial" w:eastAsia="Arial Unicode MS" w:cs="Arial"/>
          <w:noProof/>
          <w:color w:val="auto"/>
        </w:rPr>
        <w:t>LIHEAP - RECS Data Match</w:t>
      </w:r>
    </w:p>
    <w:p w:rsidRPr="00160621" w:rsidR="00160621" w:rsidP="00160621" w:rsidRDefault="00160621" w14:paraId="11FD39B2" w14:textId="77777777">
      <w:pPr>
        <w:pStyle w:val="ReportCover-Title"/>
        <w:rPr>
          <w:rFonts w:ascii="Arial" w:hAnsi="Arial" w:cs="Arial"/>
          <w:color w:val="auto"/>
        </w:rPr>
      </w:pPr>
    </w:p>
    <w:p w:rsidRPr="00160621" w:rsidR="00160621" w:rsidP="00160621" w:rsidRDefault="00160621" w14:paraId="3A9B216E" w14:textId="77777777">
      <w:pPr>
        <w:pStyle w:val="ReportCover-Title"/>
        <w:rPr>
          <w:rFonts w:ascii="Arial" w:hAnsi="Arial" w:cs="Arial"/>
          <w:color w:val="auto"/>
        </w:rPr>
      </w:pPr>
    </w:p>
    <w:p w:rsidRPr="00160621" w:rsidR="00160621" w:rsidP="00160621" w:rsidRDefault="00160621" w14:paraId="6C5E428A"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772B9035" w14:textId="70DC6B0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9F052C" w:rsidR="009F052C">
        <w:rPr>
          <w:rFonts w:ascii="Arial" w:hAnsi="Arial" w:cs="Arial"/>
          <w:color w:val="auto"/>
          <w:sz w:val="32"/>
          <w:szCs w:val="32"/>
        </w:rPr>
        <w:t>0486</w:t>
      </w:r>
    </w:p>
    <w:p w:rsidRPr="00160621" w:rsidR="00160621" w:rsidP="00160621" w:rsidRDefault="00160621" w14:paraId="5D4826A1" w14:textId="77777777">
      <w:pPr>
        <w:rPr>
          <w:rFonts w:ascii="Arial" w:hAnsi="Arial" w:cs="Arial"/>
          <w:szCs w:val="22"/>
        </w:rPr>
      </w:pPr>
    </w:p>
    <w:p w:rsidRPr="00160621" w:rsidR="00160621" w:rsidP="00160621" w:rsidRDefault="00160621" w14:paraId="33FEE58D" w14:textId="77777777">
      <w:pPr>
        <w:pStyle w:val="ReportCover-Date"/>
        <w:jc w:val="center"/>
        <w:rPr>
          <w:rFonts w:ascii="Arial" w:hAnsi="Arial" w:cs="Arial"/>
          <w:color w:val="auto"/>
        </w:rPr>
      </w:pPr>
    </w:p>
    <w:p w:rsidRPr="00160621" w:rsidR="00160621" w:rsidP="00597E7F" w:rsidRDefault="00160621" w14:paraId="54B91DC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7C689E" w14:paraId="5CB72C2F" w14:textId="1DDB704C">
      <w:pPr>
        <w:pStyle w:val="ReportCover-Date"/>
        <w:jc w:val="center"/>
        <w:rPr>
          <w:rFonts w:ascii="Arial" w:hAnsi="Arial" w:cs="Arial"/>
          <w:color w:val="auto"/>
        </w:rPr>
      </w:pPr>
      <w:r>
        <w:rPr>
          <w:rFonts w:ascii="Arial" w:hAnsi="Arial" w:cs="Arial"/>
          <w:color w:val="auto"/>
        </w:rPr>
        <w:t>May 2020</w:t>
      </w:r>
    </w:p>
    <w:p w:rsidR="00160621" w:rsidP="00160621" w:rsidRDefault="00160621" w14:paraId="7A26F451" w14:textId="77777777">
      <w:pPr>
        <w:jc w:val="center"/>
        <w:rPr>
          <w:rFonts w:ascii="Arial" w:hAnsi="Arial" w:cs="Arial"/>
        </w:rPr>
      </w:pPr>
    </w:p>
    <w:p w:rsidR="00597E7F" w:rsidP="00160621" w:rsidRDefault="00597E7F" w14:paraId="4377C12F" w14:textId="77777777">
      <w:pPr>
        <w:jc w:val="center"/>
        <w:rPr>
          <w:rFonts w:ascii="Arial" w:hAnsi="Arial" w:cs="Arial"/>
        </w:rPr>
      </w:pPr>
    </w:p>
    <w:p w:rsidR="00597E7F" w:rsidP="00160621" w:rsidRDefault="00597E7F" w14:paraId="643B085B" w14:textId="77777777">
      <w:pPr>
        <w:jc w:val="center"/>
        <w:rPr>
          <w:rFonts w:ascii="Arial" w:hAnsi="Arial" w:cs="Arial"/>
        </w:rPr>
      </w:pPr>
    </w:p>
    <w:p w:rsidR="00597E7F" w:rsidP="00160621" w:rsidRDefault="00597E7F" w14:paraId="47BC748F" w14:textId="77777777">
      <w:pPr>
        <w:jc w:val="center"/>
        <w:rPr>
          <w:rFonts w:ascii="Arial" w:hAnsi="Arial" w:cs="Arial"/>
        </w:rPr>
      </w:pPr>
    </w:p>
    <w:p w:rsidR="00597E7F" w:rsidP="00160621" w:rsidRDefault="00597E7F" w14:paraId="23D06233" w14:textId="77777777">
      <w:pPr>
        <w:jc w:val="center"/>
        <w:rPr>
          <w:rFonts w:ascii="Arial" w:hAnsi="Arial" w:cs="Arial"/>
        </w:rPr>
      </w:pPr>
    </w:p>
    <w:p w:rsidR="00597E7F" w:rsidP="00160621" w:rsidRDefault="00597E7F" w14:paraId="0C54069D" w14:textId="77777777">
      <w:pPr>
        <w:jc w:val="center"/>
        <w:rPr>
          <w:rFonts w:ascii="Arial" w:hAnsi="Arial" w:cs="Arial"/>
        </w:rPr>
      </w:pPr>
    </w:p>
    <w:p w:rsidR="00597E7F" w:rsidP="00160621" w:rsidRDefault="00597E7F" w14:paraId="0E8E5E79" w14:textId="77777777">
      <w:pPr>
        <w:jc w:val="center"/>
        <w:rPr>
          <w:rFonts w:ascii="Arial" w:hAnsi="Arial" w:cs="Arial"/>
        </w:rPr>
      </w:pPr>
    </w:p>
    <w:p w:rsidR="00597E7F" w:rsidP="00160621" w:rsidRDefault="00597E7F" w14:paraId="06CB0C98" w14:textId="77777777">
      <w:pPr>
        <w:jc w:val="center"/>
        <w:rPr>
          <w:rFonts w:ascii="Arial" w:hAnsi="Arial" w:cs="Arial"/>
        </w:rPr>
      </w:pPr>
    </w:p>
    <w:p w:rsidR="00597E7F" w:rsidP="00160621" w:rsidRDefault="00597E7F" w14:paraId="36AEE562" w14:textId="77777777">
      <w:pPr>
        <w:jc w:val="center"/>
        <w:rPr>
          <w:rFonts w:ascii="Arial" w:hAnsi="Arial" w:cs="Arial"/>
        </w:rPr>
      </w:pPr>
    </w:p>
    <w:p w:rsidR="00597E7F" w:rsidP="00160621" w:rsidRDefault="00597E7F" w14:paraId="6EA2A2FC" w14:textId="77777777">
      <w:pPr>
        <w:jc w:val="center"/>
        <w:rPr>
          <w:rFonts w:ascii="Arial" w:hAnsi="Arial" w:cs="Arial"/>
        </w:rPr>
      </w:pPr>
    </w:p>
    <w:p w:rsidR="00597E7F" w:rsidP="00160621" w:rsidRDefault="00597E7F" w14:paraId="70539B33" w14:textId="77777777">
      <w:pPr>
        <w:jc w:val="center"/>
        <w:rPr>
          <w:rFonts w:ascii="Arial" w:hAnsi="Arial" w:cs="Arial"/>
        </w:rPr>
      </w:pPr>
    </w:p>
    <w:p w:rsidR="00597E7F" w:rsidP="00160621" w:rsidRDefault="00597E7F" w14:paraId="5275E4E5" w14:textId="77777777">
      <w:pPr>
        <w:jc w:val="center"/>
        <w:rPr>
          <w:rFonts w:ascii="Arial" w:hAnsi="Arial" w:cs="Arial"/>
        </w:rPr>
      </w:pPr>
    </w:p>
    <w:p w:rsidR="00597E7F" w:rsidP="00160621" w:rsidRDefault="00597E7F" w14:paraId="0FDAF84A" w14:textId="77777777">
      <w:pPr>
        <w:jc w:val="center"/>
        <w:rPr>
          <w:rFonts w:ascii="Arial" w:hAnsi="Arial" w:cs="Arial"/>
        </w:rPr>
      </w:pPr>
    </w:p>
    <w:p w:rsidRPr="00160621" w:rsidR="00597E7F" w:rsidP="00160621" w:rsidRDefault="00597E7F" w14:paraId="5E73F337" w14:textId="77777777">
      <w:pPr>
        <w:jc w:val="center"/>
        <w:rPr>
          <w:rFonts w:ascii="Arial" w:hAnsi="Arial" w:cs="Arial"/>
        </w:rPr>
      </w:pPr>
    </w:p>
    <w:p w:rsidRPr="00160621" w:rsidR="00160621" w:rsidP="00160621" w:rsidRDefault="00160621" w14:paraId="214677FF" w14:textId="77777777">
      <w:pPr>
        <w:jc w:val="center"/>
        <w:rPr>
          <w:rFonts w:ascii="Arial" w:hAnsi="Arial" w:cs="Arial"/>
        </w:rPr>
      </w:pPr>
      <w:r w:rsidRPr="00160621">
        <w:rPr>
          <w:rFonts w:ascii="Arial" w:hAnsi="Arial" w:cs="Arial"/>
        </w:rPr>
        <w:t>Submitted By:</w:t>
      </w:r>
    </w:p>
    <w:p w:rsidRPr="00160621" w:rsidR="00160621" w:rsidP="00160621" w:rsidRDefault="00372E1E" w14:paraId="27764482" w14:textId="5924AC5C">
      <w:pPr>
        <w:jc w:val="center"/>
        <w:rPr>
          <w:rFonts w:ascii="Arial" w:hAnsi="Arial" w:cs="Arial"/>
        </w:rPr>
      </w:pPr>
      <w:r w:rsidRPr="00372E1E">
        <w:rPr>
          <w:rFonts w:ascii="Arial" w:hAnsi="Arial" w:cs="Arial"/>
        </w:rPr>
        <w:t>Office of Community Services</w:t>
      </w:r>
    </w:p>
    <w:p w:rsidRPr="00160621" w:rsidR="00160621" w:rsidP="00160621" w:rsidRDefault="00160621" w14:paraId="7F2F0504"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9E069D5"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4148E220" w14:textId="77777777">
      <w:pPr>
        <w:jc w:val="center"/>
        <w:rPr>
          <w:rFonts w:ascii="Arial" w:hAnsi="Arial" w:cs="Arial"/>
        </w:rPr>
      </w:pPr>
    </w:p>
    <w:p w:rsidR="00160621" w:rsidP="00160621" w:rsidRDefault="00160621" w14:paraId="2417C5FC" w14:textId="77777777">
      <w:pPr>
        <w:jc w:val="center"/>
        <w:rPr>
          <w:rFonts w:ascii="Arial" w:hAnsi="Arial" w:cs="Arial"/>
        </w:rPr>
      </w:pPr>
    </w:p>
    <w:p w:rsidR="00160621" w:rsidP="00160621" w:rsidRDefault="00160621" w14:paraId="3F131EA7" w14:textId="77777777">
      <w:pPr>
        <w:jc w:val="center"/>
        <w:rPr>
          <w:rFonts w:ascii="Arial" w:hAnsi="Arial" w:cs="Arial"/>
        </w:rPr>
      </w:pPr>
    </w:p>
    <w:p w:rsidR="00160621" w:rsidP="00160621" w:rsidRDefault="00160621" w14:paraId="5B8BB8CB" w14:textId="77777777">
      <w:pPr>
        <w:jc w:val="center"/>
        <w:rPr>
          <w:rFonts w:ascii="Arial" w:hAnsi="Arial" w:cs="Arial"/>
        </w:rPr>
      </w:pPr>
    </w:p>
    <w:p w:rsidR="00160621" w:rsidP="00160621" w:rsidRDefault="00160621" w14:paraId="1A3D3291" w14:textId="77777777">
      <w:pPr>
        <w:jc w:val="center"/>
        <w:rPr>
          <w:rFonts w:ascii="Arial" w:hAnsi="Arial" w:cs="Arial"/>
        </w:rPr>
      </w:pPr>
    </w:p>
    <w:p w:rsidR="00160621" w:rsidP="00160621" w:rsidRDefault="00160621" w14:paraId="38C9B0F4" w14:textId="77777777">
      <w:pPr>
        <w:jc w:val="center"/>
        <w:rPr>
          <w:rFonts w:ascii="Arial" w:hAnsi="Arial" w:cs="Arial"/>
        </w:rPr>
      </w:pPr>
    </w:p>
    <w:p w:rsidRPr="002C4F75" w:rsidR="00160621" w:rsidP="00160621" w:rsidRDefault="00160621" w14:paraId="2C965709" w14:textId="77777777">
      <w:pPr>
        <w:jc w:val="center"/>
        <w:rPr>
          <w:rFonts w:ascii="Arial" w:hAnsi="Arial" w:cs="Arial"/>
        </w:rPr>
      </w:pPr>
    </w:p>
    <w:p w:rsidR="000230B0" w:rsidRDefault="000230B0" w14:paraId="001BBEE8"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1E95B84F" w14:textId="649D42E2">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212F5" w:rsidRDefault="00160621" w14:paraId="6974F74A" w14:textId="77777777">
      <w:pPr>
        <w:widowControl/>
        <w:rPr>
          <w:rFonts w:ascii="Times New Roman" w:hAnsi="Times New Roman"/>
          <w:snapToGrid/>
          <w:sz w:val="24"/>
          <w:szCs w:val="24"/>
        </w:rPr>
      </w:pPr>
    </w:p>
    <w:p w:rsidRPr="004821C4" w:rsidR="002C3C4F" w:rsidP="004821C4" w:rsidRDefault="002C3C4F" w14:paraId="473FC6FF" w14:textId="77777777">
      <w:pPr>
        <w:widowControl/>
        <w:numPr>
          <w:ilvl w:val="0"/>
          <w:numId w:val="3"/>
        </w:numPr>
        <w:tabs>
          <w:tab w:val="clear" w:pos="720"/>
          <w:tab w:val="num" w:pos="360"/>
        </w:tabs>
        <w:spacing w:after="100" w:afterAutospacing="1"/>
        <w:ind w:left="360"/>
        <w:rPr>
          <w:rFonts w:ascii="Times New Roman" w:hAnsi="Times New Roman"/>
          <w:b/>
          <w:snapToGrid/>
          <w:sz w:val="24"/>
          <w:szCs w:val="24"/>
        </w:rPr>
      </w:pPr>
      <w:r w:rsidRPr="004821C4">
        <w:rPr>
          <w:rFonts w:ascii="Times New Roman" w:hAnsi="Times New Roman"/>
          <w:b/>
          <w:snapToGrid/>
          <w:sz w:val="24"/>
          <w:szCs w:val="24"/>
        </w:rPr>
        <w:t xml:space="preserve">Circumstances Making the Collection of Information Necessary </w:t>
      </w:r>
    </w:p>
    <w:p w:rsidRPr="00961B1B" w:rsidR="00961B1B" w:rsidP="004821C4" w:rsidRDefault="00961B1B" w14:paraId="5F807F28" w14:textId="3092422A">
      <w:pPr>
        <w:widowControl/>
        <w:tabs>
          <w:tab w:val="num" w:pos="360"/>
        </w:tabs>
        <w:ind w:left="360"/>
        <w:rPr>
          <w:rFonts w:ascii="Times New Roman" w:hAnsi="Times New Roman"/>
          <w:snapToGrid/>
          <w:sz w:val="24"/>
          <w:szCs w:val="24"/>
        </w:rPr>
      </w:pPr>
      <w:bookmarkStart w:name="OLE_LINK1" w:id="0"/>
      <w:r w:rsidRPr="00961B1B">
        <w:rPr>
          <w:rFonts w:ascii="Times New Roman" w:hAnsi="Times New Roman"/>
          <w:snapToGrid/>
          <w:sz w:val="24"/>
          <w:szCs w:val="24"/>
        </w:rPr>
        <w:t>The Low Income Home Energy Assistance Program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block grant (42 </w:t>
      </w:r>
      <w:proofErr w:type="spellStart"/>
      <w:r w:rsidRPr="00961B1B">
        <w:rPr>
          <w:rFonts w:ascii="Times New Roman" w:hAnsi="Times New Roman"/>
          <w:snapToGrid/>
          <w:sz w:val="24"/>
          <w:szCs w:val="24"/>
        </w:rPr>
        <w:t>U.S.C</w:t>
      </w:r>
      <w:proofErr w:type="spellEnd"/>
      <w:r w:rsidRPr="00961B1B">
        <w:rPr>
          <w:rFonts w:ascii="Times New Roman" w:hAnsi="Times New Roman"/>
          <w:snapToGrid/>
          <w:sz w:val="24"/>
          <w:szCs w:val="24"/>
        </w:rPr>
        <w:t xml:space="preserve">.  8621) was established under Title XXVI of the Omnibus Budget Reconciliation Act of 1981, Public Law 97-35.  The Office of Community Services (OCS) within the U.S.  Department of Health and Human Services (HHS), Administration for Children and Families (ACF) administers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at the Federal level.</w:t>
      </w:r>
      <w:r>
        <w:rPr>
          <w:rFonts w:ascii="Times New Roman" w:hAnsi="Times New Roman"/>
          <w:snapToGrid/>
          <w:sz w:val="24"/>
          <w:szCs w:val="24"/>
        </w:rPr>
        <w:br/>
      </w:r>
      <w:r>
        <w:rPr>
          <w:rFonts w:ascii="Times New Roman" w:hAnsi="Times New Roman"/>
          <w:snapToGrid/>
          <w:sz w:val="24"/>
          <w:szCs w:val="24"/>
        </w:rPr>
        <w:br/>
      </w:r>
      <w:r w:rsidRPr="00961B1B">
        <w:rPr>
          <w:rFonts w:ascii="Times New Roman" w:hAnsi="Times New Roman"/>
          <w:snapToGrid/>
          <w:sz w:val="24"/>
          <w:szCs w:val="24"/>
        </w:rPr>
        <w:t xml:space="preserve">The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statute requires the program to collect data on recipient and eligible households, to report to Congress on program impacts annually, to develop performance goals, to ensure that benefits are targeted to those households with the greatest home energy need, and to assure that timely resources are available to households experiencing home energy crises.  These specific statutory requirements are as follows:</w:t>
      </w:r>
    </w:p>
    <w:p w:rsidRPr="00961B1B" w:rsidR="00961B1B" w:rsidP="00961B1B" w:rsidRDefault="00961B1B" w14:paraId="5F9B0E7A" w14:textId="77777777">
      <w:pPr>
        <w:widowControl/>
        <w:tabs>
          <w:tab w:val="num" w:pos="360"/>
        </w:tabs>
        <w:ind w:left="360" w:hanging="360"/>
        <w:rPr>
          <w:rFonts w:ascii="Times New Roman" w:hAnsi="Times New Roman"/>
          <w:snapToGrid/>
          <w:sz w:val="24"/>
          <w:szCs w:val="24"/>
        </w:rPr>
      </w:pPr>
    </w:p>
    <w:p w:rsidRPr="00961B1B" w:rsidR="00961B1B" w:rsidP="00961B1B" w:rsidRDefault="00961B1B" w14:paraId="5A873C34" w14:textId="5A76E0D9">
      <w:pPr>
        <w:pStyle w:val="ListParagraph"/>
        <w:widowControl/>
        <w:numPr>
          <w:ilvl w:val="0"/>
          <w:numId w:val="20"/>
        </w:numPr>
        <w:tabs>
          <w:tab w:val="num" w:pos="360"/>
        </w:tabs>
        <w:rPr>
          <w:rFonts w:ascii="Times New Roman" w:hAnsi="Times New Roman"/>
          <w:snapToGrid/>
          <w:sz w:val="24"/>
          <w:szCs w:val="24"/>
        </w:rPr>
      </w:pPr>
      <w:r w:rsidRPr="00D4227B">
        <w:rPr>
          <w:rFonts w:ascii="Times New Roman" w:hAnsi="Times New Roman"/>
          <w:snapToGrid/>
          <w:sz w:val="24"/>
          <w:szCs w:val="24"/>
          <w:u w:val="single"/>
        </w:rPr>
        <w:t>Section 2605(b)(5) of the Low Income Home Energy Assistance Act of 1981 (42 U.S. C. §8624(b)(5))</w:t>
      </w:r>
      <w:r w:rsidRPr="00D4227B">
        <w:rPr>
          <w:rFonts w:ascii="Times New Roman" w:hAnsi="Times New Roman"/>
          <w:snapToGrid/>
          <w:sz w:val="24"/>
          <w:szCs w:val="24"/>
        </w:rPr>
        <w:t xml:space="preserve">, which </w:t>
      </w:r>
      <w:r w:rsidRPr="00961B1B">
        <w:rPr>
          <w:rFonts w:ascii="Times New Roman" w:hAnsi="Times New Roman"/>
          <w:snapToGrid/>
          <w:sz w:val="24"/>
          <w:szCs w:val="24"/>
        </w:rPr>
        <w:t xml:space="preserve">requires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grantees to furnish the highest level of energy assistance to households that have the lowest incomes and the highest energy costs or needs in relation to income;</w:t>
      </w:r>
    </w:p>
    <w:p w:rsidRPr="00961B1B" w:rsidR="00961B1B" w:rsidP="00961B1B" w:rsidRDefault="00961B1B" w14:paraId="111D8796" w14:textId="1D9CCE8F">
      <w:pPr>
        <w:pStyle w:val="ListParagraph"/>
        <w:widowControl/>
        <w:numPr>
          <w:ilvl w:val="0"/>
          <w:numId w:val="20"/>
        </w:numPr>
        <w:tabs>
          <w:tab w:val="num" w:pos="360"/>
        </w:tabs>
        <w:rPr>
          <w:rFonts w:ascii="Times New Roman" w:hAnsi="Times New Roman"/>
          <w:snapToGrid/>
          <w:sz w:val="24"/>
          <w:szCs w:val="24"/>
        </w:rPr>
      </w:pPr>
      <w:r w:rsidRPr="00D4227B">
        <w:rPr>
          <w:rFonts w:ascii="Times New Roman" w:hAnsi="Times New Roman"/>
          <w:snapToGrid/>
          <w:sz w:val="24"/>
          <w:szCs w:val="24"/>
          <w:u w:val="single"/>
        </w:rPr>
        <w:t>Section 2604(c) of the Low Income Home Energy Assistance Act of 1981 (42 U.S. C. §8623(c))</w:t>
      </w:r>
      <w:r w:rsidRPr="00D4227B">
        <w:rPr>
          <w:rFonts w:ascii="Times New Roman" w:hAnsi="Times New Roman"/>
          <w:snapToGrid/>
          <w:sz w:val="24"/>
          <w:szCs w:val="24"/>
        </w:rPr>
        <w:t xml:space="preserve">, which </w:t>
      </w:r>
      <w:r w:rsidRPr="00961B1B">
        <w:rPr>
          <w:rFonts w:ascii="Times New Roman" w:hAnsi="Times New Roman"/>
          <w:snapToGrid/>
          <w:sz w:val="24"/>
          <w:szCs w:val="24"/>
        </w:rPr>
        <w:t xml:space="preserve">requires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grantees to (1) reserve a reasonable amount of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funds for energy crisis intervention; and (2) address such crises within 18 or 48 hours, depending upon the severity of the crisis;</w:t>
      </w:r>
    </w:p>
    <w:p w:rsidRPr="00961B1B" w:rsidR="00961B1B" w:rsidP="00961B1B" w:rsidRDefault="00961B1B" w14:paraId="34E74029" w14:textId="23AD02BE">
      <w:pPr>
        <w:pStyle w:val="ListParagraph"/>
        <w:widowControl/>
        <w:numPr>
          <w:ilvl w:val="0"/>
          <w:numId w:val="20"/>
        </w:numPr>
        <w:tabs>
          <w:tab w:val="num" w:pos="360"/>
        </w:tabs>
        <w:rPr>
          <w:rFonts w:ascii="Times New Roman" w:hAnsi="Times New Roman"/>
          <w:snapToGrid/>
          <w:sz w:val="24"/>
          <w:szCs w:val="24"/>
        </w:rPr>
      </w:pPr>
      <w:r w:rsidRPr="00D4227B">
        <w:rPr>
          <w:rFonts w:ascii="Times New Roman" w:hAnsi="Times New Roman"/>
          <w:snapToGrid/>
          <w:sz w:val="24"/>
          <w:szCs w:val="24"/>
          <w:u w:val="single"/>
        </w:rPr>
        <w:t xml:space="preserve">Section 2610(a) of the Low Income Home Energy Assistance Act of 1981 (42 </w:t>
      </w:r>
      <w:proofErr w:type="spellStart"/>
      <w:r w:rsidRPr="00D4227B">
        <w:rPr>
          <w:rFonts w:ascii="Times New Roman" w:hAnsi="Times New Roman"/>
          <w:snapToGrid/>
          <w:sz w:val="24"/>
          <w:szCs w:val="24"/>
          <w:u w:val="single"/>
        </w:rPr>
        <w:t>U.S.C</w:t>
      </w:r>
      <w:proofErr w:type="spellEnd"/>
      <w:r w:rsidRPr="00D4227B">
        <w:rPr>
          <w:rFonts w:ascii="Times New Roman" w:hAnsi="Times New Roman"/>
          <w:snapToGrid/>
          <w:sz w:val="24"/>
          <w:szCs w:val="24"/>
          <w:u w:val="single"/>
        </w:rPr>
        <w:t>.  §8629(a))</w:t>
      </w:r>
      <w:r w:rsidRPr="00D4227B">
        <w:rPr>
          <w:rFonts w:ascii="Times New Roman" w:hAnsi="Times New Roman"/>
          <w:snapToGrid/>
          <w:sz w:val="24"/>
          <w:szCs w:val="24"/>
        </w:rPr>
        <w:t xml:space="preserve">, which </w:t>
      </w:r>
      <w:r w:rsidRPr="00961B1B">
        <w:rPr>
          <w:rFonts w:ascii="Times New Roman" w:hAnsi="Times New Roman"/>
          <w:snapToGrid/>
          <w:sz w:val="24"/>
          <w:szCs w:val="24"/>
        </w:rPr>
        <w:t xml:space="preserve">requires HHS to collect specific information on the characteristics of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recipient and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eligible households within each State.  This includes collecting information that is reasonably necessary to carry out the provisions of the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statute if that information is not collected by any other agency of the Federal Government; and</w:t>
      </w:r>
    </w:p>
    <w:p w:rsidRPr="00961B1B" w:rsidR="00961B1B" w:rsidP="00961B1B" w:rsidRDefault="00961B1B" w14:paraId="2695475A" w14:textId="3F4EEEBE">
      <w:pPr>
        <w:pStyle w:val="ListParagraph"/>
        <w:widowControl/>
        <w:numPr>
          <w:ilvl w:val="0"/>
          <w:numId w:val="20"/>
        </w:numPr>
        <w:tabs>
          <w:tab w:val="num" w:pos="360"/>
        </w:tabs>
        <w:rPr>
          <w:rFonts w:ascii="Times New Roman" w:hAnsi="Times New Roman"/>
          <w:snapToGrid/>
          <w:sz w:val="24"/>
          <w:szCs w:val="24"/>
        </w:rPr>
      </w:pPr>
      <w:r w:rsidRPr="00D4227B">
        <w:rPr>
          <w:rFonts w:ascii="Times New Roman" w:hAnsi="Times New Roman"/>
          <w:snapToGrid/>
          <w:sz w:val="24"/>
          <w:szCs w:val="24"/>
          <w:u w:val="single"/>
        </w:rPr>
        <w:t>Section 2610(b</w:t>
      </w:r>
      <w:proofErr w:type="gramStart"/>
      <w:r w:rsidRPr="00D4227B">
        <w:rPr>
          <w:rFonts w:ascii="Times New Roman" w:hAnsi="Times New Roman"/>
          <w:snapToGrid/>
          <w:sz w:val="24"/>
          <w:szCs w:val="24"/>
          <w:u w:val="single"/>
        </w:rPr>
        <w:t>)(</w:t>
      </w:r>
      <w:proofErr w:type="gramEnd"/>
      <w:r w:rsidRPr="00D4227B">
        <w:rPr>
          <w:rFonts w:ascii="Times New Roman" w:hAnsi="Times New Roman"/>
          <w:snapToGrid/>
          <w:sz w:val="24"/>
          <w:szCs w:val="24"/>
          <w:u w:val="single"/>
        </w:rPr>
        <w:t xml:space="preserve">2) of the Low Income Home Energy Assistance Act of 1981 (42 </w:t>
      </w:r>
      <w:proofErr w:type="spellStart"/>
      <w:r w:rsidRPr="00D4227B">
        <w:rPr>
          <w:rFonts w:ascii="Times New Roman" w:hAnsi="Times New Roman"/>
          <w:snapToGrid/>
          <w:sz w:val="24"/>
          <w:szCs w:val="24"/>
          <w:u w:val="single"/>
        </w:rPr>
        <w:t>U.S.C</w:t>
      </w:r>
      <w:proofErr w:type="spellEnd"/>
      <w:r w:rsidRPr="00D4227B">
        <w:rPr>
          <w:rFonts w:ascii="Times New Roman" w:hAnsi="Times New Roman"/>
          <w:snapToGrid/>
          <w:sz w:val="24"/>
          <w:szCs w:val="24"/>
          <w:u w:val="single"/>
        </w:rPr>
        <w:t>.  §8629(b</w:t>
      </w:r>
      <w:proofErr w:type="gramStart"/>
      <w:r w:rsidRPr="00D4227B">
        <w:rPr>
          <w:rFonts w:ascii="Times New Roman" w:hAnsi="Times New Roman"/>
          <w:snapToGrid/>
          <w:sz w:val="24"/>
          <w:szCs w:val="24"/>
          <w:u w:val="single"/>
        </w:rPr>
        <w:t>)(</w:t>
      </w:r>
      <w:proofErr w:type="gramEnd"/>
      <w:r w:rsidRPr="00D4227B">
        <w:rPr>
          <w:rFonts w:ascii="Times New Roman" w:hAnsi="Times New Roman"/>
          <w:snapToGrid/>
          <w:sz w:val="24"/>
          <w:szCs w:val="24"/>
          <w:u w:val="single"/>
        </w:rPr>
        <w:t>2))</w:t>
      </w:r>
      <w:r w:rsidRPr="00D4227B">
        <w:rPr>
          <w:rFonts w:ascii="Times New Roman" w:hAnsi="Times New Roman"/>
          <w:snapToGrid/>
          <w:sz w:val="24"/>
          <w:szCs w:val="24"/>
        </w:rPr>
        <w:t xml:space="preserve">, which </w:t>
      </w:r>
      <w:r w:rsidRPr="00961B1B">
        <w:rPr>
          <w:rFonts w:ascii="Times New Roman" w:hAnsi="Times New Roman"/>
          <w:snapToGrid/>
          <w:sz w:val="24"/>
          <w:szCs w:val="24"/>
        </w:rPr>
        <w:t xml:space="preserve">requires HHS to annually report to Congress on the impact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is making on recipient  and income eligible households.</w:t>
      </w:r>
    </w:p>
    <w:p w:rsidRPr="00961B1B" w:rsidR="00961B1B" w:rsidP="00961B1B" w:rsidRDefault="00961B1B" w14:paraId="47DF1519" w14:textId="77777777">
      <w:pPr>
        <w:widowControl/>
        <w:tabs>
          <w:tab w:val="num" w:pos="360"/>
        </w:tabs>
        <w:ind w:left="360" w:hanging="360"/>
        <w:rPr>
          <w:rFonts w:ascii="Times New Roman" w:hAnsi="Times New Roman"/>
          <w:snapToGrid/>
          <w:sz w:val="24"/>
          <w:szCs w:val="24"/>
        </w:rPr>
      </w:pPr>
    </w:p>
    <w:p w:rsidR="00320BB9" w:rsidP="00320BB9" w:rsidRDefault="00320BB9" w14:paraId="2A4BF1CA" w14:textId="77777777">
      <w:pPr>
        <w:widowControl/>
        <w:ind w:left="360"/>
        <w:rPr>
          <w:rFonts w:ascii="Times New Roman" w:hAnsi="Times New Roman"/>
          <w:snapToGrid/>
          <w:sz w:val="24"/>
          <w:szCs w:val="24"/>
        </w:rPr>
      </w:pPr>
      <w:r w:rsidRPr="00F64B55">
        <w:rPr>
          <w:rFonts w:ascii="Times New Roman" w:hAnsi="Times New Roman"/>
          <w:snapToGrid/>
          <w:sz w:val="24"/>
          <w:szCs w:val="24"/>
        </w:rPr>
        <w:t xml:space="preserve">The collection of this data is authorized in section 2610(a) of the </w:t>
      </w:r>
      <w:proofErr w:type="spellStart"/>
      <w:r w:rsidRPr="00F64B55">
        <w:rPr>
          <w:rFonts w:ascii="Times New Roman" w:hAnsi="Times New Roman"/>
          <w:snapToGrid/>
          <w:sz w:val="24"/>
          <w:szCs w:val="24"/>
        </w:rPr>
        <w:t>LIHEAP</w:t>
      </w:r>
      <w:proofErr w:type="spellEnd"/>
      <w:r w:rsidRPr="00F64B55">
        <w:rPr>
          <w:rFonts w:ascii="Times New Roman" w:hAnsi="Times New Roman"/>
          <w:snapToGrid/>
          <w:sz w:val="24"/>
          <w:szCs w:val="24"/>
        </w:rPr>
        <w:t xml:space="preserve"> statute, which requires the Secretary, following consultation with the Secretary of Energy, to provide for the collection of specific information on the characteristics of </w:t>
      </w:r>
      <w:proofErr w:type="spellStart"/>
      <w:r w:rsidRPr="00F64B55">
        <w:rPr>
          <w:rFonts w:ascii="Times New Roman" w:hAnsi="Times New Roman"/>
          <w:snapToGrid/>
          <w:sz w:val="24"/>
          <w:szCs w:val="24"/>
        </w:rPr>
        <w:t>LIHEAP</w:t>
      </w:r>
      <w:proofErr w:type="spellEnd"/>
      <w:r w:rsidRPr="00F64B55">
        <w:rPr>
          <w:rFonts w:ascii="Times New Roman" w:hAnsi="Times New Roman"/>
          <w:snapToGrid/>
          <w:sz w:val="24"/>
          <w:szCs w:val="24"/>
        </w:rPr>
        <w:t xml:space="preserve"> recipient and </w:t>
      </w:r>
      <w:proofErr w:type="spellStart"/>
      <w:r w:rsidRPr="00F64B55">
        <w:rPr>
          <w:rFonts w:ascii="Times New Roman" w:hAnsi="Times New Roman"/>
          <w:snapToGrid/>
          <w:sz w:val="24"/>
          <w:szCs w:val="24"/>
        </w:rPr>
        <w:t>LIHEAP</w:t>
      </w:r>
      <w:proofErr w:type="spellEnd"/>
      <w:r w:rsidRPr="00F64B55">
        <w:rPr>
          <w:rFonts w:ascii="Times New Roman" w:hAnsi="Times New Roman"/>
          <w:snapToGrid/>
          <w:sz w:val="24"/>
          <w:szCs w:val="24"/>
        </w:rPr>
        <w:t xml:space="preserve"> eligible households within each State.  This includes collecting information that is reasonably necessary to carry out the provisions of the </w:t>
      </w:r>
      <w:proofErr w:type="spellStart"/>
      <w:r w:rsidRPr="00F64B55">
        <w:rPr>
          <w:rFonts w:ascii="Times New Roman" w:hAnsi="Times New Roman"/>
          <w:snapToGrid/>
          <w:sz w:val="24"/>
          <w:szCs w:val="24"/>
        </w:rPr>
        <w:t>LIHEAP</w:t>
      </w:r>
      <w:proofErr w:type="spellEnd"/>
      <w:r w:rsidRPr="00F64B55">
        <w:rPr>
          <w:rFonts w:ascii="Times New Roman" w:hAnsi="Times New Roman"/>
          <w:snapToGrid/>
          <w:sz w:val="24"/>
          <w:szCs w:val="24"/>
        </w:rPr>
        <w:t xml:space="preserve"> statute if that information is not collected by any other agency of the Federal Government.</w:t>
      </w:r>
    </w:p>
    <w:p w:rsidR="00320BB9" w:rsidP="004821C4" w:rsidRDefault="00320BB9" w14:paraId="5E581DA5" w14:textId="77777777">
      <w:pPr>
        <w:widowControl/>
        <w:tabs>
          <w:tab w:val="num" w:pos="360"/>
        </w:tabs>
        <w:ind w:left="360"/>
        <w:rPr>
          <w:rFonts w:ascii="Times New Roman" w:hAnsi="Times New Roman"/>
          <w:snapToGrid/>
          <w:sz w:val="24"/>
          <w:szCs w:val="24"/>
        </w:rPr>
      </w:pPr>
    </w:p>
    <w:p w:rsidRPr="00961B1B" w:rsidR="00961B1B" w:rsidP="004821C4" w:rsidRDefault="00961B1B" w14:paraId="54392BE9" w14:textId="2B906AA6">
      <w:pPr>
        <w:widowControl/>
        <w:tabs>
          <w:tab w:val="num" w:pos="360"/>
        </w:tabs>
        <w:ind w:left="360"/>
        <w:rPr>
          <w:rFonts w:ascii="Times New Roman" w:hAnsi="Times New Roman"/>
          <w:snapToGrid/>
          <w:sz w:val="24"/>
          <w:szCs w:val="24"/>
        </w:rPr>
      </w:pPr>
      <w:r w:rsidRPr="00961B1B">
        <w:rPr>
          <w:rFonts w:ascii="Times New Roman" w:hAnsi="Times New Roman"/>
          <w:snapToGrid/>
          <w:sz w:val="24"/>
          <w:szCs w:val="24"/>
        </w:rPr>
        <w:t xml:space="preserve">OCS uses of a number of existing data sources to develop information on households that are income-eligible for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These include the following:</w:t>
      </w:r>
    </w:p>
    <w:p w:rsidRPr="00961B1B" w:rsidR="00961B1B" w:rsidP="00961B1B" w:rsidRDefault="00961B1B" w14:paraId="30565C97" w14:textId="77777777">
      <w:pPr>
        <w:widowControl/>
        <w:tabs>
          <w:tab w:val="num" w:pos="360"/>
        </w:tabs>
        <w:ind w:left="360" w:hanging="360"/>
        <w:rPr>
          <w:rFonts w:ascii="Times New Roman" w:hAnsi="Times New Roman"/>
          <w:snapToGrid/>
          <w:sz w:val="24"/>
          <w:szCs w:val="24"/>
        </w:rPr>
      </w:pPr>
    </w:p>
    <w:p w:rsidRPr="00961B1B" w:rsidR="00961B1B" w:rsidP="00961B1B" w:rsidRDefault="00961B1B" w14:paraId="7C2AE99D" w14:textId="5229BFF2">
      <w:pPr>
        <w:pStyle w:val="ListParagraph"/>
        <w:widowControl/>
        <w:numPr>
          <w:ilvl w:val="0"/>
          <w:numId w:val="20"/>
        </w:numPr>
        <w:tabs>
          <w:tab w:val="num" w:pos="360"/>
        </w:tabs>
        <w:rPr>
          <w:rFonts w:ascii="Times New Roman" w:hAnsi="Times New Roman"/>
          <w:snapToGrid/>
          <w:sz w:val="24"/>
          <w:szCs w:val="24"/>
        </w:rPr>
      </w:pPr>
      <w:r w:rsidRPr="00961B1B">
        <w:rPr>
          <w:rFonts w:ascii="Times New Roman" w:hAnsi="Times New Roman"/>
          <w:snapToGrid/>
          <w:sz w:val="24"/>
          <w:szCs w:val="24"/>
        </w:rPr>
        <w:lastRenderedPageBreak/>
        <w:t>The Department of Energy’s Residential Energy Consumption Survey (RECS) (OMB Control Number 1905-0092), which provides the most accurate information available about the demographic, economic, and energy-usage characteristics of U.S. households; and</w:t>
      </w:r>
    </w:p>
    <w:p w:rsidRPr="00961B1B" w:rsidR="00961B1B" w:rsidP="00961B1B" w:rsidRDefault="00961B1B" w14:paraId="1551274C" w14:textId="26B58759">
      <w:pPr>
        <w:pStyle w:val="ListParagraph"/>
        <w:widowControl/>
        <w:numPr>
          <w:ilvl w:val="0"/>
          <w:numId w:val="20"/>
        </w:numPr>
        <w:tabs>
          <w:tab w:val="num" w:pos="360"/>
        </w:tabs>
        <w:rPr>
          <w:rFonts w:ascii="Times New Roman" w:hAnsi="Times New Roman"/>
          <w:snapToGrid/>
          <w:sz w:val="24"/>
          <w:szCs w:val="24"/>
        </w:rPr>
      </w:pPr>
      <w:r w:rsidRPr="00961B1B">
        <w:rPr>
          <w:rFonts w:ascii="Times New Roman" w:hAnsi="Times New Roman"/>
          <w:snapToGrid/>
          <w:sz w:val="24"/>
          <w:szCs w:val="24"/>
        </w:rPr>
        <w:t xml:space="preserve">State administrative data, which provide the most accurate information about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recipient households and which flow into the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Household Report (OMB Control No. 0970-0060).</w:t>
      </w:r>
    </w:p>
    <w:p w:rsidRPr="00961B1B" w:rsidR="00961B1B" w:rsidP="00961B1B" w:rsidRDefault="00961B1B" w14:paraId="655D3A71" w14:textId="77777777">
      <w:pPr>
        <w:widowControl/>
        <w:tabs>
          <w:tab w:val="num" w:pos="360"/>
        </w:tabs>
        <w:ind w:left="360" w:hanging="360"/>
        <w:rPr>
          <w:rFonts w:ascii="Times New Roman" w:hAnsi="Times New Roman"/>
          <w:snapToGrid/>
          <w:sz w:val="24"/>
          <w:szCs w:val="24"/>
        </w:rPr>
      </w:pPr>
    </w:p>
    <w:p w:rsidR="00221DD9" w:rsidP="004821C4" w:rsidRDefault="00961B1B" w14:paraId="3FC2D90C" w14:textId="77777777">
      <w:pPr>
        <w:widowControl/>
        <w:tabs>
          <w:tab w:val="num" w:pos="360"/>
        </w:tabs>
        <w:ind w:left="360"/>
      </w:pPr>
      <w:r w:rsidRPr="00961B1B">
        <w:rPr>
          <w:rFonts w:ascii="Times New Roman" w:hAnsi="Times New Roman"/>
          <w:snapToGrid/>
          <w:sz w:val="24"/>
          <w:szCs w:val="24"/>
        </w:rPr>
        <w:t xml:space="preserve">Neither the RECS nor the State administrative data alone provides information about the demographic, economic, and energy-usage characteristics of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recipient households.  (RECS’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w:t>
      </w:r>
      <w:proofErr w:type="spellStart"/>
      <w:r w:rsidRPr="00961B1B">
        <w:rPr>
          <w:rFonts w:ascii="Times New Roman" w:hAnsi="Times New Roman"/>
          <w:snapToGrid/>
          <w:sz w:val="24"/>
          <w:szCs w:val="24"/>
        </w:rPr>
        <w:t>recipiency</w:t>
      </w:r>
      <w:proofErr w:type="spellEnd"/>
      <w:r w:rsidRPr="00961B1B">
        <w:rPr>
          <w:rFonts w:ascii="Times New Roman" w:hAnsi="Times New Roman"/>
          <w:snapToGrid/>
          <w:sz w:val="24"/>
          <w:szCs w:val="24"/>
        </w:rPr>
        <w:t xml:space="preserve"> information is too unreliable for this purpose.)  The only data that provides such information is that from the RECS respondents which the State administrative data demonstrates received </w:t>
      </w:r>
      <w:proofErr w:type="spellStart"/>
      <w:r w:rsidRPr="00961B1B">
        <w:rPr>
          <w:rFonts w:ascii="Times New Roman" w:hAnsi="Times New Roman"/>
          <w:snapToGrid/>
          <w:sz w:val="24"/>
          <w:szCs w:val="24"/>
        </w:rPr>
        <w:t>LIHEAP</w:t>
      </w:r>
      <w:proofErr w:type="spellEnd"/>
      <w:r w:rsidRPr="00961B1B">
        <w:rPr>
          <w:rFonts w:ascii="Times New Roman" w:hAnsi="Times New Roman"/>
          <w:snapToGrid/>
          <w:sz w:val="24"/>
          <w:szCs w:val="24"/>
        </w:rPr>
        <w:t xml:space="preserve"> benefits.</w:t>
      </w:r>
      <w:r w:rsidRPr="00221DD9" w:rsidR="00221DD9">
        <w:t xml:space="preserve"> </w:t>
      </w:r>
    </w:p>
    <w:p w:rsidR="00221DD9" w:rsidP="004821C4" w:rsidRDefault="00221DD9" w14:paraId="6A62060C" w14:textId="77777777">
      <w:pPr>
        <w:widowControl/>
        <w:tabs>
          <w:tab w:val="num" w:pos="360"/>
        </w:tabs>
        <w:ind w:left="360"/>
      </w:pPr>
    </w:p>
    <w:p w:rsidRPr="00961B1B" w:rsidR="00961B1B" w:rsidP="004821C4" w:rsidRDefault="00221DD9" w14:paraId="4497E4DB" w14:textId="73DA4CF2">
      <w:pPr>
        <w:widowControl/>
        <w:tabs>
          <w:tab w:val="num" w:pos="360"/>
        </w:tabs>
        <w:ind w:left="360"/>
        <w:rPr>
          <w:rFonts w:ascii="Times New Roman" w:hAnsi="Times New Roman"/>
          <w:snapToGrid/>
          <w:sz w:val="24"/>
          <w:szCs w:val="24"/>
        </w:rPr>
      </w:pPr>
      <w:r w:rsidRPr="00221DD9">
        <w:rPr>
          <w:rFonts w:ascii="Times New Roman" w:hAnsi="Times New Roman"/>
          <w:snapToGrid/>
          <w:sz w:val="24"/>
          <w:szCs w:val="24"/>
        </w:rPr>
        <w:t xml:space="preserve">The purpose of this Supporting Statement is to request the </w:t>
      </w:r>
      <w:r>
        <w:rPr>
          <w:rFonts w:ascii="Times New Roman" w:hAnsi="Times New Roman"/>
          <w:snapToGrid/>
          <w:sz w:val="24"/>
          <w:szCs w:val="24"/>
        </w:rPr>
        <w:t xml:space="preserve">reinstatement without change </w:t>
      </w:r>
      <w:r w:rsidRPr="00221DD9">
        <w:rPr>
          <w:rFonts w:ascii="Times New Roman" w:hAnsi="Times New Roman"/>
          <w:snapToGrid/>
          <w:sz w:val="24"/>
          <w:szCs w:val="24"/>
        </w:rPr>
        <w:t xml:space="preserve">of the </w:t>
      </w:r>
      <w:proofErr w:type="spellStart"/>
      <w:r w:rsidRPr="00221DD9">
        <w:rPr>
          <w:rFonts w:ascii="Times New Roman" w:hAnsi="Times New Roman"/>
          <w:snapToGrid/>
          <w:sz w:val="24"/>
          <w:szCs w:val="24"/>
        </w:rPr>
        <w:t>LIHEAP</w:t>
      </w:r>
      <w:proofErr w:type="spellEnd"/>
      <w:r w:rsidRPr="00221DD9">
        <w:rPr>
          <w:rFonts w:ascii="Times New Roman" w:hAnsi="Times New Roman"/>
          <w:snapToGrid/>
          <w:sz w:val="24"/>
          <w:szCs w:val="24"/>
        </w:rPr>
        <w:t xml:space="preserve"> RECS Data Match to allow OCS to continue to collect administrative household data for use in identifying </w:t>
      </w:r>
      <w:proofErr w:type="spellStart"/>
      <w:r w:rsidRPr="00221DD9">
        <w:rPr>
          <w:rFonts w:ascii="Times New Roman" w:hAnsi="Times New Roman"/>
          <w:snapToGrid/>
          <w:sz w:val="24"/>
          <w:szCs w:val="24"/>
        </w:rPr>
        <w:t>LIHEAP</w:t>
      </w:r>
      <w:proofErr w:type="spellEnd"/>
      <w:r w:rsidRPr="00221DD9">
        <w:rPr>
          <w:rFonts w:ascii="Times New Roman" w:hAnsi="Times New Roman"/>
          <w:snapToGrid/>
          <w:sz w:val="24"/>
          <w:szCs w:val="24"/>
        </w:rPr>
        <w:t xml:space="preserve"> recipients that respond to the RECS, which the Department of Energy is planning to conduct the next iteration of in 2020.</w:t>
      </w:r>
    </w:p>
    <w:bookmarkEnd w:id="0"/>
    <w:p w:rsidR="00790D2C" w:rsidP="0051278C" w:rsidRDefault="00790D2C" w14:paraId="25D5571C" w14:textId="011FE689">
      <w:pPr>
        <w:widowControl/>
        <w:tabs>
          <w:tab w:val="num" w:pos="360"/>
        </w:tabs>
        <w:ind w:left="360" w:hanging="360"/>
        <w:rPr>
          <w:rFonts w:ascii="Times New Roman" w:hAnsi="Times New Roman"/>
          <w:snapToGrid/>
          <w:sz w:val="24"/>
          <w:szCs w:val="24"/>
        </w:rPr>
      </w:pPr>
    </w:p>
    <w:p w:rsidRPr="004F7B95" w:rsidR="00221DD9" w:rsidP="0051278C" w:rsidRDefault="00221DD9" w14:paraId="3FDBC281" w14:textId="77777777">
      <w:pPr>
        <w:widowControl/>
        <w:tabs>
          <w:tab w:val="num" w:pos="360"/>
        </w:tabs>
        <w:ind w:left="360" w:hanging="360"/>
        <w:rPr>
          <w:rFonts w:ascii="Times New Roman" w:hAnsi="Times New Roman"/>
          <w:snapToGrid/>
          <w:sz w:val="24"/>
          <w:szCs w:val="24"/>
        </w:rPr>
      </w:pPr>
    </w:p>
    <w:p w:rsidRPr="0079001A" w:rsidR="002C3C4F" w:rsidP="0079001A" w:rsidRDefault="00790D2C" w14:paraId="047BA5BE" w14:textId="77777777">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79001A">
        <w:rPr>
          <w:rFonts w:ascii="Times New Roman" w:hAnsi="Times New Roman"/>
          <w:b/>
          <w:snapToGrid/>
          <w:sz w:val="24"/>
          <w:szCs w:val="24"/>
        </w:rPr>
        <w:t>P</w:t>
      </w:r>
      <w:r w:rsidRPr="0079001A" w:rsidR="002C3C4F">
        <w:rPr>
          <w:rFonts w:ascii="Times New Roman" w:hAnsi="Times New Roman"/>
          <w:b/>
          <w:snapToGrid/>
          <w:sz w:val="24"/>
          <w:szCs w:val="24"/>
        </w:rPr>
        <w:t xml:space="preserve">urpose and Use of the Information Collection </w:t>
      </w:r>
    </w:p>
    <w:p w:rsidRPr="00AE4C91" w:rsidR="00233D71" w:rsidP="004821C4" w:rsidRDefault="00233D71" w14:paraId="4C492F94" w14:textId="77777777">
      <w:pPr>
        <w:widowControl/>
        <w:tabs>
          <w:tab w:val="num" w:pos="360"/>
        </w:tabs>
        <w:ind w:left="360"/>
        <w:rPr>
          <w:rFonts w:ascii="Times New Roman" w:hAnsi="Times New Roman"/>
          <w:snapToGrid/>
          <w:sz w:val="24"/>
          <w:szCs w:val="24"/>
        </w:rPr>
      </w:pPr>
      <w:bookmarkStart w:name="OLE_LINK3" w:id="1"/>
      <w:r w:rsidRPr="00AE4C91">
        <w:rPr>
          <w:rFonts w:ascii="Times New Roman" w:hAnsi="Times New Roman"/>
          <w:snapToGrid/>
          <w:sz w:val="24"/>
          <w:szCs w:val="24"/>
        </w:rPr>
        <w:t xml:space="preserve">OCS seeks to collect State administrative data to identify the households in the RECS that are known to have received </w:t>
      </w:r>
      <w:proofErr w:type="spellStart"/>
      <w:r w:rsidRPr="00AE4C91">
        <w:rPr>
          <w:rFonts w:ascii="Times New Roman" w:hAnsi="Times New Roman"/>
          <w:snapToGrid/>
          <w:sz w:val="24"/>
          <w:szCs w:val="24"/>
        </w:rPr>
        <w:t>LIHEAP</w:t>
      </w:r>
      <w:proofErr w:type="spellEnd"/>
      <w:r w:rsidRPr="00AE4C91">
        <w:rPr>
          <w:rFonts w:ascii="Times New Roman" w:hAnsi="Times New Roman"/>
          <w:snapToGrid/>
          <w:sz w:val="24"/>
          <w:szCs w:val="24"/>
        </w:rPr>
        <w:t xml:space="preserve"> benefits.  It plans to use the data so collected to generate a dataset that shows, of </w:t>
      </w:r>
      <w:proofErr w:type="spellStart"/>
      <w:r w:rsidRPr="00AE4C91">
        <w:rPr>
          <w:rFonts w:ascii="Times New Roman" w:hAnsi="Times New Roman"/>
          <w:snapToGrid/>
          <w:sz w:val="24"/>
          <w:szCs w:val="24"/>
        </w:rPr>
        <w:t>LIHEAP</w:t>
      </w:r>
      <w:proofErr w:type="spellEnd"/>
      <w:r w:rsidRPr="00AE4C91">
        <w:rPr>
          <w:rFonts w:ascii="Times New Roman" w:hAnsi="Times New Roman"/>
          <w:snapToGrid/>
          <w:sz w:val="24"/>
          <w:szCs w:val="24"/>
        </w:rPr>
        <w:t xml:space="preserve"> recipient households: (1) the demographic, economic, and energy-usage characteristics presented by the RECS; and (2) information, from the State administrative data, on program participation, program benefits, poverty status, vulnerability status, and (at the States’ options) ownership/</w:t>
      </w:r>
      <w:proofErr w:type="spellStart"/>
      <w:r w:rsidRPr="00AE4C91">
        <w:rPr>
          <w:rFonts w:ascii="Times New Roman" w:hAnsi="Times New Roman"/>
          <w:snapToGrid/>
          <w:sz w:val="24"/>
          <w:szCs w:val="24"/>
        </w:rPr>
        <w:t>rentership</w:t>
      </w:r>
      <w:proofErr w:type="spellEnd"/>
      <w:r w:rsidRPr="00AE4C91">
        <w:rPr>
          <w:rFonts w:ascii="Times New Roman" w:hAnsi="Times New Roman"/>
          <w:snapToGrid/>
          <w:sz w:val="24"/>
          <w:szCs w:val="24"/>
        </w:rPr>
        <w:t>, type of fuel use, and heat-in-rent.</w:t>
      </w:r>
    </w:p>
    <w:p w:rsidRPr="00AE4C91" w:rsidR="00233D71" w:rsidP="004821C4" w:rsidRDefault="00233D71" w14:paraId="2EB31BBB" w14:textId="77777777">
      <w:pPr>
        <w:widowControl/>
        <w:tabs>
          <w:tab w:val="num" w:pos="360"/>
        </w:tabs>
        <w:ind w:left="360"/>
        <w:rPr>
          <w:rFonts w:ascii="Times New Roman" w:hAnsi="Times New Roman"/>
          <w:snapToGrid/>
          <w:sz w:val="24"/>
          <w:szCs w:val="24"/>
        </w:rPr>
      </w:pPr>
    </w:p>
    <w:p w:rsidRPr="00AE4C91" w:rsidR="00233D71" w:rsidP="004821C4" w:rsidRDefault="00233D71" w14:paraId="283B9C0B" w14:textId="7F35DA61">
      <w:pPr>
        <w:widowControl/>
        <w:tabs>
          <w:tab w:val="num" w:pos="360"/>
        </w:tabs>
        <w:ind w:left="360"/>
        <w:rPr>
          <w:rFonts w:ascii="Times New Roman" w:hAnsi="Times New Roman"/>
          <w:snapToGrid/>
          <w:sz w:val="24"/>
          <w:szCs w:val="24"/>
        </w:rPr>
      </w:pPr>
      <w:r w:rsidRPr="00AE4C91">
        <w:rPr>
          <w:rFonts w:ascii="Times New Roman" w:hAnsi="Times New Roman"/>
          <w:snapToGrid/>
          <w:sz w:val="24"/>
          <w:szCs w:val="24"/>
        </w:rPr>
        <w:t xml:space="preserve">OCS plans to use the resultant dataset in various analyses that characterize </w:t>
      </w:r>
      <w:proofErr w:type="spellStart"/>
      <w:r w:rsidRPr="00AE4C91">
        <w:rPr>
          <w:rFonts w:ascii="Times New Roman" w:hAnsi="Times New Roman"/>
          <w:snapToGrid/>
          <w:sz w:val="24"/>
          <w:szCs w:val="24"/>
        </w:rPr>
        <w:t>LIHEAP</w:t>
      </w:r>
      <w:proofErr w:type="spellEnd"/>
      <w:r w:rsidRPr="00AE4C91">
        <w:rPr>
          <w:rFonts w:ascii="Times New Roman" w:hAnsi="Times New Roman"/>
          <w:snapToGrid/>
          <w:sz w:val="24"/>
          <w:szCs w:val="24"/>
        </w:rPr>
        <w:t xml:space="preserve"> recipient households and that compare recipients to income-eligible non-recipients.  Such datasets will allow OCS to study the impact of </w:t>
      </w:r>
      <w:proofErr w:type="spellStart"/>
      <w:r w:rsidRPr="00AE4C91">
        <w:rPr>
          <w:rFonts w:ascii="Times New Roman" w:hAnsi="Times New Roman"/>
          <w:snapToGrid/>
          <w:sz w:val="24"/>
          <w:szCs w:val="24"/>
        </w:rPr>
        <w:t>LIHEAP</w:t>
      </w:r>
      <w:proofErr w:type="spellEnd"/>
      <w:r w:rsidRPr="00AE4C91">
        <w:rPr>
          <w:rFonts w:ascii="Times New Roman" w:hAnsi="Times New Roman"/>
          <w:snapToGrid/>
          <w:sz w:val="24"/>
          <w:szCs w:val="24"/>
        </w:rPr>
        <w:t xml:space="preserve"> on income eligible and recipient households in accordance with section 2610(b</w:t>
      </w:r>
      <w:proofErr w:type="gramStart"/>
      <w:r w:rsidRPr="00AE4C91">
        <w:rPr>
          <w:rFonts w:ascii="Times New Roman" w:hAnsi="Times New Roman"/>
          <w:snapToGrid/>
          <w:sz w:val="24"/>
          <w:szCs w:val="24"/>
        </w:rPr>
        <w:t>)(</w:t>
      </w:r>
      <w:proofErr w:type="gramEnd"/>
      <w:r w:rsidRPr="00AE4C91">
        <w:rPr>
          <w:rFonts w:ascii="Times New Roman" w:hAnsi="Times New Roman"/>
          <w:snapToGrid/>
          <w:sz w:val="24"/>
          <w:szCs w:val="24"/>
        </w:rPr>
        <w:t xml:space="preserve">2) of the </w:t>
      </w:r>
      <w:proofErr w:type="spellStart"/>
      <w:r w:rsidRPr="00AE4C91">
        <w:rPr>
          <w:rFonts w:ascii="Times New Roman" w:hAnsi="Times New Roman"/>
          <w:snapToGrid/>
          <w:sz w:val="24"/>
          <w:szCs w:val="24"/>
        </w:rPr>
        <w:t>LIHEAP</w:t>
      </w:r>
      <w:proofErr w:type="spellEnd"/>
      <w:r w:rsidR="007B1281">
        <w:rPr>
          <w:rFonts w:ascii="Times New Roman" w:hAnsi="Times New Roman"/>
          <w:snapToGrid/>
          <w:sz w:val="24"/>
          <w:szCs w:val="24"/>
        </w:rPr>
        <w:t xml:space="preserve"> Act</w:t>
      </w:r>
      <w:r w:rsidRPr="00AE4C91">
        <w:rPr>
          <w:rFonts w:ascii="Times New Roman" w:hAnsi="Times New Roman"/>
          <w:snapToGrid/>
          <w:sz w:val="24"/>
          <w:szCs w:val="24"/>
        </w:rPr>
        <w:t>.  Such studies will enter into the following publications and analyses:</w:t>
      </w:r>
      <w:r>
        <w:rPr>
          <w:rFonts w:ascii="Times New Roman" w:hAnsi="Times New Roman"/>
          <w:snapToGrid/>
          <w:sz w:val="24"/>
          <w:szCs w:val="24"/>
        </w:rPr>
        <w:br/>
      </w:r>
    </w:p>
    <w:p w:rsidRPr="00AE4C91" w:rsidR="00233D71" w:rsidP="00233D71" w:rsidRDefault="00233D71" w14:paraId="11DE13F0" w14:textId="77777777">
      <w:pPr>
        <w:pStyle w:val="ListParagraph"/>
        <w:widowControl/>
        <w:numPr>
          <w:ilvl w:val="0"/>
          <w:numId w:val="21"/>
        </w:numPr>
        <w:rPr>
          <w:rFonts w:ascii="Times New Roman" w:hAnsi="Times New Roman"/>
          <w:snapToGrid/>
          <w:sz w:val="24"/>
          <w:szCs w:val="24"/>
        </w:rPr>
      </w:pPr>
      <w:r w:rsidRPr="00AE4C91">
        <w:rPr>
          <w:rFonts w:ascii="Times New Roman" w:hAnsi="Times New Roman"/>
          <w:snapToGrid/>
          <w:sz w:val="24"/>
          <w:szCs w:val="24"/>
        </w:rPr>
        <w:t xml:space="preserve">The Department's annual </w:t>
      </w:r>
      <w:proofErr w:type="spellStart"/>
      <w:r w:rsidRPr="00DC216F">
        <w:rPr>
          <w:rFonts w:ascii="Times New Roman" w:hAnsi="Times New Roman"/>
          <w:i/>
          <w:snapToGrid/>
          <w:sz w:val="24"/>
          <w:szCs w:val="24"/>
        </w:rPr>
        <w:t>LIHEAP</w:t>
      </w:r>
      <w:proofErr w:type="spellEnd"/>
      <w:r w:rsidRPr="00DC216F">
        <w:rPr>
          <w:rFonts w:ascii="Times New Roman" w:hAnsi="Times New Roman"/>
          <w:i/>
          <w:snapToGrid/>
          <w:sz w:val="24"/>
          <w:szCs w:val="24"/>
        </w:rPr>
        <w:t xml:space="preserve"> Report to Congress</w:t>
      </w:r>
      <w:r w:rsidRPr="00AE4C91">
        <w:rPr>
          <w:rFonts w:ascii="Times New Roman" w:hAnsi="Times New Roman"/>
          <w:snapToGrid/>
          <w:sz w:val="24"/>
          <w:szCs w:val="24"/>
        </w:rPr>
        <w:t xml:space="preserve"> and </w:t>
      </w:r>
      <w:proofErr w:type="spellStart"/>
      <w:r w:rsidRPr="00DC216F">
        <w:rPr>
          <w:rFonts w:ascii="Times New Roman" w:hAnsi="Times New Roman"/>
          <w:i/>
          <w:snapToGrid/>
          <w:sz w:val="24"/>
          <w:szCs w:val="24"/>
        </w:rPr>
        <w:t>LIHEAP</w:t>
      </w:r>
      <w:proofErr w:type="spellEnd"/>
      <w:r w:rsidRPr="00DC216F">
        <w:rPr>
          <w:rFonts w:ascii="Times New Roman" w:hAnsi="Times New Roman"/>
          <w:i/>
          <w:snapToGrid/>
          <w:sz w:val="24"/>
          <w:szCs w:val="24"/>
        </w:rPr>
        <w:t xml:space="preserve"> Home Energy Notebook</w:t>
      </w:r>
      <w:r w:rsidRPr="00AE4C91">
        <w:rPr>
          <w:rFonts w:ascii="Times New Roman" w:hAnsi="Times New Roman"/>
          <w:snapToGrid/>
          <w:sz w:val="24"/>
          <w:szCs w:val="24"/>
        </w:rPr>
        <w:t>; and</w:t>
      </w:r>
    </w:p>
    <w:p w:rsidR="00233D71" w:rsidP="00233D71" w:rsidRDefault="00233D71" w14:paraId="0FAF8BAC" w14:textId="2F397A9D">
      <w:pPr>
        <w:pStyle w:val="ListParagraph"/>
        <w:widowControl/>
        <w:numPr>
          <w:ilvl w:val="0"/>
          <w:numId w:val="21"/>
        </w:numPr>
        <w:rPr>
          <w:rFonts w:ascii="Times New Roman" w:hAnsi="Times New Roman"/>
          <w:snapToGrid/>
          <w:sz w:val="24"/>
          <w:szCs w:val="24"/>
        </w:rPr>
      </w:pPr>
      <w:r w:rsidRPr="00AE4C91">
        <w:rPr>
          <w:rFonts w:ascii="Times New Roman" w:hAnsi="Times New Roman"/>
          <w:snapToGrid/>
          <w:sz w:val="24"/>
          <w:szCs w:val="24"/>
        </w:rPr>
        <w:t xml:space="preserve">Estimates about fuel usage, expenditures, energy burden, and </w:t>
      </w:r>
      <w:proofErr w:type="spellStart"/>
      <w:r w:rsidRPr="00AE4C91">
        <w:rPr>
          <w:rFonts w:ascii="Times New Roman" w:hAnsi="Times New Roman"/>
          <w:snapToGrid/>
          <w:sz w:val="24"/>
          <w:szCs w:val="24"/>
        </w:rPr>
        <w:t>LIHEAP</w:t>
      </w:r>
      <w:proofErr w:type="spellEnd"/>
      <w:r w:rsidRPr="00AE4C91">
        <w:rPr>
          <w:rFonts w:ascii="Times New Roman" w:hAnsi="Times New Roman"/>
          <w:snapToGrid/>
          <w:sz w:val="24"/>
          <w:szCs w:val="24"/>
        </w:rPr>
        <w:t xml:space="preserve"> targeting among </w:t>
      </w:r>
      <w:proofErr w:type="spellStart"/>
      <w:r w:rsidRPr="00AE4C91">
        <w:rPr>
          <w:rFonts w:ascii="Times New Roman" w:hAnsi="Times New Roman"/>
          <w:snapToGrid/>
          <w:sz w:val="24"/>
          <w:szCs w:val="24"/>
        </w:rPr>
        <w:t>LIHEAP</w:t>
      </w:r>
      <w:proofErr w:type="spellEnd"/>
      <w:r w:rsidRPr="00AE4C91">
        <w:rPr>
          <w:rFonts w:ascii="Times New Roman" w:hAnsi="Times New Roman"/>
          <w:snapToGrid/>
          <w:sz w:val="24"/>
          <w:szCs w:val="24"/>
        </w:rPr>
        <w:t xml:space="preserve"> recipient households.</w:t>
      </w:r>
      <w:r>
        <w:rPr>
          <w:rFonts w:ascii="Times New Roman" w:hAnsi="Times New Roman"/>
          <w:snapToGrid/>
          <w:sz w:val="24"/>
          <w:szCs w:val="24"/>
        </w:rPr>
        <w:br/>
      </w:r>
    </w:p>
    <w:p w:rsidR="002357D9" w:rsidP="002357D9" w:rsidRDefault="002357D9" w14:paraId="4B2196C7" w14:textId="77777777">
      <w:pPr>
        <w:pStyle w:val="ListParagraph"/>
        <w:widowControl/>
        <w:ind w:left="1440"/>
        <w:rPr>
          <w:rFonts w:ascii="Times New Roman" w:hAnsi="Times New Roman"/>
          <w:snapToGrid/>
          <w:sz w:val="24"/>
          <w:szCs w:val="24"/>
        </w:rPr>
      </w:pPr>
    </w:p>
    <w:bookmarkEnd w:id="1"/>
    <w:p w:rsidRPr="004821C4" w:rsidR="002C3C4F" w:rsidP="004821C4" w:rsidRDefault="002C3C4F" w14:paraId="6491285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Use of Improved Information Technology and Burden Reduction </w:t>
      </w:r>
    </w:p>
    <w:p w:rsidRPr="00651AB8" w:rsidR="00670F63" w:rsidP="004821C4" w:rsidRDefault="00670F63" w14:paraId="2833479F" w14:textId="5A8036D8">
      <w:pPr>
        <w:widowControl/>
        <w:ind w:left="360"/>
        <w:rPr>
          <w:rFonts w:ascii="Times New Roman" w:hAnsi="Times New Roman"/>
          <w:snapToGrid/>
          <w:sz w:val="24"/>
          <w:szCs w:val="24"/>
        </w:rPr>
      </w:pPr>
      <w:bookmarkStart w:name="OLE_LINK5" w:id="2"/>
      <w:r w:rsidRPr="00651AB8">
        <w:rPr>
          <w:rFonts w:ascii="Times New Roman" w:hAnsi="Times New Roman"/>
          <w:snapToGrid/>
          <w:sz w:val="24"/>
          <w:szCs w:val="24"/>
        </w:rPr>
        <w:t>OCS will make every effort to reduce the burden of this data collection.  Based on</w:t>
      </w:r>
      <w:r w:rsidR="00F64B55">
        <w:rPr>
          <w:rFonts w:ascii="Times New Roman" w:hAnsi="Times New Roman"/>
          <w:snapToGrid/>
          <w:sz w:val="24"/>
          <w:szCs w:val="24"/>
        </w:rPr>
        <w:t xml:space="preserve"> </w:t>
      </w:r>
      <w:r w:rsidRPr="00F64B55" w:rsidR="00F64B55">
        <w:rPr>
          <w:rFonts w:ascii="Times New Roman" w:hAnsi="Times New Roman"/>
          <w:snapToGrid/>
          <w:sz w:val="24"/>
          <w:szCs w:val="24"/>
        </w:rPr>
        <w:t>the prior recent collection of data</w:t>
      </w:r>
      <w:r w:rsidRPr="00651AB8">
        <w:rPr>
          <w:rFonts w:ascii="Times New Roman" w:hAnsi="Times New Roman"/>
          <w:snapToGrid/>
          <w:sz w:val="24"/>
          <w:szCs w:val="24"/>
        </w:rPr>
        <w:t xml:space="preserve">, OCS estimates only 24 hours of response burden per respondent.  </w:t>
      </w:r>
      <w:r w:rsidRPr="00651AB8">
        <w:rPr>
          <w:rFonts w:ascii="Times New Roman" w:hAnsi="Times New Roman"/>
          <w:snapToGrid/>
          <w:sz w:val="24"/>
          <w:szCs w:val="24"/>
        </w:rPr>
        <w:lastRenderedPageBreak/>
        <w:t xml:space="preserve">That’s because all </w:t>
      </w:r>
      <w:proofErr w:type="spellStart"/>
      <w:r w:rsidRPr="00651AB8">
        <w:rPr>
          <w:rFonts w:ascii="Times New Roman" w:hAnsi="Times New Roman"/>
          <w:snapToGrid/>
          <w:sz w:val="24"/>
          <w:szCs w:val="24"/>
        </w:rPr>
        <w:t>LIHEAP</w:t>
      </w:r>
      <w:proofErr w:type="spellEnd"/>
      <w:r w:rsidRPr="00651AB8">
        <w:rPr>
          <w:rFonts w:ascii="Times New Roman" w:hAnsi="Times New Roman"/>
          <w:snapToGrid/>
          <w:sz w:val="24"/>
          <w:szCs w:val="24"/>
        </w:rPr>
        <w:t xml:space="preserve"> grantees already compile the required data.  They do so to meet HHS’ </w:t>
      </w:r>
      <w:r w:rsidR="007B1281">
        <w:rPr>
          <w:rFonts w:ascii="Times New Roman" w:hAnsi="Times New Roman"/>
          <w:snapToGrid/>
          <w:sz w:val="24"/>
          <w:szCs w:val="24"/>
        </w:rPr>
        <w:t>Household Report (</w:t>
      </w:r>
      <w:proofErr w:type="spellStart"/>
      <w:r w:rsidRPr="00651AB8">
        <w:rPr>
          <w:rFonts w:ascii="Times New Roman" w:hAnsi="Times New Roman"/>
          <w:snapToGrid/>
          <w:sz w:val="24"/>
          <w:szCs w:val="24"/>
        </w:rPr>
        <w:t>HHR</w:t>
      </w:r>
      <w:proofErr w:type="spellEnd"/>
      <w:r w:rsidR="007B1281">
        <w:rPr>
          <w:rFonts w:ascii="Times New Roman" w:hAnsi="Times New Roman"/>
          <w:snapToGrid/>
          <w:sz w:val="24"/>
          <w:szCs w:val="24"/>
        </w:rPr>
        <w:t>)</w:t>
      </w:r>
      <w:r w:rsidRPr="00651AB8">
        <w:rPr>
          <w:rFonts w:ascii="Times New Roman" w:hAnsi="Times New Roman"/>
          <w:snapToGrid/>
          <w:sz w:val="24"/>
          <w:szCs w:val="24"/>
        </w:rPr>
        <w:t xml:space="preserve"> reporting and non-duplication-of-benefit requirements.</w:t>
      </w:r>
      <w:r w:rsidR="009253DA">
        <w:rPr>
          <w:rFonts w:ascii="Times New Roman" w:hAnsi="Times New Roman"/>
          <w:snapToGrid/>
          <w:sz w:val="24"/>
          <w:szCs w:val="24"/>
        </w:rPr>
        <w:t xml:space="preserve">  For this collection, OCS needs </w:t>
      </w:r>
      <w:r w:rsidR="006557BD">
        <w:rPr>
          <w:rFonts w:ascii="Times New Roman" w:hAnsi="Times New Roman"/>
          <w:snapToGrid/>
          <w:sz w:val="24"/>
          <w:szCs w:val="24"/>
        </w:rPr>
        <w:t xml:space="preserve">the higher-granularity data that backs up the data that they report.  Accordingly, OCS </w:t>
      </w:r>
      <w:r w:rsidR="009253DA">
        <w:rPr>
          <w:rFonts w:ascii="Times New Roman" w:hAnsi="Times New Roman"/>
          <w:snapToGrid/>
          <w:sz w:val="24"/>
          <w:szCs w:val="24"/>
        </w:rPr>
        <w:t xml:space="preserve">plans to </w:t>
      </w:r>
      <w:r w:rsidR="006557BD">
        <w:rPr>
          <w:rFonts w:ascii="Times New Roman" w:hAnsi="Times New Roman"/>
          <w:snapToGrid/>
          <w:sz w:val="24"/>
          <w:szCs w:val="24"/>
        </w:rPr>
        <w:t xml:space="preserve">maximize </w:t>
      </w:r>
      <w:r w:rsidR="00254C49">
        <w:rPr>
          <w:rFonts w:ascii="Times New Roman" w:hAnsi="Times New Roman"/>
          <w:snapToGrid/>
          <w:sz w:val="24"/>
          <w:szCs w:val="24"/>
        </w:rPr>
        <w:t>rapid file transfer technology by using a secure internet site that employs File Transfer Protocol.</w:t>
      </w:r>
    </w:p>
    <w:p w:rsidRPr="00651AB8" w:rsidR="00670F63" w:rsidP="004821C4" w:rsidRDefault="00670F63" w14:paraId="524F5635" w14:textId="77777777">
      <w:pPr>
        <w:widowControl/>
        <w:ind w:left="360"/>
        <w:rPr>
          <w:rFonts w:ascii="Times New Roman" w:hAnsi="Times New Roman"/>
          <w:snapToGrid/>
          <w:sz w:val="24"/>
          <w:szCs w:val="24"/>
        </w:rPr>
      </w:pPr>
    </w:p>
    <w:p w:rsidRPr="00651AB8" w:rsidR="00670F63" w:rsidP="004821C4" w:rsidRDefault="00670F63" w14:paraId="48AB18FA" w14:textId="77777777">
      <w:pPr>
        <w:widowControl/>
        <w:ind w:left="360"/>
        <w:rPr>
          <w:rFonts w:ascii="Times New Roman" w:hAnsi="Times New Roman"/>
          <w:snapToGrid/>
          <w:sz w:val="24"/>
          <w:szCs w:val="24"/>
        </w:rPr>
      </w:pPr>
      <w:r w:rsidRPr="00651AB8">
        <w:rPr>
          <w:rFonts w:ascii="Times New Roman" w:hAnsi="Times New Roman"/>
          <w:snapToGrid/>
          <w:sz w:val="24"/>
          <w:szCs w:val="24"/>
        </w:rPr>
        <w:t xml:space="preserve">State </w:t>
      </w:r>
      <w:proofErr w:type="spellStart"/>
      <w:r w:rsidRPr="00651AB8">
        <w:rPr>
          <w:rFonts w:ascii="Times New Roman" w:hAnsi="Times New Roman"/>
          <w:snapToGrid/>
          <w:sz w:val="24"/>
          <w:szCs w:val="24"/>
        </w:rPr>
        <w:t>LIHEAP</w:t>
      </w:r>
      <w:proofErr w:type="spellEnd"/>
      <w:r w:rsidRPr="00651AB8">
        <w:rPr>
          <w:rFonts w:ascii="Times New Roman" w:hAnsi="Times New Roman"/>
          <w:snapToGrid/>
          <w:sz w:val="24"/>
          <w:szCs w:val="24"/>
        </w:rPr>
        <w:t xml:space="preserve"> grantees are familiar with the requested data elements and maintain administrative records that contain such elements to (1) manage their programs; complete their </w:t>
      </w:r>
      <w:proofErr w:type="spellStart"/>
      <w:r w:rsidRPr="00651AB8">
        <w:rPr>
          <w:rFonts w:ascii="Times New Roman" w:hAnsi="Times New Roman"/>
          <w:snapToGrid/>
          <w:sz w:val="24"/>
          <w:szCs w:val="24"/>
        </w:rPr>
        <w:t>HHRs</w:t>
      </w:r>
      <w:proofErr w:type="spellEnd"/>
      <w:r w:rsidRPr="00651AB8">
        <w:rPr>
          <w:rFonts w:ascii="Times New Roman" w:hAnsi="Times New Roman"/>
          <w:snapToGrid/>
          <w:sz w:val="24"/>
          <w:szCs w:val="24"/>
        </w:rPr>
        <w:t xml:space="preserve">; and (3) complete their annual </w:t>
      </w:r>
      <w:proofErr w:type="spellStart"/>
      <w:r w:rsidRPr="00651AB8">
        <w:rPr>
          <w:rFonts w:ascii="Times New Roman" w:hAnsi="Times New Roman"/>
          <w:snapToGrid/>
          <w:sz w:val="24"/>
          <w:szCs w:val="24"/>
        </w:rPr>
        <w:t>LIHEAP</w:t>
      </w:r>
      <w:proofErr w:type="spellEnd"/>
      <w:r w:rsidRPr="00651AB8">
        <w:rPr>
          <w:rFonts w:ascii="Times New Roman" w:hAnsi="Times New Roman"/>
          <w:snapToGrid/>
          <w:sz w:val="24"/>
          <w:szCs w:val="24"/>
        </w:rPr>
        <w:t xml:space="preserve"> Performance Data Forms (OMB Control No.  0970-0449).</w:t>
      </w:r>
    </w:p>
    <w:p w:rsidRPr="00651AB8" w:rsidR="00670F63" w:rsidP="004821C4" w:rsidRDefault="00670F63" w14:paraId="66EA13F9" w14:textId="77777777">
      <w:pPr>
        <w:widowControl/>
        <w:ind w:left="360"/>
        <w:rPr>
          <w:rFonts w:ascii="Times New Roman" w:hAnsi="Times New Roman"/>
          <w:snapToGrid/>
          <w:sz w:val="24"/>
          <w:szCs w:val="24"/>
        </w:rPr>
      </w:pPr>
    </w:p>
    <w:p w:rsidR="00670F63" w:rsidP="004821C4" w:rsidRDefault="00670F63" w14:paraId="3D0D198A" w14:textId="77777777">
      <w:pPr>
        <w:widowControl/>
        <w:ind w:left="360"/>
        <w:rPr>
          <w:rFonts w:ascii="Times New Roman" w:hAnsi="Times New Roman"/>
          <w:snapToGrid/>
          <w:sz w:val="24"/>
          <w:szCs w:val="24"/>
        </w:rPr>
      </w:pPr>
      <w:r w:rsidRPr="00651AB8">
        <w:rPr>
          <w:rFonts w:ascii="Times New Roman" w:hAnsi="Times New Roman"/>
          <w:snapToGrid/>
          <w:sz w:val="24"/>
          <w:szCs w:val="24"/>
        </w:rPr>
        <w:t>OCS expects such grantees to use their information technology systems to reduce the burden of providing such data.</w:t>
      </w:r>
    </w:p>
    <w:bookmarkEnd w:id="2"/>
    <w:p w:rsidR="009C2DE1" w:rsidP="0051278C" w:rsidRDefault="009C2DE1" w14:paraId="60A19912" w14:textId="081329FD">
      <w:pPr>
        <w:widowControl/>
        <w:tabs>
          <w:tab w:val="num" w:pos="360"/>
        </w:tabs>
        <w:ind w:left="720" w:hanging="360"/>
        <w:rPr>
          <w:rFonts w:ascii="Times New Roman" w:hAnsi="Times New Roman"/>
          <w:snapToGrid/>
          <w:sz w:val="24"/>
          <w:szCs w:val="24"/>
        </w:rPr>
      </w:pPr>
    </w:p>
    <w:p w:rsidR="0079001A" w:rsidP="0051278C" w:rsidRDefault="0079001A" w14:paraId="623E8EBF" w14:textId="77777777">
      <w:pPr>
        <w:widowControl/>
        <w:tabs>
          <w:tab w:val="num" w:pos="360"/>
        </w:tabs>
        <w:ind w:left="720" w:hanging="360"/>
        <w:rPr>
          <w:rFonts w:ascii="Times New Roman" w:hAnsi="Times New Roman"/>
          <w:snapToGrid/>
          <w:sz w:val="24"/>
          <w:szCs w:val="24"/>
        </w:rPr>
      </w:pPr>
    </w:p>
    <w:p w:rsidRPr="004821C4" w:rsidR="002C3C4F" w:rsidP="004821C4" w:rsidRDefault="002C3C4F" w14:paraId="481F21A1"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Efforts to Identify Duplication and Use of Similar Information </w:t>
      </w:r>
    </w:p>
    <w:p w:rsidRPr="00B472DA" w:rsidR="00BB6B69" w:rsidP="004821C4" w:rsidRDefault="00BB6B69" w14:paraId="0ABA3677" w14:textId="77777777">
      <w:pPr>
        <w:widowControl/>
        <w:ind w:left="360"/>
        <w:rPr>
          <w:rFonts w:ascii="Times New Roman" w:hAnsi="Times New Roman"/>
          <w:snapToGrid/>
          <w:sz w:val="24"/>
          <w:szCs w:val="24"/>
        </w:rPr>
      </w:pPr>
      <w:bookmarkStart w:name="OLE_LINK7" w:id="3"/>
      <w:r w:rsidRPr="00B472DA">
        <w:rPr>
          <w:rFonts w:ascii="Times New Roman" w:hAnsi="Times New Roman"/>
          <w:snapToGrid/>
          <w:sz w:val="24"/>
          <w:szCs w:val="24"/>
        </w:rPr>
        <w:t xml:space="preserve">The data that OCS is requesting is not available from any source other than </w:t>
      </w:r>
      <w:proofErr w:type="spellStart"/>
      <w:r w:rsidRPr="00B472DA">
        <w:rPr>
          <w:rFonts w:ascii="Times New Roman" w:hAnsi="Times New Roman"/>
          <w:snapToGrid/>
          <w:sz w:val="24"/>
          <w:szCs w:val="24"/>
        </w:rPr>
        <w:t>LIHEAP</w:t>
      </w:r>
      <w:proofErr w:type="spellEnd"/>
      <w:r w:rsidRPr="00B472DA">
        <w:rPr>
          <w:rFonts w:ascii="Times New Roman" w:hAnsi="Times New Roman"/>
          <w:snapToGrid/>
          <w:sz w:val="24"/>
          <w:szCs w:val="24"/>
        </w:rPr>
        <w:t xml:space="preserve"> grantees (and their sub-grantees), who collect this information for normal program management, federal reporting requirements, and administrative purposes.</w:t>
      </w:r>
    </w:p>
    <w:p w:rsidRPr="00B472DA" w:rsidR="00BB6B69" w:rsidP="004821C4" w:rsidRDefault="00BB6B69" w14:paraId="24C8219D" w14:textId="77777777">
      <w:pPr>
        <w:widowControl/>
        <w:ind w:left="360"/>
        <w:rPr>
          <w:rFonts w:ascii="Times New Roman" w:hAnsi="Times New Roman"/>
          <w:snapToGrid/>
          <w:sz w:val="24"/>
          <w:szCs w:val="24"/>
        </w:rPr>
      </w:pPr>
    </w:p>
    <w:p w:rsidRPr="00B472DA" w:rsidR="00BB6B69" w:rsidP="004821C4" w:rsidRDefault="00BB6B69" w14:paraId="2CBE4839" w14:textId="77777777">
      <w:pPr>
        <w:widowControl/>
        <w:ind w:left="360"/>
        <w:rPr>
          <w:rFonts w:ascii="Times New Roman" w:hAnsi="Times New Roman"/>
          <w:snapToGrid/>
          <w:sz w:val="24"/>
          <w:szCs w:val="24"/>
        </w:rPr>
      </w:pPr>
      <w:r w:rsidRPr="00B472DA">
        <w:rPr>
          <w:rFonts w:ascii="Times New Roman" w:hAnsi="Times New Roman"/>
          <w:snapToGrid/>
          <w:sz w:val="24"/>
          <w:szCs w:val="24"/>
        </w:rPr>
        <w:t xml:space="preserve">RECS collects utility consumption and expenditure data for a nationally representative sample of households. OCS investigation has revealed no viable alternative to the RECS to furnish robust information on the home energy needs of </w:t>
      </w:r>
      <w:proofErr w:type="spellStart"/>
      <w:r w:rsidRPr="00B472DA">
        <w:rPr>
          <w:rFonts w:ascii="Times New Roman" w:hAnsi="Times New Roman"/>
          <w:snapToGrid/>
          <w:sz w:val="24"/>
          <w:szCs w:val="24"/>
        </w:rPr>
        <w:t>LIHEAP</w:t>
      </w:r>
      <w:proofErr w:type="spellEnd"/>
      <w:r w:rsidRPr="00B472DA">
        <w:rPr>
          <w:rFonts w:ascii="Times New Roman" w:hAnsi="Times New Roman"/>
          <w:snapToGrid/>
          <w:sz w:val="24"/>
          <w:szCs w:val="24"/>
        </w:rPr>
        <w:t xml:space="preserve"> recipient households, and to compare how the needs of </w:t>
      </w:r>
      <w:proofErr w:type="spellStart"/>
      <w:r w:rsidRPr="00B472DA">
        <w:rPr>
          <w:rFonts w:ascii="Times New Roman" w:hAnsi="Times New Roman"/>
          <w:snapToGrid/>
          <w:sz w:val="24"/>
          <w:szCs w:val="24"/>
        </w:rPr>
        <w:t>LIHEAP</w:t>
      </w:r>
      <w:proofErr w:type="spellEnd"/>
      <w:r w:rsidRPr="00B472DA">
        <w:rPr>
          <w:rFonts w:ascii="Times New Roman" w:hAnsi="Times New Roman"/>
          <w:snapToGrid/>
          <w:sz w:val="24"/>
          <w:szCs w:val="24"/>
        </w:rPr>
        <w:t xml:space="preserve"> recipients compare those of income-eligible non-recipient households. </w:t>
      </w:r>
    </w:p>
    <w:p w:rsidRPr="00B472DA" w:rsidR="00BB6B69" w:rsidP="004821C4" w:rsidRDefault="00BB6B69" w14:paraId="1AE5716D" w14:textId="77777777">
      <w:pPr>
        <w:widowControl/>
        <w:ind w:left="360"/>
        <w:rPr>
          <w:rFonts w:ascii="Times New Roman" w:hAnsi="Times New Roman"/>
          <w:snapToGrid/>
          <w:sz w:val="24"/>
          <w:szCs w:val="24"/>
        </w:rPr>
      </w:pPr>
    </w:p>
    <w:p w:rsidRPr="004F7B95" w:rsidR="00BB6B69" w:rsidP="004821C4" w:rsidRDefault="00BB6B69" w14:paraId="6F3D1758" w14:textId="4C9C40A2">
      <w:pPr>
        <w:widowControl/>
        <w:ind w:left="360"/>
        <w:rPr>
          <w:rFonts w:ascii="Times New Roman" w:hAnsi="Times New Roman"/>
          <w:snapToGrid/>
          <w:sz w:val="24"/>
          <w:szCs w:val="24"/>
        </w:rPr>
      </w:pPr>
      <w:r w:rsidRPr="00B472DA">
        <w:rPr>
          <w:rFonts w:ascii="Times New Roman" w:hAnsi="Times New Roman"/>
          <w:snapToGrid/>
          <w:sz w:val="24"/>
          <w:szCs w:val="24"/>
        </w:rPr>
        <w:t xml:space="preserve">OCS examined other potential options to identify </w:t>
      </w:r>
      <w:proofErr w:type="spellStart"/>
      <w:r w:rsidRPr="00B472DA">
        <w:rPr>
          <w:rFonts w:ascii="Times New Roman" w:hAnsi="Times New Roman"/>
          <w:snapToGrid/>
          <w:sz w:val="24"/>
          <w:szCs w:val="24"/>
        </w:rPr>
        <w:t>LIHEAP</w:t>
      </w:r>
      <w:proofErr w:type="spellEnd"/>
      <w:r w:rsidRPr="00B472DA">
        <w:rPr>
          <w:rFonts w:ascii="Times New Roman" w:hAnsi="Times New Roman"/>
          <w:snapToGrid/>
          <w:sz w:val="24"/>
          <w:szCs w:val="24"/>
        </w:rPr>
        <w:t xml:space="preserve"> recipients in the </w:t>
      </w:r>
      <w:r w:rsidR="00F64B55">
        <w:rPr>
          <w:rFonts w:ascii="Times New Roman" w:hAnsi="Times New Roman"/>
          <w:snapToGrid/>
          <w:sz w:val="24"/>
          <w:szCs w:val="24"/>
        </w:rPr>
        <w:t>RECS data</w:t>
      </w:r>
      <w:r w:rsidRPr="00B472DA">
        <w:rPr>
          <w:rFonts w:ascii="Times New Roman" w:hAnsi="Times New Roman"/>
          <w:snapToGrid/>
          <w:sz w:val="24"/>
          <w:szCs w:val="24"/>
        </w:rPr>
        <w:t xml:space="preserve">.  RECS does collect information on household income and self-reports on whether respondents participated in energy assistance programs. But, these self-reports can refer to either </w:t>
      </w:r>
      <w:proofErr w:type="spellStart"/>
      <w:r w:rsidRPr="00B472DA">
        <w:rPr>
          <w:rFonts w:ascii="Times New Roman" w:hAnsi="Times New Roman"/>
          <w:snapToGrid/>
          <w:sz w:val="24"/>
          <w:szCs w:val="24"/>
        </w:rPr>
        <w:t>LIHEAP</w:t>
      </w:r>
      <w:proofErr w:type="spellEnd"/>
      <w:r w:rsidRPr="00B472DA">
        <w:rPr>
          <w:rFonts w:ascii="Times New Roman" w:hAnsi="Times New Roman"/>
          <w:snapToGrid/>
          <w:sz w:val="24"/>
          <w:szCs w:val="24"/>
        </w:rPr>
        <w:t xml:space="preserve"> or unrelated ratepayer-funded programs. Since the number of households that participate in ratepayer-funded programs is substantial and the benefits granted under such programs are quite different from </w:t>
      </w:r>
      <w:proofErr w:type="spellStart"/>
      <w:r w:rsidRPr="00B472DA">
        <w:rPr>
          <w:rFonts w:ascii="Times New Roman" w:hAnsi="Times New Roman"/>
          <w:snapToGrid/>
          <w:sz w:val="24"/>
          <w:szCs w:val="24"/>
        </w:rPr>
        <w:t>LIHEAP</w:t>
      </w:r>
      <w:proofErr w:type="spellEnd"/>
      <w:r w:rsidRPr="00B472DA">
        <w:rPr>
          <w:rFonts w:ascii="Times New Roman" w:hAnsi="Times New Roman"/>
          <w:snapToGrid/>
          <w:sz w:val="24"/>
          <w:szCs w:val="24"/>
        </w:rPr>
        <w:t xml:space="preserve">, relying on self-reported data would furnish poor quality data information to address important </w:t>
      </w:r>
      <w:proofErr w:type="spellStart"/>
      <w:r w:rsidRPr="00B472DA">
        <w:rPr>
          <w:rFonts w:ascii="Times New Roman" w:hAnsi="Times New Roman"/>
          <w:snapToGrid/>
          <w:sz w:val="24"/>
          <w:szCs w:val="24"/>
        </w:rPr>
        <w:t>LIHEAP</w:t>
      </w:r>
      <w:proofErr w:type="spellEnd"/>
      <w:r w:rsidRPr="00B472DA">
        <w:rPr>
          <w:rFonts w:ascii="Times New Roman" w:hAnsi="Times New Roman"/>
          <w:snapToGrid/>
          <w:sz w:val="24"/>
          <w:szCs w:val="24"/>
        </w:rPr>
        <w:t xml:space="preserve"> Performance Measurement issues.</w:t>
      </w:r>
    </w:p>
    <w:bookmarkEnd w:id="3"/>
    <w:p w:rsidR="009C2DE1" w:rsidP="0051278C" w:rsidRDefault="009C2DE1" w14:paraId="747EB111" w14:textId="5D3F7D19">
      <w:pPr>
        <w:widowControl/>
        <w:tabs>
          <w:tab w:val="num" w:pos="360"/>
        </w:tabs>
        <w:ind w:left="720" w:hanging="360"/>
        <w:rPr>
          <w:rFonts w:ascii="Times New Roman" w:hAnsi="Times New Roman"/>
          <w:snapToGrid/>
          <w:sz w:val="24"/>
          <w:szCs w:val="24"/>
        </w:rPr>
      </w:pPr>
    </w:p>
    <w:p w:rsidRPr="004F7B95" w:rsidR="004821C4" w:rsidP="0051278C" w:rsidRDefault="004821C4" w14:paraId="67AF0969" w14:textId="77777777">
      <w:pPr>
        <w:widowControl/>
        <w:tabs>
          <w:tab w:val="num" w:pos="360"/>
        </w:tabs>
        <w:ind w:left="720" w:hanging="360"/>
        <w:rPr>
          <w:rFonts w:ascii="Times New Roman" w:hAnsi="Times New Roman"/>
          <w:snapToGrid/>
          <w:sz w:val="24"/>
          <w:szCs w:val="24"/>
        </w:rPr>
      </w:pPr>
    </w:p>
    <w:p w:rsidRPr="004821C4" w:rsidR="002C3C4F" w:rsidP="004821C4" w:rsidRDefault="002C3C4F" w14:paraId="3B5BE00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Impact on Small Businesses or Other Small Entities </w:t>
      </w:r>
    </w:p>
    <w:p w:rsidRPr="007B1281" w:rsidR="007B1281" w:rsidP="004821C4" w:rsidRDefault="007B1281" w14:paraId="110192CA" w14:textId="77777777">
      <w:pPr>
        <w:widowControl/>
        <w:ind w:left="360"/>
        <w:rPr>
          <w:rFonts w:ascii="Times New Roman" w:hAnsi="Times New Roman"/>
          <w:snapToGrid/>
          <w:sz w:val="24"/>
          <w:szCs w:val="24"/>
        </w:rPr>
      </w:pPr>
      <w:r w:rsidRPr="007B1281">
        <w:rPr>
          <w:rFonts w:ascii="Times New Roman" w:hAnsi="Times New Roman"/>
          <w:snapToGrid/>
          <w:sz w:val="24"/>
          <w:szCs w:val="24"/>
        </w:rPr>
        <w:t xml:space="preserve">There are potentially two different sources of information for the proposed data collection – State </w:t>
      </w:r>
      <w:proofErr w:type="spellStart"/>
      <w:r w:rsidRPr="007B1281">
        <w:rPr>
          <w:rFonts w:ascii="Times New Roman" w:hAnsi="Times New Roman"/>
          <w:snapToGrid/>
          <w:sz w:val="24"/>
          <w:szCs w:val="24"/>
        </w:rPr>
        <w:t>LIHEAP</w:t>
      </w:r>
      <w:proofErr w:type="spellEnd"/>
      <w:r w:rsidRPr="007B1281">
        <w:rPr>
          <w:rFonts w:ascii="Times New Roman" w:hAnsi="Times New Roman"/>
          <w:snapToGrid/>
          <w:sz w:val="24"/>
          <w:szCs w:val="24"/>
        </w:rPr>
        <w:t xml:space="preserve"> grantees and </w:t>
      </w:r>
      <w:proofErr w:type="spellStart"/>
      <w:r w:rsidRPr="007B1281">
        <w:rPr>
          <w:rFonts w:ascii="Times New Roman" w:hAnsi="Times New Roman"/>
          <w:snapToGrid/>
          <w:sz w:val="24"/>
          <w:szCs w:val="24"/>
        </w:rPr>
        <w:t>LIHEAP</w:t>
      </w:r>
      <w:proofErr w:type="spellEnd"/>
      <w:r w:rsidRPr="007B1281">
        <w:rPr>
          <w:rFonts w:ascii="Times New Roman" w:hAnsi="Times New Roman"/>
          <w:snapToGrid/>
          <w:sz w:val="24"/>
          <w:szCs w:val="24"/>
        </w:rPr>
        <w:t xml:space="preserve"> sub-grantees (i.e., local agencies). In many states, small community-based organizations serve as </w:t>
      </w:r>
      <w:proofErr w:type="spellStart"/>
      <w:r w:rsidRPr="007B1281">
        <w:rPr>
          <w:rFonts w:ascii="Times New Roman" w:hAnsi="Times New Roman"/>
          <w:snapToGrid/>
          <w:sz w:val="24"/>
          <w:szCs w:val="24"/>
        </w:rPr>
        <w:t>LIHEAP</w:t>
      </w:r>
      <w:proofErr w:type="spellEnd"/>
      <w:r w:rsidRPr="007B1281">
        <w:rPr>
          <w:rFonts w:ascii="Times New Roman" w:hAnsi="Times New Roman"/>
          <w:snapToGrid/>
          <w:sz w:val="24"/>
          <w:szCs w:val="24"/>
        </w:rPr>
        <w:t xml:space="preserve"> sub-grantees. In the normal course of service delivery, </w:t>
      </w:r>
      <w:proofErr w:type="spellStart"/>
      <w:r w:rsidRPr="007B1281">
        <w:rPr>
          <w:rFonts w:ascii="Times New Roman" w:hAnsi="Times New Roman"/>
          <w:snapToGrid/>
          <w:sz w:val="24"/>
          <w:szCs w:val="24"/>
        </w:rPr>
        <w:t>LIHEAP</w:t>
      </w:r>
      <w:proofErr w:type="spellEnd"/>
      <w:r w:rsidRPr="007B1281">
        <w:rPr>
          <w:rFonts w:ascii="Times New Roman" w:hAnsi="Times New Roman"/>
          <w:snapToGrid/>
          <w:sz w:val="24"/>
          <w:szCs w:val="24"/>
        </w:rPr>
        <w:t xml:space="preserve"> sub-grantees already are expected to collect information from applicant households and to report those data to the State </w:t>
      </w:r>
      <w:proofErr w:type="spellStart"/>
      <w:r w:rsidRPr="007B1281">
        <w:rPr>
          <w:rFonts w:ascii="Times New Roman" w:hAnsi="Times New Roman"/>
          <w:snapToGrid/>
          <w:sz w:val="24"/>
          <w:szCs w:val="24"/>
        </w:rPr>
        <w:t>LIHEAP</w:t>
      </w:r>
      <w:proofErr w:type="spellEnd"/>
      <w:r w:rsidRPr="007B1281">
        <w:rPr>
          <w:rFonts w:ascii="Times New Roman" w:hAnsi="Times New Roman"/>
          <w:snapToGrid/>
          <w:sz w:val="24"/>
          <w:szCs w:val="24"/>
        </w:rPr>
        <w:t xml:space="preserve"> grantees through automated information systems.  </w:t>
      </w:r>
    </w:p>
    <w:p w:rsidRPr="007B1281" w:rsidR="007B1281" w:rsidP="004821C4" w:rsidRDefault="007B1281" w14:paraId="046906E9" w14:textId="77777777">
      <w:pPr>
        <w:widowControl/>
        <w:ind w:left="360"/>
        <w:rPr>
          <w:rFonts w:ascii="Times New Roman" w:hAnsi="Times New Roman"/>
          <w:snapToGrid/>
          <w:sz w:val="24"/>
          <w:szCs w:val="24"/>
        </w:rPr>
      </w:pPr>
    </w:p>
    <w:p w:rsidR="00D60543" w:rsidP="004821C4" w:rsidRDefault="007B1281" w14:paraId="2B48A74E" w14:textId="4C3ABC9C">
      <w:pPr>
        <w:widowControl/>
        <w:ind w:left="360"/>
        <w:rPr>
          <w:rFonts w:ascii="Times New Roman" w:hAnsi="Times New Roman"/>
          <w:snapToGrid/>
          <w:sz w:val="24"/>
          <w:szCs w:val="24"/>
        </w:rPr>
      </w:pPr>
      <w:r w:rsidRPr="007B1281">
        <w:rPr>
          <w:rFonts w:ascii="Times New Roman" w:hAnsi="Times New Roman"/>
          <w:snapToGrid/>
          <w:sz w:val="24"/>
          <w:szCs w:val="24"/>
        </w:rPr>
        <w:lastRenderedPageBreak/>
        <w:t xml:space="preserve">This data collection effort focuses on </w:t>
      </w:r>
      <w:proofErr w:type="spellStart"/>
      <w:r w:rsidRPr="007B1281">
        <w:rPr>
          <w:rFonts w:ascii="Times New Roman" w:hAnsi="Times New Roman"/>
          <w:snapToGrid/>
          <w:sz w:val="24"/>
          <w:szCs w:val="24"/>
        </w:rPr>
        <w:t>LIHEAP</w:t>
      </w:r>
      <w:proofErr w:type="spellEnd"/>
      <w:r w:rsidRPr="007B1281">
        <w:rPr>
          <w:rFonts w:ascii="Times New Roman" w:hAnsi="Times New Roman"/>
          <w:snapToGrid/>
          <w:sz w:val="24"/>
          <w:szCs w:val="24"/>
        </w:rPr>
        <w:t xml:space="preserve"> State grantees, rather than on smaller community-based sub-grantees.  This approach avoids placing a burden on small sub-grantees and allows for more efficient data collection that impacts a smaller number of respondents.  State </w:t>
      </w:r>
      <w:proofErr w:type="spellStart"/>
      <w:r w:rsidRPr="007B1281">
        <w:rPr>
          <w:rFonts w:ascii="Times New Roman" w:hAnsi="Times New Roman"/>
          <w:snapToGrid/>
          <w:sz w:val="24"/>
          <w:szCs w:val="24"/>
        </w:rPr>
        <w:t>LIHEAP</w:t>
      </w:r>
      <w:proofErr w:type="spellEnd"/>
      <w:r w:rsidRPr="007B1281">
        <w:rPr>
          <w:rFonts w:ascii="Times New Roman" w:hAnsi="Times New Roman"/>
          <w:snapToGrid/>
          <w:sz w:val="24"/>
          <w:szCs w:val="24"/>
        </w:rPr>
        <w:t xml:space="preserve"> Grantees already collect and utilize this data to complete annual reporting requirements for their state </w:t>
      </w:r>
      <w:proofErr w:type="spellStart"/>
      <w:r w:rsidRPr="007B1281">
        <w:rPr>
          <w:rFonts w:ascii="Times New Roman" w:hAnsi="Times New Roman"/>
          <w:snapToGrid/>
          <w:sz w:val="24"/>
          <w:szCs w:val="24"/>
        </w:rPr>
        <w:t>LIHEAP</w:t>
      </w:r>
      <w:proofErr w:type="spellEnd"/>
      <w:r w:rsidRPr="007B1281">
        <w:rPr>
          <w:rFonts w:ascii="Times New Roman" w:hAnsi="Times New Roman"/>
          <w:snapToGrid/>
          <w:sz w:val="24"/>
          <w:szCs w:val="24"/>
        </w:rPr>
        <w:t xml:space="preserve"> program, and they work regularly with OCS and its contractors.</w:t>
      </w:r>
    </w:p>
    <w:p w:rsidR="00D60543" w:rsidP="0051278C" w:rsidRDefault="00D60543" w14:paraId="5182B27A" w14:textId="45CD5DD3">
      <w:pPr>
        <w:widowControl/>
        <w:tabs>
          <w:tab w:val="num" w:pos="360"/>
        </w:tabs>
        <w:ind w:left="720" w:hanging="360"/>
        <w:rPr>
          <w:rFonts w:ascii="Times New Roman" w:hAnsi="Times New Roman"/>
          <w:snapToGrid/>
          <w:sz w:val="24"/>
          <w:szCs w:val="24"/>
        </w:rPr>
      </w:pPr>
    </w:p>
    <w:p w:rsidRPr="004F7B95" w:rsidR="004821C4" w:rsidP="0051278C" w:rsidRDefault="004821C4" w14:paraId="72954A68" w14:textId="77777777">
      <w:pPr>
        <w:widowControl/>
        <w:tabs>
          <w:tab w:val="num" w:pos="360"/>
        </w:tabs>
        <w:ind w:left="720" w:hanging="360"/>
        <w:rPr>
          <w:rFonts w:ascii="Times New Roman" w:hAnsi="Times New Roman"/>
          <w:snapToGrid/>
          <w:sz w:val="24"/>
          <w:szCs w:val="24"/>
        </w:rPr>
      </w:pPr>
    </w:p>
    <w:p w:rsidRPr="004821C4" w:rsidR="002C3C4F" w:rsidP="004821C4" w:rsidRDefault="002C3C4F" w14:paraId="1E05E07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Consequences of Collecting the Information Less Frequently </w:t>
      </w:r>
    </w:p>
    <w:p w:rsidRPr="001B1F6B" w:rsidR="001B1F6B" w:rsidP="004821C4" w:rsidRDefault="001B1F6B" w14:paraId="6C0CAA20" w14:textId="4482B2CA">
      <w:pPr>
        <w:widowControl/>
        <w:ind w:left="360"/>
        <w:rPr>
          <w:rFonts w:ascii="Times New Roman" w:hAnsi="Times New Roman"/>
          <w:snapToGrid/>
          <w:sz w:val="24"/>
          <w:szCs w:val="24"/>
        </w:rPr>
      </w:pPr>
      <w:r w:rsidRPr="001B1F6B">
        <w:rPr>
          <w:rFonts w:ascii="Times New Roman" w:hAnsi="Times New Roman"/>
          <w:snapToGrid/>
          <w:sz w:val="24"/>
          <w:szCs w:val="24"/>
        </w:rPr>
        <w:t>OCS</w:t>
      </w:r>
      <w:r w:rsidR="00F64B55">
        <w:rPr>
          <w:rFonts w:ascii="Times New Roman" w:hAnsi="Times New Roman"/>
          <w:snapToGrid/>
          <w:sz w:val="24"/>
          <w:szCs w:val="24"/>
        </w:rPr>
        <w:t xml:space="preserve"> seeks </w:t>
      </w:r>
      <w:r w:rsidRPr="001B1F6B">
        <w:rPr>
          <w:rFonts w:ascii="Times New Roman" w:hAnsi="Times New Roman"/>
          <w:snapToGrid/>
          <w:sz w:val="24"/>
          <w:szCs w:val="24"/>
        </w:rPr>
        <w:t>approval to collect this information only once</w:t>
      </w:r>
      <w:r>
        <w:rPr>
          <w:rFonts w:ascii="Times New Roman" w:hAnsi="Times New Roman"/>
          <w:snapToGrid/>
          <w:sz w:val="24"/>
          <w:szCs w:val="24"/>
        </w:rPr>
        <w:t xml:space="preserve"> under this </w:t>
      </w:r>
      <w:r w:rsidR="00F64B55">
        <w:rPr>
          <w:rFonts w:ascii="Times New Roman" w:hAnsi="Times New Roman"/>
          <w:snapToGrid/>
          <w:sz w:val="24"/>
          <w:szCs w:val="24"/>
        </w:rPr>
        <w:t>request</w:t>
      </w:r>
      <w:r w:rsidRPr="001B1F6B">
        <w:rPr>
          <w:rFonts w:ascii="Times New Roman" w:hAnsi="Times New Roman"/>
          <w:snapToGrid/>
          <w:sz w:val="24"/>
          <w:szCs w:val="24"/>
        </w:rPr>
        <w:t>.</w:t>
      </w:r>
    </w:p>
    <w:p w:rsidRPr="001B1F6B" w:rsidR="001B1F6B" w:rsidP="004821C4" w:rsidRDefault="001B1F6B" w14:paraId="3CE789EE" w14:textId="77777777">
      <w:pPr>
        <w:widowControl/>
        <w:ind w:left="360"/>
        <w:rPr>
          <w:rFonts w:ascii="Times New Roman" w:hAnsi="Times New Roman"/>
          <w:snapToGrid/>
          <w:sz w:val="24"/>
          <w:szCs w:val="24"/>
        </w:rPr>
      </w:pPr>
    </w:p>
    <w:p w:rsidR="00D60543" w:rsidP="004821C4" w:rsidRDefault="001B1F6B" w14:paraId="0C3D3670" w14:textId="0CAD2E46">
      <w:pPr>
        <w:widowControl/>
        <w:ind w:left="360"/>
        <w:rPr>
          <w:rFonts w:ascii="Times New Roman" w:hAnsi="Times New Roman"/>
          <w:snapToGrid/>
          <w:sz w:val="24"/>
          <w:szCs w:val="24"/>
        </w:rPr>
      </w:pPr>
      <w:r w:rsidRPr="001B1F6B">
        <w:rPr>
          <w:rFonts w:ascii="Times New Roman" w:hAnsi="Times New Roman"/>
          <w:snapToGrid/>
          <w:sz w:val="24"/>
          <w:szCs w:val="24"/>
        </w:rPr>
        <w:t xml:space="preserve">If this information isn’t collected then HHS will be less able to study the impact of </w:t>
      </w:r>
      <w:proofErr w:type="spellStart"/>
      <w:r w:rsidRPr="001B1F6B">
        <w:rPr>
          <w:rFonts w:ascii="Times New Roman" w:hAnsi="Times New Roman"/>
          <w:snapToGrid/>
          <w:sz w:val="24"/>
          <w:szCs w:val="24"/>
        </w:rPr>
        <w:t>LIHEAP</w:t>
      </w:r>
      <w:proofErr w:type="spellEnd"/>
      <w:r w:rsidRPr="001B1F6B">
        <w:rPr>
          <w:rFonts w:ascii="Times New Roman" w:hAnsi="Times New Roman"/>
          <w:snapToGrid/>
          <w:sz w:val="24"/>
          <w:szCs w:val="24"/>
        </w:rPr>
        <w:t xml:space="preserve"> on income eligible and recipient households in accordance with section 2610(b</w:t>
      </w:r>
      <w:proofErr w:type="gramStart"/>
      <w:r w:rsidRPr="001B1F6B">
        <w:rPr>
          <w:rFonts w:ascii="Times New Roman" w:hAnsi="Times New Roman"/>
          <w:snapToGrid/>
          <w:sz w:val="24"/>
          <w:szCs w:val="24"/>
        </w:rPr>
        <w:t>)(</w:t>
      </w:r>
      <w:proofErr w:type="gramEnd"/>
      <w:r w:rsidRPr="001B1F6B">
        <w:rPr>
          <w:rFonts w:ascii="Times New Roman" w:hAnsi="Times New Roman"/>
          <w:snapToGrid/>
          <w:sz w:val="24"/>
          <w:szCs w:val="24"/>
        </w:rPr>
        <w:t xml:space="preserve">2) of the </w:t>
      </w:r>
      <w:proofErr w:type="spellStart"/>
      <w:r w:rsidRPr="001B1F6B">
        <w:rPr>
          <w:rFonts w:ascii="Times New Roman" w:hAnsi="Times New Roman"/>
          <w:snapToGrid/>
          <w:sz w:val="24"/>
          <w:szCs w:val="24"/>
        </w:rPr>
        <w:t>LIHEAP</w:t>
      </w:r>
      <w:proofErr w:type="spellEnd"/>
      <w:r w:rsidRPr="001B1F6B">
        <w:rPr>
          <w:rFonts w:ascii="Times New Roman" w:hAnsi="Times New Roman"/>
          <w:snapToGrid/>
          <w:sz w:val="24"/>
          <w:szCs w:val="24"/>
        </w:rPr>
        <w:t xml:space="preserve"> </w:t>
      </w:r>
      <w:r>
        <w:rPr>
          <w:rFonts w:ascii="Times New Roman" w:hAnsi="Times New Roman"/>
          <w:snapToGrid/>
          <w:sz w:val="24"/>
          <w:szCs w:val="24"/>
        </w:rPr>
        <w:t>Act</w:t>
      </w:r>
      <w:r w:rsidRPr="001B1F6B">
        <w:rPr>
          <w:rFonts w:ascii="Times New Roman" w:hAnsi="Times New Roman"/>
          <w:snapToGrid/>
          <w:sz w:val="24"/>
          <w:szCs w:val="24"/>
        </w:rPr>
        <w:t xml:space="preserve">.  It will also be wholly unable to estimate fuel usage, expenditures, energy burden, and </w:t>
      </w:r>
      <w:proofErr w:type="spellStart"/>
      <w:r w:rsidRPr="001B1F6B">
        <w:rPr>
          <w:rFonts w:ascii="Times New Roman" w:hAnsi="Times New Roman"/>
          <w:snapToGrid/>
          <w:sz w:val="24"/>
          <w:szCs w:val="24"/>
        </w:rPr>
        <w:t>LIHEAP</w:t>
      </w:r>
      <w:proofErr w:type="spellEnd"/>
      <w:r w:rsidRPr="001B1F6B">
        <w:rPr>
          <w:rFonts w:ascii="Times New Roman" w:hAnsi="Times New Roman"/>
          <w:snapToGrid/>
          <w:sz w:val="24"/>
          <w:szCs w:val="24"/>
        </w:rPr>
        <w:t xml:space="preserve"> targeting among </w:t>
      </w:r>
      <w:proofErr w:type="spellStart"/>
      <w:r w:rsidRPr="001B1F6B">
        <w:rPr>
          <w:rFonts w:ascii="Times New Roman" w:hAnsi="Times New Roman"/>
          <w:snapToGrid/>
          <w:sz w:val="24"/>
          <w:szCs w:val="24"/>
        </w:rPr>
        <w:t>LIHEAP</w:t>
      </w:r>
      <w:proofErr w:type="spellEnd"/>
      <w:r w:rsidRPr="001B1F6B">
        <w:rPr>
          <w:rFonts w:ascii="Times New Roman" w:hAnsi="Times New Roman"/>
          <w:snapToGrid/>
          <w:sz w:val="24"/>
          <w:szCs w:val="24"/>
        </w:rPr>
        <w:t xml:space="preserve"> recipient households.</w:t>
      </w:r>
    </w:p>
    <w:p w:rsidR="00D60543" w:rsidP="0051278C" w:rsidRDefault="00D60543" w14:paraId="5889B22E" w14:textId="5FD265D8">
      <w:pPr>
        <w:widowControl/>
        <w:tabs>
          <w:tab w:val="num" w:pos="360"/>
        </w:tabs>
        <w:ind w:left="720" w:hanging="360"/>
        <w:rPr>
          <w:rFonts w:ascii="Times New Roman" w:hAnsi="Times New Roman"/>
          <w:snapToGrid/>
          <w:sz w:val="24"/>
          <w:szCs w:val="24"/>
        </w:rPr>
      </w:pPr>
    </w:p>
    <w:p w:rsidRPr="004F7B95" w:rsidR="004821C4" w:rsidP="0051278C" w:rsidRDefault="004821C4" w14:paraId="2599FA05" w14:textId="77777777">
      <w:pPr>
        <w:widowControl/>
        <w:tabs>
          <w:tab w:val="num" w:pos="360"/>
        </w:tabs>
        <w:ind w:left="720" w:hanging="360"/>
        <w:rPr>
          <w:rFonts w:ascii="Times New Roman" w:hAnsi="Times New Roman"/>
          <w:snapToGrid/>
          <w:sz w:val="24"/>
          <w:szCs w:val="24"/>
        </w:rPr>
      </w:pPr>
    </w:p>
    <w:p w:rsidRPr="004821C4" w:rsidR="002C3C4F" w:rsidP="004821C4" w:rsidRDefault="002C3C4F" w14:paraId="358581C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Special Circumstances Relating to the Guidelines of 5 CFR 1320.5 </w:t>
      </w:r>
    </w:p>
    <w:p w:rsidRPr="009E2AAD" w:rsidR="009E2AAD" w:rsidP="004821C4" w:rsidRDefault="009E2AAD" w14:paraId="1BE19907" w14:textId="77777777">
      <w:pPr>
        <w:widowControl/>
        <w:ind w:left="360"/>
        <w:rPr>
          <w:rFonts w:ascii="Times New Roman" w:hAnsi="Times New Roman"/>
          <w:snapToGrid/>
          <w:sz w:val="24"/>
          <w:szCs w:val="24"/>
        </w:rPr>
      </w:pPr>
      <w:r w:rsidRPr="009E2AAD">
        <w:rPr>
          <w:rFonts w:ascii="Times New Roman" w:hAnsi="Times New Roman"/>
          <w:snapToGrid/>
          <w:sz w:val="24"/>
          <w:szCs w:val="24"/>
        </w:rPr>
        <w:t>No special circumstances apply to this data collection.</w:t>
      </w:r>
    </w:p>
    <w:p w:rsidRPr="000230B0" w:rsidR="009E2AAD" w:rsidP="000230B0" w:rsidRDefault="009E2AAD" w14:paraId="29261CE2" w14:textId="6F04C102">
      <w:pPr>
        <w:widowControl/>
        <w:ind w:left="1080"/>
        <w:rPr>
          <w:rFonts w:ascii="Times New Roman" w:hAnsi="Times New Roman"/>
          <w:snapToGrid/>
          <w:sz w:val="24"/>
          <w:szCs w:val="24"/>
        </w:rPr>
      </w:pPr>
      <w:r w:rsidRPr="000230B0">
        <w:rPr>
          <w:rFonts w:ascii="Times New Roman" w:hAnsi="Times New Roman"/>
          <w:snapToGrid/>
          <w:sz w:val="24"/>
          <w:szCs w:val="24"/>
        </w:rPr>
        <w:br/>
      </w:r>
    </w:p>
    <w:p w:rsidRPr="004821C4" w:rsidR="002C3C4F" w:rsidP="004821C4" w:rsidRDefault="002C3C4F" w14:paraId="46A821B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Comments in Response to the Federal Register Notice and Efforts to Consult Outside the Agency </w:t>
      </w:r>
    </w:p>
    <w:p w:rsidR="003C4285" w:rsidP="004821C4" w:rsidRDefault="003C4285" w14:paraId="3767054D" w14:textId="246D4CC9">
      <w:pPr>
        <w:widowControl/>
        <w:ind w:left="360"/>
        <w:rPr>
          <w:rFonts w:ascii="Times New Roman" w:hAnsi="Times New Roman"/>
          <w:sz w:val="24"/>
          <w:szCs w:val="24"/>
        </w:rPr>
      </w:pPr>
      <w:r>
        <w:rPr>
          <w:rFonts w:ascii="Times New Roman" w:hAnsi="Times New Roman"/>
          <w:sz w:val="24"/>
          <w:szCs w:val="24"/>
        </w:rPr>
        <w:t>I</w:t>
      </w:r>
      <w:r w:rsidRPr="004F7B95">
        <w:rPr>
          <w:rFonts w:ascii="Times New Roman" w:hAnsi="Times New Roman"/>
          <w:sz w:val="24"/>
          <w:szCs w:val="24"/>
        </w:rPr>
        <w:t xml:space="preserve">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bookmarkStart w:name="_Hlk22128249" w:id="4"/>
      <w:r w:rsidRPr="004F7B95">
        <w:rPr>
          <w:rFonts w:ascii="Times New Roman" w:hAnsi="Times New Roman"/>
          <w:sz w:val="24"/>
          <w:szCs w:val="24"/>
        </w:rPr>
        <w:t xml:space="preserve">This notice was published on </w:t>
      </w:r>
      <w:r w:rsidR="00221DD9">
        <w:rPr>
          <w:rFonts w:ascii="Times New Roman" w:hAnsi="Times New Roman"/>
          <w:sz w:val="24"/>
          <w:szCs w:val="24"/>
        </w:rPr>
        <w:t>July 30</w:t>
      </w:r>
      <w:r w:rsidRPr="004F7B95">
        <w:rPr>
          <w:rFonts w:ascii="Times New Roman" w:hAnsi="Times New Roman"/>
          <w:sz w:val="24"/>
          <w:szCs w:val="24"/>
        </w:rPr>
        <w:t>,</w:t>
      </w:r>
      <w:r w:rsidR="00221DD9">
        <w:rPr>
          <w:rFonts w:ascii="Times New Roman" w:hAnsi="Times New Roman"/>
          <w:sz w:val="24"/>
          <w:szCs w:val="24"/>
        </w:rPr>
        <w:t xml:space="preserve"> 2019 in</w:t>
      </w:r>
      <w:r w:rsidRPr="004F7B95">
        <w:rPr>
          <w:rFonts w:ascii="Times New Roman" w:hAnsi="Times New Roman"/>
          <w:sz w:val="24"/>
          <w:szCs w:val="24"/>
        </w:rPr>
        <w:t xml:space="preserve"> Volume</w:t>
      </w:r>
      <w:r w:rsidR="00221DD9">
        <w:rPr>
          <w:rFonts w:ascii="Times New Roman" w:hAnsi="Times New Roman"/>
          <w:sz w:val="24"/>
          <w:szCs w:val="24"/>
        </w:rPr>
        <w:t xml:space="preserve"> 84</w:t>
      </w:r>
      <w:r w:rsidRPr="004F7B95">
        <w:rPr>
          <w:rFonts w:ascii="Times New Roman" w:hAnsi="Times New Roman"/>
          <w:sz w:val="24"/>
          <w:szCs w:val="24"/>
        </w:rPr>
        <w:t>, Number</w:t>
      </w:r>
      <w:r w:rsidR="00221DD9">
        <w:rPr>
          <w:rFonts w:ascii="Times New Roman" w:hAnsi="Times New Roman"/>
          <w:sz w:val="24"/>
          <w:szCs w:val="24"/>
        </w:rPr>
        <w:t xml:space="preserve"> 146</w:t>
      </w:r>
      <w:r w:rsidRPr="004F7B95">
        <w:rPr>
          <w:rFonts w:ascii="Times New Roman" w:hAnsi="Times New Roman"/>
          <w:sz w:val="24"/>
          <w:szCs w:val="24"/>
        </w:rPr>
        <w:t xml:space="preserve">, page </w:t>
      </w:r>
      <w:r w:rsidR="00221DD9">
        <w:rPr>
          <w:rFonts w:ascii="Times New Roman" w:hAnsi="Times New Roman"/>
          <w:sz w:val="24"/>
          <w:szCs w:val="24"/>
        </w:rPr>
        <w:t>36928-</w:t>
      </w:r>
      <w:r w:rsidR="00665DCC">
        <w:rPr>
          <w:rFonts w:ascii="Times New Roman" w:hAnsi="Times New Roman"/>
          <w:sz w:val="24"/>
          <w:szCs w:val="24"/>
        </w:rPr>
        <w:t>36929</w:t>
      </w:r>
      <w:r w:rsidRPr="004F7B95">
        <w:rPr>
          <w:rFonts w:ascii="Times New Roman" w:hAnsi="Times New Roman"/>
          <w:sz w:val="24"/>
          <w:szCs w:val="24"/>
        </w:rPr>
        <w:t xml:space="preserve">, and provided a sixty-day period for public comment.  </w:t>
      </w:r>
      <w:bookmarkEnd w:id="4"/>
      <w:r w:rsidRPr="004F7B95">
        <w:rPr>
          <w:rFonts w:ascii="Times New Roman" w:hAnsi="Times New Roman"/>
          <w:sz w:val="24"/>
          <w:szCs w:val="24"/>
        </w:rPr>
        <w:t xml:space="preserve">During the notice and comment period, </w:t>
      </w:r>
      <w:r w:rsidR="0043277A">
        <w:rPr>
          <w:rFonts w:ascii="Times New Roman" w:hAnsi="Times New Roman"/>
          <w:sz w:val="24"/>
          <w:szCs w:val="24"/>
        </w:rPr>
        <w:t xml:space="preserve">ACF </w:t>
      </w:r>
      <w:r w:rsidR="00F64B55">
        <w:rPr>
          <w:rFonts w:ascii="Times New Roman" w:hAnsi="Times New Roman"/>
          <w:sz w:val="24"/>
          <w:szCs w:val="24"/>
        </w:rPr>
        <w:t xml:space="preserve">received </w:t>
      </w:r>
      <w:r w:rsidR="00167E6B">
        <w:rPr>
          <w:rFonts w:ascii="Times New Roman" w:hAnsi="Times New Roman"/>
          <w:sz w:val="24"/>
          <w:szCs w:val="24"/>
        </w:rPr>
        <w:t>no comments</w:t>
      </w:r>
      <w:r w:rsidR="00F64B55">
        <w:rPr>
          <w:rFonts w:ascii="Times New Roman" w:hAnsi="Times New Roman"/>
          <w:sz w:val="24"/>
          <w:szCs w:val="24"/>
        </w:rPr>
        <w:t xml:space="preserve"> in response to this notice</w:t>
      </w:r>
      <w:r w:rsidR="00167E6B">
        <w:rPr>
          <w:rFonts w:ascii="Times New Roman" w:hAnsi="Times New Roman"/>
          <w:sz w:val="24"/>
          <w:szCs w:val="24"/>
        </w:rPr>
        <w:t>.</w:t>
      </w:r>
    </w:p>
    <w:p w:rsidR="0084609A" w:rsidP="003C4285" w:rsidRDefault="0084609A" w14:paraId="492AE82A" w14:textId="79F4C7A0">
      <w:pPr>
        <w:widowControl/>
        <w:ind w:left="720"/>
        <w:rPr>
          <w:rFonts w:ascii="Times New Roman" w:hAnsi="Times New Roman"/>
          <w:sz w:val="24"/>
          <w:szCs w:val="24"/>
        </w:rPr>
      </w:pPr>
    </w:p>
    <w:p w:rsidRPr="004F7B95" w:rsidR="0079001A" w:rsidP="003C4285" w:rsidRDefault="0079001A" w14:paraId="3E9B40C2" w14:textId="77777777">
      <w:pPr>
        <w:widowControl/>
        <w:ind w:left="720"/>
        <w:rPr>
          <w:rFonts w:ascii="Times New Roman" w:hAnsi="Times New Roman"/>
          <w:sz w:val="24"/>
          <w:szCs w:val="24"/>
        </w:rPr>
      </w:pPr>
    </w:p>
    <w:p w:rsidRPr="004821C4" w:rsidR="002C3C4F" w:rsidP="0079001A" w:rsidRDefault="002C3C4F" w14:paraId="6EFF32D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Explanation of Any Payment or Gift to Respondents </w:t>
      </w:r>
    </w:p>
    <w:p w:rsidR="00D60543" w:rsidP="004821C4" w:rsidRDefault="000F4454" w14:paraId="18F3FA24" w14:textId="6209E290">
      <w:pPr>
        <w:widowControl/>
        <w:ind w:firstLine="360"/>
        <w:rPr>
          <w:rFonts w:ascii="Times New Roman" w:hAnsi="Times New Roman"/>
          <w:snapToGrid/>
          <w:sz w:val="24"/>
          <w:szCs w:val="24"/>
        </w:rPr>
      </w:pPr>
      <w:r w:rsidRPr="000F4454">
        <w:rPr>
          <w:rFonts w:ascii="Times New Roman" w:hAnsi="Times New Roman"/>
          <w:snapToGrid/>
          <w:sz w:val="24"/>
          <w:szCs w:val="24"/>
        </w:rPr>
        <w:t>No payments or gifts of any kind will be provided to respondents.</w:t>
      </w:r>
    </w:p>
    <w:p w:rsidR="00D60543" w:rsidP="0051278C" w:rsidRDefault="00D60543" w14:paraId="55794AE6" w14:textId="4A16D7FA">
      <w:pPr>
        <w:widowControl/>
        <w:tabs>
          <w:tab w:val="num" w:pos="360"/>
        </w:tabs>
        <w:ind w:left="720" w:hanging="360"/>
        <w:rPr>
          <w:rFonts w:ascii="Times New Roman" w:hAnsi="Times New Roman"/>
          <w:snapToGrid/>
          <w:sz w:val="24"/>
          <w:szCs w:val="24"/>
        </w:rPr>
      </w:pPr>
    </w:p>
    <w:p w:rsidRPr="004F7B95" w:rsidR="0079001A" w:rsidP="0051278C" w:rsidRDefault="0079001A" w14:paraId="696876BF" w14:textId="77777777">
      <w:pPr>
        <w:widowControl/>
        <w:tabs>
          <w:tab w:val="num" w:pos="360"/>
        </w:tabs>
        <w:ind w:left="720" w:hanging="360"/>
        <w:rPr>
          <w:rFonts w:ascii="Times New Roman" w:hAnsi="Times New Roman"/>
          <w:snapToGrid/>
          <w:sz w:val="24"/>
          <w:szCs w:val="24"/>
        </w:rPr>
      </w:pPr>
    </w:p>
    <w:p w:rsidRPr="004821C4" w:rsidR="002C3C4F" w:rsidP="0079001A" w:rsidRDefault="002C3C4F" w14:paraId="293B37AB"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Assurance of Confidentiality Provided to Respondents </w:t>
      </w:r>
    </w:p>
    <w:p w:rsidR="00D60543" w:rsidP="004821C4" w:rsidRDefault="000F4454" w14:paraId="494A0BF1" w14:textId="472FCC07">
      <w:pPr>
        <w:widowControl/>
        <w:ind w:left="360"/>
        <w:rPr>
          <w:rFonts w:ascii="Times New Roman" w:hAnsi="Times New Roman"/>
          <w:snapToGrid/>
          <w:sz w:val="24"/>
          <w:szCs w:val="24"/>
        </w:rPr>
      </w:pPr>
      <w:r w:rsidRPr="000F4454">
        <w:rPr>
          <w:rFonts w:ascii="Times New Roman" w:hAnsi="Times New Roman"/>
          <w:snapToGrid/>
          <w:sz w:val="24"/>
          <w:szCs w:val="24"/>
        </w:rPr>
        <w:t xml:space="preserve">OCS assures the strict </w:t>
      </w:r>
      <w:r w:rsidR="00167E6B">
        <w:rPr>
          <w:rFonts w:ascii="Times New Roman" w:hAnsi="Times New Roman"/>
          <w:snapToGrid/>
          <w:sz w:val="24"/>
          <w:szCs w:val="24"/>
        </w:rPr>
        <w:t xml:space="preserve">privacy </w:t>
      </w:r>
      <w:r w:rsidRPr="000F4454">
        <w:rPr>
          <w:rFonts w:ascii="Times New Roman" w:hAnsi="Times New Roman"/>
          <w:snapToGrid/>
          <w:sz w:val="24"/>
          <w:szCs w:val="24"/>
        </w:rPr>
        <w:t xml:space="preserve">of all </w:t>
      </w:r>
      <w:proofErr w:type="spellStart"/>
      <w:r w:rsidRPr="000F4454">
        <w:rPr>
          <w:rFonts w:ascii="Times New Roman" w:hAnsi="Times New Roman"/>
          <w:snapToGrid/>
          <w:sz w:val="24"/>
          <w:szCs w:val="24"/>
        </w:rPr>
        <w:t>LIHEAP</w:t>
      </w:r>
      <w:proofErr w:type="spellEnd"/>
      <w:r w:rsidRPr="000F4454">
        <w:rPr>
          <w:rFonts w:ascii="Times New Roman" w:hAnsi="Times New Roman"/>
          <w:snapToGrid/>
          <w:sz w:val="24"/>
          <w:szCs w:val="24"/>
        </w:rPr>
        <w:t xml:space="preserve"> data and will protect the information to the extent allowed by Federal law.  The use of this data is governed by the assurances under which the data were collected from respondents and sub-grantees.  All </w:t>
      </w:r>
      <w:proofErr w:type="spellStart"/>
      <w:r w:rsidRPr="000F4454">
        <w:rPr>
          <w:rFonts w:ascii="Times New Roman" w:hAnsi="Times New Roman"/>
          <w:snapToGrid/>
          <w:sz w:val="24"/>
          <w:szCs w:val="24"/>
        </w:rPr>
        <w:t>LIHEAP</w:t>
      </w:r>
      <w:proofErr w:type="spellEnd"/>
      <w:r w:rsidRPr="000F4454">
        <w:rPr>
          <w:rFonts w:ascii="Times New Roman" w:hAnsi="Times New Roman"/>
          <w:snapToGrid/>
          <w:sz w:val="24"/>
          <w:szCs w:val="24"/>
        </w:rPr>
        <w:t xml:space="preserve"> clients sign authorizations in their </w:t>
      </w:r>
      <w:proofErr w:type="spellStart"/>
      <w:r w:rsidRPr="000F4454">
        <w:rPr>
          <w:rFonts w:ascii="Times New Roman" w:hAnsi="Times New Roman"/>
          <w:snapToGrid/>
          <w:sz w:val="24"/>
          <w:szCs w:val="24"/>
        </w:rPr>
        <w:t>LIHEAP</w:t>
      </w:r>
      <w:proofErr w:type="spellEnd"/>
      <w:r w:rsidRPr="000F4454">
        <w:rPr>
          <w:rFonts w:ascii="Times New Roman" w:hAnsi="Times New Roman"/>
          <w:snapToGrid/>
          <w:sz w:val="24"/>
          <w:szCs w:val="24"/>
        </w:rPr>
        <w:t xml:space="preserve"> applications that allow HHS and its contractors to use data for statistical purposes.</w:t>
      </w:r>
    </w:p>
    <w:p w:rsidRPr="004821C4" w:rsidR="002C3C4F" w:rsidP="0079001A" w:rsidRDefault="002C3C4F" w14:paraId="16A51050"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lastRenderedPageBreak/>
        <w:t xml:space="preserve">Justification for Sensitive Questions </w:t>
      </w:r>
    </w:p>
    <w:p w:rsidRPr="004F7B95" w:rsidR="00CB1A12" w:rsidP="004821C4" w:rsidRDefault="000F4454" w14:paraId="3091EC18" w14:textId="60AF58D7">
      <w:pPr>
        <w:widowControl/>
        <w:ind w:left="360"/>
        <w:rPr>
          <w:rFonts w:ascii="Times New Roman" w:hAnsi="Times New Roman"/>
          <w:snapToGrid/>
          <w:sz w:val="24"/>
          <w:szCs w:val="24"/>
        </w:rPr>
      </w:pPr>
      <w:r w:rsidRPr="000F4454">
        <w:rPr>
          <w:rFonts w:ascii="Times New Roman" w:hAnsi="Times New Roman"/>
          <w:snapToGrid/>
          <w:sz w:val="24"/>
          <w:szCs w:val="24"/>
        </w:rPr>
        <w:t>No sensitive questions are asked in this data collection.</w:t>
      </w:r>
    </w:p>
    <w:p w:rsidR="004602FE" w:rsidP="0051278C" w:rsidRDefault="004602FE" w14:paraId="691B0F9C" w14:textId="1383CCA0">
      <w:pPr>
        <w:widowControl/>
        <w:tabs>
          <w:tab w:val="num" w:pos="360"/>
        </w:tabs>
        <w:ind w:left="720" w:hanging="360"/>
        <w:rPr>
          <w:rFonts w:ascii="Times New Roman" w:hAnsi="Times New Roman"/>
          <w:snapToGrid/>
          <w:sz w:val="24"/>
          <w:szCs w:val="24"/>
        </w:rPr>
      </w:pPr>
    </w:p>
    <w:p w:rsidR="0079001A" w:rsidP="0051278C" w:rsidRDefault="0079001A" w14:paraId="424DDFEE" w14:textId="77777777">
      <w:pPr>
        <w:widowControl/>
        <w:tabs>
          <w:tab w:val="num" w:pos="360"/>
        </w:tabs>
        <w:ind w:left="720" w:hanging="360"/>
        <w:rPr>
          <w:rFonts w:ascii="Times New Roman" w:hAnsi="Times New Roman"/>
          <w:snapToGrid/>
          <w:sz w:val="24"/>
          <w:szCs w:val="24"/>
        </w:rPr>
      </w:pPr>
    </w:p>
    <w:p w:rsidRPr="004821C4" w:rsidR="002C3C4F" w:rsidP="0079001A" w:rsidRDefault="002C3C4F" w14:paraId="661248B1"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4821C4">
        <w:rPr>
          <w:rFonts w:ascii="Times New Roman" w:hAnsi="Times New Roman"/>
          <w:b/>
          <w:snapToGrid/>
          <w:sz w:val="24"/>
          <w:szCs w:val="24"/>
        </w:rPr>
        <w:t xml:space="preserve">Estimates of Annualized Burden Hours and Costs </w:t>
      </w:r>
    </w:p>
    <w:p w:rsidRPr="004F7B95" w:rsidR="0079001A" w:rsidP="0079001A" w:rsidRDefault="00C827B7" w14:paraId="67F9037D" w14:textId="6EFA4D7C">
      <w:pPr>
        <w:widowControl/>
        <w:spacing w:after="240"/>
        <w:ind w:left="360"/>
        <w:rPr>
          <w:rFonts w:ascii="Times New Roman" w:hAnsi="Times New Roman"/>
          <w:snapToGrid/>
          <w:sz w:val="24"/>
          <w:szCs w:val="24"/>
        </w:rPr>
      </w:pPr>
      <w:r w:rsidRPr="00C827B7">
        <w:rPr>
          <w:rFonts w:ascii="Times New Roman" w:hAnsi="Times New Roman"/>
          <w:snapToGrid/>
          <w:sz w:val="24"/>
          <w:szCs w:val="24"/>
        </w:rPr>
        <w:t xml:space="preserve">The table below summarizes the estimated burden hours and costs for this data collection.  </w:t>
      </w:r>
      <w:r w:rsidRPr="00167E6B" w:rsidR="00167E6B">
        <w:rPr>
          <w:rFonts w:ascii="Times New Roman" w:hAnsi="Times New Roman"/>
          <w:snapToGrid/>
          <w:sz w:val="24"/>
          <w:szCs w:val="24"/>
        </w:rPr>
        <w:t xml:space="preserve">These estimates are based on the prior collection of data during </w:t>
      </w:r>
      <w:proofErr w:type="spellStart"/>
      <w:r w:rsidRPr="00167E6B" w:rsidR="00167E6B">
        <w:rPr>
          <w:rFonts w:ascii="Times New Roman" w:hAnsi="Times New Roman"/>
          <w:snapToGrid/>
          <w:sz w:val="24"/>
          <w:szCs w:val="24"/>
        </w:rPr>
        <w:t>FFY</w:t>
      </w:r>
      <w:proofErr w:type="spellEnd"/>
      <w:r w:rsidRPr="00167E6B" w:rsidR="00167E6B">
        <w:rPr>
          <w:rFonts w:ascii="Times New Roman" w:hAnsi="Times New Roman"/>
          <w:snapToGrid/>
          <w:sz w:val="24"/>
          <w:szCs w:val="24"/>
        </w:rPr>
        <w:t xml:space="preserve"> 2017</w:t>
      </w:r>
      <w:r w:rsidR="00167E6B">
        <w:rPr>
          <w:rFonts w:ascii="Times New Roman" w:hAnsi="Times New Roman"/>
          <w:snapToGrid/>
          <w:sz w:val="24"/>
          <w:szCs w:val="24"/>
        </w:rPr>
        <w:t>.</w:t>
      </w:r>
    </w:p>
    <w:tbl>
      <w:tblPr>
        <w:tblW w:w="91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38"/>
        <w:gridCol w:w="1388"/>
        <w:gridCol w:w="1389"/>
        <w:gridCol w:w="1231"/>
        <w:gridCol w:w="1146"/>
        <w:gridCol w:w="1083"/>
        <w:gridCol w:w="1416"/>
      </w:tblGrid>
      <w:tr w:rsidRPr="004F7B95" w:rsidR="00DC3719" w:rsidTr="00DC3719" w14:paraId="571C65D4" w14:textId="77777777">
        <w:trPr>
          <w:tblHeader/>
          <w:jc w:val="center"/>
        </w:trPr>
        <w:tc>
          <w:tcPr>
            <w:tcW w:w="1538" w:type="dxa"/>
            <w:shd w:val="clear" w:color="auto" w:fill="BFBFBF"/>
            <w:vAlign w:val="center"/>
          </w:tcPr>
          <w:p w:rsidRPr="00405C10" w:rsidR="00DC3719" w:rsidP="00C827B7" w:rsidRDefault="00DC3719" w14:paraId="2F86B7B2" w14:textId="2C62AECB">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88" w:type="dxa"/>
            <w:shd w:val="clear" w:color="auto" w:fill="BFBFBF"/>
            <w:vAlign w:val="center"/>
          </w:tcPr>
          <w:p w:rsidRPr="00405C10" w:rsidR="00DC3719" w:rsidP="005B6732" w:rsidRDefault="00DC3719" w14:paraId="5E41F01E" w14:textId="61C06B6D">
            <w:pPr>
              <w:jc w:val="center"/>
              <w:rPr>
                <w:rFonts w:ascii="Times New Roman" w:hAnsi="Times New Roman"/>
                <w:szCs w:val="24"/>
              </w:rPr>
            </w:pPr>
            <w:r w:rsidRPr="00405C10">
              <w:rPr>
                <w:rFonts w:ascii="Times New Roman" w:hAnsi="Times New Roman"/>
                <w:szCs w:val="24"/>
              </w:rPr>
              <w:t>Number of Respondents</w:t>
            </w:r>
          </w:p>
        </w:tc>
        <w:tc>
          <w:tcPr>
            <w:tcW w:w="1389" w:type="dxa"/>
            <w:shd w:val="clear" w:color="auto" w:fill="BFBFBF"/>
            <w:vAlign w:val="center"/>
          </w:tcPr>
          <w:p w:rsidRPr="00405C10" w:rsidR="00DC3719" w:rsidP="00C827B7" w:rsidRDefault="00DC3719" w14:paraId="22A5A18A" w14:textId="61338FB1">
            <w:pPr>
              <w:jc w:val="center"/>
              <w:rPr>
                <w:rFonts w:ascii="Times New Roman" w:hAnsi="Times New Roman"/>
                <w:szCs w:val="24"/>
              </w:rPr>
            </w:pPr>
            <w:r w:rsidRPr="00405C10">
              <w:rPr>
                <w:rFonts w:ascii="Times New Roman" w:hAnsi="Times New Roman"/>
                <w:szCs w:val="24"/>
              </w:rPr>
              <w:t>Number of Responses Per Respondent</w:t>
            </w:r>
          </w:p>
        </w:tc>
        <w:tc>
          <w:tcPr>
            <w:tcW w:w="1231" w:type="dxa"/>
            <w:shd w:val="clear" w:color="auto" w:fill="BFBFBF"/>
            <w:vAlign w:val="center"/>
          </w:tcPr>
          <w:p w:rsidRPr="00405C10" w:rsidR="00DC3719" w:rsidP="00C827B7" w:rsidRDefault="00DC3719" w14:paraId="47330186" w14:textId="60D87417">
            <w:pPr>
              <w:jc w:val="center"/>
              <w:rPr>
                <w:rFonts w:ascii="Times New Roman" w:hAnsi="Times New Roman"/>
                <w:szCs w:val="24"/>
              </w:rPr>
            </w:pPr>
            <w:r w:rsidRPr="00405C10">
              <w:rPr>
                <w:rFonts w:ascii="Times New Roman" w:hAnsi="Times New Roman"/>
                <w:szCs w:val="24"/>
              </w:rPr>
              <w:t xml:space="preserve">Average Burden </w:t>
            </w:r>
            <w:r>
              <w:rPr>
                <w:rFonts w:ascii="Times New Roman" w:hAnsi="Times New Roman"/>
                <w:szCs w:val="24"/>
              </w:rPr>
              <w:t xml:space="preserve">Hours </w:t>
            </w:r>
            <w:r w:rsidRPr="00405C10">
              <w:rPr>
                <w:rFonts w:ascii="Times New Roman" w:hAnsi="Times New Roman"/>
                <w:szCs w:val="24"/>
              </w:rPr>
              <w:t>Per Response</w:t>
            </w:r>
            <w:r>
              <w:rPr>
                <w:rStyle w:val="FootnoteReference"/>
                <w:szCs w:val="24"/>
              </w:rPr>
              <w:footnoteReference w:id="1"/>
            </w:r>
          </w:p>
        </w:tc>
        <w:tc>
          <w:tcPr>
            <w:tcW w:w="1146" w:type="dxa"/>
            <w:shd w:val="clear" w:color="auto" w:fill="BFBFBF"/>
            <w:vAlign w:val="center"/>
          </w:tcPr>
          <w:p w:rsidRPr="00405C10" w:rsidR="00DC3719" w:rsidP="00C827B7" w:rsidRDefault="00DC3719" w14:paraId="0ACE5C15" w14:textId="1C343194">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Burden Hours</w:t>
            </w:r>
            <w:r>
              <w:rPr>
                <w:rStyle w:val="FootnoteReference"/>
                <w:szCs w:val="24"/>
              </w:rPr>
              <w:footnoteReference w:id="2"/>
            </w:r>
          </w:p>
        </w:tc>
        <w:tc>
          <w:tcPr>
            <w:tcW w:w="1083" w:type="dxa"/>
            <w:shd w:val="clear" w:color="auto" w:fill="BFBFBF"/>
            <w:vAlign w:val="center"/>
          </w:tcPr>
          <w:p w:rsidRPr="00405C10" w:rsidR="00DC3719" w:rsidP="005B6732" w:rsidRDefault="00DC3719" w14:paraId="43937323" w14:textId="3347BB27">
            <w:pPr>
              <w:jc w:val="center"/>
              <w:rPr>
                <w:rFonts w:ascii="Times New Roman" w:hAnsi="Times New Roman"/>
                <w:szCs w:val="24"/>
              </w:rPr>
            </w:pPr>
            <w:r w:rsidRPr="00405C10">
              <w:rPr>
                <w:rFonts w:ascii="Times New Roman" w:hAnsi="Times New Roman"/>
                <w:bCs/>
                <w:szCs w:val="24"/>
              </w:rPr>
              <w:t>Average Hourly Wage</w:t>
            </w:r>
            <w:r>
              <w:rPr>
                <w:rStyle w:val="FootnoteReference"/>
                <w:bCs/>
                <w:szCs w:val="24"/>
              </w:rPr>
              <w:footnoteReference w:id="3"/>
            </w:r>
          </w:p>
        </w:tc>
        <w:tc>
          <w:tcPr>
            <w:tcW w:w="1416" w:type="dxa"/>
            <w:shd w:val="clear" w:color="auto" w:fill="BFBFBF"/>
            <w:vAlign w:val="center"/>
          </w:tcPr>
          <w:p w:rsidRPr="00405C10" w:rsidR="00DC3719" w:rsidP="005B6732" w:rsidRDefault="00DC3719" w14:paraId="0AB4DA03" w14:textId="4273F695">
            <w:pPr>
              <w:jc w:val="center"/>
              <w:rPr>
                <w:rFonts w:ascii="Times New Roman" w:hAnsi="Times New Roman"/>
                <w:szCs w:val="24"/>
              </w:rPr>
            </w:pPr>
            <w:r w:rsidRPr="00405C10">
              <w:rPr>
                <w:rFonts w:ascii="Times New Roman" w:hAnsi="Times New Roman"/>
                <w:bCs/>
                <w:szCs w:val="24"/>
              </w:rPr>
              <w:t>Annual</w:t>
            </w:r>
            <w:r w:rsidDel="00C355D5">
              <w:rPr>
                <w:rFonts w:ascii="Times New Roman" w:hAnsi="Times New Roman"/>
                <w:bCs/>
                <w:szCs w:val="24"/>
              </w:rPr>
              <w:t xml:space="preserve"> </w:t>
            </w:r>
            <w:r w:rsidRPr="00405C10">
              <w:rPr>
                <w:rFonts w:ascii="Times New Roman" w:hAnsi="Times New Roman"/>
                <w:bCs/>
                <w:szCs w:val="24"/>
              </w:rPr>
              <w:t>Cost</w:t>
            </w:r>
          </w:p>
        </w:tc>
      </w:tr>
      <w:tr w:rsidRPr="004F7B95" w:rsidR="00DC3719" w:rsidTr="00DC3719" w14:paraId="50A88BEF" w14:textId="45A1B427">
        <w:trPr>
          <w:trHeight w:val="432"/>
          <w:jc w:val="center"/>
        </w:trPr>
        <w:tc>
          <w:tcPr>
            <w:tcW w:w="1538" w:type="dxa"/>
            <w:vAlign w:val="center"/>
          </w:tcPr>
          <w:p w:rsidRPr="00405C10" w:rsidR="00DC3719" w:rsidP="009050C8" w:rsidRDefault="00DC3719" w14:paraId="777B4D74" w14:textId="11A8B2AD">
            <w:pPr>
              <w:tabs>
                <w:tab w:val="center" w:pos="4320"/>
                <w:tab w:val="right" w:pos="8640"/>
              </w:tabs>
              <w:rPr>
                <w:rFonts w:ascii="Times New Roman" w:hAnsi="Times New Roman"/>
                <w:szCs w:val="24"/>
              </w:rPr>
            </w:pPr>
            <w:r w:rsidRPr="00C827B7">
              <w:rPr>
                <w:rFonts w:ascii="Times New Roman" w:hAnsi="Times New Roman"/>
                <w:szCs w:val="24"/>
              </w:rPr>
              <w:t>20</w:t>
            </w:r>
            <w:r>
              <w:rPr>
                <w:rFonts w:ascii="Times New Roman" w:hAnsi="Times New Roman"/>
                <w:szCs w:val="24"/>
              </w:rPr>
              <w:t>20</w:t>
            </w:r>
            <w:r w:rsidRPr="00C827B7">
              <w:rPr>
                <w:rFonts w:ascii="Times New Roman" w:hAnsi="Times New Roman"/>
                <w:szCs w:val="24"/>
              </w:rPr>
              <w:t xml:space="preserve"> </w:t>
            </w:r>
            <w:proofErr w:type="spellStart"/>
            <w:r w:rsidRPr="00C827B7">
              <w:rPr>
                <w:rFonts w:ascii="Times New Roman" w:hAnsi="Times New Roman"/>
                <w:szCs w:val="24"/>
              </w:rPr>
              <w:t>LIHEAP</w:t>
            </w:r>
            <w:proofErr w:type="spellEnd"/>
            <w:r w:rsidRPr="00C827B7">
              <w:rPr>
                <w:rFonts w:ascii="Times New Roman" w:hAnsi="Times New Roman"/>
                <w:szCs w:val="24"/>
              </w:rPr>
              <w:t xml:space="preserve"> - RECS Data Match</w:t>
            </w:r>
          </w:p>
        </w:tc>
        <w:tc>
          <w:tcPr>
            <w:tcW w:w="1388" w:type="dxa"/>
            <w:vAlign w:val="center"/>
          </w:tcPr>
          <w:p w:rsidRPr="00405C10" w:rsidR="00DC3719" w:rsidP="00C827B7" w:rsidRDefault="00DC3719" w14:paraId="50575A5E" w14:textId="01B94D22">
            <w:pPr>
              <w:tabs>
                <w:tab w:val="center" w:pos="4320"/>
                <w:tab w:val="right" w:pos="8640"/>
              </w:tabs>
              <w:jc w:val="center"/>
              <w:rPr>
                <w:rFonts w:ascii="Times New Roman" w:hAnsi="Times New Roman"/>
                <w:szCs w:val="24"/>
                <w:highlight w:val="yellow"/>
              </w:rPr>
            </w:pPr>
            <w:r w:rsidRPr="00221DD9">
              <w:rPr>
                <w:rFonts w:ascii="Times New Roman" w:hAnsi="Times New Roman"/>
                <w:szCs w:val="24"/>
              </w:rPr>
              <w:t>51</w:t>
            </w:r>
          </w:p>
        </w:tc>
        <w:tc>
          <w:tcPr>
            <w:tcW w:w="1389" w:type="dxa"/>
            <w:vAlign w:val="center"/>
          </w:tcPr>
          <w:p w:rsidRPr="00405C10" w:rsidR="00DC3719" w:rsidP="00C827B7" w:rsidRDefault="00DC3719" w14:paraId="4232B279" w14:textId="15EB46FA">
            <w:pPr>
              <w:tabs>
                <w:tab w:val="center" w:pos="4320"/>
                <w:tab w:val="right" w:pos="8640"/>
              </w:tabs>
              <w:jc w:val="center"/>
              <w:rPr>
                <w:rFonts w:ascii="Times New Roman" w:hAnsi="Times New Roman"/>
                <w:szCs w:val="24"/>
              </w:rPr>
            </w:pPr>
            <w:r>
              <w:rPr>
                <w:rFonts w:ascii="Times New Roman" w:hAnsi="Times New Roman"/>
                <w:szCs w:val="24"/>
              </w:rPr>
              <w:t>1</w:t>
            </w:r>
          </w:p>
        </w:tc>
        <w:tc>
          <w:tcPr>
            <w:tcW w:w="1231" w:type="dxa"/>
            <w:vAlign w:val="center"/>
          </w:tcPr>
          <w:p w:rsidRPr="00405C10" w:rsidR="00DC3719" w:rsidP="00C827B7" w:rsidRDefault="00DC3719" w14:paraId="2DF59C22" w14:textId="20CA5954">
            <w:pPr>
              <w:tabs>
                <w:tab w:val="center" w:pos="4320"/>
                <w:tab w:val="right" w:pos="8640"/>
              </w:tabs>
              <w:jc w:val="center"/>
              <w:rPr>
                <w:rFonts w:ascii="Times New Roman" w:hAnsi="Times New Roman"/>
                <w:szCs w:val="24"/>
              </w:rPr>
            </w:pPr>
            <w:r>
              <w:rPr>
                <w:rFonts w:ascii="Times New Roman" w:hAnsi="Times New Roman"/>
                <w:szCs w:val="24"/>
              </w:rPr>
              <w:t>24</w:t>
            </w:r>
          </w:p>
        </w:tc>
        <w:tc>
          <w:tcPr>
            <w:tcW w:w="1146" w:type="dxa"/>
            <w:vAlign w:val="center"/>
          </w:tcPr>
          <w:p w:rsidRPr="00405C10" w:rsidR="00DC3719" w:rsidP="00C827B7" w:rsidRDefault="00DC3719" w14:paraId="42738577" w14:textId="3CD0CE1E">
            <w:pPr>
              <w:tabs>
                <w:tab w:val="center" w:pos="4320"/>
                <w:tab w:val="right" w:pos="8640"/>
              </w:tabs>
              <w:jc w:val="center"/>
              <w:rPr>
                <w:rFonts w:ascii="Times New Roman" w:hAnsi="Times New Roman"/>
                <w:szCs w:val="24"/>
              </w:rPr>
            </w:pPr>
            <w:r w:rsidRPr="00C827B7">
              <w:rPr>
                <w:rFonts w:ascii="Times New Roman" w:hAnsi="Times New Roman"/>
                <w:szCs w:val="24"/>
              </w:rPr>
              <w:t>1,224</w:t>
            </w:r>
          </w:p>
        </w:tc>
        <w:tc>
          <w:tcPr>
            <w:tcW w:w="1083" w:type="dxa"/>
            <w:vAlign w:val="center"/>
          </w:tcPr>
          <w:p w:rsidRPr="00405C10" w:rsidR="00DC3719" w:rsidP="00181298" w:rsidRDefault="00DC3719" w14:paraId="33306E6E" w14:textId="1F56FCC6">
            <w:pPr>
              <w:tabs>
                <w:tab w:val="center" w:pos="4320"/>
                <w:tab w:val="right" w:pos="8640"/>
              </w:tabs>
              <w:jc w:val="center"/>
              <w:rPr>
                <w:rFonts w:ascii="Times New Roman" w:hAnsi="Times New Roman"/>
                <w:szCs w:val="24"/>
              </w:rPr>
            </w:pPr>
            <w:r w:rsidRPr="00C355D5">
              <w:rPr>
                <w:rFonts w:ascii="Times New Roman" w:hAnsi="Times New Roman"/>
                <w:szCs w:val="24"/>
              </w:rPr>
              <w:t>$</w:t>
            </w:r>
            <w:r>
              <w:rPr>
                <w:rFonts w:ascii="Times New Roman" w:hAnsi="Times New Roman"/>
                <w:szCs w:val="24"/>
              </w:rPr>
              <w:t>71</w:t>
            </w:r>
          </w:p>
        </w:tc>
        <w:tc>
          <w:tcPr>
            <w:tcW w:w="1416" w:type="dxa"/>
            <w:vAlign w:val="center"/>
          </w:tcPr>
          <w:p w:rsidRPr="00405C10" w:rsidR="00DC3719" w:rsidP="00DC3719" w:rsidRDefault="00DC3719" w14:paraId="640937A4" w14:textId="74146B41">
            <w:pPr>
              <w:tabs>
                <w:tab w:val="center" w:pos="4320"/>
                <w:tab w:val="right" w:pos="8640"/>
              </w:tabs>
              <w:jc w:val="center"/>
              <w:rPr>
                <w:rFonts w:ascii="Times New Roman" w:hAnsi="Times New Roman"/>
                <w:szCs w:val="24"/>
              </w:rPr>
            </w:pPr>
            <w:r w:rsidRPr="00F46CA5">
              <w:rPr>
                <w:rFonts w:ascii="Times New Roman" w:hAnsi="Times New Roman"/>
                <w:szCs w:val="24"/>
              </w:rPr>
              <w:t>$</w:t>
            </w:r>
            <w:r>
              <w:rPr>
                <w:rFonts w:ascii="Times New Roman" w:hAnsi="Times New Roman"/>
                <w:szCs w:val="24"/>
              </w:rPr>
              <w:t>86,904</w:t>
            </w:r>
            <w:r w:rsidRPr="00F46CA5">
              <w:rPr>
                <w:rFonts w:ascii="Times New Roman" w:hAnsi="Times New Roman"/>
                <w:szCs w:val="24"/>
              </w:rPr>
              <w:t xml:space="preserve"> </w:t>
            </w:r>
          </w:p>
        </w:tc>
      </w:tr>
    </w:tbl>
    <w:p w:rsidR="00AC24C9" w:rsidP="004F7B95" w:rsidRDefault="00AC24C9" w14:paraId="0E42E676" w14:textId="77777777">
      <w:pPr>
        <w:widowControl/>
        <w:ind w:left="720"/>
        <w:rPr>
          <w:rFonts w:ascii="Times New Roman" w:hAnsi="Times New Roman"/>
          <w:snapToGrid/>
          <w:sz w:val="24"/>
          <w:szCs w:val="24"/>
        </w:rPr>
        <w:sectPr w:rsidR="00AC24C9" w:rsidSect="00A918E4">
          <w:footerReference w:type="default" r:id="rId11"/>
          <w:endnotePr>
            <w:numFmt w:val="decimal"/>
          </w:endnotePr>
          <w:pgSz w:w="12240" w:h="15840"/>
          <w:pgMar w:top="1152" w:right="1440" w:bottom="864" w:left="1440" w:header="1440" w:footer="1440" w:gutter="0"/>
          <w:pgNumType w:start="1"/>
          <w:cols w:space="720"/>
          <w:noEndnote/>
          <w:titlePg/>
        </w:sectPr>
      </w:pPr>
    </w:p>
    <w:p w:rsidRPr="00167E6B" w:rsidR="00D60543" w:rsidP="00D60543" w:rsidRDefault="00D60543" w14:paraId="6EEE5927" w14:textId="77777777">
      <w:pPr>
        <w:widowControl/>
        <w:rPr>
          <w:rFonts w:ascii="Times New Roman" w:hAnsi="Times New Roman"/>
          <w:snapToGrid/>
          <w:sz w:val="24"/>
          <w:szCs w:val="24"/>
        </w:rPr>
      </w:pPr>
    </w:p>
    <w:p w:rsidRPr="00311023" w:rsidR="00D60543" w:rsidP="00311023" w:rsidRDefault="002C3C4F" w14:paraId="48DF1AA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311023">
        <w:rPr>
          <w:rFonts w:ascii="Times New Roman" w:hAnsi="Times New Roman"/>
          <w:b/>
          <w:snapToGrid/>
          <w:sz w:val="24"/>
          <w:szCs w:val="24"/>
        </w:rPr>
        <w:t xml:space="preserve">Estimates of Other Total Annual Cost Burden to Respondents and Record Keepers </w:t>
      </w:r>
    </w:p>
    <w:p w:rsidR="00FD1719" w:rsidP="00311023" w:rsidRDefault="000129C2" w14:paraId="011800F8" w14:textId="13EEEABE">
      <w:pPr>
        <w:widowControl/>
        <w:ind w:left="360"/>
        <w:rPr>
          <w:rFonts w:ascii="Times New Roman" w:hAnsi="Times New Roman"/>
          <w:snapToGrid/>
          <w:sz w:val="24"/>
          <w:szCs w:val="24"/>
        </w:rPr>
      </w:pPr>
      <w:r w:rsidRPr="00167E6B">
        <w:rPr>
          <w:rFonts w:ascii="Times New Roman" w:hAnsi="Times New Roman"/>
          <w:snapToGrid/>
          <w:sz w:val="24"/>
          <w:szCs w:val="24"/>
        </w:rPr>
        <w:t xml:space="preserve">There are no other costs to respondents and record keepers.  </w:t>
      </w:r>
      <w:r w:rsidRPr="00167E6B" w:rsidR="00167E6B">
        <w:rPr>
          <w:rFonts w:ascii="Times New Roman" w:hAnsi="Times New Roman"/>
          <w:snapToGrid/>
          <w:sz w:val="24"/>
          <w:szCs w:val="24"/>
        </w:rPr>
        <w:t xml:space="preserve">The </w:t>
      </w:r>
      <w:r w:rsidRPr="00167E6B" w:rsidR="00FD1719">
        <w:rPr>
          <w:rFonts w:ascii="Times New Roman" w:hAnsi="Times New Roman"/>
          <w:snapToGrid/>
          <w:sz w:val="24"/>
          <w:szCs w:val="24"/>
        </w:rPr>
        <w:t>data collection procedures utilize existing systems and should not require any new capital expenditures by grantees.</w:t>
      </w:r>
    </w:p>
    <w:p w:rsidR="00D60543" w:rsidP="00D60543" w:rsidRDefault="00D60543" w14:paraId="7AF942D0" w14:textId="5FA63EEA">
      <w:pPr>
        <w:widowControl/>
        <w:rPr>
          <w:rFonts w:ascii="Times New Roman" w:hAnsi="Times New Roman"/>
          <w:snapToGrid/>
          <w:sz w:val="24"/>
          <w:szCs w:val="24"/>
          <w:highlight w:val="yellow"/>
        </w:rPr>
      </w:pPr>
    </w:p>
    <w:p w:rsidRPr="002A2F20" w:rsidR="00311023" w:rsidP="00D60543" w:rsidRDefault="00311023" w14:paraId="07C89138" w14:textId="77777777">
      <w:pPr>
        <w:widowControl/>
        <w:rPr>
          <w:rFonts w:ascii="Times New Roman" w:hAnsi="Times New Roman"/>
          <w:snapToGrid/>
          <w:sz w:val="24"/>
          <w:szCs w:val="24"/>
          <w:highlight w:val="yellow"/>
        </w:rPr>
      </w:pPr>
    </w:p>
    <w:p w:rsidRPr="00311023" w:rsidR="007935D5" w:rsidP="00311023" w:rsidRDefault="004602FE" w14:paraId="580CC440" w14:textId="50D77393">
      <w:pPr>
        <w:widowControl/>
        <w:numPr>
          <w:ilvl w:val="0"/>
          <w:numId w:val="3"/>
        </w:numPr>
        <w:tabs>
          <w:tab w:val="clear" w:pos="720"/>
          <w:tab w:val="num" w:pos="360"/>
        </w:tabs>
        <w:spacing w:after="120"/>
        <w:ind w:left="360"/>
        <w:rPr>
          <w:rFonts w:ascii="Times New Roman" w:hAnsi="Times New Roman"/>
          <w:b/>
          <w:snapToGrid/>
          <w:sz w:val="24"/>
          <w:szCs w:val="24"/>
        </w:rPr>
      </w:pPr>
      <w:r w:rsidRPr="00311023">
        <w:rPr>
          <w:rFonts w:ascii="Times New Roman" w:hAnsi="Times New Roman"/>
          <w:b/>
          <w:snapToGrid/>
          <w:sz w:val="24"/>
          <w:szCs w:val="24"/>
        </w:rPr>
        <w:t>A</w:t>
      </w:r>
      <w:r w:rsidRPr="00311023" w:rsidR="002C3C4F">
        <w:rPr>
          <w:rFonts w:ascii="Times New Roman" w:hAnsi="Times New Roman"/>
          <w:b/>
          <w:snapToGrid/>
          <w:sz w:val="24"/>
          <w:szCs w:val="24"/>
        </w:rPr>
        <w:t xml:space="preserve">nnualized Cost to the Federal Government </w:t>
      </w:r>
    </w:p>
    <w:p w:rsidRPr="00DD39E5" w:rsidR="00D206CA" w:rsidP="00311023" w:rsidRDefault="00D206CA" w14:paraId="4E395BCE" w14:textId="751D8900">
      <w:pPr>
        <w:widowControl/>
        <w:ind w:left="360"/>
        <w:rPr>
          <w:rFonts w:ascii="Times New Roman" w:hAnsi="Times New Roman"/>
          <w:snapToGrid/>
          <w:sz w:val="24"/>
          <w:szCs w:val="24"/>
        </w:rPr>
      </w:pPr>
      <w:r w:rsidRPr="00DD39E5">
        <w:rPr>
          <w:rFonts w:ascii="Times New Roman" w:hAnsi="Times New Roman"/>
          <w:snapToGrid/>
          <w:sz w:val="24"/>
          <w:szCs w:val="24"/>
        </w:rPr>
        <w:t>Federal Government Staff and Contractor tasks associated with the collection of these data include:</w:t>
      </w:r>
    </w:p>
    <w:p w:rsidRPr="00DD39E5" w:rsidR="00816B84" w:rsidP="00816B84" w:rsidRDefault="00D206CA" w14:paraId="702DEC9F" w14:textId="77777777">
      <w:pPr>
        <w:pStyle w:val="ListParagraph"/>
        <w:widowControl/>
        <w:numPr>
          <w:ilvl w:val="0"/>
          <w:numId w:val="20"/>
        </w:numPr>
        <w:tabs>
          <w:tab w:val="num" w:pos="360"/>
        </w:tabs>
        <w:rPr>
          <w:rFonts w:ascii="Times New Roman" w:hAnsi="Times New Roman"/>
          <w:snapToGrid/>
          <w:sz w:val="24"/>
          <w:szCs w:val="24"/>
        </w:rPr>
      </w:pPr>
      <w:r w:rsidRPr="00DD39E5">
        <w:rPr>
          <w:rFonts w:ascii="Times New Roman" w:hAnsi="Times New Roman"/>
          <w:snapToGrid/>
          <w:sz w:val="24"/>
          <w:szCs w:val="24"/>
        </w:rPr>
        <w:t>Grantee Notification &amp; Monitoring – Notifying grantees of the data collection and monitor progress of the data collection effort;</w:t>
      </w:r>
    </w:p>
    <w:p w:rsidRPr="00DD39E5" w:rsidR="00816B84" w:rsidP="00816B84" w:rsidRDefault="00D206CA" w14:paraId="0ECD8EE4" w14:textId="77777777">
      <w:pPr>
        <w:pStyle w:val="ListParagraph"/>
        <w:widowControl/>
        <w:numPr>
          <w:ilvl w:val="0"/>
          <w:numId w:val="20"/>
        </w:numPr>
        <w:tabs>
          <w:tab w:val="num" w:pos="360"/>
        </w:tabs>
        <w:rPr>
          <w:rFonts w:ascii="Times New Roman" w:hAnsi="Times New Roman"/>
          <w:snapToGrid/>
          <w:sz w:val="24"/>
          <w:szCs w:val="24"/>
        </w:rPr>
      </w:pPr>
      <w:r w:rsidRPr="00DD39E5">
        <w:rPr>
          <w:rFonts w:ascii="Times New Roman" w:hAnsi="Times New Roman"/>
          <w:snapToGrid/>
          <w:sz w:val="24"/>
          <w:szCs w:val="24"/>
        </w:rPr>
        <w:t>Data Collection – Collecting the data from grantees; and</w:t>
      </w:r>
    </w:p>
    <w:p w:rsidRPr="00DD39E5" w:rsidR="00D206CA" w:rsidP="00816B84" w:rsidRDefault="00D206CA" w14:paraId="091DCE46" w14:textId="5B3EAF07">
      <w:pPr>
        <w:pStyle w:val="ListParagraph"/>
        <w:widowControl/>
        <w:numPr>
          <w:ilvl w:val="0"/>
          <w:numId w:val="20"/>
        </w:numPr>
        <w:tabs>
          <w:tab w:val="num" w:pos="360"/>
        </w:tabs>
        <w:rPr>
          <w:rFonts w:ascii="Times New Roman" w:hAnsi="Times New Roman"/>
          <w:snapToGrid/>
          <w:sz w:val="24"/>
          <w:szCs w:val="24"/>
        </w:rPr>
      </w:pPr>
      <w:r w:rsidRPr="00DD39E5">
        <w:rPr>
          <w:rFonts w:ascii="Times New Roman" w:hAnsi="Times New Roman"/>
          <w:snapToGrid/>
          <w:sz w:val="24"/>
          <w:szCs w:val="24"/>
        </w:rPr>
        <w:t>Data Review and Analysis – Reviewing submitted data, working with grantees to verify the submitted data, and conducting analysis of the data to prepare administrative data variables and append them to the RECS data file.</w:t>
      </w:r>
    </w:p>
    <w:p w:rsidR="00311023" w:rsidP="00D206CA" w:rsidRDefault="00311023" w14:paraId="15CBBB0A" w14:textId="77777777">
      <w:pPr>
        <w:widowControl/>
        <w:ind w:left="720"/>
        <w:rPr>
          <w:rFonts w:ascii="Times New Roman" w:hAnsi="Times New Roman"/>
          <w:snapToGrid/>
          <w:sz w:val="24"/>
          <w:szCs w:val="24"/>
        </w:rPr>
      </w:pPr>
    </w:p>
    <w:p w:rsidRPr="00DD39E5" w:rsidR="00D206CA" w:rsidP="00311023" w:rsidRDefault="00D206CA" w14:paraId="3C51858C" w14:textId="01A21BC1">
      <w:pPr>
        <w:widowControl/>
        <w:spacing w:after="120"/>
        <w:ind w:left="720"/>
        <w:rPr>
          <w:rFonts w:ascii="Times New Roman" w:hAnsi="Times New Roman"/>
          <w:snapToGrid/>
          <w:sz w:val="24"/>
          <w:szCs w:val="24"/>
        </w:rPr>
      </w:pPr>
      <w:r w:rsidRPr="00DD39E5">
        <w:rPr>
          <w:rFonts w:ascii="Times New Roman" w:hAnsi="Times New Roman"/>
          <w:snapToGrid/>
          <w:sz w:val="24"/>
          <w:szCs w:val="24"/>
        </w:rPr>
        <w:t>The table below furnishes information on the estimated Federal Staff hours and costs associated with each task:</w:t>
      </w:r>
    </w:p>
    <w:p w:rsidR="002357D9" w:rsidP="00D206CA" w:rsidRDefault="002357D9" w14:paraId="523BDF24" w14:textId="77777777">
      <w:pPr>
        <w:tabs>
          <w:tab w:val="left" w:pos="-734"/>
          <w:tab w:val="left" w:pos="544"/>
          <w:tab w:val="left" w:pos="814"/>
        </w:tabs>
        <w:spacing w:after="240"/>
        <w:jc w:val="center"/>
        <w:rPr>
          <w:rFonts w:ascii="Times New Roman" w:hAnsi="Times New Roman"/>
          <w:b/>
          <w:sz w:val="24"/>
          <w:szCs w:val="22"/>
        </w:rPr>
      </w:pPr>
    </w:p>
    <w:p w:rsidR="002357D9" w:rsidP="00D206CA" w:rsidRDefault="002357D9" w14:paraId="596830F7" w14:textId="77777777">
      <w:pPr>
        <w:tabs>
          <w:tab w:val="left" w:pos="-734"/>
          <w:tab w:val="left" w:pos="544"/>
          <w:tab w:val="left" w:pos="814"/>
        </w:tabs>
        <w:spacing w:after="240"/>
        <w:jc w:val="center"/>
        <w:rPr>
          <w:rFonts w:ascii="Times New Roman" w:hAnsi="Times New Roman"/>
          <w:b/>
          <w:sz w:val="24"/>
          <w:szCs w:val="22"/>
        </w:rPr>
      </w:pPr>
    </w:p>
    <w:p w:rsidRPr="007B7D18" w:rsidR="00D206CA" w:rsidP="00D206CA" w:rsidRDefault="00D206CA" w14:paraId="117B7F52" w14:textId="24E0A6B5">
      <w:pPr>
        <w:tabs>
          <w:tab w:val="left" w:pos="-734"/>
          <w:tab w:val="left" w:pos="544"/>
          <w:tab w:val="left" w:pos="814"/>
        </w:tabs>
        <w:spacing w:after="240"/>
        <w:jc w:val="center"/>
        <w:rPr>
          <w:rFonts w:ascii="Times New Roman" w:hAnsi="Times New Roman"/>
          <w:b/>
          <w:sz w:val="24"/>
          <w:szCs w:val="22"/>
        </w:rPr>
      </w:pPr>
      <w:r w:rsidRPr="007B7D18">
        <w:rPr>
          <w:rFonts w:ascii="Times New Roman" w:hAnsi="Times New Roman"/>
          <w:b/>
          <w:sz w:val="24"/>
          <w:szCs w:val="22"/>
        </w:rPr>
        <w:lastRenderedPageBreak/>
        <w:t>Annual Federal Staff Hours and Costs</w:t>
      </w:r>
    </w:p>
    <w:tbl>
      <w:tblPr>
        <w:tblStyle w:val="TableGrid"/>
        <w:tblW w:w="0" w:type="auto"/>
        <w:tblInd w:w="648" w:type="dxa"/>
        <w:tblBorders>
          <w:top w:val="double" w:color="000000" w:sz="6" w:space="0"/>
          <w:left w:val="double" w:color="000000" w:sz="6" w:space="0"/>
          <w:bottom w:val="double" w:color="000000" w:sz="6" w:space="0"/>
          <w:right w:val="double" w:color="000000" w:sz="6" w:space="0"/>
        </w:tblBorders>
        <w:tblLook w:val="04A0" w:firstRow="1" w:lastRow="0" w:firstColumn="1" w:lastColumn="0" w:noHBand="0" w:noVBand="1"/>
      </w:tblPr>
      <w:tblGrid>
        <w:gridCol w:w="2160"/>
        <w:gridCol w:w="2256"/>
        <w:gridCol w:w="2256"/>
        <w:gridCol w:w="1968"/>
      </w:tblGrid>
      <w:tr w:rsidRPr="007B7D18" w:rsidR="00D206CA" w:rsidTr="000129C2" w14:paraId="0108E709" w14:textId="77777777">
        <w:tc>
          <w:tcPr>
            <w:tcW w:w="2160" w:type="dxa"/>
            <w:shd w:val="clear" w:color="auto" w:fill="auto"/>
            <w:vAlign w:val="center"/>
          </w:tcPr>
          <w:p w:rsidRPr="007B7D18" w:rsidR="00D206CA" w:rsidP="000129C2" w:rsidRDefault="00D206CA" w14:paraId="49D03864" w14:textId="77777777">
            <w:pPr>
              <w:tabs>
                <w:tab w:val="left" w:pos="-734"/>
                <w:tab w:val="left" w:pos="544"/>
                <w:tab w:val="left" w:pos="814"/>
              </w:tabs>
              <w:spacing w:before="20" w:after="20"/>
              <w:jc w:val="center"/>
              <w:rPr>
                <w:rFonts w:ascii="Times New Roman" w:hAnsi="Times New Roman"/>
                <w:b/>
                <w:sz w:val="24"/>
                <w:szCs w:val="22"/>
              </w:rPr>
            </w:pPr>
            <w:r w:rsidRPr="007B7D18">
              <w:rPr>
                <w:rFonts w:ascii="Times New Roman" w:hAnsi="Times New Roman"/>
                <w:b/>
                <w:sz w:val="24"/>
                <w:szCs w:val="22"/>
              </w:rPr>
              <w:t>Task</w:t>
            </w:r>
          </w:p>
        </w:tc>
        <w:tc>
          <w:tcPr>
            <w:tcW w:w="2256" w:type="dxa"/>
            <w:shd w:val="clear" w:color="auto" w:fill="auto"/>
            <w:vAlign w:val="center"/>
          </w:tcPr>
          <w:p w:rsidRPr="007B7D18" w:rsidR="00D206CA" w:rsidP="000129C2" w:rsidRDefault="00D206CA" w14:paraId="541038BB" w14:textId="129BA7CC">
            <w:pPr>
              <w:tabs>
                <w:tab w:val="left" w:pos="-734"/>
                <w:tab w:val="left" w:pos="544"/>
                <w:tab w:val="left" w:pos="814"/>
              </w:tabs>
              <w:spacing w:before="20" w:after="20"/>
              <w:jc w:val="center"/>
              <w:rPr>
                <w:rFonts w:ascii="Times New Roman" w:hAnsi="Times New Roman"/>
                <w:b/>
                <w:sz w:val="24"/>
                <w:szCs w:val="22"/>
              </w:rPr>
            </w:pPr>
            <w:r w:rsidRPr="007B7D18">
              <w:rPr>
                <w:rFonts w:ascii="Times New Roman" w:hAnsi="Times New Roman"/>
                <w:b/>
                <w:sz w:val="24"/>
                <w:szCs w:val="22"/>
              </w:rPr>
              <w:t>Number of Hours</w:t>
            </w:r>
            <w:r w:rsidRPr="00221DD9" w:rsidR="00AC24C9">
              <w:rPr>
                <w:rStyle w:val="StyleFootnoteReferenceTimesNewRoman12ptBold"/>
              </w:rPr>
              <w:footnoteReference w:id="4"/>
            </w:r>
          </w:p>
        </w:tc>
        <w:tc>
          <w:tcPr>
            <w:tcW w:w="2256" w:type="dxa"/>
            <w:shd w:val="clear" w:color="auto" w:fill="auto"/>
            <w:vAlign w:val="center"/>
          </w:tcPr>
          <w:p w:rsidRPr="007B7D18" w:rsidR="00D206CA" w:rsidP="000129C2" w:rsidRDefault="00D206CA" w14:paraId="0D5D4710" w14:textId="77777777">
            <w:pPr>
              <w:tabs>
                <w:tab w:val="left" w:pos="-734"/>
                <w:tab w:val="left" w:pos="544"/>
                <w:tab w:val="left" w:pos="814"/>
              </w:tabs>
              <w:spacing w:before="20" w:after="20"/>
              <w:jc w:val="center"/>
              <w:rPr>
                <w:rFonts w:ascii="Times New Roman" w:hAnsi="Times New Roman"/>
                <w:b/>
                <w:sz w:val="24"/>
                <w:szCs w:val="22"/>
              </w:rPr>
            </w:pPr>
            <w:r w:rsidRPr="007B7D18">
              <w:rPr>
                <w:rFonts w:ascii="Times New Roman" w:hAnsi="Times New Roman"/>
                <w:b/>
                <w:sz w:val="24"/>
                <w:szCs w:val="22"/>
              </w:rPr>
              <w:t>Rate</w:t>
            </w:r>
          </w:p>
        </w:tc>
        <w:tc>
          <w:tcPr>
            <w:tcW w:w="1968" w:type="dxa"/>
            <w:shd w:val="clear" w:color="auto" w:fill="auto"/>
            <w:vAlign w:val="center"/>
          </w:tcPr>
          <w:p w:rsidRPr="007B7D18" w:rsidR="00D206CA" w:rsidP="000129C2" w:rsidRDefault="00D206CA" w14:paraId="4E7BDE38" w14:textId="62C2023C">
            <w:pPr>
              <w:tabs>
                <w:tab w:val="left" w:pos="-734"/>
                <w:tab w:val="left" w:pos="544"/>
                <w:tab w:val="left" w:pos="814"/>
              </w:tabs>
              <w:spacing w:before="20" w:after="20"/>
              <w:jc w:val="center"/>
              <w:rPr>
                <w:rFonts w:ascii="Times New Roman" w:hAnsi="Times New Roman"/>
                <w:b/>
                <w:sz w:val="24"/>
                <w:szCs w:val="22"/>
              </w:rPr>
            </w:pPr>
            <w:r w:rsidRPr="007B7D18">
              <w:rPr>
                <w:rFonts w:ascii="Times New Roman" w:hAnsi="Times New Roman"/>
                <w:b/>
                <w:sz w:val="24"/>
                <w:szCs w:val="22"/>
              </w:rPr>
              <w:t xml:space="preserve">Total </w:t>
            </w:r>
            <w:r w:rsidR="000230B0">
              <w:rPr>
                <w:rFonts w:ascii="Times New Roman" w:hAnsi="Times New Roman"/>
                <w:b/>
                <w:sz w:val="24"/>
                <w:szCs w:val="22"/>
              </w:rPr>
              <w:t xml:space="preserve">Annual </w:t>
            </w:r>
            <w:r w:rsidRPr="007B7D18">
              <w:rPr>
                <w:rFonts w:ascii="Times New Roman" w:hAnsi="Times New Roman"/>
                <w:b/>
                <w:sz w:val="24"/>
                <w:szCs w:val="22"/>
              </w:rPr>
              <w:t>Cost</w:t>
            </w:r>
          </w:p>
        </w:tc>
      </w:tr>
      <w:tr w:rsidRPr="007B7D18" w:rsidR="00F10D0B" w:rsidTr="00D85A8F" w14:paraId="085EF03C" w14:textId="77777777">
        <w:tc>
          <w:tcPr>
            <w:tcW w:w="2160" w:type="dxa"/>
            <w:shd w:val="clear" w:color="auto" w:fill="auto"/>
            <w:vAlign w:val="center"/>
          </w:tcPr>
          <w:p w:rsidRPr="007B7D18" w:rsidR="00F10D0B" w:rsidP="00F10D0B" w:rsidRDefault="00F10D0B" w14:paraId="4D93EBD5" w14:textId="77777777">
            <w:pPr>
              <w:tabs>
                <w:tab w:val="left" w:pos="-734"/>
                <w:tab w:val="left" w:pos="544"/>
                <w:tab w:val="left" w:pos="814"/>
              </w:tabs>
              <w:spacing w:before="20" w:after="20"/>
              <w:rPr>
                <w:rFonts w:ascii="Times New Roman" w:hAnsi="Times New Roman"/>
                <w:sz w:val="24"/>
                <w:szCs w:val="22"/>
              </w:rPr>
            </w:pPr>
            <w:r w:rsidRPr="007B7D18">
              <w:rPr>
                <w:rFonts w:ascii="Times New Roman" w:hAnsi="Times New Roman"/>
                <w:sz w:val="24"/>
                <w:szCs w:val="22"/>
              </w:rPr>
              <w:t>Grantee Notification &amp; Monitoring</w:t>
            </w:r>
          </w:p>
        </w:tc>
        <w:tc>
          <w:tcPr>
            <w:tcW w:w="2256" w:type="dxa"/>
            <w:shd w:val="clear" w:color="auto" w:fill="auto"/>
            <w:vAlign w:val="center"/>
          </w:tcPr>
          <w:p w:rsidRPr="007B7D18" w:rsidR="00F10D0B" w:rsidP="00F10D0B" w:rsidRDefault="00FA7859" w14:paraId="3ECB209F" w14:textId="6B0FABB4">
            <w:pPr>
              <w:tabs>
                <w:tab w:val="left" w:pos="-734"/>
                <w:tab w:val="left" w:pos="544"/>
                <w:tab w:val="left" w:pos="814"/>
              </w:tabs>
              <w:spacing w:before="20" w:after="20"/>
              <w:jc w:val="center"/>
              <w:rPr>
                <w:rFonts w:ascii="Times New Roman" w:hAnsi="Times New Roman"/>
                <w:sz w:val="24"/>
                <w:szCs w:val="22"/>
              </w:rPr>
            </w:pPr>
            <w:r w:rsidRPr="00FA7859">
              <w:rPr>
                <w:rFonts w:ascii="Times New Roman" w:hAnsi="Times New Roman"/>
                <w:sz w:val="24"/>
                <w:szCs w:val="22"/>
              </w:rPr>
              <w:t>2</w:t>
            </w:r>
          </w:p>
        </w:tc>
        <w:tc>
          <w:tcPr>
            <w:tcW w:w="2256" w:type="dxa"/>
            <w:shd w:val="clear" w:color="auto" w:fill="auto"/>
            <w:vAlign w:val="center"/>
          </w:tcPr>
          <w:p w:rsidRPr="007B7D18" w:rsidR="00F10D0B" w:rsidP="00FA7859" w:rsidRDefault="00FA7859" w14:paraId="11AF5BB1" w14:textId="533B0021">
            <w:pPr>
              <w:tabs>
                <w:tab w:val="left" w:pos="-734"/>
                <w:tab w:val="left" w:pos="544"/>
                <w:tab w:val="left" w:pos="814"/>
              </w:tabs>
              <w:spacing w:before="20" w:after="20"/>
              <w:jc w:val="center"/>
              <w:rPr>
                <w:rFonts w:ascii="Times New Roman" w:hAnsi="Times New Roman"/>
                <w:sz w:val="24"/>
                <w:szCs w:val="22"/>
              </w:rPr>
            </w:pPr>
            <w:r w:rsidRPr="00FA7859">
              <w:rPr>
                <w:rFonts w:ascii="Times New Roman" w:hAnsi="Times New Roman"/>
                <w:sz w:val="24"/>
                <w:szCs w:val="22"/>
              </w:rPr>
              <w:t>$93.76</w:t>
            </w:r>
            <w:r w:rsidRPr="007B7D18" w:rsidR="007B7D18">
              <w:rPr>
                <w:rStyle w:val="FootnoteReference"/>
                <w:szCs w:val="22"/>
              </w:rPr>
              <w:footnoteReference w:id="5"/>
            </w:r>
          </w:p>
        </w:tc>
        <w:tc>
          <w:tcPr>
            <w:tcW w:w="1968" w:type="dxa"/>
            <w:shd w:val="clear" w:color="auto" w:fill="auto"/>
            <w:vAlign w:val="center"/>
          </w:tcPr>
          <w:p w:rsidRPr="007B7D18" w:rsidR="00F10D0B" w:rsidP="00F10D0B" w:rsidRDefault="00FA7859" w14:paraId="0F5D464F" w14:textId="1980CB3B">
            <w:pPr>
              <w:tabs>
                <w:tab w:val="left" w:pos="-734"/>
                <w:tab w:val="left" w:pos="544"/>
                <w:tab w:val="left" w:pos="814"/>
              </w:tabs>
              <w:spacing w:before="20" w:after="20"/>
              <w:jc w:val="center"/>
              <w:rPr>
                <w:rFonts w:ascii="Times New Roman" w:hAnsi="Times New Roman"/>
                <w:sz w:val="24"/>
                <w:szCs w:val="22"/>
              </w:rPr>
            </w:pPr>
            <w:r w:rsidRPr="00FA7859">
              <w:rPr>
                <w:rFonts w:ascii="Times New Roman" w:hAnsi="Times New Roman"/>
                <w:sz w:val="24"/>
                <w:szCs w:val="22"/>
              </w:rPr>
              <w:t>$188</w:t>
            </w:r>
          </w:p>
        </w:tc>
      </w:tr>
      <w:tr w:rsidRPr="007B7D18" w:rsidR="00F10D0B" w:rsidTr="00D85A8F" w14:paraId="7CC70EA7" w14:textId="77777777">
        <w:tc>
          <w:tcPr>
            <w:tcW w:w="2160" w:type="dxa"/>
            <w:shd w:val="clear" w:color="auto" w:fill="auto"/>
            <w:vAlign w:val="center"/>
          </w:tcPr>
          <w:p w:rsidRPr="007B7D18" w:rsidR="00F10D0B" w:rsidP="00F10D0B" w:rsidRDefault="00F10D0B" w14:paraId="3D32F5BB" w14:textId="77777777">
            <w:pPr>
              <w:tabs>
                <w:tab w:val="left" w:pos="-734"/>
                <w:tab w:val="left" w:pos="544"/>
                <w:tab w:val="left" w:pos="814"/>
              </w:tabs>
              <w:spacing w:before="20" w:after="20"/>
              <w:rPr>
                <w:rFonts w:ascii="Times New Roman" w:hAnsi="Times New Roman"/>
                <w:sz w:val="24"/>
                <w:szCs w:val="22"/>
              </w:rPr>
            </w:pPr>
            <w:r w:rsidRPr="007B7D18">
              <w:rPr>
                <w:rFonts w:ascii="Times New Roman" w:hAnsi="Times New Roman"/>
                <w:sz w:val="24"/>
                <w:szCs w:val="22"/>
              </w:rPr>
              <w:t>Data collection</w:t>
            </w:r>
          </w:p>
        </w:tc>
        <w:tc>
          <w:tcPr>
            <w:tcW w:w="2256" w:type="dxa"/>
            <w:shd w:val="clear" w:color="auto" w:fill="auto"/>
            <w:vAlign w:val="center"/>
          </w:tcPr>
          <w:p w:rsidRPr="007B7D18" w:rsidR="00F10D0B" w:rsidP="00F10D0B" w:rsidRDefault="00533C08" w14:paraId="6709C8CB" w14:textId="7D0156B8">
            <w:pPr>
              <w:tabs>
                <w:tab w:val="left" w:pos="-734"/>
                <w:tab w:val="left" w:pos="544"/>
                <w:tab w:val="left" w:pos="814"/>
              </w:tabs>
              <w:spacing w:before="20" w:after="20"/>
              <w:jc w:val="center"/>
              <w:rPr>
                <w:rFonts w:ascii="Times New Roman" w:hAnsi="Times New Roman"/>
                <w:sz w:val="24"/>
                <w:szCs w:val="22"/>
              </w:rPr>
            </w:pPr>
            <w:r w:rsidRPr="00533C08">
              <w:rPr>
                <w:rFonts w:ascii="Times New Roman" w:hAnsi="Times New Roman"/>
                <w:sz w:val="24"/>
                <w:szCs w:val="22"/>
              </w:rPr>
              <w:t>13</w:t>
            </w:r>
          </w:p>
        </w:tc>
        <w:tc>
          <w:tcPr>
            <w:tcW w:w="2256" w:type="dxa"/>
            <w:shd w:val="clear" w:color="auto" w:fill="auto"/>
            <w:vAlign w:val="center"/>
          </w:tcPr>
          <w:p w:rsidRPr="007B7D18" w:rsidR="00F10D0B" w:rsidP="00533C08" w:rsidRDefault="00533C08" w14:paraId="7D6906FB" w14:textId="3768CB34">
            <w:pPr>
              <w:tabs>
                <w:tab w:val="left" w:pos="-734"/>
                <w:tab w:val="left" w:pos="544"/>
                <w:tab w:val="left" w:pos="814"/>
              </w:tabs>
              <w:spacing w:before="20" w:after="20"/>
              <w:jc w:val="center"/>
              <w:rPr>
                <w:rFonts w:ascii="Times New Roman" w:hAnsi="Times New Roman"/>
                <w:sz w:val="24"/>
                <w:szCs w:val="22"/>
              </w:rPr>
            </w:pPr>
            <w:r w:rsidRPr="00533C08">
              <w:rPr>
                <w:rFonts w:ascii="Times New Roman" w:hAnsi="Times New Roman"/>
                <w:sz w:val="24"/>
                <w:szCs w:val="22"/>
              </w:rPr>
              <w:t>$131.76</w:t>
            </w:r>
            <w:r w:rsidRPr="007B7D18" w:rsidR="007B7D18">
              <w:rPr>
                <w:rStyle w:val="FootnoteReference"/>
                <w:szCs w:val="22"/>
              </w:rPr>
              <w:footnoteReference w:id="6"/>
            </w:r>
          </w:p>
        </w:tc>
        <w:tc>
          <w:tcPr>
            <w:tcW w:w="1968" w:type="dxa"/>
            <w:shd w:val="clear" w:color="auto" w:fill="auto"/>
            <w:vAlign w:val="center"/>
          </w:tcPr>
          <w:p w:rsidRPr="007B7D18" w:rsidR="00F10D0B" w:rsidP="00F10D0B" w:rsidRDefault="00533C08" w14:paraId="413DD953" w14:textId="4A485531">
            <w:pPr>
              <w:tabs>
                <w:tab w:val="left" w:pos="-734"/>
                <w:tab w:val="left" w:pos="544"/>
                <w:tab w:val="left" w:pos="814"/>
              </w:tabs>
              <w:spacing w:before="20" w:after="20"/>
              <w:jc w:val="center"/>
              <w:rPr>
                <w:rFonts w:ascii="Times New Roman" w:hAnsi="Times New Roman"/>
                <w:sz w:val="24"/>
                <w:szCs w:val="22"/>
              </w:rPr>
            </w:pPr>
            <w:r w:rsidRPr="00533C08">
              <w:rPr>
                <w:rFonts w:ascii="Times New Roman" w:hAnsi="Times New Roman"/>
                <w:sz w:val="24"/>
                <w:szCs w:val="22"/>
              </w:rPr>
              <w:t>$1,713</w:t>
            </w:r>
          </w:p>
        </w:tc>
      </w:tr>
      <w:tr w:rsidRPr="007B7D18" w:rsidR="00F10D0B" w:rsidTr="00D85A8F" w14:paraId="724E7E62" w14:textId="77777777">
        <w:tc>
          <w:tcPr>
            <w:tcW w:w="2160" w:type="dxa"/>
            <w:shd w:val="clear" w:color="auto" w:fill="auto"/>
            <w:vAlign w:val="center"/>
          </w:tcPr>
          <w:p w:rsidRPr="007B7D18" w:rsidR="00F10D0B" w:rsidP="00F10D0B" w:rsidRDefault="00F10D0B" w14:paraId="7B8A2423" w14:textId="77777777">
            <w:pPr>
              <w:tabs>
                <w:tab w:val="left" w:pos="-734"/>
                <w:tab w:val="left" w:pos="544"/>
                <w:tab w:val="left" w:pos="814"/>
              </w:tabs>
              <w:spacing w:before="20" w:after="20"/>
              <w:rPr>
                <w:rFonts w:ascii="Times New Roman" w:hAnsi="Times New Roman"/>
                <w:sz w:val="24"/>
                <w:szCs w:val="22"/>
              </w:rPr>
            </w:pPr>
            <w:r w:rsidRPr="007B7D18">
              <w:rPr>
                <w:rFonts w:ascii="Times New Roman" w:hAnsi="Times New Roman"/>
                <w:sz w:val="24"/>
                <w:szCs w:val="22"/>
              </w:rPr>
              <w:t>Data Review and Analysis</w:t>
            </w:r>
          </w:p>
        </w:tc>
        <w:tc>
          <w:tcPr>
            <w:tcW w:w="2256" w:type="dxa"/>
            <w:shd w:val="clear" w:color="auto" w:fill="auto"/>
            <w:vAlign w:val="center"/>
          </w:tcPr>
          <w:p w:rsidRPr="007B7D18" w:rsidR="00F10D0B" w:rsidP="00F10D0B" w:rsidRDefault="00533C08" w14:paraId="7D993C23" w14:textId="53F927B2">
            <w:pPr>
              <w:tabs>
                <w:tab w:val="left" w:pos="-734"/>
                <w:tab w:val="left" w:pos="544"/>
                <w:tab w:val="left" w:pos="814"/>
              </w:tabs>
              <w:spacing w:before="20" w:after="20"/>
              <w:jc w:val="center"/>
              <w:rPr>
                <w:rFonts w:ascii="Times New Roman" w:hAnsi="Times New Roman"/>
                <w:sz w:val="24"/>
                <w:szCs w:val="22"/>
              </w:rPr>
            </w:pPr>
            <w:r w:rsidRPr="00533C08">
              <w:rPr>
                <w:rFonts w:ascii="Times New Roman" w:hAnsi="Times New Roman"/>
                <w:sz w:val="24"/>
                <w:szCs w:val="22"/>
              </w:rPr>
              <w:t>33</w:t>
            </w:r>
          </w:p>
        </w:tc>
        <w:tc>
          <w:tcPr>
            <w:tcW w:w="2256" w:type="dxa"/>
            <w:shd w:val="clear" w:color="auto" w:fill="auto"/>
            <w:vAlign w:val="center"/>
          </w:tcPr>
          <w:p w:rsidRPr="007B7D18" w:rsidR="00F10D0B" w:rsidP="00533C08" w:rsidRDefault="00533C08" w14:paraId="7AA4FA6E" w14:textId="1874AAEA">
            <w:pPr>
              <w:tabs>
                <w:tab w:val="left" w:pos="-734"/>
                <w:tab w:val="left" w:pos="544"/>
                <w:tab w:val="left" w:pos="814"/>
              </w:tabs>
              <w:spacing w:before="20" w:after="20"/>
              <w:jc w:val="center"/>
              <w:rPr>
                <w:rFonts w:ascii="Times New Roman" w:hAnsi="Times New Roman"/>
                <w:sz w:val="24"/>
                <w:szCs w:val="22"/>
              </w:rPr>
            </w:pPr>
            <w:r w:rsidRPr="00533C08">
              <w:rPr>
                <w:rFonts w:ascii="Times New Roman" w:hAnsi="Times New Roman"/>
                <w:sz w:val="24"/>
                <w:szCs w:val="22"/>
              </w:rPr>
              <w:t>$111.50</w:t>
            </w:r>
            <w:r w:rsidRPr="007B7D18" w:rsidR="007B7D18">
              <w:rPr>
                <w:rStyle w:val="FootnoteReference"/>
                <w:szCs w:val="22"/>
              </w:rPr>
              <w:footnoteReference w:id="7"/>
            </w:r>
          </w:p>
        </w:tc>
        <w:tc>
          <w:tcPr>
            <w:tcW w:w="1968" w:type="dxa"/>
            <w:shd w:val="clear" w:color="auto" w:fill="auto"/>
            <w:vAlign w:val="center"/>
          </w:tcPr>
          <w:p w:rsidRPr="007B7D18" w:rsidR="00F10D0B" w:rsidP="00F10D0B" w:rsidRDefault="00533C08" w14:paraId="26284792" w14:textId="4ECD7EEA">
            <w:pPr>
              <w:tabs>
                <w:tab w:val="left" w:pos="-734"/>
                <w:tab w:val="left" w:pos="544"/>
                <w:tab w:val="left" w:pos="814"/>
              </w:tabs>
              <w:spacing w:before="20" w:after="20"/>
              <w:jc w:val="center"/>
              <w:rPr>
                <w:rFonts w:ascii="Times New Roman" w:hAnsi="Times New Roman"/>
                <w:sz w:val="24"/>
                <w:szCs w:val="22"/>
              </w:rPr>
            </w:pPr>
            <w:r w:rsidRPr="00533C08">
              <w:rPr>
                <w:rFonts w:ascii="Times New Roman" w:hAnsi="Times New Roman"/>
                <w:sz w:val="24"/>
                <w:szCs w:val="22"/>
              </w:rPr>
              <w:t>$3,680</w:t>
            </w:r>
          </w:p>
        </w:tc>
      </w:tr>
      <w:tr w:rsidRPr="007B7D18" w:rsidR="00D206CA" w:rsidTr="00F10D0B" w14:paraId="04F70C77" w14:textId="77777777">
        <w:tc>
          <w:tcPr>
            <w:tcW w:w="6672" w:type="dxa"/>
            <w:gridSpan w:val="3"/>
            <w:shd w:val="clear" w:color="auto" w:fill="auto"/>
            <w:vAlign w:val="center"/>
          </w:tcPr>
          <w:p w:rsidRPr="007B7D18" w:rsidR="00D206CA" w:rsidP="00D206CA" w:rsidRDefault="00D206CA" w14:paraId="48536758" w14:textId="77777777">
            <w:pPr>
              <w:tabs>
                <w:tab w:val="left" w:pos="-734"/>
                <w:tab w:val="left" w:pos="544"/>
                <w:tab w:val="left" w:pos="814"/>
              </w:tabs>
              <w:spacing w:before="20" w:after="20"/>
              <w:rPr>
                <w:rFonts w:ascii="Times New Roman" w:hAnsi="Times New Roman"/>
                <w:sz w:val="24"/>
                <w:szCs w:val="22"/>
              </w:rPr>
            </w:pPr>
            <w:r w:rsidRPr="007B7D18">
              <w:rPr>
                <w:rFonts w:ascii="Times New Roman" w:hAnsi="Times New Roman"/>
                <w:sz w:val="24"/>
                <w:szCs w:val="22"/>
              </w:rPr>
              <w:t>Non-Labor Costs (Phone, Fax, And Copying)</w:t>
            </w:r>
          </w:p>
        </w:tc>
        <w:tc>
          <w:tcPr>
            <w:tcW w:w="1968" w:type="dxa"/>
            <w:shd w:val="clear" w:color="auto" w:fill="auto"/>
            <w:vAlign w:val="center"/>
          </w:tcPr>
          <w:p w:rsidRPr="007B7D18" w:rsidR="00D206CA" w:rsidP="00C83281" w:rsidRDefault="00C83281" w14:paraId="42B06A9E" w14:textId="3238E947">
            <w:pPr>
              <w:tabs>
                <w:tab w:val="left" w:pos="-734"/>
                <w:tab w:val="left" w:pos="544"/>
                <w:tab w:val="left" w:pos="814"/>
              </w:tabs>
              <w:spacing w:before="20" w:after="20"/>
              <w:jc w:val="center"/>
              <w:rPr>
                <w:rFonts w:ascii="Times New Roman" w:hAnsi="Times New Roman"/>
                <w:sz w:val="24"/>
                <w:szCs w:val="22"/>
              </w:rPr>
            </w:pPr>
            <w:r w:rsidRPr="00C83281">
              <w:rPr>
                <w:rFonts w:ascii="Times New Roman" w:hAnsi="Times New Roman"/>
                <w:sz w:val="24"/>
                <w:szCs w:val="22"/>
              </w:rPr>
              <w:t>$38</w:t>
            </w:r>
            <w:r w:rsidRPr="007B7D18" w:rsidR="007B7D18">
              <w:rPr>
                <w:rStyle w:val="FootnoteReference"/>
                <w:szCs w:val="22"/>
              </w:rPr>
              <w:footnoteReference w:id="8"/>
            </w:r>
          </w:p>
        </w:tc>
      </w:tr>
      <w:tr w:rsidRPr="005F0F6A" w:rsidR="00D206CA" w:rsidTr="000129C2" w14:paraId="75508A82" w14:textId="77777777">
        <w:tc>
          <w:tcPr>
            <w:tcW w:w="6672" w:type="dxa"/>
            <w:gridSpan w:val="3"/>
            <w:shd w:val="clear" w:color="auto" w:fill="auto"/>
            <w:vAlign w:val="center"/>
          </w:tcPr>
          <w:p w:rsidRPr="007B7D18" w:rsidR="00D206CA" w:rsidP="00D206CA" w:rsidRDefault="00D206CA" w14:paraId="14A5D546" w14:textId="77777777">
            <w:pPr>
              <w:tabs>
                <w:tab w:val="left" w:pos="-734"/>
                <w:tab w:val="left" w:pos="544"/>
                <w:tab w:val="left" w:pos="814"/>
              </w:tabs>
              <w:spacing w:before="20" w:after="20"/>
              <w:jc w:val="right"/>
              <w:rPr>
                <w:rFonts w:ascii="Times New Roman" w:hAnsi="Times New Roman"/>
                <w:b/>
                <w:sz w:val="24"/>
                <w:szCs w:val="22"/>
              </w:rPr>
            </w:pPr>
            <w:r w:rsidRPr="007B7D18">
              <w:rPr>
                <w:rFonts w:ascii="Times New Roman" w:hAnsi="Times New Roman"/>
                <w:b/>
                <w:sz w:val="24"/>
                <w:szCs w:val="22"/>
              </w:rPr>
              <w:t>Grand Total:</w:t>
            </w:r>
          </w:p>
        </w:tc>
        <w:tc>
          <w:tcPr>
            <w:tcW w:w="1968" w:type="dxa"/>
            <w:shd w:val="clear" w:color="auto" w:fill="auto"/>
          </w:tcPr>
          <w:p w:rsidRPr="007B7D18" w:rsidR="007B7D18" w:rsidP="007B7D18" w:rsidRDefault="00576878" w14:paraId="38F3A011" w14:textId="4C5A178B">
            <w:pPr>
              <w:tabs>
                <w:tab w:val="left" w:pos="-734"/>
                <w:tab w:val="left" w:pos="544"/>
                <w:tab w:val="left" w:pos="814"/>
              </w:tabs>
              <w:spacing w:before="20" w:after="20"/>
              <w:jc w:val="center"/>
              <w:rPr>
                <w:rFonts w:ascii="Times New Roman" w:hAnsi="Times New Roman"/>
                <w:b/>
                <w:sz w:val="24"/>
                <w:szCs w:val="22"/>
              </w:rPr>
            </w:pPr>
            <w:r w:rsidRPr="00576878">
              <w:rPr>
                <w:rFonts w:ascii="Times New Roman" w:hAnsi="Times New Roman"/>
                <w:b/>
                <w:sz w:val="24"/>
                <w:szCs w:val="22"/>
              </w:rPr>
              <w:t>$5,619</w:t>
            </w:r>
          </w:p>
        </w:tc>
      </w:tr>
    </w:tbl>
    <w:p w:rsidR="00311023" w:rsidP="00311023" w:rsidRDefault="00311023" w14:paraId="75ECD22C" w14:textId="77777777">
      <w:pPr>
        <w:widowControl/>
        <w:ind w:left="360"/>
        <w:rPr>
          <w:rFonts w:ascii="Times New Roman" w:hAnsi="Times New Roman"/>
          <w:sz w:val="24"/>
          <w:szCs w:val="22"/>
        </w:rPr>
      </w:pPr>
    </w:p>
    <w:p w:rsidR="00D206CA" w:rsidP="00311023" w:rsidRDefault="00D206CA" w14:paraId="2DDE915E" w14:textId="3581EA72">
      <w:pPr>
        <w:widowControl/>
        <w:ind w:left="360"/>
        <w:rPr>
          <w:rFonts w:ascii="Times New Roman" w:hAnsi="Times New Roman"/>
          <w:sz w:val="24"/>
          <w:szCs w:val="22"/>
        </w:rPr>
      </w:pPr>
      <w:r w:rsidRPr="00DD39E5">
        <w:rPr>
          <w:rFonts w:ascii="Times New Roman" w:hAnsi="Times New Roman"/>
          <w:sz w:val="24"/>
          <w:szCs w:val="22"/>
        </w:rPr>
        <w:t>The table below furnishes information on the estimated Federal Contractor Staff hours and costs associated with each task:</w:t>
      </w:r>
    </w:p>
    <w:p w:rsidRPr="00DD39E5" w:rsidR="00576878" w:rsidP="00311023" w:rsidRDefault="00576878" w14:paraId="540BE650" w14:textId="77777777">
      <w:pPr>
        <w:widowControl/>
        <w:ind w:left="360"/>
        <w:rPr>
          <w:rFonts w:ascii="Times New Roman" w:hAnsi="Times New Roman"/>
          <w:sz w:val="24"/>
          <w:szCs w:val="22"/>
        </w:rPr>
      </w:pPr>
    </w:p>
    <w:p w:rsidRPr="00221DD9" w:rsidR="00D206CA" w:rsidP="00D206CA" w:rsidRDefault="00D206CA" w14:paraId="4E7B8B9B" w14:textId="77777777">
      <w:pPr>
        <w:tabs>
          <w:tab w:val="left" w:pos="-734"/>
          <w:tab w:val="left" w:pos="544"/>
          <w:tab w:val="left" w:pos="814"/>
        </w:tabs>
        <w:spacing w:after="240"/>
        <w:jc w:val="center"/>
        <w:rPr>
          <w:rFonts w:ascii="Times New Roman" w:hAnsi="Times New Roman"/>
          <w:b/>
          <w:sz w:val="24"/>
          <w:szCs w:val="22"/>
        </w:rPr>
      </w:pPr>
      <w:r w:rsidRPr="00221DD9">
        <w:rPr>
          <w:rFonts w:ascii="Times New Roman" w:hAnsi="Times New Roman"/>
          <w:b/>
          <w:sz w:val="24"/>
          <w:szCs w:val="22"/>
        </w:rPr>
        <w:t>Annual Federal Contractor Staff Hours and Costs</w:t>
      </w:r>
    </w:p>
    <w:tbl>
      <w:tblPr>
        <w:tblStyle w:val="TableGrid"/>
        <w:tblW w:w="0" w:type="auto"/>
        <w:tblInd w:w="648" w:type="dxa"/>
        <w:tblBorders>
          <w:top w:val="double" w:color="000000" w:sz="6" w:space="0"/>
          <w:left w:val="double" w:color="000000" w:sz="6" w:space="0"/>
          <w:bottom w:val="double" w:color="000000" w:sz="6" w:space="0"/>
          <w:right w:val="double" w:color="000000" w:sz="6" w:space="0"/>
        </w:tblBorders>
        <w:tblLook w:val="04A0" w:firstRow="1" w:lastRow="0" w:firstColumn="1" w:lastColumn="0" w:noHBand="0" w:noVBand="1"/>
      </w:tblPr>
      <w:tblGrid>
        <w:gridCol w:w="2160"/>
        <w:gridCol w:w="2250"/>
        <w:gridCol w:w="2250"/>
        <w:gridCol w:w="1980"/>
      </w:tblGrid>
      <w:tr w:rsidRPr="00221DD9" w:rsidR="00D206CA" w:rsidTr="000129C2" w14:paraId="0FA5DED4" w14:textId="77777777">
        <w:tc>
          <w:tcPr>
            <w:tcW w:w="2160" w:type="dxa"/>
            <w:shd w:val="clear" w:color="auto" w:fill="auto"/>
            <w:vAlign w:val="center"/>
          </w:tcPr>
          <w:p w:rsidRPr="00221DD9" w:rsidR="00D206CA" w:rsidP="000129C2" w:rsidRDefault="00D206CA" w14:paraId="74A78595" w14:textId="77777777">
            <w:pPr>
              <w:tabs>
                <w:tab w:val="left" w:pos="-734"/>
                <w:tab w:val="left" w:pos="544"/>
                <w:tab w:val="left" w:pos="814"/>
              </w:tabs>
              <w:spacing w:before="20" w:after="20"/>
              <w:jc w:val="center"/>
              <w:rPr>
                <w:rFonts w:ascii="Times New Roman" w:hAnsi="Times New Roman"/>
                <w:b/>
                <w:sz w:val="24"/>
                <w:szCs w:val="22"/>
              </w:rPr>
            </w:pPr>
            <w:r w:rsidRPr="00221DD9">
              <w:rPr>
                <w:rFonts w:ascii="Times New Roman" w:hAnsi="Times New Roman"/>
                <w:b/>
                <w:sz w:val="24"/>
                <w:szCs w:val="22"/>
              </w:rPr>
              <w:t>Task</w:t>
            </w:r>
          </w:p>
        </w:tc>
        <w:tc>
          <w:tcPr>
            <w:tcW w:w="2250" w:type="dxa"/>
            <w:shd w:val="clear" w:color="auto" w:fill="auto"/>
            <w:vAlign w:val="center"/>
          </w:tcPr>
          <w:p w:rsidRPr="00221DD9" w:rsidR="00D206CA" w:rsidP="000129C2" w:rsidRDefault="00D206CA" w14:paraId="59BCA1E2" w14:textId="77777777">
            <w:pPr>
              <w:tabs>
                <w:tab w:val="left" w:pos="-734"/>
                <w:tab w:val="left" w:pos="544"/>
                <w:tab w:val="left" w:pos="814"/>
              </w:tabs>
              <w:spacing w:before="20" w:after="20"/>
              <w:jc w:val="center"/>
              <w:rPr>
                <w:rFonts w:ascii="Times New Roman" w:hAnsi="Times New Roman"/>
                <w:b/>
                <w:sz w:val="24"/>
                <w:szCs w:val="22"/>
              </w:rPr>
            </w:pPr>
            <w:r w:rsidRPr="00221DD9">
              <w:rPr>
                <w:rFonts w:ascii="Times New Roman" w:hAnsi="Times New Roman"/>
                <w:b/>
                <w:sz w:val="24"/>
                <w:szCs w:val="22"/>
              </w:rPr>
              <w:t>Number of Hours</w:t>
            </w:r>
          </w:p>
        </w:tc>
        <w:tc>
          <w:tcPr>
            <w:tcW w:w="2250" w:type="dxa"/>
            <w:shd w:val="clear" w:color="auto" w:fill="auto"/>
            <w:vAlign w:val="center"/>
          </w:tcPr>
          <w:p w:rsidRPr="00221DD9" w:rsidR="00D206CA" w:rsidP="000129C2" w:rsidRDefault="00D206CA" w14:paraId="349B4593" w14:textId="77777777">
            <w:pPr>
              <w:tabs>
                <w:tab w:val="left" w:pos="-734"/>
                <w:tab w:val="left" w:pos="544"/>
                <w:tab w:val="left" w:pos="814"/>
              </w:tabs>
              <w:spacing w:before="20" w:after="20"/>
              <w:jc w:val="center"/>
              <w:rPr>
                <w:rFonts w:ascii="Times New Roman" w:hAnsi="Times New Roman"/>
                <w:b/>
                <w:sz w:val="24"/>
                <w:szCs w:val="22"/>
              </w:rPr>
            </w:pPr>
            <w:r w:rsidRPr="00221DD9">
              <w:rPr>
                <w:rFonts w:ascii="Times New Roman" w:hAnsi="Times New Roman"/>
                <w:b/>
                <w:sz w:val="24"/>
                <w:szCs w:val="22"/>
              </w:rPr>
              <w:t>Average Rate</w:t>
            </w:r>
          </w:p>
        </w:tc>
        <w:tc>
          <w:tcPr>
            <w:tcW w:w="1980" w:type="dxa"/>
            <w:shd w:val="clear" w:color="auto" w:fill="auto"/>
            <w:vAlign w:val="center"/>
          </w:tcPr>
          <w:p w:rsidRPr="00221DD9" w:rsidR="00D206CA" w:rsidP="000129C2" w:rsidRDefault="00D206CA" w14:paraId="43C8F683" w14:textId="15EEA5CA">
            <w:pPr>
              <w:tabs>
                <w:tab w:val="left" w:pos="-734"/>
                <w:tab w:val="left" w:pos="544"/>
                <w:tab w:val="left" w:pos="814"/>
              </w:tabs>
              <w:spacing w:before="20" w:after="20"/>
              <w:jc w:val="center"/>
              <w:rPr>
                <w:rFonts w:ascii="Times New Roman" w:hAnsi="Times New Roman"/>
                <w:b/>
                <w:sz w:val="24"/>
                <w:szCs w:val="22"/>
              </w:rPr>
            </w:pPr>
            <w:r w:rsidRPr="00221DD9">
              <w:rPr>
                <w:rFonts w:ascii="Times New Roman" w:hAnsi="Times New Roman"/>
                <w:b/>
                <w:sz w:val="24"/>
                <w:szCs w:val="22"/>
              </w:rPr>
              <w:t xml:space="preserve">Total </w:t>
            </w:r>
            <w:r w:rsidR="000230B0">
              <w:rPr>
                <w:rFonts w:ascii="Times New Roman" w:hAnsi="Times New Roman"/>
                <w:b/>
                <w:sz w:val="24"/>
                <w:szCs w:val="22"/>
              </w:rPr>
              <w:t>Annual</w:t>
            </w:r>
            <w:r w:rsidRPr="00221DD9" w:rsidR="000230B0">
              <w:rPr>
                <w:rFonts w:ascii="Times New Roman" w:hAnsi="Times New Roman"/>
                <w:b/>
                <w:sz w:val="24"/>
                <w:szCs w:val="22"/>
              </w:rPr>
              <w:t xml:space="preserve"> </w:t>
            </w:r>
            <w:r w:rsidRPr="00221DD9">
              <w:rPr>
                <w:rFonts w:ascii="Times New Roman" w:hAnsi="Times New Roman"/>
                <w:b/>
                <w:sz w:val="24"/>
                <w:szCs w:val="22"/>
              </w:rPr>
              <w:t>Cost</w:t>
            </w:r>
          </w:p>
        </w:tc>
      </w:tr>
      <w:tr w:rsidRPr="00221DD9" w:rsidR="00D206CA" w:rsidTr="000129C2" w14:paraId="3919D91B" w14:textId="77777777">
        <w:tc>
          <w:tcPr>
            <w:tcW w:w="2160" w:type="dxa"/>
            <w:shd w:val="clear" w:color="auto" w:fill="auto"/>
            <w:vAlign w:val="center"/>
          </w:tcPr>
          <w:p w:rsidRPr="00221DD9" w:rsidR="00D206CA" w:rsidP="00D206CA" w:rsidRDefault="00D206CA" w14:paraId="69621952" w14:textId="77777777">
            <w:pPr>
              <w:tabs>
                <w:tab w:val="left" w:pos="-734"/>
                <w:tab w:val="left" w:pos="544"/>
                <w:tab w:val="left" w:pos="814"/>
              </w:tabs>
              <w:spacing w:before="20" w:after="20"/>
              <w:rPr>
                <w:rFonts w:ascii="Times New Roman" w:hAnsi="Times New Roman"/>
                <w:bCs/>
                <w:sz w:val="24"/>
                <w:szCs w:val="22"/>
              </w:rPr>
            </w:pPr>
            <w:r w:rsidRPr="00221DD9">
              <w:rPr>
                <w:rFonts w:ascii="Times New Roman" w:hAnsi="Times New Roman"/>
                <w:bCs/>
                <w:sz w:val="24"/>
                <w:szCs w:val="22"/>
              </w:rPr>
              <w:t>Data Collection</w:t>
            </w:r>
          </w:p>
        </w:tc>
        <w:tc>
          <w:tcPr>
            <w:tcW w:w="2250" w:type="dxa"/>
            <w:shd w:val="clear" w:color="auto" w:fill="auto"/>
            <w:vAlign w:val="center"/>
          </w:tcPr>
          <w:p w:rsidRPr="00221DD9" w:rsidR="00D206CA" w:rsidP="00D206CA" w:rsidRDefault="00576878" w14:paraId="7372425E" w14:textId="374605AA">
            <w:pPr>
              <w:tabs>
                <w:tab w:val="left" w:pos="-734"/>
                <w:tab w:val="left" w:pos="544"/>
                <w:tab w:val="left" w:pos="814"/>
              </w:tabs>
              <w:spacing w:before="20" w:after="20"/>
              <w:jc w:val="center"/>
              <w:rPr>
                <w:rFonts w:ascii="Times New Roman" w:hAnsi="Times New Roman"/>
                <w:sz w:val="24"/>
                <w:szCs w:val="22"/>
              </w:rPr>
            </w:pPr>
            <w:r w:rsidRPr="00576878">
              <w:rPr>
                <w:rFonts w:ascii="Times New Roman" w:hAnsi="Times New Roman"/>
                <w:sz w:val="24"/>
                <w:szCs w:val="22"/>
              </w:rPr>
              <w:t>233</w:t>
            </w:r>
          </w:p>
        </w:tc>
        <w:tc>
          <w:tcPr>
            <w:tcW w:w="2250" w:type="dxa"/>
            <w:shd w:val="clear" w:color="auto" w:fill="auto"/>
          </w:tcPr>
          <w:p w:rsidRPr="00221DD9" w:rsidR="00D206CA" w:rsidP="00D206CA" w:rsidRDefault="00576878" w14:paraId="0168F95A" w14:textId="14542041">
            <w:pPr>
              <w:tabs>
                <w:tab w:val="left" w:pos="-734"/>
                <w:tab w:val="left" w:pos="544"/>
                <w:tab w:val="left" w:pos="814"/>
              </w:tabs>
              <w:spacing w:before="20" w:after="20"/>
              <w:jc w:val="center"/>
              <w:rPr>
                <w:rFonts w:ascii="Times New Roman" w:hAnsi="Times New Roman"/>
                <w:sz w:val="24"/>
                <w:szCs w:val="22"/>
              </w:rPr>
            </w:pPr>
            <w:r w:rsidRPr="00576878">
              <w:rPr>
                <w:rFonts w:ascii="Times New Roman" w:hAnsi="Times New Roman"/>
                <w:sz w:val="24"/>
                <w:szCs w:val="22"/>
              </w:rPr>
              <w:t>$98.59</w:t>
            </w:r>
            <w:r>
              <w:rPr>
                <w:rStyle w:val="FootnoteReference"/>
                <w:szCs w:val="22"/>
              </w:rPr>
              <w:footnoteReference w:id="9"/>
            </w:r>
          </w:p>
        </w:tc>
        <w:tc>
          <w:tcPr>
            <w:tcW w:w="1980" w:type="dxa"/>
            <w:shd w:val="clear" w:color="auto" w:fill="auto"/>
          </w:tcPr>
          <w:p w:rsidRPr="00221DD9" w:rsidR="00D206CA" w:rsidP="00D206CA" w:rsidRDefault="003E7EC1" w14:paraId="3332A612" w14:textId="7A661AC0">
            <w:pPr>
              <w:tabs>
                <w:tab w:val="left" w:pos="-734"/>
                <w:tab w:val="left" w:pos="544"/>
                <w:tab w:val="left" w:pos="814"/>
              </w:tabs>
              <w:spacing w:before="20" w:after="20"/>
              <w:jc w:val="center"/>
              <w:rPr>
                <w:rFonts w:ascii="Times New Roman" w:hAnsi="Times New Roman"/>
                <w:sz w:val="24"/>
                <w:szCs w:val="22"/>
              </w:rPr>
            </w:pPr>
            <w:r w:rsidRPr="003E7EC1">
              <w:rPr>
                <w:rFonts w:ascii="Times New Roman" w:hAnsi="Times New Roman"/>
                <w:sz w:val="24"/>
                <w:szCs w:val="22"/>
              </w:rPr>
              <w:t>$22,971</w:t>
            </w:r>
          </w:p>
        </w:tc>
      </w:tr>
      <w:tr w:rsidRPr="00221DD9" w:rsidR="00D206CA" w:rsidTr="000230B0" w14:paraId="31E536A4" w14:textId="77777777">
        <w:tc>
          <w:tcPr>
            <w:tcW w:w="2160" w:type="dxa"/>
            <w:shd w:val="clear" w:color="auto" w:fill="auto"/>
            <w:vAlign w:val="center"/>
          </w:tcPr>
          <w:p w:rsidRPr="00221DD9" w:rsidR="00D206CA" w:rsidP="00D206CA" w:rsidRDefault="00D206CA" w14:paraId="2FAABA9D" w14:textId="77777777">
            <w:pPr>
              <w:tabs>
                <w:tab w:val="left" w:pos="-734"/>
                <w:tab w:val="left" w:pos="544"/>
                <w:tab w:val="left" w:pos="814"/>
              </w:tabs>
              <w:spacing w:before="20" w:after="20"/>
              <w:rPr>
                <w:rFonts w:ascii="Times New Roman" w:hAnsi="Times New Roman"/>
                <w:sz w:val="24"/>
                <w:szCs w:val="22"/>
              </w:rPr>
            </w:pPr>
            <w:r w:rsidRPr="00221DD9">
              <w:rPr>
                <w:rFonts w:ascii="Times New Roman" w:hAnsi="Times New Roman"/>
                <w:bCs/>
                <w:sz w:val="24"/>
                <w:szCs w:val="22"/>
              </w:rPr>
              <w:t>Data Review and Analysis</w:t>
            </w:r>
          </w:p>
        </w:tc>
        <w:tc>
          <w:tcPr>
            <w:tcW w:w="2250" w:type="dxa"/>
            <w:shd w:val="clear" w:color="auto" w:fill="auto"/>
            <w:vAlign w:val="center"/>
          </w:tcPr>
          <w:p w:rsidRPr="00221DD9" w:rsidR="00D206CA" w:rsidP="00D206CA" w:rsidRDefault="00576878" w14:paraId="43C5D414" w14:textId="3A1D4058">
            <w:pPr>
              <w:tabs>
                <w:tab w:val="left" w:pos="-734"/>
                <w:tab w:val="left" w:pos="544"/>
                <w:tab w:val="left" w:pos="814"/>
              </w:tabs>
              <w:spacing w:before="20" w:after="20"/>
              <w:jc w:val="center"/>
              <w:rPr>
                <w:rFonts w:ascii="Times New Roman" w:hAnsi="Times New Roman"/>
                <w:sz w:val="24"/>
                <w:szCs w:val="22"/>
              </w:rPr>
            </w:pPr>
            <w:r w:rsidRPr="00576878">
              <w:rPr>
                <w:rFonts w:ascii="Times New Roman" w:hAnsi="Times New Roman"/>
                <w:sz w:val="24"/>
                <w:szCs w:val="22"/>
              </w:rPr>
              <w:t>321</w:t>
            </w:r>
          </w:p>
        </w:tc>
        <w:tc>
          <w:tcPr>
            <w:tcW w:w="2250" w:type="dxa"/>
            <w:shd w:val="clear" w:color="auto" w:fill="auto"/>
            <w:vAlign w:val="center"/>
          </w:tcPr>
          <w:p w:rsidRPr="00221DD9" w:rsidR="00D206CA" w:rsidP="00D206CA" w:rsidRDefault="003E7EC1" w14:paraId="1765E234" w14:textId="0F3A4EE8">
            <w:pPr>
              <w:tabs>
                <w:tab w:val="left" w:pos="-734"/>
                <w:tab w:val="left" w:pos="544"/>
                <w:tab w:val="left" w:pos="814"/>
              </w:tabs>
              <w:spacing w:before="20" w:after="20"/>
              <w:jc w:val="center"/>
              <w:rPr>
                <w:rFonts w:ascii="Times New Roman" w:hAnsi="Times New Roman"/>
                <w:sz w:val="24"/>
                <w:szCs w:val="22"/>
              </w:rPr>
            </w:pPr>
            <w:r w:rsidRPr="003E7EC1">
              <w:rPr>
                <w:rFonts w:ascii="Times New Roman" w:hAnsi="Times New Roman"/>
                <w:sz w:val="24"/>
                <w:szCs w:val="22"/>
              </w:rPr>
              <w:t>$89.70</w:t>
            </w:r>
            <w:r>
              <w:rPr>
                <w:rStyle w:val="FootnoteReference"/>
                <w:szCs w:val="22"/>
              </w:rPr>
              <w:footnoteReference w:id="10"/>
            </w:r>
          </w:p>
        </w:tc>
        <w:tc>
          <w:tcPr>
            <w:tcW w:w="1980" w:type="dxa"/>
            <w:shd w:val="clear" w:color="auto" w:fill="auto"/>
            <w:vAlign w:val="center"/>
          </w:tcPr>
          <w:p w:rsidRPr="00221DD9" w:rsidR="00D206CA" w:rsidP="00D206CA" w:rsidRDefault="003E7EC1" w14:paraId="3AA39DB0" w14:textId="4AF1D314">
            <w:pPr>
              <w:tabs>
                <w:tab w:val="left" w:pos="-734"/>
                <w:tab w:val="left" w:pos="544"/>
                <w:tab w:val="left" w:pos="814"/>
              </w:tabs>
              <w:spacing w:before="20" w:after="20"/>
              <w:jc w:val="center"/>
              <w:rPr>
                <w:rFonts w:ascii="Times New Roman" w:hAnsi="Times New Roman"/>
                <w:sz w:val="24"/>
                <w:szCs w:val="22"/>
              </w:rPr>
            </w:pPr>
            <w:r w:rsidRPr="003E7EC1">
              <w:rPr>
                <w:rFonts w:ascii="Times New Roman" w:hAnsi="Times New Roman"/>
                <w:sz w:val="24"/>
                <w:szCs w:val="22"/>
              </w:rPr>
              <w:t>$28,794</w:t>
            </w:r>
          </w:p>
        </w:tc>
      </w:tr>
      <w:tr w:rsidRPr="00221DD9" w:rsidR="00D206CA" w:rsidTr="000129C2" w14:paraId="338D40A4" w14:textId="77777777">
        <w:tc>
          <w:tcPr>
            <w:tcW w:w="6660" w:type="dxa"/>
            <w:gridSpan w:val="3"/>
            <w:shd w:val="clear" w:color="auto" w:fill="auto"/>
            <w:vAlign w:val="center"/>
          </w:tcPr>
          <w:p w:rsidRPr="00221DD9" w:rsidR="00D206CA" w:rsidP="000129C2" w:rsidRDefault="00D206CA" w14:paraId="416DF2EA" w14:textId="77777777">
            <w:pPr>
              <w:tabs>
                <w:tab w:val="left" w:pos="-734"/>
                <w:tab w:val="left" w:pos="544"/>
                <w:tab w:val="left" w:pos="814"/>
                <w:tab w:val="left" w:pos="4185"/>
                <w:tab w:val="right" w:pos="6966"/>
              </w:tabs>
              <w:spacing w:before="20" w:after="20"/>
              <w:jc w:val="right"/>
              <w:rPr>
                <w:rFonts w:ascii="Times New Roman" w:hAnsi="Times New Roman"/>
                <w:b/>
                <w:sz w:val="24"/>
                <w:szCs w:val="22"/>
              </w:rPr>
            </w:pPr>
            <w:r w:rsidRPr="00221DD9">
              <w:rPr>
                <w:rFonts w:ascii="Times New Roman" w:hAnsi="Times New Roman"/>
                <w:b/>
                <w:sz w:val="24"/>
                <w:szCs w:val="22"/>
              </w:rPr>
              <w:t>Grand Total:</w:t>
            </w:r>
          </w:p>
        </w:tc>
        <w:tc>
          <w:tcPr>
            <w:tcW w:w="1980" w:type="dxa"/>
            <w:shd w:val="clear" w:color="auto" w:fill="auto"/>
            <w:vAlign w:val="center"/>
          </w:tcPr>
          <w:p w:rsidRPr="00221DD9" w:rsidR="00D206CA" w:rsidP="000129C2" w:rsidRDefault="003E7EC1" w14:paraId="320CE3D5" w14:textId="3A3B73F8">
            <w:pPr>
              <w:tabs>
                <w:tab w:val="left" w:pos="-734"/>
                <w:tab w:val="left" w:pos="544"/>
                <w:tab w:val="left" w:pos="814"/>
              </w:tabs>
              <w:spacing w:before="20" w:after="20"/>
              <w:jc w:val="center"/>
              <w:rPr>
                <w:rFonts w:ascii="Times New Roman" w:hAnsi="Times New Roman"/>
                <w:b/>
                <w:sz w:val="24"/>
                <w:szCs w:val="22"/>
              </w:rPr>
            </w:pPr>
            <w:r w:rsidRPr="003E7EC1">
              <w:rPr>
                <w:rFonts w:ascii="Times New Roman" w:hAnsi="Times New Roman"/>
                <w:b/>
                <w:sz w:val="24"/>
                <w:szCs w:val="22"/>
              </w:rPr>
              <w:t>$51,765</w:t>
            </w:r>
          </w:p>
        </w:tc>
      </w:tr>
    </w:tbl>
    <w:p w:rsidR="00311023" w:rsidP="00311023" w:rsidRDefault="00311023" w14:paraId="635057B9" w14:textId="77777777">
      <w:pPr>
        <w:widowControl/>
        <w:ind w:left="720"/>
        <w:rPr>
          <w:rFonts w:ascii="Times New Roman" w:hAnsi="Times New Roman"/>
          <w:sz w:val="24"/>
          <w:szCs w:val="22"/>
        </w:rPr>
      </w:pPr>
    </w:p>
    <w:p w:rsidRPr="00B432E7" w:rsidR="00D206CA" w:rsidP="00311023" w:rsidRDefault="00D206CA" w14:paraId="4CF59A63" w14:textId="15DCB26F">
      <w:pPr>
        <w:widowControl/>
        <w:ind w:left="360"/>
        <w:rPr>
          <w:rFonts w:ascii="Times New Roman" w:hAnsi="Times New Roman"/>
          <w:sz w:val="24"/>
          <w:szCs w:val="22"/>
        </w:rPr>
      </w:pPr>
      <w:r w:rsidRPr="00221DD9">
        <w:rPr>
          <w:rFonts w:ascii="Times New Roman" w:hAnsi="Times New Roman"/>
          <w:sz w:val="24"/>
          <w:szCs w:val="22"/>
        </w:rPr>
        <w:t xml:space="preserve">Total estimated costs to the Federal government are </w:t>
      </w:r>
      <w:r w:rsidRPr="003E7EC1" w:rsidR="003E7EC1">
        <w:rPr>
          <w:rFonts w:ascii="Times New Roman" w:hAnsi="Times New Roman"/>
          <w:b/>
          <w:sz w:val="24"/>
          <w:szCs w:val="22"/>
        </w:rPr>
        <w:t>$172,152</w:t>
      </w:r>
      <w:r w:rsidR="00ED7508">
        <w:rPr>
          <w:rFonts w:ascii="Times New Roman" w:hAnsi="Times New Roman"/>
          <w:b/>
          <w:sz w:val="24"/>
          <w:szCs w:val="22"/>
        </w:rPr>
        <w:t xml:space="preserve"> </w:t>
      </w:r>
      <w:r w:rsidRPr="000230B0" w:rsidR="00ED7508">
        <w:rPr>
          <w:rFonts w:ascii="Times New Roman" w:hAnsi="Times New Roman"/>
          <w:sz w:val="24"/>
          <w:szCs w:val="22"/>
        </w:rPr>
        <w:t>(or</w:t>
      </w:r>
      <w:r w:rsidR="00ED7508">
        <w:rPr>
          <w:rFonts w:ascii="Times New Roman" w:hAnsi="Times New Roman"/>
          <w:sz w:val="24"/>
          <w:szCs w:val="22"/>
        </w:rPr>
        <w:t xml:space="preserve"> </w:t>
      </w:r>
      <w:r w:rsidRPr="00ED7508" w:rsidR="00ED7508">
        <w:rPr>
          <w:rFonts w:ascii="Times New Roman" w:hAnsi="Times New Roman"/>
          <w:sz w:val="24"/>
          <w:szCs w:val="22"/>
        </w:rPr>
        <w:t xml:space="preserve">$57,384 </w:t>
      </w:r>
      <w:r w:rsidR="00ED7508">
        <w:rPr>
          <w:rFonts w:ascii="Times New Roman" w:hAnsi="Times New Roman"/>
          <w:sz w:val="24"/>
          <w:szCs w:val="22"/>
        </w:rPr>
        <w:t>annually)</w:t>
      </w:r>
      <w:r w:rsidRPr="000230B0" w:rsidR="00221DD9">
        <w:rPr>
          <w:rFonts w:ascii="Times New Roman" w:hAnsi="Times New Roman"/>
          <w:sz w:val="24"/>
          <w:szCs w:val="22"/>
          <w:u w:val="single"/>
        </w:rPr>
        <w:t>.</w:t>
      </w:r>
      <w:r w:rsidR="00B432E7">
        <w:rPr>
          <w:rFonts w:ascii="Times New Roman" w:hAnsi="Times New Roman"/>
          <w:b/>
          <w:sz w:val="24"/>
          <w:szCs w:val="22"/>
        </w:rPr>
        <w:t xml:space="preserve"> </w:t>
      </w:r>
    </w:p>
    <w:p w:rsidR="00405C10" w:rsidP="004F7B95" w:rsidRDefault="00405C10" w14:paraId="015A7E47" w14:textId="17419455">
      <w:pPr>
        <w:widowControl/>
        <w:rPr>
          <w:rFonts w:ascii="Times New Roman" w:hAnsi="Times New Roman"/>
          <w:snapToGrid/>
          <w:sz w:val="24"/>
          <w:szCs w:val="24"/>
          <w:highlight w:val="yellow"/>
        </w:rPr>
      </w:pPr>
    </w:p>
    <w:p w:rsidRPr="00931592" w:rsidR="00311023" w:rsidP="004F7B95" w:rsidRDefault="00311023" w14:paraId="49E441B1" w14:textId="77777777">
      <w:pPr>
        <w:widowControl/>
        <w:rPr>
          <w:rFonts w:ascii="Times New Roman" w:hAnsi="Times New Roman"/>
          <w:snapToGrid/>
          <w:sz w:val="24"/>
          <w:szCs w:val="24"/>
          <w:highlight w:val="yellow"/>
        </w:rPr>
      </w:pPr>
    </w:p>
    <w:p w:rsidRPr="00311023" w:rsidR="002C3C4F" w:rsidP="00311023" w:rsidRDefault="002C3C4F" w14:paraId="07AB21FE"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311023">
        <w:rPr>
          <w:rFonts w:ascii="Times New Roman" w:hAnsi="Times New Roman"/>
          <w:b/>
          <w:snapToGrid/>
          <w:sz w:val="24"/>
          <w:szCs w:val="24"/>
        </w:rPr>
        <w:t xml:space="preserve">Explanation for Program Changes or Adjustments </w:t>
      </w:r>
    </w:p>
    <w:p w:rsidR="00D60543" w:rsidP="004F7B95" w:rsidRDefault="00DC3719" w14:paraId="2982B10E" w14:textId="6635CE6D">
      <w:pPr>
        <w:widowControl/>
        <w:ind w:left="360"/>
        <w:rPr>
          <w:rFonts w:ascii="Times New Roman" w:hAnsi="Times New Roman"/>
          <w:snapToGrid/>
          <w:sz w:val="24"/>
          <w:szCs w:val="24"/>
        </w:rPr>
      </w:pPr>
      <w:r>
        <w:rPr>
          <w:rFonts w:ascii="Times New Roman" w:hAnsi="Times New Roman"/>
          <w:snapToGrid/>
          <w:sz w:val="24"/>
          <w:szCs w:val="24"/>
        </w:rPr>
        <w:t>T</w:t>
      </w:r>
      <w:bookmarkStart w:name="_GoBack" w:id="5"/>
      <w:bookmarkEnd w:id="5"/>
      <w:r w:rsidR="00CD15DC">
        <w:rPr>
          <w:rFonts w:ascii="Times New Roman" w:hAnsi="Times New Roman"/>
          <w:snapToGrid/>
          <w:sz w:val="24"/>
          <w:szCs w:val="24"/>
        </w:rPr>
        <w:t xml:space="preserve">he previous </w:t>
      </w:r>
      <w:proofErr w:type="spellStart"/>
      <w:r w:rsidR="00CD15DC">
        <w:rPr>
          <w:rFonts w:ascii="Times New Roman" w:hAnsi="Times New Roman"/>
          <w:snapToGrid/>
          <w:sz w:val="24"/>
          <w:szCs w:val="24"/>
        </w:rPr>
        <w:t>ICR</w:t>
      </w:r>
      <w:proofErr w:type="spellEnd"/>
      <w:r w:rsidR="00CD15DC">
        <w:rPr>
          <w:rFonts w:ascii="Times New Roman" w:hAnsi="Times New Roman"/>
          <w:snapToGrid/>
          <w:sz w:val="24"/>
          <w:szCs w:val="24"/>
        </w:rPr>
        <w:t xml:space="preserve"> approval anticipated 49 respondents instead of 51.  This increase stems from an expected greater coverage of the RECS.</w:t>
      </w:r>
    </w:p>
    <w:p w:rsidR="00D85A8F" w:rsidP="004F7B95" w:rsidRDefault="00D85A8F" w14:paraId="3531E758" w14:textId="444536C5">
      <w:pPr>
        <w:widowControl/>
        <w:ind w:left="360"/>
        <w:rPr>
          <w:rFonts w:ascii="Times New Roman" w:hAnsi="Times New Roman"/>
          <w:snapToGrid/>
          <w:sz w:val="24"/>
          <w:szCs w:val="24"/>
          <w:highlight w:val="yellow"/>
        </w:rPr>
      </w:pPr>
    </w:p>
    <w:p w:rsidRPr="00931592" w:rsidR="00311023" w:rsidP="004F7B95" w:rsidRDefault="00311023" w14:paraId="2E52FAA2" w14:textId="77777777">
      <w:pPr>
        <w:widowControl/>
        <w:ind w:left="360"/>
        <w:rPr>
          <w:rFonts w:ascii="Times New Roman" w:hAnsi="Times New Roman"/>
          <w:snapToGrid/>
          <w:sz w:val="24"/>
          <w:szCs w:val="24"/>
          <w:highlight w:val="yellow"/>
        </w:rPr>
      </w:pPr>
    </w:p>
    <w:p w:rsidRPr="00311023" w:rsidR="002C3C4F" w:rsidP="00311023" w:rsidRDefault="002C3C4F" w14:paraId="15CF1C1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311023">
        <w:rPr>
          <w:rFonts w:ascii="Times New Roman" w:hAnsi="Times New Roman"/>
          <w:b/>
          <w:snapToGrid/>
          <w:sz w:val="24"/>
          <w:szCs w:val="24"/>
        </w:rPr>
        <w:lastRenderedPageBreak/>
        <w:t xml:space="preserve">Plans for Tabulation and Publication and Project Time Schedule </w:t>
      </w:r>
    </w:p>
    <w:p w:rsidRPr="00221DD9" w:rsidR="00221DD9" w:rsidP="00221DD9" w:rsidRDefault="00B01032" w14:paraId="2DA5E7D0" w14:textId="16FE8148">
      <w:pPr>
        <w:widowControl/>
        <w:ind w:left="360"/>
        <w:rPr>
          <w:rFonts w:ascii="Times New Roman" w:hAnsi="Times New Roman"/>
          <w:snapToGrid/>
          <w:sz w:val="24"/>
          <w:szCs w:val="24"/>
        </w:rPr>
      </w:pPr>
      <w:r w:rsidRPr="00B43D40">
        <w:rPr>
          <w:rFonts w:ascii="Times New Roman" w:hAnsi="Times New Roman"/>
          <w:snapToGrid/>
          <w:sz w:val="24"/>
          <w:szCs w:val="24"/>
        </w:rPr>
        <w:t xml:space="preserve">The household-level data collected for this effort will </w:t>
      </w:r>
      <w:r w:rsidR="0010719C">
        <w:rPr>
          <w:rFonts w:ascii="Times New Roman" w:hAnsi="Times New Roman"/>
          <w:snapToGrid/>
          <w:sz w:val="24"/>
          <w:szCs w:val="24"/>
        </w:rPr>
        <w:t xml:space="preserve">only </w:t>
      </w:r>
      <w:r w:rsidRPr="00B43D40">
        <w:rPr>
          <w:rFonts w:ascii="Times New Roman" w:hAnsi="Times New Roman"/>
          <w:snapToGrid/>
          <w:sz w:val="24"/>
          <w:szCs w:val="24"/>
        </w:rPr>
        <w:t>be</w:t>
      </w:r>
      <w:r w:rsidRPr="0010719C" w:rsidR="0010719C">
        <w:t xml:space="preserve"> </w:t>
      </w:r>
      <w:r w:rsidRPr="0010719C" w:rsidR="0010719C">
        <w:rPr>
          <w:rFonts w:ascii="Times New Roman" w:hAnsi="Times New Roman"/>
          <w:snapToGrid/>
          <w:sz w:val="24"/>
          <w:szCs w:val="24"/>
        </w:rPr>
        <w:t xml:space="preserve">used to identify which respondents in the RECS are </w:t>
      </w:r>
      <w:proofErr w:type="spellStart"/>
      <w:r w:rsidRPr="0010719C" w:rsidR="0010719C">
        <w:rPr>
          <w:rFonts w:ascii="Times New Roman" w:hAnsi="Times New Roman"/>
          <w:snapToGrid/>
          <w:sz w:val="24"/>
          <w:szCs w:val="24"/>
        </w:rPr>
        <w:t>LIHEAP</w:t>
      </w:r>
      <w:proofErr w:type="spellEnd"/>
      <w:r w:rsidRPr="0010719C" w:rsidR="0010719C">
        <w:rPr>
          <w:rFonts w:ascii="Times New Roman" w:hAnsi="Times New Roman"/>
          <w:snapToGrid/>
          <w:sz w:val="24"/>
          <w:szCs w:val="24"/>
        </w:rPr>
        <w:t xml:space="preserve"> recipients</w:t>
      </w:r>
      <w:r w:rsidRPr="00B43D40">
        <w:rPr>
          <w:rFonts w:ascii="Times New Roman" w:hAnsi="Times New Roman"/>
          <w:snapToGrid/>
          <w:sz w:val="24"/>
          <w:szCs w:val="24"/>
        </w:rPr>
        <w:t xml:space="preserve">.  </w:t>
      </w:r>
      <w:r w:rsidRPr="00B43D40">
        <w:rPr>
          <w:rFonts w:ascii="Times New Roman" w:hAnsi="Times New Roman"/>
          <w:snapToGrid/>
          <w:sz w:val="24"/>
          <w:szCs w:val="24"/>
        </w:rPr>
        <w:br/>
      </w:r>
      <w:r w:rsidRPr="00B43D40">
        <w:rPr>
          <w:rFonts w:ascii="Times New Roman" w:hAnsi="Times New Roman"/>
          <w:snapToGrid/>
          <w:sz w:val="24"/>
          <w:szCs w:val="24"/>
        </w:rPr>
        <w:br/>
      </w:r>
      <w:r w:rsidRPr="00221DD9" w:rsidR="00221DD9">
        <w:rPr>
          <w:rFonts w:ascii="Times New Roman" w:hAnsi="Times New Roman"/>
          <w:snapToGrid/>
          <w:sz w:val="24"/>
          <w:szCs w:val="24"/>
        </w:rPr>
        <w:t xml:space="preserve">The </w:t>
      </w:r>
      <w:proofErr w:type="spellStart"/>
      <w:r w:rsidRPr="00221DD9" w:rsidR="00221DD9">
        <w:rPr>
          <w:rFonts w:ascii="Times New Roman" w:hAnsi="Times New Roman"/>
          <w:snapToGrid/>
          <w:sz w:val="24"/>
          <w:szCs w:val="24"/>
        </w:rPr>
        <w:t>LIHEAP</w:t>
      </w:r>
      <w:proofErr w:type="spellEnd"/>
      <w:r w:rsidRPr="00221DD9" w:rsidR="00221DD9">
        <w:rPr>
          <w:rFonts w:ascii="Times New Roman" w:hAnsi="Times New Roman"/>
          <w:snapToGrid/>
          <w:sz w:val="24"/>
          <w:szCs w:val="24"/>
        </w:rPr>
        <w:t xml:space="preserve"> recipient data will be collected from grantees following the end of the relevant federal fiscal year as grantees are already preparing or have prepared the same data for use in completing their annual required reports. However, the data will not be published until the 2020 RECS data file is complete. The final RECS public use microdata file is not expected to be released until at least 2022.  Based on that publication schedule, the RECS data file with the appended </w:t>
      </w:r>
      <w:proofErr w:type="spellStart"/>
      <w:r w:rsidRPr="00221DD9" w:rsidR="00221DD9">
        <w:rPr>
          <w:rFonts w:ascii="Times New Roman" w:hAnsi="Times New Roman"/>
          <w:snapToGrid/>
          <w:sz w:val="24"/>
          <w:szCs w:val="24"/>
        </w:rPr>
        <w:t>LIHEAP</w:t>
      </w:r>
      <w:proofErr w:type="spellEnd"/>
      <w:r w:rsidRPr="00221DD9" w:rsidR="00221DD9">
        <w:rPr>
          <w:rFonts w:ascii="Times New Roman" w:hAnsi="Times New Roman"/>
          <w:snapToGrid/>
          <w:sz w:val="24"/>
          <w:szCs w:val="24"/>
        </w:rPr>
        <w:t xml:space="preserve"> administrative data will first be available for use in 2023. </w:t>
      </w:r>
    </w:p>
    <w:p w:rsidRPr="00221DD9" w:rsidR="00221DD9" w:rsidP="00221DD9" w:rsidRDefault="00221DD9" w14:paraId="50BAD281" w14:textId="77777777">
      <w:pPr>
        <w:widowControl/>
        <w:ind w:left="360"/>
        <w:rPr>
          <w:rFonts w:ascii="Times New Roman" w:hAnsi="Times New Roman"/>
          <w:snapToGrid/>
          <w:sz w:val="24"/>
          <w:szCs w:val="24"/>
        </w:rPr>
      </w:pPr>
    </w:p>
    <w:p w:rsidRPr="00222D81" w:rsidR="00D60543" w:rsidP="00221DD9" w:rsidRDefault="00221DD9" w14:paraId="1D0DB7CF" w14:textId="2A2A84B1">
      <w:pPr>
        <w:widowControl/>
        <w:ind w:left="360"/>
        <w:rPr>
          <w:rFonts w:ascii="Times New Roman" w:hAnsi="Times New Roman"/>
          <w:snapToGrid/>
          <w:sz w:val="24"/>
          <w:szCs w:val="24"/>
        </w:rPr>
      </w:pPr>
      <w:r w:rsidRPr="00221DD9">
        <w:rPr>
          <w:rFonts w:ascii="Times New Roman" w:hAnsi="Times New Roman"/>
          <w:snapToGrid/>
          <w:sz w:val="24"/>
          <w:szCs w:val="24"/>
        </w:rPr>
        <w:t xml:space="preserve">The aggregate data generated from RECS for the confirmed </w:t>
      </w:r>
      <w:proofErr w:type="spellStart"/>
      <w:r w:rsidRPr="00221DD9">
        <w:rPr>
          <w:rFonts w:ascii="Times New Roman" w:hAnsi="Times New Roman"/>
          <w:snapToGrid/>
          <w:sz w:val="24"/>
          <w:szCs w:val="24"/>
        </w:rPr>
        <w:t>LIHEAP</w:t>
      </w:r>
      <w:proofErr w:type="spellEnd"/>
      <w:r w:rsidRPr="00221DD9">
        <w:rPr>
          <w:rFonts w:ascii="Times New Roman" w:hAnsi="Times New Roman"/>
          <w:snapToGrid/>
          <w:sz w:val="24"/>
          <w:szCs w:val="24"/>
        </w:rPr>
        <w:t xml:space="preserve"> recipient population will be included in the </w:t>
      </w:r>
      <w:proofErr w:type="spellStart"/>
      <w:r w:rsidRPr="00221DD9">
        <w:rPr>
          <w:rFonts w:ascii="Times New Roman" w:hAnsi="Times New Roman"/>
          <w:snapToGrid/>
          <w:sz w:val="24"/>
          <w:szCs w:val="24"/>
        </w:rPr>
        <w:t>LIHEAP</w:t>
      </w:r>
      <w:proofErr w:type="spellEnd"/>
      <w:r w:rsidRPr="00221DD9">
        <w:rPr>
          <w:rFonts w:ascii="Times New Roman" w:hAnsi="Times New Roman"/>
          <w:snapToGrid/>
          <w:sz w:val="24"/>
          <w:szCs w:val="24"/>
        </w:rPr>
        <w:t xml:space="preserve"> Home Energy Notebook and the </w:t>
      </w:r>
      <w:proofErr w:type="spellStart"/>
      <w:r w:rsidRPr="00221DD9">
        <w:rPr>
          <w:rFonts w:ascii="Times New Roman" w:hAnsi="Times New Roman"/>
          <w:snapToGrid/>
          <w:sz w:val="24"/>
          <w:szCs w:val="24"/>
        </w:rPr>
        <w:t>LIHEAP</w:t>
      </w:r>
      <w:proofErr w:type="spellEnd"/>
      <w:r w:rsidRPr="00221DD9">
        <w:rPr>
          <w:rFonts w:ascii="Times New Roman" w:hAnsi="Times New Roman"/>
          <w:snapToGrid/>
          <w:sz w:val="24"/>
          <w:szCs w:val="24"/>
        </w:rPr>
        <w:t xml:space="preserve"> Report to Congress to furnish information to Congress on the </w:t>
      </w:r>
      <w:proofErr w:type="spellStart"/>
      <w:r w:rsidRPr="00221DD9">
        <w:rPr>
          <w:rFonts w:ascii="Times New Roman" w:hAnsi="Times New Roman"/>
          <w:snapToGrid/>
          <w:sz w:val="24"/>
          <w:szCs w:val="24"/>
        </w:rPr>
        <w:t>LIHEAP</w:t>
      </w:r>
      <w:proofErr w:type="spellEnd"/>
      <w:r w:rsidRPr="00221DD9">
        <w:rPr>
          <w:rFonts w:ascii="Times New Roman" w:hAnsi="Times New Roman"/>
          <w:snapToGrid/>
          <w:sz w:val="24"/>
          <w:szCs w:val="24"/>
        </w:rPr>
        <w:t xml:space="preserve"> recipient population.  The data will also be used to support special studies and analyses of the </w:t>
      </w:r>
      <w:proofErr w:type="spellStart"/>
      <w:r w:rsidRPr="00221DD9">
        <w:rPr>
          <w:rFonts w:ascii="Times New Roman" w:hAnsi="Times New Roman"/>
          <w:snapToGrid/>
          <w:sz w:val="24"/>
          <w:szCs w:val="24"/>
        </w:rPr>
        <w:t>LIHEAP</w:t>
      </w:r>
      <w:proofErr w:type="spellEnd"/>
      <w:r w:rsidRPr="00221DD9">
        <w:rPr>
          <w:rFonts w:ascii="Times New Roman" w:hAnsi="Times New Roman"/>
          <w:snapToGrid/>
          <w:sz w:val="24"/>
          <w:szCs w:val="24"/>
        </w:rPr>
        <w:t xml:space="preserve"> program.</w:t>
      </w:r>
      <w:r w:rsidRPr="00222D81" w:rsidR="00B01032">
        <w:rPr>
          <w:rFonts w:ascii="Times New Roman" w:hAnsi="Times New Roman"/>
          <w:snapToGrid/>
          <w:sz w:val="24"/>
          <w:szCs w:val="24"/>
        </w:rPr>
        <w:br/>
      </w:r>
      <w:r w:rsidRPr="00222D81" w:rsidR="005D57C7">
        <w:rPr>
          <w:rFonts w:ascii="Times New Roman" w:hAnsi="Times New Roman"/>
          <w:snapToGrid/>
          <w:sz w:val="24"/>
          <w:szCs w:val="24"/>
        </w:rPr>
        <w:br/>
      </w:r>
    </w:p>
    <w:tbl>
      <w:tblPr>
        <w:tblW w:w="8730" w:type="dxa"/>
        <w:tblInd w:w="840" w:type="dxa"/>
        <w:tblLayout w:type="fixed"/>
        <w:tblCellMar>
          <w:left w:w="120" w:type="dxa"/>
          <w:right w:w="120" w:type="dxa"/>
        </w:tblCellMar>
        <w:tblLook w:val="04A0" w:firstRow="1" w:lastRow="0" w:firstColumn="1" w:lastColumn="0" w:noHBand="0" w:noVBand="1"/>
      </w:tblPr>
      <w:tblGrid>
        <w:gridCol w:w="5977"/>
        <w:gridCol w:w="2753"/>
      </w:tblGrid>
      <w:tr w:rsidRPr="00222D81" w:rsidR="005D57C7" w:rsidTr="000129C2" w14:paraId="27AC5498" w14:textId="77777777">
        <w:trPr>
          <w:cantSplit/>
          <w:trHeight w:val="21"/>
          <w:tblHeader/>
        </w:trPr>
        <w:tc>
          <w:tcPr>
            <w:tcW w:w="5977" w:type="dxa"/>
            <w:tcBorders>
              <w:top w:val="double" w:color="000000" w:sz="6" w:space="0"/>
              <w:left w:val="double" w:color="000000" w:sz="6" w:space="0"/>
              <w:bottom w:val="single" w:color="000000" w:sz="8" w:space="0"/>
              <w:right w:val="single" w:color="000000" w:sz="8" w:space="0"/>
            </w:tcBorders>
            <w:shd w:val="clear" w:color="auto" w:fill="D9D9D9" w:themeFill="background1" w:themeFillShade="D9"/>
            <w:vAlign w:val="center"/>
            <w:hideMark/>
          </w:tcPr>
          <w:p w:rsidRPr="00222D81" w:rsidR="005D57C7" w:rsidP="000129C2" w:rsidRDefault="005D57C7" w14:paraId="5212A2EA" w14:textId="77777777">
            <w:pPr>
              <w:tabs>
                <w:tab w:val="left" w:pos="-734"/>
                <w:tab w:val="left" w:pos="544"/>
                <w:tab w:val="left" w:pos="814"/>
              </w:tabs>
              <w:jc w:val="center"/>
              <w:rPr>
                <w:rFonts w:ascii="Times New Roman" w:hAnsi="Times New Roman"/>
                <w:sz w:val="22"/>
                <w:szCs w:val="22"/>
              </w:rPr>
            </w:pPr>
            <w:r w:rsidRPr="00222D81">
              <w:rPr>
                <w:rFonts w:ascii="Times New Roman" w:hAnsi="Times New Roman"/>
                <w:b/>
                <w:sz w:val="22"/>
                <w:szCs w:val="22"/>
              </w:rPr>
              <w:t>Activity*</w:t>
            </w:r>
          </w:p>
        </w:tc>
        <w:tc>
          <w:tcPr>
            <w:tcW w:w="2753" w:type="dxa"/>
            <w:tcBorders>
              <w:top w:val="double" w:color="000000" w:sz="6" w:space="0"/>
              <w:left w:val="single" w:color="000000" w:sz="8" w:space="0"/>
              <w:bottom w:val="single" w:color="000000" w:sz="8" w:space="0"/>
              <w:right w:val="double" w:color="000000" w:sz="6" w:space="0"/>
            </w:tcBorders>
            <w:shd w:val="clear" w:color="auto" w:fill="D9D9D9" w:themeFill="background1" w:themeFillShade="D9"/>
            <w:vAlign w:val="center"/>
            <w:hideMark/>
          </w:tcPr>
          <w:p w:rsidRPr="00222D81" w:rsidR="005D57C7" w:rsidP="000129C2" w:rsidRDefault="005D57C7" w14:paraId="3000BF01" w14:textId="77777777">
            <w:pPr>
              <w:tabs>
                <w:tab w:val="left" w:pos="-734"/>
                <w:tab w:val="left" w:pos="544"/>
                <w:tab w:val="left" w:pos="814"/>
              </w:tabs>
              <w:jc w:val="center"/>
              <w:rPr>
                <w:rFonts w:ascii="Times New Roman" w:hAnsi="Times New Roman"/>
                <w:sz w:val="22"/>
                <w:szCs w:val="22"/>
                <w:vertAlign w:val="superscript"/>
              </w:rPr>
            </w:pPr>
            <w:r w:rsidRPr="00222D81">
              <w:rPr>
                <w:rFonts w:ascii="Times New Roman" w:hAnsi="Times New Roman"/>
                <w:b/>
                <w:sz w:val="22"/>
                <w:szCs w:val="22"/>
              </w:rPr>
              <w:t>Estimated Date**</w:t>
            </w:r>
          </w:p>
        </w:tc>
      </w:tr>
      <w:tr w:rsidRPr="00222D81" w:rsidR="005D57C7" w:rsidTr="000129C2" w14:paraId="7AC6B413" w14:textId="77777777">
        <w:trPr>
          <w:cantSplit/>
          <w:trHeight w:val="187"/>
        </w:trPr>
        <w:tc>
          <w:tcPr>
            <w:tcW w:w="5977" w:type="dxa"/>
            <w:tcBorders>
              <w:top w:val="single" w:color="000000" w:sz="8" w:space="0"/>
              <w:left w:val="double" w:color="000000" w:sz="6" w:space="0"/>
              <w:bottom w:val="single" w:color="000000" w:sz="8" w:space="0"/>
              <w:right w:val="single" w:color="000000" w:sz="8" w:space="0"/>
            </w:tcBorders>
            <w:vAlign w:val="center"/>
          </w:tcPr>
          <w:p w:rsidRPr="00222D81" w:rsidR="005D57C7" w:rsidP="000129C2" w:rsidRDefault="005D57C7" w14:paraId="19360CC9" w14:textId="77777777">
            <w:pPr>
              <w:tabs>
                <w:tab w:val="left" w:pos="-734"/>
                <w:tab w:val="left" w:pos="544"/>
                <w:tab w:val="left" w:pos="814"/>
              </w:tabs>
              <w:rPr>
                <w:rFonts w:ascii="Times New Roman" w:hAnsi="Times New Roman"/>
                <w:sz w:val="22"/>
                <w:szCs w:val="22"/>
              </w:rPr>
            </w:pPr>
            <w:proofErr w:type="spellStart"/>
            <w:r w:rsidRPr="00222D81">
              <w:rPr>
                <w:rFonts w:ascii="Times New Roman" w:hAnsi="Times New Roman"/>
                <w:sz w:val="22"/>
                <w:szCs w:val="22"/>
              </w:rPr>
              <w:t>LIHEAP</w:t>
            </w:r>
            <w:proofErr w:type="spellEnd"/>
            <w:r w:rsidRPr="00222D81">
              <w:rPr>
                <w:rFonts w:ascii="Times New Roman" w:hAnsi="Times New Roman"/>
                <w:sz w:val="22"/>
                <w:szCs w:val="22"/>
              </w:rPr>
              <w:t xml:space="preserve"> Home Energy Notebook - Section II: Home Energy Data</w:t>
            </w:r>
          </w:p>
        </w:tc>
        <w:tc>
          <w:tcPr>
            <w:tcW w:w="2753" w:type="dxa"/>
            <w:tcBorders>
              <w:top w:val="single" w:color="000000" w:sz="8" w:space="0"/>
              <w:left w:val="single" w:color="000000" w:sz="8" w:space="0"/>
              <w:bottom w:val="single" w:color="000000" w:sz="8" w:space="0"/>
              <w:right w:val="double" w:color="000000" w:sz="6" w:space="0"/>
            </w:tcBorders>
            <w:vAlign w:val="center"/>
          </w:tcPr>
          <w:p w:rsidRPr="00222D81" w:rsidR="005D57C7" w:rsidP="000129C2" w:rsidRDefault="005D57C7" w14:paraId="49952C06" w14:textId="0CE8B29E">
            <w:pPr>
              <w:tabs>
                <w:tab w:val="left" w:pos="-734"/>
                <w:tab w:val="left" w:pos="544"/>
                <w:tab w:val="left" w:pos="814"/>
              </w:tabs>
              <w:jc w:val="center"/>
              <w:rPr>
                <w:rFonts w:ascii="Times New Roman" w:hAnsi="Times New Roman"/>
                <w:sz w:val="22"/>
                <w:szCs w:val="22"/>
              </w:rPr>
            </w:pPr>
            <w:r w:rsidRPr="00222D81">
              <w:rPr>
                <w:rFonts w:ascii="Times New Roman" w:hAnsi="Times New Roman"/>
                <w:sz w:val="22"/>
                <w:szCs w:val="22"/>
              </w:rPr>
              <w:t>June 20</w:t>
            </w:r>
            <w:r w:rsidR="00222D81">
              <w:rPr>
                <w:rFonts w:ascii="Times New Roman" w:hAnsi="Times New Roman"/>
                <w:sz w:val="22"/>
                <w:szCs w:val="22"/>
              </w:rPr>
              <w:t>23</w:t>
            </w:r>
          </w:p>
        </w:tc>
      </w:tr>
      <w:tr w:rsidRPr="00222D81" w:rsidR="005D57C7" w:rsidTr="000129C2" w14:paraId="55789A34" w14:textId="77777777">
        <w:trPr>
          <w:cantSplit/>
          <w:trHeight w:val="46"/>
        </w:trPr>
        <w:tc>
          <w:tcPr>
            <w:tcW w:w="5977" w:type="dxa"/>
            <w:tcBorders>
              <w:top w:val="single" w:color="000000" w:sz="8" w:space="0"/>
              <w:left w:val="double" w:color="000000" w:sz="6" w:space="0"/>
              <w:bottom w:val="single" w:color="000000" w:sz="8" w:space="0"/>
              <w:right w:val="single" w:color="000000" w:sz="8" w:space="0"/>
            </w:tcBorders>
            <w:vAlign w:val="center"/>
          </w:tcPr>
          <w:p w:rsidRPr="00222D81" w:rsidR="005D57C7" w:rsidP="000129C2" w:rsidRDefault="005D57C7" w14:paraId="33F72B33" w14:textId="77777777">
            <w:pPr>
              <w:tabs>
                <w:tab w:val="left" w:pos="-734"/>
                <w:tab w:val="left" w:pos="544"/>
                <w:tab w:val="left" w:pos="814"/>
              </w:tabs>
              <w:rPr>
                <w:rFonts w:ascii="Times New Roman" w:hAnsi="Times New Roman"/>
                <w:sz w:val="22"/>
                <w:szCs w:val="22"/>
              </w:rPr>
            </w:pPr>
            <w:proofErr w:type="spellStart"/>
            <w:r w:rsidRPr="00222D81">
              <w:rPr>
                <w:rFonts w:ascii="Times New Roman" w:hAnsi="Times New Roman"/>
                <w:sz w:val="22"/>
                <w:szCs w:val="22"/>
              </w:rPr>
              <w:t>LIHEAP</w:t>
            </w:r>
            <w:proofErr w:type="spellEnd"/>
            <w:r w:rsidRPr="00222D81">
              <w:rPr>
                <w:rFonts w:ascii="Times New Roman" w:hAnsi="Times New Roman"/>
                <w:sz w:val="22"/>
                <w:szCs w:val="22"/>
              </w:rPr>
              <w:t xml:space="preserve"> Home Energy Notebook - Section IV: Federal </w:t>
            </w:r>
            <w:proofErr w:type="spellStart"/>
            <w:r w:rsidRPr="00222D81">
              <w:rPr>
                <w:rFonts w:ascii="Times New Roman" w:hAnsi="Times New Roman"/>
                <w:sz w:val="22"/>
                <w:szCs w:val="22"/>
              </w:rPr>
              <w:t>LIHEAP</w:t>
            </w:r>
            <w:proofErr w:type="spellEnd"/>
            <w:r w:rsidRPr="00222D81">
              <w:rPr>
                <w:rFonts w:ascii="Times New Roman" w:hAnsi="Times New Roman"/>
                <w:sz w:val="22"/>
                <w:szCs w:val="22"/>
              </w:rPr>
              <w:t xml:space="preserve"> Targeting Performance</w:t>
            </w:r>
          </w:p>
        </w:tc>
        <w:tc>
          <w:tcPr>
            <w:tcW w:w="2753" w:type="dxa"/>
            <w:tcBorders>
              <w:top w:val="single" w:color="000000" w:sz="8" w:space="0"/>
              <w:left w:val="single" w:color="000000" w:sz="8" w:space="0"/>
              <w:bottom w:val="single" w:color="000000" w:sz="8" w:space="0"/>
              <w:right w:val="double" w:color="000000" w:sz="6" w:space="0"/>
            </w:tcBorders>
            <w:vAlign w:val="center"/>
          </w:tcPr>
          <w:p w:rsidRPr="00222D81" w:rsidR="005D57C7" w:rsidP="000129C2" w:rsidRDefault="005D57C7" w14:paraId="2C410564" w14:textId="684D7050">
            <w:pPr>
              <w:tabs>
                <w:tab w:val="left" w:pos="-734"/>
                <w:tab w:val="left" w:pos="544"/>
                <w:tab w:val="left" w:pos="814"/>
              </w:tabs>
              <w:jc w:val="center"/>
              <w:rPr>
                <w:rFonts w:ascii="Times New Roman" w:hAnsi="Times New Roman"/>
                <w:sz w:val="22"/>
                <w:szCs w:val="22"/>
              </w:rPr>
            </w:pPr>
            <w:r w:rsidRPr="00222D81">
              <w:rPr>
                <w:rFonts w:ascii="Times New Roman" w:hAnsi="Times New Roman"/>
                <w:sz w:val="22"/>
                <w:szCs w:val="22"/>
              </w:rPr>
              <w:t>June 20</w:t>
            </w:r>
            <w:r w:rsidR="00222D81">
              <w:rPr>
                <w:rFonts w:ascii="Times New Roman" w:hAnsi="Times New Roman"/>
                <w:sz w:val="22"/>
                <w:szCs w:val="22"/>
              </w:rPr>
              <w:t>23</w:t>
            </w:r>
          </w:p>
        </w:tc>
      </w:tr>
      <w:tr w:rsidRPr="00222D81" w:rsidR="005D57C7" w:rsidTr="000129C2" w14:paraId="5600E45C" w14:textId="77777777">
        <w:trPr>
          <w:cantSplit/>
          <w:trHeight w:val="46"/>
        </w:trPr>
        <w:tc>
          <w:tcPr>
            <w:tcW w:w="5977" w:type="dxa"/>
            <w:tcBorders>
              <w:top w:val="single" w:color="000000" w:sz="8" w:space="0"/>
              <w:left w:val="double" w:color="000000" w:sz="6" w:space="0"/>
              <w:bottom w:val="single" w:color="000000" w:sz="8" w:space="0"/>
              <w:right w:val="single" w:color="000000" w:sz="8" w:space="0"/>
            </w:tcBorders>
            <w:vAlign w:val="center"/>
          </w:tcPr>
          <w:p w:rsidRPr="00222D81" w:rsidR="005D57C7" w:rsidP="000129C2" w:rsidRDefault="005D57C7" w14:paraId="0EC0A4AB" w14:textId="77777777">
            <w:pPr>
              <w:tabs>
                <w:tab w:val="left" w:pos="-734"/>
                <w:tab w:val="left" w:pos="544"/>
                <w:tab w:val="left" w:pos="814"/>
              </w:tabs>
              <w:rPr>
                <w:rFonts w:ascii="Times New Roman" w:hAnsi="Times New Roman"/>
                <w:sz w:val="22"/>
                <w:szCs w:val="22"/>
              </w:rPr>
            </w:pPr>
            <w:proofErr w:type="spellStart"/>
            <w:r w:rsidRPr="00222D81">
              <w:rPr>
                <w:rFonts w:ascii="Times New Roman" w:hAnsi="Times New Roman"/>
                <w:sz w:val="22"/>
                <w:szCs w:val="22"/>
              </w:rPr>
              <w:t>LIHEAP</w:t>
            </w:r>
            <w:proofErr w:type="spellEnd"/>
            <w:r w:rsidRPr="00222D81">
              <w:rPr>
                <w:rFonts w:ascii="Times New Roman" w:hAnsi="Times New Roman"/>
                <w:sz w:val="22"/>
                <w:szCs w:val="22"/>
              </w:rPr>
              <w:t xml:space="preserve"> Home Energy Notebook - Section V: Special Study of Energy Insecurity of Low-Income and </w:t>
            </w:r>
            <w:proofErr w:type="spellStart"/>
            <w:r w:rsidRPr="00222D81">
              <w:rPr>
                <w:rFonts w:ascii="Times New Roman" w:hAnsi="Times New Roman"/>
                <w:sz w:val="22"/>
                <w:szCs w:val="22"/>
              </w:rPr>
              <w:t>LIHEAP</w:t>
            </w:r>
            <w:proofErr w:type="spellEnd"/>
            <w:r w:rsidRPr="00222D81">
              <w:rPr>
                <w:rFonts w:ascii="Times New Roman" w:hAnsi="Times New Roman"/>
                <w:sz w:val="22"/>
                <w:szCs w:val="22"/>
              </w:rPr>
              <w:t xml:space="preserve"> Recipient Households***</w:t>
            </w:r>
          </w:p>
        </w:tc>
        <w:tc>
          <w:tcPr>
            <w:tcW w:w="2753" w:type="dxa"/>
            <w:tcBorders>
              <w:top w:val="single" w:color="000000" w:sz="8" w:space="0"/>
              <w:left w:val="single" w:color="000000" w:sz="8" w:space="0"/>
              <w:bottom w:val="single" w:color="000000" w:sz="8" w:space="0"/>
              <w:right w:val="double" w:color="000000" w:sz="6" w:space="0"/>
            </w:tcBorders>
            <w:vAlign w:val="center"/>
          </w:tcPr>
          <w:p w:rsidRPr="00222D81" w:rsidR="005D57C7" w:rsidP="000129C2" w:rsidRDefault="005D57C7" w14:paraId="0F79FD8E" w14:textId="482F108C">
            <w:pPr>
              <w:tabs>
                <w:tab w:val="left" w:pos="-734"/>
                <w:tab w:val="left" w:pos="544"/>
                <w:tab w:val="left" w:pos="814"/>
              </w:tabs>
              <w:jc w:val="center"/>
              <w:rPr>
                <w:rFonts w:ascii="Times New Roman" w:hAnsi="Times New Roman"/>
                <w:sz w:val="22"/>
                <w:szCs w:val="22"/>
              </w:rPr>
            </w:pPr>
            <w:r w:rsidRPr="00222D81">
              <w:rPr>
                <w:rFonts w:ascii="Times New Roman" w:hAnsi="Times New Roman"/>
                <w:sz w:val="22"/>
                <w:szCs w:val="22"/>
              </w:rPr>
              <w:t>June 20</w:t>
            </w:r>
            <w:r w:rsidR="00222D81">
              <w:rPr>
                <w:rFonts w:ascii="Times New Roman" w:hAnsi="Times New Roman"/>
                <w:sz w:val="22"/>
                <w:szCs w:val="22"/>
              </w:rPr>
              <w:t>23</w:t>
            </w:r>
          </w:p>
        </w:tc>
      </w:tr>
      <w:tr w:rsidRPr="00222D81" w:rsidR="005D57C7" w:rsidTr="000129C2" w14:paraId="7CBF70CC" w14:textId="77777777">
        <w:trPr>
          <w:cantSplit/>
          <w:trHeight w:val="46"/>
        </w:trPr>
        <w:tc>
          <w:tcPr>
            <w:tcW w:w="5977" w:type="dxa"/>
            <w:tcBorders>
              <w:top w:val="single" w:color="000000" w:sz="8" w:space="0"/>
              <w:left w:val="double" w:color="000000" w:sz="6" w:space="0"/>
              <w:bottom w:val="single" w:color="000000" w:sz="8" w:space="0"/>
              <w:right w:val="single" w:color="000000" w:sz="8" w:space="0"/>
            </w:tcBorders>
            <w:vAlign w:val="center"/>
          </w:tcPr>
          <w:p w:rsidRPr="00222D81" w:rsidR="005D57C7" w:rsidP="000129C2" w:rsidRDefault="005D57C7" w14:paraId="7B458AF7" w14:textId="77777777">
            <w:pPr>
              <w:tabs>
                <w:tab w:val="left" w:pos="-734"/>
                <w:tab w:val="left" w:pos="544"/>
                <w:tab w:val="left" w:pos="814"/>
              </w:tabs>
              <w:rPr>
                <w:rFonts w:ascii="Times New Roman" w:hAnsi="Times New Roman"/>
                <w:sz w:val="22"/>
                <w:szCs w:val="22"/>
              </w:rPr>
            </w:pPr>
            <w:proofErr w:type="spellStart"/>
            <w:r w:rsidRPr="00222D81">
              <w:rPr>
                <w:rFonts w:ascii="Times New Roman" w:hAnsi="Times New Roman"/>
                <w:sz w:val="22"/>
                <w:szCs w:val="22"/>
              </w:rPr>
              <w:t>LIHEAP</w:t>
            </w:r>
            <w:proofErr w:type="spellEnd"/>
            <w:r w:rsidRPr="00222D81">
              <w:rPr>
                <w:rFonts w:ascii="Times New Roman" w:hAnsi="Times New Roman"/>
                <w:sz w:val="22"/>
                <w:szCs w:val="22"/>
              </w:rPr>
              <w:t xml:space="preserve"> Home Energy Notebook - Appendix A: Home Energy Estimates</w:t>
            </w:r>
          </w:p>
        </w:tc>
        <w:tc>
          <w:tcPr>
            <w:tcW w:w="2753" w:type="dxa"/>
            <w:tcBorders>
              <w:top w:val="single" w:color="000000" w:sz="8" w:space="0"/>
              <w:left w:val="single" w:color="000000" w:sz="8" w:space="0"/>
              <w:bottom w:val="single" w:color="000000" w:sz="8" w:space="0"/>
              <w:right w:val="double" w:color="000000" w:sz="6" w:space="0"/>
            </w:tcBorders>
            <w:vAlign w:val="center"/>
          </w:tcPr>
          <w:p w:rsidRPr="00222D81" w:rsidR="005D57C7" w:rsidP="000129C2" w:rsidRDefault="005D57C7" w14:paraId="35F11500" w14:textId="544DCB0F">
            <w:pPr>
              <w:tabs>
                <w:tab w:val="left" w:pos="-734"/>
                <w:tab w:val="left" w:pos="544"/>
                <w:tab w:val="left" w:pos="814"/>
              </w:tabs>
              <w:jc w:val="center"/>
              <w:rPr>
                <w:rFonts w:ascii="Times New Roman" w:hAnsi="Times New Roman"/>
                <w:sz w:val="22"/>
                <w:szCs w:val="22"/>
              </w:rPr>
            </w:pPr>
            <w:r w:rsidRPr="00222D81">
              <w:rPr>
                <w:rFonts w:ascii="Times New Roman" w:hAnsi="Times New Roman"/>
                <w:sz w:val="22"/>
                <w:szCs w:val="22"/>
              </w:rPr>
              <w:t>June 20</w:t>
            </w:r>
            <w:r w:rsidR="00222D81">
              <w:rPr>
                <w:rFonts w:ascii="Times New Roman" w:hAnsi="Times New Roman"/>
                <w:sz w:val="22"/>
                <w:szCs w:val="22"/>
              </w:rPr>
              <w:t>23</w:t>
            </w:r>
          </w:p>
        </w:tc>
      </w:tr>
      <w:tr w:rsidRPr="00222D81" w:rsidR="005D57C7" w:rsidTr="000129C2" w14:paraId="77259EA0" w14:textId="77777777">
        <w:trPr>
          <w:cantSplit/>
          <w:trHeight w:val="46"/>
        </w:trPr>
        <w:tc>
          <w:tcPr>
            <w:tcW w:w="5977" w:type="dxa"/>
            <w:tcBorders>
              <w:top w:val="single" w:color="000000" w:sz="8" w:space="0"/>
              <w:left w:val="double" w:color="000000" w:sz="6" w:space="0"/>
              <w:bottom w:val="single" w:color="000000" w:sz="8" w:space="0"/>
              <w:right w:val="single" w:color="000000" w:sz="8" w:space="0"/>
            </w:tcBorders>
            <w:vAlign w:val="center"/>
          </w:tcPr>
          <w:p w:rsidRPr="00222D81" w:rsidR="005D57C7" w:rsidP="000129C2" w:rsidRDefault="005D57C7" w14:paraId="57572D1B" w14:textId="77777777">
            <w:pPr>
              <w:tabs>
                <w:tab w:val="left" w:pos="-734"/>
                <w:tab w:val="left" w:pos="544"/>
                <w:tab w:val="left" w:pos="814"/>
              </w:tabs>
              <w:rPr>
                <w:rFonts w:ascii="Times New Roman" w:hAnsi="Times New Roman"/>
                <w:sz w:val="22"/>
                <w:szCs w:val="22"/>
              </w:rPr>
            </w:pPr>
            <w:proofErr w:type="spellStart"/>
            <w:r w:rsidRPr="00222D81">
              <w:rPr>
                <w:rFonts w:ascii="Times New Roman" w:hAnsi="Times New Roman"/>
                <w:sz w:val="22"/>
                <w:szCs w:val="22"/>
              </w:rPr>
              <w:t>LIHEAP</w:t>
            </w:r>
            <w:proofErr w:type="spellEnd"/>
            <w:r w:rsidRPr="00222D81">
              <w:rPr>
                <w:rFonts w:ascii="Times New Roman" w:hAnsi="Times New Roman"/>
                <w:sz w:val="22"/>
                <w:szCs w:val="22"/>
              </w:rPr>
              <w:t xml:space="preserve"> Report to Congress - Part II: Home Energy Data</w:t>
            </w:r>
          </w:p>
        </w:tc>
        <w:tc>
          <w:tcPr>
            <w:tcW w:w="2753" w:type="dxa"/>
            <w:tcBorders>
              <w:top w:val="single" w:color="000000" w:sz="8" w:space="0"/>
              <w:left w:val="single" w:color="000000" w:sz="8" w:space="0"/>
              <w:bottom w:val="single" w:color="000000" w:sz="8" w:space="0"/>
              <w:right w:val="double" w:color="000000" w:sz="6" w:space="0"/>
            </w:tcBorders>
            <w:vAlign w:val="center"/>
          </w:tcPr>
          <w:p w:rsidRPr="00222D81" w:rsidR="005D57C7" w:rsidP="000129C2" w:rsidRDefault="005D57C7" w14:paraId="466A4D55" w14:textId="6046333D">
            <w:pPr>
              <w:tabs>
                <w:tab w:val="left" w:pos="-734"/>
                <w:tab w:val="left" w:pos="544"/>
                <w:tab w:val="left" w:pos="814"/>
              </w:tabs>
              <w:jc w:val="center"/>
              <w:rPr>
                <w:rFonts w:ascii="Times New Roman" w:hAnsi="Times New Roman"/>
                <w:sz w:val="22"/>
                <w:szCs w:val="22"/>
              </w:rPr>
            </w:pPr>
            <w:r w:rsidRPr="00222D81">
              <w:rPr>
                <w:rFonts w:ascii="Times New Roman" w:hAnsi="Times New Roman"/>
                <w:sz w:val="22"/>
                <w:szCs w:val="22"/>
              </w:rPr>
              <w:t>September 20</w:t>
            </w:r>
            <w:r w:rsidR="00222D81">
              <w:rPr>
                <w:rFonts w:ascii="Times New Roman" w:hAnsi="Times New Roman"/>
                <w:sz w:val="22"/>
                <w:szCs w:val="22"/>
              </w:rPr>
              <w:t>23</w:t>
            </w:r>
          </w:p>
        </w:tc>
      </w:tr>
    </w:tbl>
    <w:p w:rsidRPr="00222D81" w:rsidR="005D57C7" w:rsidP="005D57C7" w:rsidRDefault="005D57C7" w14:paraId="79435DC7" w14:textId="77777777">
      <w:pPr>
        <w:ind w:left="720"/>
        <w:rPr>
          <w:rFonts w:ascii="Times New Roman" w:hAnsi="Times New Roman"/>
          <w:i/>
          <w:sz w:val="22"/>
        </w:rPr>
      </w:pPr>
      <w:r w:rsidRPr="00222D81">
        <w:rPr>
          <w:rFonts w:ascii="Times New Roman" w:hAnsi="Times New Roman"/>
          <w:i/>
          <w:sz w:val="22"/>
        </w:rPr>
        <w:t xml:space="preserve">* The activity depends upon the execution of the government’s plan to revise the </w:t>
      </w:r>
      <w:proofErr w:type="spellStart"/>
      <w:r w:rsidRPr="00222D81">
        <w:rPr>
          <w:rFonts w:ascii="Times New Roman" w:hAnsi="Times New Roman"/>
          <w:i/>
          <w:sz w:val="22"/>
        </w:rPr>
        <w:t>LIHEAP</w:t>
      </w:r>
      <w:proofErr w:type="spellEnd"/>
      <w:r w:rsidRPr="00222D81">
        <w:rPr>
          <w:rFonts w:ascii="Times New Roman" w:hAnsi="Times New Roman"/>
          <w:i/>
          <w:sz w:val="22"/>
        </w:rPr>
        <w:t xml:space="preserve"> Report to Congress and the </w:t>
      </w:r>
      <w:proofErr w:type="spellStart"/>
      <w:r w:rsidRPr="00222D81">
        <w:rPr>
          <w:rFonts w:ascii="Times New Roman" w:hAnsi="Times New Roman"/>
          <w:i/>
          <w:sz w:val="22"/>
        </w:rPr>
        <w:t>LIHEAP</w:t>
      </w:r>
      <w:proofErr w:type="spellEnd"/>
      <w:r w:rsidRPr="00222D81">
        <w:rPr>
          <w:rFonts w:ascii="Times New Roman" w:hAnsi="Times New Roman"/>
          <w:i/>
          <w:sz w:val="22"/>
        </w:rPr>
        <w:t xml:space="preserve"> Home Energy Notebook.</w:t>
      </w:r>
    </w:p>
    <w:p w:rsidRPr="00222D81" w:rsidR="005D57C7" w:rsidP="005D57C7" w:rsidRDefault="005D57C7" w14:paraId="28718CA9" w14:textId="77777777">
      <w:pPr>
        <w:ind w:left="720"/>
        <w:rPr>
          <w:rFonts w:ascii="Times New Roman" w:hAnsi="Times New Roman"/>
          <w:i/>
          <w:sz w:val="22"/>
        </w:rPr>
      </w:pPr>
      <w:r w:rsidRPr="00222D81">
        <w:rPr>
          <w:rFonts w:ascii="Times New Roman" w:hAnsi="Times New Roman"/>
          <w:i/>
          <w:sz w:val="22"/>
        </w:rPr>
        <w:t>** Publication is dependent upon the Department’s clearance process.</w:t>
      </w:r>
    </w:p>
    <w:p w:rsidRPr="005D57C7" w:rsidR="005D57C7" w:rsidP="005D57C7" w:rsidRDefault="005D57C7" w14:paraId="272E027E" w14:textId="77777777">
      <w:pPr>
        <w:ind w:left="720"/>
        <w:rPr>
          <w:rFonts w:ascii="Times New Roman" w:hAnsi="Times New Roman"/>
          <w:i/>
          <w:sz w:val="22"/>
        </w:rPr>
      </w:pPr>
      <w:r w:rsidRPr="00222D81">
        <w:rPr>
          <w:rFonts w:ascii="Times New Roman" w:hAnsi="Times New Roman"/>
          <w:i/>
          <w:sz w:val="22"/>
        </w:rPr>
        <w:t>*** This is the preliminary planned Special Study topic.</w:t>
      </w:r>
    </w:p>
    <w:p w:rsidRPr="002A2F20" w:rsidR="00D60543" w:rsidP="00D60543" w:rsidRDefault="00D60543" w14:paraId="32514223" w14:textId="77777777">
      <w:pPr>
        <w:widowControl/>
        <w:rPr>
          <w:rFonts w:ascii="Times New Roman" w:hAnsi="Times New Roman"/>
          <w:snapToGrid/>
          <w:sz w:val="24"/>
          <w:szCs w:val="24"/>
          <w:highlight w:val="yellow"/>
        </w:rPr>
      </w:pPr>
    </w:p>
    <w:p w:rsidRPr="002A2F20" w:rsidR="007935D5" w:rsidP="004F7B95" w:rsidRDefault="007935D5" w14:paraId="72630C8F" w14:textId="77777777">
      <w:pPr>
        <w:widowControl/>
        <w:ind w:left="720"/>
        <w:rPr>
          <w:rFonts w:ascii="Times New Roman" w:hAnsi="Times New Roman"/>
          <w:snapToGrid/>
          <w:sz w:val="24"/>
          <w:szCs w:val="24"/>
          <w:highlight w:val="yellow"/>
        </w:rPr>
      </w:pPr>
    </w:p>
    <w:p w:rsidRPr="00311023" w:rsidR="002C3C4F" w:rsidP="00311023" w:rsidRDefault="002C3C4F" w14:paraId="5CE5AD9A" w14:textId="77777777">
      <w:pPr>
        <w:widowControl/>
        <w:numPr>
          <w:ilvl w:val="0"/>
          <w:numId w:val="3"/>
        </w:numPr>
        <w:tabs>
          <w:tab w:val="clear" w:pos="720"/>
          <w:tab w:val="left" w:pos="360"/>
        </w:tabs>
        <w:spacing w:after="120"/>
        <w:ind w:left="360"/>
        <w:rPr>
          <w:rFonts w:ascii="Times New Roman" w:hAnsi="Times New Roman"/>
          <w:b/>
          <w:snapToGrid/>
          <w:sz w:val="24"/>
          <w:szCs w:val="24"/>
        </w:rPr>
      </w:pPr>
      <w:r w:rsidRPr="00311023">
        <w:rPr>
          <w:rFonts w:ascii="Times New Roman" w:hAnsi="Times New Roman"/>
          <w:b/>
          <w:snapToGrid/>
          <w:sz w:val="24"/>
          <w:szCs w:val="24"/>
        </w:rPr>
        <w:t xml:space="preserve">Reason(s) Display of OMB Expiration Date is Inappropriate </w:t>
      </w:r>
    </w:p>
    <w:p w:rsidRPr="00222D81" w:rsidR="00E814F8" w:rsidP="00E814F8" w:rsidRDefault="00E814F8" w14:paraId="5D19C54C" w14:textId="3CB2522A">
      <w:pPr>
        <w:widowControl/>
        <w:ind w:left="360"/>
        <w:rPr>
          <w:rFonts w:ascii="Times New Roman" w:hAnsi="Times New Roman"/>
          <w:snapToGrid/>
          <w:sz w:val="24"/>
          <w:szCs w:val="24"/>
        </w:rPr>
      </w:pPr>
      <w:r w:rsidRPr="00222D81">
        <w:rPr>
          <w:rFonts w:ascii="Times New Roman" w:hAnsi="Times New Roman"/>
          <w:snapToGrid/>
          <w:sz w:val="24"/>
          <w:szCs w:val="24"/>
        </w:rPr>
        <w:t>No</w:t>
      </w:r>
      <w:r w:rsidR="004821C4">
        <w:rPr>
          <w:rFonts w:ascii="Times New Roman" w:hAnsi="Times New Roman"/>
          <w:snapToGrid/>
          <w:sz w:val="24"/>
          <w:szCs w:val="24"/>
        </w:rPr>
        <w:t xml:space="preserve">t </w:t>
      </w:r>
      <w:r w:rsidRPr="00222D81">
        <w:rPr>
          <w:rFonts w:ascii="Times New Roman" w:hAnsi="Times New Roman"/>
          <w:snapToGrid/>
          <w:sz w:val="24"/>
          <w:szCs w:val="24"/>
        </w:rPr>
        <w:t>applicable.</w:t>
      </w:r>
    </w:p>
    <w:p w:rsidRPr="00222D81" w:rsidR="00D60543" w:rsidP="00D60543" w:rsidRDefault="00D60543" w14:paraId="7649A16C" w14:textId="77777777">
      <w:pPr>
        <w:widowControl/>
        <w:rPr>
          <w:rFonts w:ascii="Times New Roman" w:hAnsi="Times New Roman"/>
          <w:snapToGrid/>
          <w:sz w:val="24"/>
          <w:szCs w:val="24"/>
        </w:rPr>
      </w:pPr>
    </w:p>
    <w:p w:rsidRPr="00311023" w:rsidR="002C3C4F" w:rsidP="00311023" w:rsidRDefault="002C3C4F" w14:paraId="01C29EF4"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311023">
        <w:rPr>
          <w:rFonts w:ascii="Times New Roman" w:hAnsi="Times New Roman"/>
          <w:b/>
          <w:snapToGrid/>
          <w:sz w:val="24"/>
          <w:szCs w:val="24"/>
        </w:rPr>
        <w:t>Exceptions to Certification for Paperwork Reduction Act Submissions</w:t>
      </w:r>
    </w:p>
    <w:p w:rsidRPr="002357D9" w:rsidR="00EC698B" w:rsidP="002357D9" w:rsidRDefault="004821C4" w14:paraId="517B25F4" w14:textId="179ABEA5">
      <w:pPr>
        <w:widowControl/>
        <w:ind w:left="360"/>
        <w:rPr>
          <w:rFonts w:ascii="Times New Roman" w:hAnsi="Times New Roman"/>
          <w:snapToGrid/>
          <w:sz w:val="24"/>
          <w:szCs w:val="24"/>
        </w:rPr>
      </w:pPr>
      <w:r w:rsidRPr="00222D81">
        <w:rPr>
          <w:rFonts w:ascii="Times New Roman" w:hAnsi="Times New Roman"/>
          <w:snapToGrid/>
          <w:sz w:val="24"/>
          <w:szCs w:val="24"/>
        </w:rPr>
        <w:t>No</w:t>
      </w:r>
      <w:r>
        <w:rPr>
          <w:rFonts w:ascii="Times New Roman" w:hAnsi="Times New Roman"/>
          <w:snapToGrid/>
          <w:sz w:val="24"/>
          <w:szCs w:val="24"/>
        </w:rPr>
        <w:t xml:space="preserve">t </w:t>
      </w:r>
      <w:r w:rsidRPr="00222D81">
        <w:rPr>
          <w:rFonts w:ascii="Times New Roman" w:hAnsi="Times New Roman"/>
          <w:snapToGrid/>
          <w:sz w:val="24"/>
          <w:szCs w:val="24"/>
        </w:rPr>
        <w:t>applicable.</w:t>
      </w:r>
    </w:p>
    <w:sectPr w:rsidRPr="002357D9" w:rsidR="00EC698B" w:rsidSect="00AC24C9">
      <w:endnotePr>
        <w:numFmt w:val="decimal"/>
      </w:endnotePr>
      <w:type w:val="continuous"/>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78037" w14:textId="77777777" w:rsidR="003F798F" w:rsidRDefault="003F798F">
      <w:pPr>
        <w:spacing w:line="20" w:lineRule="exact"/>
        <w:rPr>
          <w:sz w:val="24"/>
        </w:rPr>
      </w:pPr>
    </w:p>
  </w:endnote>
  <w:endnote w:type="continuationSeparator" w:id="0">
    <w:p w14:paraId="2A842E46" w14:textId="77777777" w:rsidR="003F798F" w:rsidRDefault="003F798F">
      <w:r>
        <w:rPr>
          <w:sz w:val="24"/>
        </w:rPr>
        <w:t xml:space="preserve"> </w:t>
      </w:r>
    </w:p>
  </w:endnote>
  <w:endnote w:type="continuationNotice" w:id="1">
    <w:p w14:paraId="31A773D8" w14:textId="77777777" w:rsidR="003F798F" w:rsidRDefault="003F79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96EE9" w14:textId="77777777" w:rsidR="007B7D18" w:rsidRDefault="007B7D18">
    <w:pPr>
      <w:spacing w:before="140" w:line="100" w:lineRule="exact"/>
      <w:rPr>
        <w:sz w:val="10"/>
      </w:rPr>
    </w:pPr>
  </w:p>
  <w:p w14:paraId="6E50A13B" w14:textId="77777777" w:rsidR="007B7D18" w:rsidRDefault="007B7D18">
    <w:pPr>
      <w:tabs>
        <w:tab w:val="left" w:pos="-720"/>
      </w:tabs>
      <w:suppressAutoHyphens/>
      <w:rPr>
        <w:sz w:val="24"/>
      </w:rPr>
    </w:pPr>
  </w:p>
  <w:p w14:paraId="2646444E" w14:textId="58D309C8" w:rsidR="007B7D18" w:rsidRDefault="007B7D18">
    <w:pPr>
      <w:tabs>
        <w:tab w:val="left" w:pos="-72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C79B0" w14:textId="77777777" w:rsidR="003F798F" w:rsidRDefault="003F798F">
      <w:r>
        <w:rPr>
          <w:sz w:val="24"/>
        </w:rPr>
        <w:separator/>
      </w:r>
    </w:p>
  </w:footnote>
  <w:footnote w:type="continuationSeparator" w:id="0">
    <w:p w14:paraId="04361575" w14:textId="77777777" w:rsidR="003F798F" w:rsidRDefault="003F798F">
      <w:r>
        <w:continuationSeparator/>
      </w:r>
    </w:p>
  </w:footnote>
  <w:footnote w:id="1">
    <w:p w14:paraId="50E25D04" w14:textId="79C466EE" w:rsidR="00DC3719" w:rsidRPr="00404EA7" w:rsidRDefault="00DC3719">
      <w:pPr>
        <w:pStyle w:val="FootnoteText"/>
      </w:pPr>
      <w:r w:rsidRPr="00404EA7">
        <w:rPr>
          <w:rStyle w:val="FootnoteReference"/>
        </w:rPr>
        <w:footnoteRef/>
      </w:r>
      <w:r w:rsidRPr="00404EA7">
        <w:t xml:space="preserve"> This is based on an average of estimates from 7 grantees; includes direct grantee staff hours, as well as hours for grantee contactors/sub-grantees (if applicable).</w:t>
      </w:r>
    </w:p>
  </w:footnote>
  <w:footnote w:id="2">
    <w:p w14:paraId="5CA86DF1" w14:textId="5972ABA3" w:rsidR="00DC3719" w:rsidRPr="00404EA7" w:rsidRDefault="00DC3719">
      <w:pPr>
        <w:pStyle w:val="FootnoteText"/>
      </w:pPr>
      <w:r w:rsidRPr="00404EA7">
        <w:rPr>
          <w:rStyle w:val="FootnoteReference"/>
        </w:rPr>
        <w:footnoteRef/>
      </w:r>
      <w:r w:rsidRPr="00404EA7">
        <w:t xml:space="preserve"> This is calculated by multiplying the number of respondents, number of responses per respondent, and the average hour burden per response.</w:t>
      </w:r>
    </w:p>
  </w:footnote>
  <w:footnote w:id="3">
    <w:p w14:paraId="61E39F22" w14:textId="787AEDC5" w:rsidR="00DC3719" w:rsidRDefault="00DC3719">
      <w:pPr>
        <w:pStyle w:val="FootnoteText"/>
      </w:pPr>
      <w:r>
        <w:rPr>
          <w:rStyle w:val="FootnoteReference"/>
        </w:rPr>
        <w:footnoteRef/>
      </w:r>
      <w:r>
        <w:t xml:space="preserve"> </w:t>
      </w:r>
      <w:r w:rsidRPr="00D85A8F">
        <w:t xml:space="preserve">This per hour rate was estimated based on publicly available information on grantee staff salaries and assumed overhead costs.   </w:t>
      </w:r>
    </w:p>
  </w:footnote>
  <w:footnote w:id="4">
    <w:p w14:paraId="7F65E16C" w14:textId="63CB5E20" w:rsidR="007B7D18" w:rsidRDefault="007B7D18">
      <w:pPr>
        <w:pStyle w:val="FootnoteText"/>
      </w:pPr>
      <w:r>
        <w:rPr>
          <w:rStyle w:val="FootnoteReference"/>
        </w:rPr>
        <w:footnoteRef/>
      </w:r>
      <w:r>
        <w:t xml:space="preserve"> </w:t>
      </w:r>
      <w:r w:rsidR="00D85A8F">
        <w:t>Estimates by</w:t>
      </w:r>
      <w:r>
        <w:t xml:space="preserve"> </w:t>
      </w:r>
      <w:r w:rsidRPr="00AC24C9">
        <w:t>Peter Edelman</w:t>
      </w:r>
      <w:r w:rsidR="00D85A8F">
        <w:t xml:space="preserve"> (ACF)</w:t>
      </w:r>
      <w:r>
        <w:t>.</w:t>
      </w:r>
    </w:p>
  </w:footnote>
  <w:footnote w:id="5">
    <w:p w14:paraId="067C66B9" w14:textId="4690926D" w:rsidR="007B7D18" w:rsidRDefault="007B7D18">
      <w:pPr>
        <w:pStyle w:val="FootnoteText"/>
      </w:pPr>
      <w:r>
        <w:rPr>
          <w:rStyle w:val="FootnoteReference"/>
        </w:rPr>
        <w:footnoteRef/>
      </w:r>
      <w:r>
        <w:t xml:space="preserve"> Wage rate of </w:t>
      </w:r>
      <w:hyperlink r:id="rId1" w:history="1">
        <w:proofErr w:type="spellStart"/>
        <w:r w:rsidRPr="005A0C06">
          <w:rPr>
            <w:rStyle w:val="Hyperlink"/>
          </w:rPr>
          <w:t>GS</w:t>
        </w:r>
        <w:proofErr w:type="spellEnd"/>
        <w:r w:rsidRPr="005A0C06">
          <w:rPr>
            <w:rStyle w:val="Hyperlink"/>
          </w:rPr>
          <w:t xml:space="preserve"> 12, Step 5 in Washington DC</w:t>
        </w:r>
      </w:hyperlink>
      <w:r w:rsidR="00982B13">
        <w:t xml:space="preserve"> plus 100% for b</w:t>
      </w:r>
      <w:r w:rsidR="00982B13" w:rsidRPr="00982B13">
        <w:t xml:space="preserve">enefits, fringe, and </w:t>
      </w:r>
      <w:r w:rsidR="00982B13">
        <w:t xml:space="preserve">management </w:t>
      </w:r>
      <w:r w:rsidR="00982B13" w:rsidRPr="00982B13">
        <w:t>oversight</w:t>
      </w:r>
      <w:r w:rsidR="005A0C06">
        <w:t>.</w:t>
      </w:r>
    </w:p>
  </w:footnote>
  <w:footnote w:id="6">
    <w:p w14:paraId="000A5112" w14:textId="58A86A42" w:rsidR="007B7D18" w:rsidRDefault="007B7D18">
      <w:pPr>
        <w:pStyle w:val="FootnoteText"/>
      </w:pPr>
      <w:r>
        <w:rPr>
          <w:rStyle w:val="FootnoteReference"/>
        </w:rPr>
        <w:footnoteRef/>
      </w:r>
      <w:r>
        <w:t xml:space="preserve"> Wage rate of </w:t>
      </w:r>
      <w:hyperlink r:id="rId2" w:history="1">
        <w:proofErr w:type="spellStart"/>
        <w:r w:rsidR="005A0C06" w:rsidRPr="005A0C06">
          <w:rPr>
            <w:rStyle w:val="Hyperlink"/>
          </w:rPr>
          <w:t>GS</w:t>
        </w:r>
        <w:proofErr w:type="spellEnd"/>
        <w:r w:rsidR="005A0C06" w:rsidRPr="005A0C06">
          <w:rPr>
            <w:rStyle w:val="Hyperlink"/>
          </w:rPr>
          <w:t xml:space="preserve"> 1</w:t>
        </w:r>
        <w:r w:rsidR="005A0C06">
          <w:rPr>
            <w:rStyle w:val="Hyperlink"/>
          </w:rPr>
          <w:t>4</w:t>
        </w:r>
        <w:r w:rsidR="005A0C06" w:rsidRPr="005A0C06">
          <w:rPr>
            <w:rStyle w:val="Hyperlink"/>
          </w:rPr>
          <w:t>, Step 5 in Washington DC</w:t>
        </w:r>
      </w:hyperlink>
      <w:r w:rsidR="00982B13" w:rsidRPr="00982B13">
        <w:t xml:space="preserve"> </w:t>
      </w:r>
      <w:r w:rsidR="00982B13">
        <w:t>plus 100% for b</w:t>
      </w:r>
      <w:r w:rsidR="00982B13" w:rsidRPr="00982B13">
        <w:t xml:space="preserve">enefits, fringe, and </w:t>
      </w:r>
      <w:r w:rsidR="00982B13">
        <w:t xml:space="preserve">management </w:t>
      </w:r>
      <w:r w:rsidR="00982B13" w:rsidRPr="00982B13">
        <w:t>oversight</w:t>
      </w:r>
      <w:r>
        <w:t>.</w:t>
      </w:r>
    </w:p>
  </w:footnote>
  <w:footnote w:id="7">
    <w:p w14:paraId="5623D5A2" w14:textId="50014C8E" w:rsidR="007B7D18" w:rsidRDefault="007B7D18">
      <w:pPr>
        <w:pStyle w:val="FootnoteText"/>
      </w:pPr>
      <w:r>
        <w:rPr>
          <w:rStyle w:val="FootnoteReference"/>
        </w:rPr>
        <w:footnoteRef/>
      </w:r>
      <w:r>
        <w:t xml:space="preserve"> Wage rate of </w:t>
      </w:r>
      <w:hyperlink r:id="rId3" w:history="1">
        <w:proofErr w:type="spellStart"/>
        <w:r w:rsidR="005A0C06" w:rsidRPr="005A0C06">
          <w:rPr>
            <w:rStyle w:val="Hyperlink"/>
          </w:rPr>
          <w:t>GS</w:t>
        </w:r>
        <w:proofErr w:type="spellEnd"/>
        <w:r w:rsidR="005A0C06" w:rsidRPr="005A0C06">
          <w:rPr>
            <w:rStyle w:val="Hyperlink"/>
          </w:rPr>
          <w:t xml:space="preserve"> 1</w:t>
        </w:r>
        <w:r w:rsidR="005A0C06">
          <w:rPr>
            <w:rStyle w:val="Hyperlink"/>
          </w:rPr>
          <w:t>3</w:t>
        </w:r>
        <w:r w:rsidR="005A0C06" w:rsidRPr="005A0C06">
          <w:rPr>
            <w:rStyle w:val="Hyperlink"/>
          </w:rPr>
          <w:t>, Step 5 in Washington DC</w:t>
        </w:r>
      </w:hyperlink>
      <w:r w:rsidR="00982B13" w:rsidRPr="00982B13">
        <w:t xml:space="preserve"> </w:t>
      </w:r>
      <w:r w:rsidR="00982B13">
        <w:t>plus 100% for b</w:t>
      </w:r>
      <w:r w:rsidR="00982B13" w:rsidRPr="00982B13">
        <w:t xml:space="preserve">enefits, fringe, and </w:t>
      </w:r>
      <w:r w:rsidR="00982B13">
        <w:t xml:space="preserve">management </w:t>
      </w:r>
      <w:r w:rsidR="00982B13" w:rsidRPr="00982B13">
        <w:t>oversight</w:t>
      </w:r>
      <w:r>
        <w:t>.</w:t>
      </w:r>
    </w:p>
  </w:footnote>
  <w:footnote w:id="8">
    <w:p w14:paraId="09931401" w14:textId="5CE2B09C" w:rsidR="007B7D18" w:rsidRDefault="007B7D18">
      <w:pPr>
        <w:pStyle w:val="FootnoteText"/>
      </w:pPr>
      <w:r>
        <w:rPr>
          <w:rStyle w:val="FootnoteReference"/>
        </w:rPr>
        <w:footnoteRef/>
      </w:r>
      <w:r>
        <w:t xml:space="preserve"> $100 from </w:t>
      </w:r>
      <w:r w:rsidRPr="00AC24C9">
        <w:t>Peter Edelman's off-handed estimate</w:t>
      </w:r>
      <w:r>
        <w:t xml:space="preserve"> for the initial </w:t>
      </w:r>
      <w:proofErr w:type="spellStart"/>
      <w:r>
        <w:t>ICR</w:t>
      </w:r>
      <w:proofErr w:type="spellEnd"/>
      <w:r>
        <w:t xml:space="preserve"> inflated by three percent per year for </w:t>
      </w:r>
      <w:r w:rsidR="00C83281">
        <w:t xml:space="preserve">four </w:t>
      </w:r>
      <w:r>
        <w:t>years</w:t>
      </w:r>
      <w:r w:rsidR="00533C08">
        <w:t xml:space="preserve"> and divided by three for </w:t>
      </w:r>
      <w:proofErr w:type="spellStart"/>
      <w:r w:rsidR="00533C08">
        <w:t>annualization</w:t>
      </w:r>
      <w:proofErr w:type="spellEnd"/>
      <w:r w:rsidR="00533C08">
        <w:t>.</w:t>
      </w:r>
    </w:p>
  </w:footnote>
  <w:footnote w:id="9">
    <w:p w14:paraId="47E454C2" w14:textId="01FBF596" w:rsidR="00576878" w:rsidRDefault="00576878">
      <w:pPr>
        <w:pStyle w:val="FootnoteText"/>
      </w:pPr>
      <w:r>
        <w:rPr>
          <w:rStyle w:val="FootnoteReference"/>
        </w:rPr>
        <w:footnoteRef/>
      </w:r>
      <w:r>
        <w:t xml:space="preserve"> Wage rate </w:t>
      </w:r>
      <w:r w:rsidR="003E7EC1">
        <w:t xml:space="preserve">of </w:t>
      </w:r>
      <w:r w:rsidRPr="00576878">
        <w:t>Data Collection</w:t>
      </w:r>
      <w:r>
        <w:t xml:space="preserve"> contractor for the initial </w:t>
      </w:r>
      <w:proofErr w:type="spellStart"/>
      <w:r>
        <w:t>ICR</w:t>
      </w:r>
      <w:proofErr w:type="spellEnd"/>
      <w:r>
        <w:t xml:space="preserve"> increased by the proportion by which federal wage rates increased since the initial </w:t>
      </w:r>
      <w:proofErr w:type="spellStart"/>
      <w:r>
        <w:t>ICR</w:t>
      </w:r>
      <w:proofErr w:type="spellEnd"/>
      <w:r>
        <w:t>.</w:t>
      </w:r>
    </w:p>
  </w:footnote>
  <w:footnote w:id="10">
    <w:p w14:paraId="47484F7D" w14:textId="14CEE0C6" w:rsidR="003E7EC1" w:rsidRDefault="003E7EC1">
      <w:pPr>
        <w:pStyle w:val="FootnoteText"/>
      </w:pPr>
      <w:r>
        <w:rPr>
          <w:rStyle w:val="FootnoteReference"/>
        </w:rPr>
        <w:footnoteRef/>
      </w:r>
      <w:r>
        <w:t xml:space="preserve"> Wage rate of </w:t>
      </w:r>
      <w:r w:rsidRPr="003E7EC1">
        <w:t xml:space="preserve">Data Review and </w:t>
      </w:r>
      <w:proofErr w:type="spellStart"/>
      <w:r w:rsidRPr="003E7EC1">
        <w:t>Analysis</w:t>
      </w:r>
      <w:r>
        <w:t>contractor</w:t>
      </w:r>
      <w:proofErr w:type="spellEnd"/>
      <w:r>
        <w:t xml:space="preserve"> for the initial </w:t>
      </w:r>
      <w:proofErr w:type="spellStart"/>
      <w:r>
        <w:t>ICR</w:t>
      </w:r>
      <w:proofErr w:type="spellEnd"/>
      <w:r>
        <w:t xml:space="preserve"> increased by the proportion by which federal wage rates increased since the initial </w:t>
      </w:r>
      <w:proofErr w:type="spellStart"/>
      <w:r>
        <w:t>ICR</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A84F7A"/>
    <w:multiLevelType w:val="multilevel"/>
    <w:tmpl w:val="0682220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B2DED"/>
    <w:multiLevelType w:val="hybridMultilevel"/>
    <w:tmpl w:val="4EE0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0C0F0C"/>
    <w:multiLevelType w:val="hybridMultilevel"/>
    <w:tmpl w:val="DF845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6"/>
  </w:num>
  <w:num w:numId="4">
    <w:abstractNumId w:val="5"/>
  </w:num>
  <w:num w:numId="5">
    <w:abstractNumId w:val="7"/>
  </w:num>
  <w:num w:numId="6">
    <w:abstractNumId w:val="10"/>
  </w:num>
  <w:num w:numId="7">
    <w:abstractNumId w:val="2"/>
  </w:num>
  <w:num w:numId="8">
    <w:abstractNumId w:val="9"/>
  </w:num>
  <w:num w:numId="9">
    <w:abstractNumId w:val="17"/>
  </w:num>
  <w:num w:numId="10">
    <w:abstractNumId w:val="8"/>
  </w:num>
  <w:num w:numId="11">
    <w:abstractNumId w:val="6"/>
  </w:num>
  <w:num w:numId="12">
    <w:abstractNumId w:val="0"/>
  </w:num>
  <w:num w:numId="13">
    <w:abstractNumId w:val="18"/>
  </w:num>
  <w:num w:numId="14">
    <w:abstractNumId w:val="1"/>
  </w:num>
  <w:num w:numId="15">
    <w:abstractNumId w:val="3"/>
  </w:num>
  <w:num w:numId="16">
    <w:abstractNumId w:val="15"/>
  </w:num>
  <w:num w:numId="17">
    <w:abstractNumId w:val="19"/>
  </w:num>
  <w:num w:numId="18">
    <w:abstractNumId w:val="4"/>
  </w:num>
  <w:num w:numId="19">
    <w:abstractNumId w:val="14"/>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129C2"/>
    <w:rsid w:val="000230B0"/>
    <w:rsid w:val="00041B72"/>
    <w:rsid w:val="0009007E"/>
    <w:rsid w:val="000D2739"/>
    <w:rsid w:val="000F069F"/>
    <w:rsid w:val="000F4454"/>
    <w:rsid w:val="00102200"/>
    <w:rsid w:val="0010719C"/>
    <w:rsid w:val="001140F9"/>
    <w:rsid w:val="001149E3"/>
    <w:rsid w:val="001212F5"/>
    <w:rsid w:val="001337B5"/>
    <w:rsid w:val="0014145B"/>
    <w:rsid w:val="00157881"/>
    <w:rsid w:val="00160621"/>
    <w:rsid w:val="00167E6B"/>
    <w:rsid w:val="00181298"/>
    <w:rsid w:val="00186385"/>
    <w:rsid w:val="001A227A"/>
    <w:rsid w:val="001B1F6B"/>
    <w:rsid w:val="001C42AC"/>
    <w:rsid w:val="001C483C"/>
    <w:rsid w:val="001C7FFE"/>
    <w:rsid w:val="001D1651"/>
    <w:rsid w:val="00221DD9"/>
    <w:rsid w:val="00222C7F"/>
    <w:rsid w:val="00222D81"/>
    <w:rsid w:val="00226C42"/>
    <w:rsid w:val="00233D71"/>
    <w:rsid w:val="00234235"/>
    <w:rsid w:val="002357D9"/>
    <w:rsid w:val="002464EB"/>
    <w:rsid w:val="002509BD"/>
    <w:rsid w:val="00254C49"/>
    <w:rsid w:val="00256413"/>
    <w:rsid w:val="00290A1C"/>
    <w:rsid w:val="0029589B"/>
    <w:rsid w:val="00296738"/>
    <w:rsid w:val="002A2F20"/>
    <w:rsid w:val="002A2FCB"/>
    <w:rsid w:val="002C3C4F"/>
    <w:rsid w:val="002D3DE2"/>
    <w:rsid w:val="002E10D1"/>
    <w:rsid w:val="00311023"/>
    <w:rsid w:val="00320BB9"/>
    <w:rsid w:val="00331C45"/>
    <w:rsid w:val="003405A4"/>
    <w:rsid w:val="00354319"/>
    <w:rsid w:val="00372E1E"/>
    <w:rsid w:val="00376827"/>
    <w:rsid w:val="0038209B"/>
    <w:rsid w:val="003B3813"/>
    <w:rsid w:val="003B7A50"/>
    <w:rsid w:val="003B7EFB"/>
    <w:rsid w:val="003C1D6E"/>
    <w:rsid w:val="003C4285"/>
    <w:rsid w:val="003D7D42"/>
    <w:rsid w:val="003E6EA3"/>
    <w:rsid w:val="003E7EC1"/>
    <w:rsid w:val="003F798F"/>
    <w:rsid w:val="00404EA7"/>
    <w:rsid w:val="00405C10"/>
    <w:rsid w:val="004110F5"/>
    <w:rsid w:val="0043277A"/>
    <w:rsid w:val="004602FE"/>
    <w:rsid w:val="00467954"/>
    <w:rsid w:val="00476C1F"/>
    <w:rsid w:val="00480072"/>
    <w:rsid w:val="004821C4"/>
    <w:rsid w:val="00490457"/>
    <w:rsid w:val="0049119A"/>
    <w:rsid w:val="004943E0"/>
    <w:rsid w:val="004C4019"/>
    <w:rsid w:val="004F45CE"/>
    <w:rsid w:val="004F7B95"/>
    <w:rsid w:val="0051278C"/>
    <w:rsid w:val="00522C18"/>
    <w:rsid w:val="00533C08"/>
    <w:rsid w:val="00541E51"/>
    <w:rsid w:val="005520C3"/>
    <w:rsid w:val="00556056"/>
    <w:rsid w:val="00562D57"/>
    <w:rsid w:val="00567070"/>
    <w:rsid w:val="0057134B"/>
    <w:rsid w:val="00576878"/>
    <w:rsid w:val="005824BD"/>
    <w:rsid w:val="00597E7F"/>
    <w:rsid w:val="005A0C06"/>
    <w:rsid w:val="005B22D4"/>
    <w:rsid w:val="005B6732"/>
    <w:rsid w:val="005C60F1"/>
    <w:rsid w:val="005D1B7E"/>
    <w:rsid w:val="005D274E"/>
    <w:rsid w:val="005D57C7"/>
    <w:rsid w:val="005D61DB"/>
    <w:rsid w:val="005E0B35"/>
    <w:rsid w:val="005F0ED4"/>
    <w:rsid w:val="005F0F6A"/>
    <w:rsid w:val="00603498"/>
    <w:rsid w:val="006104B8"/>
    <w:rsid w:val="00634E1D"/>
    <w:rsid w:val="00640565"/>
    <w:rsid w:val="00651F0F"/>
    <w:rsid w:val="00654513"/>
    <w:rsid w:val="006557BD"/>
    <w:rsid w:val="00665DCC"/>
    <w:rsid w:val="00670F63"/>
    <w:rsid w:val="00681E38"/>
    <w:rsid w:val="006B1006"/>
    <w:rsid w:val="006B2726"/>
    <w:rsid w:val="006D1643"/>
    <w:rsid w:val="006E6629"/>
    <w:rsid w:val="006F589F"/>
    <w:rsid w:val="006F68BE"/>
    <w:rsid w:val="00707AFB"/>
    <w:rsid w:val="00716897"/>
    <w:rsid w:val="00762C40"/>
    <w:rsid w:val="00786793"/>
    <w:rsid w:val="0079001A"/>
    <w:rsid w:val="00790D2C"/>
    <w:rsid w:val="007935D5"/>
    <w:rsid w:val="007A0FBE"/>
    <w:rsid w:val="007B1281"/>
    <w:rsid w:val="007B7D18"/>
    <w:rsid w:val="007C689E"/>
    <w:rsid w:val="007E48CC"/>
    <w:rsid w:val="007F730C"/>
    <w:rsid w:val="0080325F"/>
    <w:rsid w:val="00816B84"/>
    <w:rsid w:val="00841BDF"/>
    <w:rsid w:val="0084609A"/>
    <w:rsid w:val="00846E18"/>
    <w:rsid w:val="008900A8"/>
    <w:rsid w:val="008955AC"/>
    <w:rsid w:val="008A12DE"/>
    <w:rsid w:val="008C22E7"/>
    <w:rsid w:val="008C6BBC"/>
    <w:rsid w:val="008E1ED1"/>
    <w:rsid w:val="009050C8"/>
    <w:rsid w:val="009113FF"/>
    <w:rsid w:val="00914CEB"/>
    <w:rsid w:val="009253DA"/>
    <w:rsid w:val="00931592"/>
    <w:rsid w:val="00936A53"/>
    <w:rsid w:val="009451B1"/>
    <w:rsid w:val="00945B72"/>
    <w:rsid w:val="00957799"/>
    <w:rsid w:val="00961B1B"/>
    <w:rsid w:val="00962045"/>
    <w:rsid w:val="00966622"/>
    <w:rsid w:val="00982B13"/>
    <w:rsid w:val="00994BAF"/>
    <w:rsid w:val="009C2DE1"/>
    <w:rsid w:val="009E2AAD"/>
    <w:rsid w:val="009E6157"/>
    <w:rsid w:val="009F052C"/>
    <w:rsid w:val="009F5543"/>
    <w:rsid w:val="009F58E1"/>
    <w:rsid w:val="00A04EF3"/>
    <w:rsid w:val="00A160B5"/>
    <w:rsid w:val="00A37EDC"/>
    <w:rsid w:val="00A61AC0"/>
    <w:rsid w:val="00A77AC0"/>
    <w:rsid w:val="00A82E58"/>
    <w:rsid w:val="00A918E4"/>
    <w:rsid w:val="00AA7B9B"/>
    <w:rsid w:val="00AC24C9"/>
    <w:rsid w:val="00AD16F8"/>
    <w:rsid w:val="00AD5ED7"/>
    <w:rsid w:val="00AF399C"/>
    <w:rsid w:val="00AF4347"/>
    <w:rsid w:val="00AF5FE7"/>
    <w:rsid w:val="00AF6B25"/>
    <w:rsid w:val="00B01032"/>
    <w:rsid w:val="00B27347"/>
    <w:rsid w:val="00B406C8"/>
    <w:rsid w:val="00B432E7"/>
    <w:rsid w:val="00B43D40"/>
    <w:rsid w:val="00B67600"/>
    <w:rsid w:val="00B84243"/>
    <w:rsid w:val="00B928EF"/>
    <w:rsid w:val="00BB6B69"/>
    <w:rsid w:val="00BD378C"/>
    <w:rsid w:val="00C02282"/>
    <w:rsid w:val="00C04353"/>
    <w:rsid w:val="00C116DA"/>
    <w:rsid w:val="00C13BA6"/>
    <w:rsid w:val="00C22D3C"/>
    <w:rsid w:val="00C24B3C"/>
    <w:rsid w:val="00C355D5"/>
    <w:rsid w:val="00C827B7"/>
    <w:rsid w:val="00C83281"/>
    <w:rsid w:val="00C84B5D"/>
    <w:rsid w:val="00CB1A12"/>
    <w:rsid w:val="00CD15DC"/>
    <w:rsid w:val="00CE500F"/>
    <w:rsid w:val="00CE53AB"/>
    <w:rsid w:val="00D02EF1"/>
    <w:rsid w:val="00D176EB"/>
    <w:rsid w:val="00D206CA"/>
    <w:rsid w:val="00D4227B"/>
    <w:rsid w:val="00D60543"/>
    <w:rsid w:val="00D67D80"/>
    <w:rsid w:val="00D7347F"/>
    <w:rsid w:val="00D806D3"/>
    <w:rsid w:val="00D85A8F"/>
    <w:rsid w:val="00D9648C"/>
    <w:rsid w:val="00DB2443"/>
    <w:rsid w:val="00DC1C23"/>
    <w:rsid w:val="00DC3719"/>
    <w:rsid w:val="00DD04CE"/>
    <w:rsid w:val="00DD39E5"/>
    <w:rsid w:val="00E01B4E"/>
    <w:rsid w:val="00E146BA"/>
    <w:rsid w:val="00E368FB"/>
    <w:rsid w:val="00E3705E"/>
    <w:rsid w:val="00E4383A"/>
    <w:rsid w:val="00E814F8"/>
    <w:rsid w:val="00EA0A6D"/>
    <w:rsid w:val="00EC489C"/>
    <w:rsid w:val="00EC698B"/>
    <w:rsid w:val="00EC6A9A"/>
    <w:rsid w:val="00ED7508"/>
    <w:rsid w:val="00ED782E"/>
    <w:rsid w:val="00EE1C9A"/>
    <w:rsid w:val="00F0076F"/>
    <w:rsid w:val="00F02021"/>
    <w:rsid w:val="00F10B17"/>
    <w:rsid w:val="00F10D0B"/>
    <w:rsid w:val="00F210CA"/>
    <w:rsid w:val="00F317C6"/>
    <w:rsid w:val="00F46CA5"/>
    <w:rsid w:val="00F47BEA"/>
    <w:rsid w:val="00F5623C"/>
    <w:rsid w:val="00F56E7E"/>
    <w:rsid w:val="00F64B55"/>
    <w:rsid w:val="00F676CB"/>
    <w:rsid w:val="00F83116"/>
    <w:rsid w:val="00FA5092"/>
    <w:rsid w:val="00FA7859"/>
    <w:rsid w:val="00FB4221"/>
    <w:rsid w:val="00FB7547"/>
    <w:rsid w:val="00FD1719"/>
    <w:rsid w:val="00FE0FDC"/>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AA5581"/>
  <w15:chartTrackingRefBased/>
  <w15:docId w15:val="{9C658AFC-4539-4A56-AF6B-3BFF0AB8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C24C9"/>
    <w:rPr>
      <w:rFonts w:ascii="Times New Roman" w:hAnsi="Times New Roman"/>
    </w:rPr>
  </w:style>
  <w:style w:type="character" w:styleId="FootnoteReference">
    <w:name w:val="footnote reference"/>
    <w:rsid w:val="00AC24C9"/>
    <w:rPr>
      <w:rFonts w:ascii="Times New Roman" w:hAnsi="Times New Roman"/>
      <w:sz w:val="20"/>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AC24C9"/>
    <w:rPr>
      <w:snapToGrid w:val="0"/>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StyleFootnoteReferenceTimesNewRoman12ptBold">
    <w:name w:val="Style Footnote Reference + Times New Roman 12 pt Bold"/>
    <w:basedOn w:val="FootnoteReference"/>
    <w:rsid w:val="00AC24C9"/>
    <w:rPr>
      <w:rFonts w:ascii="Times New Roman" w:hAnsi="Times New Roman"/>
      <w:b/>
      <w:bCs/>
      <w:sz w:val="20"/>
      <w:vertAlign w:val="superscript"/>
    </w:rPr>
  </w:style>
  <w:style w:type="character" w:styleId="FollowedHyperlink">
    <w:name w:val="FollowedHyperlink"/>
    <w:basedOn w:val="DefaultParagraphFont"/>
    <w:rsid w:val="005A0C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088697196">
      <w:bodyDiv w:val="1"/>
      <w:marLeft w:val="0"/>
      <w:marRight w:val="0"/>
      <w:marTop w:val="0"/>
      <w:marBottom w:val="0"/>
      <w:divBdr>
        <w:top w:val="none" w:sz="0" w:space="0" w:color="auto"/>
        <w:left w:val="none" w:sz="0" w:space="0" w:color="auto"/>
        <w:bottom w:val="none" w:sz="0" w:space="0" w:color="auto"/>
        <w:right w:val="none" w:sz="0" w:space="0" w:color="auto"/>
      </w:divBdr>
    </w:div>
    <w:div w:id="118439628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20Tables/pdf/DCB_h.pdf" TargetMode="External"/><Relationship Id="rId2" Type="http://schemas.openxmlformats.org/officeDocument/2006/relationships/hyperlink" Target="https://www.opm.gov/policy-data-oversight/pay-leave/salaries-wages/salary-tables/20Tables/pdf/DCB_h.pdf" TargetMode="External"/><Relationship Id="rId1" Type="http://schemas.openxmlformats.org/officeDocument/2006/relationships/hyperlink" Target="https://www.opm.gov/policy-data-oversight/pay-leave/salaries-wages/salary-tables/20Tables/pdf/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3297</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&lt;div&gt;In OPRE's new template.  Edited to call for a new ICR and to estimate one additional year's worth of inflation.  Will be further edited according to OPRE's comments&lt;/div&gt;</V3Comments>
    <Fiscal_x0020_Year xmlns="529ba1de-83f7-4614-a33a-20d5c69b3234">2020</Fiscal_x0020_Year>
    <Mailed_x0020_Out_x0020_Date xmlns="529ba1de-83f7-4614-a33a-20d5c69b3234" xsi:nil="true"/>
    <Notes0 xmlns="529ba1de-83f7-4614-a33a-20d5c69b3234" xsi:nil="true"/>
    <Lead_x0020_POC xmlns="529ba1de-83f7-4614-a33a-20d5c69b3234">
      <UserInfo>
        <DisplayName>Edelman, Peter (ACF)</DisplayName>
        <AccountId>38</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CBE4-74FB-471B-B95F-33C7D4FEC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A31BC79A-7720-404B-91CA-61150202EC27}">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customXml/itemProps4.xml><?xml version="1.0" encoding="utf-8"?>
<ds:datastoreItem xmlns:ds="http://schemas.openxmlformats.org/officeDocument/2006/customXml" ds:itemID="{68870294-7153-47C2-A23E-3BA11503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2233</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Bausch</dc:creator>
  <cp:keywords/>
  <cp:lastModifiedBy>Jones, Molly (ACF)</cp:lastModifiedBy>
  <cp:revision>22</cp:revision>
  <dcterms:created xsi:type="dcterms:W3CDTF">2020-04-30T19:54:00Z</dcterms:created>
  <dcterms:modified xsi:type="dcterms:W3CDTF">2020-05-13T13:51:00Z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SPPCopyMoveEvent">
    <vt:lpwstr>1</vt:lpwstr>
  </property>
  <property fmtid="{D5CDD505-2E9C-101B-9397-08002B2CF9AE}" pid="4" name="WorkflowChangePath">
    <vt:lpwstr>dcd4658e-bb5d-4d4a-b6e3-2b36798d318c,9;</vt:lpwstr>
  </property>
</Properties>
</file>