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C4F75" w:rsidR="002C4F75" w:rsidP="002C4F75" w:rsidRDefault="002C4F75" w14:paraId="3D4F7BE4" w14:textId="77777777">
      <w:pPr>
        <w:jc w:val="center"/>
        <w:rPr>
          <w:rFonts w:ascii="Arial" w:hAnsi="Arial" w:cs="Arial"/>
          <w:b/>
        </w:rPr>
      </w:pPr>
    </w:p>
    <w:p w:rsidRPr="002C4F75" w:rsidR="002C4F75" w:rsidP="002C4F75" w:rsidRDefault="002C4F75" w14:paraId="2D50A8E1" w14:textId="77777777">
      <w:pPr>
        <w:pStyle w:val="ReportCover-Title"/>
        <w:rPr>
          <w:rFonts w:ascii="Arial" w:hAnsi="Arial" w:cs="Arial"/>
          <w:color w:val="auto"/>
        </w:rPr>
      </w:pPr>
    </w:p>
    <w:p w:rsidRPr="002C4F75" w:rsidR="002C4F75" w:rsidP="002C4F75" w:rsidRDefault="00754331" w14:paraId="0A6B8B6B" w14:textId="77777777">
      <w:pPr>
        <w:pStyle w:val="ReportCover-Title"/>
        <w:jc w:val="center"/>
        <w:rPr>
          <w:rFonts w:ascii="Arial" w:hAnsi="Arial" w:cs="Arial"/>
          <w:color w:val="auto"/>
        </w:rPr>
      </w:pPr>
      <w:r w:rsidRPr="00754331">
        <w:rPr>
          <w:rFonts w:ascii="Arial" w:hAnsi="Arial" w:eastAsia="Arial Unicode MS" w:cs="Arial"/>
          <w:noProof/>
          <w:color w:val="auto"/>
        </w:rPr>
        <w:t>Strengthening Relationship Education and Marriage Services (STREAMS) Evaluation</w:t>
      </w:r>
    </w:p>
    <w:p w:rsidRPr="002C4F75" w:rsidR="002C4F75" w:rsidP="002C4F75" w:rsidRDefault="002C4F75" w14:paraId="5AD04CE1" w14:textId="77777777">
      <w:pPr>
        <w:pStyle w:val="ReportCover-Title"/>
        <w:rPr>
          <w:rFonts w:ascii="Arial" w:hAnsi="Arial" w:cs="Arial"/>
          <w:color w:val="auto"/>
        </w:rPr>
      </w:pPr>
    </w:p>
    <w:p w:rsidRPr="002C4F75" w:rsidR="002C4F75" w:rsidP="002C4F75" w:rsidRDefault="002C4F75" w14:paraId="042238BF" w14:textId="77777777">
      <w:pPr>
        <w:pStyle w:val="ReportCover-Title"/>
        <w:rPr>
          <w:rFonts w:ascii="Arial" w:hAnsi="Arial" w:cs="Arial"/>
          <w:color w:val="auto"/>
        </w:rPr>
      </w:pPr>
    </w:p>
    <w:p w:rsidRPr="002C4F75" w:rsidR="002C4F75" w:rsidP="002C4F75" w:rsidRDefault="002C4F75" w14:paraId="2FE7A52B" w14:textId="77777777">
      <w:pPr>
        <w:pStyle w:val="ReportCover-Title"/>
        <w:jc w:val="center"/>
        <w:rPr>
          <w:rFonts w:ascii="Arial" w:hAnsi="Arial" w:cs="Arial"/>
          <w:color w:val="auto"/>
          <w:sz w:val="32"/>
          <w:szCs w:val="32"/>
        </w:rPr>
      </w:pPr>
      <w:r w:rsidRPr="002C4F75">
        <w:rPr>
          <w:rFonts w:ascii="Arial" w:hAnsi="Arial" w:cs="Arial"/>
          <w:color w:val="auto"/>
          <w:sz w:val="32"/>
          <w:szCs w:val="32"/>
        </w:rPr>
        <w:t>OMB Information Collection Request</w:t>
      </w:r>
    </w:p>
    <w:p w:rsidRPr="002C4F75" w:rsidR="002C4F75" w:rsidP="002C4F75" w:rsidRDefault="00DE16DE" w14:paraId="64B83BC9" w14:textId="77777777">
      <w:pPr>
        <w:pStyle w:val="ReportCover-Title"/>
        <w:jc w:val="center"/>
        <w:rPr>
          <w:rFonts w:ascii="Arial" w:hAnsi="Arial" w:cs="Arial"/>
          <w:color w:val="auto"/>
          <w:sz w:val="32"/>
          <w:szCs w:val="32"/>
        </w:rPr>
      </w:pPr>
      <w:r w:rsidRPr="00DE16DE">
        <w:rPr>
          <w:rFonts w:ascii="Arial" w:hAnsi="Arial" w:cs="Arial"/>
          <w:color w:val="auto"/>
          <w:sz w:val="32"/>
          <w:szCs w:val="32"/>
        </w:rPr>
        <w:t>0970-0481</w:t>
      </w:r>
    </w:p>
    <w:p w:rsidRPr="002C4F75" w:rsidR="002C4F75" w:rsidP="002C4F75" w:rsidRDefault="002C4F75" w14:paraId="0ADA6DB5" w14:textId="77777777">
      <w:pPr>
        <w:rPr>
          <w:rFonts w:ascii="Arial" w:hAnsi="Arial" w:cs="Arial"/>
          <w:szCs w:val="22"/>
        </w:rPr>
      </w:pPr>
    </w:p>
    <w:p w:rsidRPr="002C4F75" w:rsidR="002C4F75" w:rsidP="002C4F75" w:rsidRDefault="002C4F75" w14:paraId="78AF6A81" w14:textId="77777777">
      <w:pPr>
        <w:pStyle w:val="ReportCover-Date"/>
        <w:jc w:val="center"/>
        <w:rPr>
          <w:rFonts w:ascii="Arial" w:hAnsi="Arial" w:cs="Arial"/>
          <w:color w:val="auto"/>
        </w:rPr>
      </w:pPr>
    </w:p>
    <w:p w:rsidRPr="002C4F75" w:rsidR="002C4F75" w:rsidP="002C4F75" w:rsidRDefault="002C4F75" w14:paraId="7C95C814" w14:textId="77777777">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Supporting Statement</w:t>
      </w:r>
    </w:p>
    <w:p w:rsidRPr="002C4F75" w:rsidR="002C4F75" w:rsidP="002C4F75" w:rsidRDefault="002C4F75" w14:paraId="192992CA" w14:textId="77777777">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Part A</w:t>
      </w:r>
    </w:p>
    <w:p w:rsidR="00CC239A" w:rsidP="00CC239A" w:rsidRDefault="00CC239A" w14:paraId="6AF11C08" w14:textId="77777777">
      <w:pPr>
        <w:spacing w:line="260" w:lineRule="exact"/>
        <w:jc w:val="center"/>
        <w:rPr>
          <w:rFonts w:ascii="Arial" w:hAnsi="Arial" w:cs="Arial"/>
          <w:b/>
        </w:rPr>
      </w:pPr>
      <w:r>
        <w:rPr>
          <w:rFonts w:ascii="Arial" w:hAnsi="Arial" w:cs="Arial"/>
          <w:b/>
        </w:rPr>
        <w:t>February 2016</w:t>
      </w:r>
    </w:p>
    <w:p w:rsidR="00CC239A" w:rsidP="00CC239A" w:rsidRDefault="00CC239A" w14:paraId="3ECD5824" w14:textId="77777777">
      <w:pPr>
        <w:spacing w:line="260" w:lineRule="exact"/>
        <w:jc w:val="center"/>
        <w:rPr>
          <w:rFonts w:ascii="Arial" w:hAnsi="Arial" w:cs="Arial"/>
          <w:b/>
        </w:rPr>
      </w:pPr>
      <w:r>
        <w:rPr>
          <w:rFonts w:ascii="Arial" w:hAnsi="Arial" w:cs="Arial"/>
          <w:b/>
        </w:rPr>
        <w:t>Updated June 2016</w:t>
      </w:r>
    </w:p>
    <w:p w:rsidR="00CC239A" w:rsidP="00CC239A" w:rsidRDefault="00CC239A" w14:paraId="66BB3305" w14:textId="77777777">
      <w:pPr>
        <w:spacing w:line="260" w:lineRule="exact"/>
        <w:jc w:val="center"/>
        <w:rPr>
          <w:rFonts w:ascii="Arial" w:hAnsi="Arial" w:cs="Arial"/>
          <w:b/>
        </w:rPr>
      </w:pPr>
      <w:r>
        <w:rPr>
          <w:rFonts w:ascii="Arial" w:hAnsi="Arial" w:cs="Arial"/>
          <w:b/>
        </w:rPr>
        <w:t>Updated March 2017</w:t>
      </w:r>
    </w:p>
    <w:p w:rsidR="00CC239A" w:rsidP="00CC239A" w:rsidRDefault="001D7BD4" w14:paraId="36A12DC5" w14:textId="68729EF1">
      <w:pPr>
        <w:spacing w:line="260" w:lineRule="exact"/>
        <w:jc w:val="center"/>
        <w:rPr>
          <w:rFonts w:ascii="Arial" w:hAnsi="Arial" w:cs="Arial"/>
          <w:b/>
        </w:rPr>
      </w:pPr>
      <w:r>
        <w:rPr>
          <w:rFonts w:ascii="Arial" w:hAnsi="Arial" w:cs="Arial"/>
          <w:b/>
        </w:rPr>
        <w:t>Updated January 2019</w:t>
      </w:r>
    </w:p>
    <w:p w:rsidRPr="000B0D6A" w:rsidR="00324460" w:rsidP="00CC239A" w:rsidRDefault="001A6279" w14:paraId="10487F7C" w14:textId="40B497DC">
      <w:pPr>
        <w:spacing w:line="260" w:lineRule="exact"/>
        <w:jc w:val="center"/>
        <w:rPr>
          <w:rFonts w:ascii="Arial" w:hAnsi="Arial" w:cs="Arial"/>
          <w:b/>
        </w:rPr>
      </w:pPr>
      <w:r>
        <w:rPr>
          <w:rFonts w:ascii="Arial" w:hAnsi="Arial" w:cs="Arial"/>
          <w:b/>
        </w:rPr>
        <w:t xml:space="preserve">Updated </w:t>
      </w:r>
      <w:r w:rsidR="00324460">
        <w:rPr>
          <w:rFonts w:ascii="Arial" w:hAnsi="Arial" w:cs="Arial"/>
          <w:b/>
        </w:rPr>
        <w:t>May 2020</w:t>
      </w:r>
    </w:p>
    <w:p w:rsidRPr="002C4F75" w:rsidR="002C4F75" w:rsidP="002C4F75" w:rsidRDefault="002C4F75" w14:paraId="6065A812" w14:textId="77777777">
      <w:pPr>
        <w:jc w:val="center"/>
        <w:rPr>
          <w:rFonts w:ascii="Arial" w:hAnsi="Arial" w:cs="Arial"/>
        </w:rPr>
      </w:pPr>
    </w:p>
    <w:p w:rsidRPr="002C4F75" w:rsidR="002C4F75" w:rsidP="002C4F75" w:rsidRDefault="002C4F75" w14:paraId="36ED9BA6" w14:textId="77777777">
      <w:pPr>
        <w:jc w:val="center"/>
        <w:rPr>
          <w:rFonts w:ascii="Arial" w:hAnsi="Arial" w:cs="Arial"/>
        </w:rPr>
      </w:pPr>
      <w:r w:rsidRPr="002C4F75">
        <w:rPr>
          <w:rFonts w:ascii="Arial" w:hAnsi="Arial" w:cs="Arial"/>
        </w:rPr>
        <w:t>Submitted By:</w:t>
      </w:r>
    </w:p>
    <w:p w:rsidRPr="002C4F75" w:rsidR="002C4F75" w:rsidP="002C4F75" w:rsidRDefault="002C4F75" w14:paraId="5478F25D" w14:textId="77777777">
      <w:pPr>
        <w:jc w:val="center"/>
        <w:rPr>
          <w:rFonts w:ascii="Arial" w:hAnsi="Arial" w:cs="Arial"/>
        </w:rPr>
      </w:pPr>
      <w:r w:rsidRPr="002C4F75">
        <w:rPr>
          <w:rFonts w:ascii="Arial" w:hAnsi="Arial" w:cs="Arial"/>
        </w:rPr>
        <w:t>Office of Planning, Research and Evaluation</w:t>
      </w:r>
    </w:p>
    <w:p w:rsidRPr="002C4F75" w:rsidR="002C4F75" w:rsidP="002C4F75" w:rsidRDefault="002C4F75" w14:paraId="3EF6C96E" w14:textId="77777777">
      <w:pPr>
        <w:jc w:val="center"/>
        <w:rPr>
          <w:rFonts w:ascii="Arial" w:hAnsi="Arial" w:cs="Arial"/>
        </w:rPr>
      </w:pPr>
      <w:r w:rsidRPr="002C4F75">
        <w:rPr>
          <w:rFonts w:ascii="Arial" w:hAnsi="Arial" w:cs="Arial"/>
        </w:rPr>
        <w:t xml:space="preserve">Administration for Children and Families </w:t>
      </w:r>
    </w:p>
    <w:p w:rsidRPr="002C4F75" w:rsidR="002C4F75" w:rsidP="002C4F75" w:rsidRDefault="002C4F75" w14:paraId="1C9A4D2A" w14:textId="77777777">
      <w:pPr>
        <w:jc w:val="center"/>
        <w:rPr>
          <w:rFonts w:ascii="Arial" w:hAnsi="Arial" w:cs="Arial"/>
        </w:rPr>
      </w:pPr>
      <w:r w:rsidRPr="002C4F75">
        <w:rPr>
          <w:rFonts w:ascii="Arial" w:hAnsi="Arial" w:cs="Arial"/>
        </w:rPr>
        <w:t>U.S. Department of Health and Human Services</w:t>
      </w:r>
    </w:p>
    <w:p w:rsidRPr="002C4F75" w:rsidR="002C4F75" w:rsidP="002C4F75" w:rsidRDefault="002C4F75" w14:paraId="668F13AE" w14:textId="77777777">
      <w:pPr>
        <w:jc w:val="center"/>
        <w:rPr>
          <w:rFonts w:ascii="Arial" w:hAnsi="Arial" w:cs="Arial"/>
        </w:rPr>
      </w:pPr>
    </w:p>
    <w:p w:rsidRPr="002C4F75" w:rsidR="002C4F75" w:rsidP="002C4F75" w:rsidRDefault="00436F5E" w14:paraId="19F2E8BC" w14:textId="77777777">
      <w:pPr>
        <w:jc w:val="center"/>
        <w:rPr>
          <w:rFonts w:ascii="Arial" w:hAnsi="Arial" w:cs="Arial"/>
        </w:rPr>
      </w:pPr>
      <w:r>
        <w:rPr>
          <w:rFonts w:ascii="Arial" w:hAnsi="Arial" w:cs="Arial"/>
        </w:rPr>
        <w:t>4</w:t>
      </w:r>
      <w:r w:rsidRPr="002C4F75" w:rsidR="002C4F75">
        <w:rPr>
          <w:rFonts w:ascii="Arial" w:hAnsi="Arial" w:cs="Arial"/>
          <w:vertAlign w:val="superscript"/>
        </w:rPr>
        <w:t>th</w:t>
      </w:r>
      <w:r w:rsidRPr="002C4F75" w:rsidR="002C4F75">
        <w:rPr>
          <w:rFonts w:ascii="Arial" w:hAnsi="Arial" w:cs="Arial"/>
        </w:rPr>
        <w:t xml:space="preserve"> Floor, </w:t>
      </w:r>
      <w:r>
        <w:rPr>
          <w:rFonts w:ascii="Arial" w:hAnsi="Arial" w:cs="Arial"/>
        </w:rPr>
        <w:t>Mary E. Switzer Building</w:t>
      </w:r>
    </w:p>
    <w:p w:rsidRPr="002C4F75" w:rsidR="002C4F75" w:rsidP="002C4F75" w:rsidRDefault="002C4F75" w14:paraId="16D724B4" w14:textId="77777777">
      <w:pPr>
        <w:jc w:val="center"/>
        <w:rPr>
          <w:rFonts w:ascii="Arial" w:hAnsi="Arial" w:cs="Arial"/>
        </w:rPr>
      </w:pPr>
      <w:r w:rsidRPr="002C4F75">
        <w:rPr>
          <w:rFonts w:ascii="Arial" w:hAnsi="Arial" w:cs="Arial"/>
        </w:rPr>
        <w:t>3</w:t>
      </w:r>
      <w:r w:rsidR="00436F5E">
        <w:rPr>
          <w:rFonts w:ascii="Arial" w:hAnsi="Arial" w:cs="Arial"/>
        </w:rPr>
        <w:t>3</w:t>
      </w:r>
      <w:r w:rsidRPr="002C4F75">
        <w:rPr>
          <w:rFonts w:ascii="Arial" w:hAnsi="Arial" w:cs="Arial"/>
        </w:rPr>
        <w:t xml:space="preserve">0 </w:t>
      </w:r>
      <w:r w:rsidR="00436F5E">
        <w:rPr>
          <w:rFonts w:ascii="Arial" w:hAnsi="Arial" w:cs="Arial"/>
        </w:rPr>
        <w:t xml:space="preserve">C Street, </w:t>
      </w:r>
      <w:r w:rsidRPr="002C4F75">
        <w:rPr>
          <w:rFonts w:ascii="Arial" w:hAnsi="Arial" w:cs="Arial"/>
        </w:rPr>
        <w:t>SW</w:t>
      </w:r>
    </w:p>
    <w:p w:rsidRPr="002C4F75" w:rsidR="002C4F75" w:rsidP="002C4F75" w:rsidRDefault="002C4F75" w14:paraId="56A7CDE7" w14:textId="77777777">
      <w:pPr>
        <w:jc w:val="center"/>
        <w:rPr>
          <w:rFonts w:ascii="Arial" w:hAnsi="Arial" w:cs="Arial"/>
        </w:rPr>
      </w:pPr>
      <w:r w:rsidRPr="002C4F75">
        <w:rPr>
          <w:rFonts w:ascii="Arial" w:hAnsi="Arial" w:cs="Arial"/>
        </w:rPr>
        <w:t>Washington, D.C. 20</w:t>
      </w:r>
      <w:r w:rsidR="00436F5E">
        <w:rPr>
          <w:rFonts w:ascii="Arial" w:hAnsi="Arial" w:cs="Arial"/>
        </w:rPr>
        <w:t>201</w:t>
      </w:r>
    </w:p>
    <w:p w:rsidRPr="002C4F75" w:rsidR="002C4F75" w:rsidP="002C4F75" w:rsidRDefault="002C4F75" w14:paraId="7E92FFD0" w14:textId="77777777">
      <w:pPr>
        <w:jc w:val="center"/>
        <w:rPr>
          <w:rFonts w:ascii="Arial" w:hAnsi="Arial" w:cs="Arial"/>
        </w:rPr>
      </w:pPr>
    </w:p>
    <w:p w:rsidR="002C4F75" w:rsidP="002C4F75" w:rsidRDefault="002C4F75" w14:paraId="686CDA27" w14:textId="77777777">
      <w:pPr>
        <w:jc w:val="center"/>
        <w:rPr>
          <w:rFonts w:ascii="Arial" w:hAnsi="Arial" w:cs="Arial"/>
        </w:rPr>
      </w:pPr>
      <w:r w:rsidRPr="00BE7952">
        <w:rPr>
          <w:rFonts w:ascii="Arial" w:hAnsi="Arial" w:cs="Arial"/>
        </w:rPr>
        <w:t>Project Officers:</w:t>
      </w:r>
    </w:p>
    <w:p w:rsidRPr="002C4F75" w:rsidR="00C440B7" w:rsidP="002C4F75" w:rsidRDefault="00C440B7" w14:paraId="32F9F34B" w14:textId="77777777">
      <w:pPr>
        <w:jc w:val="center"/>
        <w:rPr>
          <w:rFonts w:ascii="Arial" w:hAnsi="Arial" w:cs="Arial"/>
        </w:rPr>
      </w:pPr>
      <w:r>
        <w:rPr>
          <w:rFonts w:ascii="Arial" w:hAnsi="Arial" w:cs="Arial"/>
        </w:rPr>
        <w:t>Samantha Illangasekare</w:t>
      </w:r>
    </w:p>
    <w:p w:rsidRPr="007B5DD9" w:rsidR="007B5DD9" w:rsidP="007B5DD9" w:rsidRDefault="00374DAB" w14:paraId="39F75804" w14:textId="77777777">
      <w:pPr>
        <w:spacing w:after="240"/>
        <w:rPr>
          <w:b/>
          <w:iCs/>
        </w:rPr>
      </w:pPr>
      <w:r>
        <w:rPr>
          <w:b/>
        </w:rPr>
        <w:br w:type="page"/>
      </w:r>
      <w:r w:rsidRPr="007B5DD9" w:rsidR="007B5DD9">
        <w:rPr>
          <w:b/>
          <w:iCs/>
        </w:rPr>
        <w:lastRenderedPageBreak/>
        <w:t>Overview</w:t>
      </w:r>
    </w:p>
    <w:p w:rsidRPr="007B5DD9" w:rsidR="007B5DD9" w:rsidP="007B5DD9" w:rsidRDefault="007B5DD9" w14:paraId="60F86E23" w14:textId="77777777">
      <w:pPr>
        <w:pStyle w:val="ListParagraph"/>
        <w:numPr>
          <w:ilvl w:val="0"/>
          <w:numId w:val="21"/>
        </w:numPr>
        <w:rPr>
          <w:rFonts w:ascii="Times New Roman" w:hAnsi="Times New Roman"/>
          <w:b/>
          <w:sz w:val="24"/>
          <w:szCs w:val="24"/>
        </w:rPr>
      </w:pPr>
      <w:r w:rsidRPr="007B5DD9">
        <w:rPr>
          <w:rFonts w:ascii="Times New Roman" w:hAnsi="Times New Roman"/>
          <w:b/>
          <w:sz w:val="24"/>
          <w:szCs w:val="24"/>
        </w:rPr>
        <w:t xml:space="preserve">Status of study: </w:t>
      </w:r>
    </w:p>
    <w:p w:rsidRPr="00E94CAF" w:rsidR="00E94CAF" w:rsidP="007B5DD9" w:rsidRDefault="0090745D" w14:paraId="35A62901" w14:textId="67DAD3E3">
      <w:pPr>
        <w:pStyle w:val="ListParagraph"/>
        <w:numPr>
          <w:ilvl w:val="1"/>
          <w:numId w:val="21"/>
        </w:numPr>
        <w:rPr>
          <w:rFonts w:ascii="Times New Roman" w:hAnsi="Times New Roman"/>
          <w:sz w:val="24"/>
          <w:szCs w:val="24"/>
        </w:rPr>
      </w:pPr>
      <w:r>
        <w:rPr>
          <w:rFonts w:ascii="Times New Roman" w:hAnsi="Times New Roman"/>
          <w:iCs/>
          <w:sz w:val="24"/>
          <w:szCs w:val="24"/>
        </w:rPr>
        <w:t xml:space="preserve">As approved under </w:t>
      </w:r>
      <w:r w:rsidRPr="00E94CAF" w:rsidR="00E94CAF">
        <w:rPr>
          <w:rFonts w:ascii="Times New Roman" w:hAnsi="Times New Roman"/>
          <w:iCs/>
          <w:sz w:val="24"/>
          <w:szCs w:val="24"/>
        </w:rPr>
        <w:t xml:space="preserve">OMB#0970-0481, the </w:t>
      </w:r>
      <w:r>
        <w:rPr>
          <w:rFonts w:ascii="Times New Roman" w:hAnsi="Times New Roman"/>
          <w:iCs/>
          <w:sz w:val="24"/>
          <w:szCs w:val="24"/>
        </w:rPr>
        <w:t xml:space="preserve">ACF </w:t>
      </w:r>
      <w:r w:rsidRPr="00E94CAF" w:rsidR="00E94CAF">
        <w:rPr>
          <w:rFonts w:ascii="Times New Roman" w:hAnsi="Times New Roman"/>
          <w:iCs/>
          <w:sz w:val="24"/>
          <w:szCs w:val="24"/>
        </w:rPr>
        <w:t xml:space="preserve">Office of Planning, Research, and Evaluation (OPRE) is conducting the Strengthening Relationship Education and Marriage Services (STREAMS) evaluation with five </w:t>
      </w:r>
      <w:r>
        <w:rPr>
          <w:rFonts w:ascii="Times New Roman" w:hAnsi="Times New Roman"/>
          <w:iCs/>
          <w:sz w:val="24"/>
          <w:szCs w:val="24"/>
        </w:rPr>
        <w:t>Healthy Marriage and Relationship Education (</w:t>
      </w:r>
      <w:r w:rsidRPr="00E94CAF" w:rsidR="00E94CAF">
        <w:rPr>
          <w:rFonts w:ascii="Times New Roman" w:hAnsi="Times New Roman"/>
          <w:iCs/>
          <w:sz w:val="24"/>
          <w:szCs w:val="24"/>
        </w:rPr>
        <w:t>HMRE</w:t>
      </w:r>
      <w:r>
        <w:rPr>
          <w:rFonts w:ascii="Times New Roman" w:hAnsi="Times New Roman"/>
          <w:iCs/>
          <w:sz w:val="24"/>
          <w:szCs w:val="24"/>
        </w:rPr>
        <w:t>)</w:t>
      </w:r>
      <w:r w:rsidRPr="00E94CAF" w:rsidR="00E94CAF">
        <w:rPr>
          <w:rFonts w:ascii="Times New Roman" w:hAnsi="Times New Roman"/>
          <w:iCs/>
          <w:sz w:val="24"/>
          <w:szCs w:val="24"/>
        </w:rPr>
        <w:t xml:space="preserve"> grantees</w:t>
      </w:r>
      <w:r w:rsidR="00DF3E8D">
        <w:rPr>
          <w:rFonts w:ascii="Times New Roman" w:hAnsi="Times New Roman"/>
          <w:iCs/>
          <w:sz w:val="24"/>
          <w:szCs w:val="24"/>
        </w:rPr>
        <w:t xml:space="preserve">. </w:t>
      </w:r>
      <w:r w:rsidR="00E94CAF">
        <w:rPr>
          <w:rFonts w:ascii="Times New Roman" w:hAnsi="Times New Roman"/>
          <w:iCs/>
          <w:sz w:val="24"/>
          <w:szCs w:val="24"/>
        </w:rPr>
        <w:t xml:space="preserve"> </w:t>
      </w:r>
    </w:p>
    <w:p w:rsidRPr="007B5DD9" w:rsidR="007B5DD9" w:rsidP="00E92764" w:rsidRDefault="0080651A" w14:paraId="427FE19B" w14:textId="7B7DAFE2">
      <w:pPr>
        <w:pStyle w:val="ListParagraph"/>
        <w:numPr>
          <w:ilvl w:val="2"/>
          <w:numId w:val="21"/>
        </w:numPr>
        <w:rPr>
          <w:rFonts w:ascii="Times New Roman" w:hAnsi="Times New Roman"/>
          <w:sz w:val="24"/>
          <w:szCs w:val="24"/>
        </w:rPr>
      </w:pPr>
      <w:r>
        <w:rPr>
          <w:rFonts w:ascii="Times New Roman" w:hAnsi="Times New Roman"/>
          <w:iCs/>
          <w:sz w:val="24"/>
          <w:szCs w:val="24"/>
        </w:rPr>
        <w:t xml:space="preserve">Previous Approval: </w:t>
      </w:r>
      <w:r w:rsidR="00E94CAF">
        <w:rPr>
          <w:rFonts w:ascii="Times New Roman" w:hAnsi="Times New Roman"/>
          <w:iCs/>
          <w:sz w:val="24"/>
          <w:szCs w:val="24"/>
        </w:rPr>
        <w:t xml:space="preserve">Data collection for the process and impact studies </w:t>
      </w:r>
      <w:r w:rsidR="00B12A14">
        <w:rPr>
          <w:rFonts w:ascii="Times New Roman" w:hAnsi="Times New Roman"/>
          <w:iCs/>
          <w:sz w:val="24"/>
          <w:szCs w:val="24"/>
        </w:rPr>
        <w:t>were</w:t>
      </w:r>
      <w:r w:rsidR="00E94CAF">
        <w:rPr>
          <w:rFonts w:ascii="Times New Roman" w:hAnsi="Times New Roman"/>
          <w:iCs/>
          <w:sz w:val="24"/>
          <w:szCs w:val="24"/>
        </w:rPr>
        <w:t xml:space="preserve"> previously approved</w:t>
      </w:r>
      <w:r w:rsidR="00B12A14">
        <w:rPr>
          <w:rFonts w:ascii="Times New Roman" w:hAnsi="Times New Roman"/>
          <w:iCs/>
          <w:sz w:val="24"/>
          <w:szCs w:val="24"/>
        </w:rPr>
        <w:t xml:space="preserve"> and </w:t>
      </w:r>
      <w:r w:rsidR="00E94CAF">
        <w:rPr>
          <w:rFonts w:ascii="Times New Roman" w:hAnsi="Times New Roman"/>
          <w:iCs/>
          <w:sz w:val="24"/>
          <w:szCs w:val="24"/>
        </w:rPr>
        <w:t xml:space="preserve"> </w:t>
      </w:r>
      <w:r w:rsidR="00496AB0">
        <w:rPr>
          <w:rFonts w:ascii="Times New Roman" w:hAnsi="Times New Roman"/>
          <w:iCs/>
          <w:sz w:val="24"/>
          <w:szCs w:val="24"/>
        </w:rPr>
        <w:t>includes qualitative</w:t>
      </w:r>
      <w:r w:rsidR="003E0F11">
        <w:rPr>
          <w:rFonts w:ascii="Times New Roman" w:hAnsi="Times New Roman"/>
          <w:iCs/>
          <w:sz w:val="24"/>
          <w:szCs w:val="24"/>
        </w:rPr>
        <w:t xml:space="preserve"> interview protocols, a </w:t>
      </w:r>
      <w:r w:rsidR="00E94CAF">
        <w:rPr>
          <w:rFonts w:ascii="Times New Roman" w:hAnsi="Times New Roman"/>
          <w:iCs/>
          <w:sz w:val="24"/>
          <w:szCs w:val="24"/>
        </w:rPr>
        <w:t xml:space="preserve">baseline survey for youth and adults, and a follow-up survey for youth and adults administered about 12 months after completing the baseline. The universe of </w:t>
      </w:r>
      <w:r w:rsidR="0048171A">
        <w:rPr>
          <w:rFonts w:ascii="Times New Roman" w:hAnsi="Times New Roman"/>
          <w:iCs/>
          <w:sz w:val="24"/>
          <w:szCs w:val="24"/>
        </w:rPr>
        <w:t xml:space="preserve">data collection efforts is </w:t>
      </w:r>
      <w:r w:rsidR="002203ED">
        <w:rPr>
          <w:rFonts w:ascii="Times New Roman" w:hAnsi="Times New Roman"/>
          <w:iCs/>
          <w:sz w:val="24"/>
          <w:szCs w:val="24"/>
        </w:rPr>
        <w:t>detailed</w:t>
      </w:r>
      <w:r w:rsidR="0048171A">
        <w:rPr>
          <w:rFonts w:ascii="Times New Roman" w:hAnsi="Times New Roman"/>
          <w:iCs/>
          <w:sz w:val="24"/>
          <w:szCs w:val="24"/>
        </w:rPr>
        <w:t xml:space="preserve"> in section A2. </w:t>
      </w:r>
    </w:p>
    <w:p w:rsidRPr="007B5DD9" w:rsidR="007B5DD9" w:rsidP="00E92764" w:rsidRDefault="0080651A" w14:paraId="3EFED3C5" w14:textId="77777777">
      <w:pPr>
        <w:pStyle w:val="ListParagraph"/>
        <w:numPr>
          <w:ilvl w:val="2"/>
          <w:numId w:val="21"/>
        </w:numPr>
        <w:rPr>
          <w:rFonts w:ascii="Times New Roman" w:hAnsi="Times New Roman"/>
          <w:sz w:val="24"/>
          <w:szCs w:val="24"/>
        </w:rPr>
      </w:pPr>
      <w:r>
        <w:rPr>
          <w:rFonts w:ascii="Times New Roman" w:hAnsi="Times New Roman"/>
          <w:iCs/>
          <w:sz w:val="24"/>
          <w:szCs w:val="24"/>
        </w:rPr>
        <w:t xml:space="preserve">Current Request: </w:t>
      </w:r>
      <w:r w:rsidR="007B16F4">
        <w:rPr>
          <w:rFonts w:ascii="Times New Roman" w:hAnsi="Times New Roman"/>
          <w:iCs/>
          <w:sz w:val="24"/>
          <w:szCs w:val="24"/>
        </w:rPr>
        <w:t xml:space="preserve">The current </w:t>
      </w:r>
      <w:r w:rsidRPr="007B16F4" w:rsidR="007B16F4">
        <w:rPr>
          <w:rFonts w:ascii="Times New Roman" w:hAnsi="Times New Roman"/>
          <w:iCs/>
          <w:sz w:val="24"/>
          <w:szCs w:val="24"/>
        </w:rPr>
        <w:t xml:space="preserve">data collection request is for (1) </w:t>
      </w:r>
      <w:r w:rsidRPr="003E0F11" w:rsidR="003E0F11">
        <w:rPr>
          <w:rFonts w:ascii="Times New Roman" w:hAnsi="Times New Roman"/>
          <w:iCs/>
          <w:sz w:val="24"/>
          <w:szCs w:val="24"/>
        </w:rPr>
        <w:t xml:space="preserve">an extension of previously approved data collection instruments for the STREAMS impact study </w:t>
      </w:r>
      <w:r w:rsidR="003E0F11">
        <w:rPr>
          <w:rFonts w:ascii="Times New Roman" w:hAnsi="Times New Roman"/>
          <w:iCs/>
          <w:sz w:val="24"/>
          <w:szCs w:val="24"/>
        </w:rPr>
        <w:t xml:space="preserve">and </w:t>
      </w:r>
      <w:r w:rsidRPr="007B16F4" w:rsidR="007B16F4">
        <w:rPr>
          <w:rFonts w:ascii="Times New Roman" w:hAnsi="Times New Roman"/>
          <w:iCs/>
          <w:sz w:val="24"/>
          <w:szCs w:val="24"/>
        </w:rPr>
        <w:t xml:space="preserve">(2) two additional data collection instruments </w:t>
      </w:r>
      <w:r w:rsidRPr="001062F3" w:rsidR="001062F3">
        <w:rPr>
          <w:rFonts w:ascii="Times New Roman" w:hAnsi="Times New Roman"/>
          <w:iCs/>
          <w:sz w:val="24"/>
          <w:szCs w:val="24"/>
        </w:rPr>
        <w:t>for conducting a second follow-up with impact study participants in two sites</w:t>
      </w:r>
      <w:r w:rsidRPr="007B16F4" w:rsidR="007B16F4">
        <w:rPr>
          <w:rFonts w:ascii="Times New Roman" w:hAnsi="Times New Roman"/>
          <w:iCs/>
          <w:sz w:val="24"/>
          <w:szCs w:val="24"/>
        </w:rPr>
        <w:t xml:space="preserve">. </w:t>
      </w:r>
    </w:p>
    <w:p w:rsidRPr="00FB1BA8" w:rsidR="007B5DD9" w:rsidP="007B5DD9" w:rsidRDefault="007B5DD9" w14:paraId="510F0BF3" w14:textId="77777777">
      <w:pPr>
        <w:pStyle w:val="ListParagraph"/>
        <w:numPr>
          <w:ilvl w:val="0"/>
          <w:numId w:val="21"/>
        </w:numPr>
        <w:rPr>
          <w:rFonts w:ascii="Times New Roman" w:hAnsi="Times New Roman"/>
          <w:b/>
          <w:sz w:val="24"/>
          <w:szCs w:val="24"/>
        </w:rPr>
      </w:pPr>
      <w:r w:rsidRPr="007B5DD9">
        <w:rPr>
          <w:rFonts w:ascii="Times New Roman" w:hAnsi="Times New Roman"/>
          <w:b/>
          <w:sz w:val="24"/>
          <w:szCs w:val="24"/>
        </w:rPr>
        <w:t>What is being evaluated (program and context) and measured.</w:t>
      </w:r>
    </w:p>
    <w:p w:rsidRPr="00FB1BA8" w:rsidR="007B16F4" w:rsidP="00FB1BA8" w:rsidRDefault="00B07814" w14:paraId="494A4BE2" w14:textId="77777777">
      <w:pPr>
        <w:pStyle w:val="ListParagraph"/>
        <w:numPr>
          <w:ilvl w:val="1"/>
          <w:numId w:val="21"/>
        </w:numPr>
        <w:rPr>
          <w:rFonts w:ascii="Times New Roman" w:hAnsi="Times New Roman"/>
          <w:sz w:val="24"/>
          <w:szCs w:val="24"/>
        </w:rPr>
      </w:pPr>
      <w:r w:rsidRPr="00B07814">
        <w:rPr>
          <w:rFonts w:ascii="Times New Roman" w:hAnsi="Times New Roman"/>
          <w:iCs/>
          <w:sz w:val="24"/>
          <w:szCs w:val="24"/>
        </w:rPr>
        <w:t xml:space="preserve">The STREAMS evaluation includes two components: (1) an impact study to provide rigorous estimates of the effectiveness of </w:t>
      </w:r>
      <w:r w:rsidR="003E0F11">
        <w:rPr>
          <w:rFonts w:ascii="Times New Roman" w:hAnsi="Times New Roman"/>
          <w:iCs/>
          <w:sz w:val="24"/>
          <w:szCs w:val="24"/>
        </w:rPr>
        <w:t xml:space="preserve">HMRE </w:t>
      </w:r>
      <w:r w:rsidRPr="00B07814">
        <w:rPr>
          <w:rFonts w:ascii="Times New Roman" w:hAnsi="Times New Roman"/>
          <w:iCs/>
          <w:sz w:val="24"/>
          <w:szCs w:val="24"/>
        </w:rPr>
        <w:t>program services and interventions to improve program implementation and (2) a process study to support the interpretation of impact findings and document program operations to support future replication.</w:t>
      </w:r>
    </w:p>
    <w:p w:rsidRPr="007B5DD9" w:rsidR="007B5DD9" w:rsidP="007B5DD9" w:rsidRDefault="007B5DD9" w14:paraId="424DF870" w14:textId="77777777">
      <w:pPr>
        <w:pStyle w:val="ListParagraph"/>
        <w:numPr>
          <w:ilvl w:val="0"/>
          <w:numId w:val="21"/>
        </w:numPr>
        <w:rPr>
          <w:rFonts w:ascii="Times New Roman" w:hAnsi="Times New Roman"/>
          <w:b/>
          <w:sz w:val="24"/>
          <w:szCs w:val="24"/>
        </w:rPr>
      </w:pPr>
      <w:r w:rsidRPr="007B5DD9">
        <w:rPr>
          <w:rFonts w:ascii="Times New Roman" w:hAnsi="Times New Roman"/>
          <w:b/>
          <w:sz w:val="24"/>
          <w:szCs w:val="24"/>
        </w:rPr>
        <w:t xml:space="preserve">Type of study: </w:t>
      </w:r>
    </w:p>
    <w:p w:rsidRPr="007B5DD9" w:rsidR="007B5DD9" w:rsidP="007B5DD9" w:rsidRDefault="00B07814" w14:paraId="4440CAA3" w14:textId="77777777">
      <w:pPr>
        <w:pStyle w:val="ListParagraph"/>
        <w:numPr>
          <w:ilvl w:val="1"/>
          <w:numId w:val="21"/>
        </w:numPr>
        <w:rPr>
          <w:rFonts w:ascii="Times New Roman" w:hAnsi="Times New Roman"/>
          <w:sz w:val="24"/>
          <w:szCs w:val="24"/>
        </w:rPr>
      </w:pPr>
      <w:r>
        <w:rPr>
          <w:rFonts w:ascii="Times New Roman" w:hAnsi="Times New Roman"/>
          <w:sz w:val="24"/>
          <w:szCs w:val="24"/>
        </w:rPr>
        <w:t xml:space="preserve">This is an impact evaluation and process study. The impact evaluation involves random assignment. </w:t>
      </w:r>
    </w:p>
    <w:p w:rsidRPr="007B5DD9" w:rsidR="007B5DD9" w:rsidP="007B5DD9" w:rsidRDefault="007B5DD9" w14:paraId="04AAA2EA" w14:textId="77777777">
      <w:pPr>
        <w:pStyle w:val="ListParagraph"/>
        <w:numPr>
          <w:ilvl w:val="0"/>
          <w:numId w:val="21"/>
        </w:numPr>
        <w:rPr>
          <w:rFonts w:ascii="Times New Roman" w:hAnsi="Times New Roman"/>
          <w:b/>
          <w:sz w:val="24"/>
          <w:szCs w:val="24"/>
        </w:rPr>
      </w:pPr>
      <w:r w:rsidRPr="007B5DD9">
        <w:rPr>
          <w:rFonts w:ascii="Times New Roman" w:hAnsi="Times New Roman"/>
          <w:b/>
          <w:sz w:val="24"/>
          <w:szCs w:val="24"/>
        </w:rPr>
        <w:t xml:space="preserve">Utility of the information collection:  </w:t>
      </w:r>
    </w:p>
    <w:p w:rsidR="00120558" w:rsidP="007B5DD9" w:rsidRDefault="00120558" w14:paraId="21389A5D" w14:textId="77777777">
      <w:pPr>
        <w:pStyle w:val="ListParagraph"/>
        <w:numPr>
          <w:ilvl w:val="1"/>
          <w:numId w:val="21"/>
        </w:numPr>
        <w:rPr>
          <w:rFonts w:ascii="Times New Roman" w:hAnsi="Times New Roman"/>
          <w:sz w:val="24"/>
          <w:szCs w:val="24"/>
        </w:rPr>
      </w:pPr>
      <w:r w:rsidRPr="00120558">
        <w:rPr>
          <w:rFonts w:ascii="Times New Roman" w:hAnsi="Times New Roman"/>
          <w:sz w:val="24"/>
          <w:szCs w:val="24"/>
        </w:rPr>
        <w:t>To expand the research base on the full range of HMRE programs funded by ACF</w:t>
      </w:r>
      <w:r>
        <w:rPr>
          <w:rFonts w:ascii="Times New Roman" w:hAnsi="Times New Roman"/>
          <w:sz w:val="24"/>
          <w:szCs w:val="24"/>
        </w:rPr>
        <w:t xml:space="preserve">, </w:t>
      </w:r>
      <w:r w:rsidRPr="00120558">
        <w:rPr>
          <w:rFonts w:ascii="Times New Roman" w:hAnsi="Times New Roman"/>
          <w:sz w:val="24"/>
          <w:szCs w:val="24"/>
        </w:rPr>
        <w:t>the study is</w:t>
      </w:r>
      <w:r>
        <w:rPr>
          <w:rFonts w:ascii="Times New Roman" w:hAnsi="Times New Roman"/>
          <w:sz w:val="24"/>
          <w:szCs w:val="24"/>
        </w:rPr>
        <w:t xml:space="preserve"> assessing the effectiveness of:</w:t>
      </w:r>
    </w:p>
    <w:p w:rsidR="00120558" w:rsidP="00FB1BA8" w:rsidRDefault="00120558" w14:paraId="1386B3D6" w14:textId="77777777">
      <w:pPr>
        <w:pStyle w:val="ListParagraph"/>
        <w:numPr>
          <w:ilvl w:val="2"/>
          <w:numId w:val="21"/>
        </w:numPr>
        <w:rPr>
          <w:rFonts w:ascii="Times New Roman" w:hAnsi="Times New Roman"/>
          <w:sz w:val="24"/>
          <w:szCs w:val="24"/>
        </w:rPr>
      </w:pPr>
      <w:r w:rsidRPr="00120558">
        <w:rPr>
          <w:rFonts w:ascii="Times New Roman" w:hAnsi="Times New Roman"/>
          <w:sz w:val="24"/>
          <w:szCs w:val="24"/>
        </w:rPr>
        <w:t>commonly used HMRE curricula for both youth and adults, as well as the integration of HMRE and economic stability ser</w:t>
      </w:r>
      <w:r>
        <w:rPr>
          <w:rFonts w:ascii="Times New Roman" w:hAnsi="Times New Roman"/>
          <w:sz w:val="24"/>
          <w:szCs w:val="24"/>
        </w:rPr>
        <w:t>vices for adults</w:t>
      </w:r>
    </w:p>
    <w:p w:rsidRPr="00120558" w:rsidR="00120558" w:rsidP="00FB1BA8" w:rsidRDefault="00120558" w14:paraId="31ADC83F" w14:textId="77777777">
      <w:pPr>
        <w:pStyle w:val="ListParagraph"/>
        <w:numPr>
          <w:ilvl w:val="2"/>
          <w:numId w:val="21"/>
        </w:numPr>
        <w:rPr>
          <w:rFonts w:ascii="Times New Roman" w:hAnsi="Times New Roman"/>
          <w:sz w:val="24"/>
          <w:szCs w:val="24"/>
        </w:rPr>
      </w:pPr>
      <w:r w:rsidRPr="00120558">
        <w:rPr>
          <w:rFonts w:ascii="Times New Roman" w:hAnsi="Times New Roman"/>
          <w:sz w:val="24"/>
          <w:szCs w:val="24"/>
        </w:rPr>
        <w:t>strategies for improving the quality of program delivery of HM</w:t>
      </w:r>
      <w:r>
        <w:rPr>
          <w:rFonts w:ascii="Times New Roman" w:hAnsi="Times New Roman"/>
          <w:sz w:val="24"/>
          <w:szCs w:val="24"/>
        </w:rPr>
        <w:t xml:space="preserve">RE programming in high schools and the effectiveness of </w:t>
      </w:r>
      <w:r w:rsidRPr="00120558">
        <w:rPr>
          <w:rFonts w:ascii="Times New Roman" w:hAnsi="Times New Roman"/>
          <w:sz w:val="24"/>
          <w:szCs w:val="24"/>
        </w:rPr>
        <w:t>curricula at different levels of dosage of HMRE programming</w:t>
      </w:r>
    </w:p>
    <w:p w:rsidR="00D8682B" w:rsidP="00FB1BA8" w:rsidRDefault="00120558" w14:paraId="72E7F8DE" w14:textId="77777777">
      <w:pPr>
        <w:pStyle w:val="ListParagraph"/>
        <w:numPr>
          <w:ilvl w:val="2"/>
          <w:numId w:val="21"/>
        </w:numPr>
        <w:rPr>
          <w:rFonts w:ascii="Times New Roman" w:hAnsi="Times New Roman"/>
          <w:sz w:val="24"/>
          <w:szCs w:val="24"/>
        </w:rPr>
      </w:pPr>
      <w:r w:rsidRPr="00120558">
        <w:rPr>
          <w:rFonts w:ascii="Times New Roman" w:hAnsi="Times New Roman"/>
          <w:sz w:val="24"/>
          <w:szCs w:val="24"/>
        </w:rPr>
        <w:t xml:space="preserve">behavioral economics strategies to encourage participant engagement in services. </w:t>
      </w:r>
    </w:p>
    <w:p w:rsidRPr="007B5DD9" w:rsidR="003E0F11" w:rsidP="00D8682B" w:rsidRDefault="003E0F11" w14:paraId="484350A3" w14:textId="77777777">
      <w:pPr>
        <w:pStyle w:val="ListParagraph"/>
        <w:numPr>
          <w:ilvl w:val="1"/>
          <w:numId w:val="21"/>
        </w:numPr>
        <w:rPr>
          <w:rFonts w:ascii="Times New Roman" w:hAnsi="Times New Roman"/>
          <w:sz w:val="24"/>
          <w:szCs w:val="24"/>
        </w:rPr>
      </w:pPr>
      <w:r w:rsidRPr="003E0F11">
        <w:rPr>
          <w:rFonts w:ascii="Times New Roman" w:hAnsi="Times New Roman"/>
          <w:sz w:val="24"/>
          <w:szCs w:val="24"/>
        </w:rPr>
        <w:t>The information from this study is expected to be of use to policymakers, grantees, TA providers, and researchers. The information could inform policy making, program improvement, decision-making, program design, funding decisions, and the HMRE research field.</w:t>
      </w:r>
    </w:p>
    <w:p w:rsidR="007B5DD9" w:rsidP="006809B8" w:rsidRDefault="007B5DD9" w14:paraId="59795DF2" w14:textId="77777777">
      <w:pPr>
        <w:spacing w:after="240"/>
        <w:ind w:firstLine="432"/>
        <w:rPr>
          <w:b/>
        </w:rPr>
      </w:pPr>
    </w:p>
    <w:p w:rsidR="007B5DD9" w:rsidP="006809B8" w:rsidRDefault="007B5DD9" w14:paraId="2015F9DD" w14:textId="77777777">
      <w:pPr>
        <w:spacing w:after="240"/>
        <w:ind w:firstLine="432"/>
        <w:rPr>
          <w:b/>
        </w:rPr>
      </w:pPr>
    </w:p>
    <w:p w:rsidR="006809B8" w:rsidP="006809B8" w:rsidRDefault="006809B8" w14:paraId="061F4AD0" w14:textId="62A8A7F8">
      <w:pPr>
        <w:spacing w:after="240"/>
        <w:ind w:firstLine="432"/>
        <w:rPr>
          <w:iCs/>
        </w:rPr>
      </w:pPr>
    </w:p>
    <w:p w:rsidR="00A96C55" w:rsidP="006809B8" w:rsidRDefault="00A96C55" w14:paraId="7B40C1A9" w14:textId="77777777">
      <w:pPr>
        <w:spacing w:after="240"/>
        <w:ind w:firstLine="432"/>
        <w:rPr>
          <w:iCs/>
        </w:rPr>
      </w:pPr>
    </w:p>
    <w:p w:rsidR="00945CD6" w:rsidP="00436F5E" w:rsidRDefault="00292B70" w14:paraId="0CE3E070" w14:textId="77777777">
      <w:pPr>
        <w:spacing w:after="120"/>
        <w:rPr>
          <w:b/>
        </w:rPr>
      </w:pPr>
      <w:r w:rsidRPr="000D53DF">
        <w:rPr>
          <w:b/>
        </w:rPr>
        <w:lastRenderedPageBreak/>
        <w:t xml:space="preserve">A1. </w:t>
      </w:r>
      <w:r w:rsidRPr="000D53DF" w:rsidR="00945CD6">
        <w:rPr>
          <w:b/>
        </w:rPr>
        <w:t>Necessity for the Data Collection</w:t>
      </w:r>
    </w:p>
    <w:p w:rsidR="007B5DD9" w:rsidP="00436F5E" w:rsidRDefault="007B5DD9" w14:paraId="1D25D6B2" w14:textId="77777777">
      <w:pPr>
        <w:spacing w:after="120"/>
        <w:rPr>
          <w:b/>
        </w:rPr>
      </w:pPr>
    </w:p>
    <w:p w:rsidRPr="007B5DD9" w:rsidR="007B5DD9" w:rsidP="007B5DD9" w:rsidRDefault="007B5DD9" w14:paraId="4FAA325F" w14:textId="77777777">
      <w:pPr>
        <w:spacing w:after="120"/>
        <w:ind w:firstLine="720"/>
      </w:pPr>
      <w:r w:rsidRPr="007B5DD9">
        <w:t>The Administration for Children and Families (ACF) at the U.S. Department of Health and Human Services (HHS) seeks approval for</w:t>
      </w:r>
      <w:r>
        <w:t xml:space="preserve"> </w:t>
      </w:r>
      <w:r w:rsidRPr="007B5DD9">
        <w:t>(1) an extension of previously approved data collection instruments for the</w:t>
      </w:r>
      <w:r>
        <w:t xml:space="preserve"> STREAMS</w:t>
      </w:r>
      <w:r w:rsidRPr="007B5DD9">
        <w:t xml:space="preserve"> impact study and (2) two additional data collection instruments </w:t>
      </w:r>
      <w:r w:rsidRPr="001062F3" w:rsidR="001062F3">
        <w:t>for conducting a second follow-up with impact study participants in two sites</w:t>
      </w:r>
      <w:r w:rsidRPr="007B5DD9">
        <w:t>.</w:t>
      </w:r>
    </w:p>
    <w:p w:rsidR="007B5DD9" w:rsidP="00436F5E" w:rsidRDefault="007B5DD9" w14:paraId="4F5B39D5" w14:textId="77777777">
      <w:pPr>
        <w:pStyle w:val="Heading4"/>
        <w:numPr>
          <w:ilvl w:val="3"/>
          <w:numId w:val="0"/>
        </w:numPr>
        <w:tabs>
          <w:tab w:val="num" w:pos="180"/>
        </w:tabs>
        <w:spacing w:before="60" w:line="264" w:lineRule="auto"/>
        <w:rPr>
          <w:rFonts w:ascii="Times New Roman" w:hAnsi="Times New Roman"/>
          <w:i/>
          <w:sz w:val="24"/>
          <w:szCs w:val="24"/>
        </w:rPr>
      </w:pPr>
    </w:p>
    <w:p w:rsidRPr="00177982" w:rsidR="00984CA2" w:rsidP="00436F5E" w:rsidRDefault="00984CA2" w14:paraId="79C6799E" w14:textId="77777777">
      <w:pPr>
        <w:pStyle w:val="Heading4"/>
        <w:numPr>
          <w:ilvl w:val="3"/>
          <w:numId w:val="0"/>
        </w:numPr>
        <w:tabs>
          <w:tab w:val="num" w:pos="180"/>
        </w:tabs>
        <w:spacing w:before="60" w:line="264" w:lineRule="auto"/>
        <w:rPr>
          <w:rFonts w:ascii="Times New Roman" w:hAnsi="Times New Roman"/>
          <w:i/>
          <w:sz w:val="24"/>
          <w:szCs w:val="24"/>
        </w:rPr>
      </w:pPr>
      <w:r w:rsidRPr="00177982">
        <w:rPr>
          <w:rFonts w:ascii="Times New Roman" w:hAnsi="Times New Roman"/>
          <w:i/>
          <w:sz w:val="24"/>
          <w:szCs w:val="24"/>
        </w:rPr>
        <w:t xml:space="preserve">Study Background </w:t>
      </w:r>
    </w:p>
    <w:p w:rsidR="008C673B" w:rsidP="008C673B" w:rsidRDefault="0080651A" w14:paraId="4E34890D" w14:textId="77777777">
      <w:pPr>
        <w:spacing w:after="240"/>
        <w:ind w:firstLine="432"/>
      </w:pPr>
      <w:r>
        <w:rPr>
          <w:iCs/>
        </w:rPr>
        <w:t>Healthy Marriage and Relationship Education (</w:t>
      </w:r>
      <w:r w:rsidR="00643C5B">
        <w:t>HMRE</w:t>
      </w:r>
      <w:r>
        <w:t>)</w:t>
      </w:r>
      <w:r w:rsidRPr="00EE4944" w:rsidR="00DE16DE">
        <w:t xml:space="preserve"> programs have been undergoing a transformation over the past decade. At first a new approach for serving vulnerable families, such programs have become an established presence in many communities, with connections to other agencies and a growing number of families served. In the early 2000s, ACF announced the Healthy Marriage Initiative, which provided funding to federal grantees through existing legislative authorities to add marriage education to their service offerings. This effort coincided with findings from the longitudinal Fragile Families and Child Well-being Study that suggested the period around a child’s birth could be an opportunity for intervening with unmarried couples, who typically were romantically involved and interested in ma</w:t>
      </w:r>
      <w:r w:rsidR="00442392">
        <w:t>rriage (McLanahan et al. 2001).</w:t>
      </w:r>
    </w:p>
    <w:p w:rsidR="008C673B" w:rsidP="008C673B" w:rsidRDefault="00DE16DE" w14:paraId="507A8BDE" w14:textId="42505F5C">
      <w:pPr>
        <w:spacing w:after="240"/>
        <w:ind w:firstLine="432"/>
      </w:pPr>
      <w:r w:rsidRPr="00EE4944">
        <w:t xml:space="preserve">The Deficit Reduction Act of 2005 created the HMRE grant program, which authorized $150 million over five years to support program activities aimed at promoting and sustaining healthy marriages, providing relationship education services to youth, and fostering economic stability. The Claims Resolution Act of 2010 re-authorized this grant program, and three-year grants totaling $150 million were awarded in September 2011 (and subsequently extended through September 2015). In </w:t>
      </w:r>
      <w:r w:rsidR="00F47615">
        <w:t xml:space="preserve">September </w:t>
      </w:r>
      <w:r w:rsidRPr="00EE4944">
        <w:t>2015, ACF to awarded five-year grants to 46 HMRE grantees to serve a broad spectrum of cou</w:t>
      </w:r>
      <w:r w:rsidR="00442392">
        <w:t>ples, single adults, and youth.</w:t>
      </w:r>
    </w:p>
    <w:p w:rsidR="008C673B" w:rsidP="008C673B" w:rsidRDefault="00DE16DE" w14:paraId="08549CD1" w14:textId="77777777">
      <w:pPr>
        <w:spacing w:after="240"/>
        <w:ind w:firstLine="432"/>
      </w:pPr>
      <w:r w:rsidRPr="00EE4944">
        <w:t>Studies of the effectiveness of HMRE programs serving couples that were funded by the government have produced mixed results. Most federally sponsored HMRE research in recent years—including the Building Strong Families (BSF) evaluation, the Supporting Health Marriage (SHM) evaluation, and the ongoing Parents and Children Together (PACT) evaluation—has focused on programs serving low-income couples raising children together. BSF, which examined HMRE programs for unmarried parents, found no overall effects on relationship quality or status (Wood et al. 2012; 2014). Positive effects in one BSF site at 15 months generally did not persist at 36 months. SHM, which examined HMRE programs for low-income married parents, found small positive effects on relationship quality and declines in psychological abuse and distress at 12 and 30 months, but no effects on relationship status (Hsueh et al</w:t>
      </w:r>
      <w:r w:rsidR="00643C5B">
        <w:t>. 2012; Lundquist et al. 2014).</w:t>
      </w:r>
    </w:p>
    <w:p w:rsidR="008C673B" w:rsidP="008C673B" w:rsidRDefault="00DE16DE" w14:paraId="3110B73F" w14:textId="77777777">
      <w:pPr>
        <w:spacing w:after="240"/>
        <w:ind w:firstLine="432"/>
      </w:pPr>
      <w:r w:rsidRPr="00EE4944">
        <w:t xml:space="preserve">However, many HMRE programs serve youth; many others serve adults as individuals and do not serve couples. Little rigorous research has been conducted on these programs or the curricula they implement. One rigorous study of an HMRE youth curriculum, Relationship Smarts PLUS, conducted in 39 Alabama high schools found short-term positive effects on measures of healthy relationship beliefs and perceived conflict management ability (Kerpelman et al. 2009). Other prior studies used less rigorous research methods. A pre-post study of Love U2: Communication Smarts found improvements on measures of relationship attitudes and skills </w:t>
      </w:r>
      <w:r w:rsidRPr="00EE4944">
        <w:lastRenderedPageBreak/>
        <w:t>(Antle et al. 2011). A small pre-post study of the Within My Research curriculum for single adults reported improved relationship knowledge and skills (Antle et al. 2013). A small quasi-experimental study of another curriculum for single adults, PICK a Partner, reported increased participant knowledge and confidence in participants’ ability to develop healthy relat</w:t>
      </w:r>
      <w:r w:rsidR="00643C5B">
        <w:t>ionships (Van Epp et al. 2008).</w:t>
      </w:r>
    </w:p>
    <w:p w:rsidRPr="00EE4944" w:rsidR="005B0DFD" w:rsidP="008C673B" w:rsidRDefault="00DE16DE" w14:paraId="6952C400" w14:textId="77777777">
      <w:pPr>
        <w:spacing w:after="240"/>
        <w:ind w:firstLine="432"/>
      </w:pPr>
      <w:r w:rsidRPr="00EE4944">
        <w:t>To expand the research base on the full range of HMRE programs funded by ACF, in March 2015, the agency contracted with Mathema</w:t>
      </w:r>
      <w:r w:rsidR="00643C5B">
        <w:t xml:space="preserve">tica Policy Research to </w:t>
      </w:r>
      <w:r w:rsidR="00577DD1">
        <w:t xml:space="preserve">conduct </w:t>
      </w:r>
      <w:r w:rsidR="00643C5B">
        <w:t>the STREAMS</w:t>
      </w:r>
      <w:r w:rsidRPr="00EE4944">
        <w:t xml:space="preserve"> evaluation. The study entails designing and implementing a multi-site impact evaluation of HMRE programs. It aims to identify strategies for improving the effectiveness and delivery of HMRE programs by conducting multiple rigorous tests of program components an</w:t>
      </w:r>
      <w:r w:rsidR="005B0DFD">
        <w:t>d implementation factors</w:t>
      </w:r>
      <w:r w:rsidR="0090542E">
        <w:t>. S</w:t>
      </w:r>
      <w:r w:rsidRPr="00EE4944">
        <w:t xml:space="preserve">ites </w:t>
      </w:r>
      <w:r w:rsidRPr="00EE4944" w:rsidR="009E245F">
        <w:t>were</w:t>
      </w:r>
      <w:r w:rsidRPr="00EE4944">
        <w:t xml:space="preserve"> chosen from among the 45 ACF healthy marriage grantees that were awarded in October 2015. Sites </w:t>
      </w:r>
      <w:r w:rsidRPr="00EE4944" w:rsidR="009E245F">
        <w:t xml:space="preserve">were </w:t>
      </w:r>
      <w:r w:rsidRPr="00EE4944">
        <w:t xml:space="preserve">selected to answer a range of distinct research questions that address specific policy priorities for ACF and that will help to fill key gaps in the existing research on healthy marriage programming. In particular, the study </w:t>
      </w:r>
      <w:r w:rsidR="00CA3E22">
        <w:t>is</w:t>
      </w:r>
      <w:r w:rsidRPr="00EE4944">
        <w:t xml:space="preserve"> assess</w:t>
      </w:r>
      <w:r w:rsidR="00CA3E22">
        <w:t>ing</w:t>
      </w:r>
      <w:r w:rsidRPr="00EE4944">
        <w:t xml:space="preserve"> the effectiveness of commonly used HMRE curricula for both youth and adults, as well as the integration of HMRE and economic stability ser</w:t>
      </w:r>
      <w:r w:rsidR="00CA3E22">
        <w:t>vices for adults. The study is</w:t>
      </w:r>
      <w:r w:rsidRPr="00EE4944">
        <w:t xml:space="preserve"> also assess</w:t>
      </w:r>
      <w:r w:rsidR="00CA3E22">
        <w:t>ing</w:t>
      </w:r>
      <w:r w:rsidRPr="00EE4944">
        <w:t xml:space="preserve"> the effectiveness of strategies for improving the quality of program delivery of HMRE programming in high schools, effectiveness of curricula at different levels of dosage of HMRE programming, and the effectiveness of behavioral economics strategies to encourage participant engagement in services. Sites </w:t>
      </w:r>
      <w:r w:rsidRPr="00EE4944" w:rsidR="009E245F">
        <w:t>were</w:t>
      </w:r>
      <w:r w:rsidRPr="00EE4944">
        <w:t xml:space="preserve"> selected for their suitability for answering priority research questions, and not to be nationally representative of</w:t>
      </w:r>
      <w:r w:rsidR="005B0DFD">
        <w:t xml:space="preserve"> all healthy marriage grantees.</w:t>
      </w:r>
    </w:p>
    <w:p w:rsidRPr="005B0DFD" w:rsidR="00984CA2" w:rsidP="005B0DFD" w:rsidRDefault="00984CA2" w14:paraId="27362538" w14:textId="77777777">
      <w:pPr>
        <w:pStyle w:val="Heading4"/>
        <w:numPr>
          <w:ilvl w:val="3"/>
          <w:numId w:val="0"/>
        </w:numPr>
        <w:tabs>
          <w:tab w:val="num" w:pos="180"/>
        </w:tabs>
        <w:spacing w:before="60" w:line="264" w:lineRule="auto"/>
        <w:rPr>
          <w:rFonts w:ascii="Times New Roman" w:hAnsi="Times New Roman"/>
          <w:i/>
          <w:sz w:val="24"/>
          <w:szCs w:val="24"/>
        </w:rPr>
      </w:pPr>
      <w:r w:rsidRPr="005B0DFD">
        <w:rPr>
          <w:rFonts w:ascii="Times New Roman" w:hAnsi="Times New Roman"/>
          <w:i/>
          <w:sz w:val="24"/>
          <w:szCs w:val="24"/>
        </w:rPr>
        <w:t xml:space="preserve">Legal or Administrative Requirements that Necessitate the Collection </w:t>
      </w:r>
    </w:p>
    <w:p w:rsidRPr="008C673B" w:rsidR="00513F35" w:rsidP="008C673B" w:rsidRDefault="009E245F" w14:paraId="633E9A6D" w14:textId="30254AA9">
      <w:pPr>
        <w:spacing w:after="240"/>
        <w:ind w:firstLine="432"/>
      </w:pPr>
      <w:r w:rsidRPr="005B0DFD">
        <w:t>This is a discretionary data collection authorized under Sec. 811 (b) Healthy Marriage Promotion and Promoting Responsible Fatherhood Grants of the Claims Resolution Act of 2010, Pub. L. No. 111-291, 124 Stat. 3064 (Dec. 8, 2010). A copy</w:t>
      </w:r>
      <w:r w:rsidR="00577DD1">
        <w:t xml:space="preserve"> of the legislative authority </w:t>
      </w:r>
      <w:r w:rsidR="009165DA">
        <w:t>i</w:t>
      </w:r>
      <w:r w:rsidR="00577DD1">
        <w:t>s</w:t>
      </w:r>
      <w:r w:rsidRPr="005B0DFD">
        <w:t xml:space="preserve"> included as Attachment A.</w:t>
      </w:r>
    </w:p>
    <w:p w:rsidRPr="0072204D" w:rsidR="00945CD6" w:rsidP="00436F5E" w:rsidRDefault="00292B70" w14:paraId="73B73391" w14:textId="77777777">
      <w:pPr>
        <w:spacing w:after="120"/>
        <w:rPr>
          <w:b/>
        </w:rPr>
      </w:pPr>
      <w:r>
        <w:rPr>
          <w:b/>
        </w:rPr>
        <w:t xml:space="preserve">A2. </w:t>
      </w:r>
      <w:r w:rsidRPr="0072204D" w:rsidR="00945CD6">
        <w:rPr>
          <w:b/>
        </w:rPr>
        <w:t>Purpose of Survey and Data Collection Procedures</w:t>
      </w:r>
    </w:p>
    <w:p w:rsidRPr="00351F35" w:rsidR="00351F35" w:rsidP="00351F35" w:rsidRDefault="00351F35" w14:paraId="56423810" w14:textId="77777777">
      <w:pPr>
        <w:pStyle w:val="Heading4"/>
        <w:numPr>
          <w:ilvl w:val="3"/>
          <w:numId w:val="0"/>
        </w:numPr>
        <w:tabs>
          <w:tab w:val="num" w:pos="180"/>
        </w:tabs>
        <w:spacing w:before="60" w:line="264" w:lineRule="auto"/>
        <w:rPr>
          <w:rFonts w:ascii="Times New Roman" w:hAnsi="Times New Roman"/>
          <w:sz w:val="24"/>
          <w:szCs w:val="24"/>
        </w:rPr>
      </w:pPr>
      <w:r>
        <w:rPr>
          <w:rFonts w:ascii="Times New Roman" w:hAnsi="Times New Roman"/>
          <w:i/>
          <w:sz w:val="24"/>
          <w:szCs w:val="24"/>
        </w:rPr>
        <w:t>Overview of Purpose and Approach</w:t>
      </w:r>
    </w:p>
    <w:p w:rsidRPr="00FB1BA8" w:rsidR="00402164" w:rsidP="008C673B" w:rsidRDefault="00402164" w14:paraId="456D975A" w14:textId="77777777">
      <w:pPr>
        <w:spacing w:after="240"/>
        <w:ind w:firstLine="432"/>
        <w:rPr>
          <w:i/>
          <w:iCs/>
        </w:rPr>
      </w:pPr>
      <w:r>
        <w:rPr>
          <w:i/>
          <w:iCs/>
        </w:rPr>
        <w:t xml:space="preserve">Previously Approved Request </w:t>
      </w:r>
    </w:p>
    <w:p w:rsidR="00402164" w:rsidP="008C673B" w:rsidRDefault="00351F35" w14:paraId="185433DC" w14:textId="77777777">
      <w:pPr>
        <w:spacing w:after="240"/>
        <w:ind w:firstLine="432"/>
        <w:rPr>
          <w:iCs/>
        </w:rPr>
      </w:pPr>
      <w:r w:rsidRPr="00351F35">
        <w:rPr>
          <w:iCs/>
        </w:rPr>
        <w:t>The STREAMS evaluation includes two components, an impact study and a process study.</w:t>
      </w:r>
      <w:r>
        <w:rPr>
          <w:iCs/>
        </w:rPr>
        <w:t xml:space="preserve"> </w:t>
      </w:r>
      <w:r w:rsidRPr="00351F35">
        <w:rPr>
          <w:iCs/>
        </w:rPr>
        <w:t xml:space="preserve">The goal of the impact study is to provide rigorous estimates of the effectiveness of program services and interventions to improve program implementation. The impact study uses an experimental design. </w:t>
      </w:r>
      <w:r w:rsidR="00C01655">
        <w:rPr>
          <w:iCs/>
        </w:rPr>
        <w:t>In each site, e</w:t>
      </w:r>
      <w:r w:rsidRPr="00351F35">
        <w:rPr>
          <w:iCs/>
        </w:rPr>
        <w:t>ligible program applicants are randomly assigned to either a program group that is offered program services or a control group that is not. STREAMS collects baseline information from eligible program applicants prior to random assignment and administers a follow-up survey to participants 12 months after random assignment.</w:t>
      </w:r>
      <w:r w:rsidR="00C01655">
        <w:rPr>
          <w:iCs/>
        </w:rPr>
        <w:t xml:space="preserve"> </w:t>
      </w:r>
      <w:r w:rsidRPr="00351F35">
        <w:rPr>
          <w:iCs/>
        </w:rPr>
        <w:t>The goal of the process study is to support the interpretation of impact findings and document program operations to support future replication. STREAMS conduct</w:t>
      </w:r>
      <w:r w:rsidR="00C739AF">
        <w:rPr>
          <w:iCs/>
        </w:rPr>
        <w:t>ed</w:t>
      </w:r>
      <w:r w:rsidRPr="00351F35">
        <w:rPr>
          <w:iCs/>
        </w:rPr>
        <w:t xml:space="preserve"> semi-structured interviews with program staff and selected community stakeholders, conduct</w:t>
      </w:r>
      <w:r w:rsidR="00C739AF">
        <w:rPr>
          <w:iCs/>
        </w:rPr>
        <w:t>ed</w:t>
      </w:r>
      <w:r w:rsidRPr="00351F35">
        <w:rPr>
          <w:iCs/>
        </w:rPr>
        <w:t xml:space="preserve"> focus groups with program participants, administer</w:t>
      </w:r>
      <w:r w:rsidR="00C739AF">
        <w:rPr>
          <w:iCs/>
        </w:rPr>
        <w:t>ed</w:t>
      </w:r>
      <w:r w:rsidRPr="00351F35">
        <w:rPr>
          <w:iCs/>
        </w:rPr>
        <w:t xml:space="preserve"> a survey to program staff, and collect</w:t>
      </w:r>
      <w:r w:rsidR="00C739AF">
        <w:rPr>
          <w:iCs/>
        </w:rPr>
        <w:t>ed</w:t>
      </w:r>
      <w:r w:rsidRPr="00351F35">
        <w:rPr>
          <w:iCs/>
        </w:rPr>
        <w:t xml:space="preserve"> data on adherence to program curricula through an add on to an existing program </w:t>
      </w:r>
      <w:r w:rsidR="00C01655">
        <w:rPr>
          <w:iCs/>
        </w:rPr>
        <w:t>MIS</w:t>
      </w:r>
      <w:r w:rsidRPr="00351F35">
        <w:rPr>
          <w:iCs/>
        </w:rPr>
        <w:t>.</w:t>
      </w:r>
    </w:p>
    <w:p w:rsidR="00FB1BA8" w:rsidP="00402164" w:rsidRDefault="00520A8F" w14:paraId="7156426E" w14:textId="377E4680">
      <w:pPr>
        <w:spacing w:after="240"/>
        <w:ind w:firstLine="432"/>
        <w:rPr>
          <w:iCs/>
        </w:rPr>
      </w:pPr>
      <w:r>
        <w:rPr>
          <w:iCs/>
        </w:rPr>
        <w:lastRenderedPageBreak/>
        <w:t>B</w:t>
      </w:r>
      <w:r w:rsidR="003F7BCA">
        <w:rPr>
          <w:iCs/>
        </w:rPr>
        <w:t xml:space="preserve">oth the impact study and </w:t>
      </w:r>
      <w:r w:rsidR="00AE25B2">
        <w:rPr>
          <w:iCs/>
        </w:rPr>
        <w:t xml:space="preserve">the </w:t>
      </w:r>
      <w:r w:rsidR="003F7BCA">
        <w:rPr>
          <w:iCs/>
        </w:rPr>
        <w:t xml:space="preserve">process study </w:t>
      </w:r>
      <w:r>
        <w:rPr>
          <w:iCs/>
        </w:rPr>
        <w:t xml:space="preserve">information </w:t>
      </w:r>
      <w:r w:rsidR="003F7BCA">
        <w:rPr>
          <w:iCs/>
        </w:rPr>
        <w:t>collectio</w:t>
      </w:r>
      <w:r w:rsidR="00AE25B2">
        <w:rPr>
          <w:iCs/>
        </w:rPr>
        <w:t>n</w:t>
      </w:r>
      <w:r>
        <w:rPr>
          <w:iCs/>
        </w:rPr>
        <w:t xml:space="preserve"> requests were</w:t>
      </w:r>
      <w:r w:rsidR="00AE25B2">
        <w:rPr>
          <w:iCs/>
        </w:rPr>
        <w:t xml:space="preserve"> initially approved on July 5, 2016</w:t>
      </w:r>
      <w:r w:rsidR="00C21883">
        <w:rPr>
          <w:iCs/>
        </w:rPr>
        <w:t xml:space="preserve"> (OMB #</w:t>
      </w:r>
      <w:r w:rsidRPr="00C661EF" w:rsidR="00C21883">
        <w:rPr>
          <w:iCs/>
        </w:rPr>
        <w:t>0970-0481</w:t>
      </w:r>
      <w:r w:rsidR="00C21883">
        <w:rPr>
          <w:iCs/>
        </w:rPr>
        <w:t>)</w:t>
      </w:r>
      <w:r w:rsidR="00AE25B2">
        <w:rPr>
          <w:iCs/>
        </w:rPr>
        <w:t>. Data collection for the process study began in February 2017 and was completed in September 2018</w:t>
      </w:r>
      <w:r w:rsidR="003F7BCA">
        <w:rPr>
          <w:iCs/>
        </w:rPr>
        <w:t xml:space="preserve">. Data collection for the impact study began in July 2016 and is </w:t>
      </w:r>
      <w:r w:rsidR="000D40AC">
        <w:rPr>
          <w:iCs/>
        </w:rPr>
        <w:t>ongoing</w:t>
      </w:r>
      <w:r w:rsidR="00AE25B2">
        <w:rPr>
          <w:iCs/>
        </w:rPr>
        <w:t xml:space="preserve">. </w:t>
      </w:r>
    </w:p>
    <w:p w:rsidRPr="00FB1BA8" w:rsidR="00402164" w:rsidP="00402164" w:rsidRDefault="00402164" w14:paraId="153F690E" w14:textId="77777777">
      <w:pPr>
        <w:spacing w:after="240"/>
        <w:ind w:firstLine="432"/>
        <w:rPr>
          <w:i/>
          <w:iCs/>
        </w:rPr>
      </w:pPr>
      <w:r>
        <w:rPr>
          <w:i/>
          <w:iCs/>
        </w:rPr>
        <w:t>Current Request</w:t>
      </w:r>
    </w:p>
    <w:p w:rsidRPr="00402164" w:rsidR="00402164" w:rsidP="00402164" w:rsidRDefault="00C21883" w14:paraId="3CADF190" w14:textId="77777777">
      <w:pPr>
        <w:spacing w:after="240"/>
        <w:ind w:firstLine="432"/>
        <w:rPr>
          <w:iCs/>
        </w:rPr>
      </w:pPr>
      <w:r>
        <w:rPr>
          <w:iCs/>
        </w:rPr>
        <w:t>For</w:t>
      </w:r>
      <w:r w:rsidR="00B01385">
        <w:rPr>
          <w:iCs/>
        </w:rPr>
        <w:t xml:space="preserve"> this </w:t>
      </w:r>
      <w:r>
        <w:rPr>
          <w:iCs/>
        </w:rPr>
        <w:t xml:space="preserve">current </w:t>
      </w:r>
      <w:r w:rsidR="00B01385">
        <w:rPr>
          <w:iCs/>
        </w:rPr>
        <w:t>data collection request, ACF seeks approval for</w:t>
      </w:r>
      <w:r w:rsidR="001062F3">
        <w:rPr>
          <w:iCs/>
        </w:rPr>
        <w:t xml:space="preserve"> 1) </w:t>
      </w:r>
      <w:r w:rsidRPr="007B5DD9" w:rsidR="001062F3">
        <w:t>an extension of previously approved data collection instruments for the</w:t>
      </w:r>
      <w:r w:rsidR="001062F3">
        <w:t xml:space="preserve"> STREAMS</w:t>
      </w:r>
      <w:r w:rsidRPr="007B5DD9" w:rsidR="001062F3">
        <w:t xml:space="preserve"> impact study</w:t>
      </w:r>
      <w:r w:rsidR="00B01385">
        <w:rPr>
          <w:iCs/>
        </w:rPr>
        <w:t xml:space="preserve"> </w:t>
      </w:r>
      <w:r w:rsidR="001062F3">
        <w:rPr>
          <w:iCs/>
        </w:rPr>
        <w:t xml:space="preserve">and 2) </w:t>
      </w:r>
      <w:r w:rsidR="00B01385">
        <w:rPr>
          <w:iCs/>
        </w:rPr>
        <w:t xml:space="preserve">two additional data collection instruments for the impact study that would </w:t>
      </w:r>
      <w:r w:rsidR="000A1E65">
        <w:rPr>
          <w:iCs/>
        </w:rPr>
        <w:t xml:space="preserve">collect additional follow-up data at two of the five participating sites. This revision would </w:t>
      </w:r>
      <w:r w:rsidR="00B01385">
        <w:rPr>
          <w:iCs/>
        </w:rPr>
        <w:t xml:space="preserve">extend data collection through </w:t>
      </w:r>
      <w:r w:rsidR="000D40AC">
        <w:rPr>
          <w:iCs/>
        </w:rPr>
        <w:t>spring 2022</w:t>
      </w:r>
      <w:r w:rsidR="00B01385">
        <w:rPr>
          <w:iCs/>
        </w:rPr>
        <w:t>.</w:t>
      </w:r>
      <w:r>
        <w:rPr>
          <w:iCs/>
        </w:rPr>
        <w:t xml:space="preserve"> The purpose of these two additional data collection instruments is </w:t>
      </w:r>
      <w:r w:rsidR="00C83642">
        <w:rPr>
          <w:iCs/>
        </w:rPr>
        <w:t>to allow for</w:t>
      </w:r>
      <w:r w:rsidRPr="00C83642" w:rsidR="00C83642">
        <w:rPr>
          <w:iCs/>
        </w:rPr>
        <w:t xml:space="preserve"> an assessment of the longer-term imp</w:t>
      </w:r>
      <w:r w:rsidR="00C83642">
        <w:rPr>
          <w:iCs/>
        </w:rPr>
        <w:t xml:space="preserve">acts of </w:t>
      </w:r>
      <w:r w:rsidR="00517906">
        <w:rPr>
          <w:iCs/>
        </w:rPr>
        <w:t xml:space="preserve">HMRE </w:t>
      </w:r>
      <w:r w:rsidR="00C83642">
        <w:rPr>
          <w:iCs/>
        </w:rPr>
        <w:t>programming</w:t>
      </w:r>
      <w:r w:rsidR="001062F3">
        <w:rPr>
          <w:iCs/>
        </w:rPr>
        <w:t xml:space="preserve"> by conducting an additional follow-up </w:t>
      </w:r>
      <w:r w:rsidR="00496AB0">
        <w:rPr>
          <w:iCs/>
        </w:rPr>
        <w:t>survey</w:t>
      </w:r>
      <w:r w:rsidR="001062F3">
        <w:rPr>
          <w:iCs/>
        </w:rPr>
        <w:t xml:space="preserve"> with impact study participants</w:t>
      </w:r>
      <w:r w:rsidR="00C83642">
        <w:rPr>
          <w:iCs/>
        </w:rPr>
        <w:t xml:space="preserve">. </w:t>
      </w:r>
      <w:r w:rsidRPr="00402164" w:rsidR="00402164">
        <w:rPr>
          <w:iCs/>
        </w:rPr>
        <w:t xml:space="preserve">The information from </w:t>
      </w:r>
      <w:r w:rsidR="00517906">
        <w:rPr>
          <w:iCs/>
        </w:rPr>
        <w:t xml:space="preserve">the </w:t>
      </w:r>
      <w:r w:rsidR="00402164">
        <w:rPr>
          <w:iCs/>
        </w:rPr>
        <w:t>entire STREAMS</w:t>
      </w:r>
      <w:r w:rsidRPr="00402164" w:rsidR="00402164">
        <w:rPr>
          <w:iCs/>
        </w:rPr>
        <w:t xml:space="preserve"> study is expected to be of use to policymakers, grantees, TA providers, and researchers. The information could inform policy making, program improvement, decision-making, program design, funding decisions, and the HMRE research field.</w:t>
      </w:r>
    </w:p>
    <w:p w:rsidR="00F22E9A" w:rsidP="006139A0" w:rsidRDefault="00B01385" w14:paraId="7818F2FB" w14:textId="77777777">
      <w:pPr>
        <w:spacing w:after="60"/>
        <w:rPr>
          <w:iCs/>
        </w:rPr>
      </w:pPr>
      <w:r>
        <w:rPr>
          <w:b/>
          <w:bCs/>
          <w:i/>
          <w:iCs/>
        </w:rPr>
        <w:t>Research Questions</w:t>
      </w:r>
    </w:p>
    <w:p w:rsidR="000A1E65" w:rsidP="00932244" w:rsidRDefault="000A1E65" w14:paraId="702E86EF" w14:textId="77777777">
      <w:pPr>
        <w:spacing w:after="60"/>
        <w:ind w:firstLine="432"/>
        <w:rPr>
          <w:bCs/>
          <w:iCs/>
        </w:rPr>
      </w:pPr>
      <w:r w:rsidRPr="00932244">
        <w:rPr>
          <w:bCs/>
          <w:iCs/>
        </w:rPr>
        <w:t>Questions specific to the ongoing data collection and new data collection included in this current request focus</w:t>
      </w:r>
      <w:r>
        <w:rPr>
          <w:bCs/>
          <w:iCs/>
        </w:rPr>
        <w:t xml:space="preserve"> on </w:t>
      </w:r>
      <w:r w:rsidRPr="00932244">
        <w:rPr>
          <w:bCs/>
          <w:iCs/>
        </w:rPr>
        <w:t>longer-term participant impacts in two sites</w:t>
      </w:r>
      <w:r>
        <w:rPr>
          <w:bCs/>
          <w:iCs/>
        </w:rPr>
        <w:t xml:space="preserve">: More Than Conquerors, Inc. and University of Denver. </w:t>
      </w:r>
    </w:p>
    <w:p w:rsidRPr="00932244" w:rsidR="00932244" w:rsidP="00932244" w:rsidRDefault="000A3D8B" w14:paraId="43FB737D" w14:textId="6C7D5095">
      <w:pPr>
        <w:spacing w:after="60"/>
        <w:ind w:firstLine="432"/>
        <w:rPr>
          <w:b/>
          <w:bCs/>
          <w:iCs/>
        </w:rPr>
      </w:pPr>
      <w:r w:rsidRPr="000A3D8B">
        <w:rPr>
          <w:iCs/>
        </w:rPr>
        <w:t xml:space="preserve">The goal of the </w:t>
      </w:r>
      <w:r w:rsidR="0090542E">
        <w:rPr>
          <w:iCs/>
        </w:rPr>
        <w:t xml:space="preserve">STREAMS </w:t>
      </w:r>
      <w:r w:rsidRPr="000A3D8B">
        <w:rPr>
          <w:iCs/>
        </w:rPr>
        <w:t>impact study is to provide rigorous estimates of the effectiveness of program services and interventions to improve program implem</w:t>
      </w:r>
      <w:r w:rsidR="00E5120F">
        <w:rPr>
          <w:iCs/>
        </w:rPr>
        <w:t>entation</w:t>
      </w:r>
      <w:r w:rsidR="00B01385">
        <w:rPr>
          <w:iCs/>
        </w:rPr>
        <w:t xml:space="preserve"> in each of five sites</w:t>
      </w:r>
      <w:r w:rsidR="00E5120F">
        <w:rPr>
          <w:iCs/>
        </w:rPr>
        <w:t xml:space="preserve">. As shown in Table A.1, each site involves a different target population and addresses one or more distinct research questions. </w:t>
      </w:r>
      <w:r w:rsidR="00E92C3A">
        <w:rPr>
          <w:iCs/>
        </w:rPr>
        <w:t>One site assesses the effectiveness of HMRE programming for youth</w:t>
      </w:r>
      <w:r w:rsidR="00B13D71">
        <w:rPr>
          <w:iCs/>
        </w:rPr>
        <w:t xml:space="preserve"> in high schools</w:t>
      </w:r>
      <w:r w:rsidR="00E92C3A">
        <w:rPr>
          <w:iCs/>
        </w:rPr>
        <w:t xml:space="preserve">. The </w:t>
      </w:r>
      <w:r w:rsidR="00577DD1">
        <w:rPr>
          <w:iCs/>
        </w:rPr>
        <w:t xml:space="preserve">four </w:t>
      </w:r>
      <w:r w:rsidR="00E92C3A">
        <w:rPr>
          <w:iCs/>
        </w:rPr>
        <w:t>other sites focus on adult samples.</w:t>
      </w:r>
      <w:r w:rsidR="00932244">
        <w:rPr>
          <w:iCs/>
        </w:rPr>
        <w:t xml:space="preserve"> </w:t>
      </w:r>
      <w:r w:rsidRPr="00932244" w:rsidR="00932244">
        <w:rPr>
          <w:bCs/>
          <w:iCs/>
        </w:rPr>
        <w:t xml:space="preserve">The goal of the STREAMS process study is to support the interpretation of impact findings and document program operations to support future replication. </w:t>
      </w:r>
    </w:p>
    <w:p w:rsidRPr="0029050D" w:rsidR="000818D6" w:rsidP="0029050D" w:rsidRDefault="000818D6" w14:paraId="208A5535" w14:textId="77777777">
      <w:pPr>
        <w:spacing w:after="60"/>
        <w:ind w:firstLine="432"/>
      </w:pPr>
    </w:p>
    <w:p w:rsidRPr="000818D6" w:rsidR="000818D6" w:rsidP="00E92C3A" w:rsidRDefault="000818D6" w14:paraId="75F3A113" w14:textId="77777777">
      <w:pPr>
        <w:rPr>
          <w:b/>
        </w:rPr>
      </w:pPr>
      <w:r w:rsidRPr="000818D6">
        <w:rPr>
          <w:b/>
        </w:rPr>
        <w:t xml:space="preserve">Table A.1. </w:t>
      </w:r>
      <w:r w:rsidR="00E92C3A">
        <w:rPr>
          <w:b/>
        </w:rPr>
        <w:t xml:space="preserve">Overview of </w:t>
      </w:r>
      <w:r w:rsidRPr="000818D6">
        <w:rPr>
          <w:b/>
        </w:rPr>
        <w:t xml:space="preserve">STREAMS </w:t>
      </w:r>
      <w:r w:rsidR="00E92C3A">
        <w:rPr>
          <w:b/>
        </w:rPr>
        <w:t>impact study sites</w:t>
      </w:r>
    </w:p>
    <w:tbl>
      <w:tblPr>
        <w:tblW w:w="0" w:type="auto"/>
        <w:tblBorders>
          <w:bottom w:val="single" w:color="auto" w:sz="4" w:space="0"/>
        </w:tblBorders>
        <w:tblLook w:val="04A0" w:firstRow="1" w:lastRow="0" w:firstColumn="1" w:lastColumn="0" w:noHBand="0" w:noVBand="1"/>
      </w:tblPr>
      <w:tblGrid>
        <w:gridCol w:w="1519"/>
        <w:gridCol w:w="2163"/>
        <w:gridCol w:w="1342"/>
        <w:gridCol w:w="2894"/>
        <w:gridCol w:w="1442"/>
      </w:tblGrid>
      <w:tr w:rsidRPr="000818D6" w:rsidR="0041227F" w:rsidTr="00C83642" w14:paraId="0EA0D742" w14:textId="77777777">
        <w:tc>
          <w:tcPr>
            <w:tcW w:w="0" w:type="auto"/>
            <w:shd w:val="clear" w:color="auto" w:fill="6C6F70"/>
            <w:vAlign w:val="bottom"/>
          </w:tcPr>
          <w:p w:rsidRPr="000818D6" w:rsidR="00C83642" w:rsidP="00560538" w:rsidRDefault="00C83642" w14:paraId="1E775967" w14:textId="77777777">
            <w:pPr>
              <w:spacing w:before="120" w:after="60"/>
              <w:rPr>
                <w:rFonts w:ascii="Arial" w:hAnsi="Arial"/>
                <w:b/>
                <w:color w:val="FFFFFF"/>
                <w:sz w:val="18"/>
                <w:szCs w:val="18"/>
              </w:rPr>
            </w:pPr>
            <w:r w:rsidRPr="000818D6">
              <w:rPr>
                <w:rFonts w:ascii="Arial" w:hAnsi="Arial"/>
                <w:b/>
                <w:color w:val="FFFFFF"/>
                <w:sz w:val="18"/>
                <w:szCs w:val="18"/>
              </w:rPr>
              <w:t>Grantee</w:t>
            </w:r>
          </w:p>
        </w:tc>
        <w:tc>
          <w:tcPr>
            <w:tcW w:w="0" w:type="auto"/>
            <w:shd w:val="clear" w:color="auto" w:fill="6C6F70"/>
            <w:vAlign w:val="bottom"/>
          </w:tcPr>
          <w:p w:rsidRPr="000818D6" w:rsidR="00C83642" w:rsidP="00560538" w:rsidRDefault="00C83642" w14:paraId="63AD95DD" w14:textId="77777777">
            <w:pPr>
              <w:spacing w:before="120" w:after="60"/>
              <w:rPr>
                <w:rFonts w:ascii="Arial" w:hAnsi="Arial"/>
                <w:b/>
                <w:color w:val="FFFFFF"/>
                <w:sz w:val="18"/>
                <w:szCs w:val="18"/>
              </w:rPr>
            </w:pPr>
            <w:r>
              <w:rPr>
                <w:rFonts w:ascii="Arial" w:hAnsi="Arial"/>
                <w:b/>
                <w:color w:val="FFFFFF"/>
                <w:sz w:val="18"/>
                <w:szCs w:val="18"/>
              </w:rPr>
              <w:t>Target population</w:t>
            </w:r>
          </w:p>
        </w:tc>
        <w:tc>
          <w:tcPr>
            <w:tcW w:w="0" w:type="auto"/>
            <w:shd w:val="clear" w:color="auto" w:fill="6C6F70"/>
            <w:vAlign w:val="bottom"/>
          </w:tcPr>
          <w:p w:rsidRPr="000818D6" w:rsidR="00C83642" w:rsidP="00560538" w:rsidRDefault="00C83642" w14:paraId="155B2A23" w14:textId="77777777">
            <w:pPr>
              <w:spacing w:before="120" w:after="60"/>
              <w:rPr>
                <w:rFonts w:ascii="Arial" w:hAnsi="Arial"/>
                <w:b/>
                <w:color w:val="FFFFFF"/>
                <w:sz w:val="18"/>
                <w:szCs w:val="18"/>
              </w:rPr>
            </w:pPr>
            <w:r w:rsidRPr="000818D6">
              <w:rPr>
                <w:rFonts w:ascii="Arial" w:hAnsi="Arial"/>
                <w:b/>
                <w:color w:val="FFFFFF"/>
                <w:sz w:val="18"/>
                <w:szCs w:val="18"/>
              </w:rPr>
              <w:t>HMRE curriculum</w:t>
            </w:r>
          </w:p>
        </w:tc>
        <w:tc>
          <w:tcPr>
            <w:tcW w:w="0" w:type="auto"/>
            <w:shd w:val="clear" w:color="auto" w:fill="6C6F70"/>
            <w:vAlign w:val="bottom"/>
          </w:tcPr>
          <w:p w:rsidRPr="000818D6" w:rsidR="00C83642" w:rsidP="00560538" w:rsidRDefault="00C83642" w14:paraId="656C34F0" w14:textId="77777777">
            <w:pPr>
              <w:spacing w:before="120" w:after="60"/>
              <w:rPr>
                <w:rFonts w:ascii="Arial" w:hAnsi="Arial"/>
                <w:b/>
                <w:color w:val="FFFFFF"/>
                <w:sz w:val="18"/>
                <w:szCs w:val="18"/>
              </w:rPr>
            </w:pPr>
            <w:r w:rsidRPr="000818D6">
              <w:rPr>
                <w:rFonts w:ascii="Arial" w:hAnsi="Arial"/>
                <w:b/>
                <w:color w:val="FFFFFF"/>
                <w:sz w:val="18"/>
                <w:szCs w:val="18"/>
              </w:rPr>
              <w:t>Primary research questions</w:t>
            </w:r>
          </w:p>
        </w:tc>
        <w:tc>
          <w:tcPr>
            <w:tcW w:w="0" w:type="auto"/>
            <w:shd w:val="clear" w:color="auto" w:fill="6C6F70"/>
          </w:tcPr>
          <w:p w:rsidRPr="000818D6" w:rsidR="00C83642" w:rsidP="00560538" w:rsidRDefault="0041227F" w14:paraId="0337CC2F" w14:textId="77777777">
            <w:pPr>
              <w:spacing w:before="120" w:after="60"/>
              <w:rPr>
                <w:rFonts w:ascii="Arial" w:hAnsi="Arial"/>
                <w:b/>
                <w:color w:val="FFFFFF"/>
                <w:sz w:val="18"/>
                <w:szCs w:val="18"/>
              </w:rPr>
            </w:pPr>
            <w:r>
              <w:rPr>
                <w:rFonts w:ascii="Arial" w:hAnsi="Arial"/>
                <w:b/>
                <w:color w:val="FFFFFF"/>
                <w:sz w:val="18"/>
                <w:szCs w:val="18"/>
              </w:rPr>
              <w:t xml:space="preserve">Information collection </w:t>
            </w:r>
          </w:p>
        </w:tc>
      </w:tr>
      <w:tr w:rsidRPr="000818D6" w:rsidR="0041227F" w:rsidTr="00C83642" w14:paraId="54FA86C7" w14:textId="77777777">
        <w:trPr>
          <w:trHeight w:val="1088"/>
        </w:trPr>
        <w:tc>
          <w:tcPr>
            <w:tcW w:w="0" w:type="auto"/>
            <w:tcBorders>
              <w:top w:val="single" w:color="auto" w:sz="4" w:space="0"/>
            </w:tcBorders>
            <w:shd w:val="clear" w:color="auto" w:fill="auto"/>
            <w:vAlign w:val="center"/>
          </w:tcPr>
          <w:p w:rsidRPr="000818D6" w:rsidR="00C83642" w:rsidP="000818D6" w:rsidRDefault="00C83642" w14:paraId="4B6EAA96" w14:textId="77777777">
            <w:pPr>
              <w:rPr>
                <w:rFonts w:ascii="Arial" w:hAnsi="Arial"/>
                <w:sz w:val="18"/>
                <w:szCs w:val="20"/>
              </w:rPr>
            </w:pPr>
            <w:r w:rsidRPr="000818D6">
              <w:rPr>
                <w:rFonts w:ascii="Arial" w:hAnsi="Arial"/>
                <w:sz w:val="18"/>
                <w:szCs w:val="20"/>
              </w:rPr>
              <w:t>More Than Conquerors, Inc.</w:t>
            </w:r>
          </w:p>
        </w:tc>
        <w:tc>
          <w:tcPr>
            <w:tcW w:w="0" w:type="auto"/>
            <w:tcBorders>
              <w:top w:val="single" w:color="auto" w:sz="4" w:space="0"/>
            </w:tcBorders>
            <w:shd w:val="clear" w:color="auto" w:fill="auto"/>
            <w:vAlign w:val="center"/>
          </w:tcPr>
          <w:p w:rsidRPr="000818D6" w:rsidR="00C83642" w:rsidP="00560538" w:rsidRDefault="00C83642" w14:paraId="6F932264" w14:textId="77777777">
            <w:pPr>
              <w:autoSpaceDE w:val="0"/>
              <w:autoSpaceDN w:val="0"/>
              <w:adjustRightInd w:val="0"/>
              <w:rPr>
                <w:rFonts w:ascii="Arial" w:hAnsi="Arial" w:cs="Arial"/>
                <w:color w:val="000000"/>
                <w:sz w:val="18"/>
                <w:szCs w:val="18"/>
              </w:rPr>
            </w:pPr>
            <w:r w:rsidRPr="000818D6">
              <w:rPr>
                <w:rFonts w:ascii="Arial" w:hAnsi="Arial" w:cs="Arial"/>
                <w:color w:val="000000"/>
                <w:sz w:val="18"/>
                <w:szCs w:val="18"/>
              </w:rPr>
              <w:t xml:space="preserve">1,900 students from two Atlanta, Georgia-area high schools </w:t>
            </w:r>
          </w:p>
          <w:p w:rsidRPr="000818D6" w:rsidR="00C83642" w:rsidP="000818D6" w:rsidRDefault="00C83642" w14:paraId="7A9B57BA" w14:textId="77777777">
            <w:pPr>
              <w:rPr>
                <w:rFonts w:ascii="Arial" w:hAnsi="Arial"/>
                <w:sz w:val="18"/>
                <w:szCs w:val="20"/>
              </w:rPr>
            </w:pPr>
          </w:p>
        </w:tc>
        <w:tc>
          <w:tcPr>
            <w:tcW w:w="0" w:type="auto"/>
            <w:tcBorders>
              <w:top w:val="single" w:color="auto" w:sz="4" w:space="0"/>
            </w:tcBorders>
            <w:shd w:val="clear" w:color="auto" w:fill="auto"/>
            <w:vAlign w:val="center"/>
          </w:tcPr>
          <w:p w:rsidRPr="000818D6" w:rsidR="00C83642" w:rsidP="000818D6" w:rsidRDefault="00C83642" w14:paraId="34816F16" w14:textId="77777777">
            <w:pPr>
              <w:rPr>
                <w:rFonts w:ascii="Arial" w:hAnsi="Arial"/>
                <w:i/>
                <w:sz w:val="18"/>
                <w:szCs w:val="20"/>
              </w:rPr>
            </w:pPr>
            <w:r w:rsidRPr="000818D6">
              <w:rPr>
                <w:rFonts w:ascii="Arial" w:hAnsi="Arial"/>
                <w:i/>
                <w:sz w:val="18"/>
                <w:szCs w:val="20"/>
              </w:rPr>
              <w:t>Relationship Smarts Plus</w:t>
            </w:r>
          </w:p>
        </w:tc>
        <w:tc>
          <w:tcPr>
            <w:tcW w:w="0" w:type="auto"/>
            <w:tcBorders>
              <w:top w:val="single" w:color="auto" w:sz="4" w:space="0"/>
            </w:tcBorders>
            <w:shd w:val="clear" w:color="auto" w:fill="auto"/>
            <w:vAlign w:val="center"/>
          </w:tcPr>
          <w:p w:rsidRPr="000818D6" w:rsidR="00C83642" w:rsidP="00560538" w:rsidRDefault="00C83642" w14:paraId="648F63D9" w14:textId="77777777">
            <w:pPr>
              <w:autoSpaceDE w:val="0"/>
              <w:autoSpaceDN w:val="0"/>
              <w:adjustRightInd w:val="0"/>
              <w:rPr>
                <w:rFonts w:ascii="Arial" w:hAnsi="Arial" w:cs="Arial"/>
                <w:color w:val="000000"/>
                <w:sz w:val="18"/>
                <w:szCs w:val="18"/>
              </w:rPr>
            </w:pPr>
            <w:r w:rsidRPr="000818D6">
              <w:rPr>
                <w:rFonts w:ascii="Arial" w:hAnsi="Arial" w:cs="Arial"/>
                <w:color w:val="000000"/>
                <w:sz w:val="18"/>
                <w:szCs w:val="18"/>
              </w:rPr>
              <w:t xml:space="preserve">What is the effect of offering relationship skills education as part of the regular school curriculum? </w:t>
            </w:r>
          </w:p>
          <w:p w:rsidRPr="000818D6" w:rsidR="00C83642" w:rsidP="00560538" w:rsidRDefault="00C83642" w14:paraId="6BF67942" w14:textId="77777777">
            <w:pPr>
              <w:autoSpaceDE w:val="0"/>
              <w:autoSpaceDN w:val="0"/>
              <w:adjustRightInd w:val="0"/>
              <w:rPr>
                <w:rFonts w:ascii="Arial" w:hAnsi="Arial" w:cs="Arial"/>
                <w:color w:val="000000"/>
                <w:sz w:val="18"/>
                <w:szCs w:val="18"/>
              </w:rPr>
            </w:pPr>
          </w:p>
          <w:p w:rsidRPr="000818D6" w:rsidR="00C83642" w:rsidP="00560538" w:rsidRDefault="00C83642" w14:paraId="6996DBB9" w14:textId="77777777">
            <w:pPr>
              <w:autoSpaceDE w:val="0"/>
              <w:autoSpaceDN w:val="0"/>
              <w:adjustRightInd w:val="0"/>
              <w:rPr>
                <w:rFonts w:ascii="Arial" w:hAnsi="Arial" w:cs="Arial"/>
                <w:color w:val="000000"/>
                <w:sz w:val="18"/>
                <w:szCs w:val="18"/>
              </w:rPr>
            </w:pPr>
            <w:r w:rsidRPr="000818D6">
              <w:rPr>
                <w:rFonts w:ascii="Arial" w:hAnsi="Arial" w:cs="Arial"/>
                <w:color w:val="000000"/>
                <w:sz w:val="18"/>
                <w:szCs w:val="18"/>
              </w:rPr>
              <w:t xml:space="preserve">How does abbreviating the curriculum influence program effects? </w:t>
            </w:r>
          </w:p>
          <w:p w:rsidRPr="000818D6" w:rsidR="00C83642" w:rsidP="000818D6" w:rsidRDefault="00C83642" w14:paraId="5B78470F" w14:textId="77777777">
            <w:pPr>
              <w:rPr>
                <w:rFonts w:ascii="Arial" w:hAnsi="Arial"/>
                <w:sz w:val="18"/>
                <w:szCs w:val="20"/>
              </w:rPr>
            </w:pPr>
          </w:p>
        </w:tc>
        <w:tc>
          <w:tcPr>
            <w:tcW w:w="0" w:type="auto"/>
            <w:tcBorders>
              <w:top w:val="single" w:color="auto" w:sz="4" w:space="0"/>
            </w:tcBorders>
          </w:tcPr>
          <w:p w:rsidR="00C83642" w:rsidP="00560538" w:rsidRDefault="0041227F" w14:paraId="304AF825" w14:textId="77777777">
            <w:pPr>
              <w:autoSpaceDE w:val="0"/>
              <w:autoSpaceDN w:val="0"/>
              <w:adjustRightInd w:val="0"/>
              <w:rPr>
                <w:rFonts w:ascii="Arial" w:hAnsi="Arial" w:cs="Arial"/>
                <w:color w:val="000000"/>
                <w:sz w:val="18"/>
                <w:szCs w:val="18"/>
              </w:rPr>
            </w:pPr>
            <w:r>
              <w:rPr>
                <w:rFonts w:ascii="Arial" w:hAnsi="Arial" w:cs="Arial"/>
                <w:color w:val="000000"/>
                <w:sz w:val="18"/>
                <w:szCs w:val="18"/>
              </w:rPr>
              <w:t>Baseline survey</w:t>
            </w:r>
          </w:p>
          <w:p w:rsidR="0041227F" w:rsidP="00560538" w:rsidRDefault="0041227F" w14:paraId="471E7A48" w14:textId="77777777">
            <w:pPr>
              <w:autoSpaceDE w:val="0"/>
              <w:autoSpaceDN w:val="0"/>
              <w:adjustRightInd w:val="0"/>
              <w:rPr>
                <w:rFonts w:ascii="Arial" w:hAnsi="Arial" w:cs="Arial"/>
                <w:color w:val="000000"/>
                <w:sz w:val="18"/>
                <w:szCs w:val="18"/>
              </w:rPr>
            </w:pPr>
            <w:r>
              <w:rPr>
                <w:rFonts w:ascii="Arial" w:hAnsi="Arial" w:cs="Arial"/>
                <w:color w:val="000000"/>
                <w:sz w:val="18"/>
                <w:szCs w:val="18"/>
              </w:rPr>
              <w:t>Follow-up survey</w:t>
            </w:r>
          </w:p>
          <w:p w:rsidRPr="000818D6" w:rsidR="0041227F" w:rsidP="00560538" w:rsidRDefault="0041227F" w14:paraId="77460A00" w14:textId="77777777">
            <w:pPr>
              <w:autoSpaceDE w:val="0"/>
              <w:autoSpaceDN w:val="0"/>
              <w:adjustRightInd w:val="0"/>
              <w:rPr>
                <w:rFonts w:ascii="Arial" w:hAnsi="Arial" w:cs="Arial"/>
                <w:color w:val="000000"/>
                <w:sz w:val="18"/>
                <w:szCs w:val="18"/>
              </w:rPr>
            </w:pPr>
            <w:r>
              <w:rPr>
                <w:rFonts w:ascii="Arial" w:hAnsi="Arial" w:cs="Arial"/>
                <w:color w:val="000000"/>
                <w:sz w:val="18"/>
                <w:szCs w:val="18"/>
              </w:rPr>
              <w:t>Second follow-up survey</w:t>
            </w:r>
          </w:p>
        </w:tc>
      </w:tr>
      <w:tr w:rsidRPr="000818D6" w:rsidR="0041227F" w:rsidTr="00C83642" w14:paraId="4C8F3AC5" w14:textId="77777777">
        <w:tc>
          <w:tcPr>
            <w:tcW w:w="0" w:type="auto"/>
            <w:tcBorders>
              <w:top w:val="single" w:color="auto" w:sz="4" w:space="0"/>
              <w:bottom w:val="single" w:color="auto" w:sz="4" w:space="0"/>
            </w:tcBorders>
            <w:shd w:val="clear" w:color="auto" w:fill="auto"/>
            <w:vAlign w:val="center"/>
          </w:tcPr>
          <w:p w:rsidRPr="000818D6" w:rsidR="00C83642" w:rsidP="000818D6" w:rsidRDefault="00C83642" w14:paraId="2A1165F9" w14:textId="77777777">
            <w:pPr>
              <w:rPr>
                <w:rFonts w:ascii="Arial" w:hAnsi="Arial"/>
                <w:sz w:val="18"/>
                <w:szCs w:val="20"/>
              </w:rPr>
            </w:pPr>
            <w:r w:rsidRPr="000818D6">
              <w:rPr>
                <w:rFonts w:ascii="Arial" w:hAnsi="Arial"/>
                <w:sz w:val="18"/>
                <w:szCs w:val="20"/>
              </w:rPr>
              <w:t>University of Denver</w:t>
            </w:r>
          </w:p>
        </w:tc>
        <w:tc>
          <w:tcPr>
            <w:tcW w:w="0" w:type="auto"/>
            <w:tcBorders>
              <w:top w:val="single" w:color="auto" w:sz="4" w:space="0"/>
              <w:bottom w:val="single" w:color="auto" w:sz="4" w:space="0"/>
            </w:tcBorders>
            <w:shd w:val="clear" w:color="auto" w:fill="auto"/>
            <w:vAlign w:val="center"/>
          </w:tcPr>
          <w:p w:rsidRPr="000818D6" w:rsidR="00C83642" w:rsidP="00560538" w:rsidRDefault="00C83642" w14:paraId="7881C796" w14:textId="77777777">
            <w:pPr>
              <w:autoSpaceDE w:val="0"/>
              <w:autoSpaceDN w:val="0"/>
              <w:adjustRightInd w:val="0"/>
              <w:rPr>
                <w:rFonts w:ascii="Arial" w:hAnsi="Arial" w:cs="Arial"/>
                <w:color w:val="000000"/>
                <w:sz w:val="18"/>
                <w:szCs w:val="18"/>
              </w:rPr>
            </w:pPr>
            <w:r w:rsidRPr="000818D6">
              <w:rPr>
                <w:rFonts w:ascii="Arial" w:hAnsi="Arial" w:cs="Arial"/>
                <w:color w:val="000000"/>
                <w:sz w:val="18"/>
                <w:szCs w:val="18"/>
              </w:rPr>
              <w:t xml:space="preserve">1,000 low-income pregnant women or new mothers from the Denver Health hospital system in Colorado </w:t>
            </w:r>
          </w:p>
          <w:p w:rsidRPr="000818D6" w:rsidR="00C83642" w:rsidP="000818D6" w:rsidRDefault="00C83642" w14:paraId="25D2C64C" w14:textId="77777777">
            <w:pPr>
              <w:rPr>
                <w:rFonts w:ascii="Arial" w:hAnsi="Arial"/>
                <w:sz w:val="18"/>
                <w:szCs w:val="20"/>
              </w:rPr>
            </w:pPr>
          </w:p>
        </w:tc>
        <w:tc>
          <w:tcPr>
            <w:tcW w:w="0" w:type="auto"/>
            <w:tcBorders>
              <w:top w:val="single" w:color="auto" w:sz="4" w:space="0"/>
              <w:bottom w:val="single" w:color="auto" w:sz="4" w:space="0"/>
            </w:tcBorders>
            <w:shd w:val="clear" w:color="auto" w:fill="auto"/>
            <w:vAlign w:val="center"/>
          </w:tcPr>
          <w:p w:rsidRPr="000818D6" w:rsidR="00C83642" w:rsidP="000818D6" w:rsidRDefault="00C83642" w14:paraId="220E0E61" w14:textId="77777777">
            <w:pPr>
              <w:rPr>
                <w:rFonts w:ascii="Arial" w:hAnsi="Arial"/>
                <w:i/>
                <w:sz w:val="18"/>
                <w:szCs w:val="20"/>
              </w:rPr>
            </w:pPr>
            <w:r w:rsidRPr="000818D6">
              <w:rPr>
                <w:rFonts w:ascii="Arial" w:hAnsi="Arial"/>
                <w:i/>
                <w:sz w:val="18"/>
                <w:szCs w:val="20"/>
              </w:rPr>
              <w:t>Within My Reach</w:t>
            </w:r>
          </w:p>
        </w:tc>
        <w:tc>
          <w:tcPr>
            <w:tcW w:w="0" w:type="auto"/>
            <w:tcBorders>
              <w:top w:val="single" w:color="auto" w:sz="4" w:space="0"/>
              <w:bottom w:val="single" w:color="auto" w:sz="4" w:space="0"/>
            </w:tcBorders>
            <w:shd w:val="clear" w:color="auto" w:fill="auto"/>
            <w:vAlign w:val="center"/>
          </w:tcPr>
          <w:p w:rsidRPr="000818D6" w:rsidR="00C83642" w:rsidP="000818D6" w:rsidRDefault="00C83642" w14:paraId="104A5EA1" w14:textId="77777777">
            <w:pPr>
              <w:rPr>
                <w:rFonts w:ascii="Arial" w:hAnsi="Arial"/>
                <w:sz w:val="18"/>
                <w:szCs w:val="20"/>
              </w:rPr>
            </w:pPr>
            <w:r w:rsidRPr="000818D6">
              <w:rPr>
                <w:rFonts w:ascii="Arial" w:hAnsi="Arial"/>
                <w:sz w:val="18"/>
                <w:szCs w:val="20"/>
              </w:rPr>
              <w:t>What is the effect on adult relationship quality and stability of offering relationship skills education</w:t>
            </w:r>
            <w:r w:rsidRPr="000818D6">
              <w:rPr>
                <w:rFonts w:ascii="Arial" w:hAnsi="Arial"/>
                <w:i/>
                <w:sz w:val="18"/>
                <w:szCs w:val="20"/>
              </w:rPr>
              <w:t xml:space="preserve"> </w:t>
            </w:r>
            <w:r w:rsidRPr="000818D6">
              <w:rPr>
                <w:rFonts w:ascii="Arial" w:hAnsi="Arial"/>
                <w:sz w:val="18"/>
                <w:szCs w:val="20"/>
              </w:rPr>
              <w:t>and other support services to low-income pregnant women?</w:t>
            </w:r>
          </w:p>
        </w:tc>
        <w:tc>
          <w:tcPr>
            <w:tcW w:w="0" w:type="auto"/>
            <w:tcBorders>
              <w:top w:val="single" w:color="auto" w:sz="4" w:space="0"/>
              <w:bottom w:val="single" w:color="auto" w:sz="4" w:space="0"/>
            </w:tcBorders>
          </w:tcPr>
          <w:p w:rsidRPr="0041227F" w:rsidR="0041227F" w:rsidP="0041227F" w:rsidRDefault="0041227F" w14:paraId="101D1398" w14:textId="77777777">
            <w:pPr>
              <w:rPr>
                <w:rFonts w:ascii="Arial" w:hAnsi="Arial"/>
                <w:sz w:val="18"/>
                <w:szCs w:val="20"/>
              </w:rPr>
            </w:pPr>
            <w:r w:rsidRPr="0041227F">
              <w:rPr>
                <w:rFonts w:ascii="Arial" w:hAnsi="Arial"/>
                <w:sz w:val="18"/>
                <w:szCs w:val="20"/>
              </w:rPr>
              <w:t>Baseline survey</w:t>
            </w:r>
          </w:p>
          <w:p w:rsidRPr="0041227F" w:rsidR="0041227F" w:rsidP="0041227F" w:rsidRDefault="0041227F" w14:paraId="46855E2C" w14:textId="77777777">
            <w:pPr>
              <w:rPr>
                <w:rFonts w:ascii="Arial" w:hAnsi="Arial"/>
                <w:sz w:val="18"/>
                <w:szCs w:val="20"/>
              </w:rPr>
            </w:pPr>
            <w:r w:rsidRPr="0041227F">
              <w:rPr>
                <w:rFonts w:ascii="Arial" w:hAnsi="Arial"/>
                <w:sz w:val="18"/>
                <w:szCs w:val="20"/>
              </w:rPr>
              <w:t>Follow-up survey</w:t>
            </w:r>
          </w:p>
          <w:p w:rsidRPr="000818D6" w:rsidR="00C83642" w:rsidP="0041227F" w:rsidRDefault="0041227F" w14:paraId="057AA16B" w14:textId="77777777">
            <w:pPr>
              <w:rPr>
                <w:rFonts w:ascii="Arial" w:hAnsi="Arial"/>
                <w:sz w:val="18"/>
                <w:szCs w:val="20"/>
              </w:rPr>
            </w:pPr>
            <w:r w:rsidRPr="0041227F">
              <w:rPr>
                <w:rFonts w:ascii="Arial" w:hAnsi="Arial"/>
                <w:sz w:val="18"/>
                <w:szCs w:val="20"/>
              </w:rPr>
              <w:t>Second follow-up survey</w:t>
            </w:r>
          </w:p>
        </w:tc>
      </w:tr>
      <w:tr w:rsidRPr="000818D6" w:rsidR="0041227F" w:rsidTr="00C83642" w14:paraId="1149AA5F" w14:textId="77777777">
        <w:trPr>
          <w:trHeight w:val="963"/>
        </w:trPr>
        <w:tc>
          <w:tcPr>
            <w:tcW w:w="0" w:type="auto"/>
            <w:tcBorders>
              <w:bottom w:val="single" w:color="auto" w:sz="4" w:space="0"/>
            </w:tcBorders>
            <w:shd w:val="clear" w:color="auto" w:fill="auto"/>
            <w:vAlign w:val="center"/>
          </w:tcPr>
          <w:p w:rsidRPr="000818D6" w:rsidR="00C83642" w:rsidP="000818D6" w:rsidRDefault="00C83642" w14:paraId="2DCE7A8C" w14:textId="77777777">
            <w:pPr>
              <w:rPr>
                <w:rFonts w:ascii="Arial" w:hAnsi="Arial"/>
                <w:sz w:val="18"/>
                <w:szCs w:val="20"/>
              </w:rPr>
            </w:pPr>
            <w:r w:rsidRPr="000818D6">
              <w:rPr>
                <w:rFonts w:ascii="Arial" w:hAnsi="Arial"/>
                <w:sz w:val="18"/>
                <w:szCs w:val="20"/>
              </w:rPr>
              <w:lastRenderedPageBreak/>
              <w:t>The Parenting Center</w:t>
            </w:r>
          </w:p>
        </w:tc>
        <w:tc>
          <w:tcPr>
            <w:tcW w:w="0" w:type="auto"/>
            <w:tcBorders>
              <w:bottom w:val="single" w:color="auto" w:sz="4" w:space="0"/>
            </w:tcBorders>
            <w:shd w:val="clear" w:color="auto" w:fill="auto"/>
            <w:vAlign w:val="center"/>
          </w:tcPr>
          <w:p w:rsidRPr="000818D6" w:rsidR="00C83642" w:rsidP="00560538" w:rsidRDefault="00C83642" w14:paraId="654024AC" w14:textId="77777777">
            <w:pPr>
              <w:autoSpaceDE w:val="0"/>
              <w:autoSpaceDN w:val="0"/>
              <w:adjustRightInd w:val="0"/>
              <w:rPr>
                <w:rFonts w:ascii="Arial" w:hAnsi="Arial" w:cs="Arial"/>
                <w:color w:val="000000"/>
                <w:sz w:val="18"/>
                <w:szCs w:val="18"/>
              </w:rPr>
            </w:pPr>
            <w:r w:rsidRPr="000818D6">
              <w:rPr>
                <w:rFonts w:ascii="Arial" w:hAnsi="Arial" w:cs="Arial"/>
                <w:color w:val="000000"/>
                <w:sz w:val="18"/>
                <w:szCs w:val="18"/>
              </w:rPr>
              <w:t xml:space="preserve">900 low-income romantically involved couples in Fort Worth, Texas </w:t>
            </w:r>
          </w:p>
          <w:p w:rsidRPr="000818D6" w:rsidR="00C83642" w:rsidP="000818D6" w:rsidRDefault="00C83642" w14:paraId="68CBD630" w14:textId="77777777">
            <w:pPr>
              <w:rPr>
                <w:rFonts w:ascii="Arial" w:hAnsi="Arial"/>
                <w:sz w:val="18"/>
                <w:szCs w:val="20"/>
              </w:rPr>
            </w:pPr>
          </w:p>
        </w:tc>
        <w:tc>
          <w:tcPr>
            <w:tcW w:w="0" w:type="auto"/>
            <w:tcBorders>
              <w:bottom w:val="single" w:color="auto" w:sz="4" w:space="0"/>
            </w:tcBorders>
            <w:shd w:val="clear" w:color="auto" w:fill="auto"/>
            <w:vAlign w:val="center"/>
          </w:tcPr>
          <w:p w:rsidRPr="000818D6" w:rsidR="00C83642" w:rsidP="000818D6" w:rsidRDefault="00C83642" w14:paraId="6EE4EB5E" w14:textId="77777777">
            <w:pPr>
              <w:rPr>
                <w:rFonts w:ascii="Arial" w:hAnsi="Arial"/>
                <w:sz w:val="18"/>
                <w:szCs w:val="20"/>
              </w:rPr>
            </w:pPr>
            <w:r w:rsidRPr="000818D6">
              <w:rPr>
                <w:rFonts w:ascii="Arial" w:hAnsi="Arial"/>
                <w:i/>
                <w:sz w:val="18"/>
                <w:szCs w:val="20"/>
              </w:rPr>
              <w:t xml:space="preserve">Family Wellness </w:t>
            </w:r>
          </w:p>
        </w:tc>
        <w:tc>
          <w:tcPr>
            <w:tcW w:w="0" w:type="auto"/>
            <w:tcBorders>
              <w:bottom w:val="single" w:color="auto" w:sz="4" w:space="0"/>
            </w:tcBorders>
            <w:shd w:val="clear" w:color="auto" w:fill="auto"/>
            <w:vAlign w:val="center"/>
          </w:tcPr>
          <w:p w:rsidRPr="000818D6" w:rsidR="00C83642" w:rsidP="000818D6" w:rsidRDefault="00C83642" w14:paraId="5F265F9F" w14:textId="77777777">
            <w:pPr>
              <w:rPr>
                <w:rFonts w:ascii="Arial" w:hAnsi="Arial"/>
                <w:sz w:val="18"/>
                <w:szCs w:val="20"/>
              </w:rPr>
            </w:pPr>
            <w:r w:rsidRPr="000818D6">
              <w:rPr>
                <w:rFonts w:ascii="Arial" w:hAnsi="Arial"/>
                <w:sz w:val="18"/>
                <w:szCs w:val="20"/>
              </w:rPr>
              <w:t>How does an integrated approach to relationship skills and economic stability services affect the outcomes of participating couples?</w:t>
            </w:r>
          </w:p>
        </w:tc>
        <w:tc>
          <w:tcPr>
            <w:tcW w:w="0" w:type="auto"/>
            <w:tcBorders>
              <w:bottom w:val="single" w:color="auto" w:sz="4" w:space="0"/>
            </w:tcBorders>
          </w:tcPr>
          <w:p w:rsidRPr="0041227F" w:rsidR="0041227F" w:rsidP="0041227F" w:rsidRDefault="0041227F" w14:paraId="5E2F34F2" w14:textId="77777777">
            <w:pPr>
              <w:rPr>
                <w:rFonts w:ascii="Arial" w:hAnsi="Arial"/>
                <w:sz w:val="18"/>
                <w:szCs w:val="20"/>
              </w:rPr>
            </w:pPr>
            <w:r w:rsidRPr="0041227F">
              <w:rPr>
                <w:rFonts w:ascii="Arial" w:hAnsi="Arial"/>
                <w:sz w:val="18"/>
                <w:szCs w:val="20"/>
              </w:rPr>
              <w:t>Baseline survey</w:t>
            </w:r>
          </w:p>
          <w:p w:rsidRPr="0041227F" w:rsidR="0041227F" w:rsidP="0041227F" w:rsidRDefault="0041227F" w14:paraId="540F0E1E" w14:textId="77777777">
            <w:pPr>
              <w:rPr>
                <w:rFonts w:ascii="Arial" w:hAnsi="Arial"/>
                <w:sz w:val="18"/>
                <w:szCs w:val="20"/>
              </w:rPr>
            </w:pPr>
            <w:r w:rsidRPr="0041227F">
              <w:rPr>
                <w:rFonts w:ascii="Arial" w:hAnsi="Arial"/>
                <w:sz w:val="18"/>
                <w:szCs w:val="20"/>
              </w:rPr>
              <w:t>Follow-up survey</w:t>
            </w:r>
          </w:p>
          <w:p w:rsidRPr="000818D6" w:rsidR="00C83642" w:rsidP="0041227F" w:rsidRDefault="00C83642" w14:paraId="609D6572" w14:textId="77777777">
            <w:pPr>
              <w:rPr>
                <w:rFonts w:ascii="Arial" w:hAnsi="Arial"/>
                <w:sz w:val="18"/>
                <w:szCs w:val="20"/>
              </w:rPr>
            </w:pPr>
          </w:p>
        </w:tc>
      </w:tr>
      <w:tr w:rsidRPr="000818D6" w:rsidR="0041227F" w:rsidTr="00C83642" w14:paraId="4BAC0098" w14:textId="77777777">
        <w:tc>
          <w:tcPr>
            <w:tcW w:w="0" w:type="auto"/>
            <w:tcBorders>
              <w:top w:val="single" w:color="auto" w:sz="4" w:space="0"/>
              <w:bottom w:val="single" w:color="auto" w:sz="4" w:space="0"/>
            </w:tcBorders>
            <w:shd w:val="clear" w:color="auto" w:fill="auto"/>
            <w:vAlign w:val="center"/>
          </w:tcPr>
          <w:p w:rsidRPr="000818D6" w:rsidR="00C83642" w:rsidP="000818D6" w:rsidRDefault="00C83642" w14:paraId="5219BDD3" w14:textId="77777777">
            <w:pPr>
              <w:rPr>
                <w:rFonts w:ascii="Arial" w:hAnsi="Arial"/>
                <w:sz w:val="18"/>
                <w:szCs w:val="20"/>
              </w:rPr>
            </w:pPr>
            <w:r w:rsidRPr="000818D6">
              <w:rPr>
                <w:rFonts w:ascii="Arial" w:hAnsi="Arial"/>
                <w:sz w:val="18"/>
                <w:szCs w:val="20"/>
              </w:rPr>
              <w:t>Family and Workforce Centers of America</w:t>
            </w:r>
          </w:p>
        </w:tc>
        <w:tc>
          <w:tcPr>
            <w:tcW w:w="0" w:type="auto"/>
            <w:tcBorders>
              <w:top w:val="single" w:color="auto" w:sz="4" w:space="0"/>
              <w:bottom w:val="single" w:color="auto" w:sz="4" w:space="0"/>
            </w:tcBorders>
            <w:shd w:val="clear" w:color="auto" w:fill="auto"/>
            <w:vAlign w:val="center"/>
          </w:tcPr>
          <w:p w:rsidRPr="000818D6" w:rsidR="00C83642" w:rsidP="00560538" w:rsidRDefault="00C83642" w14:paraId="40943426" w14:textId="77777777">
            <w:pPr>
              <w:autoSpaceDE w:val="0"/>
              <w:autoSpaceDN w:val="0"/>
              <w:adjustRightInd w:val="0"/>
              <w:rPr>
                <w:rFonts w:ascii="Arial" w:hAnsi="Arial" w:cs="Arial"/>
                <w:color w:val="000000"/>
                <w:sz w:val="18"/>
                <w:szCs w:val="18"/>
              </w:rPr>
            </w:pPr>
            <w:r w:rsidRPr="000818D6">
              <w:rPr>
                <w:rFonts w:ascii="Arial" w:hAnsi="Arial" w:cs="Arial"/>
                <w:color w:val="000000"/>
                <w:sz w:val="18"/>
                <w:szCs w:val="18"/>
              </w:rPr>
              <w:t xml:space="preserve">900 low-income job seekers from an employment center in St. Louis, Missouri </w:t>
            </w:r>
          </w:p>
          <w:p w:rsidRPr="000818D6" w:rsidR="00C83642" w:rsidP="000818D6" w:rsidRDefault="00C83642" w14:paraId="10A1703F" w14:textId="77777777">
            <w:pPr>
              <w:rPr>
                <w:rFonts w:ascii="Arial" w:hAnsi="Arial"/>
                <w:sz w:val="18"/>
                <w:szCs w:val="20"/>
              </w:rPr>
            </w:pPr>
          </w:p>
        </w:tc>
        <w:tc>
          <w:tcPr>
            <w:tcW w:w="0" w:type="auto"/>
            <w:tcBorders>
              <w:top w:val="single" w:color="auto" w:sz="4" w:space="0"/>
              <w:bottom w:val="single" w:color="auto" w:sz="4" w:space="0"/>
            </w:tcBorders>
            <w:shd w:val="clear" w:color="auto" w:fill="auto"/>
            <w:vAlign w:val="center"/>
          </w:tcPr>
          <w:p w:rsidRPr="000818D6" w:rsidR="00C83642" w:rsidP="000818D6" w:rsidRDefault="00C83642" w14:paraId="1C5BDD95" w14:textId="77777777">
            <w:pPr>
              <w:rPr>
                <w:rFonts w:ascii="Arial" w:hAnsi="Arial"/>
                <w:i/>
                <w:sz w:val="18"/>
                <w:szCs w:val="20"/>
              </w:rPr>
            </w:pPr>
            <w:r w:rsidRPr="000818D6">
              <w:rPr>
                <w:rFonts w:ascii="Arial" w:hAnsi="Arial"/>
                <w:i/>
                <w:sz w:val="18"/>
                <w:szCs w:val="20"/>
              </w:rPr>
              <w:t>Within My Reach</w:t>
            </w:r>
          </w:p>
        </w:tc>
        <w:tc>
          <w:tcPr>
            <w:tcW w:w="0" w:type="auto"/>
            <w:tcBorders>
              <w:top w:val="single" w:color="auto" w:sz="4" w:space="0"/>
              <w:bottom w:val="single" w:color="auto" w:sz="4" w:space="0"/>
            </w:tcBorders>
            <w:shd w:val="clear" w:color="auto" w:fill="auto"/>
            <w:vAlign w:val="center"/>
          </w:tcPr>
          <w:p w:rsidRPr="000818D6" w:rsidR="00C83642" w:rsidP="000818D6" w:rsidRDefault="00C83642" w14:paraId="0B50558E" w14:textId="77777777">
            <w:pPr>
              <w:rPr>
                <w:rFonts w:ascii="Arial" w:hAnsi="Arial"/>
                <w:sz w:val="18"/>
                <w:szCs w:val="20"/>
              </w:rPr>
            </w:pPr>
            <w:r w:rsidRPr="000818D6">
              <w:rPr>
                <w:rFonts w:ascii="Arial" w:hAnsi="Arial"/>
                <w:sz w:val="18"/>
                <w:szCs w:val="20"/>
              </w:rPr>
              <w:t>What is the effect on adult relationship quality and stability of supplementing job readiness services with the relationship skills education?</w:t>
            </w:r>
          </w:p>
        </w:tc>
        <w:tc>
          <w:tcPr>
            <w:tcW w:w="0" w:type="auto"/>
            <w:tcBorders>
              <w:top w:val="single" w:color="auto" w:sz="4" w:space="0"/>
              <w:bottom w:val="single" w:color="auto" w:sz="4" w:space="0"/>
            </w:tcBorders>
          </w:tcPr>
          <w:p w:rsidRPr="0041227F" w:rsidR="0041227F" w:rsidP="0041227F" w:rsidRDefault="0041227F" w14:paraId="23EED372" w14:textId="77777777">
            <w:pPr>
              <w:rPr>
                <w:rFonts w:ascii="Arial" w:hAnsi="Arial"/>
                <w:sz w:val="18"/>
                <w:szCs w:val="20"/>
              </w:rPr>
            </w:pPr>
            <w:r w:rsidRPr="0041227F">
              <w:rPr>
                <w:rFonts w:ascii="Arial" w:hAnsi="Arial"/>
                <w:sz w:val="18"/>
                <w:szCs w:val="20"/>
              </w:rPr>
              <w:t>Baseline survey</w:t>
            </w:r>
          </w:p>
          <w:p w:rsidRPr="0041227F" w:rsidR="0041227F" w:rsidP="0041227F" w:rsidRDefault="0041227F" w14:paraId="1C32925C" w14:textId="77777777">
            <w:pPr>
              <w:rPr>
                <w:rFonts w:ascii="Arial" w:hAnsi="Arial"/>
                <w:sz w:val="18"/>
                <w:szCs w:val="20"/>
              </w:rPr>
            </w:pPr>
            <w:r w:rsidRPr="0041227F">
              <w:rPr>
                <w:rFonts w:ascii="Arial" w:hAnsi="Arial"/>
                <w:sz w:val="18"/>
                <w:szCs w:val="20"/>
              </w:rPr>
              <w:t>Follow-up survey</w:t>
            </w:r>
          </w:p>
          <w:p w:rsidRPr="000818D6" w:rsidR="00C83642" w:rsidP="000818D6" w:rsidRDefault="00C83642" w14:paraId="5B259402" w14:textId="77777777">
            <w:pPr>
              <w:rPr>
                <w:rFonts w:ascii="Arial" w:hAnsi="Arial"/>
                <w:sz w:val="18"/>
                <w:szCs w:val="20"/>
              </w:rPr>
            </w:pPr>
          </w:p>
        </w:tc>
      </w:tr>
      <w:tr w:rsidRPr="000818D6" w:rsidR="0041227F" w:rsidTr="00C83642" w14:paraId="292C8A2E" w14:textId="77777777">
        <w:tc>
          <w:tcPr>
            <w:tcW w:w="0" w:type="auto"/>
            <w:tcBorders>
              <w:top w:val="single" w:color="auto" w:sz="4" w:space="0"/>
            </w:tcBorders>
            <w:shd w:val="clear" w:color="auto" w:fill="auto"/>
            <w:vAlign w:val="center"/>
          </w:tcPr>
          <w:p w:rsidRPr="000818D6" w:rsidR="00C83642" w:rsidP="000818D6" w:rsidRDefault="00C83642" w14:paraId="209FA854" w14:textId="77777777">
            <w:pPr>
              <w:rPr>
                <w:rFonts w:ascii="Arial" w:hAnsi="Arial"/>
                <w:sz w:val="18"/>
                <w:szCs w:val="20"/>
              </w:rPr>
            </w:pPr>
            <w:r w:rsidRPr="000818D6">
              <w:rPr>
                <w:rFonts w:ascii="Arial" w:hAnsi="Arial"/>
                <w:sz w:val="18"/>
                <w:szCs w:val="20"/>
              </w:rPr>
              <w:t>University of Florida</w:t>
            </w:r>
          </w:p>
        </w:tc>
        <w:tc>
          <w:tcPr>
            <w:tcW w:w="0" w:type="auto"/>
            <w:tcBorders>
              <w:top w:val="single" w:color="auto" w:sz="4" w:space="0"/>
            </w:tcBorders>
            <w:shd w:val="clear" w:color="auto" w:fill="auto"/>
            <w:vAlign w:val="center"/>
          </w:tcPr>
          <w:p w:rsidRPr="000818D6" w:rsidR="00C83642" w:rsidP="00560538" w:rsidRDefault="00C83642" w14:paraId="28096194" w14:textId="77777777">
            <w:pPr>
              <w:autoSpaceDE w:val="0"/>
              <w:autoSpaceDN w:val="0"/>
              <w:adjustRightInd w:val="0"/>
              <w:rPr>
                <w:rFonts w:ascii="Arial" w:hAnsi="Arial" w:cs="Arial"/>
                <w:color w:val="000000"/>
                <w:sz w:val="18"/>
                <w:szCs w:val="18"/>
              </w:rPr>
            </w:pPr>
            <w:r w:rsidRPr="000818D6">
              <w:rPr>
                <w:rFonts w:ascii="Arial" w:hAnsi="Arial" w:cs="Arial"/>
                <w:color w:val="000000"/>
                <w:sz w:val="18"/>
                <w:szCs w:val="18"/>
              </w:rPr>
              <w:t xml:space="preserve">1,500 couples participating in relationship education workshops across five Florida counties </w:t>
            </w:r>
          </w:p>
          <w:p w:rsidRPr="000818D6" w:rsidR="00C83642" w:rsidP="000818D6" w:rsidRDefault="00C83642" w14:paraId="0AF1340D" w14:textId="77777777">
            <w:pPr>
              <w:rPr>
                <w:rFonts w:ascii="Arial" w:hAnsi="Arial"/>
                <w:sz w:val="18"/>
                <w:szCs w:val="20"/>
              </w:rPr>
            </w:pPr>
          </w:p>
        </w:tc>
        <w:tc>
          <w:tcPr>
            <w:tcW w:w="0" w:type="auto"/>
            <w:tcBorders>
              <w:top w:val="single" w:color="auto" w:sz="4" w:space="0"/>
            </w:tcBorders>
            <w:shd w:val="clear" w:color="auto" w:fill="auto"/>
            <w:vAlign w:val="center"/>
          </w:tcPr>
          <w:p w:rsidRPr="000818D6" w:rsidR="00C83642" w:rsidP="000818D6" w:rsidRDefault="00C83642" w14:paraId="62667C8F" w14:textId="77777777">
            <w:pPr>
              <w:rPr>
                <w:rFonts w:ascii="Arial" w:hAnsi="Arial"/>
                <w:i/>
                <w:sz w:val="18"/>
                <w:szCs w:val="20"/>
              </w:rPr>
            </w:pPr>
            <w:r w:rsidRPr="000818D6">
              <w:rPr>
                <w:rFonts w:ascii="Arial" w:hAnsi="Arial"/>
                <w:i/>
                <w:sz w:val="18"/>
                <w:szCs w:val="20"/>
              </w:rPr>
              <w:t>ELEVATE, Smart Steps</w:t>
            </w:r>
          </w:p>
        </w:tc>
        <w:tc>
          <w:tcPr>
            <w:tcW w:w="0" w:type="auto"/>
            <w:tcBorders>
              <w:top w:val="single" w:color="auto" w:sz="4" w:space="0"/>
            </w:tcBorders>
            <w:shd w:val="clear" w:color="auto" w:fill="auto"/>
            <w:vAlign w:val="center"/>
          </w:tcPr>
          <w:p w:rsidRPr="000818D6" w:rsidR="00C83642" w:rsidP="00560538" w:rsidRDefault="00C83642" w14:paraId="10C56FBD" w14:textId="77777777">
            <w:pPr>
              <w:autoSpaceDE w:val="0"/>
              <w:autoSpaceDN w:val="0"/>
              <w:adjustRightInd w:val="0"/>
              <w:rPr>
                <w:rFonts w:ascii="Arial" w:hAnsi="Arial" w:cs="Arial"/>
                <w:color w:val="000000"/>
                <w:sz w:val="18"/>
                <w:szCs w:val="18"/>
              </w:rPr>
            </w:pPr>
            <w:r w:rsidRPr="000818D6">
              <w:rPr>
                <w:rFonts w:ascii="Arial" w:hAnsi="Arial" w:cs="Arial"/>
                <w:color w:val="000000"/>
                <w:sz w:val="18"/>
                <w:szCs w:val="18"/>
              </w:rPr>
              <w:t xml:space="preserve">Can text messages informed by behavioral insight theory improve attendance at relationship skills education group sessions for couples? </w:t>
            </w:r>
          </w:p>
          <w:p w:rsidRPr="000818D6" w:rsidR="00C83642" w:rsidP="000818D6" w:rsidRDefault="00C83642" w14:paraId="015C6DD2" w14:textId="77777777">
            <w:pPr>
              <w:rPr>
                <w:rFonts w:ascii="Arial" w:hAnsi="Arial"/>
                <w:sz w:val="18"/>
                <w:szCs w:val="20"/>
              </w:rPr>
            </w:pPr>
          </w:p>
        </w:tc>
        <w:tc>
          <w:tcPr>
            <w:tcW w:w="0" w:type="auto"/>
            <w:tcBorders>
              <w:top w:val="single" w:color="auto" w:sz="4" w:space="0"/>
            </w:tcBorders>
          </w:tcPr>
          <w:p w:rsidRPr="000818D6" w:rsidR="00C83642" w:rsidP="00560538" w:rsidRDefault="0041227F" w14:paraId="51EDC1B1" w14:textId="77777777">
            <w:pPr>
              <w:autoSpaceDE w:val="0"/>
              <w:autoSpaceDN w:val="0"/>
              <w:adjustRightInd w:val="0"/>
              <w:rPr>
                <w:rFonts w:ascii="Arial" w:hAnsi="Arial" w:cs="Arial"/>
                <w:color w:val="000000"/>
                <w:sz w:val="18"/>
                <w:szCs w:val="18"/>
              </w:rPr>
            </w:pPr>
            <w:r>
              <w:rPr>
                <w:rFonts w:ascii="Arial" w:hAnsi="Arial" w:cs="Arial"/>
                <w:color w:val="000000"/>
                <w:sz w:val="18"/>
                <w:szCs w:val="18"/>
              </w:rPr>
              <w:t>nFORM program participation data</w:t>
            </w:r>
          </w:p>
        </w:tc>
      </w:tr>
    </w:tbl>
    <w:p w:rsidR="00F22E9A" w:rsidP="00932244" w:rsidRDefault="00F22E9A" w14:paraId="2CBDD4B6" w14:textId="77777777">
      <w:pPr>
        <w:spacing w:after="120"/>
        <w:rPr>
          <w:rStyle w:val="CommentReference"/>
        </w:rPr>
      </w:pPr>
      <w:r>
        <w:rPr>
          <w:b/>
          <w:bCs/>
          <w:iCs/>
        </w:rPr>
        <w:tab/>
      </w:r>
    </w:p>
    <w:p w:rsidRPr="00517061" w:rsidR="00CA3E1E" w:rsidP="00CA3E1E" w:rsidRDefault="00CA3E1E" w14:paraId="09962755" w14:textId="77777777">
      <w:pPr>
        <w:spacing w:after="120"/>
        <w:rPr>
          <w:bCs/>
          <w:iCs/>
        </w:rPr>
      </w:pPr>
    </w:p>
    <w:p w:rsidRPr="00B01385" w:rsidR="00B01385" w:rsidP="00B01385" w:rsidRDefault="00D15AEE" w14:paraId="606F99DB" w14:textId="77777777">
      <w:pPr>
        <w:spacing w:after="120"/>
        <w:rPr>
          <w:b/>
          <w:bCs/>
          <w:iCs/>
        </w:rPr>
      </w:pPr>
      <w:r>
        <w:rPr>
          <w:b/>
          <w:bCs/>
          <w:i/>
          <w:iCs/>
        </w:rPr>
        <w:t>Study Design</w:t>
      </w:r>
    </w:p>
    <w:p w:rsidR="0078590E" w:rsidP="008C673B" w:rsidRDefault="00E92C3A" w14:paraId="346E4651" w14:textId="77777777">
      <w:pPr>
        <w:spacing w:after="240"/>
        <w:ind w:firstLine="432"/>
        <w:rPr>
          <w:iCs/>
        </w:rPr>
      </w:pPr>
      <w:r w:rsidRPr="00E92C3A">
        <w:rPr>
          <w:iCs/>
        </w:rPr>
        <w:t xml:space="preserve">The </w:t>
      </w:r>
      <w:r>
        <w:rPr>
          <w:iCs/>
        </w:rPr>
        <w:t xml:space="preserve">STREAMS </w:t>
      </w:r>
      <w:r w:rsidRPr="00E92C3A">
        <w:rPr>
          <w:iCs/>
        </w:rPr>
        <w:t xml:space="preserve">impact study uses an experimental design. </w:t>
      </w:r>
      <w:r w:rsidR="0078590E">
        <w:rPr>
          <w:iCs/>
        </w:rPr>
        <w:t>In three of the impact study sites—</w:t>
      </w:r>
      <w:r w:rsidR="008360DF">
        <w:rPr>
          <w:iCs/>
        </w:rPr>
        <w:t>the University of Denver, the Parenting Center, and FWCA</w:t>
      </w:r>
      <w:r w:rsidR="0078590E">
        <w:rPr>
          <w:iCs/>
        </w:rPr>
        <w:t>—i</w:t>
      </w:r>
      <w:r w:rsidRPr="00E92C3A">
        <w:rPr>
          <w:iCs/>
        </w:rPr>
        <w:t xml:space="preserve">ndividuals are randomly assigned to either a group that is offered program services </w:t>
      </w:r>
      <w:r>
        <w:rPr>
          <w:iCs/>
        </w:rPr>
        <w:t>or a control group that is not. G</w:t>
      </w:r>
      <w:r w:rsidRPr="00E92C3A">
        <w:rPr>
          <w:iCs/>
        </w:rPr>
        <w:t xml:space="preserve">rantee staff </w:t>
      </w:r>
      <w:r>
        <w:rPr>
          <w:iCs/>
        </w:rPr>
        <w:t xml:space="preserve">in each site </w:t>
      </w:r>
      <w:r w:rsidRPr="00E92C3A">
        <w:rPr>
          <w:iCs/>
        </w:rPr>
        <w:t>conduct random assignment using a web-based system that STREAMS developed as</w:t>
      </w:r>
      <w:r w:rsidR="00577DD1">
        <w:rPr>
          <w:iCs/>
        </w:rPr>
        <w:t xml:space="preserve"> an added component to ACF</w:t>
      </w:r>
      <w:r w:rsidR="006C0C37">
        <w:rPr>
          <w:iCs/>
        </w:rPr>
        <w:t xml:space="preserve">’s </w:t>
      </w:r>
      <w:r>
        <w:t>Information, Family Outcomes, Reporting, and Management (nFORM) information system</w:t>
      </w:r>
      <w:r w:rsidRPr="00E92C3A">
        <w:rPr>
          <w:iCs/>
        </w:rPr>
        <w:t xml:space="preserve"> (OMB </w:t>
      </w:r>
      <w:r w:rsidR="00517061">
        <w:rPr>
          <w:iCs/>
        </w:rPr>
        <w:t>#</w:t>
      </w:r>
      <w:r w:rsidR="006C0C37">
        <w:rPr>
          <w:iCs/>
        </w:rPr>
        <w:t xml:space="preserve">0970-0460). An </w:t>
      </w:r>
      <w:r w:rsidRPr="006C0C37" w:rsidR="006C0C37">
        <w:rPr>
          <w:iCs/>
        </w:rPr>
        <w:t>extension of previously approved</w:t>
      </w:r>
      <w:r w:rsidR="006C0C37">
        <w:rPr>
          <w:iCs/>
        </w:rPr>
        <w:t xml:space="preserve"> burden for this random assignment feature of nFORM is included in this </w:t>
      </w:r>
      <w:r w:rsidR="00B13D71">
        <w:rPr>
          <w:iCs/>
        </w:rPr>
        <w:t xml:space="preserve">data collection </w:t>
      </w:r>
      <w:r w:rsidR="006C0C37">
        <w:rPr>
          <w:iCs/>
        </w:rPr>
        <w:t>request.</w:t>
      </w:r>
    </w:p>
    <w:p w:rsidR="002458A8" w:rsidP="008C673B" w:rsidRDefault="00E92C3A" w14:paraId="058C7084" w14:textId="77777777">
      <w:pPr>
        <w:spacing w:after="240"/>
        <w:ind w:firstLine="432"/>
        <w:rPr>
          <w:iCs/>
        </w:rPr>
      </w:pPr>
      <w:r w:rsidRPr="00E92C3A">
        <w:rPr>
          <w:iCs/>
        </w:rPr>
        <w:t>In</w:t>
      </w:r>
      <w:r w:rsidR="006C0C37">
        <w:rPr>
          <w:iCs/>
        </w:rPr>
        <w:t xml:space="preserve"> the site</w:t>
      </w:r>
      <w:r w:rsidRPr="00E92C3A">
        <w:rPr>
          <w:iCs/>
        </w:rPr>
        <w:t xml:space="preserve"> serving youth in high schools</w:t>
      </w:r>
      <w:r w:rsidR="0078590E">
        <w:rPr>
          <w:iCs/>
        </w:rPr>
        <w:t xml:space="preserve"> (More than Conquerors, Inc.)</w:t>
      </w:r>
      <w:r w:rsidRPr="00E92C3A">
        <w:rPr>
          <w:iCs/>
        </w:rPr>
        <w:t>, random assignment occurs at the cl</w:t>
      </w:r>
      <w:r w:rsidR="00577DD1">
        <w:rPr>
          <w:iCs/>
        </w:rPr>
        <w:t>assroom level and involves</w:t>
      </w:r>
      <w:r w:rsidR="006C0C37">
        <w:rPr>
          <w:iCs/>
        </w:rPr>
        <w:t xml:space="preserve"> three research groups. </w:t>
      </w:r>
      <w:r w:rsidR="00BB60B3">
        <w:rPr>
          <w:iCs/>
        </w:rPr>
        <w:t xml:space="preserve">Two </w:t>
      </w:r>
      <w:r w:rsidR="002458A8">
        <w:rPr>
          <w:iCs/>
        </w:rPr>
        <w:t xml:space="preserve">research </w:t>
      </w:r>
      <w:r w:rsidR="00BB60B3">
        <w:rPr>
          <w:iCs/>
        </w:rPr>
        <w:t xml:space="preserve">groups receive the curriculum, either </w:t>
      </w:r>
      <w:r w:rsidR="006C5ECC">
        <w:rPr>
          <w:iCs/>
        </w:rPr>
        <w:t>the full</w:t>
      </w:r>
      <w:r w:rsidR="00BB60B3">
        <w:rPr>
          <w:iCs/>
        </w:rPr>
        <w:t xml:space="preserve"> 12-session version or </w:t>
      </w:r>
      <w:r w:rsidR="0078590E">
        <w:rPr>
          <w:iCs/>
        </w:rPr>
        <w:t>a shortened</w:t>
      </w:r>
      <w:r w:rsidR="00BB60B3">
        <w:rPr>
          <w:iCs/>
        </w:rPr>
        <w:t xml:space="preserve"> 8-session version, and the third group is the control group. </w:t>
      </w:r>
      <w:r w:rsidRPr="00FB1BA8" w:rsidR="0070009D">
        <w:rPr>
          <w:color w:val="000000"/>
        </w:rPr>
        <w:t>By randomizing groups of students by classroom, the evaluation will test the effectiveness of receiving either the full 12-session curriculum or the shortened 8-session curriculum relative to receiving no HMRE programming.</w:t>
      </w:r>
      <w:r w:rsidR="0070009D">
        <w:rPr>
          <w:color w:val="000000"/>
          <w:sz w:val="23"/>
          <w:szCs w:val="23"/>
        </w:rPr>
        <w:t xml:space="preserve"> </w:t>
      </w:r>
      <w:r w:rsidR="006C0C37">
        <w:rPr>
          <w:iCs/>
        </w:rPr>
        <w:t xml:space="preserve">There is </w:t>
      </w:r>
      <w:r w:rsidRPr="00E92C3A">
        <w:rPr>
          <w:iCs/>
        </w:rPr>
        <w:t>no burden</w:t>
      </w:r>
      <w:r w:rsidR="00577DD1">
        <w:rPr>
          <w:iCs/>
        </w:rPr>
        <w:t xml:space="preserve"> to grantee staff of</w:t>
      </w:r>
      <w:r w:rsidR="006C0C37">
        <w:rPr>
          <w:iCs/>
        </w:rPr>
        <w:t xml:space="preserve"> random assignment in this site</w:t>
      </w:r>
      <w:r w:rsidRPr="00E92C3A">
        <w:rPr>
          <w:iCs/>
        </w:rPr>
        <w:t>.</w:t>
      </w:r>
    </w:p>
    <w:p w:rsidR="002458A8" w:rsidP="008C673B" w:rsidRDefault="00442392" w14:paraId="77C51852" w14:textId="77777777">
      <w:pPr>
        <w:spacing w:after="240"/>
        <w:ind w:firstLine="432"/>
      </w:pPr>
      <w:r>
        <w:t xml:space="preserve">In </w:t>
      </w:r>
      <w:r w:rsidR="006C5ECC">
        <w:t xml:space="preserve">all </w:t>
      </w:r>
      <w:r>
        <w:t>four of the</w:t>
      </w:r>
      <w:r w:rsidR="006C5ECC">
        <w:t>se</w:t>
      </w:r>
      <w:r>
        <w:t xml:space="preserve"> evaluation sites</w:t>
      </w:r>
      <w:r w:rsidR="006C0C37">
        <w:t xml:space="preserve">, </w:t>
      </w:r>
      <w:r>
        <w:t xml:space="preserve">STREAMS </w:t>
      </w:r>
      <w:r w:rsidRPr="003F2891" w:rsidR="006C0C37">
        <w:t>collect</w:t>
      </w:r>
      <w:r>
        <w:t>s</w:t>
      </w:r>
      <w:r w:rsidRPr="003F2891" w:rsidR="006C0C37">
        <w:t xml:space="preserve"> baseline </w:t>
      </w:r>
      <w:r w:rsidR="006C0C37">
        <w:t xml:space="preserve">and follow-up survey data. </w:t>
      </w:r>
      <w:r w:rsidR="00402E9C">
        <w:t>Data from the baseline survey will be used for two</w:t>
      </w:r>
      <w:r w:rsidRPr="00444BC7" w:rsidR="006C0C37">
        <w:t xml:space="preserve"> purposes. First, the baseline data will be used to describe characteristics of the study sample. This step will enable ACF to understand the characteristics of the populations being served and to provide guidance on how the study sample and findings might generalize to a broader policy setting. Second, baseline data may also be used for exploratory subgroup analyses, to examine the demographic and personal characteristics that may moderate the impacts of healthy relationship education programming.</w:t>
      </w:r>
      <w:r>
        <w:t xml:space="preserve"> </w:t>
      </w:r>
      <w:r w:rsidRPr="00442392">
        <w:t>Baseline surveys are administ</w:t>
      </w:r>
      <w:r w:rsidR="00402E9C">
        <w:t>ered</w:t>
      </w:r>
      <w:r w:rsidRPr="00442392">
        <w:t xml:space="preserve"> at the time of study entry</w:t>
      </w:r>
      <w:r w:rsidR="00402E9C">
        <w:t>. In the site serving youth in high schools</w:t>
      </w:r>
      <w:r w:rsidR="006C5ECC">
        <w:t xml:space="preserve"> (More than Conquerors, Inc.)</w:t>
      </w:r>
      <w:r w:rsidR="00402E9C">
        <w:t>, baseline</w:t>
      </w:r>
      <w:r w:rsidR="008C673B">
        <w:t xml:space="preserve"> data collection ended in February</w:t>
      </w:r>
      <w:r w:rsidR="00402E9C">
        <w:t xml:space="preserve"> 2018. For the sites serving adults, an extension of previously approved burden for baseline data collection is included in this </w:t>
      </w:r>
      <w:r w:rsidR="00B13D71">
        <w:t xml:space="preserve">data collection </w:t>
      </w:r>
      <w:r w:rsidR="00402E9C">
        <w:t>request.</w:t>
      </w:r>
      <w:r w:rsidR="001E193C">
        <w:t xml:space="preserve"> </w:t>
      </w:r>
    </w:p>
    <w:p w:rsidR="00BA5DAA" w:rsidP="008C673B" w:rsidRDefault="006C0C37" w14:paraId="5F42ED9C" w14:textId="77777777">
      <w:pPr>
        <w:spacing w:after="240"/>
        <w:ind w:firstLine="432"/>
      </w:pPr>
      <w:r>
        <w:t>F</w:t>
      </w:r>
      <w:r w:rsidRPr="003F2891">
        <w:t>ollow-up survey</w:t>
      </w:r>
      <w:r w:rsidR="00402E9C">
        <w:t>s are administered</w:t>
      </w:r>
      <w:r w:rsidRPr="003F2891">
        <w:t xml:space="preserve"> 12 months</w:t>
      </w:r>
      <w:r>
        <w:t xml:space="preserve"> after the baseline survey, to measure the</w:t>
      </w:r>
      <w:r w:rsidRPr="00F628FC">
        <w:t xml:space="preserve"> effectiveness of HMRE services and program components</w:t>
      </w:r>
      <w:r>
        <w:t xml:space="preserve"> on participant outcomes. T</w:t>
      </w:r>
      <w:r w:rsidRPr="00444BC7">
        <w:t xml:space="preserve">he </w:t>
      </w:r>
      <w:r w:rsidRPr="00444BC7">
        <w:lastRenderedPageBreak/>
        <w:t>evaluation team will limit the primary analyses for each site to a small set of key outcomes. In selecting these primary outcomes for the impact analysis, the evaluation team will rely on the program logic model developed for each site. For sites serving adults, the team anticipates that most of these outcomes will be measures of the quality and s</w:t>
      </w:r>
      <w:r>
        <w:t>tability of relationships</w:t>
      </w:r>
      <w:r w:rsidR="00402E9C">
        <w:t xml:space="preserve">. For the site </w:t>
      </w:r>
      <w:r w:rsidRPr="00444BC7">
        <w:t xml:space="preserve">serving youth </w:t>
      </w:r>
      <w:r w:rsidR="00402E9C">
        <w:t>in high schools, the primary outcomes are expected to be</w:t>
      </w:r>
      <w:r w:rsidRPr="00444BC7">
        <w:t xml:space="preserve"> measures of relationship knowledge, skills, and attitudes.</w:t>
      </w:r>
      <w:r w:rsidR="00402E9C">
        <w:t xml:space="preserve"> An extension of previously approved burden for the STREAMS follow-up survey is included in this </w:t>
      </w:r>
      <w:r w:rsidR="00132E0D">
        <w:t xml:space="preserve">data collection </w:t>
      </w:r>
      <w:r w:rsidR="00402E9C">
        <w:t>request.</w:t>
      </w:r>
      <w:r w:rsidR="00536ACD">
        <w:t xml:space="preserve"> </w:t>
      </w:r>
    </w:p>
    <w:p w:rsidR="00E92C3A" w:rsidP="008C673B" w:rsidRDefault="00BA5DAA" w14:paraId="25A26233" w14:textId="77777777">
      <w:pPr>
        <w:spacing w:after="240"/>
        <w:ind w:firstLine="432"/>
      </w:pPr>
      <w:r>
        <w:t>STREAMS also intends to measure the</w:t>
      </w:r>
      <w:r w:rsidR="00B17F6B">
        <w:t xml:space="preserve"> longer-term effects of HMRE services by administering additional follow-up surveys for participants at two sites – one serving adults and one serving youth in high schools. Specifically,</w:t>
      </w:r>
      <w:r w:rsidR="00245B0F">
        <w:t xml:space="preserve"> ACF</w:t>
      </w:r>
      <w:r>
        <w:t xml:space="preserve"> </w:t>
      </w:r>
      <w:r w:rsidRPr="00536ACD" w:rsidR="00536ACD">
        <w:t xml:space="preserve">is seeking approval for </w:t>
      </w:r>
      <w:r w:rsidR="00536ACD">
        <w:t>a second follow-up survey</w:t>
      </w:r>
      <w:r w:rsidR="00B17F6B">
        <w:t xml:space="preserve"> at 30 months </w:t>
      </w:r>
      <w:r w:rsidR="00536ACD">
        <w:t xml:space="preserve">for </w:t>
      </w:r>
      <w:r w:rsidR="00B17F6B">
        <w:t>University of Denver participants</w:t>
      </w:r>
      <w:r w:rsidR="00536ACD">
        <w:t xml:space="preserve"> and</w:t>
      </w:r>
      <w:r w:rsidR="00B17F6B">
        <w:t xml:space="preserve"> at 24-36 months for More Than Conquerors, Inc. participants. </w:t>
      </w:r>
    </w:p>
    <w:p w:rsidRPr="002458A8" w:rsidR="002458A8" w:rsidP="002458A8" w:rsidRDefault="002458A8" w14:paraId="619E00E9" w14:textId="77777777">
      <w:pPr>
        <w:spacing w:after="240"/>
        <w:ind w:firstLine="432"/>
        <w:rPr>
          <w:iCs/>
        </w:rPr>
      </w:pPr>
      <w:r w:rsidRPr="002458A8">
        <w:rPr>
          <w:iCs/>
        </w:rPr>
        <w:t>A fifth site, the University of Florida, is not participating in baseline or follow-up survey data collection. In this site, participants are randomly assigned to different strategies to promote program participation, such as text messages using different techniques to motivate regular attendance.</w:t>
      </w:r>
      <w:r>
        <w:rPr>
          <w:iCs/>
        </w:rPr>
        <w:t xml:space="preserve"> Baseline and follow-up survey data are not collected with the University of Florida site because </w:t>
      </w:r>
      <w:r w:rsidR="0016161B">
        <w:rPr>
          <w:iCs/>
        </w:rPr>
        <w:t xml:space="preserve">the evaluation is testing the effectiveness of the text messages on program participation rather than the effectiveness of the program on participant outcomes. </w:t>
      </w:r>
    </w:p>
    <w:p w:rsidRPr="007E0E7F" w:rsidR="007E0E7F" w:rsidP="007E0E7F" w:rsidRDefault="007E0E7F" w14:paraId="0595E84E" w14:textId="77777777">
      <w:pPr>
        <w:pStyle w:val="NormalSS"/>
        <w:spacing w:after="120"/>
        <w:ind w:firstLine="0"/>
        <w:rPr>
          <w:b/>
          <w:bCs/>
          <w:iCs/>
        </w:rPr>
      </w:pPr>
      <w:r w:rsidRPr="007E0E7F">
        <w:rPr>
          <w:b/>
          <w:bCs/>
          <w:i/>
          <w:iCs/>
        </w:rPr>
        <w:t>Universe of Data Collection Efforts</w:t>
      </w:r>
    </w:p>
    <w:p w:rsidR="0032404A" w:rsidP="007E0E7F" w:rsidRDefault="00AB3E2A" w14:paraId="62FD9CE6" w14:textId="77777777">
      <w:pPr>
        <w:pStyle w:val="NormalSS"/>
      </w:pPr>
      <w:r>
        <w:t xml:space="preserve">To address these research questions, STREAMS uses several data collection sources. </w:t>
      </w:r>
      <w:r w:rsidR="00AF1EC0">
        <w:t xml:space="preserve">This subsection provides an overview of the new follow-up information collection request, the instruments that were previously approved and will continue to be fielded, and the instruments for which data collection is complete.   </w:t>
      </w:r>
    </w:p>
    <w:p w:rsidRPr="00E92764" w:rsidR="00AF1EC0" w:rsidP="00E92764" w:rsidRDefault="00AF1EC0" w14:paraId="6D84E998" w14:textId="77777777">
      <w:pPr>
        <w:pStyle w:val="NormalSS"/>
        <w:ind w:firstLine="0"/>
        <w:rPr>
          <w:b/>
          <w:u w:val="single"/>
        </w:rPr>
      </w:pPr>
      <w:r>
        <w:rPr>
          <w:b/>
          <w:u w:val="single"/>
        </w:rPr>
        <w:t>New Information Collection Request</w:t>
      </w:r>
    </w:p>
    <w:p w:rsidR="001106CF" w:rsidP="001106CF" w:rsidRDefault="001106CF" w14:paraId="1F026BD3" w14:textId="77777777">
      <w:pPr>
        <w:pStyle w:val="NormalSS"/>
        <w:rPr>
          <w:iCs/>
        </w:rPr>
      </w:pPr>
      <w:r>
        <w:t xml:space="preserve">As part of this </w:t>
      </w:r>
      <w:r w:rsidR="00AB3E2A">
        <w:t xml:space="preserve">current </w:t>
      </w:r>
      <w:r>
        <w:t xml:space="preserve">data collection request, ACF is seeking approval for </w:t>
      </w:r>
      <w:r w:rsidRPr="008C58FA">
        <w:rPr>
          <w:iCs/>
        </w:rPr>
        <w:t>two additional data collection instruments associated with the impact study</w:t>
      </w:r>
      <w:r>
        <w:rPr>
          <w:iCs/>
        </w:rPr>
        <w:t>:</w:t>
      </w:r>
    </w:p>
    <w:p w:rsidR="00687D1C" w:rsidP="00FB1BA8" w:rsidRDefault="001106CF" w14:paraId="23D28B60" w14:textId="77777777">
      <w:pPr>
        <w:pStyle w:val="NormalSS"/>
        <w:numPr>
          <w:ilvl w:val="0"/>
          <w:numId w:val="27"/>
        </w:numPr>
      </w:pPr>
      <w:r w:rsidRPr="008C58FA">
        <w:rPr>
          <w:b/>
        </w:rPr>
        <w:t xml:space="preserve">Second follow-up </w:t>
      </w:r>
      <w:r>
        <w:rPr>
          <w:b/>
        </w:rPr>
        <w:t>survey for youth</w:t>
      </w:r>
      <w:r w:rsidR="00303940">
        <w:rPr>
          <w:b/>
        </w:rPr>
        <w:t xml:space="preserve"> (Instrument 1</w:t>
      </w:r>
      <w:r w:rsidR="00D97D70">
        <w:rPr>
          <w:b/>
        </w:rPr>
        <w:t>2</w:t>
      </w:r>
      <w:r w:rsidR="00303940">
        <w:rPr>
          <w:b/>
        </w:rPr>
        <w:t>)</w:t>
      </w:r>
      <w:r w:rsidRPr="008C58FA">
        <w:rPr>
          <w:b/>
        </w:rPr>
        <w:t>.</w:t>
      </w:r>
      <w:r w:rsidRPr="008C58FA">
        <w:t xml:space="preserve"> </w:t>
      </w:r>
      <w:r>
        <w:t>For the STREAMS site serving youth in high schools</w:t>
      </w:r>
      <w:r w:rsidR="00022E1D">
        <w:t xml:space="preserve"> (More Than Conquerors, Inc)</w:t>
      </w:r>
      <w:r>
        <w:t>, ACF seeks to conduct a second follow-up with study participants</w:t>
      </w:r>
      <w:r w:rsidR="0082611A">
        <w:t xml:space="preserve"> during the 2019-202</w:t>
      </w:r>
      <w:r w:rsidR="00AE3912">
        <w:t>0</w:t>
      </w:r>
      <w:r w:rsidR="0082611A">
        <w:t xml:space="preserve"> school year,</w:t>
      </w:r>
      <w:r>
        <w:t xml:space="preserve"> approximately 24-36 months after the baseline survey. Data from the second follow-up survey will allow for an assessment of </w:t>
      </w:r>
      <w:r w:rsidRPr="00E71FDB">
        <w:t>the longer-term impacts of the program two to th</w:t>
      </w:r>
      <w:r>
        <w:t>ree years after study enrollment</w:t>
      </w:r>
      <w:r w:rsidRPr="00E71FDB">
        <w:t>.</w:t>
      </w:r>
      <w:r w:rsidR="001D51DD">
        <w:t xml:space="preserve"> Study enrollment in the More Than Conquerors, Inc. site began at the start of 2016-2017 school year and ended </w:t>
      </w:r>
      <w:r w:rsidR="00582BE6">
        <w:t xml:space="preserve">in the spring semester of the 2017-2018 school year. </w:t>
      </w:r>
      <w:r w:rsidR="001D51DD">
        <w:t xml:space="preserve">The timing of the second follow-up survey will </w:t>
      </w:r>
      <w:r w:rsidR="00582BE6">
        <w:t xml:space="preserve">mean that for some students, the second follow-up will occur two years after they enrolled in the study, while for others it will be three years after they enrolled.  </w:t>
      </w:r>
    </w:p>
    <w:p w:rsidR="00687D1C" w:rsidP="00E92764" w:rsidRDefault="00687D1C" w14:paraId="2D6B8897" w14:textId="77777777">
      <w:pPr>
        <w:pStyle w:val="NormalSS"/>
        <w:ind w:left="792" w:firstLine="0"/>
      </w:pPr>
      <w:r w:rsidRPr="001106CF">
        <w:t xml:space="preserve">The survey will be administered via computer-assisted self-administered interviewing (ACASI) on a tablet device. In most cases, the survey will be conducted in the school through group administration. To achieve a high response rate to the follow-up survey, the evaluation team will contact youth who do not complete the follow-up in school and </w:t>
      </w:r>
      <w:r w:rsidRPr="001106CF">
        <w:lastRenderedPageBreak/>
        <w:t>request that they complete the survey via computer-assisted telephone interviewing (CATI) or computer-as</w:t>
      </w:r>
      <w:r>
        <w:t>sisted web interviewing (CAWI).</w:t>
      </w:r>
    </w:p>
    <w:p w:rsidR="00687D1C" w:rsidP="00687D1C" w:rsidRDefault="001106CF" w14:paraId="3303DA6E" w14:textId="77777777">
      <w:pPr>
        <w:pStyle w:val="NormalSS"/>
        <w:ind w:left="792" w:firstLine="0"/>
      </w:pPr>
      <w:r w:rsidRPr="00E71FDB">
        <w:t>The survey will cover many of the same areas as the first fol</w:t>
      </w:r>
      <w:r>
        <w:t>low-up survey</w:t>
      </w:r>
      <w:r w:rsidR="00687D1C">
        <w:t xml:space="preserve"> (</w:t>
      </w:r>
      <w:r w:rsidRPr="00E92764" w:rsidR="00687D1C">
        <w:rPr>
          <w:b/>
        </w:rPr>
        <w:t>approximately 90 percent of the second follow survey is the same as the first follow-up</w:t>
      </w:r>
      <w:r w:rsidR="00687D1C">
        <w:t>)</w:t>
      </w:r>
      <w:r>
        <w:t>, such as youth</w:t>
      </w:r>
      <w:r w:rsidRPr="00E71FDB">
        <w:t xml:space="preserve"> relationship attitudes and experiences. </w:t>
      </w:r>
      <w:r>
        <w:t>Because</w:t>
      </w:r>
      <w:r w:rsidRPr="00E71FDB">
        <w:t xml:space="preserve"> romantic relationships</w:t>
      </w:r>
      <w:r>
        <w:t xml:space="preserve"> become more common as youth age</w:t>
      </w:r>
      <w:r w:rsidRPr="00E71FDB">
        <w:t xml:space="preserve">, assessing these outcomes </w:t>
      </w:r>
      <w:r>
        <w:t>at a</w:t>
      </w:r>
      <w:r w:rsidRPr="00E71FDB">
        <w:t xml:space="preserve"> later point will provide a more definitive test of th</w:t>
      </w:r>
      <w:r>
        <w:t>e program’s impacts on youth</w:t>
      </w:r>
      <w:r w:rsidRPr="00E71FDB">
        <w:t xml:space="preserve"> relationship outcomes</w:t>
      </w:r>
      <w:r>
        <w:t xml:space="preserve">. </w:t>
      </w:r>
      <w:r w:rsidRPr="00E92764">
        <w:rPr>
          <w:b/>
        </w:rPr>
        <w:t>Attachment S</w:t>
      </w:r>
      <w:r w:rsidRPr="00266D48">
        <w:t xml:space="preserve"> provides a question-by-question justification of survey items</w:t>
      </w:r>
      <w:r w:rsidR="00582BE6">
        <w:t xml:space="preserve"> and indicates the questions that are the same as</w:t>
      </w:r>
      <w:r w:rsidR="00DB655C">
        <w:t xml:space="preserve"> those in</w:t>
      </w:r>
      <w:r w:rsidR="00582BE6">
        <w:t xml:space="preserve"> the first follow-up and questions that have been added to the second follow-up</w:t>
      </w:r>
      <w:r w:rsidRPr="00266D48">
        <w:t>.</w:t>
      </w:r>
      <w:r>
        <w:t xml:space="preserve"> </w:t>
      </w:r>
    </w:p>
    <w:p w:rsidRPr="00E92764" w:rsidR="00687D1C" w:rsidP="005D2EF6" w:rsidRDefault="001106CF" w14:paraId="339BF2EA" w14:textId="77777777">
      <w:pPr>
        <w:pStyle w:val="NormalSS"/>
        <w:numPr>
          <w:ilvl w:val="0"/>
          <w:numId w:val="27"/>
        </w:numPr>
        <w:rPr>
          <w:b/>
          <w:u w:val="single"/>
        </w:rPr>
      </w:pPr>
      <w:r w:rsidRPr="00266D48">
        <w:rPr>
          <w:b/>
        </w:rPr>
        <w:t>Second follow-up s</w:t>
      </w:r>
      <w:r>
        <w:rPr>
          <w:b/>
        </w:rPr>
        <w:t>urvey for adults</w:t>
      </w:r>
      <w:r w:rsidR="00303940">
        <w:rPr>
          <w:b/>
        </w:rPr>
        <w:t xml:space="preserve"> (Instrument 1</w:t>
      </w:r>
      <w:r w:rsidR="00D97D70">
        <w:rPr>
          <w:b/>
        </w:rPr>
        <w:t>3</w:t>
      </w:r>
      <w:r w:rsidR="00303940">
        <w:rPr>
          <w:b/>
        </w:rPr>
        <w:t>)</w:t>
      </w:r>
      <w:r w:rsidRPr="00266D48">
        <w:rPr>
          <w:b/>
        </w:rPr>
        <w:t xml:space="preserve">. </w:t>
      </w:r>
      <w:r>
        <w:t xml:space="preserve">ACF also seeks to conduct a second follow-up survey in one of the sites serving adults. In particular, the University of Denver site is assessing the effectiveness of an HMRE program for </w:t>
      </w:r>
      <w:r w:rsidRPr="00266D48">
        <w:t>low-income pregnant women or new mothers from the Denver Hea</w:t>
      </w:r>
      <w:r>
        <w:t xml:space="preserve">lth hospital system in Colorado. For this target population, </w:t>
      </w:r>
      <w:r>
        <w:rPr>
          <w:iCs/>
        </w:rPr>
        <w:t>a</w:t>
      </w:r>
      <w:r w:rsidRPr="00266D48">
        <w:rPr>
          <w:iCs/>
        </w:rPr>
        <w:t xml:space="preserve"> second follow-up </w:t>
      </w:r>
      <w:r>
        <w:rPr>
          <w:iCs/>
        </w:rPr>
        <w:t>survey will allow for an assessment of</w:t>
      </w:r>
      <w:r w:rsidRPr="00266D48">
        <w:rPr>
          <w:iCs/>
        </w:rPr>
        <w:t xml:space="preserve"> the program’s longer-term impacts on a range of outcomes</w:t>
      </w:r>
      <w:r>
        <w:rPr>
          <w:iCs/>
        </w:rPr>
        <w:t xml:space="preserve"> of policy relevance to ACF</w:t>
      </w:r>
      <w:r w:rsidRPr="00266D48">
        <w:rPr>
          <w:iCs/>
        </w:rPr>
        <w:t>, including relationship quality and status, father involvement, parenting, and child well-being.</w:t>
      </w:r>
      <w:r>
        <w:t xml:space="preserve"> </w:t>
      </w:r>
    </w:p>
    <w:p w:rsidR="00687D1C" w:rsidP="00E92764" w:rsidRDefault="00D15AEE" w14:paraId="1C824645" w14:textId="77777777">
      <w:pPr>
        <w:pStyle w:val="NormalSS"/>
        <w:ind w:left="792" w:firstLine="0"/>
      </w:pPr>
      <w:r w:rsidRPr="00D15AEE">
        <w:t xml:space="preserve">As with the first follow-up survey, the second follow-up survey will be administered via CATI and CAWI. The second follow-up survey will be conducted approximately 30 months after study enrollment. To achieve a high response rate to the follow-up survey, the evaluation team will send the previously approved advance letters to study participants prior to attempting contact by telephone. </w:t>
      </w:r>
    </w:p>
    <w:p w:rsidR="00AF1EC0" w:rsidP="00E92764" w:rsidRDefault="00D15AEE" w14:paraId="072AFA6B" w14:textId="67C570B9">
      <w:pPr>
        <w:pStyle w:val="NormalSS"/>
        <w:ind w:left="792" w:firstLine="0"/>
        <w:rPr>
          <w:b/>
          <w:u w:val="single"/>
        </w:rPr>
      </w:pPr>
      <w:r w:rsidRPr="00D15AEE">
        <w:t xml:space="preserve">The second follow-up survey will include many of the same items as the baseline and first follow-up survey for adults, in addition to items on relationships, parenting, child well-being, and economic outcomes. See </w:t>
      </w:r>
      <w:r w:rsidRPr="00E92764">
        <w:rPr>
          <w:b/>
        </w:rPr>
        <w:t>Attachment T</w:t>
      </w:r>
      <w:r w:rsidRPr="00D15AEE">
        <w:t xml:space="preserve"> for a question-by-question justification of these items</w:t>
      </w:r>
      <w:r w:rsidR="00582BE6">
        <w:t xml:space="preserve"> </w:t>
      </w:r>
      <w:r w:rsidRPr="00582BE6" w:rsidR="00582BE6">
        <w:t xml:space="preserve">and indicates the questions that are the same as </w:t>
      </w:r>
      <w:r w:rsidR="00DB655C">
        <w:t xml:space="preserve">those in </w:t>
      </w:r>
      <w:r w:rsidRPr="00582BE6" w:rsidR="00582BE6">
        <w:t>the first follow-up and questions that have been added to the second follow-up</w:t>
      </w:r>
      <w:r w:rsidRPr="00D15AEE">
        <w:t>.</w:t>
      </w:r>
      <w:r w:rsidRPr="00AF1EC0" w:rsidR="00AF1EC0">
        <w:rPr>
          <w:b/>
          <w:u w:val="single"/>
        </w:rPr>
        <w:t xml:space="preserve"> </w:t>
      </w:r>
    </w:p>
    <w:p w:rsidR="00AF1EC0" w:rsidP="00AF1EC0" w:rsidRDefault="00AF1EC0" w14:paraId="16D5A1FB" w14:textId="77777777">
      <w:pPr>
        <w:pStyle w:val="NormalSS"/>
        <w:ind w:firstLine="0"/>
        <w:rPr>
          <w:b/>
          <w:u w:val="single"/>
        </w:rPr>
      </w:pPr>
    </w:p>
    <w:p w:rsidRPr="00A42DAC" w:rsidR="00AF1EC0" w:rsidP="00AF1EC0" w:rsidRDefault="00AF1EC0" w14:paraId="1CB3DC1F" w14:textId="77777777">
      <w:pPr>
        <w:pStyle w:val="NormalSS"/>
        <w:ind w:firstLine="0"/>
        <w:rPr>
          <w:b/>
          <w:u w:val="single"/>
        </w:rPr>
      </w:pPr>
      <w:r w:rsidRPr="00A7259F">
        <w:rPr>
          <w:b/>
          <w:u w:val="single"/>
        </w:rPr>
        <w:t xml:space="preserve">Previously Approved; Data Collection </w:t>
      </w:r>
      <w:r>
        <w:rPr>
          <w:b/>
          <w:u w:val="single"/>
        </w:rPr>
        <w:t>Ongoing</w:t>
      </w:r>
    </w:p>
    <w:p w:rsidRPr="007E0E7F" w:rsidR="00AF1EC0" w:rsidP="00AF1EC0" w:rsidRDefault="00AF1EC0" w14:paraId="3B10651B" w14:textId="77777777">
      <w:pPr>
        <w:pStyle w:val="NormalSS"/>
      </w:pPr>
      <w:r w:rsidRPr="007E0E7F">
        <w:t xml:space="preserve">ACF requests an extension </w:t>
      </w:r>
      <w:r>
        <w:t xml:space="preserve">to continue to collection information using </w:t>
      </w:r>
      <w:r w:rsidRPr="007E0E7F">
        <w:t xml:space="preserve"> the following data collection instruments for the STREAMS impact study</w:t>
      </w:r>
      <w:r>
        <w:t xml:space="preserve">. </w:t>
      </w:r>
      <w:r w:rsidRPr="00A42DAC">
        <w:rPr>
          <w:b/>
        </w:rPr>
        <w:t>There are no changes requested to these instruments.</w:t>
      </w:r>
    </w:p>
    <w:p w:rsidR="00AF1EC0" w:rsidP="00AF1EC0" w:rsidRDefault="00AF1EC0" w14:paraId="7F03A076" w14:textId="77777777">
      <w:pPr>
        <w:pStyle w:val="NormalSS"/>
        <w:numPr>
          <w:ilvl w:val="0"/>
          <w:numId w:val="26"/>
        </w:numPr>
      </w:pPr>
      <w:r w:rsidRPr="007E0E7F">
        <w:rPr>
          <w:b/>
        </w:rPr>
        <w:t>Introductory script</w:t>
      </w:r>
      <w:r>
        <w:rPr>
          <w:b/>
        </w:rPr>
        <w:t>, grantee staff (Instrument 6)</w:t>
      </w:r>
      <w:r w:rsidRPr="007E0E7F">
        <w:rPr>
          <w:b/>
        </w:rPr>
        <w:t xml:space="preserve">. </w:t>
      </w:r>
      <w:r>
        <w:t>In STREAMS sites serving adults, grantee staff use this script to introduce applicants to the HMRE program and the STREAMS evaluation and to answer applicants’ questions about the study. Grantee staff read the introductory script to applicants prior to conducting random assignment.</w:t>
      </w:r>
    </w:p>
    <w:p w:rsidRPr="006033A4" w:rsidR="00AF1EC0" w:rsidP="00AF1EC0" w:rsidRDefault="00AF1EC0" w14:paraId="492FBF09" w14:textId="77777777">
      <w:pPr>
        <w:pStyle w:val="NormalSS"/>
        <w:numPr>
          <w:ilvl w:val="0"/>
          <w:numId w:val="26"/>
        </w:numPr>
      </w:pPr>
      <w:r w:rsidRPr="006033A4">
        <w:rPr>
          <w:b/>
        </w:rPr>
        <w:lastRenderedPageBreak/>
        <w:t>Introductory script</w:t>
      </w:r>
      <w:r>
        <w:rPr>
          <w:b/>
        </w:rPr>
        <w:t>, program applicants (Instrument 6)</w:t>
      </w:r>
      <w:r w:rsidRPr="006033A4">
        <w:rPr>
          <w:b/>
        </w:rPr>
        <w:t xml:space="preserve">. </w:t>
      </w:r>
      <w:r w:rsidRPr="006033A4">
        <w:t xml:space="preserve">In STREAMS sites serving adults, </w:t>
      </w:r>
      <w:r>
        <w:t>program applicants are read</w:t>
      </w:r>
      <w:r w:rsidRPr="006033A4">
        <w:t xml:space="preserve"> this script </w:t>
      </w:r>
      <w:r>
        <w:t>as an</w:t>
      </w:r>
      <w:r w:rsidRPr="006033A4">
        <w:t xml:space="preserve"> introduc</w:t>
      </w:r>
      <w:r>
        <w:t>tion</w:t>
      </w:r>
      <w:r w:rsidRPr="006033A4">
        <w:t xml:space="preserve"> to the HMRE program and the STREAMS evaluation and to answer applicants’ questions about the study. </w:t>
      </w:r>
      <w:r>
        <w:t xml:space="preserve">This script is read </w:t>
      </w:r>
      <w:r w:rsidRPr="006033A4">
        <w:t>to applicants prior to conducting random assignment.</w:t>
      </w:r>
    </w:p>
    <w:p w:rsidRPr="003F64F2" w:rsidR="00AF1EC0" w:rsidP="00AF1EC0" w:rsidRDefault="00AF1EC0" w14:paraId="47C092F6" w14:textId="77777777">
      <w:pPr>
        <w:pStyle w:val="NormalSS"/>
        <w:numPr>
          <w:ilvl w:val="0"/>
          <w:numId w:val="26"/>
        </w:numPr>
      </w:pPr>
      <w:r w:rsidRPr="007E0E7F">
        <w:rPr>
          <w:b/>
        </w:rPr>
        <w:t>Add-on to nFORM to con</w:t>
      </w:r>
      <w:r>
        <w:rPr>
          <w:b/>
        </w:rPr>
        <w:t>duct random assignment (Instrument 7)</w:t>
      </w:r>
      <w:r w:rsidRPr="007E0E7F">
        <w:rPr>
          <w:b/>
        </w:rPr>
        <w:t>.</w:t>
      </w:r>
      <w:r w:rsidRPr="007E0E7F">
        <w:t xml:space="preserve"> In STREAMS sites serving adults</w:t>
      </w:r>
      <w:r>
        <w:t xml:space="preserve">, grantee staff </w:t>
      </w:r>
      <w:r w:rsidRPr="007E0E7F">
        <w:t>use an added component to the nFORM system (OMB no. 0970-0460) to conduct random assignment. After reading the introductory script to applicants and determining eligibility, grantee staff</w:t>
      </w:r>
      <w:r>
        <w:t xml:space="preserve"> </w:t>
      </w:r>
      <w:r w:rsidRPr="007E0E7F">
        <w:t>enter applicant information to enroll sample members</w:t>
      </w:r>
      <w:r>
        <w:t xml:space="preserve"> and perform random assignment.</w:t>
      </w:r>
    </w:p>
    <w:p w:rsidRPr="007E0E7F" w:rsidR="00AF1EC0" w:rsidP="00AF1EC0" w:rsidRDefault="00AF1EC0" w14:paraId="41D2C747" w14:textId="77777777">
      <w:pPr>
        <w:pStyle w:val="NormalSS"/>
        <w:numPr>
          <w:ilvl w:val="0"/>
          <w:numId w:val="26"/>
        </w:numPr>
      </w:pPr>
      <w:r w:rsidRPr="007E0E7F">
        <w:rPr>
          <w:b/>
        </w:rPr>
        <w:t>Follow-up survey for youth</w:t>
      </w:r>
      <w:r>
        <w:rPr>
          <w:b/>
        </w:rPr>
        <w:t xml:space="preserve"> (Instrument 9)</w:t>
      </w:r>
      <w:r w:rsidRPr="007E0E7F">
        <w:rPr>
          <w:b/>
        </w:rPr>
        <w:t xml:space="preserve">. </w:t>
      </w:r>
      <w:r>
        <w:t xml:space="preserve">For the site serving youth in high schools, follow-up surveys are conducted </w:t>
      </w:r>
      <w:r w:rsidRPr="003F64F2">
        <w:t>via computer-assisted self-administered interviewing (ACASI) on a tablet device</w:t>
      </w:r>
      <w:r>
        <w:t xml:space="preserve"> approximately 12 months after study enrollment</w:t>
      </w:r>
      <w:r w:rsidRPr="003F64F2">
        <w:t>. In most cases, the</w:t>
      </w:r>
      <w:r>
        <w:t xml:space="preserve"> survey is</w:t>
      </w:r>
      <w:r w:rsidRPr="003F64F2">
        <w:t xml:space="preserve"> conducted in the school through gr</w:t>
      </w:r>
      <w:r>
        <w:t>oup administration. To increase the</w:t>
      </w:r>
      <w:r w:rsidRPr="003F64F2">
        <w:t xml:space="preserve"> response rate to the follow-up survey, </w:t>
      </w:r>
      <w:r>
        <w:t>the evaluation team</w:t>
      </w:r>
      <w:r w:rsidRPr="003F64F2">
        <w:t xml:space="preserve"> contact</w:t>
      </w:r>
      <w:r>
        <w:t>s</w:t>
      </w:r>
      <w:r w:rsidRPr="003F64F2">
        <w:t xml:space="preserve"> youth who do not complete the follow-up in school and request that they complete the survey via computer-assisted telephone interviewing (CATI) or computer-as</w:t>
      </w:r>
      <w:r>
        <w:t>sisted web interviewing (CAWI).</w:t>
      </w:r>
    </w:p>
    <w:p w:rsidRPr="007E0E7F" w:rsidR="00AF1EC0" w:rsidP="00AF1EC0" w:rsidRDefault="00AF1EC0" w14:paraId="4E33B573" w14:textId="77777777">
      <w:pPr>
        <w:pStyle w:val="NormalSS"/>
        <w:numPr>
          <w:ilvl w:val="0"/>
          <w:numId w:val="26"/>
        </w:numPr>
      </w:pPr>
      <w:r w:rsidRPr="007E0E7F">
        <w:rPr>
          <w:b/>
        </w:rPr>
        <w:t>Baseline survey for adults</w:t>
      </w:r>
      <w:r>
        <w:rPr>
          <w:b/>
        </w:rPr>
        <w:t xml:space="preserve"> (Instrument 10)</w:t>
      </w:r>
      <w:r w:rsidRPr="007E0E7F">
        <w:rPr>
          <w:b/>
        </w:rPr>
        <w:t xml:space="preserve">. </w:t>
      </w:r>
      <w:r>
        <w:t xml:space="preserve">In sites serving adults, </w:t>
      </w:r>
      <w:r w:rsidRPr="00315E4F">
        <w:t>baseline survey</w:t>
      </w:r>
      <w:r>
        <w:t>s are</w:t>
      </w:r>
      <w:r w:rsidRPr="00315E4F">
        <w:t xml:space="preserve"> conducted via </w:t>
      </w:r>
      <w:r>
        <w:t>computer assisted telephone interviewing (</w:t>
      </w:r>
      <w:r w:rsidRPr="00315E4F">
        <w:t>CATI</w:t>
      </w:r>
      <w:r>
        <w:t>).</w:t>
      </w:r>
      <w:r w:rsidRPr="00315E4F">
        <w:t xml:space="preserve"> </w:t>
      </w:r>
      <w:r>
        <w:t xml:space="preserve">When an individual enrolls in the study, grantee staff call the Mathematica Survey Operations Center and connect the applicant to a trained telephone interviewer who then administers consent and conducts the baseline survey with the applicant. </w:t>
      </w:r>
      <w:r w:rsidRPr="00315E4F">
        <w:t xml:space="preserve">The </w:t>
      </w:r>
      <w:r>
        <w:t>baseline survey is</w:t>
      </w:r>
      <w:r w:rsidRPr="00315E4F">
        <w:t xml:space="preserve"> used to collect information from study participants on their characteristics, </w:t>
      </w:r>
      <w:r w:rsidRPr="00742700">
        <w:t>pre-program measures of key outcomes</w:t>
      </w:r>
      <w:r>
        <w:t xml:space="preserve">, and </w:t>
      </w:r>
      <w:r w:rsidRPr="00315E4F">
        <w:t xml:space="preserve">contact information used to </w:t>
      </w:r>
      <w:r>
        <w:t>locate them for follow</w:t>
      </w:r>
      <w:r>
        <w:noBreakHyphen/>
      </w:r>
      <w:r w:rsidRPr="00315E4F">
        <w:t>up survey completion.</w:t>
      </w:r>
    </w:p>
    <w:p w:rsidRPr="007E0E7F" w:rsidR="00AF1EC0" w:rsidP="00AF1EC0" w:rsidRDefault="00AF1EC0" w14:paraId="30C4E1A2" w14:textId="77777777">
      <w:pPr>
        <w:pStyle w:val="NormalSS"/>
        <w:numPr>
          <w:ilvl w:val="0"/>
          <w:numId w:val="26"/>
        </w:numPr>
      </w:pPr>
      <w:r w:rsidRPr="007E0E7F">
        <w:rPr>
          <w:b/>
        </w:rPr>
        <w:t>Follow-up survey for adults</w:t>
      </w:r>
      <w:r>
        <w:rPr>
          <w:b/>
        </w:rPr>
        <w:t xml:space="preserve"> (Instrument 11)</w:t>
      </w:r>
      <w:r w:rsidRPr="007E0E7F">
        <w:rPr>
          <w:b/>
        </w:rPr>
        <w:t xml:space="preserve">. </w:t>
      </w:r>
      <w:r>
        <w:t>In sites serving adults, the follow-up survey is</w:t>
      </w:r>
      <w:r w:rsidRPr="001106CF">
        <w:t xml:space="preserve"> administered via CAT</w:t>
      </w:r>
      <w:r>
        <w:t>I and CAWI. The survey is conducted approximately 12</w:t>
      </w:r>
      <w:r w:rsidRPr="001106CF">
        <w:t xml:space="preserve"> months after study enrollment. </w:t>
      </w:r>
      <w:r>
        <w:t>To increase the</w:t>
      </w:r>
      <w:r w:rsidRPr="001106CF">
        <w:t xml:space="preserve"> response rate to the follow-up </w:t>
      </w:r>
      <w:r>
        <w:t>survey, the evaluation team</w:t>
      </w:r>
      <w:r w:rsidRPr="001106CF">
        <w:t xml:space="preserve"> send</w:t>
      </w:r>
      <w:r>
        <w:t>s</w:t>
      </w:r>
      <w:r w:rsidRPr="001106CF">
        <w:t xml:space="preserve"> previously approved advance letters to study participants prior to attempting contact by telephone.</w:t>
      </w:r>
    </w:p>
    <w:p w:rsidR="005D2EF6" w:rsidP="00AF1EC0" w:rsidRDefault="005D2EF6" w14:paraId="0C10CA10" w14:textId="77777777">
      <w:pPr>
        <w:pStyle w:val="NormalSS"/>
        <w:ind w:firstLine="0"/>
        <w:rPr>
          <w:b/>
          <w:u w:val="single"/>
        </w:rPr>
      </w:pPr>
    </w:p>
    <w:p w:rsidRPr="00A7259F" w:rsidR="00AF1EC0" w:rsidP="00AF1EC0" w:rsidRDefault="00AF1EC0" w14:paraId="7B2482DA" w14:textId="77777777">
      <w:pPr>
        <w:pStyle w:val="NormalSS"/>
        <w:ind w:firstLine="0"/>
        <w:rPr>
          <w:b/>
          <w:u w:val="single"/>
        </w:rPr>
      </w:pPr>
      <w:r w:rsidRPr="00A7259F">
        <w:rPr>
          <w:b/>
          <w:u w:val="single"/>
        </w:rPr>
        <w:t>Previously Approved; Data Collection Complete</w:t>
      </w:r>
    </w:p>
    <w:p w:rsidR="00AF1EC0" w:rsidP="00AF1EC0" w:rsidRDefault="00AF1EC0" w14:paraId="42BCEA7E" w14:textId="77777777">
      <w:pPr>
        <w:pStyle w:val="NormalSS"/>
        <w:ind w:firstLine="0"/>
      </w:pPr>
      <w:r>
        <w:t>Previously approved data collection instruments with which data collection is complete include:</w:t>
      </w:r>
    </w:p>
    <w:p w:rsidRPr="006033A4" w:rsidR="00AF1EC0" w:rsidP="00AF1EC0" w:rsidRDefault="00AF1EC0" w14:paraId="647CC301" w14:textId="77777777">
      <w:pPr>
        <w:pStyle w:val="NormalSS"/>
        <w:numPr>
          <w:ilvl w:val="0"/>
          <w:numId w:val="23"/>
        </w:numPr>
      </w:pPr>
      <w:r w:rsidRPr="00082433">
        <w:rPr>
          <w:b/>
        </w:rPr>
        <w:t>Topic guide for staff and stakeholder interviews</w:t>
      </w:r>
      <w:r>
        <w:rPr>
          <w:b/>
        </w:rPr>
        <w:t xml:space="preserve"> (Instrument 1)</w:t>
      </w:r>
      <w:r w:rsidRPr="00082433">
        <w:t xml:space="preserve">. The purpose of this information collection </w:t>
      </w:r>
      <w:r>
        <w:t>was</w:t>
      </w:r>
      <w:r w:rsidRPr="00082433">
        <w:t xml:space="preserve"> to document manager, staff, and community stakeholder experiences and perspectives about the implementation and operation of HMRE programs. This guide </w:t>
      </w:r>
      <w:r>
        <w:t>was</w:t>
      </w:r>
      <w:r w:rsidRPr="00082433">
        <w:t xml:space="preserve"> used during site visits to collect information from program managers, program staff, and community stakeholders on topics such as program plans </w:t>
      </w:r>
      <w:r w:rsidRPr="00082433">
        <w:lastRenderedPageBreak/>
        <w:t>and goals, staffing structure, recruitment and engagement, service delivery, enrollment and retention strategies, goal attainment, and community context.</w:t>
      </w:r>
      <w:r w:rsidRPr="006033A4">
        <w:t xml:space="preserve"> </w:t>
      </w:r>
    </w:p>
    <w:p w:rsidRPr="006033A4" w:rsidR="00AF1EC0" w:rsidP="00AF1EC0" w:rsidRDefault="00AF1EC0" w14:paraId="2151F866" w14:textId="77777777">
      <w:pPr>
        <w:ind w:left="720"/>
      </w:pPr>
      <w:r w:rsidRPr="00D70F39">
        <w:rPr>
          <w:b/>
        </w:rPr>
        <w:t xml:space="preserve">Focus group guide for adults (Instrument 2). </w:t>
      </w:r>
      <w:r w:rsidRPr="00D70F39">
        <w:t xml:space="preserve">The purpose of the focus group guide for adults </w:t>
      </w:r>
      <w:r>
        <w:t>was</w:t>
      </w:r>
      <w:r w:rsidRPr="00D70F39">
        <w:t xml:space="preserve"> to obtain information about adult program participants’ motivations for enrolling in the program and their perspectives on the availability, quality, and value of program services. The evaluation team also ask</w:t>
      </w:r>
      <w:r>
        <w:t>ed</w:t>
      </w:r>
      <w:r w:rsidRPr="00D70F39">
        <w:t xml:space="preserve"> about participants’ level of satisfaction with the program and their self-assessment of knowledge and skill gains from program participation. The purpose of the focus groups </w:t>
      </w:r>
      <w:r>
        <w:t>was</w:t>
      </w:r>
      <w:r w:rsidRPr="00D70F39">
        <w:t xml:space="preserve"> to document participants’ experiences and satisfaction with the program, as well as their perceptions of the knowledge and skills they gained through program participation. Focus group data will not be used to measure program effects. Program effects will be measured using data from follow-up surveys which cover a range of topics, including the quality and stability of romantic relationships and other outcomes.</w:t>
      </w:r>
    </w:p>
    <w:p w:rsidRPr="006033A4" w:rsidR="00AF1EC0" w:rsidP="00AF1EC0" w:rsidRDefault="00AF1EC0" w14:paraId="60B31E45" w14:textId="77777777">
      <w:pPr>
        <w:pStyle w:val="NormalSS"/>
        <w:numPr>
          <w:ilvl w:val="0"/>
          <w:numId w:val="23"/>
        </w:numPr>
      </w:pPr>
      <w:r w:rsidRPr="001609C2">
        <w:rPr>
          <w:b/>
        </w:rPr>
        <w:t>Focus group guide for youth</w:t>
      </w:r>
      <w:r>
        <w:rPr>
          <w:b/>
        </w:rPr>
        <w:t xml:space="preserve"> in schools (Instrument 3)</w:t>
      </w:r>
      <w:r w:rsidRPr="001609C2">
        <w:rPr>
          <w:b/>
        </w:rPr>
        <w:t xml:space="preserve">. </w:t>
      </w:r>
      <w:r w:rsidRPr="00082433">
        <w:t xml:space="preserve">The purpose of the focus group guide for youth </w:t>
      </w:r>
      <w:r>
        <w:t>was</w:t>
      </w:r>
      <w:r w:rsidRPr="00082433">
        <w:t xml:space="preserve"> to obtain information about youth program participants’ motivations for enrolling in the program and their perspectives on the availability, quality, and value of program services. The evaluation team also ask</w:t>
      </w:r>
      <w:r>
        <w:t>ed</w:t>
      </w:r>
      <w:r w:rsidRPr="00082433">
        <w:t xml:space="preserve"> about participants’ level of satisfaction with the program and their self-assessment of knowledge and skill gains from program participation. The purpose of the focus groups </w:t>
      </w:r>
      <w:r>
        <w:t>was</w:t>
      </w:r>
      <w:r w:rsidRPr="00082433">
        <w:t xml:space="preserve"> to document participants’ experiences and satisfaction with the program, as well as their perceptions of the knowledge and skills they gained through program participation. Focus group data will not be used to measure program effects. Program effects will be measured using data from follow-up surveys which cover a range of topics, including the quality and stability of romantic relationships and other outcomes.</w:t>
      </w:r>
      <w:r w:rsidRPr="006033A4">
        <w:t xml:space="preserve"> </w:t>
      </w:r>
    </w:p>
    <w:p w:rsidR="00AF1EC0" w:rsidP="00AF1EC0" w:rsidRDefault="00AF1EC0" w14:paraId="529D2644" w14:textId="77777777">
      <w:pPr>
        <w:pStyle w:val="NormalSS"/>
        <w:numPr>
          <w:ilvl w:val="0"/>
          <w:numId w:val="23"/>
        </w:numPr>
      </w:pPr>
      <w:r w:rsidRPr="001609C2">
        <w:rPr>
          <w:b/>
        </w:rPr>
        <w:t>Staff survey</w:t>
      </w:r>
      <w:r>
        <w:rPr>
          <w:b/>
        </w:rPr>
        <w:t xml:space="preserve"> (Instrument 4)</w:t>
      </w:r>
      <w:r w:rsidRPr="001609C2">
        <w:rPr>
          <w:b/>
        </w:rPr>
        <w:t>.</w:t>
      </w:r>
      <w:r w:rsidRPr="00082433">
        <w:t xml:space="preserve"> The purpose of this survey </w:t>
      </w:r>
      <w:r>
        <w:t>was</w:t>
      </w:r>
      <w:r w:rsidRPr="00082433">
        <w:t xml:space="preserve"> to obtain more systematic and potentially more candid information than can be gained from program staff through interviews during site visits. Site visit interviews of program staff </w:t>
      </w:r>
      <w:r>
        <w:t>were</w:t>
      </w:r>
      <w:r w:rsidRPr="00082433">
        <w:t xml:space="preserve"> often conducted in group or other semi-public settings, which may</w:t>
      </w:r>
      <w:r>
        <w:t xml:space="preserve"> have</w:t>
      </w:r>
      <w:r w:rsidRPr="00082433">
        <w:t xml:space="preserve"> limit</w:t>
      </w:r>
      <w:r>
        <w:t>ed</w:t>
      </w:r>
      <w:r w:rsidRPr="00082433">
        <w:t xml:space="preserve"> staff’s willingness to disclose certain work experiences. Staff completing the survey may</w:t>
      </w:r>
      <w:r>
        <w:t xml:space="preserve"> have</w:t>
      </w:r>
      <w:r w:rsidRPr="00082433">
        <w:t xml:space="preserve"> be</w:t>
      </w:r>
      <w:r>
        <w:t>en</w:t>
      </w:r>
      <w:r w:rsidRPr="00082433">
        <w:t xml:space="preserve"> more willing to candidly report on their experiences working with the program due to the anonymity afforded by the survey and the ability to complete the instrument in a private setting. The survey gather</w:t>
      </w:r>
      <w:r>
        <w:t>ed</w:t>
      </w:r>
      <w:r w:rsidRPr="00082433">
        <w:t xml:space="preserve"> information from program staff on their work activities, work experience, interactions with other staff members, opportunities to receive training, supervision, and perceptions of the supportiveness of the organization. The survey </w:t>
      </w:r>
      <w:r>
        <w:t>was self-administered as a web survey</w:t>
      </w:r>
      <w:r w:rsidRPr="00082433">
        <w:t>.</w:t>
      </w:r>
      <w:r w:rsidRPr="006033A4">
        <w:t xml:space="preserve"> </w:t>
      </w:r>
    </w:p>
    <w:p w:rsidR="00AF1EC0" w:rsidP="00AF1EC0" w:rsidRDefault="00AF1EC0" w14:paraId="71D1D970" w14:textId="77777777">
      <w:pPr>
        <w:pStyle w:val="NormalSS"/>
        <w:numPr>
          <w:ilvl w:val="0"/>
          <w:numId w:val="23"/>
        </w:numPr>
      </w:pPr>
      <w:r w:rsidRPr="001609C2">
        <w:rPr>
          <w:b/>
        </w:rPr>
        <w:t>Session adherence form</w:t>
      </w:r>
      <w:r>
        <w:rPr>
          <w:b/>
        </w:rPr>
        <w:t xml:space="preserve"> (Instrument 5)</w:t>
      </w:r>
      <w:r w:rsidRPr="001609C2">
        <w:rPr>
          <w:b/>
        </w:rPr>
        <w:t>.</w:t>
      </w:r>
      <w:r w:rsidRPr="00082433">
        <w:t xml:space="preserve"> The purpose of this form </w:t>
      </w:r>
      <w:r>
        <w:t>was</w:t>
      </w:r>
      <w:r w:rsidRPr="00082433">
        <w:t xml:space="preserve"> to collect data on facilitators’ adherence to the HMRE curriculum during each group session. Facilitators report</w:t>
      </w:r>
      <w:r>
        <w:t>ed</w:t>
      </w:r>
      <w:r w:rsidRPr="00082433">
        <w:t xml:space="preserve"> on the materials, lessons, and activities they used during the sessions as well as any disruptions or difficulties with conducting the session as planned. The STREAMS evaluation team include</w:t>
      </w:r>
      <w:r>
        <w:t>d</w:t>
      </w:r>
      <w:r w:rsidRPr="00082433">
        <w:t xml:space="preserve"> an additional screen in the nFORM system (OMB no. 0970-0460) for use in STREAMS sites that facilitators </w:t>
      </w:r>
      <w:r>
        <w:t>could</w:t>
      </w:r>
      <w:r w:rsidRPr="00082433">
        <w:t xml:space="preserve"> use to record this information.</w:t>
      </w:r>
    </w:p>
    <w:p w:rsidRPr="006033A4" w:rsidR="00AF1EC0" w:rsidP="00AF1EC0" w:rsidRDefault="00AF1EC0" w14:paraId="1A8F9C9E" w14:textId="77777777">
      <w:pPr>
        <w:pStyle w:val="NumberedBullet"/>
        <w:numPr>
          <w:ilvl w:val="0"/>
          <w:numId w:val="23"/>
        </w:numPr>
      </w:pPr>
      <w:r w:rsidRPr="009D2B92">
        <w:rPr>
          <w:b/>
        </w:rPr>
        <w:t xml:space="preserve">Baseline survey for youth in high schools (Instrument </w:t>
      </w:r>
      <w:r>
        <w:rPr>
          <w:b/>
        </w:rPr>
        <w:t>8</w:t>
      </w:r>
      <w:r w:rsidRPr="009D2B92">
        <w:rPr>
          <w:b/>
        </w:rPr>
        <w:t xml:space="preserve">). </w:t>
      </w:r>
      <w:r>
        <w:t xml:space="preserve">The purpose of this survey was to </w:t>
      </w:r>
      <w:r w:rsidRPr="009D2B92">
        <w:t>collect information from study participants on their characteristics, pre</w:t>
      </w:r>
      <w:r w:rsidRPr="009D2B92">
        <w:noBreakHyphen/>
        <w:t xml:space="preserve">program </w:t>
      </w:r>
      <w:r w:rsidRPr="009D2B92">
        <w:lastRenderedPageBreak/>
        <w:t>measures of key outcomes, and contact information used to locate them for follow-up survey completion</w:t>
      </w:r>
      <w:r>
        <w:t xml:space="preserve">. The survey was administered via audio computer-assisted self-administered interviewing (ACASI) on a tablet device during group administration in high school classrooms. </w:t>
      </w:r>
    </w:p>
    <w:p w:rsidR="00D15AEE" w:rsidP="00E92764" w:rsidRDefault="00D15AEE" w14:paraId="127827DA" w14:textId="77777777">
      <w:pPr>
        <w:pStyle w:val="NormalSS"/>
        <w:ind w:left="792" w:firstLine="0"/>
      </w:pPr>
    </w:p>
    <w:p w:rsidR="00CA002B" w:rsidP="00436F5E" w:rsidRDefault="00CA002B" w14:paraId="269D907E" w14:textId="77777777">
      <w:pPr>
        <w:spacing w:after="120"/>
        <w:rPr>
          <w:b/>
        </w:rPr>
      </w:pPr>
      <w:r>
        <w:rPr>
          <w:b/>
        </w:rPr>
        <w:t xml:space="preserve">A3. </w:t>
      </w:r>
      <w:r w:rsidRPr="0072204D">
        <w:rPr>
          <w:b/>
        </w:rPr>
        <w:t>Improved Information Technology to Reduce Burden</w:t>
      </w:r>
    </w:p>
    <w:p w:rsidR="00F313CC" w:rsidP="00CA002B" w:rsidRDefault="00F313CC" w14:paraId="05BCF164" w14:textId="77777777">
      <w:pPr>
        <w:spacing w:after="120"/>
      </w:pPr>
      <w:r>
        <w:rPr>
          <w:i/>
        </w:rPr>
        <w:t>Previously Approved Request</w:t>
      </w:r>
      <w:r w:rsidR="001016BA">
        <w:tab/>
      </w:r>
    </w:p>
    <w:p w:rsidRPr="00FB1BA8" w:rsidR="00CA002B" w:rsidP="000D64BA" w:rsidRDefault="00CA002B" w14:paraId="3C8544F9" w14:textId="77777777">
      <w:pPr>
        <w:spacing w:after="120"/>
        <w:ind w:firstLine="450"/>
      </w:pPr>
      <w:r w:rsidRPr="00FB1BA8">
        <w:t xml:space="preserve">The evaluation team </w:t>
      </w:r>
      <w:r w:rsidR="00F313CC">
        <w:t xml:space="preserve">is using technology to reduce burden for the baseline and first follow-up surveys. </w:t>
      </w:r>
      <w:r w:rsidRPr="00F313CC" w:rsidR="00F313CC">
        <w:t xml:space="preserve">In the STREAMS site serving youth in high school, the evaluation team </w:t>
      </w:r>
      <w:r w:rsidR="00F313CC">
        <w:t>is conducting the surveys using ACASI</w:t>
      </w:r>
      <w:r w:rsidRPr="00F313CC" w:rsidR="00F313CC">
        <w:t>. The respondent listens to a recording of the survey questions and then enters responses on a tablet device. ACASI allows programming of skip logic and response validation, creating a more streamlined experience for respondents than a paper-and-pencil survey and ensuring that respondents do not inadvertently complete sections of the survey that they should skip.</w:t>
      </w:r>
      <w:r w:rsidR="001F4AE1">
        <w:t xml:space="preserve"> </w:t>
      </w:r>
      <w:r w:rsidR="00175816">
        <w:t>The evaluation team will contact youth who do not complete the follow-up in school and request that they complete the survey by telephone using CATI.</w:t>
      </w:r>
    </w:p>
    <w:p w:rsidR="00CA002B" w:rsidP="000D64BA" w:rsidRDefault="00CA002B" w14:paraId="5FB3CE69" w14:textId="77777777">
      <w:pPr>
        <w:spacing w:after="120"/>
        <w:ind w:firstLine="540"/>
      </w:pPr>
      <w:r w:rsidRPr="00FB1BA8">
        <w:t>In the STREAMS site</w:t>
      </w:r>
      <w:r w:rsidR="0021429E">
        <w:t>s</w:t>
      </w:r>
      <w:r w:rsidRPr="00FB1BA8">
        <w:t xml:space="preserve"> serving adults, </w:t>
      </w:r>
      <w:r w:rsidR="001F4AE1">
        <w:t xml:space="preserve">the evaluation team is conducting the baseline survey using CATI. </w:t>
      </w:r>
      <w:r w:rsidRPr="00FB1BA8">
        <w:t>This technology is well suited to interviews with complex skip patterns, the need for interviewer probes, and the large number of respondents. CATI reduces respondent burden by automating skip logic and question wording adaptations and eliminating delays caused when interviewers have to determine for themselves the next question to ask. CATI is programmed to accept only valid responses based on pre-programmed checks for logical consistency across responses. Interviewers are able to correct errors during the interview, eliminating the need for burdensome call-backs to respondents.</w:t>
      </w:r>
      <w:r w:rsidR="001F4AE1">
        <w:t xml:space="preserve"> </w:t>
      </w:r>
    </w:p>
    <w:p w:rsidR="001F4AE1" w:rsidP="000D64BA" w:rsidRDefault="001F4AE1" w14:paraId="100276B4" w14:textId="77777777">
      <w:pPr>
        <w:spacing w:after="120"/>
        <w:ind w:firstLine="540"/>
      </w:pPr>
      <w:r>
        <w:t xml:space="preserve">The first follow-up survey for adults is administered using CATI. The survey is also being administered using web. Similar to CATI surveys, the web survey reduces respondent burden by </w:t>
      </w:r>
      <w:r w:rsidRPr="001F4AE1">
        <w:t>automating skip logic and question wording adaptations and eliminating delays caused</w:t>
      </w:r>
      <w:r>
        <w:t xml:space="preserve"> </w:t>
      </w:r>
      <w:r w:rsidRPr="001F4AE1">
        <w:t>when interviewers have to determine for themselves the next question to ask</w:t>
      </w:r>
      <w:r>
        <w:t xml:space="preserve">. The web survey is </w:t>
      </w:r>
      <w:r w:rsidRPr="001F4AE1">
        <w:t>programmed to accept only valid responses based on pre-programmed checks for logical consistency across responses.</w:t>
      </w:r>
    </w:p>
    <w:p w:rsidRPr="00FB1BA8" w:rsidR="00AA5D65" w:rsidP="000D64BA" w:rsidRDefault="00AA5D65" w14:paraId="107E1D78" w14:textId="1A582158">
      <w:pPr>
        <w:spacing w:after="120"/>
        <w:ind w:firstLine="540"/>
      </w:pPr>
      <w:r>
        <w:t xml:space="preserve">All surveys administered using CATI are recorded for quality assurance. These recordings are used by phone center supervisors, as well as the project team, to monitor that surveys are being conducted correctly. Respondents </w:t>
      </w:r>
      <w:r w:rsidR="00F95537">
        <w:t>can</w:t>
      </w:r>
      <w:r>
        <w:t xml:space="preserve"> decline to be recorded and all recordings are stored on a secure server and destroyed at the end of the study.</w:t>
      </w:r>
    </w:p>
    <w:p w:rsidRPr="00FB1BA8" w:rsidR="00CA002B" w:rsidP="00CA002B" w:rsidRDefault="005D2EF6" w14:paraId="499081BA" w14:textId="39ED41C7">
      <w:pPr>
        <w:spacing w:after="120"/>
        <w:rPr>
          <w:i/>
        </w:rPr>
      </w:pPr>
      <w:r>
        <w:rPr>
          <w:i/>
        </w:rPr>
        <w:t xml:space="preserve">New Information Collection </w:t>
      </w:r>
      <w:r w:rsidR="00175816">
        <w:rPr>
          <w:i/>
        </w:rPr>
        <w:t>Request</w:t>
      </w:r>
    </w:p>
    <w:p w:rsidR="00CA002B" w:rsidP="000D64BA" w:rsidRDefault="00175816" w14:paraId="47CD8819" w14:textId="77777777">
      <w:pPr>
        <w:spacing w:after="120"/>
        <w:ind w:firstLine="450"/>
      </w:pPr>
      <w:r>
        <w:t xml:space="preserve">For the second follow-up, the evaluation team will use the same technology as the baseline and first follow-up surveys to reduce respondent burden. </w:t>
      </w:r>
    </w:p>
    <w:p w:rsidR="005D2EF6" w:rsidP="000D64BA" w:rsidRDefault="005D2EF6" w14:paraId="32EB0485" w14:textId="77777777">
      <w:pPr>
        <w:spacing w:after="120"/>
        <w:ind w:firstLine="450"/>
      </w:pPr>
    </w:p>
    <w:p w:rsidRPr="0072204D" w:rsidR="00945CD6" w:rsidP="00436F5E" w:rsidRDefault="00292B70" w14:paraId="7D192932" w14:textId="77777777">
      <w:pPr>
        <w:spacing w:after="120"/>
        <w:rPr>
          <w:b/>
        </w:rPr>
      </w:pPr>
      <w:r>
        <w:rPr>
          <w:b/>
        </w:rPr>
        <w:t xml:space="preserve">A4. </w:t>
      </w:r>
      <w:r w:rsidRPr="0072204D" w:rsidR="00945CD6">
        <w:rPr>
          <w:b/>
        </w:rPr>
        <w:t>Efforts to Identify Duplication</w:t>
      </w:r>
    </w:p>
    <w:p w:rsidR="008C673B" w:rsidP="008C673B" w:rsidRDefault="003161F2" w14:paraId="494E5CEC" w14:textId="77777777">
      <w:pPr>
        <w:spacing w:after="240"/>
        <w:ind w:firstLine="432"/>
      </w:pPr>
      <w:r>
        <w:t xml:space="preserve">The STREAMS evaluation will not require the collection of information that is available from alternative sources. To avoid potential duplication, the STREAMS evaluation team will rely on data being collected from grantees as part of performance measurement. This data </w:t>
      </w:r>
      <w:r>
        <w:lastRenderedPageBreak/>
        <w:t xml:space="preserve">collection is being overseen through the </w:t>
      </w:r>
      <w:r w:rsidR="005D2EF6">
        <w:t xml:space="preserve">ACF </w:t>
      </w:r>
      <w:r>
        <w:t>FaMLE Cross-Site project with data being recorded in the nFORM system (OMB no. 0970-046).</w:t>
      </w:r>
    </w:p>
    <w:p w:rsidRPr="00132E0D" w:rsidR="00132E0D" w:rsidP="008C673B" w:rsidRDefault="003161F2" w14:paraId="5E4FAA04" w14:textId="77777777">
      <w:pPr>
        <w:spacing w:after="240"/>
        <w:ind w:firstLine="432"/>
      </w:pPr>
      <w:r>
        <w:t>At each stage of the evaluation, the evaluation team will ensure that they do not collect information that is available elsewhere. None of the instruments will ask for information that can be reliably obtained through other sources.</w:t>
      </w:r>
    </w:p>
    <w:p w:rsidRPr="0072204D" w:rsidR="00945CD6" w:rsidP="00436F5E" w:rsidRDefault="00292B70" w14:paraId="313A44F4" w14:textId="77777777">
      <w:pPr>
        <w:spacing w:after="120"/>
        <w:rPr>
          <w:b/>
        </w:rPr>
      </w:pPr>
      <w:r>
        <w:rPr>
          <w:b/>
        </w:rPr>
        <w:t xml:space="preserve">A5. </w:t>
      </w:r>
      <w:r w:rsidRPr="0072204D" w:rsidR="00945CD6">
        <w:rPr>
          <w:b/>
        </w:rPr>
        <w:t>Involvement of Small Organizations</w:t>
      </w:r>
    </w:p>
    <w:p w:rsidRPr="00513F35" w:rsidR="008C78B4" w:rsidP="008C673B" w:rsidRDefault="00220F41" w14:paraId="237414E4" w14:textId="77777777">
      <w:pPr>
        <w:spacing w:after="240"/>
        <w:ind w:firstLine="432"/>
      </w:pPr>
      <w:r>
        <w:t>No small businesses that are not HMRE grantees or their partners will participate in data collection. Some of the H</w:t>
      </w:r>
      <w:r w:rsidR="00132E0D">
        <w:t>MRE grantees and partners may be</w:t>
      </w:r>
      <w:r>
        <w:t xml:space="preserve"> small entities, such as community</w:t>
      </w:r>
      <w:r>
        <w:noBreakHyphen/>
        <w:t>based organizations and schools. We will only request information required for the intended use and minimize burden by restricting the length of surveys to the minimum required, conducting interviews on-site or on the telephone at times that are convenient to respondents, and convening focus groups in a convenient location.</w:t>
      </w:r>
    </w:p>
    <w:p w:rsidRPr="0072204D" w:rsidR="00945CD6" w:rsidP="00436F5E" w:rsidRDefault="00292B70" w14:paraId="375236E9" w14:textId="77777777">
      <w:pPr>
        <w:spacing w:after="120"/>
        <w:rPr>
          <w:b/>
        </w:rPr>
      </w:pPr>
      <w:r>
        <w:rPr>
          <w:b/>
        </w:rPr>
        <w:t xml:space="preserve">A6. </w:t>
      </w:r>
      <w:r w:rsidRPr="0072204D" w:rsidR="00945CD6">
        <w:rPr>
          <w:b/>
        </w:rPr>
        <w:t>Consequences of Less Frequent Data Collection</w:t>
      </w:r>
    </w:p>
    <w:p w:rsidR="005046F0" w:rsidP="008C673B" w:rsidRDefault="00132E0D" w14:paraId="68115871" w14:textId="77777777">
      <w:pPr>
        <w:spacing w:after="240"/>
        <w:ind w:firstLine="432"/>
      </w:pPr>
      <w:r>
        <w:t>All of the data collection instruments for the STREAMS impact study are</w:t>
      </w:r>
      <w:r w:rsidR="00220F41">
        <w:t xml:space="preserve"> one-time data collections.</w:t>
      </w:r>
    </w:p>
    <w:p w:rsidRPr="0072204D" w:rsidR="00945CD6" w:rsidP="00436F5E" w:rsidRDefault="00292B70" w14:paraId="7C7AD20C" w14:textId="77777777">
      <w:pPr>
        <w:spacing w:after="120"/>
        <w:rPr>
          <w:b/>
        </w:rPr>
      </w:pPr>
      <w:r>
        <w:rPr>
          <w:b/>
        </w:rPr>
        <w:t xml:space="preserve">A7. </w:t>
      </w:r>
      <w:r w:rsidRPr="0072204D" w:rsidR="00945CD6">
        <w:rPr>
          <w:b/>
        </w:rPr>
        <w:t>Special Circumstances</w:t>
      </w:r>
    </w:p>
    <w:p w:rsidRPr="00513F35" w:rsidR="00D90EF6" w:rsidP="008C673B" w:rsidRDefault="00D90EF6" w14:paraId="0ED8FEE3" w14:textId="77777777">
      <w:pPr>
        <w:spacing w:after="240"/>
        <w:ind w:firstLine="432"/>
        <w:rPr>
          <w:szCs w:val="22"/>
        </w:rPr>
      </w:pPr>
      <w:r w:rsidRPr="00132E0D">
        <w:rPr>
          <w:szCs w:val="22"/>
        </w:rPr>
        <w:t>There are no special circumstances for the proposed data collection efforts.</w:t>
      </w:r>
    </w:p>
    <w:p w:rsidR="00D90EF6" w:rsidP="00436F5E" w:rsidRDefault="00292B70" w14:paraId="35B70CED" w14:textId="77777777">
      <w:pPr>
        <w:spacing w:after="120"/>
        <w:rPr>
          <w:b/>
        </w:rPr>
      </w:pPr>
      <w:r w:rsidRPr="000D53DF">
        <w:rPr>
          <w:b/>
        </w:rPr>
        <w:t xml:space="preserve">A8. </w:t>
      </w:r>
      <w:r w:rsidRPr="000D53DF" w:rsidR="00945CD6">
        <w:rPr>
          <w:b/>
        </w:rPr>
        <w:t>Federal Register Notice and Consultation</w:t>
      </w:r>
    </w:p>
    <w:p w:rsidRPr="00B91D97" w:rsidR="00B91D97" w:rsidP="00436F5E" w:rsidRDefault="00B91D97" w14:paraId="4A77BE5B" w14:textId="77777777">
      <w:pPr>
        <w:spacing w:after="60"/>
        <w:rPr>
          <w:b/>
          <w:i/>
        </w:rPr>
      </w:pPr>
      <w:r w:rsidRPr="004B63ED">
        <w:rPr>
          <w:b/>
          <w:i/>
        </w:rPr>
        <w:t>Federal Register Notice and Comments</w:t>
      </w:r>
    </w:p>
    <w:p w:rsidR="008F10A2" w:rsidP="00132E0D" w:rsidRDefault="008F10A2" w14:paraId="6ECE963A" w14:textId="1EC51688">
      <w:pPr>
        <w:ind w:firstLine="432"/>
      </w:pPr>
      <w:r w:rsidRPr="00F4788E">
        <w:t>In accordance with the Paperwork Reduction Act of 1995 (Pub. L. 104-13</w:t>
      </w:r>
      <w:r>
        <w:t>)</w:t>
      </w:r>
      <w:r w:rsidRPr="00F4788E">
        <w:t xml:space="preserve"> and Office of Management and Budget (OMB) regulations at 5 CFR Part 1320 (60 FR 44978, August 29, 1995), ACF published a notice in the Federal Register announcing the agency’s intention to </w:t>
      </w:r>
      <w:r w:rsidRPr="00A96C55">
        <w:t xml:space="preserve">request an OMB review of this information collection activity.  This notice was published on </w:t>
      </w:r>
      <w:r w:rsidRPr="00A96C55" w:rsidR="003B6F18">
        <w:t>December 6, 2018</w:t>
      </w:r>
      <w:r w:rsidRPr="00A96C55">
        <w:t xml:space="preserve">, Volume </w:t>
      </w:r>
      <w:r w:rsidRPr="00A96C55" w:rsidR="003B6F18">
        <w:t xml:space="preserve">83, </w:t>
      </w:r>
      <w:r w:rsidRPr="00A96C55">
        <w:t xml:space="preserve">Number </w:t>
      </w:r>
      <w:r w:rsidRPr="00A96C55" w:rsidR="003B6F18">
        <w:t xml:space="preserve">234, </w:t>
      </w:r>
      <w:r w:rsidRPr="00A96C55">
        <w:t xml:space="preserve">page </w:t>
      </w:r>
      <w:r w:rsidRPr="00A96C55" w:rsidR="003B6F18">
        <w:t xml:space="preserve">62871, </w:t>
      </w:r>
      <w:r w:rsidRPr="00A96C55">
        <w:t xml:space="preserve">and provided a sixty-day period for public comment.  A copy of this notice is attached as Attachment </w:t>
      </w:r>
      <w:r w:rsidRPr="00A96C55" w:rsidR="005F0CA7">
        <w:t>J</w:t>
      </w:r>
      <w:r w:rsidRPr="00A96C55">
        <w:rPr>
          <w:b/>
        </w:rPr>
        <w:t xml:space="preserve">. </w:t>
      </w:r>
      <w:r w:rsidRPr="00A96C55">
        <w:t xml:space="preserve"> During the notice and comment period, </w:t>
      </w:r>
      <w:r w:rsidR="00A96C55">
        <w:t xml:space="preserve">no substantive comments </w:t>
      </w:r>
      <w:r w:rsidRPr="00A96C55">
        <w:t xml:space="preserve">were received. </w:t>
      </w:r>
    </w:p>
    <w:p w:rsidRPr="00B91D97" w:rsidR="00B91D97" w:rsidP="00436F5E" w:rsidRDefault="00B91D97" w14:paraId="066621DD" w14:textId="77777777">
      <w:pPr>
        <w:pStyle w:val="Heading4"/>
        <w:rPr>
          <w:rFonts w:ascii="Times New Roman" w:hAnsi="Times New Roman"/>
          <w:i/>
          <w:sz w:val="24"/>
          <w:szCs w:val="24"/>
        </w:rPr>
      </w:pPr>
      <w:r w:rsidRPr="004B63ED">
        <w:rPr>
          <w:rFonts w:ascii="Times New Roman" w:hAnsi="Times New Roman"/>
          <w:i/>
          <w:sz w:val="24"/>
          <w:szCs w:val="24"/>
        </w:rPr>
        <w:t>Consultation with Experts Outside of the Study</w:t>
      </w:r>
    </w:p>
    <w:p w:rsidR="008F10A2" w:rsidP="00132E0D" w:rsidRDefault="00E92616" w14:paraId="172DD941" w14:textId="77777777">
      <w:pPr>
        <w:ind w:firstLine="432"/>
      </w:pPr>
      <w:r>
        <w:t xml:space="preserve">In developing the data collections for the STREAMS impact study, the </w:t>
      </w:r>
      <w:r w:rsidR="00F85204">
        <w:t>evaluation team consulted with external experts to complement the knowledge and experience of the evaluation team</w:t>
      </w:r>
      <w:r>
        <w:t xml:space="preserve"> (Table A.2</w:t>
      </w:r>
      <w:r w:rsidR="00F85204">
        <w:t>). Consultants included program and policy experts and researchers. Collectively, these consultants have specialized knowledge in HMRE programs for youth and adults, strategies for improving the quality of program implementation, and research design and data collection methods relevant to this work.</w:t>
      </w:r>
    </w:p>
    <w:p w:rsidR="00F85204" w:rsidP="00132E0D" w:rsidRDefault="00F85204" w14:paraId="54F44E68" w14:textId="77777777"/>
    <w:p w:rsidRPr="00F85204" w:rsidR="00F85204" w:rsidP="00132E0D" w:rsidRDefault="00E92616" w14:paraId="3B70C3AC" w14:textId="77777777">
      <w:pPr>
        <w:rPr>
          <w:b/>
          <w:highlight w:val="yellow"/>
        </w:rPr>
      </w:pPr>
      <w:r>
        <w:rPr>
          <w:b/>
        </w:rPr>
        <w:t>Table A.2</w:t>
      </w:r>
      <w:r w:rsidRPr="00F85204" w:rsidR="00F85204">
        <w:rPr>
          <w:b/>
        </w:rPr>
        <w:t>. STREAMS expert group</w:t>
      </w:r>
    </w:p>
    <w:tbl>
      <w:tblPr>
        <w:tblW w:w="5000" w:type="pct"/>
        <w:tblLook w:val="0620" w:firstRow="1" w:lastRow="0" w:firstColumn="0" w:lastColumn="0" w:noHBand="1" w:noVBand="1"/>
      </w:tblPr>
      <w:tblGrid>
        <w:gridCol w:w="2040"/>
        <w:gridCol w:w="7320"/>
      </w:tblGrid>
      <w:tr w:rsidRPr="006B5C77" w:rsidR="00F85204" w:rsidTr="006B5C77" w14:paraId="1A122A83" w14:textId="77777777">
        <w:trPr>
          <w:tblHeader/>
        </w:trPr>
        <w:tc>
          <w:tcPr>
            <w:tcW w:w="1090" w:type="pct"/>
            <w:tcBorders>
              <w:bottom w:val="single" w:color="FFFFFF" w:sz="8" w:space="0"/>
            </w:tcBorders>
            <w:shd w:val="clear" w:color="auto" w:fill="6C6F70"/>
          </w:tcPr>
          <w:p w:rsidRPr="006B5C77" w:rsidR="00F85204" w:rsidP="006B5C77" w:rsidRDefault="00F85204" w14:paraId="700F79CB" w14:textId="77777777">
            <w:pPr>
              <w:pStyle w:val="TableHeaderLeft"/>
              <w:rPr>
                <w:b w:val="0"/>
                <w:bCs/>
              </w:rPr>
            </w:pPr>
            <w:r w:rsidRPr="006B5C77">
              <w:rPr>
                <w:bCs/>
              </w:rPr>
              <w:t>Name</w:t>
            </w:r>
          </w:p>
        </w:tc>
        <w:tc>
          <w:tcPr>
            <w:tcW w:w="3910" w:type="pct"/>
            <w:tcBorders>
              <w:bottom w:val="single" w:color="FFFFFF" w:sz="8" w:space="0"/>
            </w:tcBorders>
            <w:shd w:val="clear" w:color="auto" w:fill="6C6F70"/>
          </w:tcPr>
          <w:p w:rsidRPr="006B5C77" w:rsidR="00F85204" w:rsidP="006B5C77" w:rsidRDefault="00F85204" w14:paraId="1CC0588F" w14:textId="77777777">
            <w:pPr>
              <w:pStyle w:val="TableHeaderCenter"/>
              <w:rPr>
                <w:b w:val="0"/>
                <w:bCs/>
              </w:rPr>
            </w:pPr>
            <w:r w:rsidRPr="006B5C77">
              <w:rPr>
                <w:bCs/>
              </w:rPr>
              <w:t>Affiliation</w:t>
            </w:r>
          </w:p>
        </w:tc>
      </w:tr>
      <w:tr w:rsidRPr="006B5C77" w:rsidR="00F85204" w:rsidTr="006B5C77" w14:paraId="7D3350F5" w14:textId="77777777">
        <w:tc>
          <w:tcPr>
            <w:tcW w:w="1090" w:type="pct"/>
            <w:tcBorders>
              <w:top w:val="single" w:color="000000" w:sz="8" w:space="0"/>
            </w:tcBorders>
            <w:shd w:val="clear" w:color="auto" w:fill="auto"/>
          </w:tcPr>
          <w:p w:rsidRPr="00AA795E" w:rsidR="00F85204" w:rsidP="006B5C77" w:rsidRDefault="00F85204" w14:paraId="45F59EC8" w14:textId="77777777">
            <w:pPr>
              <w:pStyle w:val="TableText"/>
              <w:spacing w:before="60" w:after="60"/>
            </w:pPr>
            <w:r>
              <w:t>Paul Amato</w:t>
            </w:r>
          </w:p>
        </w:tc>
        <w:tc>
          <w:tcPr>
            <w:tcW w:w="3910" w:type="pct"/>
            <w:tcBorders>
              <w:top w:val="single" w:color="000000" w:sz="8" w:space="0"/>
            </w:tcBorders>
            <w:shd w:val="clear" w:color="auto" w:fill="auto"/>
          </w:tcPr>
          <w:p w:rsidRPr="006B5C77" w:rsidR="00F85204" w:rsidP="006B5C77" w:rsidRDefault="00F85204" w14:paraId="7AD94B86" w14:textId="77777777">
            <w:pPr>
              <w:pStyle w:val="TableText"/>
              <w:spacing w:before="60" w:after="60"/>
              <w:rPr>
                <w:iCs/>
              </w:rPr>
            </w:pPr>
            <w:r w:rsidRPr="006B5C77">
              <w:rPr>
                <w:iCs/>
              </w:rPr>
              <w:t>Pennsylvania State University</w:t>
            </w:r>
          </w:p>
        </w:tc>
      </w:tr>
      <w:tr w:rsidRPr="006B5C77" w:rsidR="00F85204" w:rsidTr="006B5C77" w14:paraId="1C5F16FB" w14:textId="77777777">
        <w:tc>
          <w:tcPr>
            <w:tcW w:w="1090" w:type="pct"/>
            <w:shd w:val="clear" w:color="auto" w:fill="auto"/>
          </w:tcPr>
          <w:p w:rsidRPr="00AA795E" w:rsidR="00F85204" w:rsidP="006B5C77" w:rsidRDefault="00F85204" w14:paraId="34B5BBD1" w14:textId="77777777">
            <w:pPr>
              <w:pStyle w:val="TableText"/>
              <w:spacing w:before="60" w:after="60"/>
            </w:pPr>
            <w:r>
              <w:t>Thomas Bradbury</w:t>
            </w:r>
          </w:p>
        </w:tc>
        <w:tc>
          <w:tcPr>
            <w:tcW w:w="3910" w:type="pct"/>
            <w:shd w:val="clear" w:color="auto" w:fill="auto"/>
          </w:tcPr>
          <w:p w:rsidRPr="006B5C77" w:rsidR="00F85204" w:rsidP="006B5C77" w:rsidRDefault="00F85204" w14:paraId="3AF321A9" w14:textId="77777777">
            <w:pPr>
              <w:pStyle w:val="TableText"/>
              <w:spacing w:before="60" w:after="60"/>
              <w:rPr>
                <w:iCs/>
              </w:rPr>
            </w:pPr>
            <w:r w:rsidRPr="006B5C77">
              <w:rPr>
                <w:iCs/>
              </w:rPr>
              <w:t>University of California-Los Angeles, Relationship Institute</w:t>
            </w:r>
          </w:p>
        </w:tc>
      </w:tr>
      <w:tr w:rsidRPr="006B5C77" w:rsidR="00F85204" w:rsidTr="006B5C77" w14:paraId="0CDF6AAA" w14:textId="77777777">
        <w:tc>
          <w:tcPr>
            <w:tcW w:w="1090" w:type="pct"/>
            <w:shd w:val="clear" w:color="auto" w:fill="auto"/>
          </w:tcPr>
          <w:p w:rsidRPr="00AA795E" w:rsidR="00F85204" w:rsidP="006B5C77" w:rsidRDefault="00F85204" w14:paraId="070152B6" w14:textId="77777777">
            <w:pPr>
              <w:pStyle w:val="TableText"/>
              <w:spacing w:before="60" w:after="60"/>
            </w:pPr>
            <w:r>
              <w:lastRenderedPageBreak/>
              <w:t>Carolyn Pape Cowan</w:t>
            </w:r>
          </w:p>
        </w:tc>
        <w:tc>
          <w:tcPr>
            <w:tcW w:w="3910" w:type="pct"/>
            <w:shd w:val="clear" w:color="auto" w:fill="auto"/>
          </w:tcPr>
          <w:p w:rsidRPr="006B5C77" w:rsidR="00F85204" w:rsidP="006B5C77" w:rsidRDefault="00F85204" w14:paraId="58CEB415" w14:textId="77777777">
            <w:pPr>
              <w:pStyle w:val="TableText"/>
              <w:spacing w:before="60" w:after="60"/>
              <w:rPr>
                <w:iCs/>
              </w:rPr>
            </w:pPr>
            <w:r w:rsidRPr="006B5C77">
              <w:rPr>
                <w:iCs/>
              </w:rPr>
              <w:t>University of California-Berkeley</w:t>
            </w:r>
          </w:p>
        </w:tc>
      </w:tr>
      <w:tr w:rsidRPr="006B5C77" w:rsidR="00F85204" w:rsidTr="006B5C77" w14:paraId="74C6007B" w14:textId="77777777">
        <w:tc>
          <w:tcPr>
            <w:tcW w:w="1090" w:type="pct"/>
            <w:shd w:val="clear" w:color="auto" w:fill="auto"/>
          </w:tcPr>
          <w:p w:rsidRPr="00AA795E" w:rsidR="00F85204" w:rsidP="006B5C77" w:rsidRDefault="00F85204" w14:paraId="720BB7D9" w14:textId="77777777">
            <w:pPr>
              <w:pStyle w:val="TableText"/>
              <w:spacing w:before="60" w:after="60"/>
            </w:pPr>
            <w:r>
              <w:t>Philip Cowan</w:t>
            </w:r>
          </w:p>
        </w:tc>
        <w:tc>
          <w:tcPr>
            <w:tcW w:w="3910" w:type="pct"/>
            <w:shd w:val="clear" w:color="auto" w:fill="auto"/>
          </w:tcPr>
          <w:p w:rsidRPr="006B5C77" w:rsidR="00F85204" w:rsidP="006B5C77" w:rsidRDefault="00F85204" w14:paraId="4698F399" w14:textId="77777777">
            <w:pPr>
              <w:pStyle w:val="TableText"/>
              <w:spacing w:before="60" w:after="60"/>
              <w:rPr>
                <w:iCs/>
              </w:rPr>
            </w:pPr>
            <w:r w:rsidRPr="006B5C77">
              <w:rPr>
                <w:iCs/>
              </w:rPr>
              <w:t>University of California-Berkeley</w:t>
            </w:r>
          </w:p>
        </w:tc>
      </w:tr>
      <w:tr w:rsidRPr="006B5C77" w:rsidR="00F85204" w:rsidTr="006B5C77" w14:paraId="66E19E11" w14:textId="77777777">
        <w:tc>
          <w:tcPr>
            <w:tcW w:w="1090" w:type="pct"/>
            <w:shd w:val="clear" w:color="auto" w:fill="auto"/>
          </w:tcPr>
          <w:p w:rsidRPr="00AA795E" w:rsidR="00F85204" w:rsidP="006B5C77" w:rsidRDefault="00F85204" w14:paraId="6B0D6EF5" w14:textId="77777777">
            <w:pPr>
              <w:pStyle w:val="TableText"/>
              <w:spacing w:before="60" w:after="60"/>
            </w:pPr>
            <w:r>
              <w:t>William Doherty</w:t>
            </w:r>
          </w:p>
        </w:tc>
        <w:tc>
          <w:tcPr>
            <w:tcW w:w="3910" w:type="pct"/>
            <w:shd w:val="clear" w:color="auto" w:fill="auto"/>
          </w:tcPr>
          <w:p w:rsidRPr="006B5C77" w:rsidR="00F85204" w:rsidP="006B5C77" w:rsidRDefault="00F85204" w14:paraId="7D66AC01" w14:textId="77777777">
            <w:pPr>
              <w:pStyle w:val="TableText"/>
              <w:spacing w:before="60" w:after="60"/>
              <w:rPr>
                <w:iCs/>
              </w:rPr>
            </w:pPr>
            <w:r w:rsidRPr="006B5C77">
              <w:rPr>
                <w:iCs/>
              </w:rPr>
              <w:t>University of Minnesota</w:t>
            </w:r>
          </w:p>
        </w:tc>
      </w:tr>
      <w:tr w:rsidRPr="006B5C77" w:rsidR="00F85204" w:rsidTr="006B5C77" w14:paraId="117D4E4F" w14:textId="77777777">
        <w:tc>
          <w:tcPr>
            <w:tcW w:w="1090" w:type="pct"/>
            <w:shd w:val="clear" w:color="auto" w:fill="auto"/>
          </w:tcPr>
          <w:p w:rsidRPr="00AA795E" w:rsidR="00F85204" w:rsidP="006B5C77" w:rsidRDefault="00F85204" w14:paraId="7879EE2E" w14:textId="77777777">
            <w:pPr>
              <w:pStyle w:val="TableText"/>
              <w:spacing w:before="60" w:after="60"/>
            </w:pPr>
            <w:r>
              <w:t>Ariel Kalil</w:t>
            </w:r>
          </w:p>
        </w:tc>
        <w:tc>
          <w:tcPr>
            <w:tcW w:w="3910" w:type="pct"/>
            <w:shd w:val="clear" w:color="auto" w:fill="auto"/>
          </w:tcPr>
          <w:p w:rsidRPr="006B5C77" w:rsidR="00F85204" w:rsidP="006B5C77" w:rsidRDefault="00F85204" w14:paraId="78B34C26" w14:textId="77777777">
            <w:pPr>
              <w:pStyle w:val="TableText"/>
              <w:spacing w:before="60" w:after="60"/>
              <w:rPr>
                <w:iCs/>
              </w:rPr>
            </w:pPr>
            <w:r w:rsidRPr="006B5C77">
              <w:rPr>
                <w:iCs/>
              </w:rPr>
              <w:t>University of Chicago, Behavioral Insights and Parenting Lab</w:t>
            </w:r>
          </w:p>
        </w:tc>
      </w:tr>
      <w:tr w:rsidRPr="006B5C77" w:rsidR="00F85204" w:rsidTr="006B5C77" w14:paraId="71AEFC57" w14:textId="77777777">
        <w:tc>
          <w:tcPr>
            <w:tcW w:w="1090" w:type="pct"/>
            <w:shd w:val="clear" w:color="auto" w:fill="auto"/>
          </w:tcPr>
          <w:p w:rsidRPr="00AA795E" w:rsidR="00F85204" w:rsidP="006B5C77" w:rsidRDefault="00F85204" w14:paraId="0F31F3F6" w14:textId="77777777">
            <w:pPr>
              <w:pStyle w:val="TableText"/>
              <w:spacing w:before="60" w:after="60"/>
            </w:pPr>
            <w:r>
              <w:t>Jennifer Kerpelman</w:t>
            </w:r>
          </w:p>
        </w:tc>
        <w:tc>
          <w:tcPr>
            <w:tcW w:w="3910" w:type="pct"/>
            <w:shd w:val="clear" w:color="auto" w:fill="auto"/>
          </w:tcPr>
          <w:p w:rsidRPr="006B5C77" w:rsidR="00F85204" w:rsidP="006B5C77" w:rsidRDefault="00F85204" w14:paraId="0A68CDE2" w14:textId="77777777">
            <w:pPr>
              <w:pStyle w:val="TableText"/>
              <w:spacing w:before="60" w:after="60"/>
              <w:rPr>
                <w:iCs/>
              </w:rPr>
            </w:pPr>
            <w:r w:rsidRPr="006B5C77">
              <w:rPr>
                <w:iCs/>
              </w:rPr>
              <w:t>Auburn University</w:t>
            </w:r>
          </w:p>
        </w:tc>
      </w:tr>
      <w:tr w:rsidRPr="006B5C77" w:rsidR="00F85204" w:rsidTr="006B5C77" w14:paraId="043489F8" w14:textId="77777777">
        <w:tc>
          <w:tcPr>
            <w:tcW w:w="1090" w:type="pct"/>
            <w:shd w:val="clear" w:color="auto" w:fill="auto"/>
          </w:tcPr>
          <w:p w:rsidRPr="00AA795E" w:rsidR="00F85204" w:rsidP="006B5C77" w:rsidRDefault="00F85204" w14:paraId="61137A02" w14:textId="77777777">
            <w:pPr>
              <w:pStyle w:val="TableText"/>
              <w:spacing w:before="60" w:after="60"/>
            </w:pPr>
            <w:r>
              <w:t>Wendy Manning</w:t>
            </w:r>
          </w:p>
        </w:tc>
        <w:tc>
          <w:tcPr>
            <w:tcW w:w="3910" w:type="pct"/>
            <w:shd w:val="clear" w:color="auto" w:fill="auto"/>
          </w:tcPr>
          <w:p w:rsidRPr="006B5C77" w:rsidR="00F85204" w:rsidP="006B5C77" w:rsidRDefault="00F85204" w14:paraId="433C87DA" w14:textId="77777777">
            <w:pPr>
              <w:pStyle w:val="TableText"/>
              <w:spacing w:before="60" w:after="60"/>
              <w:rPr>
                <w:iCs/>
              </w:rPr>
            </w:pPr>
            <w:r w:rsidRPr="006B5C77">
              <w:rPr>
                <w:iCs/>
              </w:rPr>
              <w:t>Bowling Green State University</w:t>
            </w:r>
          </w:p>
        </w:tc>
      </w:tr>
      <w:tr w:rsidRPr="006B5C77" w:rsidR="00F85204" w:rsidTr="006B5C77" w14:paraId="1400B35B" w14:textId="77777777">
        <w:tc>
          <w:tcPr>
            <w:tcW w:w="1090" w:type="pct"/>
            <w:shd w:val="clear" w:color="auto" w:fill="auto"/>
          </w:tcPr>
          <w:p w:rsidR="00F85204" w:rsidP="006B5C77" w:rsidRDefault="00F85204" w14:paraId="6E9DA56A" w14:textId="77777777">
            <w:pPr>
              <w:pStyle w:val="TableText"/>
              <w:spacing w:before="60" w:after="60"/>
            </w:pPr>
            <w:r>
              <w:t>Allison Metz</w:t>
            </w:r>
          </w:p>
        </w:tc>
        <w:tc>
          <w:tcPr>
            <w:tcW w:w="3910" w:type="pct"/>
            <w:shd w:val="clear" w:color="auto" w:fill="auto"/>
          </w:tcPr>
          <w:p w:rsidRPr="006B5C77" w:rsidR="00F85204" w:rsidP="006B5C77" w:rsidRDefault="00F85204" w14:paraId="30DFC7CC" w14:textId="77777777">
            <w:pPr>
              <w:pStyle w:val="TableText"/>
              <w:spacing w:before="60" w:after="60"/>
              <w:rPr>
                <w:iCs/>
              </w:rPr>
            </w:pPr>
            <w:r w:rsidRPr="006B5C77">
              <w:rPr>
                <w:iCs/>
              </w:rPr>
              <w:t>University of North Carolina, National Implementation Research Network</w:t>
            </w:r>
          </w:p>
        </w:tc>
      </w:tr>
      <w:tr w:rsidRPr="006B5C77" w:rsidR="00F85204" w:rsidTr="006B5C77" w14:paraId="59189CB0" w14:textId="77777777">
        <w:tc>
          <w:tcPr>
            <w:tcW w:w="1090" w:type="pct"/>
            <w:shd w:val="clear" w:color="auto" w:fill="auto"/>
          </w:tcPr>
          <w:p w:rsidRPr="00AA795E" w:rsidR="00F85204" w:rsidP="006B5C77" w:rsidRDefault="00F85204" w14:paraId="79ED6027" w14:textId="77777777">
            <w:pPr>
              <w:pStyle w:val="TableText"/>
              <w:spacing w:before="60" w:after="60"/>
            </w:pPr>
            <w:r>
              <w:t>Shari Miller</w:t>
            </w:r>
          </w:p>
        </w:tc>
        <w:tc>
          <w:tcPr>
            <w:tcW w:w="3910" w:type="pct"/>
            <w:shd w:val="clear" w:color="auto" w:fill="auto"/>
          </w:tcPr>
          <w:p w:rsidRPr="006B5C77" w:rsidR="00F85204" w:rsidP="006B5C77" w:rsidRDefault="00F85204" w14:paraId="228EBDEB" w14:textId="77777777">
            <w:pPr>
              <w:pStyle w:val="TableText"/>
              <w:spacing w:before="60" w:after="60"/>
              <w:rPr>
                <w:iCs/>
              </w:rPr>
            </w:pPr>
            <w:r w:rsidRPr="006B5C77">
              <w:rPr>
                <w:iCs/>
              </w:rPr>
              <w:t>RTI International</w:t>
            </w:r>
          </w:p>
        </w:tc>
      </w:tr>
      <w:tr w:rsidRPr="006B5C77" w:rsidR="00F85204" w:rsidTr="006B5C77" w14:paraId="54319EC4" w14:textId="77777777">
        <w:tc>
          <w:tcPr>
            <w:tcW w:w="1090" w:type="pct"/>
            <w:shd w:val="clear" w:color="auto" w:fill="auto"/>
          </w:tcPr>
          <w:p w:rsidRPr="00AA795E" w:rsidR="00F85204" w:rsidP="006B5C77" w:rsidRDefault="00F85204" w14:paraId="203FEE3F" w14:textId="77777777">
            <w:pPr>
              <w:pStyle w:val="TableText"/>
              <w:spacing w:before="60" w:after="60"/>
            </w:pPr>
            <w:r>
              <w:t>Kay Reed</w:t>
            </w:r>
          </w:p>
        </w:tc>
        <w:tc>
          <w:tcPr>
            <w:tcW w:w="3910" w:type="pct"/>
            <w:shd w:val="clear" w:color="auto" w:fill="auto"/>
          </w:tcPr>
          <w:p w:rsidRPr="006B5C77" w:rsidR="00F85204" w:rsidP="006B5C77" w:rsidRDefault="00F85204" w14:paraId="4FA3A65A" w14:textId="77777777">
            <w:pPr>
              <w:pStyle w:val="TableText"/>
              <w:spacing w:before="60" w:after="60"/>
              <w:rPr>
                <w:iCs/>
              </w:rPr>
            </w:pPr>
            <w:r w:rsidRPr="006B5C77">
              <w:rPr>
                <w:iCs/>
              </w:rPr>
              <w:t>The Dibble Institute</w:t>
            </w:r>
          </w:p>
        </w:tc>
      </w:tr>
      <w:tr w:rsidRPr="006B5C77" w:rsidR="00F85204" w:rsidTr="006B5C77" w14:paraId="4EA75AAA" w14:textId="77777777">
        <w:tc>
          <w:tcPr>
            <w:tcW w:w="1090" w:type="pct"/>
            <w:shd w:val="clear" w:color="auto" w:fill="auto"/>
          </w:tcPr>
          <w:p w:rsidRPr="00AA795E" w:rsidR="00F85204" w:rsidP="006B5C77" w:rsidRDefault="00F85204" w14:paraId="0EA49767" w14:textId="77777777">
            <w:pPr>
              <w:pStyle w:val="TableText"/>
              <w:spacing w:before="60" w:after="60"/>
            </w:pPr>
            <w:r>
              <w:t>Mindy Scott</w:t>
            </w:r>
          </w:p>
        </w:tc>
        <w:tc>
          <w:tcPr>
            <w:tcW w:w="3910" w:type="pct"/>
            <w:shd w:val="clear" w:color="auto" w:fill="auto"/>
          </w:tcPr>
          <w:p w:rsidRPr="006B5C77" w:rsidR="00F85204" w:rsidP="006B5C77" w:rsidRDefault="00F85204" w14:paraId="5B5107DC" w14:textId="77777777">
            <w:pPr>
              <w:pStyle w:val="TableText"/>
              <w:spacing w:before="60" w:after="60"/>
              <w:rPr>
                <w:iCs/>
              </w:rPr>
            </w:pPr>
            <w:r w:rsidRPr="006B5C77">
              <w:rPr>
                <w:iCs/>
              </w:rPr>
              <w:t>Child Trends</w:t>
            </w:r>
          </w:p>
        </w:tc>
      </w:tr>
      <w:tr w:rsidRPr="006B5C77" w:rsidR="00F85204" w:rsidTr="006B5C77" w14:paraId="5C4A9DBB" w14:textId="77777777">
        <w:tc>
          <w:tcPr>
            <w:tcW w:w="1090" w:type="pct"/>
            <w:shd w:val="clear" w:color="auto" w:fill="auto"/>
          </w:tcPr>
          <w:p w:rsidRPr="00AA795E" w:rsidR="00F85204" w:rsidP="006B5C77" w:rsidRDefault="00F85204" w14:paraId="054DFA23" w14:textId="77777777">
            <w:pPr>
              <w:pStyle w:val="TableText"/>
              <w:spacing w:before="60" w:after="60"/>
            </w:pPr>
            <w:r>
              <w:t>Renee Sieving</w:t>
            </w:r>
          </w:p>
        </w:tc>
        <w:tc>
          <w:tcPr>
            <w:tcW w:w="3910" w:type="pct"/>
            <w:shd w:val="clear" w:color="auto" w:fill="auto"/>
          </w:tcPr>
          <w:p w:rsidRPr="006B5C77" w:rsidR="00F85204" w:rsidP="006B5C77" w:rsidRDefault="00F85204" w14:paraId="1B81C40B" w14:textId="77777777">
            <w:pPr>
              <w:pStyle w:val="TableText"/>
              <w:spacing w:before="60" w:after="60"/>
              <w:rPr>
                <w:iCs/>
              </w:rPr>
            </w:pPr>
            <w:r w:rsidRPr="006B5C77">
              <w:rPr>
                <w:iCs/>
              </w:rPr>
              <w:t>University of Minnesota</w:t>
            </w:r>
          </w:p>
        </w:tc>
      </w:tr>
      <w:tr w:rsidRPr="006B5C77" w:rsidR="00F85204" w:rsidTr="006B5C77" w14:paraId="749382F6" w14:textId="77777777">
        <w:tc>
          <w:tcPr>
            <w:tcW w:w="1090" w:type="pct"/>
            <w:shd w:val="clear" w:color="auto" w:fill="auto"/>
          </w:tcPr>
          <w:p w:rsidR="00F85204" w:rsidP="006B5C77" w:rsidRDefault="00F85204" w14:paraId="3591F091" w14:textId="77777777">
            <w:pPr>
              <w:pStyle w:val="TableText"/>
              <w:spacing w:before="60" w:after="60"/>
            </w:pPr>
            <w:r>
              <w:t>Scott Stanley</w:t>
            </w:r>
          </w:p>
        </w:tc>
        <w:tc>
          <w:tcPr>
            <w:tcW w:w="3910" w:type="pct"/>
            <w:shd w:val="clear" w:color="auto" w:fill="auto"/>
          </w:tcPr>
          <w:p w:rsidRPr="006B5C77" w:rsidR="00F85204" w:rsidP="006B5C77" w:rsidRDefault="00F85204" w14:paraId="3AC6B827" w14:textId="77777777">
            <w:pPr>
              <w:pStyle w:val="TableText"/>
              <w:spacing w:before="60" w:after="60"/>
              <w:rPr>
                <w:iCs/>
              </w:rPr>
            </w:pPr>
            <w:r w:rsidRPr="006B5C77">
              <w:rPr>
                <w:iCs/>
              </w:rPr>
              <w:t>University of Denver, Center for Marital and Family Studies</w:t>
            </w:r>
          </w:p>
        </w:tc>
      </w:tr>
      <w:tr w:rsidRPr="006B5C77" w:rsidR="00F85204" w:rsidTr="006B5C77" w14:paraId="02810A95" w14:textId="77777777">
        <w:tc>
          <w:tcPr>
            <w:tcW w:w="1090" w:type="pct"/>
            <w:shd w:val="clear" w:color="auto" w:fill="auto"/>
          </w:tcPr>
          <w:p w:rsidRPr="00AA795E" w:rsidR="00F85204" w:rsidP="006B5C77" w:rsidRDefault="00F85204" w14:paraId="5A140C8E" w14:textId="77777777">
            <w:pPr>
              <w:pStyle w:val="TableText"/>
              <w:spacing w:before="60" w:after="60"/>
            </w:pPr>
            <w:r>
              <w:t>Luis Torres</w:t>
            </w:r>
          </w:p>
        </w:tc>
        <w:tc>
          <w:tcPr>
            <w:tcW w:w="3910" w:type="pct"/>
            <w:shd w:val="clear" w:color="auto" w:fill="auto"/>
          </w:tcPr>
          <w:p w:rsidRPr="006B5C77" w:rsidR="00F85204" w:rsidP="006B5C77" w:rsidRDefault="00F85204" w14:paraId="4E3280B9" w14:textId="77777777">
            <w:pPr>
              <w:pStyle w:val="TableText"/>
              <w:spacing w:before="60" w:after="60"/>
              <w:rPr>
                <w:iCs/>
              </w:rPr>
            </w:pPr>
            <w:r w:rsidRPr="006B5C77">
              <w:rPr>
                <w:iCs/>
              </w:rPr>
              <w:t>University of Houston</w:t>
            </w:r>
          </w:p>
        </w:tc>
      </w:tr>
      <w:tr w:rsidRPr="006B5C77" w:rsidR="00F85204" w:rsidTr="006B5C77" w14:paraId="07C8AAEE" w14:textId="77777777">
        <w:tc>
          <w:tcPr>
            <w:tcW w:w="1090" w:type="pct"/>
            <w:tcBorders>
              <w:bottom w:val="single" w:color="auto" w:sz="4" w:space="0"/>
            </w:tcBorders>
            <w:shd w:val="clear" w:color="auto" w:fill="auto"/>
          </w:tcPr>
          <w:p w:rsidRPr="00AA795E" w:rsidR="00F85204" w:rsidP="006B5C77" w:rsidRDefault="00F85204" w14:paraId="2B7FB3A6" w14:textId="77777777">
            <w:pPr>
              <w:pStyle w:val="TableText"/>
              <w:spacing w:before="60" w:after="60"/>
            </w:pPr>
            <w:r>
              <w:t>David Wolfe</w:t>
            </w:r>
          </w:p>
        </w:tc>
        <w:tc>
          <w:tcPr>
            <w:tcW w:w="3910" w:type="pct"/>
            <w:tcBorders>
              <w:bottom w:val="single" w:color="auto" w:sz="4" w:space="0"/>
            </w:tcBorders>
            <w:shd w:val="clear" w:color="auto" w:fill="auto"/>
          </w:tcPr>
          <w:p w:rsidRPr="006B5C77" w:rsidR="00F85204" w:rsidP="006B5C77" w:rsidRDefault="00F85204" w14:paraId="5D1B9FA7" w14:textId="77777777">
            <w:pPr>
              <w:pStyle w:val="TableText"/>
              <w:spacing w:before="60" w:after="60"/>
              <w:rPr>
                <w:iCs/>
              </w:rPr>
            </w:pPr>
            <w:r w:rsidRPr="006B5C77">
              <w:rPr>
                <w:iCs/>
              </w:rPr>
              <w:t>University of Toronto</w:t>
            </w:r>
          </w:p>
        </w:tc>
      </w:tr>
    </w:tbl>
    <w:p w:rsidR="00436F5E" w:rsidP="00436F5E" w:rsidRDefault="00436F5E" w14:paraId="38521719" w14:textId="77777777">
      <w:pPr>
        <w:shd w:val="clear" w:color="auto" w:fill="D9D9D9"/>
        <w:rPr>
          <w:highlight w:val="yellow"/>
        </w:rPr>
      </w:pPr>
    </w:p>
    <w:p w:rsidRPr="00E72E9A" w:rsidR="00F85204" w:rsidP="00436F5E" w:rsidRDefault="00F85204" w14:paraId="404CDB1F" w14:textId="77777777">
      <w:pPr>
        <w:shd w:val="clear" w:color="auto" w:fill="D9D9D9"/>
        <w:rPr>
          <w:highlight w:val="yellow"/>
        </w:rPr>
      </w:pPr>
    </w:p>
    <w:p w:rsidR="00D90EF6" w:rsidP="00292B70" w:rsidRDefault="00D90EF6" w14:paraId="5F7F0136" w14:textId="77777777">
      <w:pPr>
        <w:rPr>
          <w:b/>
        </w:rPr>
      </w:pPr>
    </w:p>
    <w:p w:rsidRPr="0072204D" w:rsidR="00945CD6" w:rsidP="00D44E91" w:rsidRDefault="00292B70" w14:paraId="265E635D" w14:textId="77777777">
      <w:pPr>
        <w:spacing w:after="120"/>
        <w:rPr>
          <w:b/>
        </w:rPr>
      </w:pPr>
      <w:r>
        <w:rPr>
          <w:b/>
        </w:rPr>
        <w:t xml:space="preserve">A9. </w:t>
      </w:r>
      <w:r w:rsidR="00B66874">
        <w:rPr>
          <w:b/>
        </w:rPr>
        <w:t>Incentives for</w:t>
      </w:r>
      <w:r w:rsidRPr="0072204D" w:rsidR="00945CD6">
        <w:rPr>
          <w:b/>
        </w:rPr>
        <w:t xml:space="preserve"> Respondents</w:t>
      </w:r>
    </w:p>
    <w:p w:rsidR="00FB0295" w:rsidP="00FB0295" w:rsidRDefault="00FB0295" w14:paraId="1930D783" w14:textId="4553C365">
      <w:pPr>
        <w:spacing w:after="240"/>
        <w:ind w:firstLine="540"/>
      </w:pPr>
      <w:r>
        <w:t>The STREAMS second follow-up round extends the STREAM</w:t>
      </w:r>
      <w:r w:rsidR="00AB1D78">
        <w:t>S</w:t>
      </w:r>
      <w:r>
        <w:t xml:space="preserve"> longitudinal RCT study </w:t>
      </w:r>
      <w:r w:rsidR="0057525E">
        <w:t xml:space="preserve">design. </w:t>
      </w:r>
      <w:r>
        <w:t xml:space="preserve">The critical data quality issues facing the study team </w:t>
      </w:r>
      <w:r w:rsidR="0057525E">
        <w:t>at this point in the impact evaluation are</w:t>
      </w:r>
      <w:r>
        <w:t xml:space="preserve"> (1) maintaining high response rates to ensure sufficient statistical power to detect meaningful longer-term effects of the </w:t>
      </w:r>
      <w:r w:rsidR="0057525E">
        <w:t>interventions</w:t>
      </w:r>
      <w:r>
        <w:t xml:space="preserve"> and (2) and minimizing differential non-response to ensure non-biased estimates of effects for the full baseline study population.</w:t>
      </w:r>
      <w:r w:rsidR="0057525E">
        <w:t xml:space="preserve">  The team proposes the use of incentives as part of the strategy for meeting these data quality goals.  For a description of additional planned efforts, please see SSB, Section B3 (</w:t>
      </w:r>
      <w:r w:rsidRPr="0057525E" w:rsidR="0057525E">
        <w:t>Methods to Maximize Response</w:t>
      </w:r>
      <w:r w:rsidR="0057525E">
        <w:t xml:space="preserve"> Rates and Deal with Nonresponse).</w:t>
      </w:r>
      <w:r>
        <w:t xml:space="preserve"> </w:t>
      </w:r>
    </w:p>
    <w:p w:rsidR="008C673B" w:rsidP="00AB1D78" w:rsidRDefault="00154D52" w14:paraId="0E16AC19" w14:textId="7BDACF66">
      <w:pPr>
        <w:spacing w:after="240"/>
        <w:ind w:firstLine="540"/>
      </w:pPr>
      <w:r>
        <w:t xml:space="preserve">The following incentive structure was previously approved for the STREAMS impact study: For the site serving youth in high schools, respondents receive a $15 </w:t>
      </w:r>
      <w:r w:rsidR="003F2418">
        <w:t>gift card</w:t>
      </w:r>
      <w:r w:rsidR="005600F6">
        <w:t xml:space="preserve"> </w:t>
      </w:r>
      <w:r>
        <w:t xml:space="preserve">for completing the follow-up </w:t>
      </w:r>
      <w:r w:rsidR="00054670">
        <w:t xml:space="preserve">survey in </w:t>
      </w:r>
      <w:r>
        <w:t>school</w:t>
      </w:r>
      <w:r w:rsidR="001649A3">
        <w:t>. Those who cannot be reached in school</w:t>
      </w:r>
      <w:r>
        <w:t xml:space="preserve"> </w:t>
      </w:r>
      <w:r w:rsidR="001649A3">
        <w:t xml:space="preserve">are offered </w:t>
      </w:r>
      <w:r>
        <w:t xml:space="preserve">a $20 gift card for completing the </w:t>
      </w:r>
      <w:r w:rsidR="00054670">
        <w:t>follow-up survey by CATI or CAWI outside of school. For sites serv</w:t>
      </w:r>
      <w:r w:rsidR="005600F6">
        <w:t>ing adults, respondents receive</w:t>
      </w:r>
      <w:r w:rsidR="00054670">
        <w:t xml:space="preserve"> a $25 gi</w:t>
      </w:r>
      <w:r w:rsidR="005600F6">
        <w:t>ft card for completing</w:t>
      </w:r>
      <w:r w:rsidR="00054670">
        <w:t xml:space="preserve"> the follow-up survey by CATI or CAWI.</w:t>
      </w:r>
      <w:r w:rsidR="00B12569">
        <w:t xml:space="preserve"> As indicated in </w:t>
      </w:r>
      <w:r w:rsidR="0070409C">
        <w:t xml:space="preserve">Table A.3, </w:t>
      </w:r>
      <w:r w:rsidR="006D20B7">
        <w:t>fo</w:t>
      </w:r>
      <w:r w:rsidR="002A3096">
        <w:t xml:space="preserve">r the first round of data collection, </w:t>
      </w:r>
      <w:r w:rsidR="0070409C">
        <w:t>STREAMS has achieved the goals of</w:t>
      </w:r>
      <w:r w:rsidR="006A50C9">
        <w:t xml:space="preserve"> (1) maintain</w:t>
      </w:r>
      <w:r w:rsidR="004F49D7">
        <w:t>in</w:t>
      </w:r>
      <w:r w:rsidR="006A50C9">
        <w:t>g</w:t>
      </w:r>
      <w:r w:rsidR="0070409C">
        <w:t xml:space="preserve"> high response rates and </w:t>
      </w:r>
      <w:r w:rsidR="006A50C9">
        <w:t>(2) minimizing</w:t>
      </w:r>
      <w:r w:rsidR="0070409C">
        <w:t xml:space="preserve"> differential non-r</w:t>
      </w:r>
      <w:r w:rsidR="006A50C9">
        <w:t>esponse</w:t>
      </w:r>
      <w:r w:rsidR="006D20B7">
        <w:t xml:space="preserve"> with this incentive structure.</w:t>
      </w:r>
      <w:r w:rsidR="00EB428C">
        <w:t xml:space="preserve"> To date, the response rate for the first round of </w:t>
      </w:r>
      <w:r w:rsidR="004D0795">
        <w:t xml:space="preserve">follow-up </w:t>
      </w:r>
      <w:r w:rsidR="00EB428C">
        <w:t>data collection is 85 percent for the site serving youth in high schools and 79 percent for sites serving adults, with a difference of less than five percentage points between the treatment and control groups.</w:t>
      </w:r>
    </w:p>
    <w:p w:rsidRPr="000818D6" w:rsidR="006A50C9" w:rsidP="006A50C9" w:rsidRDefault="006A50C9" w14:paraId="6180A43B" w14:textId="51269008">
      <w:pPr>
        <w:rPr>
          <w:b/>
        </w:rPr>
      </w:pPr>
      <w:r>
        <w:rPr>
          <w:b/>
        </w:rPr>
        <w:t>Table A.3</w:t>
      </w:r>
      <w:r w:rsidRPr="000818D6">
        <w:rPr>
          <w:b/>
        </w:rPr>
        <w:t xml:space="preserve">. </w:t>
      </w:r>
      <w:r>
        <w:rPr>
          <w:b/>
        </w:rPr>
        <w:t xml:space="preserve">Follow-up survey </w:t>
      </w:r>
      <w:r w:rsidR="004F49D7">
        <w:rPr>
          <w:b/>
        </w:rPr>
        <w:t xml:space="preserve">response rates in </w:t>
      </w:r>
      <w:r w:rsidRPr="000818D6">
        <w:rPr>
          <w:b/>
        </w:rPr>
        <w:t xml:space="preserve">STREAMS </w:t>
      </w:r>
      <w:r>
        <w:rPr>
          <w:b/>
        </w:rPr>
        <w:t>impact study sites</w:t>
      </w:r>
    </w:p>
    <w:tbl>
      <w:tblPr>
        <w:tblW w:w="0" w:type="auto"/>
        <w:tblBorders>
          <w:bottom w:val="single" w:color="auto" w:sz="4" w:space="0"/>
        </w:tblBorders>
        <w:tblLook w:val="04A0" w:firstRow="1" w:lastRow="0" w:firstColumn="1" w:lastColumn="0" w:noHBand="0" w:noVBand="1"/>
      </w:tblPr>
      <w:tblGrid>
        <w:gridCol w:w="3060"/>
        <w:gridCol w:w="1980"/>
        <w:gridCol w:w="1800"/>
        <w:gridCol w:w="2520"/>
      </w:tblGrid>
      <w:tr w:rsidRPr="000818D6" w:rsidR="004F49D7" w:rsidTr="00656DF0" w14:paraId="32029821" w14:textId="77777777">
        <w:tc>
          <w:tcPr>
            <w:tcW w:w="3060" w:type="dxa"/>
            <w:shd w:val="clear" w:color="auto" w:fill="6C6F70"/>
            <w:vAlign w:val="bottom"/>
          </w:tcPr>
          <w:p w:rsidRPr="000818D6" w:rsidR="004F49D7" w:rsidP="00324460" w:rsidRDefault="004F49D7" w14:paraId="1F2961F9" w14:textId="7B5FDC0C">
            <w:pPr>
              <w:spacing w:before="120" w:after="60"/>
              <w:rPr>
                <w:rFonts w:ascii="Arial" w:hAnsi="Arial"/>
                <w:b/>
                <w:color w:val="FFFFFF"/>
                <w:sz w:val="18"/>
                <w:szCs w:val="18"/>
              </w:rPr>
            </w:pPr>
            <w:r>
              <w:rPr>
                <w:rFonts w:ascii="Arial" w:hAnsi="Arial"/>
                <w:b/>
                <w:color w:val="FFFFFF"/>
                <w:sz w:val="18"/>
                <w:szCs w:val="18"/>
              </w:rPr>
              <w:t>Population</w:t>
            </w:r>
          </w:p>
        </w:tc>
        <w:tc>
          <w:tcPr>
            <w:tcW w:w="1980" w:type="dxa"/>
            <w:shd w:val="clear" w:color="auto" w:fill="6C6F70"/>
            <w:vAlign w:val="bottom"/>
          </w:tcPr>
          <w:p w:rsidRPr="000818D6" w:rsidR="004F49D7" w:rsidP="006D20B7" w:rsidRDefault="006D20B7" w14:paraId="11A04E93" w14:textId="48568048">
            <w:pPr>
              <w:spacing w:before="120" w:after="60"/>
              <w:jc w:val="center"/>
              <w:rPr>
                <w:rFonts w:ascii="Arial" w:hAnsi="Arial"/>
                <w:b/>
                <w:color w:val="FFFFFF"/>
                <w:sz w:val="18"/>
                <w:szCs w:val="18"/>
              </w:rPr>
            </w:pPr>
            <w:r>
              <w:rPr>
                <w:rFonts w:ascii="Arial" w:hAnsi="Arial"/>
                <w:b/>
                <w:color w:val="FFFFFF"/>
                <w:sz w:val="18"/>
                <w:szCs w:val="18"/>
              </w:rPr>
              <w:t>Treatment</w:t>
            </w:r>
          </w:p>
        </w:tc>
        <w:tc>
          <w:tcPr>
            <w:tcW w:w="1800" w:type="dxa"/>
            <w:shd w:val="clear" w:color="auto" w:fill="6C6F70"/>
            <w:vAlign w:val="bottom"/>
          </w:tcPr>
          <w:p w:rsidRPr="000818D6" w:rsidR="004F49D7" w:rsidP="006D20B7" w:rsidRDefault="004F49D7" w14:paraId="4DF30AF5" w14:textId="20336D2A">
            <w:pPr>
              <w:spacing w:before="120" w:after="60"/>
              <w:jc w:val="center"/>
              <w:rPr>
                <w:rFonts w:ascii="Arial" w:hAnsi="Arial"/>
                <w:b/>
                <w:color w:val="FFFFFF"/>
                <w:sz w:val="18"/>
                <w:szCs w:val="18"/>
              </w:rPr>
            </w:pPr>
            <w:r>
              <w:rPr>
                <w:rFonts w:ascii="Arial" w:hAnsi="Arial"/>
                <w:b/>
                <w:color w:val="FFFFFF"/>
                <w:sz w:val="18"/>
                <w:szCs w:val="18"/>
              </w:rPr>
              <w:t>Cont</w:t>
            </w:r>
            <w:r w:rsidR="006D20B7">
              <w:rPr>
                <w:rFonts w:ascii="Arial" w:hAnsi="Arial"/>
                <w:b/>
                <w:color w:val="FFFFFF"/>
                <w:sz w:val="18"/>
                <w:szCs w:val="18"/>
              </w:rPr>
              <w:t>rol</w:t>
            </w:r>
          </w:p>
        </w:tc>
        <w:tc>
          <w:tcPr>
            <w:tcW w:w="2520" w:type="dxa"/>
            <w:shd w:val="clear" w:color="auto" w:fill="6C6F70"/>
            <w:vAlign w:val="bottom"/>
          </w:tcPr>
          <w:p w:rsidRPr="000818D6" w:rsidR="004F49D7" w:rsidP="006D20B7" w:rsidRDefault="004F49D7" w14:paraId="7FF843A0" w14:textId="1C1D4D1D">
            <w:pPr>
              <w:spacing w:before="120" w:after="60"/>
              <w:jc w:val="center"/>
              <w:rPr>
                <w:rFonts w:ascii="Arial" w:hAnsi="Arial"/>
                <w:b/>
                <w:color w:val="FFFFFF"/>
                <w:sz w:val="18"/>
                <w:szCs w:val="18"/>
              </w:rPr>
            </w:pPr>
            <w:r>
              <w:rPr>
                <w:rFonts w:ascii="Arial" w:hAnsi="Arial"/>
                <w:b/>
                <w:color w:val="FFFFFF"/>
                <w:sz w:val="18"/>
                <w:szCs w:val="18"/>
              </w:rPr>
              <w:t>Total</w:t>
            </w:r>
          </w:p>
        </w:tc>
      </w:tr>
      <w:tr w:rsidRPr="000818D6" w:rsidR="004F49D7" w:rsidTr="00656DF0" w14:paraId="6AD9A2E6" w14:textId="77777777">
        <w:trPr>
          <w:trHeight w:val="890"/>
        </w:trPr>
        <w:tc>
          <w:tcPr>
            <w:tcW w:w="3060" w:type="dxa"/>
            <w:tcBorders>
              <w:top w:val="single" w:color="auto" w:sz="4" w:space="0"/>
            </w:tcBorders>
            <w:shd w:val="clear" w:color="auto" w:fill="auto"/>
            <w:vAlign w:val="center"/>
          </w:tcPr>
          <w:p w:rsidRPr="000818D6" w:rsidR="004F49D7" w:rsidP="00324460" w:rsidRDefault="004F49D7" w14:paraId="2892E70E" w14:textId="3CF89C7F">
            <w:pPr>
              <w:rPr>
                <w:rFonts w:ascii="Arial" w:hAnsi="Arial"/>
                <w:sz w:val="18"/>
                <w:szCs w:val="20"/>
              </w:rPr>
            </w:pPr>
            <w:r>
              <w:rPr>
                <w:rFonts w:ascii="Arial" w:hAnsi="Arial"/>
                <w:sz w:val="18"/>
                <w:szCs w:val="20"/>
              </w:rPr>
              <w:lastRenderedPageBreak/>
              <w:t>Youth in high schools</w:t>
            </w:r>
          </w:p>
        </w:tc>
        <w:tc>
          <w:tcPr>
            <w:tcW w:w="1980" w:type="dxa"/>
            <w:tcBorders>
              <w:top w:val="single" w:color="auto" w:sz="4" w:space="0"/>
            </w:tcBorders>
            <w:shd w:val="clear" w:color="auto" w:fill="auto"/>
            <w:vAlign w:val="center"/>
          </w:tcPr>
          <w:p w:rsidRPr="000818D6" w:rsidR="004F49D7" w:rsidP="006D20B7" w:rsidRDefault="006D20B7" w14:paraId="50A33C50" w14:textId="080632EA">
            <w:pPr>
              <w:jc w:val="center"/>
              <w:rPr>
                <w:rFonts w:ascii="Arial" w:hAnsi="Arial"/>
                <w:sz w:val="18"/>
                <w:szCs w:val="20"/>
              </w:rPr>
            </w:pPr>
            <w:r>
              <w:rPr>
                <w:rFonts w:ascii="Arial" w:hAnsi="Arial"/>
                <w:sz w:val="18"/>
                <w:szCs w:val="20"/>
              </w:rPr>
              <w:t>84%</w:t>
            </w:r>
          </w:p>
        </w:tc>
        <w:tc>
          <w:tcPr>
            <w:tcW w:w="1800" w:type="dxa"/>
            <w:tcBorders>
              <w:top w:val="single" w:color="auto" w:sz="4" w:space="0"/>
            </w:tcBorders>
            <w:shd w:val="clear" w:color="auto" w:fill="auto"/>
            <w:vAlign w:val="center"/>
          </w:tcPr>
          <w:p w:rsidRPr="006D20B7" w:rsidR="004F49D7" w:rsidP="006D20B7" w:rsidRDefault="006D20B7" w14:paraId="214DA0E1" w14:textId="70DC015D">
            <w:pPr>
              <w:jc w:val="center"/>
              <w:rPr>
                <w:rFonts w:ascii="Arial" w:hAnsi="Arial"/>
                <w:sz w:val="18"/>
                <w:szCs w:val="20"/>
              </w:rPr>
            </w:pPr>
            <w:r>
              <w:rPr>
                <w:rFonts w:ascii="Arial" w:hAnsi="Arial"/>
                <w:sz w:val="18"/>
                <w:szCs w:val="20"/>
              </w:rPr>
              <w:t>86%</w:t>
            </w:r>
          </w:p>
        </w:tc>
        <w:tc>
          <w:tcPr>
            <w:tcW w:w="2520" w:type="dxa"/>
            <w:tcBorders>
              <w:top w:val="single" w:color="auto" w:sz="4" w:space="0"/>
            </w:tcBorders>
            <w:shd w:val="clear" w:color="auto" w:fill="auto"/>
            <w:vAlign w:val="center"/>
          </w:tcPr>
          <w:p w:rsidRPr="000818D6" w:rsidR="004F49D7" w:rsidP="006D20B7" w:rsidRDefault="006D20B7" w14:paraId="52AA8753" w14:textId="417D8939">
            <w:pPr>
              <w:jc w:val="center"/>
              <w:rPr>
                <w:rFonts w:ascii="Arial" w:hAnsi="Arial"/>
                <w:sz w:val="18"/>
                <w:szCs w:val="20"/>
              </w:rPr>
            </w:pPr>
            <w:r>
              <w:rPr>
                <w:rFonts w:ascii="Arial" w:hAnsi="Arial"/>
                <w:sz w:val="18"/>
                <w:szCs w:val="20"/>
              </w:rPr>
              <w:t>85%</w:t>
            </w:r>
          </w:p>
        </w:tc>
      </w:tr>
      <w:tr w:rsidRPr="000818D6" w:rsidR="004F49D7" w:rsidTr="00656DF0" w14:paraId="0CEF3494" w14:textId="77777777">
        <w:trPr>
          <w:trHeight w:val="890"/>
        </w:trPr>
        <w:tc>
          <w:tcPr>
            <w:tcW w:w="3060" w:type="dxa"/>
            <w:tcBorders>
              <w:top w:val="single" w:color="auto" w:sz="4" w:space="0"/>
              <w:bottom w:val="single" w:color="auto" w:sz="4" w:space="0"/>
            </w:tcBorders>
            <w:shd w:val="clear" w:color="auto" w:fill="auto"/>
            <w:vAlign w:val="center"/>
          </w:tcPr>
          <w:p w:rsidRPr="000818D6" w:rsidR="004F49D7" w:rsidP="006D20B7" w:rsidRDefault="004F49D7" w14:paraId="3A4B4A6A" w14:textId="7DDC54E3">
            <w:pPr>
              <w:rPr>
                <w:rFonts w:ascii="Arial" w:hAnsi="Arial"/>
                <w:sz w:val="18"/>
                <w:szCs w:val="20"/>
              </w:rPr>
            </w:pPr>
            <w:r>
              <w:rPr>
                <w:rFonts w:ascii="Arial" w:hAnsi="Arial"/>
                <w:sz w:val="18"/>
                <w:szCs w:val="20"/>
              </w:rPr>
              <w:t>Adults</w:t>
            </w:r>
          </w:p>
        </w:tc>
        <w:tc>
          <w:tcPr>
            <w:tcW w:w="1980" w:type="dxa"/>
            <w:tcBorders>
              <w:top w:val="single" w:color="auto" w:sz="4" w:space="0"/>
              <w:bottom w:val="single" w:color="auto" w:sz="4" w:space="0"/>
            </w:tcBorders>
            <w:shd w:val="clear" w:color="auto" w:fill="auto"/>
            <w:vAlign w:val="center"/>
          </w:tcPr>
          <w:p w:rsidRPr="000818D6" w:rsidR="004F49D7" w:rsidP="006D20B7" w:rsidRDefault="004F49D7" w14:paraId="49204EC8" w14:textId="3E06A28E">
            <w:pPr>
              <w:jc w:val="center"/>
              <w:rPr>
                <w:rFonts w:ascii="Arial" w:hAnsi="Arial"/>
                <w:sz w:val="18"/>
                <w:szCs w:val="20"/>
              </w:rPr>
            </w:pPr>
            <w:r>
              <w:rPr>
                <w:rFonts w:ascii="Arial" w:hAnsi="Arial"/>
                <w:sz w:val="18"/>
                <w:szCs w:val="20"/>
              </w:rPr>
              <w:t>80%</w:t>
            </w:r>
          </w:p>
        </w:tc>
        <w:tc>
          <w:tcPr>
            <w:tcW w:w="1800" w:type="dxa"/>
            <w:tcBorders>
              <w:top w:val="single" w:color="auto" w:sz="4" w:space="0"/>
              <w:bottom w:val="single" w:color="auto" w:sz="4" w:space="0"/>
            </w:tcBorders>
            <w:shd w:val="clear" w:color="auto" w:fill="auto"/>
            <w:vAlign w:val="center"/>
          </w:tcPr>
          <w:p w:rsidRPr="002A3096" w:rsidR="004F49D7" w:rsidP="006D20B7" w:rsidRDefault="004A684C" w14:paraId="777B1A68" w14:textId="0E52BB32">
            <w:pPr>
              <w:jc w:val="center"/>
              <w:rPr>
                <w:rFonts w:ascii="Arial" w:hAnsi="Arial"/>
                <w:sz w:val="18"/>
                <w:szCs w:val="20"/>
              </w:rPr>
            </w:pPr>
            <w:r>
              <w:rPr>
                <w:rFonts w:ascii="Arial" w:hAnsi="Arial"/>
                <w:sz w:val="18"/>
                <w:szCs w:val="20"/>
              </w:rPr>
              <w:t>78</w:t>
            </w:r>
            <w:r w:rsidR="004F49D7">
              <w:rPr>
                <w:rFonts w:ascii="Arial" w:hAnsi="Arial"/>
                <w:sz w:val="18"/>
                <w:szCs w:val="20"/>
              </w:rPr>
              <w:t>%</w:t>
            </w:r>
          </w:p>
        </w:tc>
        <w:tc>
          <w:tcPr>
            <w:tcW w:w="2520" w:type="dxa"/>
            <w:tcBorders>
              <w:top w:val="single" w:color="auto" w:sz="4" w:space="0"/>
              <w:bottom w:val="single" w:color="auto" w:sz="4" w:space="0"/>
            </w:tcBorders>
            <w:shd w:val="clear" w:color="auto" w:fill="auto"/>
            <w:vAlign w:val="center"/>
          </w:tcPr>
          <w:p w:rsidRPr="000818D6" w:rsidR="004F49D7" w:rsidP="006D20B7" w:rsidRDefault="004F49D7" w14:paraId="48B0FA1F" w14:textId="7BE2712A">
            <w:pPr>
              <w:jc w:val="center"/>
              <w:rPr>
                <w:rFonts w:ascii="Arial" w:hAnsi="Arial"/>
                <w:sz w:val="18"/>
                <w:szCs w:val="20"/>
              </w:rPr>
            </w:pPr>
            <w:r>
              <w:rPr>
                <w:rFonts w:ascii="Arial" w:hAnsi="Arial"/>
                <w:sz w:val="18"/>
                <w:szCs w:val="20"/>
              </w:rPr>
              <w:t>79%</w:t>
            </w:r>
          </w:p>
        </w:tc>
      </w:tr>
    </w:tbl>
    <w:p w:rsidR="0057525E" w:rsidP="006D20B7" w:rsidRDefault="002A3096" w14:paraId="330D3E86" w14:textId="16E41853">
      <w:pPr>
        <w:pStyle w:val="TableFootnoteCaption"/>
      </w:pPr>
      <w:r>
        <w:t xml:space="preserve">Note: </w:t>
      </w:r>
      <w:r w:rsidR="006D20B7">
        <w:t>Response rates reflect</w:t>
      </w:r>
      <w:r>
        <w:t xml:space="preserve"> </w:t>
      </w:r>
      <w:r w:rsidR="006D20B7">
        <w:t>follow-up surveys completed</w:t>
      </w:r>
      <w:r>
        <w:t xml:space="preserve"> through </w:t>
      </w:r>
      <w:r w:rsidR="00090E93">
        <w:t>May 7, 2020</w:t>
      </w:r>
      <w:r>
        <w:t xml:space="preserve">. For sites serving </w:t>
      </w:r>
      <w:r w:rsidR="006D20B7">
        <w:t>adults, response rates reflect</w:t>
      </w:r>
      <w:r>
        <w:t xml:space="preserve"> cases released for at least six months.</w:t>
      </w:r>
    </w:p>
    <w:p w:rsidR="002A3096" w:rsidP="006D20B7" w:rsidRDefault="002A3096" w14:paraId="2E8EFBD5" w14:textId="77777777">
      <w:pPr>
        <w:pStyle w:val="TableFootnoteCaption"/>
      </w:pPr>
    </w:p>
    <w:p w:rsidR="007D3062" w:rsidP="008C673B" w:rsidRDefault="00FB0295" w14:paraId="16D4EF3C" w14:textId="58E4D5ED">
      <w:pPr>
        <w:spacing w:after="240"/>
        <w:ind w:firstLine="432"/>
      </w:pPr>
      <w:r>
        <w:t xml:space="preserve">Due to its demonstrated effectiveness in the first round of </w:t>
      </w:r>
      <w:r w:rsidR="004D0795">
        <w:t xml:space="preserve">follow-up </w:t>
      </w:r>
      <w:r>
        <w:t>data collection</w:t>
      </w:r>
      <w:r w:rsidR="006F5664">
        <w:t xml:space="preserve"> and due to the inability to conduct field work as a result of COVID-19</w:t>
      </w:r>
      <w:r>
        <w:t xml:space="preserve"> </w:t>
      </w:r>
      <w:r w:rsidR="005600F6">
        <w:t xml:space="preserve">ACF proposes using </w:t>
      </w:r>
      <w:bookmarkStart w:name="_GoBack" w:id="0"/>
      <w:r w:rsidR="006F5664">
        <w:t xml:space="preserve">a revised </w:t>
      </w:r>
      <w:bookmarkEnd w:id="0"/>
      <w:r w:rsidR="005600F6">
        <w:t>incentive structure for the second follow-up survey</w:t>
      </w:r>
      <w:r w:rsidR="001649A3">
        <w:t>s</w:t>
      </w:r>
      <w:r w:rsidR="006F5664">
        <w:t>.</w:t>
      </w:r>
      <w:r w:rsidRPr="00AA1199" w:rsidR="00AA1199">
        <w:t>For the site serving you</w:t>
      </w:r>
      <w:r w:rsidR="00AA1199">
        <w:t>th in high schools, ACF proposes a $4</w:t>
      </w:r>
      <w:r w:rsidRPr="00AA1199" w:rsidR="00AA1199">
        <w:t>0 gift card for completing the</w:t>
      </w:r>
      <w:r w:rsidR="00AA1199">
        <w:t xml:space="preserve"> second</w:t>
      </w:r>
      <w:r w:rsidRPr="00AA1199" w:rsidR="00AA1199">
        <w:t xml:space="preserve"> follow-up survey by CATI or CAWI outside of school</w:t>
      </w:r>
      <w:r w:rsidR="00AA1199">
        <w:t xml:space="preserve">. For sites serving adults, ACF proposes a $50 gift card for completing the second follow-up survey by CATI or CAWI. </w:t>
      </w:r>
      <w:r w:rsidR="008B48CD">
        <w:t xml:space="preserve">The changes to the survey incentive amount are a part of ongoing efforts to address lower-than-expected response rates and potential non-response bias, caused by treatment-control diferentials in the response rates. </w:t>
      </w:r>
      <w:r w:rsidRPr="003C3C7F" w:rsidR="008B48CD">
        <w:t>The risk of biased impact estimates increases with lower overall survey response rates or larger differences in survey response rates between the research groups (</w:t>
      </w:r>
      <w:r w:rsidR="008B48CD">
        <w:t xml:space="preserve">What Works Clearinghouse 2013). </w:t>
      </w:r>
      <w:r w:rsidR="007D37DA">
        <w:t>. As indicated in Section A2, the purpo</w:t>
      </w:r>
      <w:r w:rsidR="002A6666">
        <w:t>se of the second follow-up</w:t>
      </w:r>
      <w:r w:rsidR="000A3A7E">
        <w:t xml:space="preserve"> surveys is to assess</w:t>
      </w:r>
      <w:r w:rsidR="007D37DA">
        <w:t xml:space="preserve"> the longer-te</w:t>
      </w:r>
      <w:r w:rsidR="000A3A7E">
        <w:t>rm impacts of HMRE programming</w:t>
      </w:r>
      <w:r w:rsidR="003C3C7F">
        <w:t xml:space="preserve"> in each site. Such impact estimates</w:t>
      </w:r>
      <w:r w:rsidR="00E33F12">
        <w:t xml:space="preserve"> can</w:t>
      </w:r>
      <w:r w:rsidRPr="003C3C7F" w:rsidR="003C3C7F">
        <w:t xml:space="preserve"> be </w:t>
      </w:r>
      <w:r w:rsidR="005915BF">
        <w:t>subject to non-response bias</w:t>
      </w:r>
      <w:r w:rsidRPr="003C3C7F" w:rsidR="005915BF">
        <w:t xml:space="preserve"> </w:t>
      </w:r>
      <w:r w:rsidRPr="003C3C7F" w:rsidR="003C3C7F">
        <w:t>if respondents differ substantially from non-respondents</w:t>
      </w:r>
      <w:r w:rsidR="00E33F12">
        <w:t>, particularly if</w:t>
      </w:r>
      <w:r w:rsidRPr="003C3C7F" w:rsidR="003C3C7F">
        <w:t xml:space="preserve"> those differences are correlated with assignment to the evaluation treatment or control groups. </w:t>
      </w:r>
      <w:r w:rsidRPr="004F0D66" w:rsidR="00B156A6">
        <w:t xml:space="preserve">Thus, if low overall response rates or large differential response rates between the research groups are observed, differences between groups on key outcomes might be the result of differences in </w:t>
      </w:r>
      <w:r w:rsidR="00DC7260">
        <w:t xml:space="preserve">the </w:t>
      </w:r>
      <w:r w:rsidRPr="004F0D66" w:rsidR="00B156A6">
        <w:t>characteristics</w:t>
      </w:r>
      <w:r w:rsidR="00DC7260">
        <w:t xml:space="preserve"> of</w:t>
      </w:r>
      <w:r w:rsidRPr="004F0D66" w:rsidR="00B156A6">
        <w:t xml:space="preserve"> survey respondents and cannot be attributed solely to the effect of the </w:t>
      </w:r>
      <w:r w:rsidR="00DC7260">
        <w:t>HMRE</w:t>
      </w:r>
      <w:r w:rsidRPr="004F0D66" w:rsidR="00B156A6">
        <w:t xml:space="preserve"> intervention (What Works Clearinghouse 2013).</w:t>
      </w:r>
      <w:r w:rsidR="00B156A6">
        <w:t xml:space="preserve"> </w:t>
      </w:r>
      <w:r w:rsidR="007D3062">
        <w:t xml:space="preserve">The proposed incentive structure is critical to reducing non-response bias for several reasons. </w:t>
      </w:r>
    </w:p>
    <w:p w:rsidR="007D3062" w:rsidP="008C673B" w:rsidRDefault="007D3062" w14:paraId="01EA9476" w14:textId="77777777">
      <w:pPr>
        <w:spacing w:after="240"/>
        <w:ind w:firstLine="432"/>
      </w:pPr>
      <w:r>
        <w:t xml:space="preserve">First, the incentive can help increase overall response rates, thus reducing the proportion of non-respondents. This is particularly important for groups who might otherwise be underrepresented in surveys, such </w:t>
      </w:r>
      <w:r w:rsidRPr="004F0D66">
        <w:t>low-income and minority populations, which resemble the participants in the HMRE pro</w:t>
      </w:r>
      <w:r>
        <w:t xml:space="preserve">grams in the STREAMS evaluation. </w:t>
      </w:r>
      <w:r w:rsidR="001636FA">
        <w:t>U</w:t>
      </w:r>
      <w:r w:rsidRPr="004F0D66">
        <w:t xml:space="preserve">sing incentives was useful in achieving higher response rates </w:t>
      </w:r>
      <w:r w:rsidR="001636FA">
        <w:t xml:space="preserve">from </w:t>
      </w:r>
      <w:r w:rsidRPr="004F0D66">
        <w:t>low-income and minority populations</w:t>
      </w:r>
      <w:r w:rsidR="001636FA">
        <w:t xml:space="preserve"> (Singer et al. 1999; </w:t>
      </w:r>
      <w:r w:rsidRPr="001636FA" w:rsidR="001636FA">
        <w:t>James and Bolstein 1990</w:t>
      </w:r>
      <w:r w:rsidR="001636FA">
        <w:t xml:space="preserve">) and </w:t>
      </w:r>
      <w:r w:rsidRPr="004F0D66">
        <w:t xml:space="preserve">people with lower educational levels (Berlin et al. 1992). </w:t>
      </w:r>
    </w:p>
    <w:p w:rsidR="001636FA" w:rsidP="008C673B" w:rsidRDefault="001636FA" w14:paraId="1F4E272B" w14:textId="77777777">
      <w:pPr>
        <w:spacing w:after="240"/>
        <w:ind w:firstLine="432"/>
      </w:pPr>
      <w:r>
        <w:t xml:space="preserve">Second, the incentives can help reduce differential response rates </w:t>
      </w:r>
      <w:r w:rsidRPr="004F0D66">
        <w:t>between th</w:t>
      </w:r>
      <w:r>
        <w:t xml:space="preserve">e treatment and control groups. </w:t>
      </w:r>
      <w:r w:rsidRPr="004F0D66">
        <w:t>Participants assigned to the control group may be less motivated to participate than those assigned to the treatment group because they are not receiving the intervention. They may also feel that the surveys are not relevant to them. Singer and Kulka (2002) showed that incentives reduced differential response rates and thus potential non</w:t>
      </w:r>
      <w:r>
        <w:t>-</w:t>
      </w:r>
      <w:r w:rsidRPr="004F0D66">
        <w:t>response bias. Incentives can also help compensate for lack of motivation to participate among control group members (Shettle and Mooney 1999; Groves et al. 2000).</w:t>
      </w:r>
    </w:p>
    <w:p w:rsidR="00B156A6" w:rsidP="008C673B" w:rsidRDefault="007C55B3" w14:paraId="14416E39" w14:textId="77777777">
      <w:pPr>
        <w:spacing w:after="240"/>
        <w:ind w:firstLine="432"/>
      </w:pPr>
      <w:r>
        <w:t>Third,</w:t>
      </w:r>
      <w:r w:rsidR="00B156A6">
        <w:t xml:space="preserve"> incentives can help stimulate cooperation. </w:t>
      </w:r>
      <w:r w:rsidRPr="004F0D66" w:rsidR="00B156A6">
        <w:t xml:space="preserve">There is some evidence that monetary incentives can stimulate cooperation in situations where there is a dearth of other factors that might induce cooperation, such as an interest in the study topic. For example, Baumgartner and </w:t>
      </w:r>
      <w:r w:rsidRPr="004F0D66" w:rsidR="00B156A6">
        <w:lastRenderedPageBreak/>
        <w:t>Rathbun (1997) found a significant impact of incentives on response rate in the group for which the survey topic had little salience, but virtually no impact in the high-salience groups. In another study, it was reported that a $5 incentive, enclosed with a mail questionnaire, was a success in motivating less-satisfied parents in continuing their participation in a school-sponsored panel survey (Martinez-Ebers 1997).</w:t>
      </w:r>
    </w:p>
    <w:p w:rsidRPr="0072204D" w:rsidR="004222F8" w:rsidP="004222F8" w:rsidRDefault="004222F8" w14:paraId="2D2E43C5" w14:textId="77777777">
      <w:pPr>
        <w:spacing w:after="120"/>
        <w:rPr>
          <w:b/>
        </w:rPr>
      </w:pPr>
      <w:r>
        <w:rPr>
          <w:b/>
        </w:rPr>
        <w:t>A10. Privacy</w:t>
      </w:r>
      <w:r w:rsidRPr="0072204D">
        <w:rPr>
          <w:b/>
        </w:rPr>
        <w:t xml:space="preserve"> of Respondents</w:t>
      </w:r>
    </w:p>
    <w:p w:rsidR="0029050D" w:rsidP="0029050D" w:rsidRDefault="00DC7260" w14:paraId="62EAA5D8" w14:textId="340CB259">
      <w:pPr>
        <w:widowControl w:val="0"/>
        <w:autoSpaceDE w:val="0"/>
        <w:autoSpaceDN w:val="0"/>
        <w:adjustRightInd w:val="0"/>
        <w:spacing w:after="240"/>
        <w:ind w:firstLine="432"/>
      </w:pPr>
      <w:r>
        <w:t>As specified in ACF’s contract for the STREAMS evaluation</w:t>
      </w:r>
      <w:r w:rsidRPr="00436F5E" w:rsidR="004876E7">
        <w:t xml:space="preserve">, </w:t>
      </w:r>
      <w:r>
        <w:t>the contractor must</w:t>
      </w:r>
      <w:r w:rsidRPr="00436F5E" w:rsidR="004876E7">
        <w:t xml:space="preserve"> protect respondent privacy to the extent permitted by law </w:t>
      </w:r>
      <w:r w:rsidRPr="008C4B04" w:rsidR="004876E7">
        <w:t xml:space="preserve">and comply with all Federal and </w:t>
      </w:r>
      <w:r w:rsidR="004876E7">
        <w:t>d</w:t>
      </w:r>
      <w:r w:rsidRPr="008C4B04" w:rsidR="004876E7">
        <w:t xml:space="preserve">epartmental regulations for private information. </w:t>
      </w:r>
      <w:r w:rsidR="00C44640">
        <w:t xml:space="preserve"> In response, the contracting organization, Mathematica Policy Research,</w:t>
      </w:r>
      <w:r w:rsidRPr="008C4B04" w:rsidR="004876E7">
        <w:t xml:space="preserve"> has developed a Data Safety and Monitoring Plan that assesses all protections of respondents’ personally identifiable information</w:t>
      </w:r>
      <w:r w:rsidR="004876E7">
        <w:t xml:space="preserve"> (PII)</w:t>
      </w:r>
      <w:r w:rsidRPr="008C4B04" w:rsidR="004876E7">
        <w:t xml:space="preserve">. </w:t>
      </w:r>
      <w:r w:rsidR="00DC2708">
        <w:t xml:space="preserve">All STREAMS staff – at sites or on the evaluation team – with access to private data receive study-specific training on (1) limitations on disclosure; (2) safeguarding the physical work environment; and (3) storing, transmitting, and destroying data securely. These programs are documented in training manuals. Refresher training will occur annually. </w:t>
      </w:r>
      <w:r w:rsidR="00E92616">
        <w:t xml:space="preserve">In addition, all staff </w:t>
      </w:r>
      <w:r w:rsidR="00C44640">
        <w:t>of the contracting organization</w:t>
      </w:r>
      <w:r w:rsidR="00E92616">
        <w:t xml:space="preserve"> </w:t>
      </w:r>
      <w:r w:rsidR="00DC2708">
        <w:t>sign the Mathema</w:t>
      </w:r>
      <w:r w:rsidR="00E92616">
        <w:t>tica Confidentiality Agreement</w:t>
      </w:r>
      <w:r w:rsidR="00DC2708">
        <w:t xml:space="preserve">, complete online security awareness training when they are hired, and receive annual refresher training thereafter. Training addresses security policies and procedures found in the </w:t>
      </w:r>
      <w:r w:rsidRPr="00E92616" w:rsidR="00DC2708">
        <w:t xml:space="preserve">Mathematica Corporate Security manual. </w:t>
      </w:r>
      <w:r w:rsidR="00DC2708">
        <w:t>Sub</w:t>
      </w:r>
      <w:r w:rsidR="00E92616">
        <w:t>contractors and consultants do</w:t>
      </w:r>
      <w:r w:rsidR="00DC2708">
        <w:t xml:space="preserve"> not handle </w:t>
      </w:r>
      <w:r w:rsidR="00E92616">
        <w:t>PII.</w:t>
      </w:r>
    </w:p>
    <w:p w:rsidR="0029050D" w:rsidP="0029050D" w:rsidRDefault="00593F09" w14:paraId="5EE94208" w14:textId="614F64B5">
      <w:pPr>
        <w:widowControl w:val="0"/>
        <w:autoSpaceDE w:val="0"/>
        <w:autoSpaceDN w:val="0"/>
        <w:adjustRightInd w:val="0"/>
        <w:spacing w:after="240"/>
        <w:ind w:firstLine="432"/>
      </w:pPr>
      <w:r>
        <w:t>A study identification number is used to identify each study member. A link file associates each study identification number with the name and other identifying information of each study participant. All analysis files will contain only the identification numbers and no identifying information. When private data is transmitted, the evaluation team will encrypt the data with SecureZIP, using the option to encrypt in Federal Information Processing Standard (FIPS) mode with Advanced Encryption Standard 256-bit encryption. All data from STREAMS will also be encrypted when being stored using FIPS 140-2 compliant cryptographic modules and in accordance with the most current National Institute of Standards and Technology (NIST) requirements and other applicable federal and departmental regulations. The evaluation team will establish a procedure to account for all laptop computers, desktop computers, and other mobile devices and portable media that store or process private information. Data will be securely destroyed at the earliest opportunity. The evaluation team will ensure all project staff report any suspected or actual computer incidents immediately to Mathematica’s security incident team and Mathematica will report immediately to OPDIV Senior Information Systems Security Officer, or other designated personnel. The evaluation team will submit a plan for minimizing to the extent possible the inclusion of private information on paper records and for the protection of any paper records, field notes, or other documents that contain PII that ensures secure storage and limits on access.</w:t>
      </w:r>
    </w:p>
    <w:p w:rsidRPr="00CD0BCA" w:rsidR="00CD0BCA" w:rsidP="00CD0BCA" w:rsidRDefault="00C44D32" w14:paraId="05DE11D5" w14:textId="524A6F34">
      <w:pPr>
        <w:widowControl w:val="0"/>
        <w:autoSpaceDE w:val="0"/>
        <w:autoSpaceDN w:val="0"/>
        <w:adjustRightInd w:val="0"/>
        <w:spacing w:after="240"/>
        <w:ind w:firstLine="432"/>
      </w:pPr>
      <w:r>
        <w:t>Through the informed consent process, r</w:t>
      </w:r>
      <w:r w:rsidR="00E92616">
        <w:t>espondents are</w:t>
      </w:r>
      <w:r w:rsidRPr="00436F5E" w:rsidR="00436F5E">
        <w:t xml:space="preserve"> informed of all planned uses of data, that their participation is voluntary, and that their information will be kept private to the extent permitted by law.</w:t>
      </w:r>
      <w:r w:rsidR="005A199F">
        <w:t xml:space="preserve"> </w:t>
      </w:r>
      <w:r w:rsidRPr="00CD0BCA" w:rsidR="00CD0BCA">
        <w:t>All surveys administered using CATI are recorded for quality assurance. Respondents are given an opportunity to decline to be recorded and all recordings are stored on a secure server and destroyed at the end of the study.</w:t>
      </w:r>
    </w:p>
    <w:p w:rsidR="0029050D" w:rsidP="0029050D" w:rsidRDefault="005A199F" w14:paraId="359722B2" w14:textId="15F04440">
      <w:pPr>
        <w:widowControl w:val="0"/>
        <w:autoSpaceDE w:val="0"/>
        <w:autoSpaceDN w:val="0"/>
        <w:adjustRightInd w:val="0"/>
        <w:spacing w:after="240"/>
        <w:ind w:firstLine="432"/>
      </w:pPr>
      <w:r>
        <w:t xml:space="preserve">Due to the private and sensitive nature of some information that is being collected as part of </w:t>
      </w:r>
      <w:r>
        <w:lastRenderedPageBreak/>
        <w:t xml:space="preserve">this </w:t>
      </w:r>
      <w:r w:rsidRPr="00E92616">
        <w:t xml:space="preserve">research (see Section A11), the </w:t>
      </w:r>
      <w:r w:rsidRPr="00E92616" w:rsidR="00242317">
        <w:t>evaluation</w:t>
      </w:r>
      <w:r>
        <w:t xml:space="preserve"> </w:t>
      </w:r>
      <w:r w:rsidR="00242317">
        <w:t>obtained</w:t>
      </w:r>
      <w:r>
        <w:t xml:space="preserve"> a Certificate of Confidentiality. The Certificate of Confidentiality helps to assure participants that their information will be kept private to the f</w:t>
      </w:r>
      <w:r w:rsidR="00E92616">
        <w:t>ullest extent permitted by law.</w:t>
      </w:r>
    </w:p>
    <w:p w:rsidR="00436F5E" w:rsidP="0029050D" w:rsidRDefault="00140E77" w14:paraId="021ACED3" w14:textId="4754F845">
      <w:pPr>
        <w:widowControl w:val="0"/>
        <w:autoSpaceDE w:val="0"/>
        <w:autoSpaceDN w:val="0"/>
        <w:adjustRightInd w:val="0"/>
        <w:spacing w:after="240"/>
        <w:ind w:firstLine="432"/>
      </w:pPr>
      <w:r>
        <w:t xml:space="preserve">ACF </w:t>
      </w:r>
      <w:r w:rsidR="00664922">
        <w:t>granted an Authorization</w:t>
      </w:r>
      <w:r>
        <w:t xml:space="preserve"> to Operate (ATO) to the</w:t>
      </w:r>
      <w:r w:rsidR="00C51A73">
        <w:t xml:space="preserve"> </w:t>
      </w:r>
      <w:r w:rsidRPr="00FB1BA8">
        <w:t>Fatherhood and Marriage Local Evaluation (FaMLE) Cross-Site Project’s nFORM system</w:t>
      </w:r>
      <w:r>
        <w:t>, whi</w:t>
      </w:r>
      <w:r w:rsidR="00C51A73">
        <w:t xml:space="preserve">ch is the system that STREAMS is using. </w:t>
      </w:r>
      <w:r w:rsidR="00664922">
        <w:t xml:space="preserve">The HHS Chief Information Security Officer (CISO) provided approval for the ATO following a careful review of the nFORM system’s security documentation package. The CISO determined that the boundary as presented was secure and that any identified risks and weaknesses were deemed to be reasonable and acceptable. </w:t>
      </w:r>
      <w:r w:rsidR="00F11AC9">
        <w:t xml:space="preserve">The Office of Planning, Research and Evaluation </w:t>
      </w:r>
      <w:r w:rsidR="00983DCC">
        <w:t xml:space="preserve">also </w:t>
      </w:r>
      <w:r w:rsidR="00F11AC9">
        <w:t xml:space="preserve">completed a Privacy Impact Assessment (PIA) for the nFORM system to ensure that information handling conforms with </w:t>
      </w:r>
      <w:r w:rsidR="00242317">
        <w:t>applicable</w:t>
      </w:r>
      <w:r w:rsidR="00F11AC9">
        <w:t xml:space="preserve"> legal, regulatory, and policy requirements regarding privacy; determine the risks of collecting and maintaining PII; assist in identifying protections and alternative processes for handling PII to mitigate potential privacy risks; and communicate an information system’s privacy practices to </w:t>
      </w:r>
      <w:r w:rsidRPr="007F1F5E" w:rsidR="00F11AC9">
        <w:t>the public. The PIA</w:t>
      </w:r>
      <w:r w:rsidR="00F95537">
        <w:t xml:space="preserve"> is</w:t>
      </w:r>
      <w:r w:rsidRPr="007F1F5E" w:rsidR="00F11AC9">
        <w:t xml:space="preserve"> available online through the Department of Health and Human Services.</w:t>
      </w:r>
    </w:p>
    <w:p w:rsidR="00797643" w:rsidP="0029050D" w:rsidRDefault="00F34C87" w14:paraId="597D250E" w14:textId="4A3968CF">
      <w:pPr>
        <w:widowControl w:val="0"/>
        <w:autoSpaceDE w:val="0"/>
        <w:autoSpaceDN w:val="0"/>
        <w:adjustRightInd w:val="0"/>
        <w:spacing w:after="240"/>
        <w:ind w:firstLine="432"/>
      </w:pPr>
      <w:r>
        <w:t xml:space="preserve">Upon receiving OMB clearance for previous information collection requests, Mathematica obtained </w:t>
      </w:r>
      <w:r w:rsidR="00797643">
        <w:t xml:space="preserve">approval for information collection instruments and </w:t>
      </w:r>
      <w:r>
        <w:t>data collection procedures from the New England Institutional Review Board (NEIRB)</w:t>
      </w:r>
      <w:r w:rsidR="000352CE">
        <w:t xml:space="preserve"> and the University of Denver Health System. NEIRB oversees the study for youth sites and each adult site </w:t>
      </w:r>
      <w:r w:rsidR="00624A11">
        <w:t>except</w:t>
      </w:r>
      <w:r w:rsidR="000352CE">
        <w:t xml:space="preserve"> the University of Denver</w:t>
      </w:r>
      <w:r>
        <w:t xml:space="preserve">. </w:t>
      </w:r>
      <w:r w:rsidR="00624A11">
        <w:t xml:space="preserve">The University of Denver Health System’s IRB oversees </w:t>
      </w:r>
      <w:r w:rsidR="00D663D9">
        <w:t xml:space="preserve">study activities with the University of Denver site. </w:t>
      </w:r>
      <w:r>
        <w:t xml:space="preserve">NEIRB </w:t>
      </w:r>
      <w:r w:rsidR="00D663D9">
        <w:t xml:space="preserve">and the University of Denver Health System </w:t>
      </w:r>
      <w:r>
        <w:t xml:space="preserve">has renewed STREAMS’ IRB approval annually. </w:t>
      </w:r>
      <w:r w:rsidR="005D2EF6">
        <w:t>T</w:t>
      </w:r>
      <w:r>
        <w:t>he study team will also seek IRB approval for the new data collection</w:t>
      </w:r>
      <w:r w:rsidR="005D2EF6">
        <w:t xml:space="preserve"> upon final OMB approval of this information collection request</w:t>
      </w:r>
      <w:r>
        <w:t xml:space="preserve">.  </w:t>
      </w:r>
    </w:p>
    <w:p w:rsidRPr="0072204D" w:rsidR="00945CD6" w:rsidP="00436F5E" w:rsidRDefault="00292B70" w14:paraId="310370F7" w14:textId="77777777">
      <w:pPr>
        <w:spacing w:after="120"/>
        <w:rPr>
          <w:b/>
        </w:rPr>
      </w:pPr>
      <w:r>
        <w:rPr>
          <w:b/>
        </w:rPr>
        <w:t xml:space="preserve">A11. </w:t>
      </w:r>
      <w:r w:rsidRPr="0072204D" w:rsidR="00945CD6">
        <w:rPr>
          <w:b/>
        </w:rPr>
        <w:t>Sensitive Questions</w:t>
      </w:r>
    </w:p>
    <w:p w:rsidR="00D90EF6" w:rsidP="00C94A5D" w:rsidRDefault="008126B0" w14:paraId="6C118D44" w14:textId="21C5562B">
      <w:pPr>
        <w:ind w:firstLine="432"/>
      </w:pPr>
      <w:r>
        <w:t xml:space="preserve">The baseline and follow-up surveys for the STREAMS impact study </w:t>
      </w:r>
      <w:r w:rsidR="00D75DB2">
        <w:t xml:space="preserve">include sensitive questions on relationship topics, such as intimate partner violence and </w:t>
      </w:r>
      <w:r w:rsidR="00377502">
        <w:t>children’s behavior</w:t>
      </w:r>
      <w:r w:rsidR="00D23308">
        <w:t xml:space="preserve"> and parents’ discipline practices</w:t>
      </w:r>
      <w:r w:rsidR="00D75DB2">
        <w:t>. Several of thes</w:t>
      </w:r>
      <w:r>
        <w:t>e questions are required for ACF’s</w:t>
      </w:r>
      <w:r w:rsidR="00D75DB2">
        <w:t xml:space="preserve"> FaMLE Cross-Site data collection and were thus previously approved by OMB under 0970-0460. For STREAMS, a limited number of additional sensitive questions were added beyond those required by the FaMLE Cross-Site data collection. These additional topics are described in Table A.</w:t>
      </w:r>
      <w:r w:rsidR="00071293">
        <w:t>4</w:t>
      </w:r>
      <w:r w:rsidRPr="00D75DB2" w:rsidR="00D90EF6">
        <w:t>.</w:t>
      </w:r>
      <w:r w:rsidR="00D75DB2">
        <w:t xml:space="preserve"> When asked to complete surveys for the STREAMS impact</w:t>
      </w:r>
      <w:r>
        <w:t xml:space="preserve"> study, all participants are</w:t>
      </w:r>
      <w:r w:rsidR="00D75DB2">
        <w:t xml:space="preserve"> informed that their identities will be kept </w:t>
      </w:r>
      <w:r w:rsidR="008C563E">
        <w:t>private and they do not have to answer questions that make them uncomfortable.</w:t>
      </w:r>
    </w:p>
    <w:p w:rsidR="008C563E" w:rsidP="008126B0" w:rsidRDefault="008C563E" w14:paraId="78656C3A" w14:textId="77777777"/>
    <w:p w:rsidR="008C563E" w:rsidP="008126B0" w:rsidRDefault="00B91A2C" w14:paraId="65F5D718" w14:textId="2A878710">
      <w:pPr>
        <w:rPr>
          <w:b/>
        </w:rPr>
      </w:pPr>
      <w:bookmarkStart w:name="_Toc440631001" w:id="1"/>
      <w:bookmarkStart w:name="_Toc440639052" w:id="2"/>
      <w:bookmarkStart w:name="_Toc440959636" w:id="3"/>
      <w:r>
        <w:rPr>
          <w:b/>
        </w:rPr>
        <w:t>Table A.</w:t>
      </w:r>
      <w:r w:rsidR="00071293">
        <w:rPr>
          <w:b/>
        </w:rPr>
        <w:t>4</w:t>
      </w:r>
      <w:r w:rsidRPr="008C563E" w:rsidR="008C563E">
        <w:rPr>
          <w:b/>
        </w:rPr>
        <w:t>. Justification for sensitive questions</w:t>
      </w:r>
      <w:bookmarkEnd w:id="1"/>
      <w:bookmarkEnd w:id="2"/>
      <w:bookmarkEnd w:id="3"/>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025"/>
        <w:gridCol w:w="5030"/>
        <w:gridCol w:w="1144"/>
        <w:gridCol w:w="1161"/>
      </w:tblGrid>
      <w:tr w:rsidRPr="00D83AFA" w:rsidR="008C563E" w:rsidTr="008C563E" w14:paraId="383F81DF" w14:textId="77777777">
        <w:trPr>
          <w:tblHeader/>
        </w:trPr>
        <w:tc>
          <w:tcPr>
            <w:tcW w:w="1082" w:type="pct"/>
            <w:tcBorders>
              <w:top w:val="nil"/>
              <w:left w:val="nil"/>
              <w:right w:val="single" w:color="FFFFFF" w:sz="4" w:space="0"/>
            </w:tcBorders>
            <w:shd w:val="clear" w:color="auto" w:fill="6C6F70"/>
            <w:vAlign w:val="bottom"/>
          </w:tcPr>
          <w:p w:rsidRPr="00D83AFA" w:rsidR="008C563E" w:rsidP="006B5C77" w:rsidRDefault="008C563E" w14:paraId="23498E76" w14:textId="77777777">
            <w:pPr>
              <w:pStyle w:val="TableHeaderLeft"/>
            </w:pPr>
            <w:r w:rsidRPr="00D83AFA">
              <w:t xml:space="preserve">Question </w:t>
            </w:r>
            <w:r>
              <w:t>t</w:t>
            </w:r>
            <w:r w:rsidRPr="00D83AFA">
              <w:t>opic</w:t>
            </w:r>
          </w:p>
        </w:tc>
        <w:tc>
          <w:tcPr>
            <w:tcW w:w="2687" w:type="pct"/>
            <w:tcBorders>
              <w:top w:val="nil"/>
              <w:left w:val="single" w:color="FFFFFF" w:sz="4" w:space="0"/>
              <w:right w:val="single" w:color="FFFFFF" w:sz="4" w:space="0"/>
            </w:tcBorders>
            <w:shd w:val="clear" w:color="auto" w:fill="6C6F70"/>
            <w:vAlign w:val="bottom"/>
          </w:tcPr>
          <w:p w:rsidRPr="00D83AFA" w:rsidR="008C563E" w:rsidP="006B5C77" w:rsidRDefault="008C563E" w14:paraId="57EAF711" w14:textId="77777777">
            <w:pPr>
              <w:pStyle w:val="TableHeaderCenter"/>
            </w:pPr>
            <w:r w:rsidRPr="00D83AFA">
              <w:t>Justification</w:t>
            </w:r>
          </w:p>
        </w:tc>
        <w:tc>
          <w:tcPr>
            <w:tcW w:w="611" w:type="pct"/>
            <w:tcBorders>
              <w:top w:val="nil"/>
              <w:left w:val="single" w:color="FFFFFF" w:sz="4" w:space="0"/>
              <w:right w:val="single" w:color="FFFFFF" w:sz="4" w:space="0"/>
            </w:tcBorders>
            <w:shd w:val="clear" w:color="auto" w:fill="6C6F70"/>
            <w:vAlign w:val="bottom"/>
          </w:tcPr>
          <w:p w:rsidRPr="00D83AFA" w:rsidR="008C563E" w:rsidP="006B5C77" w:rsidRDefault="008C563E" w14:paraId="6C153BD6" w14:textId="77777777">
            <w:pPr>
              <w:pStyle w:val="TableHeaderCenter"/>
            </w:pPr>
            <w:r>
              <w:t>Youth in high schools</w:t>
            </w:r>
          </w:p>
        </w:tc>
        <w:tc>
          <w:tcPr>
            <w:tcW w:w="620" w:type="pct"/>
            <w:tcBorders>
              <w:top w:val="nil"/>
              <w:left w:val="single" w:color="FFFFFF" w:sz="4" w:space="0"/>
              <w:right w:val="nil"/>
            </w:tcBorders>
            <w:shd w:val="clear" w:color="auto" w:fill="6C6F70"/>
            <w:vAlign w:val="bottom"/>
          </w:tcPr>
          <w:p w:rsidRPr="00D83AFA" w:rsidR="008C563E" w:rsidP="006B5C77" w:rsidRDefault="008C563E" w14:paraId="05A579D5" w14:textId="77777777">
            <w:pPr>
              <w:pStyle w:val="TableHeaderCenter"/>
            </w:pPr>
            <w:r>
              <w:t>Adults</w:t>
            </w:r>
          </w:p>
        </w:tc>
      </w:tr>
      <w:tr w:rsidRPr="00A952D2" w:rsidR="008C563E" w:rsidDel="00250AD2" w:rsidTr="006B5C77" w14:paraId="46C993C4" w14:textId="77777777">
        <w:tc>
          <w:tcPr>
            <w:tcW w:w="1082" w:type="pct"/>
            <w:tcBorders>
              <w:left w:val="nil"/>
            </w:tcBorders>
            <w:shd w:val="clear" w:color="auto" w:fill="auto"/>
          </w:tcPr>
          <w:p w:rsidRPr="00A952D2" w:rsidR="008C563E" w:rsidP="006B5C77" w:rsidRDefault="008C563E" w14:paraId="77662944" w14:textId="77777777">
            <w:pPr>
              <w:pStyle w:val="TableText"/>
              <w:spacing w:before="60" w:after="60"/>
            </w:pPr>
            <w:r w:rsidRPr="00A952D2">
              <w:t xml:space="preserve">Involvement with the criminal justice system </w:t>
            </w:r>
          </w:p>
          <w:p w:rsidRPr="00A952D2" w:rsidR="008C563E" w:rsidP="006B5C77" w:rsidRDefault="008C563E" w14:paraId="254A0D11" w14:textId="77777777">
            <w:pPr>
              <w:pStyle w:val="TableText"/>
              <w:spacing w:before="60" w:after="60"/>
              <w:rPr>
                <w:rFonts w:ascii="Lucida Sans" w:hAnsi="Lucida Sans"/>
                <w:szCs w:val="16"/>
              </w:rPr>
            </w:pPr>
          </w:p>
        </w:tc>
        <w:tc>
          <w:tcPr>
            <w:tcW w:w="2687" w:type="pct"/>
            <w:shd w:val="clear" w:color="auto" w:fill="auto"/>
          </w:tcPr>
          <w:p w:rsidRPr="00A952D2" w:rsidR="008C563E" w:rsidP="006B5C77" w:rsidRDefault="008C563E" w14:paraId="24E4064A" w14:textId="77777777">
            <w:pPr>
              <w:pStyle w:val="TableText"/>
              <w:spacing w:before="60" w:after="60"/>
            </w:pPr>
            <w:r w:rsidRPr="00A952D2" w:rsidDel="00250AD2">
              <w:t>Recent research suggests that a history of incarceration and involvement with the criminal justice system may be</w:t>
            </w:r>
            <w:r>
              <w:t xml:space="preserve"> fairly common among men in the STREAMS</w:t>
            </w:r>
            <w:r w:rsidRPr="00A952D2" w:rsidDel="00250AD2">
              <w:t xml:space="preserve"> target population (</w:t>
            </w:r>
            <w:r w:rsidRPr="00A952D2">
              <w:t xml:space="preserve">Zaveri et al. 2014; </w:t>
            </w:r>
            <w:r w:rsidRPr="00A952D2" w:rsidDel="00250AD2">
              <w:t xml:space="preserve">Pearson et al. 2011). Incarceration has major negative effects on child and family well-being, including reducing the financial support and other types of support adults can provide to their partners, children, and </w:t>
            </w:r>
            <w:r w:rsidRPr="00A952D2" w:rsidDel="00250AD2">
              <w:lastRenderedPageBreak/>
              <w:t>families, thus, documenting the incidence</w:t>
            </w:r>
            <w:r>
              <w:t xml:space="preserve"> is important. Further, because some relationship education</w:t>
            </w:r>
            <w:r w:rsidRPr="00A952D2">
              <w:t xml:space="preserve"> programs </w:t>
            </w:r>
            <w:r w:rsidRPr="00A952D2" w:rsidDel="00250AD2">
              <w:t xml:space="preserve">encourage men to become more responsible, we want to explore whether </w:t>
            </w:r>
            <w:r w:rsidRPr="00A952D2">
              <w:t xml:space="preserve">the programs </w:t>
            </w:r>
            <w:r w:rsidRPr="00A952D2" w:rsidDel="00250AD2">
              <w:t>had any effect on criminal involvement. Similar questions have been included in other large national studies, such as the Fragile Families and Child Wellbeing Study, the National Job Corps Study, the Building Strong Families Study</w:t>
            </w:r>
            <w:r w:rsidRPr="00A952D2">
              <w:t>, and the Parents and Children Together evaluation</w:t>
            </w:r>
            <w:r w:rsidRPr="00A952D2" w:rsidDel="00250AD2">
              <w:t>. In the Building Strong Families survey, nonresponse was less than 1 percent for these items</w:t>
            </w:r>
            <w:r w:rsidRPr="00A952D2">
              <w:t xml:space="preserve"> (Wood et al. 2010)</w:t>
            </w:r>
            <w:r w:rsidRPr="00A952D2" w:rsidDel="00250AD2">
              <w:t>.</w:t>
            </w:r>
          </w:p>
        </w:tc>
        <w:tc>
          <w:tcPr>
            <w:tcW w:w="611" w:type="pct"/>
          </w:tcPr>
          <w:p w:rsidRPr="00A952D2" w:rsidR="008C563E" w:rsidDel="00250AD2" w:rsidP="006B5C77" w:rsidRDefault="008C563E" w14:paraId="5AD218CD" w14:textId="77777777">
            <w:pPr>
              <w:pStyle w:val="TableText"/>
              <w:spacing w:before="60" w:after="60"/>
            </w:pPr>
          </w:p>
        </w:tc>
        <w:tc>
          <w:tcPr>
            <w:tcW w:w="620" w:type="pct"/>
            <w:tcBorders>
              <w:right w:val="nil"/>
            </w:tcBorders>
          </w:tcPr>
          <w:p w:rsidRPr="00A952D2" w:rsidR="008C563E" w:rsidDel="00250AD2" w:rsidP="006B5C77" w:rsidRDefault="008C563E" w14:paraId="490E5B18" w14:textId="77777777">
            <w:pPr>
              <w:pStyle w:val="TableText"/>
              <w:spacing w:before="60" w:after="60"/>
              <w:jc w:val="center"/>
            </w:pPr>
            <w:r>
              <w:t>X</w:t>
            </w:r>
          </w:p>
        </w:tc>
      </w:tr>
      <w:tr w:rsidR="008C563E" w:rsidTr="006B5C77" w14:paraId="78516CA7" w14:textId="77777777">
        <w:tc>
          <w:tcPr>
            <w:tcW w:w="1082" w:type="pct"/>
            <w:tcBorders>
              <w:left w:val="nil"/>
            </w:tcBorders>
            <w:shd w:val="clear" w:color="auto" w:fill="auto"/>
          </w:tcPr>
          <w:p w:rsidR="008C563E" w:rsidP="006B5C77" w:rsidRDefault="008C563E" w14:paraId="3E369D32" w14:textId="77777777">
            <w:pPr>
              <w:pStyle w:val="TableText"/>
              <w:spacing w:before="60" w:after="60"/>
              <w:rPr>
                <w:szCs w:val="16"/>
              </w:rPr>
            </w:pPr>
            <w:r>
              <w:t>Relationship experiences and characteristics</w:t>
            </w:r>
          </w:p>
        </w:tc>
        <w:tc>
          <w:tcPr>
            <w:tcW w:w="2687" w:type="pct"/>
            <w:shd w:val="clear" w:color="auto" w:fill="auto"/>
          </w:tcPr>
          <w:p w:rsidR="008C563E" w:rsidP="006B5C77" w:rsidRDefault="008C563E" w14:paraId="50395C95" w14:textId="77777777">
            <w:pPr>
              <w:pStyle w:val="TableText"/>
              <w:spacing w:before="60" w:after="60"/>
              <w:rPr>
                <w:szCs w:val="16"/>
              </w:rPr>
            </w:pPr>
            <w:r>
              <w:t>Several questions on participants’ relationship experiences and characteristics are required for the FaMLE Cross-Site data collection and were previously approved by OMB under 0970-0460. For STREAMS, a limited number of additional questions on relationship experiences and characteristics were added to both the surveys for youth in high schools and the surveys for adults. For youth in high schools, the additional questions ask about the respondent’s current relationship status and, for those youth currently in a relationship, about their relationship satisfaction and experiences. For adults, the additional questions ask about the number of romantic partners the respondent has had in the past year and the characteristics of the respondent’s current romantic relationship. These questions are necessary both to understand the populations being served and as potential moderators and outcomes of healthy relationship education programming.</w:t>
            </w:r>
          </w:p>
        </w:tc>
        <w:tc>
          <w:tcPr>
            <w:tcW w:w="611" w:type="pct"/>
          </w:tcPr>
          <w:p w:rsidR="008C563E" w:rsidP="006B5C77" w:rsidRDefault="008C563E" w14:paraId="43A19CAA" w14:textId="77777777">
            <w:pPr>
              <w:pStyle w:val="TableText"/>
              <w:spacing w:before="60" w:after="60"/>
              <w:jc w:val="center"/>
              <w:rPr>
                <w:szCs w:val="16"/>
              </w:rPr>
            </w:pPr>
            <w:r>
              <w:rPr>
                <w:color w:val="000000"/>
              </w:rPr>
              <w:t>X</w:t>
            </w:r>
          </w:p>
        </w:tc>
        <w:tc>
          <w:tcPr>
            <w:tcW w:w="620" w:type="pct"/>
            <w:tcBorders>
              <w:right w:val="nil"/>
            </w:tcBorders>
          </w:tcPr>
          <w:p w:rsidR="008C563E" w:rsidP="006B5C77" w:rsidRDefault="008C563E" w14:paraId="2A040C1D" w14:textId="77777777">
            <w:pPr>
              <w:pStyle w:val="TableText"/>
              <w:spacing w:before="60" w:after="60"/>
              <w:jc w:val="center"/>
              <w:rPr>
                <w:szCs w:val="16"/>
              </w:rPr>
            </w:pPr>
            <w:r>
              <w:rPr>
                <w:color w:val="000000"/>
              </w:rPr>
              <w:t>X</w:t>
            </w:r>
          </w:p>
        </w:tc>
      </w:tr>
      <w:tr w:rsidR="008C563E" w:rsidTr="00B91A2C" w14:paraId="06E9A80F" w14:textId="77777777">
        <w:trPr>
          <w:trHeight w:val="2816"/>
        </w:trPr>
        <w:tc>
          <w:tcPr>
            <w:tcW w:w="1082" w:type="pct"/>
            <w:tcBorders>
              <w:left w:val="nil"/>
            </w:tcBorders>
            <w:shd w:val="clear" w:color="auto" w:fill="auto"/>
          </w:tcPr>
          <w:p w:rsidR="008C563E" w:rsidP="006B5C77" w:rsidRDefault="008C563E" w14:paraId="66C244BE" w14:textId="77777777">
            <w:pPr>
              <w:pStyle w:val="TableText"/>
              <w:spacing w:before="60" w:after="60"/>
              <w:rPr>
                <w:szCs w:val="16"/>
              </w:rPr>
            </w:pPr>
            <w:r>
              <w:rPr>
                <w:szCs w:val="16"/>
              </w:rPr>
              <w:t>Sexual activity</w:t>
            </w:r>
            <w:r w:rsidRPr="00A952D2">
              <w:rPr>
                <w:szCs w:val="16"/>
              </w:rPr>
              <w:t xml:space="preserve"> </w:t>
            </w:r>
          </w:p>
        </w:tc>
        <w:tc>
          <w:tcPr>
            <w:tcW w:w="2687" w:type="pct"/>
            <w:shd w:val="clear" w:color="auto" w:fill="auto"/>
          </w:tcPr>
          <w:p w:rsidR="008C563E" w:rsidP="006B5C77" w:rsidRDefault="008C563E" w14:paraId="45D41373" w14:textId="77777777">
            <w:pPr>
              <w:pStyle w:val="TableText"/>
              <w:spacing w:before="60" w:after="60"/>
              <w:rPr>
                <w:szCs w:val="16"/>
              </w:rPr>
            </w:pPr>
            <w:r>
              <w:rPr>
                <w:szCs w:val="16"/>
              </w:rPr>
              <w:t xml:space="preserve">For youth in high schools, healthy relationship education programming often includes information on decision making around sexual activity. To measure the potential impact of this program component, the STREAMS surveys for youth in high schools include four questions on youth sexual activity: (1) whether the respondent has ever had sex, (2) whether the respondent was sexually active in the past three months, (3) whether the respondent had sex without a condom in the past three months, and (4) whether the respondent had sex without any effective contraceptive method in the past three months. All of these questions derive from </w:t>
            </w:r>
            <w:r w:rsidR="00B45170">
              <w:rPr>
                <w:szCs w:val="16"/>
              </w:rPr>
              <w:t xml:space="preserve">a </w:t>
            </w:r>
            <w:r>
              <w:rPr>
                <w:szCs w:val="16"/>
              </w:rPr>
              <w:t>recent federal evaluation of adolescent teen pregnancy prevention programs.</w:t>
            </w:r>
          </w:p>
        </w:tc>
        <w:tc>
          <w:tcPr>
            <w:tcW w:w="611" w:type="pct"/>
          </w:tcPr>
          <w:p w:rsidR="008C563E" w:rsidP="006B5C77" w:rsidRDefault="008C563E" w14:paraId="73FB083A" w14:textId="77777777">
            <w:pPr>
              <w:pStyle w:val="TableText"/>
              <w:spacing w:before="60" w:after="60"/>
              <w:jc w:val="center"/>
              <w:rPr>
                <w:szCs w:val="16"/>
              </w:rPr>
            </w:pPr>
            <w:r>
              <w:rPr>
                <w:szCs w:val="16"/>
              </w:rPr>
              <w:t>X</w:t>
            </w:r>
          </w:p>
        </w:tc>
        <w:tc>
          <w:tcPr>
            <w:tcW w:w="620" w:type="pct"/>
            <w:tcBorders>
              <w:right w:val="nil"/>
            </w:tcBorders>
          </w:tcPr>
          <w:p w:rsidR="008C563E" w:rsidP="006B5C77" w:rsidRDefault="008C563E" w14:paraId="00779707" w14:textId="77777777">
            <w:pPr>
              <w:pStyle w:val="TableText"/>
              <w:spacing w:before="60" w:after="60"/>
              <w:jc w:val="center"/>
              <w:rPr>
                <w:szCs w:val="16"/>
              </w:rPr>
            </w:pPr>
          </w:p>
        </w:tc>
      </w:tr>
      <w:tr w:rsidR="00B91A2C" w:rsidTr="006B5C77" w14:paraId="495222AA" w14:textId="77777777">
        <w:tc>
          <w:tcPr>
            <w:tcW w:w="1082" w:type="pct"/>
            <w:tcBorders>
              <w:left w:val="nil"/>
            </w:tcBorders>
            <w:shd w:val="clear" w:color="auto" w:fill="auto"/>
          </w:tcPr>
          <w:p w:rsidR="00B91A2C" w:rsidP="00B91A2C" w:rsidRDefault="00B91A2C" w14:paraId="4CE109FC" w14:textId="77777777">
            <w:pPr>
              <w:pStyle w:val="TableText"/>
              <w:spacing w:before="60" w:after="60"/>
              <w:rPr>
                <w:szCs w:val="16"/>
              </w:rPr>
            </w:pPr>
            <w:r>
              <w:rPr>
                <w:szCs w:val="16"/>
              </w:rPr>
              <w:t>Sexual o</w:t>
            </w:r>
            <w:r w:rsidRPr="00A952D2">
              <w:rPr>
                <w:szCs w:val="16"/>
              </w:rPr>
              <w:t xml:space="preserve">rientation </w:t>
            </w:r>
          </w:p>
        </w:tc>
        <w:tc>
          <w:tcPr>
            <w:tcW w:w="2687" w:type="pct"/>
            <w:shd w:val="clear" w:color="auto" w:fill="auto"/>
          </w:tcPr>
          <w:p w:rsidR="00B91A2C" w:rsidP="00B91A2C" w:rsidRDefault="00B91A2C" w14:paraId="7048F946" w14:textId="77777777">
            <w:pPr>
              <w:pStyle w:val="TableText"/>
              <w:spacing w:before="60" w:after="60"/>
              <w:rPr>
                <w:szCs w:val="16"/>
              </w:rPr>
            </w:pPr>
            <w:r>
              <w:rPr>
                <w:szCs w:val="16"/>
              </w:rPr>
              <w:t xml:space="preserve">There is a growing emphasis in healthy relationship education on inclusivity with respect to sexual orientation. For the STREAMS impact study, we will ask respondents to self-identify their sexual orientation both to better understand the populations being served and as a potential moderator of relationship education impacts. </w:t>
            </w:r>
          </w:p>
        </w:tc>
        <w:tc>
          <w:tcPr>
            <w:tcW w:w="611" w:type="pct"/>
          </w:tcPr>
          <w:p w:rsidR="00B91A2C" w:rsidP="00B91A2C" w:rsidRDefault="00B91A2C" w14:paraId="3A8FEA2A" w14:textId="77777777">
            <w:pPr>
              <w:pStyle w:val="TableText"/>
              <w:spacing w:before="60" w:after="60"/>
              <w:jc w:val="center"/>
              <w:rPr>
                <w:szCs w:val="16"/>
              </w:rPr>
            </w:pPr>
            <w:r>
              <w:rPr>
                <w:szCs w:val="16"/>
              </w:rPr>
              <w:t>X</w:t>
            </w:r>
          </w:p>
        </w:tc>
        <w:tc>
          <w:tcPr>
            <w:tcW w:w="620" w:type="pct"/>
            <w:tcBorders>
              <w:right w:val="nil"/>
            </w:tcBorders>
          </w:tcPr>
          <w:p w:rsidR="00B91A2C" w:rsidP="00B91A2C" w:rsidRDefault="00B91A2C" w14:paraId="3E17314A" w14:textId="77777777">
            <w:pPr>
              <w:pStyle w:val="TableText"/>
              <w:spacing w:before="60" w:after="60"/>
              <w:jc w:val="center"/>
              <w:rPr>
                <w:szCs w:val="16"/>
              </w:rPr>
            </w:pPr>
            <w:r>
              <w:rPr>
                <w:szCs w:val="16"/>
              </w:rPr>
              <w:t>X</w:t>
            </w:r>
          </w:p>
          <w:p w:rsidR="00146E06" w:rsidP="00B91A2C" w:rsidRDefault="00146E06" w14:paraId="1ACAAA2B" w14:textId="77777777">
            <w:pPr>
              <w:pStyle w:val="TableText"/>
              <w:spacing w:before="60" w:after="60"/>
              <w:jc w:val="center"/>
              <w:rPr>
                <w:szCs w:val="16"/>
              </w:rPr>
            </w:pPr>
          </w:p>
          <w:p w:rsidR="00146E06" w:rsidP="00B91A2C" w:rsidRDefault="00146E06" w14:paraId="6BEEF5A1" w14:textId="77777777">
            <w:pPr>
              <w:pStyle w:val="TableText"/>
              <w:spacing w:before="60" w:after="60"/>
              <w:jc w:val="center"/>
              <w:rPr>
                <w:szCs w:val="16"/>
              </w:rPr>
            </w:pPr>
          </w:p>
        </w:tc>
      </w:tr>
      <w:tr w:rsidR="00146E06" w:rsidTr="006B5C77" w14:paraId="702F5B6E" w14:textId="77777777">
        <w:tc>
          <w:tcPr>
            <w:tcW w:w="1082" w:type="pct"/>
            <w:tcBorders>
              <w:left w:val="nil"/>
            </w:tcBorders>
            <w:shd w:val="clear" w:color="auto" w:fill="auto"/>
          </w:tcPr>
          <w:p w:rsidR="00146E06" w:rsidP="00146E06" w:rsidRDefault="00146E06" w14:paraId="6F08B34A" w14:textId="77777777">
            <w:pPr>
              <w:pStyle w:val="TableText"/>
              <w:spacing w:before="60" w:after="60"/>
              <w:rPr>
                <w:szCs w:val="16"/>
              </w:rPr>
            </w:pPr>
            <w:r>
              <w:t>Social Security number</w:t>
            </w:r>
          </w:p>
        </w:tc>
        <w:tc>
          <w:tcPr>
            <w:tcW w:w="2687" w:type="pct"/>
            <w:shd w:val="clear" w:color="auto" w:fill="auto"/>
          </w:tcPr>
          <w:p w:rsidR="00146E06" w:rsidP="00146E06" w:rsidRDefault="00146E06" w14:paraId="3BD30E6D" w14:textId="77777777">
            <w:pPr>
              <w:pStyle w:val="TableText"/>
              <w:spacing w:before="60" w:after="60"/>
              <w:rPr>
                <w:szCs w:val="16"/>
              </w:rPr>
            </w:pPr>
            <w:r>
              <w:t>In evaluation sites serving adults, t</w:t>
            </w:r>
            <w:r w:rsidRPr="00A952D2">
              <w:t>he respondent’s Social Securi</w:t>
            </w:r>
            <w:r>
              <w:t>ty number is essential</w:t>
            </w:r>
            <w:r w:rsidRPr="00A1335A">
              <w:t xml:space="preserve"> for </w:t>
            </w:r>
            <w:r>
              <w:t>two</w:t>
            </w:r>
            <w:r w:rsidRPr="00A1335A">
              <w:t xml:space="preserve"> reasons. First, it will be used to collect </w:t>
            </w:r>
            <w:r>
              <w:t>important outcome data on sample members’ employment</w:t>
            </w:r>
            <w:r w:rsidRPr="00A1335A">
              <w:t xml:space="preserve"> from the National Directory of New Hires.</w:t>
            </w:r>
            <w:r>
              <w:t xml:space="preserve"> These data will be important for measuring potential employment effects in in sites that are providing a combination of relationship education and economic stability services.</w:t>
            </w:r>
            <w:r w:rsidRPr="00A952D2">
              <w:t xml:space="preserve"> Second, Social Security numbers will also be used </w:t>
            </w:r>
            <w:r w:rsidRPr="00A952D2">
              <w:lastRenderedPageBreak/>
              <w:t xml:space="preserve">to collect information on the location of the study participant for the follow-up data collection. </w:t>
            </w:r>
          </w:p>
        </w:tc>
        <w:tc>
          <w:tcPr>
            <w:tcW w:w="611" w:type="pct"/>
          </w:tcPr>
          <w:p w:rsidR="00146E06" w:rsidP="00146E06" w:rsidRDefault="00146E06" w14:paraId="2ADD3ED8" w14:textId="77777777">
            <w:pPr>
              <w:pStyle w:val="TableText"/>
              <w:spacing w:before="60" w:after="60"/>
              <w:jc w:val="center"/>
              <w:rPr>
                <w:szCs w:val="16"/>
              </w:rPr>
            </w:pPr>
          </w:p>
        </w:tc>
        <w:tc>
          <w:tcPr>
            <w:tcW w:w="620" w:type="pct"/>
            <w:tcBorders>
              <w:right w:val="nil"/>
            </w:tcBorders>
          </w:tcPr>
          <w:p w:rsidR="00146E06" w:rsidP="00146E06" w:rsidRDefault="00146E06" w14:paraId="04C0B6BE" w14:textId="77777777">
            <w:pPr>
              <w:pStyle w:val="TableText"/>
              <w:spacing w:before="60" w:after="60"/>
              <w:jc w:val="center"/>
              <w:rPr>
                <w:szCs w:val="16"/>
              </w:rPr>
            </w:pPr>
            <w:r>
              <w:t>X</w:t>
            </w:r>
          </w:p>
        </w:tc>
      </w:tr>
    </w:tbl>
    <w:p w:rsidR="005046F0" w:rsidP="005046F0" w:rsidRDefault="005046F0" w14:paraId="63D384F1" w14:textId="77777777">
      <w:pPr>
        <w:ind w:left="360"/>
      </w:pPr>
    </w:p>
    <w:p w:rsidR="00A35B0D" w:rsidP="00A478DB" w:rsidRDefault="00292B70" w14:paraId="44A006AA" w14:textId="77777777">
      <w:pPr>
        <w:spacing w:after="120"/>
        <w:rPr>
          <w:b/>
        </w:rPr>
      </w:pPr>
      <w:r>
        <w:rPr>
          <w:b/>
        </w:rPr>
        <w:t xml:space="preserve">A12. </w:t>
      </w:r>
      <w:r w:rsidRPr="0072204D" w:rsidR="00945CD6">
        <w:rPr>
          <w:b/>
        </w:rPr>
        <w:t>Estimation of Information Collection Burden</w:t>
      </w:r>
    </w:p>
    <w:p w:rsidRPr="00A478DB" w:rsidR="00A478DB" w:rsidP="0029050D" w:rsidRDefault="00A478DB" w14:paraId="4A2C7DED" w14:textId="57CAAA70">
      <w:pPr>
        <w:spacing w:after="240"/>
        <w:ind w:firstLine="432"/>
      </w:pPr>
      <w:r>
        <w:t>Table A.</w:t>
      </w:r>
      <w:r w:rsidR="00071293">
        <w:t>5</w:t>
      </w:r>
      <w:r>
        <w:t xml:space="preserve"> </w:t>
      </w:r>
      <w:r w:rsidR="008841F6">
        <w:t>shows the previously approved burden for instruments that are no longer in use. Table A.</w:t>
      </w:r>
      <w:r w:rsidR="00071293">
        <w:t>6</w:t>
      </w:r>
      <w:r w:rsidR="008841F6">
        <w:t xml:space="preserve"> </w:t>
      </w:r>
      <w:r>
        <w:t xml:space="preserve">summarizes the estimated reporting burden and costs for </w:t>
      </w:r>
      <w:r w:rsidR="008841F6">
        <w:t xml:space="preserve">previously approved information collections that are ongoing in addition to </w:t>
      </w:r>
      <w:r w:rsidRPr="00A478DB">
        <w:rPr>
          <w:iCs/>
        </w:rPr>
        <w:t xml:space="preserve">two </w:t>
      </w:r>
      <w:r w:rsidR="005F524B">
        <w:rPr>
          <w:iCs/>
        </w:rPr>
        <w:t>newly</w:t>
      </w:r>
      <w:r w:rsidRPr="00A478DB" w:rsidR="005F524B">
        <w:rPr>
          <w:iCs/>
        </w:rPr>
        <w:t xml:space="preserve"> </w:t>
      </w:r>
      <w:r>
        <w:rPr>
          <w:iCs/>
        </w:rPr>
        <w:t xml:space="preserve">requested </w:t>
      </w:r>
      <w:r w:rsidRPr="00A478DB">
        <w:rPr>
          <w:iCs/>
        </w:rPr>
        <w:t>data collection instruments associated with the impact study</w:t>
      </w:r>
      <w:r>
        <w:rPr>
          <w:iCs/>
        </w:rPr>
        <w:t>.</w:t>
      </w:r>
      <w:r w:rsidR="000C4DA3">
        <w:rPr>
          <w:iCs/>
        </w:rPr>
        <w:t xml:space="preserve"> For information about previously approved burden, see the previously approved information collection requests: </w:t>
      </w:r>
      <w:hyperlink w:history="1" r:id="rId11">
        <w:r w:rsidRPr="008C30DF" w:rsidR="000C4DA3">
          <w:rPr>
            <w:rStyle w:val="Hyperlink"/>
            <w:iCs/>
          </w:rPr>
          <w:t>https://www.reginfo.gov/public/do/PRAViewICR?ref_nbr=201806-0970-006</w:t>
        </w:r>
      </w:hyperlink>
      <w:r w:rsidR="000C4DA3">
        <w:rPr>
          <w:iCs/>
        </w:rPr>
        <w:t xml:space="preserve"> </w:t>
      </w:r>
    </w:p>
    <w:p w:rsidR="005F524B" w:rsidP="00D15AEE" w:rsidRDefault="005F524B" w14:paraId="27E7C298" w14:textId="77777777">
      <w:pPr>
        <w:spacing w:after="120"/>
        <w:rPr>
          <w:b/>
          <w:i/>
        </w:rPr>
      </w:pPr>
      <w:r>
        <w:rPr>
          <w:b/>
          <w:i/>
        </w:rPr>
        <w:t>Previously Approved</w:t>
      </w:r>
      <w:r w:rsidR="00D01CDD">
        <w:rPr>
          <w:b/>
          <w:i/>
        </w:rPr>
        <w:t xml:space="preserve"> Study Instruments with Burden Completed</w:t>
      </w:r>
    </w:p>
    <w:p w:rsidR="008841F6" w:rsidP="006D7DC1" w:rsidRDefault="008841F6" w14:paraId="032A3600" w14:textId="66D284D2">
      <w:pPr>
        <w:numPr>
          <w:ilvl w:val="0"/>
          <w:numId w:val="33"/>
        </w:numPr>
        <w:spacing w:after="120"/>
      </w:pPr>
    </w:p>
    <w:p w:rsidRPr="000073B4" w:rsidR="008841F6" w:rsidP="000073B4" w:rsidRDefault="008841F6" w14:paraId="05665095" w14:textId="14F95E50">
      <w:pPr>
        <w:spacing w:after="120"/>
      </w:pPr>
      <w:r w:rsidRPr="008841F6">
        <w:rPr>
          <w:b/>
        </w:rPr>
        <w:t>Table A.</w:t>
      </w:r>
      <w:r w:rsidR="00071293">
        <w:rPr>
          <w:b/>
        </w:rPr>
        <w:t>5</w:t>
      </w:r>
      <w:r w:rsidRPr="008841F6">
        <w:rPr>
          <w:b/>
        </w:rPr>
        <w:t xml:space="preserve">. </w:t>
      </w:r>
      <w:r>
        <w:rPr>
          <w:b/>
        </w:rPr>
        <w:t>Previously approved burden</w:t>
      </w:r>
      <w:r w:rsidRPr="008841F6">
        <w:rPr>
          <w:b/>
        </w:rPr>
        <w:t>;</w:t>
      </w:r>
      <w:r w:rsidRPr="000073B4">
        <w:rPr>
          <w:b/>
        </w:rPr>
        <w:t xml:space="preserve"> data collection complete</w:t>
      </w:r>
    </w:p>
    <w:p w:rsidR="008841F6" w:rsidP="000073B4" w:rsidRDefault="008841F6" w14:paraId="412E088C" w14:textId="77777777">
      <w:pPr>
        <w:spacing w:after="120"/>
        <w:ind w:left="810"/>
      </w:pPr>
    </w:p>
    <w:tbl>
      <w:tblPr>
        <w:tblW w:w="9360" w:type="dxa"/>
        <w:tblInd w:w="108" w:type="dxa"/>
        <w:tblLook w:val="04A0" w:firstRow="1" w:lastRow="0" w:firstColumn="1" w:lastColumn="0" w:noHBand="0" w:noVBand="1"/>
      </w:tblPr>
      <w:tblGrid>
        <w:gridCol w:w="1436"/>
        <w:gridCol w:w="1297"/>
        <w:gridCol w:w="1297"/>
        <w:gridCol w:w="1197"/>
        <w:gridCol w:w="1017"/>
        <w:gridCol w:w="1077"/>
        <w:gridCol w:w="927"/>
        <w:gridCol w:w="1112"/>
      </w:tblGrid>
      <w:tr w:rsidR="008841F6" w:rsidTr="00350F6B" w14:paraId="251C95BD" w14:textId="77777777">
        <w:trPr>
          <w:trHeight w:val="1390"/>
        </w:trPr>
        <w:tc>
          <w:tcPr>
            <w:tcW w:w="1436" w:type="dxa"/>
            <w:tcBorders>
              <w:top w:val="single" w:color="auto" w:sz="4" w:space="0"/>
              <w:left w:val="single" w:color="auto" w:sz="4" w:space="0"/>
              <w:bottom w:val="single" w:color="000000" w:sz="8" w:space="0"/>
              <w:right w:val="single" w:color="FFFFFF" w:sz="8" w:space="0"/>
            </w:tcBorders>
            <w:shd w:val="clear" w:color="000000" w:fill="6C6F70"/>
            <w:vAlign w:val="center"/>
            <w:hideMark/>
          </w:tcPr>
          <w:p w:rsidR="008841F6" w:rsidP="00350F6B" w:rsidRDefault="008841F6" w14:paraId="1E0AB7F9" w14:textId="77777777">
            <w:pPr>
              <w:rPr>
                <w:rFonts w:ascii="Arial" w:hAnsi="Arial" w:cs="Arial"/>
                <w:b/>
                <w:bCs/>
                <w:color w:val="FFFFFF"/>
                <w:sz w:val="18"/>
                <w:szCs w:val="18"/>
              </w:rPr>
            </w:pPr>
            <w:r>
              <w:rPr>
                <w:rFonts w:ascii="Arial" w:hAnsi="Arial" w:cs="Arial"/>
                <w:b/>
                <w:bCs/>
                <w:color w:val="FFFFFF"/>
                <w:sz w:val="18"/>
                <w:szCs w:val="18"/>
              </w:rPr>
              <w:t>Instrument</w:t>
            </w:r>
          </w:p>
        </w:tc>
        <w:tc>
          <w:tcPr>
            <w:tcW w:w="1297" w:type="dxa"/>
            <w:tcBorders>
              <w:top w:val="single" w:color="auto" w:sz="4" w:space="0"/>
              <w:left w:val="nil"/>
              <w:bottom w:val="single" w:color="000000" w:sz="8" w:space="0"/>
              <w:right w:val="single" w:color="FFFFFF" w:sz="8" w:space="0"/>
            </w:tcBorders>
            <w:shd w:val="clear" w:color="000000" w:fill="6C6F70"/>
            <w:vAlign w:val="center"/>
            <w:hideMark/>
          </w:tcPr>
          <w:p w:rsidR="008841F6" w:rsidP="00350F6B" w:rsidRDefault="008841F6" w14:paraId="1C407CD6" w14:textId="77777777">
            <w:pPr>
              <w:jc w:val="center"/>
              <w:rPr>
                <w:rFonts w:ascii="Arial" w:hAnsi="Arial" w:cs="Arial"/>
                <w:b/>
                <w:bCs/>
                <w:color w:val="FFFFFF"/>
                <w:sz w:val="18"/>
                <w:szCs w:val="18"/>
              </w:rPr>
            </w:pPr>
            <w:r>
              <w:rPr>
                <w:rFonts w:ascii="Arial" w:hAnsi="Arial" w:cs="Arial"/>
                <w:b/>
                <w:bCs/>
                <w:color w:val="FFFFFF"/>
                <w:sz w:val="18"/>
                <w:szCs w:val="18"/>
              </w:rPr>
              <w:t>Total number of respondents</w:t>
            </w:r>
          </w:p>
        </w:tc>
        <w:tc>
          <w:tcPr>
            <w:tcW w:w="1297" w:type="dxa"/>
            <w:tcBorders>
              <w:top w:val="single" w:color="auto" w:sz="4" w:space="0"/>
              <w:left w:val="nil"/>
              <w:bottom w:val="single" w:color="000000" w:sz="8" w:space="0"/>
              <w:right w:val="single" w:color="FFFFFF" w:sz="8" w:space="0"/>
            </w:tcBorders>
            <w:shd w:val="clear" w:color="000000" w:fill="6C6F70"/>
            <w:vAlign w:val="center"/>
            <w:hideMark/>
          </w:tcPr>
          <w:p w:rsidR="008841F6" w:rsidP="00350F6B" w:rsidRDefault="008841F6" w14:paraId="7101EC1D" w14:textId="77777777">
            <w:pPr>
              <w:jc w:val="center"/>
              <w:rPr>
                <w:rFonts w:ascii="Arial" w:hAnsi="Arial" w:cs="Arial"/>
                <w:b/>
                <w:bCs/>
                <w:color w:val="FFFFFF"/>
                <w:sz w:val="18"/>
                <w:szCs w:val="18"/>
              </w:rPr>
            </w:pPr>
            <w:r>
              <w:rPr>
                <w:rFonts w:ascii="Arial" w:hAnsi="Arial" w:cs="Arial"/>
                <w:b/>
                <w:bCs/>
                <w:color w:val="FFFFFF"/>
                <w:sz w:val="18"/>
                <w:szCs w:val="18"/>
              </w:rPr>
              <w:t>Annual number of respondents</w:t>
            </w:r>
          </w:p>
        </w:tc>
        <w:tc>
          <w:tcPr>
            <w:tcW w:w="1197" w:type="dxa"/>
            <w:tcBorders>
              <w:top w:val="single" w:color="auto" w:sz="4" w:space="0"/>
              <w:left w:val="nil"/>
              <w:bottom w:val="single" w:color="000000" w:sz="8" w:space="0"/>
              <w:right w:val="single" w:color="FFFFFF" w:sz="8" w:space="0"/>
            </w:tcBorders>
            <w:shd w:val="clear" w:color="000000" w:fill="6C6F70"/>
            <w:vAlign w:val="center"/>
            <w:hideMark/>
          </w:tcPr>
          <w:p w:rsidR="008841F6" w:rsidP="00350F6B" w:rsidRDefault="008841F6" w14:paraId="71CC1496" w14:textId="77777777">
            <w:pPr>
              <w:jc w:val="center"/>
              <w:rPr>
                <w:rFonts w:ascii="Arial" w:hAnsi="Arial" w:cs="Arial"/>
                <w:b/>
                <w:bCs/>
                <w:color w:val="FFFFFF"/>
                <w:sz w:val="18"/>
                <w:szCs w:val="18"/>
              </w:rPr>
            </w:pPr>
            <w:r>
              <w:rPr>
                <w:rFonts w:ascii="Arial" w:hAnsi="Arial" w:cs="Arial"/>
                <w:b/>
                <w:bCs/>
                <w:color w:val="FFFFFF"/>
                <w:sz w:val="18"/>
                <w:szCs w:val="18"/>
              </w:rPr>
              <w:t>Number of responses per respondent</w:t>
            </w:r>
          </w:p>
        </w:tc>
        <w:tc>
          <w:tcPr>
            <w:tcW w:w="1017" w:type="dxa"/>
            <w:tcBorders>
              <w:top w:val="single" w:color="auto" w:sz="4" w:space="0"/>
              <w:left w:val="nil"/>
              <w:bottom w:val="single" w:color="000000" w:sz="8" w:space="0"/>
              <w:right w:val="single" w:color="FFFFFF" w:sz="8" w:space="0"/>
            </w:tcBorders>
            <w:shd w:val="clear" w:color="000000" w:fill="6C6F70"/>
            <w:vAlign w:val="center"/>
            <w:hideMark/>
          </w:tcPr>
          <w:p w:rsidR="008841F6" w:rsidP="00350F6B" w:rsidRDefault="008841F6" w14:paraId="3D3EA8AB" w14:textId="77777777">
            <w:pPr>
              <w:jc w:val="center"/>
              <w:rPr>
                <w:rFonts w:ascii="Arial" w:hAnsi="Arial" w:cs="Arial"/>
                <w:b/>
                <w:bCs/>
                <w:color w:val="FFFFFF"/>
                <w:sz w:val="18"/>
                <w:szCs w:val="18"/>
              </w:rPr>
            </w:pPr>
            <w:r>
              <w:rPr>
                <w:rFonts w:ascii="Arial" w:hAnsi="Arial" w:cs="Arial"/>
                <w:b/>
                <w:bCs/>
                <w:color w:val="FFFFFF"/>
                <w:sz w:val="18"/>
                <w:szCs w:val="18"/>
              </w:rPr>
              <w:t>Average burden hours per response</w:t>
            </w:r>
          </w:p>
        </w:tc>
        <w:tc>
          <w:tcPr>
            <w:tcW w:w="1077" w:type="dxa"/>
            <w:tcBorders>
              <w:top w:val="single" w:color="auto" w:sz="4" w:space="0"/>
              <w:left w:val="nil"/>
              <w:bottom w:val="single" w:color="000000" w:sz="8" w:space="0"/>
              <w:right w:val="single" w:color="FFFFFF" w:sz="8" w:space="0"/>
            </w:tcBorders>
            <w:shd w:val="clear" w:color="000000" w:fill="6C6F70"/>
            <w:vAlign w:val="center"/>
            <w:hideMark/>
          </w:tcPr>
          <w:p w:rsidR="008841F6" w:rsidP="00350F6B" w:rsidRDefault="008841F6" w14:paraId="27D96A6F" w14:textId="77777777">
            <w:pPr>
              <w:jc w:val="center"/>
              <w:rPr>
                <w:rFonts w:ascii="Arial" w:hAnsi="Arial" w:cs="Arial"/>
                <w:b/>
                <w:bCs/>
                <w:color w:val="FFFFFF"/>
                <w:sz w:val="18"/>
                <w:szCs w:val="18"/>
              </w:rPr>
            </w:pPr>
            <w:r>
              <w:rPr>
                <w:rFonts w:ascii="Arial" w:hAnsi="Arial" w:cs="Arial"/>
                <w:b/>
                <w:bCs/>
                <w:color w:val="FFFFFF"/>
                <w:sz w:val="18"/>
                <w:szCs w:val="18"/>
              </w:rPr>
              <w:t>Estimated Annual burden hours</w:t>
            </w:r>
          </w:p>
        </w:tc>
        <w:tc>
          <w:tcPr>
            <w:tcW w:w="927" w:type="dxa"/>
            <w:tcBorders>
              <w:top w:val="single" w:color="auto" w:sz="4" w:space="0"/>
              <w:left w:val="nil"/>
              <w:bottom w:val="single" w:color="000000" w:sz="8" w:space="0"/>
              <w:right w:val="single" w:color="FFFFFF" w:sz="8" w:space="0"/>
            </w:tcBorders>
            <w:shd w:val="clear" w:color="000000" w:fill="6C6F70"/>
            <w:vAlign w:val="center"/>
            <w:hideMark/>
          </w:tcPr>
          <w:p w:rsidR="008841F6" w:rsidP="00350F6B" w:rsidRDefault="008841F6" w14:paraId="5AD4F4A5" w14:textId="77777777">
            <w:pPr>
              <w:jc w:val="center"/>
              <w:rPr>
                <w:rFonts w:ascii="Arial" w:hAnsi="Arial" w:cs="Arial"/>
                <w:b/>
                <w:bCs/>
                <w:color w:val="FFFFFF"/>
                <w:sz w:val="18"/>
                <w:szCs w:val="18"/>
              </w:rPr>
            </w:pPr>
            <w:r>
              <w:rPr>
                <w:rFonts w:ascii="Arial" w:hAnsi="Arial" w:cs="Arial"/>
                <w:b/>
                <w:bCs/>
                <w:color w:val="FFFFFF"/>
                <w:sz w:val="18"/>
                <w:szCs w:val="18"/>
              </w:rPr>
              <w:t>Average hourly wage</w:t>
            </w:r>
          </w:p>
        </w:tc>
        <w:tc>
          <w:tcPr>
            <w:tcW w:w="1112" w:type="dxa"/>
            <w:tcBorders>
              <w:top w:val="single" w:color="auto" w:sz="4" w:space="0"/>
              <w:left w:val="nil"/>
              <w:bottom w:val="single" w:color="000000" w:sz="8" w:space="0"/>
              <w:right w:val="single" w:color="auto" w:sz="4" w:space="0"/>
            </w:tcBorders>
            <w:shd w:val="clear" w:color="000000" w:fill="6C6F70"/>
            <w:vAlign w:val="center"/>
            <w:hideMark/>
          </w:tcPr>
          <w:p w:rsidR="008841F6" w:rsidP="00350F6B" w:rsidRDefault="008841F6" w14:paraId="36BA535B" w14:textId="77777777">
            <w:pPr>
              <w:jc w:val="center"/>
              <w:rPr>
                <w:rFonts w:ascii="Arial" w:hAnsi="Arial" w:cs="Arial"/>
                <w:b/>
                <w:bCs/>
                <w:color w:val="FFFFFF"/>
                <w:sz w:val="18"/>
                <w:szCs w:val="18"/>
              </w:rPr>
            </w:pPr>
            <w:r>
              <w:rPr>
                <w:rFonts w:ascii="Arial" w:hAnsi="Arial" w:cs="Arial"/>
                <w:b/>
                <w:bCs/>
                <w:color w:val="FFFFFF"/>
                <w:sz w:val="18"/>
                <w:szCs w:val="18"/>
              </w:rPr>
              <w:t>Total annual cost</w:t>
            </w:r>
          </w:p>
        </w:tc>
      </w:tr>
      <w:tr w:rsidR="008841F6" w:rsidTr="00350F6B" w14:paraId="7AEFDD1F" w14:textId="77777777">
        <w:trPr>
          <w:trHeight w:val="300"/>
        </w:trPr>
        <w:tc>
          <w:tcPr>
            <w:tcW w:w="9360" w:type="dxa"/>
            <w:gridSpan w:val="8"/>
            <w:tcBorders>
              <w:top w:val="single" w:color="000000" w:sz="8" w:space="0"/>
              <w:left w:val="single" w:color="auto" w:sz="4" w:space="0"/>
              <w:bottom w:val="single" w:color="000000" w:sz="8" w:space="0"/>
              <w:right w:val="single" w:color="auto" w:sz="4" w:space="0"/>
            </w:tcBorders>
            <w:shd w:val="clear" w:color="000000" w:fill="D9D9D9"/>
            <w:vAlign w:val="center"/>
          </w:tcPr>
          <w:p w:rsidR="008841F6" w:rsidP="00350F6B" w:rsidRDefault="008841F6" w14:paraId="54A938AB" w14:textId="77777777">
            <w:pPr>
              <w:jc w:val="center"/>
              <w:rPr>
                <w:rFonts w:ascii="Arial" w:hAnsi="Arial" w:cs="Arial"/>
                <w:b/>
                <w:bCs/>
                <w:color w:val="000000"/>
                <w:sz w:val="18"/>
                <w:szCs w:val="18"/>
              </w:rPr>
            </w:pPr>
          </w:p>
        </w:tc>
      </w:tr>
      <w:tr w:rsidR="008841F6" w:rsidTr="00350F6B" w14:paraId="07F1998E" w14:textId="77777777">
        <w:trPr>
          <w:trHeight w:val="300"/>
        </w:trPr>
        <w:tc>
          <w:tcPr>
            <w:tcW w:w="1436" w:type="dxa"/>
            <w:tcBorders>
              <w:top w:val="single" w:color="000000" w:sz="8" w:space="0"/>
              <w:left w:val="single" w:color="auto" w:sz="4" w:space="0"/>
              <w:bottom w:val="single" w:color="000000" w:sz="8" w:space="0"/>
              <w:right w:val="single" w:color="auto" w:sz="4" w:space="0"/>
            </w:tcBorders>
            <w:shd w:val="clear" w:color="000000" w:fill="auto"/>
            <w:vAlign w:val="center"/>
          </w:tcPr>
          <w:p w:rsidR="008841F6" w:rsidP="00350F6B" w:rsidRDefault="008841F6" w14:paraId="5F02E8C5" w14:textId="77777777">
            <w:pPr>
              <w:pStyle w:val="TableText"/>
            </w:pPr>
            <w:r>
              <w:t>Topic guide for staff and stakeholder interviews (Instrument 1)</w:t>
            </w:r>
          </w:p>
        </w:tc>
        <w:tc>
          <w:tcPr>
            <w:tcW w:w="1297" w:type="dxa"/>
            <w:tcBorders>
              <w:top w:val="single" w:color="000000" w:sz="8" w:space="0"/>
              <w:left w:val="single" w:color="auto" w:sz="4" w:space="0"/>
              <w:bottom w:val="single" w:color="000000" w:sz="8" w:space="0"/>
              <w:right w:val="single" w:color="auto" w:sz="4" w:space="0"/>
            </w:tcBorders>
            <w:shd w:val="clear" w:color="000000" w:fill="auto"/>
            <w:vAlign w:val="center"/>
          </w:tcPr>
          <w:p w:rsidRPr="00BE01A3" w:rsidR="008841F6" w:rsidP="00350F6B" w:rsidRDefault="008841F6" w14:paraId="0DA8A6CF" w14:textId="77777777">
            <w:pPr>
              <w:pStyle w:val="TableText"/>
              <w:jc w:val="right"/>
            </w:pPr>
            <w:r>
              <w:t>150</w:t>
            </w:r>
          </w:p>
        </w:tc>
        <w:tc>
          <w:tcPr>
            <w:tcW w:w="1297" w:type="dxa"/>
            <w:tcBorders>
              <w:top w:val="single" w:color="000000" w:sz="8" w:space="0"/>
              <w:left w:val="single" w:color="auto" w:sz="4" w:space="0"/>
              <w:bottom w:val="single" w:color="000000" w:sz="8" w:space="0"/>
              <w:right w:val="single" w:color="auto" w:sz="4" w:space="0"/>
            </w:tcBorders>
            <w:shd w:val="clear" w:color="000000" w:fill="auto"/>
            <w:vAlign w:val="center"/>
          </w:tcPr>
          <w:p w:rsidR="008841F6" w:rsidP="00350F6B" w:rsidRDefault="008841F6" w14:paraId="1A14137E" w14:textId="77777777">
            <w:pPr>
              <w:pStyle w:val="TableText"/>
              <w:jc w:val="right"/>
            </w:pPr>
            <w:r>
              <w:t>50</w:t>
            </w:r>
          </w:p>
        </w:tc>
        <w:tc>
          <w:tcPr>
            <w:tcW w:w="1197" w:type="dxa"/>
            <w:tcBorders>
              <w:top w:val="single" w:color="000000" w:sz="8" w:space="0"/>
              <w:left w:val="single" w:color="auto" w:sz="4" w:space="0"/>
              <w:bottom w:val="single" w:color="000000" w:sz="8" w:space="0"/>
              <w:right w:val="single" w:color="auto" w:sz="4" w:space="0"/>
            </w:tcBorders>
            <w:shd w:val="clear" w:color="000000" w:fill="auto"/>
            <w:vAlign w:val="center"/>
          </w:tcPr>
          <w:p w:rsidR="008841F6" w:rsidP="00350F6B" w:rsidRDefault="008841F6" w14:paraId="0F3C7668" w14:textId="77777777">
            <w:pPr>
              <w:pStyle w:val="TableText"/>
              <w:jc w:val="right"/>
            </w:pPr>
            <w:r>
              <w:t>1</w:t>
            </w:r>
          </w:p>
        </w:tc>
        <w:tc>
          <w:tcPr>
            <w:tcW w:w="1017" w:type="dxa"/>
            <w:tcBorders>
              <w:top w:val="single" w:color="000000" w:sz="8" w:space="0"/>
              <w:left w:val="single" w:color="auto" w:sz="4" w:space="0"/>
              <w:bottom w:val="single" w:color="000000" w:sz="8" w:space="0"/>
              <w:right w:val="single" w:color="auto" w:sz="4" w:space="0"/>
            </w:tcBorders>
            <w:shd w:val="clear" w:color="000000" w:fill="auto"/>
            <w:vAlign w:val="center"/>
          </w:tcPr>
          <w:p w:rsidR="008841F6" w:rsidP="00350F6B" w:rsidRDefault="008841F6" w14:paraId="1D973F03" w14:textId="77777777">
            <w:pPr>
              <w:pStyle w:val="TableText"/>
              <w:jc w:val="right"/>
            </w:pPr>
            <w:r>
              <w:t>1</w:t>
            </w:r>
          </w:p>
        </w:tc>
        <w:tc>
          <w:tcPr>
            <w:tcW w:w="1077" w:type="dxa"/>
            <w:tcBorders>
              <w:top w:val="single" w:color="000000" w:sz="8" w:space="0"/>
              <w:left w:val="single" w:color="auto" w:sz="4" w:space="0"/>
              <w:bottom w:val="single" w:color="000000" w:sz="8" w:space="0"/>
              <w:right w:val="single" w:color="auto" w:sz="4" w:space="0"/>
            </w:tcBorders>
            <w:shd w:val="clear" w:color="000000" w:fill="auto"/>
            <w:vAlign w:val="center"/>
          </w:tcPr>
          <w:p w:rsidR="008841F6" w:rsidP="00350F6B" w:rsidRDefault="008841F6" w14:paraId="4E5917A7" w14:textId="77777777">
            <w:pPr>
              <w:pStyle w:val="TableText"/>
              <w:jc w:val="right"/>
            </w:pPr>
            <w:r>
              <w:t>50</w:t>
            </w:r>
          </w:p>
        </w:tc>
        <w:tc>
          <w:tcPr>
            <w:tcW w:w="927" w:type="dxa"/>
            <w:tcBorders>
              <w:top w:val="single" w:color="000000" w:sz="8" w:space="0"/>
              <w:left w:val="single" w:color="auto" w:sz="4" w:space="0"/>
              <w:bottom w:val="single" w:color="000000" w:sz="8" w:space="0"/>
              <w:right w:val="single" w:color="auto" w:sz="4" w:space="0"/>
            </w:tcBorders>
            <w:shd w:val="clear" w:color="000000" w:fill="auto"/>
            <w:vAlign w:val="center"/>
          </w:tcPr>
          <w:p w:rsidRPr="00A33DE9" w:rsidR="008841F6" w:rsidP="00350F6B" w:rsidRDefault="008841F6" w14:paraId="4AED3909" w14:textId="77777777">
            <w:pPr>
              <w:pStyle w:val="TableText"/>
              <w:jc w:val="right"/>
            </w:pPr>
            <w:r>
              <w:t>$27.86</w:t>
            </w:r>
          </w:p>
        </w:tc>
        <w:tc>
          <w:tcPr>
            <w:tcW w:w="1112" w:type="dxa"/>
            <w:tcBorders>
              <w:top w:val="single" w:color="000000" w:sz="8" w:space="0"/>
              <w:left w:val="single" w:color="auto" w:sz="4" w:space="0"/>
              <w:bottom w:val="single" w:color="000000" w:sz="8" w:space="0"/>
              <w:right w:val="single" w:color="auto" w:sz="4" w:space="0"/>
            </w:tcBorders>
            <w:shd w:val="clear" w:color="000000" w:fill="auto"/>
            <w:vAlign w:val="center"/>
          </w:tcPr>
          <w:p w:rsidR="008841F6" w:rsidP="00350F6B" w:rsidRDefault="008841F6" w14:paraId="09B1E02B" w14:textId="77777777">
            <w:pPr>
              <w:pStyle w:val="TableText"/>
              <w:jc w:val="right"/>
            </w:pPr>
            <w:r>
              <w:t>$1,393</w:t>
            </w:r>
          </w:p>
        </w:tc>
      </w:tr>
      <w:tr w:rsidR="008841F6" w:rsidTr="00350F6B" w14:paraId="4F4B4EAC" w14:textId="77777777">
        <w:trPr>
          <w:trHeight w:val="300"/>
        </w:trPr>
        <w:tc>
          <w:tcPr>
            <w:tcW w:w="1436" w:type="dxa"/>
            <w:tcBorders>
              <w:top w:val="single" w:color="000000" w:sz="8" w:space="0"/>
              <w:left w:val="single" w:color="auto" w:sz="4" w:space="0"/>
              <w:bottom w:val="single" w:color="000000" w:sz="8" w:space="0"/>
              <w:right w:val="single" w:color="auto" w:sz="4" w:space="0"/>
            </w:tcBorders>
            <w:shd w:val="clear" w:color="000000" w:fill="auto"/>
            <w:vAlign w:val="center"/>
          </w:tcPr>
          <w:p w:rsidRPr="00BE01A3" w:rsidR="008841F6" w:rsidP="00350F6B" w:rsidRDefault="008841F6" w14:paraId="5A9C9E72" w14:textId="77777777">
            <w:pPr>
              <w:pStyle w:val="TableText"/>
            </w:pPr>
            <w:r w:rsidRPr="00BE01A3">
              <w:t>Focus group guide for adults</w:t>
            </w:r>
            <w:r>
              <w:t xml:space="preserve"> (Instrument 2)</w:t>
            </w:r>
          </w:p>
        </w:tc>
        <w:tc>
          <w:tcPr>
            <w:tcW w:w="1297" w:type="dxa"/>
            <w:tcBorders>
              <w:top w:val="single" w:color="000000" w:sz="8" w:space="0"/>
              <w:left w:val="single" w:color="auto" w:sz="4" w:space="0"/>
              <w:bottom w:val="single" w:color="000000" w:sz="8" w:space="0"/>
              <w:right w:val="single" w:color="auto" w:sz="4" w:space="0"/>
            </w:tcBorders>
            <w:shd w:val="clear" w:color="000000" w:fill="auto"/>
            <w:vAlign w:val="center"/>
          </w:tcPr>
          <w:p w:rsidRPr="00BE01A3" w:rsidR="008841F6" w:rsidP="00350F6B" w:rsidRDefault="008841F6" w14:paraId="45776EA7" w14:textId="77777777">
            <w:pPr>
              <w:pStyle w:val="TableText"/>
              <w:jc w:val="right"/>
            </w:pPr>
            <w:r>
              <w:t>120</w:t>
            </w:r>
          </w:p>
        </w:tc>
        <w:tc>
          <w:tcPr>
            <w:tcW w:w="1297" w:type="dxa"/>
            <w:tcBorders>
              <w:top w:val="single" w:color="000000" w:sz="8" w:space="0"/>
              <w:left w:val="single" w:color="auto" w:sz="4" w:space="0"/>
              <w:bottom w:val="single" w:color="000000" w:sz="8" w:space="0"/>
              <w:right w:val="single" w:color="auto" w:sz="4" w:space="0"/>
            </w:tcBorders>
            <w:shd w:val="clear" w:color="000000" w:fill="auto"/>
            <w:vAlign w:val="center"/>
          </w:tcPr>
          <w:p w:rsidRPr="00BE01A3" w:rsidR="008841F6" w:rsidP="00350F6B" w:rsidRDefault="008841F6" w14:paraId="11DCE472" w14:textId="77777777">
            <w:pPr>
              <w:pStyle w:val="TableText"/>
              <w:jc w:val="right"/>
            </w:pPr>
            <w:r>
              <w:t>40</w:t>
            </w:r>
          </w:p>
        </w:tc>
        <w:tc>
          <w:tcPr>
            <w:tcW w:w="1197" w:type="dxa"/>
            <w:tcBorders>
              <w:top w:val="single" w:color="000000" w:sz="8" w:space="0"/>
              <w:left w:val="single" w:color="auto" w:sz="4" w:space="0"/>
              <w:bottom w:val="single" w:color="000000" w:sz="8" w:space="0"/>
              <w:right w:val="single" w:color="auto" w:sz="4" w:space="0"/>
            </w:tcBorders>
            <w:shd w:val="clear" w:color="000000" w:fill="auto"/>
            <w:vAlign w:val="center"/>
          </w:tcPr>
          <w:p w:rsidRPr="00BE01A3" w:rsidR="008841F6" w:rsidP="00350F6B" w:rsidRDefault="008841F6" w14:paraId="6234B2D8" w14:textId="77777777">
            <w:pPr>
              <w:pStyle w:val="TableText"/>
              <w:jc w:val="right"/>
            </w:pPr>
            <w:r>
              <w:t>1</w:t>
            </w:r>
          </w:p>
        </w:tc>
        <w:tc>
          <w:tcPr>
            <w:tcW w:w="1017" w:type="dxa"/>
            <w:tcBorders>
              <w:top w:val="single" w:color="000000" w:sz="8" w:space="0"/>
              <w:left w:val="single" w:color="auto" w:sz="4" w:space="0"/>
              <w:bottom w:val="single" w:color="000000" w:sz="8" w:space="0"/>
              <w:right w:val="single" w:color="auto" w:sz="4" w:space="0"/>
            </w:tcBorders>
            <w:shd w:val="clear" w:color="000000" w:fill="auto"/>
            <w:vAlign w:val="center"/>
          </w:tcPr>
          <w:p w:rsidRPr="00BE01A3" w:rsidR="008841F6" w:rsidP="00350F6B" w:rsidRDefault="008841F6" w14:paraId="1ABDE29C" w14:textId="77777777">
            <w:pPr>
              <w:pStyle w:val="TableText"/>
              <w:jc w:val="right"/>
            </w:pPr>
            <w:r>
              <w:t>1.5</w:t>
            </w:r>
          </w:p>
        </w:tc>
        <w:tc>
          <w:tcPr>
            <w:tcW w:w="1077" w:type="dxa"/>
            <w:tcBorders>
              <w:top w:val="single" w:color="000000" w:sz="8" w:space="0"/>
              <w:left w:val="single" w:color="auto" w:sz="4" w:space="0"/>
              <w:bottom w:val="single" w:color="000000" w:sz="8" w:space="0"/>
              <w:right w:val="single" w:color="auto" w:sz="4" w:space="0"/>
            </w:tcBorders>
            <w:shd w:val="clear" w:color="000000" w:fill="auto"/>
            <w:vAlign w:val="center"/>
          </w:tcPr>
          <w:p w:rsidRPr="00BE01A3" w:rsidR="008841F6" w:rsidP="00350F6B" w:rsidRDefault="008841F6" w14:paraId="01AB41DC" w14:textId="77777777">
            <w:pPr>
              <w:pStyle w:val="TableText"/>
              <w:jc w:val="right"/>
            </w:pPr>
            <w:r>
              <w:t>60</w:t>
            </w:r>
          </w:p>
        </w:tc>
        <w:tc>
          <w:tcPr>
            <w:tcW w:w="927" w:type="dxa"/>
            <w:tcBorders>
              <w:top w:val="single" w:color="000000" w:sz="8" w:space="0"/>
              <w:left w:val="single" w:color="auto" w:sz="4" w:space="0"/>
              <w:bottom w:val="single" w:color="000000" w:sz="8" w:space="0"/>
              <w:right w:val="single" w:color="auto" w:sz="4" w:space="0"/>
            </w:tcBorders>
            <w:shd w:val="clear" w:color="000000" w:fill="auto"/>
            <w:vAlign w:val="center"/>
          </w:tcPr>
          <w:p w:rsidRPr="00BE01A3" w:rsidR="008841F6" w:rsidP="00350F6B" w:rsidRDefault="008841F6" w14:paraId="220A3777" w14:textId="77777777">
            <w:pPr>
              <w:pStyle w:val="TableText"/>
              <w:jc w:val="right"/>
            </w:pPr>
            <w:r w:rsidRPr="00A33DE9">
              <w:t>$</w:t>
            </w:r>
            <w:r>
              <w:t>7.25</w:t>
            </w:r>
          </w:p>
        </w:tc>
        <w:tc>
          <w:tcPr>
            <w:tcW w:w="1112" w:type="dxa"/>
            <w:tcBorders>
              <w:top w:val="single" w:color="000000" w:sz="8" w:space="0"/>
              <w:left w:val="single" w:color="auto" w:sz="4" w:space="0"/>
              <w:bottom w:val="single" w:color="000000" w:sz="8" w:space="0"/>
              <w:right w:val="single" w:color="auto" w:sz="4" w:space="0"/>
            </w:tcBorders>
            <w:shd w:val="clear" w:color="000000" w:fill="auto"/>
            <w:vAlign w:val="center"/>
          </w:tcPr>
          <w:p w:rsidRPr="00BE01A3" w:rsidR="008841F6" w:rsidP="00350F6B" w:rsidRDefault="008841F6" w14:paraId="7CFE9FF4" w14:textId="77777777">
            <w:pPr>
              <w:pStyle w:val="TableText"/>
              <w:jc w:val="right"/>
            </w:pPr>
            <w:r>
              <w:t>$435</w:t>
            </w:r>
          </w:p>
        </w:tc>
      </w:tr>
      <w:tr w:rsidR="008841F6" w:rsidTr="00350F6B" w14:paraId="16FF07B9" w14:textId="77777777">
        <w:trPr>
          <w:trHeight w:val="300"/>
        </w:trPr>
        <w:tc>
          <w:tcPr>
            <w:tcW w:w="1436" w:type="dxa"/>
            <w:tcBorders>
              <w:top w:val="single" w:color="000000" w:sz="8" w:space="0"/>
              <w:left w:val="single" w:color="auto" w:sz="4" w:space="0"/>
              <w:bottom w:val="single" w:color="000000" w:sz="8" w:space="0"/>
              <w:right w:val="single" w:color="auto" w:sz="4" w:space="0"/>
            </w:tcBorders>
            <w:shd w:val="clear" w:color="000000" w:fill="auto"/>
            <w:vAlign w:val="center"/>
          </w:tcPr>
          <w:p w:rsidRPr="00BE01A3" w:rsidR="008841F6" w:rsidP="00350F6B" w:rsidRDefault="008841F6" w14:paraId="17160037" w14:textId="77777777">
            <w:pPr>
              <w:pStyle w:val="TableText"/>
            </w:pPr>
            <w:r>
              <w:t>Focus group guide for youth in schools (Instrument 3)</w:t>
            </w:r>
          </w:p>
        </w:tc>
        <w:tc>
          <w:tcPr>
            <w:tcW w:w="1297" w:type="dxa"/>
            <w:tcBorders>
              <w:top w:val="single" w:color="000000" w:sz="8" w:space="0"/>
              <w:left w:val="single" w:color="auto" w:sz="4" w:space="0"/>
              <w:bottom w:val="single" w:color="000000" w:sz="8" w:space="0"/>
              <w:right w:val="single" w:color="auto" w:sz="4" w:space="0"/>
            </w:tcBorders>
            <w:shd w:val="clear" w:color="000000" w:fill="auto"/>
            <w:vAlign w:val="center"/>
          </w:tcPr>
          <w:p w:rsidRPr="00BE01A3" w:rsidR="008841F6" w:rsidP="00350F6B" w:rsidRDefault="008841F6" w14:paraId="42130EC1" w14:textId="77777777">
            <w:pPr>
              <w:pStyle w:val="TableText"/>
              <w:jc w:val="right"/>
            </w:pPr>
            <w:r>
              <w:t>60</w:t>
            </w:r>
          </w:p>
        </w:tc>
        <w:tc>
          <w:tcPr>
            <w:tcW w:w="1297" w:type="dxa"/>
            <w:tcBorders>
              <w:top w:val="single" w:color="000000" w:sz="8" w:space="0"/>
              <w:left w:val="single" w:color="auto" w:sz="4" w:space="0"/>
              <w:bottom w:val="single" w:color="000000" w:sz="8" w:space="0"/>
              <w:right w:val="single" w:color="auto" w:sz="4" w:space="0"/>
            </w:tcBorders>
            <w:shd w:val="clear" w:color="000000" w:fill="auto"/>
            <w:vAlign w:val="center"/>
          </w:tcPr>
          <w:p w:rsidRPr="00BE01A3" w:rsidR="008841F6" w:rsidP="00350F6B" w:rsidRDefault="008841F6" w14:paraId="7029D49B" w14:textId="77777777">
            <w:pPr>
              <w:pStyle w:val="TableText"/>
              <w:jc w:val="right"/>
            </w:pPr>
            <w:r>
              <w:t>20</w:t>
            </w:r>
          </w:p>
        </w:tc>
        <w:tc>
          <w:tcPr>
            <w:tcW w:w="1197" w:type="dxa"/>
            <w:tcBorders>
              <w:top w:val="single" w:color="000000" w:sz="8" w:space="0"/>
              <w:left w:val="single" w:color="auto" w:sz="4" w:space="0"/>
              <w:bottom w:val="single" w:color="000000" w:sz="8" w:space="0"/>
              <w:right w:val="single" w:color="auto" w:sz="4" w:space="0"/>
            </w:tcBorders>
            <w:shd w:val="clear" w:color="000000" w:fill="auto"/>
            <w:vAlign w:val="center"/>
          </w:tcPr>
          <w:p w:rsidRPr="00BE01A3" w:rsidR="008841F6" w:rsidP="00350F6B" w:rsidRDefault="008841F6" w14:paraId="0FCE3DFD" w14:textId="77777777">
            <w:pPr>
              <w:pStyle w:val="TableText"/>
              <w:jc w:val="right"/>
            </w:pPr>
            <w:r>
              <w:t>1</w:t>
            </w:r>
          </w:p>
        </w:tc>
        <w:tc>
          <w:tcPr>
            <w:tcW w:w="1017" w:type="dxa"/>
            <w:tcBorders>
              <w:top w:val="single" w:color="000000" w:sz="8" w:space="0"/>
              <w:left w:val="single" w:color="auto" w:sz="4" w:space="0"/>
              <w:bottom w:val="single" w:color="000000" w:sz="8" w:space="0"/>
              <w:right w:val="single" w:color="auto" w:sz="4" w:space="0"/>
            </w:tcBorders>
            <w:shd w:val="clear" w:color="000000" w:fill="auto"/>
            <w:vAlign w:val="center"/>
          </w:tcPr>
          <w:p w:rsidRPr="00BE01A3" w:rsidR="008841F6" w:rsidP="00350F6B" w:rsidRDefault="008841F6" w14:paraId="762CDA2A" w14:textId="77777777">
            <w:pPr>
              <w:pStyle w:val="TableText"/>
              <w:jc w:val="right"/>
            </w:pPr>
            <w:r>
              <w:t>1.5</w:t>
            </w:r>
          </w:p>
        </w:tc>
        <w:tc>
          <w:tcPr>
            <w:tcW w:w="1077" w:type="dxa"/>
            <w:tcBorders>
              <w:top w:val="single" w:color="000000" w:sz="8" w:space="0"/>
              <w:left w:val="single" w:color="auto" w:sz="4" w:space="0"/>
              <w:bottom w:val="single" w:color="000000" w:sz="8" w:space="0"/>
              <w:right w:val="single" w:color="auto" w:sz="4" w:space="0"/>
            </w:tcBorders>
            <w:shd w:val="clear" w:color="000000" w:fill="auto"/>
            <w:vAlign w:val="center"/>
          </w:tcPr>
          <w:p w:rsidRPr="00BE01A3" w:rsidR="008841F6" w:rsidP="00350F6B" w:rsidRDefault="008841F6" w14:paraId="31BA737F" w14:textId="77777777">
            <w:pPr>
              <w:pStyle w:val="TableText"/>
              <w:jc w:val="right"/>
            </w:pPr>
            <w:r>
              <w:t>30</w:t>
            </w:r>
          </w:p>
        </w:tc>
        <w:tc>
          <w:tcPr>
            <w:tcW w:w="927" w:type="dxa"/>
            <w:tcBorders>
              <w:top w:val="single" w:color="000000" w:sz="8" w:space="0"/>
              <w:left w:val="single" w:color="auto" w:sz="4" w:space="0"/>
              <w:bottom w:val="single" w:color="000000" w:sz="8" w:space="0"/>
              <w:right w:val="single" w:color="auto" w:sz="4" w:space="0"/>
            </w:tcBorders>
            <w:shd w:val="clear" w:color="000000" w:fill="auto"/>
            <w:vAlign w:val="center"/>
          </w:tcPr>
          <w:p w:rsidRPr="00BE01A3" w:rsidR="008841F6" w:rsidP="00350F6B" w:rsidRDefault="008841F6" w14:paraId="58ED9AE3" w14:textId="77777777">
            <w:pPr>
              <w:pStyle w:val="TableText"/>
              <w:jc w:val="right"/>
            </w:pPr>
            <w:r>
              <w:t>$7.25</w:t>
            </w:r>
          </w:p>
        </w:tc>
        <w:tc>
          <w:tcPr>
            <w:tcW w:w="1112" w:type="dxa"/>
            <w:tcBorders>
              <w:top w:val="single" w:color="000000" w:sz="8" w:space="0"/>
              <w:left w:val="single" w:color="auto" w:sz="4" w:space="0"/>
              <w:bottom w:val="single" w:color="000000" w:sz="8" w:space="0"/>
              <w:right w:val="single" w:color="auto" w:sz="4" w:space="0"/>
            </w:tcBorders>
            <w:shd w:val="clear" w:color="000000" w:fill="auto"/>
            <w:vAlign w:val="center"/>
          </w:tcPr>
          <w:p w:rsidRPr="00BE01A3" w:rsidR="008841F6" w:rsidP="00350F6B" w:rsidRDefault="008841F6" w14:paraId="2E5BE8CF" w14:textId="77777777">
            <w:pPr>
              <w:pStyle w:val="TableText"/>
              <w:jc w:val="right"/>
            </w:pPr>
            <w:r>
              <w:t>$218</w:t>
            </w:r>
          </w:p>
        </w:tc>
      </w:tr>
      <w:tr w:rsidR="008841F6" w:rsidTr="00350F6B" w14:paraId="09EC8CD6" w14:textId="77777777">
        <w:trPr>
          <w:trHeight w:val="300"/>
        </w:trPr>
        <w:tc>
          <w:tcPr>
            <w:tcW w:w="1436" w:type="dxa"/>
            <w:tcBorders>
              <w:top w:val="single" w:color="000000" w:sz="8" w:space="0"/>
              <w:left w:val="single" w:color="auto" w:sz="4" w:space="0"/>
              <w:bottom w:val="single" w:color="000000" w:sz="8" w:space="0"/>
              <w:right w:val="single" w:color="auto" w:sz="4" w:space="0"/>
            </w:tcBorders>
            <w:shd w:val="clear" w:color="000000" w:fill="auto"/>
            <w:vAlign w:val="center"/>
          </w:tcPr>
          <w:p w:rsidRPr="00BE01A3" w:rsidR="008841F6" w:rsidP="00350F6B" w:rsidRDefault="008841F6" w14:paraId="50D7F25D" w14:textId="77777777">
            <w:pPr>
              <w:pStyle w:val="TableText"/>
            </w:pPr>
            <w:r w:rsidRPr="00BE01A3">
              <w:t>Staff survey</w:t>
            </w:r>
            <w:r>
              <w:t xml:space="preserve"> (Instrument 4)</w:t>
            </w:r>
          </w:p>
        </w:tc>
        <w:tc>
          <w:tcPr>
            <w:tcW w:w="1297" w:type="dxa"/>
            <w:tcBorders>
              <w:top w:val="single" w:color="000000" w:sz="8" w:space="0"/>
              <w:left w:val="single" w:color="auto" w:sz="4" w:space="0"/>
              <w:bottom w:val="single" w:color="000000" w:sz="8" w:space="0"/>
              <w:right w:val="single" w:color="auto" w:sz="4" w:space="0"/>
            </w:tcBorders>
            <w:shd w:val="clear" w:color="000000" w:fill="auto"/>
            <w:vAlign w:val="center"/>
          </w:tcPr>
          <w:p w:rsidRPr="00BE01A3" w:rsidR="008841F6" w:rsidP="00350F6B" w:rsidRDefault="008841F6" w14:paraId="0779AF6F" w14:textId="77777777">
            <w:pPr>
              <w:pStyle w:val="TableText"/>
              <w:jc w:val="right"/>
            </w:pPr>
            <w:r>
              <w:t>120</w:t>
            </w:r>
          </w:p>
        </w:tc>
        <w:tc>
          <w:tcPr>
            <w:tcW w:w="1297" w:type="dxa"/>
            <w:tcBorders>
              <w:top w:val="single" w:color="000000" w:sz="8" w:space="0"/>
              <w:left w:val="single" w:color="auto" w:sz="4" w:space="0"/>
              <w:bottom w:val="single" w:color="000000" w:sz="8" w:space="0"/>
              <w:right w:val="single" w:color="auto" w:sz="4" w:space="0"/>
            </w:tcBorders>
            <w:shd w:val="clear" w:color="000000" w:fill="auto"/>
            <w:vAlign w:val="center"/>
          </w:tcPr>
          <w:p w:rsidRPr="00BE01A3" w:rsidR="008841F6" w:rsidP="00350F6B" w:rsidRDefault="008841F6" w14:paraId="624BDA0A" w14:textId="77777777">
            <w:pPr>
              <w:pStyle w:val="TableText"/>
              <w:jc w:val="right"/>
            </w:pPr>
            <w:r>
              <w:t>40</w:t>
            </w:r>
          </w:p>
        </w:tc>
        <w:tc>
          <w:tcPr>
            <w:tcW w:w="1197" w:type="dxa"/>
            <w:tcBorders>
              <w:top w:val="single" w:color="000000" w:sz="8" w:space="0"/>
              <w:left w:val="single" w:color="auto" w:sz="4" w:space="0"/>
              <w:bottom w:val="single" w:color="000000" w:sz="8" w:space="0"/>
              <w:right w:val="single" w:color="auto" w:sz="4" w:space="0"/>
            </w:tcBorders>
            <w:shd w:val="clear" w:color="000000" w:fill="auto"/>
            <w:vAlign w:val="center"/>
          </w:tcPr>
          <w:p w:rsidRPr="00BE01A3" w:rsidR="008841F6" w:rsidP="00350F6B" w:rsidRDefault="008841F6" w14:paraId="12F88BA0" w14:textId="77777777">
            <w:pPr>
              <w:pStyle w:val="TableText"/>
              <w:jc w:val="right"/>
            </w:pPr>
            <w:r>
              <w:t>1</w:t>
            </w:r>
          </w:p>
        </w:tc>
        <w:tc>
          <w:tcPr>
            <w:tcW w:w="1017" w:type="dxa"/>
            <w:tcBorders>
              <w:top w:val="single" w:color="000000" w:sz="8" w:space="0"/>
              <w:left w:val="single" w:color="auto" w:sz="4" w:space="0"/>
              <w:bottom w:val="single" w:color="000000" w:sz="8" w:space="0"/>
              <w:right w:val="single" w:color="auto" w:sz="4" w:space="0"/>
            </w:tcBorders>
            <w:shd w:val="clear" w:color="000000" w:fill="auto"/>
            <w:vAlign w:val="center"/>
          </w:tcPr>
          <w:p w:rsidRPr="00BE01A3" w:rsidR="008841F6" w:rsidP="00350F6B" w:rsidRDefault="008841F6" w14:paraId="6411325E" w14:textId="77777777">
            <w:pPr>
              <w:pStyle w:val="TableText"/>
              <w:jc w:val="right"/>
            </w:pPr>
            <w:r>
              <w:t>.5</w:t>
            </w:r>
          </w:p>
        </w:tc>
        <w:tc>
          <w:tcPr>
            <w:tcW w:w="1077" w:type="dxa"/>
            <w:tcBorders>
              <w:top w:val="single" w:color="000000" w:sz="8" w:space="0"/>
              <w:left w:val="single" w:color="auto" w:sz="4" w:space="0"/>
              <w:bottom w:val="single" w:color="000000" w:sz="8" w:space="0"/>
              <w:right w:val="single" w:color="auto" w:sz="4" w:space="0"/>
            </w:tcBorders>
            <w:shd w:val="clear" w:color="000000" w:fill="auto"/>
            <w:vAlign w:val="center"/>
          </w:tcPr>
          <w:p w:rsidRPr="00BE01A3" w:rsidR="008841F6" w:rsidP="00350F6B" w:rsidRDefault="008841F6" w14:paraId="02C637AA" w14:textId="77777777">
            <w:pPr>
              <w:pStyle w:val="TableText"/>
              <w:jc w:val="right"/>
            </w:pPr>
            <w:r>
              <w:t>20</w:t>
            </w:r>
          </w:p>
        </w:tc>
        <w:tc>
          <w:tcPr>
            <w:tcW w:w="927" w:type="dxa"/>
            <w:tcBorders>
              <w:top w:val="single" w:color="000000" w:sz="8" w:space="0"/>
              <w:left w:val="single" w:color="auto" w:sz="4" w:space="0"/>
              <w:bottom w:val="single" w:color="000000" w:sz="8" w:space="0"/>
              <w:right w:val="single" w:color="auto" w:sz="4" w:space="0"/>
            </w:tcBorders>
            <w:shd w:val="clear" w:color="000000" w:fill="auto"/>
            <w:vAlign w:val="center"/>
          </w:tcPr>
          <w:p w:rsidRPr="00BE01A3" w:rsidR="008841F6" w:rsidP="00350F6B" w:rsidRDefault="008841F6" w14:paraId="09521D5F" w14:textId="77777777">
            <w:pPr>
              <w:pStyle w:val="TableText"/>
              <w:jc w:val="right"/>
            </w:pPr>
            <w:r>
              <w:t>$27.86</w:t>
            </w:r>
          </w:p>
        </w:tc>
        <w:tc>
          <w:tcPr>
            <w:tcW w:w="1112" w:type="dxa"/>
            <w:tcBorders>
              <w:top w:val="single" w:color="000000" w:sz="8" w:space="0"/>
              <w:left w:val="single" w:color="auto" w:sz="4" w:space="0"/>
              <w:bottom w:val="single" w:color="000000" w:sz="8" w:space="0"/>
              <w:right w:val="single" w:color="auto" w:sz="4" w:space="0"/>
            </w:tcBorders>
            <w:shd w:val="clear" w:color="000000" w:fill="auto"/>
            <w:vAlign w:val="center"/>
          </w:tcPr>
          <w:p w:rsidRPr="00BE01A3" w:rsidR="008841F6" w:rsidP="00350F6B" w:rsidRDefault="008841F6" w14:paraId="2E3D8A3A" w14:textId="77777777">
            <w:pPr>
              <w:pStyle w:val="TableText"/>
              <w:jc w:val="right"/>
            </w:pPr>
            <w:r>
              <w:t>$557</w:t>
            </w:r>
          </w:p>
        </w:tc>
      </w:tr>
      <w:tr w:rsidR="008841F6" w:rsidTr="00350F6B" w14:paraId="0A5FCE46" w14:textId="77777777">
        <w:trPr>
          <w:trHeight w:val="300"/>
        </w:trPr>
        <w:tc>
          <w:tcPr>
            <w:tcW w:w="1436" w:type="dxa"/>
            <w:tcBorders>
              <w:top w:val="single" w:color="000000" w:sz="8" w:space="0"/>
              <w:left w:val="single" w:color="auto" w:sz="4" w:space="0"/>
              <w:bottom w:val="single" w:color="000000" w:sz="8" w:space="0"/>
              <w:right w:val="single" w:color="auto" w:sz="4" w:space="0"/>
            </w:tcBorders>
            <w:shd w:val="clear" w:color="000000" w:fill="auto"/>
            <w:vAlign w:val="center"/>
          </w:tcPr>
          <w:p w:rsidRPr="00BE01A3" w:rsidR="008841F6" w:rsidP="00350F6B" w:rsidRDefault="008841F6" w14:paraId="52E393B1" w14:textId="77777777">
            <w:pPr>
              <w:pStyle w:val="TableText"/>
            </w:pPr>
            <w:r>
              <w:t>Session adherence form (Instrument 5)</w:t>
            </w:r>
          </w:p>
        </w:tc>
        <w:tc>
          <w:tcPr>
            <w:tcW w:w="1297" w:type="dxa"/>
            <w:tcBorders>
              <w:top w:val="single" w:color="000000" w:sz="8" w:space="0"/>
              <w:left w:val="single" w:color="auto" w:sz="4" w:space="0"/>
              <w:bottom w:val="single" w:color="000000" w:sz="8" w:space="0"/>
              <w:right w:val="single" w:color="auto" w:sz="4" w:space="0"/>
            </w:tcBorders>
            <w:shd w:val="clear" w:color="000000" w:fill="auto"/>
            <w:vAlign w:val="center"/>
          </w:tcPr>
          <w:p w:rsidRPr="00BE01A3" w:rsidR="008841F6" w:rsidP="00350F6B" w:rsidRDefault="008841F6" w14:paraId="7FA5DA5B" w14:textId="77777777">
            <w:pPr>
              <w:pStyle w:val="TableText"/>
              <w:jc w:val="right"/>
            </w:pPr>
            <w:r>
              <w:t>48</w:t>
            </w:r>
          </w:p>
        </w:tc>
        <w:tc>
          <w:tcPr>
            <w:tcW w:w="1297" w:type="dxa"/>
            <w:tcBorders>
              <w:top w:val="single" w:color="000000" w:sz="8" w:space="0"/>
              <w:left w:val="single" w:color="auto" w:sz="4" w:space="0"/>
              <w:bottom w:val="single" w:color="000000" w:sz="8" w:space="0"/>
              <w:right w:val="single" w:color="auto" w:sz="4" w:space="0"/>
            </w:tcBorders>
            <w:shd w:val="clear" w:color="000000" w:fill="auto"/>
            <w:vAlign w:val="center"/>
          </w:tcPr>
          <w:p w:rsidRPr="00BE01A3" w:rsidR="008841F6" w:rsidP="00350F6B" w:rsidRDefault="008841F6" w14:paraId="18B6D08B" w14:textId="77777777">
            <w:pPr>
              <w:pStyle w:val="TableText"/>
              <w:jc w:val="right"/>
            </w:pPr>
            <w:r>
              <w:t>48</w:t>
            </w:r>
          </w:p>
        </w:tc>
        <w:tc>
          <w:tcPr>
            <w:tcW w:w="1197" w:type="dxa"/>
            <w:tcBorders>
              <w:top w:val="single" w:color="000000" w:sz="8" w:space="0"/>
              <w:left w:val="single" w:color="auto" w:sz="4" w:space="0"/>
              <w:bottom w:val="single" w:color="000000" w:sz="8" w:space="0"/>
              <w:right w:val="single" w:color="auto" w:sz="4" w:space="0"/>
            </w:tcBorders>
            <w:shd w:val="clear" w:color="000000" w:fill="auto"/>
            <w:vAlign w:val="center"/>
          </w:tcPr>
          <w:p w:rsidRPr="00BE01A3" w:rsidR="008841F6" w:rsidP="00350F6B" w:rsidRDefault="008841F6" w14:paraId="386B2529" w14:textId="77777777">
            <w:pPr>
              <w:pStyle w:val="TableText"/>
              <w:jc w:val="right"/>
            </w:pPr>
            <w:r>
              <w:t>104</w:t>
            </w:r>
          </w:p>
        </w:tc>
        <w:tc>
          <w:tcPr>
            <w:tcW w:w="1017" w:type="dxa"/>
            <w:tcBorders>
              <w:top w:val="single" w:color="000000" w:sz="8" w:space="0"/>
              <w:left w:val="single" w:color="auto" w:sz="4" w:space="0"/>
              <w:bottom w:val="single" w:color="000000" w:sz="8" w:space="0"/>
              <w:right w:val="single" w:color="auto" w:sz="4" w:space="0"/>
            </w:tcBorders>
            <w:shd w:val="clear" w:color="000000" w:fill="auto"/>
            <w:vAlign w:val="center"/>
          </w:tcPr>
          <w:p w:rsidRPr="00BE01A3" w:rsidR="008841F6" w:rsidP="00350F6B" w:rsidRDefault="008841F6" w14:paraId="017D665F" w14:textId="77777777">
            <w:pPr>
              <w:pStyle w:val="TableText"/>
              <w:jc w:val="right"/>
            </w:pPr>
            <w:r>
              <w:t>.08</w:t>
            </w:r>
          </w:p>
        </w:tc>
        <w:tc>
          <w:tcPr>
            <w:tcW w:w="1077" w:type="dxa"/>
            <w:tcBorders>
              <w:top w:val="single" w:color="000000" w:sz="8" w:space="0"/>
              <w:left w:val="single" w:color="auto" w:sz="4" w:space="0"/>
              <w:bottom w:val="single" w:color="000000" w:sz="8" w:space="0"/>
              <w:right w:val="single" w:color="auto" w:sz="4" w:space="0"/>
            </w:tcBorders>
            <w:shd w:val="clear" w:color="000000" w:fill="auto"/>
            <w:vAlign w:val="center"/>
          </w:tcPr>
          <w:p w:rsidRPr="00BE01A3" w:rsidR="008841F6" w:rsidP="00350F6B" w:rsidRDefault="008841F6" w14:paraId="42CD0122" w14:textId="77777777">
            <w:pPr>
              <w:pStyle w:val="TableText"/>
              <w:jc w:val="right"/>
            </w:pPr>
            <w:r>
              <w:t>399</w:t>
            </w:r>
          </w:p>
        </w:tc>
        <w:tc>
          <w:tcPr>
            <w:tcW w:w="927" w:type="dxa"/>
            <w:tcBorders>
              <w:top w:val="single" w:color="000000" w:sz="8" w:space="0"/>
              <w:left w:val="single" w:color="auto" w:sz="4" w:space="0"/>
              <w:bottom w:val="single" w:color="000000" w:sz="8" w:space="0"/>
              <w:right w:val="single" w:color="auto" w:sz="4" w:space="0"/>
            </w:tcBorders>
            <w:shd w:val="clear" w:color="000000" w:fill="auto"/>
            <w:vAlign w:val="center"/>
          </w:tcPr>
          <w:p w:rsidRPr="00BE01A3" w:rsidR="008841F6" w:rsidP="00350F6B" w:rsidRDefault="008841F6" w14:paraId="4DB15F27" w14:textId="77777777">
            <w:pPr>
              <w:pStyle w:val="TableText"/>
              <w:jc w:val="right"/>
            </w:pPr>
            <w:r w:rsidRPr="00A33DE9">
              <w:t>$27.86</w:t>
            </w:r>
          </w:p>
        </w:tc>
        <w:tc>
          <w:tcPr>
            <w:tcW w:w="1112" w:type="dxa"/>
            <w:tcBorders>
              <w:top w:val="single" w:color="000000" w:sz="8" w:space="0"/>
              <w:left w:val="single" w:color="auto" w:sz="4" w:space="0"/>
              <w:bottom w:val="single" w:color="000000" w:sz="8" w:space="0"/>
              <w:right w:val="single" w:color="auto" w:sz="4" w:space="0"/>
            </w:tcBorders>
            <w:shd w:val="clear" w:color="000000" w:fill="auto"/>
            <w:vAlign w:val="center"/>
          </w:tcPr>
          <w:p w:rsidRPr="00BE01A3" w:rsidR="008841F6" w:rsidP="00350F6B" w:rsidRDefault="008841F6" w14:paraId="289C2C64" w14:textId="77777777">
            <w:pPr>
              <w:pStyle w:val="TableText"/>
              <w:jc w:val="right"/>
            </w:pPr>
            <w:r>
              <w:t>$11,116</w:t>
            </w:r>
          </w:p>
        </w:tc>
      </w:tr>
      <w:tr w:rsidR="008841F6" w:rsidTr="00350F6B" w14:paraId="1CC8AA45" w14:textId="77777777">
        <w:trPr>
          <w:trHeight w:val="300"/>
        </w:trPr>
        <w:tc>
          <w:tcPr>
            <w:tcW w:w="1436" w:type="dxa"/>
            <w:tcBorders>
              <w:top w:val="single" w:color="000000" w:sz="8" w:space="0"/>
              <w:left w:val="single" w:color="auto" w:sz="4" w:space="0"/>
              <w:bottom w:val="single" w:color="000000" w:sz="8" w:space="0"/>
              <w:right w:val="single" w:color="auto" w:sz="4" w:space="0"/>
            </w:tcBorders>
            <w:shd w:val="clear" w:color="000000" w:fill="auto"/>
            <w:vAlign w:val="center"/>
          </w:tcPr>
          <w:p w:rsidR="008841F6" w:rsidP="00350F6B" w:rsidRDefault="008841F6" w14:paraId="18791405" w14:textId="77777777">
            <w:pPr>
              <w:pStyle w:val="TableText"/>
            </w:pPr>
            <w:r>
              <w:t>Baseline survey for youth (Instrument 8</w:t>
            </w:r>
          </w:p>
        </w:tc>
        <w:tc>
          <w:tcPr>
            <w:tcW w:w="1297" w:type="dxa"/>
            <w:tcBorders>
              <w:top w:val="single" w:color="000000" w:sz="8" w:space="0"/>
              <w:left w:val="single" w:color="auto" w:sz="4" w:space="0"/>
              <w:bottom w:val="single" w:color="000000" w:sz="8" w:space="0"/>
              <w:right w:val="single" w:color="auto" w:sz="4" w:space="0"/>
            </w:tcBorders>
            <w:shd w:val="clear" w:color="000000" w:fill="auto"/>
            <w:vAlign w:val="center"/>
          </w:tcPr>
          <w:p w:rsidR="008841F6" w:rsidP="00350F6B" w:rsidRDefault="008841F6" w14:paraId="7801CD51" w14:textId="77777777">
            <w:pPr>
              <w:pStyle w:val="TableText"/>
              <w:jc w:val="right"/>
            </w:pPr>
            <w:r>
              <w:t>3,600</w:t>
            </w:r>
          </w:p>
        </w:tc>
        <w:tc>
          <w:tcPr>
            <w:tcW w:w="1297" w:type="dxa"/>
            <w:tcBorders>
              <w:top w:val="single" w:color="000000" w:sz="8" w:space="0"/>
              <w:left w:val="single" w:color="auto" w:sz="4" w:space="0"/>
              <w:bottom w:val="single" w:color="000000" w:sz="8" w:space="0"/>
              <w:right w:val="single" w:color="auto" w:sz="4" w:space="0"/>
            </w:tcBorders>
            <w:shd w:val="clear" w:color="000000" w:fill="auto"/>
            <w:vAlign w:val="center"/>
          </w:tcPr>
          <w:p w:rsidR="008841F6" w:rsidP="00350F6B" w:rsidRDefault="008841F6" w14:paraId="782EA3E5" w14:textId="77777777">
            <w:pPr>
              <w:pStyle w:val="TableText"/>
              <w:jc w:val="right"/>
            </w:pPr>
            <w:r>
              <w:t>1,200</w:t>
            </w:r>
          </w:p>
        </w:tc>
        <w:tc>
          <w:tcPr>
            <w:tcW w:w="1197" w:type="dxa"/>
            <w:tcBorders>
              <w:top w:val="single" w:color="000000" w:sz="8" w:space="0"/>
              <w:left w:val="single" w:color="auto" w:sz="4" w:space="0"/>
              <w:bottom w:val="single" w:color="000000" w:sz="8" w:space="0"/>
              <w:right w:val="single" w:color="auto" w:sz="4" w:space="0"/>
            </w:tcBorders>
            <w:shd w:val="clear" w:color="000000" w:fill="auto"/>
            <w:vAlign w:val="center"/>
          </w:tcPr>
          <w:p w:rsidR="008841F6" w:rsidP="00350F6B" w:rsidRDefault="008841F6" w14:paraId="3052719E" w14:textId="77777777">
            <w:pPr>
              <w:pStyle w:val="TableText"/>
              <w:jc w:val="right"/>
            </w:pPr>
            <w:r>
              <w:t>1</w:t>
            </w:r>
          </w:p>
        </w:tc>
        <w:tc>
          <w:tcPr>
            <w:tcW w:w="1017" w:type="dxa"/>
            <w:tcBorders>
              <w:top w:val="single" w:color="000000" w:sz="8" w:space="0"/>
              <w:left w:val="single" w:color="auto" w:sz="4" w:space="0"/>
              <w:bottom w:val="single" w:color="000000" w:sz="8" w:space="0"/>
              <w:right w:val="single" w:color="auto" w:sz="4" w:space="0"/>
            </w:tcBorders>
            <w:shd w:val="clear" w:color="000000" w:fill="auto"/>
            <w:vAlign w:val="center"/>
          </w:tcPr>
          <w:p w:rsidR="008841F6" w:rsidP="00350F6B" w:rsidRDefault="008841F6" w14:paraId="65DD83C0" w14:textId="77777777">
            <w:pPr>
              <w:pStyle w:val="TableText"/>
              <w:jc w:val="right"/>
            </w:pPr>
            <w:r>
              <w:t>.5</w:t>
            </w:r>
          </w:p>
        </w:tc>
        <w:tc>
          <w:tcPr>
            <w:tcW w:w="1077" w:type="dxa"/>
            <w:tcBorders>
              <w:top w:val="single" w:color="000000" w:sz="8" w:space="0"/>
              <w:left w:val="single" w:color="auto" w:sz="4" w:space="0"/>
              <w:bottom w:val="single" w:color="000000" w:sz="8" w:space="0"/>
              <w:right w:val="single" w:color="auto" w:sz="4" w:space="0"/>
            </w:tcBorders>
            <w:shd w:val="clear" w:color="000000" w:fill="auto"/>
            <w:vAlign w:val="center"/>
          </w:tcPr>
          <w:p w:rsidR="008841F6" w:rsidP="00350F6B" w:rsidRDefault="008841F6" w14:paraId="7E145648" w14:textId="77777777">
            <w:pPr>
              <w:pStyle w:val="TableText"/>
              <w:jc w:val="right"/>
            </w:pPr>
            <w:r>
              <w:t>600</w:t>
            </w:r>
          </w:p>
        </w:tc>
        <w:tc>
          <w:tcPr>
            <w:tcW w:w="927" w:type="dxa"/>
            <w:tcBorders>
              <w:top w:val="single" w:color="000000" w:sz="8" w:space="0"/>
              <w:left w:val="single" w:color="auto" w:sz="4" w:space="0"/>
              <w:bottom w:val="single" w:color="000000" w:sz="8" w:space="0"/>
              <w:right w:val="single" w:color="auto" w:sz="4" w:space="0"/>
            </w:tcBorders>
            <w:shd w:val="clear" w:color="000000" w:fill="auto"/>
            <w:vAlign w:val="center"/>
          </w:tcPr>
          <w:p w:rsidRPr="00A33DE9" w:rsidR="008841F6" w:rsidP="00350F6B" w:rsidRDefault="008841F6" w14:paraId="6D3EF9D2" w14:textId="77777777">
            <w:pPr>
              <w:pStyle w:val="TableText"/>
              <w:jc w:val="right"/>
            </w:pPr>
            <w:r>
              <w:t>$7.25</w:t>
            </w:r>
          </w:p>
        </w:tc>
        <w:tc>
          <w:tcPr>
            <w:tcW w:w="1112" w:type="dxa"/>
            <w:tcBorders>
              <w:top w:val="single" w:color="000000" w:sz="8" w:space="0"/>
              <w:left w:val="single" w:color="auto" w:sz="4" w:space="0"/>
              <w:bottom w:val="single" w:color="000000" w:sz="8" w:space="0"/>
              <w:right w:val="single" w:color="auto" w:sz="4" w:space="0"/>
            </w:tcBorders>
            <w:shd w:val="clear" w:color="000000" w:fill="auto"/>
            <w:vAlign w:val="center"/>
          </w:tcPr>
          <w:p w:rsidR="008841F6" w:rsidP="00350F6B" w:rsidRDefault="008841F6" w14:paraId="2402DC43" w14:textId="77777777">
            <w:pPr>
              <w:pStyle w:val="TableText"/>
              <w:jc w:val="right"/>
            </w:pPr>
            <w:r>
              <w:t>$4,350</w:t>
            </w:r>
          </w:p>
        </w:tc>
      </w:tr>
    </w:tbl>
    <w:p w:rsidR="009A36C6" w:rsidP="009A36C6" w:rsidRDefault="009A36C6" w14:paraId="5938C7D2" w14:textId="77777777">
      <w:pPr>
        <w:spacing w:after="120"/>
      </w:pPr>
    </w:p>
    <w:p w:rsidRPr="00D15AEE" w:rsidR="00D44E91" w:rsidP="009A36C6" w:rsidRDefault="00BE27B4" w14:paraId="7256AA50" w14:textId="77777777">
      <w:pPr>
        <w:spacing w:after="120"/>
        <w:rPr>
          <w:b/>
          <w:i/>
        </w:rPr>
      </w:pPr>
      <w:r w:rsidRPr="0013611C">
        <w:rPr>
          <w:b/>
          <w:i/>
        </w:rPr>
        <w:t>P</w:t>
      </w:r>
      <w:r w:rsidRPr="0013611C" w:rsidR="00565081">
        <w:rPr>
          <w:b/>
          <w:i/>
        </w:rPr>
        <w:t xml:space="preserve">reviously Approved </w:t>
      </w:r>
      <w:r w:rsidR="00D01CDD">
        <w:rPr>
          <w:b/>
          <w:i/>
        </w:rPr>
        <w:t>Study Instrument</w:t>
      </w:r>
      <w:r w:rsidR="00850BB5">
        <w:rPr>
          <w:b/>
          <w:i/>
        </w:rPr>
        <w:t>s</w:t>
      </w:r>
      <w:r w:rsidR="00D01CDD">
        <w:rPr>
          <w:b/>
          <w:i/>
        </w:rPr>
        <w:t xml:space="preserve"> with </w:t>
      </w:r>
      <w:r w:rsidRPr="0013611C" w:rsidR="00565081">
        <w:rPr>
          <w:b/>
          <w:i/>
        </w:rPr>
        <w:t>Burden that Remains</w:t>
      </w:r>
    </w:p>
    <w:p w:rsidR="0029050D" w:rsidP="00FB1BA8" w:rsidRDefault="00FD4B62" w14:paraId="01D0B5E7" w14:textId="77777777">
      <w:pPr>
        <w:numPr>
          <w:ilvl w:val="0"/>
          <w:numId w:val="29"/>
        </w:numPr>
        <w:spacing w:after="240"/>
      </w:pPr>
      <w:r w:rsidRPr="00D44E91">
        <w:rPr>
          <w:b/>
        </w:rPr>
        <w:lastRenderedPageBreak/>
        <w:t>Introductory</w:t>
      </w:r>
      <w:r w:rsidRPr="00565081">
        <w:rPr>
          <w:b/>
        </w:rPr>
        <w:t xml:space="preserve"> script</w:t>
      </w:r>
      <w:r w:rsidR="00AC28EB">
        <w:rPr>
          <w:b/>
        </w:rPr>
        <w:t>, grantee staff</w:t>
      </w:r>
      <w:r w:rsidR="00615A04">
        <w:rPr>
          <w:b/>
        </w:rPr>
        <w:t xml:space="preserve"> (Instrument </w:t>
      </w:r>
      <w:r w:rsidR="00D97D70">
        <w:rPr>
          <w:b/>
        </w:rPr>
        <w:t>6</w:t>
      </w:r>
      <w:r w:rsidR="00615A04">
        <w:rPr>
          <w:b/>
        </w:rPr>
        <w:t>)</w:t>
      </w:r>
      <w:r w:rsidRPr="00565081">
        <w:rPr>
          <w:b/>
        </w:rPr>
        <w:t xml:space="preserve">. </w:t>
      </w:r>
      <w:r w:rsidRPr="00565081" w:rsidR="00C75EA4">
        <w:t xml:space="preserve">In sites serving adults, grantee staff introduce the evaluation to program applicants at study enrollment. </w:t>
      </w:r>
      <w:r w:rsidRPr="00565081" w:rsidR="00C753B9">
        <w:t>Eight</w:t>
      </w:r>
      <w:r w:rsidRPr="00565081" w:rsidR="00864D50">
        <w:t xml:space="preserve"> </w:t>
      </w:r>
      <w:r w:rsidRPr="00565081" w:rsidR="00C75EA4">
        <w:t xml:space="preserve">program staff </w:t>
      </w:r>
      <w:r w:rsidRPr="00565081" w:rsidR="00C753B9">
        <w:t>will provide</w:t>
      </w:r>
      <w:r w:rsidRPr="00565081" w:rsidR="00C75EA4">
        <w:t xml:space="preserve"> information about the HMRE program and the STREAMS evaluation to </w:t>
      </w:r>
      <w:r w:rsidRPr="00565081" w:rsidR="00146E06">
        <w:t>600</w:t>
      </w:r>
      <w:r w:rsidRPr="00565081" w:rsidR="00C75EA4">
        <w:t xml:space="preserve"> </w:t>
      </w:r>
      <w:r w:rsidRPr="00565081" w:rsidR="00EE1914">
        <w:t xml:space="preserve">more </w:t>
      </w:r>
      <w:r w:rsidRPr="00565081" w:rsidR="00C75EA4">
        <w:t>applic</w:t>
      </w:r>
      <w:r w:rsidRPr="00565081" w:rsidR="00D30D77">
        <w:t>ants. Each staff member involved</w:t>
      </w:r>
      <w:r w:rsidRPr="00565081" w:rsidR="00C75EA4">
        <w:t xml:space="preserve"> with sample enrollment </w:t>
      </w:r>
      <w:r w:rsidRPr="00565081" w:rsidR="00D30D77">
        <w:t xml:space="preserve">will conduct </w:t>
      </w:r>
      <w:r w:rsidRPr="00565081" w:rsidR="00C75EA4">
        <w:t xml:space="preserve">a total of about </w:t>
      </w:r>
      <w:r w:rsidRPr="00565081" w:rsidR="00C753B9">
        <w:t>75</w:t>
      </w:r>
      <w:r w:rsidRPr="00565081" w:rsidR="00C75EA4">
        <w:t xml:space="preserve"> of these meetings</w:t>
      </w:r>
      <w:r w:rsidRPr="00565081" w:rsidR="00D30D77">
        <w:t xml:space="preserve"> over the three year period</w:t>
      </w:r>
      <w:r w:rsidRPr="00565081" w:rsidR="007B775E">
        <w:t xml:space="preserve">, or </w:t>
      </w:r>
      <w:r w:rsidRPr="00565081" w:rsidR="00C753B9">
        <w:t>25</w:t>
      </w:r>
      <w:r w:rsidRPr="00565081" w:rsidR="007B775E">
        <w:t xml:space="preserve"> each year</w:t>
      </w:r>
      <w:r w:rsidRPr="00565081" w:rsidR="00C75EA4">
        <w:t>. During these m</w:t>
      </w:r>
      <w:r w:rsidRPr="00565081" w:rsidR="00D30D77">
        <w:t>eetings, program staff explain</w:t>
      </w:r>
      <w:r w:rsidRPr="00565081" w:rsidR="00C75EA4">
        <w:t xml:space="preserve"> program services and the fact that the applicant </w:t>
      </w:r>
      <w:r w:rsidRPr="00565081" w:rsidR="00D30D77">
        <w:t>will</w:t>
      </w:r>
      <w:r w:rsidRPr="00565081" w:rsidR="00C75EA4">
        <w:t xml:space="preserve"> be randomly assigned to be eligible or not eligible f</w:t>
      </w:r>
      <w:r w:rsidRPr="00565081" w:rsidR="00D30D77">
        <w:t>or services; the meetings last</w:t>
      </w:r>
      <w:r w:rsidRPr="00565081" w:rsidR="00C75EA4">
        <w:t xml:space="preserve"> 0.08 minutes. </w:t>
      </w:r>
      <w:r w:rsidRPr="00565081" w:rsidR="007B775E">
        <w:t xml:space="preserve">The total annualized burden for grantee site staff </w:t>
      </w:r>
      <w:r w:rsidRPr="00565081" w:rsidR="00473B76">
        <w:t xml:space="preserve">to work with remaining program applicants </w:t>
      </w:r>
      <w:r w:rsidRPr="00565081" w:rsidR="007B775E">
        <w:t xml:space="preserve">is 16 hours </w:t>
      </w:r>
      <w:r w:rsidRPr="00565081" w:rsidR="00864D50">
        <w:t>(</w:t>
      </w:r>
      <w:r w:rsidRPr="00565081" w:rsidR="00C753B9">
        <w:t>8</w:t>
      </w:r>
      <w:r w:rsidRPr="00565081" w:rsidR="00C75EA4">
        <w:t xml:space="preserve"> staff members * </w:t>
      </w:r>
      <w:r w:rsidRPr="00565081" w:rsidR="00C753B9">
        <w:t>25</w:t>
      </w:r>
      <w:r w:rsidRPr="00565081" w:rsidR="00C75EA4">
        <w:t xml:space="preserve"> meetings * 0.08 hours).</w:t>
      </w:r>
    </w:p>
    <w:p w:rsidR="0029050D" w:rsidP="00FB1BA8" w:rsidRDefault="00AC28EB" w14:paraId="3EDF15B1" w14:textId="77777777">
      <w:pPr>
        <w:numPr>
          <w:ilvl w:val="0"/>
          <w:numId w:val="29"/>
        </w:numPr>
        <w:spacing w:after="240"/>
      </w:pPr>
      <w:r w:rsidRPr="00AC28EB">
        <w:rPr>
          <w:b/>
        </w:rPr>
        <w:t>Introductory script, program applicants</w:t>
      </w:r>
      <w:r w:rsidR="00615A04">
        <w:rPr>
          <w:b/>
        </w:rPr>
        <w:t xml:space="preserve"> (Instrument </w:t>
      </w:r>
      <w:r w:rsidR="00D97D70">
        <w:rPr>
          <w:b/>
        </w:rPr>
        <w:t>6</w:t>
      </w:r>
      <w:r w:rsidR="00615A04">
        <w:rPr>
          <w:b/>
        </w:rPr>
        <w:t>)</w:t>
      </w:r>
      <w:r w:rsidRPr="00565081" w:rsidR="00A92651">
        <w:rPr>
          <w:b/>
        </w:rPr>
        <w:t>.</w:t>
      </w:r>
      <w:r w:rsidRPr="00565081" w:rsidR="00A92651">
        <w:t xml:space="preserve"> </w:t>
      </w:r>
      <w:r w:rsidRPr="00565081" w:rsidR="007B775E">
        <w:t xml:space="preserve">During the three year clearance period, we expect </w:t>
      </w:r>
      <w:r w:rsidRPr="00565081" w:rsidR="00D30D77">
        <w:t>600</w:t>
      </w:r>
      <w:r w:rsidRPr="00565081" w:rsidR="00A92651">
        <w:t xml:space="preserve"> </w:t>
      </w:r>
      <w:r w:rsidRPr="00565081" w:rsidR="00EE1914">
        <w:t xml:space="preserve">more </w:t>
      </w:r>
      <w:r w:rsidRPr="00565081" w:rsidR="00A92651">
        <w:t xml:space="preserve">program applicants </w:t>
      </w:r>
      <w:r w:rsidRPr="00565081" w:rsidR="00D30D77">
        <w:t>to participate</w:t>
      </w:r>
      <w:r w:rsidRPr="00565081" w:rsidR="00A92651">
        <w:t xml:space="preserve"> </w:t>
      </w:r>
      <w:r w:rsidRPr="00565081" w:rsidR="00A75F31">
        <w:t>in meetings with program staff to deliver the introductory script for sample</w:t>
      </w:r>
      <w:r w:rsidRPr="00565081" w:rsidR="00D30D77">
        <w:t xml:space="preserve"> enrollment. Each meeting lasts</w:t>
      </w:r>
      <w:r w:rsidRPr="00565081" w:rsidR="00A75F31">
        <w:t xml:space="preserve"> approximately 0.08 hours. </w:t>
      </w:r>
      <w:r w:rsidRPr="00565081" w:rsidR="00E64515">
        <w:t>Thus, the total</w:t>
      </w:r>
      <w:r w:rsidRPr="00565081" w:rsidR="007B775E">
        <w:t xml:space="preserve"> burden for </w:t>
      </w:r>
      <w:r w:rsidRPr="00565081" w:rsidR="00473B76">
        <w:t xml:space="preserve">remaining </w:t>
      </w:r>
      <w:r w:rsidRPr="00565081" w:rsidR="007B775E">
        <w:t>program applicants is 16 hours (200 applicants per year * 0.08 hours)</w:t>
      </w:r>
      <w:r w:rsidRPr="00565081" w:rsidR="00E64515">
        <w:t xml:space="preserve"> per year</w:t>
      </w:r>
      <w:r w:rsidR="00D44E91">
        <w:t>.</w:t>
      </w:r>
    </w:p>
    <w:p w:rsidR="0029050D" w:rsidP="00FB1BA8" w:rsidRDefault="003D5177" w14:paraId="0F4FF8AE" w14:textId="77777777">
      <w:pPr>
        <w:numPr>
          <w:ilvl w:val="0"/>
          <w:numId w:val="29"/>
        </w:numPr>
        <w:spacing w:after="240"/>
      </w:pPr>
      <w:r w:rsidRPr="00D44E91">
        <w:rPr>
          <w:b/>
        </w:rPr>
        <w:t>Add-on to nFORM to conduct</w:t>
      </w:r>
      <w:r w:rsidRPr="00565081">
        <w:rPr>
          <w:b/>
        </w:rPr>
        <w:t xml:space="preserve"> random assignment</w:t>
      </w:r>
      <w:r w:rsidR="00615A04">
        <w:rPr>
          <w:b/>
        </w:rPr>
        <w:t xml:space="preserve"> (Instrument </w:t>
      </w:r>
      <w:r w:rsidR="00D97D70">
        <w:rPr>
          <w:b/>
        </w:rPr>
        <w:t>7</w:t>
      </w:r>
      <w:r w:rsidR="00615A04">
        <w:rPr>
          <w:b/>
        </w:rPr>
        <w:t>)</w:t>
      </w:r>
      <w:r w:rsidRPr="00565081">
        <w:rPr>
          <w:b/>
        </w:rPr>
        <w:t xml:space="preserve">. </w:t>
      </w:r>
      <w:r w:rsidRPr="00565081" w:rsidR="000D68F6">
        <w:t xml:space="preserve">During the three year clearance period, we expect approximately 600 </w:t>
      </w:r>
      <w:r w:rsidRPr="00565081" w:rsidR="00EE1914">
        <w:t xml:space="preserve">more </w:t>
      </w:r>
      <w:r w:rsidRPr="00565081" w:rsidR="000D68F6">
        <w:t xml:space="preserve">adults to enroll in the study sample. This burden is based on the number of computer entries grantee site staff will make as they enroll </w:t>
      </w:r>
      <w:r w:rsidRPr="00565081" w:rsidR="00473B76">
        <w:t xml:space="preserve">remaining </w:t>
      </w:r>
      <w:r w:rsidRPr="00565081" w:rsidR="000D68F6">
        <w:t xml:space="preserve">study participants. We estimate that </w:t>
      </w:r>
      <w:r w:rsidRPr="00565081" w:rsidR="00EE1914">
        <w:t>eight</w:t>
      </w:r>
      <w:r w:rsidRPr="00565081" w:rsidR="000D68F6">
        <w:t xml:space="preserve"> program staff will conduct these entries for a total of </w:t>
      </w:r>
      <w:r w:rsidRPr="00565081" w:rsidR="00EE1914">
        <w:t>75</w:t>
      </w:r>
      <w:r w:rsidRPr="00565081" w:rsidR="000D68F6">
        <w:t xml:space="preserve"> entries per staff  member over three years, or </w:t>
      </w:r>
      <w:r w:rsidRPr="00565081" w:rsidR="00EE1914">
        <w:t>25</w:t>
      </w:r>
      <w:r w:rsidRPr="00565081" w:rsidR="000D68F6">
        <w:t xml:space="preserve"> entries per staff member per year—each taking 0.08 hours to </w:t>
      </w:r>
      <w:r w:rsidRPr="00565081" w:rsidR="00E64515">
        <w:t>complete. Therefore, the total</w:t>
      </w:r>
      <w:r w:rsidRPr="00565081" w:rsidR="000D68F6">
        <w:t xml:space="preserve"> burden is </w:t>
      </w:r>
      <w:r w:rsidRPr="00565081" w:rsidR="00EE1914">
        <w:t>16</w:t>
      </w:r>
      <w:r w:rsidRPr="00565081" w:rsidR="000D68F6">
        <w:t xml:space="preserve"> hours (</w:t>
      </w:r>
      <w:r w:rsidRPr="00565081" w:rsidR="00EE1914">
        <w:t>8</w:t>
      </w:r>
      <w:r w:rsidRPr="00565081" w:rsidR="000D68F6">
        <w:t xml:space="preserve"> staff member *</w:t>
      </w:r>
      <w:r w:rsidRPr="00565081" w:rsidR="00EE1914">
        <w:t>25</w:t>
      </w:r>
      <w:r w:rsidRPr="00565081" w:rsidR="000D68F6">
        <w:t xml:space="preserve"> entries per year * 0.08 hours)</w:t>
      </w:r>
      <w:r w:rsidRPr="00565081" w:rsidR="00E64515">
        <w:t xml:space="preserve"> per year</w:t>
      </w:r>
      <w:r w:rsidRPr="00565081" w:rsidR="000D68F6">
        <w:t>.</w:t>
      </w:r>
    </w:p>
    <w:p w:rsidR="0029050D" w:rsidP="00FB1BA8" w:rsidRDefault="00162773" w14:paraId="0A03D95F" w14:textId="77777777">
      <w:pPr>
        <w:numPr>
          <w:ilvl w:val="0"/>
          <w:numId w:val="29"/>
        </w:numPr>
        <w:spacing w:after="240"/>
      </w:pPr>
      <w:r w:rsidRPr="00D44E91">
        <w:rPr>
          <w:b/>
        </w:rPr>
        <w:t>Follow-up survey for</w:t>
      </w:r>
      <w:r w:rsidRPr="00565081">
        <w:rPr>
          <w:b/>
        </w:rPr>
        <w:t xml:space="preserve"> youth</w:t>
      </w:r>
      <w:r w:rsidR="00615A04">
        <w:rPr>
          <w:b/>
        </w:rPr>
        <w:t xml:space="preserve"> (Instrument </w:t>
      </w:r>
      <w:r w:rsidR="00D97D70">
        <w:rPr>
          <w:b/>
        </w:rPr>
        <w:t>9</w:t>
      </w:r>
      <w:r w:rsidR="00615A04">
        <w:rPr>
          <w:b/>
        </w:rPr>
        <w:t>)</w:t>
      </w:r>
      <w:r w:rsidRPr="00565081">
        <w:rPr>
          <w:b/>
        </w:rPr>
        <w:t xml:space="preserve">. </w:t>
      </w:r>
      <w:r w:rsidRPr="00565081" w:rsidR="00C07324">
        <w:t xml:space="preserve">During the three year clearance period, we expect </w:t>
      </w:r>
      <w:r w:rsidRPr="00565081" w:rsidR="00EE1914">
        <w:t xml:space="preserve">690 more youth </w:t>
      </w:r>
      <w:r w:rsidRPr="00565081" w:rsidR="00ED7B26">
        <w:t>to complete the follow</w:t>
      </w:r>
      <w:r w:rsidR="00EB0C42">
        <w:t>-</w:t>
      </w:r>
      <w:r w:rsidRPr="00565081" w:rsidR="00C07324">
        <w:t>up survey</w:t>
      </w:r>
      <w:r w:rsidRPr="00565081" w:rsidR="00EE1914">
        <w:t xml:space="preserve">. </w:t>
      </w:r>
      <w:r w:rsidRPr="00565081" w:rsidR="00C07324">
        <w:t xml:space="preserve">We expect each follow-up survey to last 0.5 hours. We estimate that the total burden for the </w:t>
      </w:r>
      <w:r w:rsidRPr="00565081" w:rsidR="00473B76">
        <w:t xml:space="preserve">remaining </w:t>
      </w:r>
      <w:r w:rsidRPr="00565081" w:rsidR="00C07324">
        <w:t xml:space="preserve">youth follow-up survey to be </w:t>
      </w:r>
      <w:r w:rsidRPr="00565081" w:rsidR="00EE1914">
        <w:t>115</w:t>
      </w:r>
      <w:r w:rsidRPr="00565081" w:rsidR="00E64515">
        <w:t xml:space="preserve"> </w:t>
      </w:r>
      <w:r w:rsidRPr="00565081" w:rsidR="00C07324">
        <w:t xml:space="preserve">hours (0.5 hours * </w:t>
      </w:r>
      <w:r w:rsidRPr="00565081" w:rsidR="00EE1914">
        <w:t>230</w:t>
      </w:r>
      <w:r w:rsidRPr="00565081" w:rsidR="00C07324">
        <w:t xml:space="preserve"> youth</w:t>
      </w:r>
      <w:r w:rsidRPr="00565081" w:rsidR="00ED7B26">
        <w:t>)</w:t>
      </w:r>
      <w:r w:rsidRPr="00565081" w:rsidR="00E64515">
        <w:t xml:space="preserve"> per year</w:t>
      </w:r>
      <w:r w:rsidRPr="00565081" w:rsidR="00ED7B26">
        <w:t>.</w:t>
      </w:r>
    </w:p>
    <w:p w:rsidR="0029050D" w:rsidP="00FB1BA8" w:rsidRDefault="00162773" w14:paraId="50B6C0CA" w14:textId="77777777">
      <w:pPr>
        <w:numPr>
          <w:ilvl w:val="0"/>
          <w:numId w:val="29"/>
        </w:numPr>
        <w:spacing w:after="240"/>
      </w:pPr>
      <w:r w:rsidRPr="00D44E91">
        <w:rPr>
          <w:b/>
        </w:rPr>
        <w:t>Baseline survey for</w:t>
      </w:r>
      <w:r w:rsidRPr="00565081">
        <w:rPr>
          <w:b/>
        </w:rPr>
        <w:t xml:space="preserve"> adults</w:t>
      </w:r>
      <w:r w:rsidR="00615A04">
        <w:rPr>
          <w:b/>
        </w:rPr>
        <w:t xml:space="preserve"> (Instrument 1</w:t>
      </w:r>
      <w:r w:rsidR="00D97D70">
        <w:rPr>
          <w:b/>
        </w:rPr>
        <w:t>0</w:t>
      </w:r>
      <w:r w:rsidR="00615A04">
        <w:rPr>
          <w:b/>
        </w:rPr>
        <w:t>)</w:t>
      </w:r>
      <w:r w:rsidRPr="00565081">
        <w:rPr>
          <w:b/>
        </w:rPr>
        <w:t xml:space="preserve">. </w:t>
      </w:r>
      <w:r w:rsidRPr="00565081" w:rsidR="00C07324">
        <w:t xml:space="preserve">During the three year clearance period, we anticipate that we will collect baseline survey data </w:t>
      </w:r>
      <w:r w:rsidRPr="00565081" w:rsidR="00E64515">
        <w:t xml:space="preserve">from 600 more adults. </w:t>
      </w:r>
      <w:r w:rsidRPr="00565081" w:rsidR="00C07324">
        <w:t>We expect</w:t>
      </w:r>
      <w:r w:rsidRPr="00565081" w:rsidR="00473B76">
        <w:t xml:space="preserve"> each baseline survey to last 0.5 hours. We estimate that the total burden for the remaining adult baseline to be 100 hours (20</w:t>
      </w:r>
      <w:r w:rsidR="00D44E91">
        <w:t>0 adults * 0.5 hours) per year.</w:t>
      </w:r>
    </w:p>
    <w:p w:rsidR="00A35B0D" w:rsidP="00FB1BA8" w:rsidRDefault="002172D7" w14:paraId="0E0EF6D4" w14:textId="77777777">
      <w:pPr>
        <w:numPr>
          <w:ilvl w:val="0"/>
          <w:numId w:val="29"/>
        </w:numPr>
        <w:spacing w:after="240"/>
      </w:pPr>
      <w:r w:rsidRPr="00D44E91">
        <w:rPr>
          <w:b/>
        </w:rPr>
        <w:t>Follow-up survey</w:t>
      </w:r>
      <w:r w:rsidRPr="00565081">
        <w:rPr>
          <w:b/>
        </w:rPr>
        <w:t xml:space="preserve"> for adults</w:t>
      </w:r>
      <w:r w:rsidR="00615A04">
        <w:rPr>
          <w:b/>
        </w:rPr>
        <w:t xml:space="preserve"> (Instrument 1</w:t>
      </w:r>
      <w:r w:rsidR="00D97D70">
        <w:rPr>
          <w:b/>
        </w:rPr>
        <w:t>1</w:t>
      </w:r>
      <w:r w:rsidR="00615A04">
        <w:rPr>
          <w:b/>
        </w:rPr>
        <w:t>)</w:t>
      </w:r>
      <w:r w:rsidRPr="00565081">
        <w:rPr>
          <w:b/>
        </w:rPr>
        <w:t xml:space="preserve">. </w:t>
      </w:r>
      <w:r w:rsidRPr="00565081" w:rsidR="00C07324">
        <w:t xml:space="preserve">During the three year clearance period, we </w:t>
      </w:r>
      <w:r w:rsidRPr="00565081" w:rsidR="007021DD">
        <w:t xml:space="preserve">anticipate </w:t>
      </w:r>
      <w:r w:rsidRPr="00565081" w:rsidR="00EE1914">
        <w:t xml:space="preserve">2,300 more adults </w:t>
      </w:r>
      <w:r w:rsidRPr="00565081" w:rsidR="007021DD">
        <w:t>will complete</w:t>
      </w:r>
      <w:r w:rsidRPr="00565081" w:rsidR="00EE1914">
        <w:t xml:space="preserve"> the follow up survey. </w:t>
      </w:r>
      <w:r w:rsidRPr="00565081" w:rsidR="00C07324">
        <w:t xml:space="preserve">We estimate that the total burden for the </w:t>
      </w:r>
      <w:r w:rsidRPr="00565081" w:rsidR="007021DD">
        <w:t xml:space="preserve">remaining </w:t>
      </w:r>
      <w:r w:rsidRPr="00565081" w:rsidR="00C07324">
        <w:t xml:space="preserve">adult follow-up survey to be </w:t>
      </w:r>
      <w:r w:rsidRPr="00565081" w:rsidR="007021DD">
        <w:t>575 hours</w:t>
      </w:r>
      <w:r w:rsidRPr="00565081" w:rsidR="00C07324">
        <w:t xml:space="preserve"> (0.75 hours * </w:t>
      </w:r>
      <w:r w:rsidRPr="00565081" w:rsidR="007021DD">
        <w:t>767</w:t>
      </w:r>
      <w:r w:rsidRPr="00565081" w:rsidR="00C07324">
        <w:t xml:space="preserve"> adults</w:t>
      </w:r>
      <w:r w:rsidRPr="00565081" w:rsidR="007021DD">
        <w:t>) per year.</w:t>
      </w:r>
    </w:p>
    <w:p w:rsidRPr="0013611C" w:rsidR="00A35B0D" w:rsidP="0029050D" w:rsidRDefault="00D01CDD" w14:paraId="6F1FD6A4" w14:textId="77777777">
      <w:pPr>
        <w:pStyle w:val="NoSpacing"/>
        <w:spacing w:after="120"/>
        <w:rPr>
          <w:rFonts w:ascii="Times New Roman" w:hAnsi="Times New Roman"/>
          <w:i/>
          <w:szCs w:val="24"/>
        </w:rPr>
      </w:pPr>
      <w:r>
        <w:rPr>
          <w:rFonts w:ascii="Times New Roman" w:hAnsi="Times New Roman"/>
          <w:b/>
          <w:i/>
          <w:szCs w:val="24"/>
        </w:rPr>
        <w:t xml:space="preserve">New Instruments </w:t>
      </w:r>
      <w:r w:rsidRPr="0013611C" w:rsidR="00EB0C42">
        <w:rPr>
          <w:rFonts w:ascii="Times New Roman" w:hAnsi="Times New Roman"/>
          <w:b/>
          <w:i/>
          <w:szCs w:val="24"/>
        </w:rPr>
        <w:t>for Approval</w:t>
      </w:r>
      <w:r>
        <w:rPr>
          <w:rFonts w:ascii="Times New Roman" w:hAnsi="Times New Roman"/>
          <w:b/>
          <w:i/>
          <w:szCs w:val="24"/>
        </w:rPr>
        <w:t xml:space="preserve"> in Current Request</w:t>
      </w:r>
    </w:p>
    <w:p w:rsidR="0029050D" w:rsidP="00FB1BA8" w:rsidRDefault="00E35408" w14:paraId="337A3130" w14:textId="77777777">
      <w:pPr>
        <w:numPr>
          <w:ilvl w:val="0"/>
          <w:numId w:val="30"/>
        </w:numPr>
        <w:spacing w:after="240"/>
      </w:pPr>
      <w:r w:rsidRPr="00D44E91">
        <w:rPr>
          <w:b/>
        </w:rPr>
        <w:t>Second follow-up su</w:t>
      </w:r>
      <w:r w:rsidRPr="00D44E91" w:rsidR="00EB0C42">
        <w:rPr>
          <w:b/>
        </w:rPr>
        <w:t>rvey</w:t>
      </w:r>
      <w:r w:rsidR="00EB0C42">
        <w:rPr>
          <w:b/>
        </w:rPr>
        <w:t xml:space="preserve"> for youth</w:t>
      </w:r>
      <w:r w:rsidR="00615A04">
        <w:rPr>
          <w:b/>
        </w:rPr>
        <w:t xml:space="preserve"> (Instrument 1</w:t>
      </w:r>
      <w:r w:rsidR="00D97D70">
        <w:rPr>
          <w:b/>
        </w:rPr>
        <w:t>2</w:t>
      </w:r>
      <w:r w:rsidR="00615A04">
        <w:rPr>
          <w:b/>
        </w:rPr>
        <w:t>)</w:t>
      </w:r>
      <w:r>
        <w:rPr>
          <w:b/>
        </w:rPr>
        <w:t>.</w:t>
      </w:r>
      <w:r>
        <w:t xml:space="preserve"> </w:t>
      </w:r>
      <w:r w:rsidR="00CF5F18">
        <w:t>During the three year clearance period, we</w:t>
      </w:r>
      <w:r>
        <w:t xml:space="preserve"> expect </w:t>
      </w:r>
      <w:r w:rsidR="00074057">
        <w:t>80</w:t>
      </w:r>
      <w:r>
        <w:t xml:space="preserve"> percent </w:t>
      </w:r>
      <w:r w:rsidR="00074057">
        <w:t>of 1,9</w:t>
      </w:r>
      <w:r>
        <w:t>00 youth to complete the second follow-up survey, for a total of 1,</w:t>
      </w:r>
      <w:r w:rsidR="00074057">
        <w:t>5</w:t>
      </w:r>
      <w:r w:rsidR="007021DD">
        <w:t>00</w:t>
      </w:r>
      <w:r w:rsidR="00074057">
        <w:t xml:space="preserve"> youth (1,900 youth * 8</w:t>
      </w:r>
      <w:r>
        <w:t xml:space="preserve">0 percent response rate). </w:t>
      </w:r>
      <w:r>
        <w:lastRenderedPageBreak/>
        <w:t>We expect each follow-up survey to last 0.5 hours. We estimate that the total burden for the youth follow-up survey t</w:t>
      </w:r>
      <w:r w:rsidR="00074057">
        <w:t xml:space="preserve">o be </w:t>
      </w:r>
      <w:r w:rsidR="0013611C">
        <w:t>25</w:t>
      </w:r>
      <w:r w:rsidR="007021DD">
        <w:t xml:space="preserve">0 hours </w:t>
      </w:r>
      <w:r w:rsidR="00074057">
        <w:t xml:space="preserve">(0.5 hours * </w:t>
      </w:r>
      <w:r w:rsidR="00671548">
        <w:t>500</w:t>
      </w:r>
      <w:r>
        <w:t xml:space="preserve"> youth)</w:t>
      </w:r>
      <w:r w:rsidR="007021DD">
        <w:t xml:space="preserve"> per year</w:t>
      </w:r>
      <w:r w:rsidRPr="00CF5F18">
        <w:t>.</w:t>
      </w:r>
    </w:p>
    <w:p w:rsidRPr="009A36C6" w:rsidR="0029050D" w:rsidP="006E57DE" w:rsidRDefault="00DB24D4" w14:paraId="71BDCF95" w14:textId="77777777">
      <w:pPr>
        <w:numPr>
          <w:ilvl w:val="0"/>
          <w:numId w:val="30"/>
        </w:numPr>
        <w:spacing w:after="240"/>
      </w:pPr>
      <w:r>
        <w:rPr>
          <w:b/>
        </w:rPr>
        <w:t>7</w:t>
      </w:r>
      <w:r w:rsidRPr="00D44E91" w:rsidR="00E35408">
        <w:rPr>
          <w:b/>
        </w:rPr>
        <w:t>. Second follow-up</w:t>
      </w:r>
      <w:r w:rsidR="00E35408">
        <w:rPr>
          <w:b/>
        </w:rPr>
        <w:t xml:space="preserve"> surve</w:t>
      </w:r>
      <w:r w:rsidR="00EB0C42">
        <w:rPr>
          <w:b/>
        </w:rPr>
        <w:t>y for adults</w:t>
      </w:r>
      <w:r w:rsidR="00615A04">
        <w:rPr>
          <w:b/>
        </w:rPr>
        <w:t xml:space="preserve"> (Instrument 1</w:t>
      </w:r>
      <w:r w:rsidR="00D97D70">
        <w:rPr>
          <w:b/>
        </w:rPr>
        <w:t>3</w:t>
      </w:r>
      <w:r w:rsidR="00615A04">
        <w:rPr>
          <w:b/>
        </w:rPr>
        <w:t>)</w:t>
      </w:r>
      <w:r w:rsidR="00E35408">
        <w:rPr>
          <w:b/>
        </w:rPr>
        <w:t xml:space="preserve">. </w:t>
      </w:r>
      <w:r w:rsidR="00CF5F18">
        <w:t>During the three year clearance period, w</w:t>
      </w:r>
      <w:r w:rsidR="00E35408">
        <w:t xml:space="preserve">e expect 80 percent of </w:t>
      </w:r>
      <w:r w:rsidR="00CF5F18">
        <w:t>1,000</w:t>
      </w:r>
      <w:r w:rsidR="00E35408">
        <w:t xml:space="preserve"> adults to complete the second follow-up survey, for a total of </w:t>
      </w:r>
      <w:r w:rsidR="00CF5F18">
        <w:t>800</w:t>
      </w:r>
      <w:r w:rsidR="00E35408">
        <w:t xml:space="preserve"> adults (</w:t>
      </w:r>
      <w:r w:rsidR="00CF5F18">
        <w:t>1,000</w:t>
      </w:r>
      <w:r w:rsidR="00E35408">
        <w:t xml:space="preserve"> adults * 80 percent response rate). We estimate that the total burden for the adult second follow-up survey to be </w:t>
      </w:r>
      <w:r w:rsidR="007021DD">
        <w:t>200 hours</w:t>
      </w:r>
      <w:r w:rsidR="00E35408">
        <w:t xml:space="preserve"> (0.75 hours * </w:t>
      </w:r>
      <w:r w:rsidR="00671548">
        <w:t>267</w:t>
      </w:r>
      <w:r w:rsidR="00CF5F18">
        <w:t xml:space="preserve"> </w:t>
      </w:r>
      <w:r w:rsidR="00E35408">
        <w:t>adults)</w:t>
      </w:r>
      <w:r w:rsidR="0013611C">
        <w:t xml:space="preserve"> per year.</w:t>
      </w:r>
    </w:p>
    <w:p w:rsidR="006E57DE" w:rsidP="006E57DE" w:rsidRDefault="00671548" w14:paraId="19D17C78" w14:textId="3DA3E274">
      <w:pPr>
        <w:rPr>
          <w:b/>
        </w:rPr>
      </w:pPr>
      <w:r>
        <w:rPr>
          <w:b/>
        </w:rPr>
        <w:t>Table A.</w:t>
      </w:r>
      <w:r w:rsidR="00071293">
        <w:rPr>
          <w:b/>
        </w:rPr>
        <w:t>6</w:t>
      </w:r>
      <w:r w:rsidR="006E57DE">
        <w:rPr>
          <w:b/>
        </w:rPr>
        <w:t>. Total Burden – remaining (already approved) and current request</w:t>
      </w:r>
    </w:p>
    <w:tbl>
      <w:tblPr>
        <w:tblW w:w="9360" w:type="dxa"/>
        <w:tblInd w:w="108" w:type="dxa"/>
        <w:tblLook w:val="04A0" w:firstRow="1" w:lastRow="0" w:firstColumn="1" w:lastColumn="0" w:noHBand="0" w:noVBand="1"/>
      </w:tblPr>
      <w:tblGrid>
        <w:gridCol w:w="1436"/>
        <w:gridCol w:w="1297"/>
        <w:gridCol w:w="1297"/>
        <w:gridCol w:w="1197"/>
        <w:gridCol w:w="1017"/>
        <w:gridCol w:w="1077"/>
        <w:gridCol w:w="927"/>
        <w:gridCol w:w="1112"/>
      </w:tblGrid>
      <w:tr w:rsidR="00671548" w:rsidTr="009A36C6" w14:paraId="18D01EC0" w14:textId="77777777">
        <w:trPr>
          <w:trHeight w:val="1390"/>
        </w:trPr>
        <w:tc>
          <w:tcPr>
            <w:tcW w:w="1436" w:type="dxa"/>
            <w:tcBorders>
              <w:top w:val="single" w:color="auto" w:sz="4" w:space="0"/>
              <w:left w:val="single" w:color="auto" w:sz="4" w:space="0"/>
              <w:bottom w:val="single" w:color="000000" w:sz="8" w:space="0"/>
              <w:right w:val="single" w:color="FFFFFF" w:sz="8" w:space="0"/>
            </w:tcBorders>
            <w:shd w:val="clear" w:color="000000" w:fill="6C6F70"/>
            <w:vAlign w:val="center"/>
            <w:hideMark/>
          </w:tcPr>
          <w:p w:rsidR="00671548" w:rsidP="00671548" w:rsidRDefault="00671548" w14:paraId="14A0CC75" w14:textId="77777777">
            <w:pPr>
              <w:rPr>
                <w:rFonts w:ascii="Arial" w:hAnsi="Arial" w:cs="Arial"/>
                <w:b/>
                <w:bCs/>
                <w:color w:val="FFFFFF"/>
                <w:sz w:val="18"/>
                <w:szCs w:val="18"/>
              </w:rPr>
            </w:pPr>
            <w:r>
              <w:rPr>
                <w:rFonts w:ascii="Arial" w:hAnsi="Arial" w:cs="Arial"/>
                <w:b/>
                <w:bCs/>
                <w:color w:val="FFFFFF"/>
                <w:sz w:val="18"/>
                <w:szCs w:val="18"/>
              </w:rPr>
              <w:t>Instrument</w:t>
            </w:r>
          </w:p>
        </w:tc>
        <w:tc>
          <w:tcPr>
            <w:tcW w:w="1297" w:type="dxa"/>
            <w:tcBorders>
              <w:top w:val="single" w:color="auto" w:sz="4" w:space="0"/>
              <w:left w:val="nil"/>
              <w:bottom w:val="single" w:color="000000" w:sz="8" w:space="0"/>
              <w:right w:val="single" w:color="FFFFFF" w:sz="8" w:space="0"/>
            </w:tcBorders>
            <w:shd w:val="clear" w:color="000000" w:fill="6C6F70"/>
            <w:vAlign w:val="center"/>
            <w:hideMark/>
          </w:tcPr>
          <w:p w:rsidR="00671548" w:rsidP="00671548" w:rsidRDefault="00671548" w14:paraId="77D05534" w14:textId="77777777">
            <w:pPr>
              <w:jc w:val="center"/>
              <w:rPr>
                <w:rFonts w:ascii="Arial" w:hAnsi="Arial" w:cs="Arial"/>
                <w:b/>
                <w:bCs/>
                <w:color w:val="FFFFFF"/>
                <w:sz w:val="18"/>
                <w:szCs w:val="18"/>
              </w:rPr>
            </w:pPr>
            <w:r>
              <w:rPr>
                <w:rFonts w:ascii="Arial" w:hAnsi="Arial" w:cs="Arial"/>
                <w:b/>
                <w:bCs/>
                <w:color w:val="FFFFFF"/>
                <w:sz w:val="18"/>
                <w:szCs w:val="18"/>
              </w:rPr>
              <w:t>Total number of respondents</w:t>
            </w:r>
          </w:p>
        </w:tc>
        <w:tc>
          <w:tcPr>
            <w:tcW w:w="1297" w:type="dxa"/>
            <w:tcBorders>
              <w:top w:val="single" w:color="auto" w:sz="4" w:space="0"/>
              <w:left w:val="nil"/>
              <w:bottom w:val="single" w:color="000000" w:sz="8" w:space="0"/>
              <w:right w:val="single" w:color="FFFFFF" w:sz="8" w:space="0"/>
            </w:tcBorders>
            <w:shd w:val="clear" w:color="000000" w:fill="6C6F70"/>
            <w:vAlign w:val="center"/>
            <w:hideMark/>
          </w:tcPr>
          <w:p w:rsidR="00671548" w:rsidP="00671548" w:rsidRDefault="00671548" w14:paraId="0E61AEA5" w14:textId="77777777">
            <w:pPr>
              <w:jc w:val="center"/>
              <w:rPr>
                <w:rFonts w:ascii="Arial" w:hAnsi="Arial" w:cs="Arial"/>
                <w:b/>
                <w:bCs/>
                <w:color w:val="FFFFFF"/>
                <w:sz w:val="18"/>
                <w:szCs w:val="18"/>
              </w:rPr>
            </w:pPr>
            <w:r>
              <w:rPr>
                <w:rFonts w:ascii="Arial" w:hAnsi="Arial" w:cs="Arial"/>
                <w:b/>
                <w:bCs/>
                <w:color w:val="FFFFFF"/>
                <w:sz w:val="18"/>
                <w:szCs w:val="18"/>
              </w:rPr>
              <w:t>Annual number of respondents</w:t>
            </w:r>
          </w:p>
        </w:tc>
        <w:tc>
          <w:tcPr>
            <w:tcW w:w="1197" w:type="dxa"/>
            <w:tcBorders>
              <w:top w:val="single" w:color="auto" w:sz="4" w:space="0"/>
              <w:left w:val="nil"/>
              <w:bottom w:val="single" w:color="000000" w:sz="8" w:space="0"/>
              <w:right w:val="single" w:color="FFFFFF" w:sz="8" w:space="0"/>
            </w:tcBorders>
            <w:shd w:val="clear" w:color="000000" w:fill="6C6F70"/>
            <w:vAlign w:val="center"/>
            <w:hideMark/>
          </w:tcPr>
          <w:p w:rsidR="00671548" w:rsidP="00671548" w:rsidRDefault="00671548" w14:paraId="5475A211" w14:textId="77777777">
            <w:pPr>
              <w:jc w:val="center"/>
              <w:rPr>
                <w:rFonts w:ascii="Arial" w:hAnsi="Arial" w:cs="Arial"/>
                <w:b/>
                <w:bCs/>
                <w:color w:val="FFFFFF"/>
                <w:sz w:val="18"/>
                <w:szCs w:val="18"/>
              </w:rPr>
            </w:pPr>
            <w:r>
              <w:rPr>
                <w:rFonts w:ascii="Arial" w:hAnsi="Arial" w:cs="Arial"/>
                <w:b/>
                <w:bCs/>
                <w:color w:val="FFFFFF"/>
                <w:sz w:val="18"/>
                <w:szCs w:val="18"/>
              </w:rPr>
              <w:t>Number of responses per respondent</w:t>
            </w:r>
          </w:p>
        </w:tc>
        <w:tc>
          <w:tcPr>
            <w:tcW w:w="1017" w:type="dxa"/>
            <w:tcBorders>
              <w:top w:val="single" w:color="auto" w:sz="4" w:space="0"/>
              <w:left w:val="nil"/>
              <w:bottom w:val="single" w:color="000000" w:sz="8" w:space="0"/>
              <w:right w:val="single" w:color="FFFFFF" w:sz="8" w:space="0"/>
            </w:tcBorders>
            <w:shd w:val="clear" w:color="000000" w:fill="6C6F70"/>
            <w:vAlign w:val="center"/>
            <w:hideMark/>
          </w:tcPr>
          <w:p w:rsidR="00671548" w:rsidP="00671548" w:rsidRDefault="00671548" w14:paraId="3FD753DF" w14:textId="77777777">
            <w:pPr>
              <w:jc w:val="center"/>
              <w:rPr>
                <w:rFonts w:ascii="Arial" w:hAnsi="Arial" w:cs="Arial"/>
                <w:b/>
                <w:bCs/>
                <w:color w:val="FFFFFF"/>
                <w:sz w:val="18"/>
                <w:szCs w:val="18"/>
              </w:rPr>
            </w:pPr>
            <w:r>
              <w:rPr>
                <w:rFonts w:ascii="Arial" w:hAnsi="Arial" w:cs="Arial"/>
                <w:b/>
                <w:bCs/>
                <w:color w:val="FFFFFF"/>
                <w:sz w:val="18"/>
                <w:szCs w:val="18"/>
              </w:rPr>
              <w:t>Average burden hours per response</w:t>
            </w:r>
          </w:p>
        </w:tc>
        <w:tc>
          <w:tcPr>
            <w:tcW w:w="1077" w:type="dxa"/>
            <w:tcBorders>
              <w:top w:val="single" w:color="auto" w:sz="4" w:space="0"/>
              <w:left w:val="nil"/>
              <w:bottom w:val="single" w:color="000000" w:sz="8" w:space="0"/>
              <w:right w:val="single" w:color="FFFFFF" w:sz="8" w:space="0"/>
            </w:tcBorders>
            <w:shd w:val="clear" w:color="000000" w:fill="6C6F70"/>
            <w:vAlign w:val="center"/>
            <w:hideMark/>
          </w:tcPr>
          <w:p w:rsidR="00671548" w:rsidP="00671548" w:rsidRDefault="00671548" w14:paraId="42B968DB" w14:textId="77777777">
            <w:pPr>
              <w:jc w:val="center"/>
              <w:rPr>
                <w:rFonts w:ascii="Arial" w:hAnsi="Arial" w:cs="Arial"/>
                <w:b/>
                <w:bCs/>
                <w:color w:val="FFFFFF"/>
                <w:sz w:val="18"/>
                <w:szCs w:val="18"/>
              </w:rPr>
            </w:pPr>
            <w:r>
              <w:rPr>
                <w:rFonts w:ascii="Arial" w:hAnsi="Arial" w:cs="Arial"/>
                <w:b/>
                <w:bCs/>
                <w:color w:val="FFFFFF"/>
                <w:sz w:val="18"/>
                <w:szCs w:val="18"/>
              </w:rPr>
              <w:t>Estimated Annual burden hours</w:t>
            </w:r>
          </w:p>
        </w:tc>
        <w:tc>
          <w:tcPr>
            <w:tcW w:w="927" w:type="dxa"/>
            <w:tcBorders>
              <w:top w:val="single" w:color="auto" w:sz="4" w:space="0"/>
              <w:left w:val="nil"/>
              <w:bottom w:val="single" w:color="000000" w:sz="8" w:space="0"/>
              <w:right w:val="single" w:color="FFFFFF" w:sz="8" w:space="0"/>
            </w:tcBorders>
            <w:shd w:val="clear" w:color="000000" w:fill="6C6F70"/>
            <w:vAlign w:val="center"/>
            <w:hideMark/>
          </w:tcPr>
          <w:p w:rsidR="00671548" w:rsidP="00671548" w:rsidRDefault="00671548" w14:paraId="5DF8610A" w14:textId="77777777">
            <w:pPr>
              <w:jc w:val="center"/>
              <w:rPr>
                <w:rFonts w:ascii="Arial" w:hAnsi="Arial" w:cs="Arial"/>
                <w:b/>
                <w:bCs/>
                <w:color w:val="FFFFFF"/>
                <w:sz w:val="18"/>
                <w:szCs w:val="18"/>
              </w:rPr>
            </w:pPr>
            <w:r>
              <w:rPr>
                <w:rFonts w:ascii="Arial" w:hAnsi="Arial" w:cs="Arial"/>
                <w:b/>
                <w:bCs/>
                <w:color w:val="FFFFFF"/>
                <w:sz w:val="18"/>
                <w:szCs w:val="18"/>
              </w:rPr>
              <w:t>Average hourly wage</w:t>
            </w:r>
          </w:p>
        </w:tc>
        <w:tc>
          <w:tcPr>
            <w:tcW w:w="1112" w:type="dxa"/>
            <w:tcBorders>
              <w:top w:val="single" w:color="auto" w:sz="4" w:space="0"/>
              <w:left w:val="nil"/>
              <w:bottom w:val="single" w:color="000000" w:sz="8" w:space="0"/>
              <w:right w:val="single" w:color="auto" w:sz="4" w:space="0"/>
            </w:tcBorders>
            <w:shd w:val="clear" w:color="000000" w:fill="6C6F70"/>
            <w:vAlign w:val="center"/>
            <w:hideMark/>
          </w:tcPr>
          <w:p w:rsidR="00671548" w:rsidP="00671548" w:rsidRDefault="00671548" w14:paraId="1CAFA16A" w14:textId="77777777">
            <w:pPr>
              <w:jc w:val="center"/>
              <w:rPr>
                <w:rFonts w:ascii="Arial" w:hAnsi="Arial" w:cs="Arial"/>
                <w:b/>
                <w:bCs/>
                <w:color w:val="FFFFFF"/>
                <w:sz w:val="18"/>
                <w:szCs w:val="18"/>
              </w:rPr>
            </w:pPr>
            <w:r>
              <w:rPr>
                <w:rFonts w:ascii="Arial" w:hAnsi="Arial" w:cs="Arial"/>
                <w:b/>
                <w:bCs/>
                <w:color w:val="FFFFFF"/>
                <w:sz w:val="18"/>
                <w:szCs w:val="18"/>
              </w:rPr>
              <w:t>Total annual cost</w:t>
            </w:r>
          </w:p>
        </w:tc>
      </w:tr>
      <w:tr w:rsidR="009A36C6" w:rsidTr="00641B02" w14:paraId="503CD2B1" w14:textId="77777777">
        <w:trPr>
          <w:trHeight w:val="300"/>
        </w:trPr>
        <w:tc>
          <w:tcPr>
            <w:tcW w:w="9360" w:type="dxa"/>
            <w:gridSpan w:val="8"/>
            <w:tcBorders>
              <w:top w:val="single" w:color="000000" w:sz="8" w:space="0"/>
              <w:left w:val="single" w:color="auto" w:sz="4" w:space="0"/>
              <w:bottom w:val="single" w:color="000000" w:sz="8" w:space="0"/>
              <w:right w:val="single" w:color="auto" w:sz="4" w:space="0"/>
            </w:tcBorders>
            <w:shd w:val="clear" w:color="000000" w:fill="D9D9D9"/>
            <w:vAlign w:val="center"/>
            <w:hideMark/>
          </w:tcPr>
          <w:p w:rsidR="009A36C6" w:rsidP="009A36C6" w:rsidRDefault="009A36C6" w14:paraId="052AA65C" w14:textId="31AD8ACF">
            <w:pPr>
              <w:jc w:val="center"/>
              <w:rPr>
                <w:rFonts w:ascii="Arial" w:hAnsi="Arial" w:cs="Arial"/>
                <w:b/>
                <w:bCs/>
                <w:color w:val="000000"/>
                <w:sz w:val="18"/>
                <w:szCs w:val="18"/>
              </w:rPr>
            </w:pPr>
            <w:r>
              <w:rPr>
                <w:rFonts w:ascii="Arial" w:hAnsi="Arial" w:cs="Arial"/>
                <w:b/>
                <w:bCs/>
                <w:color w:val="000000"/>
                <w:sz w:val="18"/>
                <w:szCs w:val="18"/>
              </w:rPr>
              <w:t xml:space="preserve">Burden that Remains </w:t>
            </w:r>
            <w:r w:rsidR="008841F6">
              <w:rPr>
                <w:rFonts w:ascii="Arial" w:hAnsi="Arial" w:cs="Arial"/>
                <w:b/>
                <w:bCs/>
                <w:color w:val="000000"/>
                <w:sz w:val="18"/>
                <w:szCs w:val="18"/>
              </w:rPr>
              <w:t>for Previously Approved Information Collections</w:t>
            </w:r>
          </w:p>
        </w:tc>
      </w:tr>
      <w:tr w:rsidR="009A36C6" w:rsidTr="009A36C6" w14:paraId="236580DF" w14:textId="77777777">
        <w:trPr>
          <w:trHeight w:val="808"/>
        </w:trPr>
        <w:tc>
          <w:tcPr>
            <w:tcW w:w="1436" w:type="dxa"/>
            <w:tcBorders>
              <w:top w:val="nil"/>
              <w:left w:val="single" w:color="auto" w:sz="4" w:space="0"/>
              <w:bottom w:val="single" w:color="000000" w:sz="8" w:space="0"/>
              <w:right w:val="single" w:color="000000" w:sz="8" w:space="0"/>
            </w:tcBorders>
            <w:shd w:val="clear" w:color="auto" w:fill="auto"/>
            <w:vAlign w:val="center"/>
            <w:hideMark/>
          </w:tcPr>
          <w:p w:rsidR="009A36C6" w:rsidP="009A36C6" w:rsidRDefault="009A36C6" w14:paraId="486B9DC7" w14:textId="77777777">
            <w:pPr>
              <w:rPr>
                <w:rFonts w:ascii="Arial" w:hAnsi="Arial" w:cs="Arial"/>
                <w:color w:val="000000"/>
                <w:sz w:val="18"/>
                <w:szCs w:val="18"/>
              </w:rPr>
            </w:pPr>
            <w:r>
              <w:rPr>
                <w:rFonts w:ascii="Arial" w:hAnsi="Arial" w:cs="Arial"/>
                <w:color w:val="000000"/>
                <w:sz w:val="18"/>
                <w:szCs w:val="18"/>
              </w:rPr>
              <w:t>Introductory script, grantee staff (Instrument 6)</w:t>
            </w:r>
          </w:p>
        </w:tc>
        <w:tc>
          <w:tcPr>
            <w:tcW w:w="1297" w:type="dxa"/>
            <w:tcBorders>
              <w:top w:val="nil"/>
              <w:left w:val="nil"/>
              <w:bottom w:val="single" w:color="000000" w:sz="8" w:space="0"/>
              <w:right w:val="single" w:color="000000" w:sz="8" w:space="0"/>
            </w:tcBorders>
            <w:shd w:val="clear" w:color="auto" w:fill="auto"/>
            <w:vAlign w:val="center"/>
            <w:hideMark/>
          </w:tcPr>
          <w:p w:rsidR="009A36C6" w:rsidP="009A36C6" w:rsidRDefault="009A36C6" w14:paraId="6390AE16" w14:textId="77777777">
            <w:pPr>
              <w:jc w:val="right"/>
              <w:rPr>
                <w:rFonts w:ascii="Arial" w:hAnsi="Arial" w:cs="Arial"/>
                <w:color w:val="000000"/>
                <w:sz w:val="18"/>
                <w:szCs w:val="18"/>
              </w:rPr>
            </w:pPr>
            <w:r>
              <w:rPr>
                <w:rFonts w:ascii="Arial" w:hAnsi="Arial" w:cs="Arial"/>
                <w:color w:val="000000"/>
                <w:sz w:val="18"/>
                <w:szCs w:val="18"/>
              </w:rPr>
              <w:t>8</w:t>
            </w:r>
          </w:p>
        </w:tc>
        <w:tc>
          <w:tcPr>
            <w:tcW w:w="1297" w:type="dxa"/>
            <w:tcBorders>
              <w:top w:val="nil"/>
              <w:left w:val="nil"/>
              <w:bottom w:val="single" w:color="000000" w:sz="8" w:space="0"/>
              <w:right w:val="single" w:color="000000" w:sz="8" w:space="0"/>
            </w:tcBorders>
            <w:shd w:val="clear" w:color="auto" w:fill="auto"/>
            <w:vAlign w:val="center"/>
            <w:hideMark/>
          </w:tcPr>
          <w:p w:rsidR="009A36C6" w:rsidP="009A36C6" w:rsidRDefault="009A36C6" w14:paraId="4073772E" w14:textId="77777777">
            <w:pPr>
              <w:jc w:val="right"/>
              <w:rPr>
                <w:rFonts w:ascii="Arial" w:hAnsi="Arial" w:cs="Arial"/>
                <w:color w:val="000000"/>
                <w:sz w:val="18"/>
                <w:szCs w:val="18"/>
              </w:rPr>
            </w:pPr>
            <w:r>
              <w:rPr>
                <w:rFonts w:ascii="Arial" w:hAnsi="Arial" w:cs="Arial"/>
                <w:color w:val="000000"/>
                <w:sz w:val="18"/>
                <w:szCs w:val="18"/>
              </w:rPr>
              <w:t>8</w:t>
            </w:r>
          </w:p>
        </w:tc>
        <w:tc>
          <w:tcPr>
            <w:tcW w:w="1197" w:type="dxa"/>
            <w:tcBorders>
              <w:top w:val="nil"/>
              <w:left w:val="nil"/>
              <w:bottom w:val="single" w:color="000000" w:sz="8" w:space="0"/>
              <w:right w:val="single" w:color="000000" w:sz="8" w:space="0"/>
            </w:tcBorders>
            <w:shd w:val="clear" w:color="auto" w:fill="auto"/>
            <w:vAlign w:val="center"/>
            <w:hideMark/>
          </w:tcPr>
          <w:p w:rsidR="009A36C6" w:rsidP="009A36C6" w:rsidRDefault="009A36C6" w14:paraId="28AFFCD9" w14:textId="77777777">
            <w:pPr>
              <w:jc w:val="right"/>
              <w:rPr>
                <w:rFonts w:ascii="Arial" w:hAnsi="Arial" w:cs="Arial"/>
                <w:color w:val="000000"/>
                <w:sz w:val="18"/>
                <w:szCs w:val="18"/>
              </w:rPr>
            </w:pPr>
            <w:r>
              <w:rPr>
                <w:rFonts w:ascii="Arial" w:hAnsi="Arial" w:cs="Arial"/>
                <w:color w:val="000000"/>
                <w:sz w:val="18"/>
                <w:szCs w:val="18"/>
              </w:rPr>
              <w:t>25</w:t>
            </w:r>
          </w:p>
        </w:tc>
        <w:tc>
          <w:tcPr>
            <w:tcW w:w="1017" w:type="dxa"/>
            <w:tcBorders>
              <w:top w:val="nil"/>
              <w:left w:val="nil"/>
              <w:bottom w:val="single" w:color="000000" w:sz="8" w:space="0"/>
              <w:right w:val="single" w:color="000000" w:sz="8" w:space="0"/>
            </w:tcBorders>
            <w:shd w:val="clear" w:color="auto" w:fill="auto"/>
            <w:vAlign w:val="center"/>
            <w:hideMark/>
          </w:tcPr>
          <w:p w:rsidR="009A36C6" w:rsidP="009A36C6" w:rsidRDefault="009A36C6" w14:paraId="0283E235" w14:textId="77777777">
            <w:pPr>
              <w:jc w:val="right"/>
              <w:rPr>
                <w:rFonts w:ascii="Arial" w:hAnsi="Arial" w:cs="Arial"/>
                <w:color w:val="000000"/>
                <w:sz w:val="18"/>
                <w:szCs w:val="18"/>
              </w:rPr>
            </w:pPr>
            <w:r>
              <w:rPr>
                <w:rFonts w:ascii="Arial" w:hAnsi="Arial" w:cs="Arial"/>
                <w:color w:val="000000"/>
                <w:sz w:val="18"/>
                <w:szCs w:val="18"/>
              </w:rPr>
              <w:t>0.08</w:t>
            </w:r>
          </w:p>
        </w:tc>
        <w:tc>
          <w:tcPr>
            <w:tcW w:w="1077" w:type="dxa"/>
            <w:tcBorders>
              <w:top w:val="nil"/>
              <w:left w:val="nil"/>
              <w:bottom w:val="single" w:color="000000" w:sz="8" w:space="0"/>
              <w:right w:val="single" w:color="000000" w:sz="8" w:space="0"/>
            </w:tcBorders>
            <w:shd w:val="clear" w:color="auto" w:fill="auto"/>
            <w:vAlign w:val="center"/>
            <w:hideMark/>
          </w:tcPr>
          <w:p w:rsidR="009A36C6" w:rsidP="009A36C6" w:rsidRDefault="009A36C6" w14:paraId="1889C8C6" w14:textId="77777777">
            <w:pPr>
              <w:jc w:val="right"/>
              <w:rPr>
                <w:rFonts w:ascii="Arial" w:hAnsi="Arial" w:cs="Arial"/>
                <w:color w:val="000000"/>
                <w:sz w:val="18"/>
                <w:szCs w:val="18"/>
              </w:rPr>
            </w:pPr>
            <w:r>
              <w:rPr>
                <w:rFonts w:ascii="Arial" w:hAnsi="Arial" w:cs="Arial"/>
                <w:color w:val="000000"/>
                <w:sz w:val="18"/>
                <w:szCs w:val="18"/>
              </w:rPr>
              <w:t>16</w:t>
            </w:r>
          </w:p>
        </w:tc>
        <w:tc>
          <w:tcPr>
            <w:tcW w:w="927" w:type="dxa"/>
            <w:tcBorders>
              <w:top w:val="nil"/>
              <w:left w:val="nil"/>
              <w:bottom w:val="single" w:color="000000" w:sz="8" w:space="0"/>
              <w:right w:val="single" w:color="000000" w:sz="8" w:space="0"/>
            </w:tcBorders>
            <w:shd w:val="clear" w:color="auto" w:fill="auto"/>
            <w:vAlign w:val="center"/>
            <w:hideMark/>
          </w:tcPr>
          <w:p w:rsidR="009A36C6" w:rsidP="009A36C6" w:rsidRDefault="009A36C6" w14:paraId="78E80C46" w14:textId="77777777">
            <w:pPr>
              <w:jc w:val="right"/>
              <w:rPr>
                <w:rFonts w:ascii="Arial" w:hAnsi="Arial" w:cs="Arial"/>
                <w:color w:val="000000"/>
                <w:sz w:val="18"/>
                <w:szCs w:val="18"/>
              </w:rPr>
            </w:pPr>
            <w:r>
              <w:rPr>
                <w:rFonts w:ascii="Arial" w:hAnsi="Arial" w:cs="Arial"/>
                <w:color w:val="000000"/>
                <w:sz w:val="18"/>
                <w:szCs w:val="18"/>
              </w:rPr>
              <w:t xml:space="preserve">$27.86 </w:t>
            </w:r>
          </w:p>
        </w:tc>
        <w:tc>
          <w:tcPr>
            <w:tcW w:w="1112" w:type="dxa"/>
            <w:tcBorders>
              <w:top w:val="nil"/>
              <w:left w:val="nil"/>
              <w:bottom w:val="single" w:color="000000" w:sz="8" w:space="0"/>
              <w:right w:val="single" w:color="auto" w:sz="4" w:space="0"/>
            </w:tcBorders>
            <w:shd w:val="clear" w:color="auto" w:fill="auto"/>
            <w:vAlign w:val="center"/>
            <w:hideMark/>
          </w:tcPr>
          <w:p w:rsidR="009A36C6" w:rsidP="009A36C6" w:rsidRDefault="009A36C6" w14:paraId="792BE10C" w14:textId="77777777">
            <w:pPr>
              <w:jc w:val="right"/>
              <w:rPr>
                <w:rFonts w:ascii="Arial" w:hAnsi="Arial" w:cs="Arial"/>
                <w:color w:val="000000"/>
                <w:sz w:val="18"/>
                <w:szCs w:val="18"/>
              </w:rPr>
            </w:pPr>
            <w:r>
              <w:rPr>
                <w:rFonts w:ascii="Arial" w:hAnsi="Arial" w:cs="Arial"/>
                <w:color w:val="000000"/>
                <w:sz w:val="18"/>
                <w:szCs w:val="18"/>
              </w:rPr>
              <w:t xml:space="preserve">$446 </w:t>
            </w:r>
          </w:p>
        </w:tc>
      </w:tr>
      <w:tr w:rsidR="009A36C6" w:rsidTr="009A36C6" w14:paraId="1AE1126C" w14:textId="77777777">
        <w:trPr>
          <w:trHeight w:val="772"/>
        </w:trPr>
        <w:tc>
          <w:tcPr>
            <w:tcW w:w="1436" w:type="dxa"/>
            <w:tcBorders>
              <w:top w:val="nil"/>
              <w:left w:val="single" w:color="auto" w:sz="4" w:space="0"/>
              <w:bottom w:val="single" w:color="000000" w:sz="8" w:space="0"/>
              <w:right w:val="single" w:color="000000" w:sz="8" w:space="0"/>
            </w:tcBorders>
            <w:shd w:val="clear" w:color="auto" w:fill="auto"/>
            <w:vAlign w:val="center"/>
            <w:hideMark/>
          </w:tcPr>
          <w:p w:rsidR="009A36C6" w:rsidP="009A36C6" w:rsidRDefault="009A36C6" w14:paraId="080DBA11" w14:textId="77777777">
            <w:pPr>
              <w:rPr>
                <w:rFonts w:ascii="Arial" w:hAnsi="Arial" w:cs="Arial"/>
                <w:color w:val="000000"/>
                <w:sz w:val="18"/>
                <w:szCs w:val="18"/>
              </w:rPr>
            </w:pPr>
            <w:r>
              <w:rPr>
                <w:rFonts w:ascii="Arial" w:hAnsi="Arial" w:cs="Arial"/>
                <w:color w:val="000000"/>
                <w:sz w:val="18"/>
                <w:szCs w:val="18"/>
              </w:rPr>
              <w:t>Introductory script, program applicants (Instrument 6)</w:t>
            </w:r>
          </w:p>
        </w:tc>
        <w:tc>
          <w:tcPr>
            <w:tcW w:w="1297" w:type="dxa"/>
            <w:tcBorders>
              <w:top w:val="nil"/>
              <w:left w:val="nil"/>
              <w:bottom w:val="single" w:color="000000" w:sz="8" w:space="0"/>
              <w:right w:val="single" w:color="000000" w:sz="8" w:space="0"/>
            </w:tcBorders>
            <w:shd w:val="clear" w:color="auto" w:fill="auto"/>
            <w:vAlign w:val="center"/>
            <w:hideMark/>
          </w:tcPr>
          <w:p w:rsidR="009A36C6" w:rsidP="009A36C6" w:rsidRDefault="009A36C6" w14:paraId="11A7C37E" w14:textId="77777777">
            <w:pPr>
              <w:jc w:val="right"/>
              <w:rPr>
                <w:rFonts w:ascii="Arial" w:hAnsi="Arial" w:cs="Arial"/>
                <w:color w:val="000000"/>
                <w:sz w:val="18"/>
                <w:szCs w:val="18"/>
              </w:rPr>
            </w:pPr>
            <w:r>
              <w:rPr>
                <w:rFonts w:ascii="Arial" w:hAnsi="Arial" w:cs="Arial"/>
                <w:color w:val="000000"/>
                <w:sz w:val="18"/>
                <w:szCs w:val="18"/>
              </w:rPr>
              <w:t>600</w:t>
            </w:r>
          </w:p>
        </w:tc>
        <w:tc>
          <w:tcPr>
            <w:tcW w:w="1297" w:type="dxa"/>
            <w:tcBorders>
              <w:top w:val="nil"/>
              <w:left w:val="nil"/>
              <w:bottom w:val="single" w:color="000000" w:sz="8" w:space="0"/>
              <w:right w:val="single" w:color="000000" w:sz="8" w:space="0"/>
            </w:tcBorders>
            <w:shd w:val="clear" w:color="auto" w:fill="auto"/>
            <w:vAlign w:val="center"/>
            <w:hideMark/>
          </w:tcPr>
          <w:p w:rsidR="009A36C6" w:rsidP="009A36C6" w:rsidRDefault="009A36C6" w14:paraId="6C037DC8" w14:textId="77777777">
            <w:pPr>
              <w:jc w:val="right"/>
              <w:rPr>
                <w:rFonts w:ascii="Arial" w:hAnsi="Arial" w:cs="Arial"/>
                <w:color w:val="000000"/>
                <w:sz w:val="18"/>
                <w:szCs w:val="18"/>
              </w:rPr>
            </w:pPr>
            <w:r>
              <w:rPr>
                <w:rFonts w:ascii="Arial" w:hAnsi="Arial" w:cs="Arial"/>
                <w:color w:val="000000"/>
                <w:sz w:val="18"/>
                <w:szCs w:val="18"/>
              </w:rPr>
              <w:t>200</w:t>
            </w:r>
          </w:p>
        </w:tc>
        <w:tc>
          <w:tcPr>
            <w:tcW w:w="1197" w:type="dxa"/>
            <w:tcBorders>
              <w:top w:val="nil"/>
              <w:left w:val="nil"/>
              <w:bottom w:val="single" w:color="000000" w:sz="8" w:space="0"/>
              <w:right w:val="single" w:color="000000" w:sz="8" w:space="0"/>
            </w:tcBorders>
            <w:shd w:val="clear" w:color="auto" w:fill="auto"/>
            <w:vAlign w:val="center"/>
            <w:hideMark/>
          </w:tcPr>
          <w:p w:rsidR="009A36C6" w:rsidP="009A36C6" w:rsidRDefault="009A36C6" w14:paraId="5CFD46A8" w14:textId="77777777">
            <w:pPr>
              <w:jc w:val="right"/>
              <w:rPr>
                <w:rFonts w:ascii="Arial" w:hAnsi="Arial" w:cs="Arial"/>
                <w:color w:val="000000"/>
                <w:sz w:val="18"/>
                <w:szCs w:val="18"/>
              </w:rPr>
            </w:pPr>
            <w:r>
              <w:rPr>
                <w:rFonts w:ascii="Arial" w:hAnsi="Arial" w:cs="Arial"/>
                <w:color w:val="000000"/>
                <w:sz w:val="18"/>
                <w:szCs w:val="18"/>
              </w:rPr>
              <w:t>1</w:t>
            </w:r>
          </w:p>
        </w:tc>
        <w:tc>
          <w:tcPr>
            <w:tcW w:w="1017" w:type="dxa"/>
            <w:tcBorders>
              <w:top w:val="nil"/>
              <w:left w:val="nil"/>
              <w:bottom w:val="single" w:color="000000" w:sz="8" w:space="0"/>
              <w:right w:val="single" w:color="000000" w:sz="8" w:space="0"/>
            </w:tcBorders>
            <w:shd w:val="clear" w:color="auto" w:fill="auto"/>
            <w:vAlign w:val="center"/>
            <w:hideMark/>
          </w:tcPr>
          <w:p w:rsidR="009A36C6" w:rsidP="009A36C6" w:rsidRDefault="009A36C6" w14:paraId="7B8C9589" w14:textId="77777777">
            <w:pPr>
              <w:jc w:val="right"/>
              <w:rPr>
                <w:rFonts w:ascii="Arial" w:hAnsi="Arial" w:cs="Arial"/>
                <w:color w:val="000000"/>
                <w:sz w:val="18"/>
                <w:szCs w:val="18"/>
              </w:rPr>
            </w:pPr>
            <w:r>
              <w:rPr>
                <w:rFonts w:ascii="Arial" w:hAnsi="Arial" w:cs="Arial"/>
                <w:color w:val="000000"/>
                <w:sz w:val="18"/>
                <w:szCs w:val="18"/>
              </w:rPr>
              <w:t>0.08</w:t>
            </w:r>
          </w:p>
        </w:tc>
        <w:tc>
          <w:tcPr>
            <w:tcW w:w="1077" w:type="dxa"/>
            <w:tcBorders>
              <w:top w:val="nil"/>
              <w:left w:val="nil"/>
              <w:bottom w:val="single" w:color="000000" w:sz="8" w:space="0"/>
              <w:right w:val="single" w:color="000000" w:sz="8" w:space="0"/>
            </w:tcBorders>
            <w:shd w:val="clear" w:color="auto" w:fill="auto"/>
            <w:vAlign w:val="center"/>
            <w:hideMark/>
          </w:tcPr>
          <w:p w:rsidR="009A36C6" w:rsidP="009A36C6" w:rsidRDefault="009A36C6" w14:paraId="5B51A84C" w14:textId="77777777">
            <w:pPr>
              <w:jc w:val="right"/>
              <w:rPr>
                <w:rFonts w:ascii="Arial" w:hAnsi="Arial" w:cs="Arial"/>
                <w:color w:val="000000"/>
                <w:sz w:val="18"/>
                <w:szCs w:val="18"/>
              </w:rPr>
            </w:pPr>
            <w:r>
              <w:rPr>
                <w:rFonts w:ascii="Arial" w:hAnsi="Arial" w:cs="Arial"/>
                <w:color w:val="000000"/>
                <w:sz w:val="18"/>
                <w:szCs w:val="18"/>
              </w:rPr>
              <w:t>16</w:t>
            </w:r>
          </w:p>
        </w:tc>
        <w:tc>
          <w:tcPr>
            <w:tcW w:w="927" w:type="dxa"/>
            <w:tcBorders>
              <w:top w:val="nil"/>
              <w:left w:val="nil"/>
              <w:bottom w:val="single" w:color="000000" w:sz="8" w:space="0"/>
              <w:right w:val="single" w:color="000000" w:sz="8" w:space="0"/>
            </w:tcBorders>
            <w:shd w:val="clear" w:color="auto" w:fill="auto"/>
            <w:vAlign w:val="center"/>
            <w:hideMark/>
          </w:tcPr>
          <w:p w:rsidR="009A36C6" w:rsidP="009A36C6" w:rsidRDefault="009A36C6" w14:paraId="66B24B71" w14:textId="77777777">
            <w:pPr>
              <w:jc w:val="right"/>
              <w:rPr>
                <w:rFonts w:ascii="Arial" w:hAnsi="Arial" w:cs="Arial"/>
                <w:color w:val="000000"/>
                <w:sz w:val="18"/>
                <w:szCs w:val="18"/>
              </w:rPr>
            </w:pPr>
            <w:r>
              <w:rPr>
                <w:rFonts w:ascii="Arial" w:hAnsi="Arial" w:cs="Arial"/>
                <w:color w:val="000000"/>
                <w:sz w:val="18"/>
                <w:szCs w:val="18"/>
              </w:rPr>
              <w:t xml:space="preserve">$7.25 </w:t>
            </w:r>
          </w:p>
        </w:tc>
        <w:tc>
          <w:tcPr>
            <w:tcW w:w="1112" w:type="dxa"/>
            <w:tcBorders>
              <w:top w:val="nil"/>
              <w:left w:val="nil"/>
              <w:bottom w:val="single" w:color="000000" w:sz="8" w:space="0"/>
              <w:right w:val="single" w:color="auto" w:sz="4" w:space="0"/>
            </w:tcBorders>
            <w:shd w:val="clear" w:color="auto" w:fill="auto"/>
            <w:vAlign w:val="center"/>
            <w:hideMark/>
          </w:tcPr>
          <w:p w:rsidR="009A36C6" w:rsidP="009A36C6" w:rsidRDefault="009A36C6" w14:paraId="6105141A" w14:textId="77777777">
            <w:pPr>
              <w:jc w:val="right"/>
              <w:rPr>
                <w:rFonts w:ascii="Arial" w:hAnsi="Arial" w:cs="Arial"/>
                <w:color w:val="000000"/>
                <w:sz w:val="18"/>
                <w:szCs w:val="18"/>
              </w:rPr>
            </w:pPr>
            <w:r>
              <w:rPr>
                <w:rFonts w:ascii="Arial" w:hAnsi="Arial" w:cs="Arial"/>
                <w:color w:val="000000"/>
                <w:sz w:val="18"/>
                <w:szCs w:val="18"/>
              </w:rPr>
              <w:t xml:space="preserve">$116 </w:t>
            </w:r>
          </w:p>
        </w:tc>
      </w:tr>
      <w:tr w:rsidR="009A36C6" w:rsidTr="009A36C6" w14:paraId="200F252B" w14:textId="77777777">
        <w:trPr>
          <w:trHeight w:val="448"/>
        </w:trPr>
        <w:tc>
          <w:tcPr>
            <w:tcW w:w="1436" w:type="dxa"/>
            <w:tcBorders>
              <w:top w:val="nil"/>
              <w:left w:val="single" w:color="auto" w:sz="4" w:space="0"/>
              <w:bottom w:val="single" w:color="000000" w:sz="8" w:space="0"/>
              <w:right w:val="single" w:color="000000" w:sz="8" w:space="0"/>
            </w:tcBorders>
            <w:shd w:val="clear" w:color="auto" w:fill="auto"/>
            <w:vAlign w:val="center"/>
            <w:hideMark/>
          </w:tcPr>
          <w:p w:rsidR="009A36C6" w:rsidP="009A36C6" w:rsidRDefault="009A36C6" w14:paraId="478C7F11" w14:textId="77777777">
            <w:pPr>
              <w:rPr>
                <w:rFonts w:ascii="Arial" w:hAnsi="Arial" w:cs="Arial"/>
                <w:color w:val="000000"/>
                <w:sz w:val="18"/>
                <w:szCs w:val="18"/>
              </w:rPr>
            </w:pPr>
            <w:r>
              <w:rPr>
                <w:rFonts w:ascii="Arial" w:hAnsi="Arial" w:cs="Arial"/>
                <w:color w:val="000000"/>
                <w:sz w:val="18"/>
                <w:szCs w:val="18"/>
              </w:rPr>
              <w:t>Add-on to nFORM to conduct random assignment (Instrument 7)</w:t>
            </w:r>
          </w:p>
        </w:tc>
        <w:tc>
          <w:tcPr>
            <w:tcW w:w="1297" w:type="dxa"/>
            <w:tcBorders>
              <w:top w:val="nil"/>
              <w:left w:val="nil"/>
              <w:bottom w:val="single" w:color="000000" w:sz="8" w:space="0"/>
              <w:right w:val="single" w:color="000000" w:sz="8" w:space="0"/>
            </w:tcBorders>
            <w:shd w:val="clear" w:color="auto" w:fill="auto"/>
            <w:vAlign w:val="center"/>
            <w:hideMark/>
          </w:tcPr>
          <w:p w:rsidR="009A36C6" w:rsidP="009A36C6" w:rsidRDefault="009A36C6" w14:paraId="73F3941A" w14:textId="77777777">
            <w:pPr>
              <w:jc w:val="right"/>
              <w:rPr>
                <w:rFonts w:ascii="Arial" w:hAnsi="Arial" w:cs="Arial"/>
                <w:color w:val="000000"/>
                <w:sz w:val="18"/>
                <w:szCs w:val="18"/>
              </w:rPr>
            </w:pPr>
            <w:r>
              <w:rPr>
                <w:rFonts w:ascii="Arial" w:hAnsi="Arial" w:cs="Arial"/>
                <w:color w:val="000000"/>
                <w:sz w:val="18"/>
                <w:szCs w:val="18"/>
              </w:rPr>
              <w:t>8</w:t>
            </w:r>
          </w:p>
        </w:tc>
        <w:tc>
          <w:tcPr>
            <w:tcW w:w="1297" w:type="dxa"/>
            <w:tcBorders>
              <w:top w:val="nil"/>
              <w:left w:val="nil"/>
              <w:bottom w:val="single" w:color="000000" w:sz="8" w:space="0"/>
              <w:right w:val="single" w:color="000000" w:sz="8" w:space="0"/>
            </w:tcBorders>
            <w:shd w:val="clear" w:color="auto" w:fill="auto"/>
            <w:vAlign w:val="center"/>
            <w:hideMark/>
          </w:tcPr>
          <w:p w:rsidR="009A36C6" w:rsidP="009A36C6" w:rsidRDefault="009A36C6" w14:paraId="62859CFC" w14:textId="77777777">
            <w:pPr>
              <w:jc w:val="right"/>
              <w:rPr>
                <w:rFonts w:ascii="Arial" w:hAnsi="Arial" w:cs="Arial"/>
                <w:color w:val="000000"/>
                <w:sz w:val="18"/>
                <w:szCs w:val="18"/>
              </w:rPr>
            </w:pPr>
            <w:r>
              <w:rPr>
                <w:rFonts w:ascii="Arial" w:hAnsi="Arial" w:cs="Arial"/>
                <w:color w:val="000000"/>
                <w:sz w:val="18"/>
                <w:szCs w:val="18"/>
              </w:rPr>
              <w:t>8</w:t>
            </w:r>
          </w:p>
        </w:tc>
        <w:tc>
          <w:tcPr>
            <w:tcW w:w="1197" w:type="dxa"/>
            <w:tcBorders>
              <w:top w:val="nil"/>
              <w:left w:val="nil"/>
              <w:bottom w:val="single" w:color="000000" w:sz="8" w:space="0"/>
              <w:right w:val="single" w:color="000000" w:sz="8" w:space="0"/>
            </w:tcBorders>
            <w:shd w:val="clear" w:color="auto" w:fill="auto"/>
            <w:vAlign w:val="center"/>
            <w:hideMark/>
          </w:tcPr>
          <w:p w:rsidR="009A36C6" w:rsidP="009A36C6" w:rsidRDefault="009A36C6" w14:paraId="3AE44CFC" w14:textId="77777777">
            <w:pPr>
              <w:jc w:val="right"/>
              <w:rPr>
                <w:rFonts w:ascii="Arial" w:hAnsi="Arial" w:cs="Arial"/>
                <w:color w:val="000000"/>
                <w:sz w:val="18"/>
                <w:szCs w:val="18"/>
              </w:rPr>
            </w:pPr>
            <w:r>
              <w:rPr>
                <w:rFonts w:ascii="Arial" w:hAnsi="Arial" w:cs="Arial"/>
                <w:color w:val="000000"/>
                <w:sz w:val="18"/>
                <w:szCs w:val="18"/>
              </w:rPr>
              <w:t>25</w:t>
            </w:r>
          </w:p>
        </w:tc>
        <w:tc>
          <w:tcPr>
            <w:tcW w:w="1017" w:type="dxa"/>
            <w:tcBorders>
              <w:top w:val="nil"/>
              <w:left w:val="nil"/>
              <w:bottom w:val="single" w:color="000000" w:sz="8" w:space="0"/>
              <w:right w:val="single" w:color="000000" w:sz="8" w:space="0"/>
            </w:tcBorders>
            <w:shd w:val="clear" w:color="auto" w:fill="auto"/>
            <w:vAlign w:val="center"/>
            <w:hideMark/>
          </w:tcPr>
          <w:p w:rsidR="009A36C6" w:rsidP="009A36C6" w:rsidRDefault="009A36C6" w14:paraId="636A266D" w14:textId="77777777">
            <w:pPr>
              <w:jc w:val="right"/>
              <w:rPr>
                <w:rFonts w:ascii="Arial" w:hAnsi="Arial" w:cs="Arial"/>
                <w:color w:val="000000"/>
                <w:sz w:val="18"/>
                <w:szCs w:val="18"/>
              </w:rPr>
            </w:pPr>
            <w:r>
              <w:rPr>
                <w:rFonts w:ascii="Arial" w:hAnsi="Arial" w:cs="Arial"/>
                <w:color w:val="000000"/>
                <w:sz w:val="18"/>
                <w:szCs w:val="18"/>
              </w:rPr>
              <w:t>0.08</w:t>
            </w:r>
          </w:p>
        </w:tc>
        <w:tc>
          <w:tcPr>
            <w:tcW w:w="1077" w:type="dxa"/>
            <w:tcBorders>
              <w:top w:val="nil"/>
              <w:left w:val="nil"/>
              <w:bottom w:val="single" w:color="000000" w:sz="8" w:space="0"/>
              <w:right w:val="single" w:color="000000" w:sz="8" w:space="0"/>
            </w:tcBorders>
            <w:shd w:val="clear" w:color="auto" w:fill="auto"/>
            <w:vAlign w:val="center"/>
            <w:hideMark/>
          </w:tcPr>
          <w:p w:rsidR="009A36C6" w:rsidP="009A36C6" w:rsidRDefault="009A36C6" w14:paraId="7A511D5A" w14:textId="77777777">
            <w:pPr>
              <w:jc w:val="right"/>
              <w:rPr>
                <w:rFonts w:ascii="Arial" w:hAnsi="Arial" w:cs="Arial"/>
                <w:color w:val="000000"/>
                <w:sz w:val="18"/>
                <w:szCs w:val="18"/>
              </w:rPr>
            </w:pPr>
            <w:r>
              <w:rPr>
                <w:rFonts w:ascii="Arial" w:hAnsi="Arial" w:cs="Arial"/>
                <w:color w:val="000000"/>
                <w:sz w:val="18"/>
                <w:szCs w:val="18"/>
              </w:rPr>
              <w:t>16</w:t>
            </w:r>
          </w:p>
        </w:tc>
        <w:tc>
          <w:tcPr>
            <w:tcW w:w="927" w:type="dxa"/>
            <w:tcBorders>
              <w:top w:val="nil"/>
              <w:left w:val="nil"/>
              <w:bottom w:val="single" w:color="000000" w:sz="8" w:space="0"/>
              <w:right w:val="single" w:color="000000" w:sz="8" w:space="0"/>
            </w:tcBorders>
            <w:shd w:val="clear" w:color="auto" w:fill="auto"/>
            <w:vAlign w:val="center"/>
            <w:hideMark/>
          </w:tcPr>
          <w:p w:rsidR="009A36C6" w:rsidP="009A36C6" w:rsidRDefault="009A36C6" w14:paraId="14E00C45" w14:textId="77777777">
            <w:pPr>
              <w:jc w:val="right"/>
              <w:rPr>
                <w:rFonts w:ascii="Arial" w:hAnsi="Arial" w:cs="Arial"/>
                <w:color w:val="000000"/>
                <w:sz w:val="18"/>
                <w:szCs w:val="18"/>
              </w:rPr>
            </w:pPr>
            <w:r>
              <w:rPr>
                <w:rFonts w:ascii="Arial" w:hAnsi="Arial" w:cs="Arial"/>
                <w:color w:val="000000"/>
                <w:sz w:val="18"/>
                <w:szCs w:val="18"/>
              </w:rPr>
              <w:t xml:space="preserve">$27.86 </w:t>
            </w:r>
          </w:p>
        </w:tc>
        <w:tc>
          <w:tcPr>
            <w:tcW w:w="1112" w:type="dxa"/>
            <w:tcBorders>
              <w:top w:val="nil"/>
              <w:left w:val="nil"/>
              <w:bottom w:val="single" w:color="000000" w:sz="8" w:space="0"/>
              <w:right w:val="single" w:color="auto" w:sz="4" w:space="0"/>
            </w:tcBorders>
            <w:shd w:val="clear" w:color="auto" w:fill="auto"/>
            <w:vAlign w:val="center"/>
            <w:hideMark/>
          </w:tcPr>
          <w:p w:rsidR="009A36C6" w:rsidP="009A36C6" w:rsidRDefault="009A36C6" w14:paraId="72436F3B" w14:textId="77777777">
            <w:pPr>
              <w:jc w:val="right"/>
              <w:rPr>
                <w:rFonts w:ascii="Arial" w:hAnsi="Arial" w:cs="Arial"/>
                <w:color w:val="000000"/>
                <w:sz w:val="18"/>
                <w:szCs w:val="18"/>
              </w:rPr>
            </w:pPr>
            <w:r>
              <w:rPr>
                <w:rFonts w:ascii="Arial" w:hAnsi="Arial" w:cs="Arial"/>
                <w:color w:val="000000"/>
                <w:sz w:val="18"/>
                <w:szCs w:val="18"/>
              </w:rPr>
              <w:t xml:space="preserve">$446 </w:t>
            </w:r>
          </w:p>
        </w:tc>
      </w:tr>
      <w:tr w:rsidR="009A36C6" w:rsidTr="009A36C6" w14:paraId="526AB639" w14:textId="77777777">
        <w:trPr>
          <w:trHeight w:val="547"/>
        </w:trPr>
        <w:tc>
          <w:tcPr>
            <w:tcW w:w="1436" w:type="dxa"/>
            <w:tcBorders>
              <w:top w:val="nil"/>
              <w:left w:val="single" w:color="auto" w:sz="4" w:space="0"/>
              <w:bottom w:val="single" w:color="000000" w:sz="8" w:space="0"/>
              <w:right w:val="single" w:color="000000" w:sz="8" w:space="0"/>
            </w:tcBorders>
            <w:shd w:val="clear" w:color="auto" w:fill="auto"/>
            <w:vAlign w:val="center"/>
            <w:hideMark/>
          </w:tcPr>
          <w:p w:rsidR="009A36C6" w:rsidP="009A36C6" w:rsidRDefault="009A36C6" w14:paraId="0011AA7B" w14:textId="77777777">
            <w:pPr>
              <w:rPr>
                <w:rFonts w:ascii="Arial" w:hAnsi="Arial" w:cs="Arial"/>
                <w:color w:val="000000"/>
                <w:sz w:val="18"/>
                <w:szCs w:val="18"/>
              </w:rPr>
            </w:pPr>
            <w:r>
              <w:rPr>
                <w:rFonts w:ascii="Arial" w:hAnsi="Arial" w:cs="Arial"/>
                <w:color w:val="000000"/>
                <w:sz w:val="18"/>
                <w:szCs w:val="18"/>
              </w:rPr>
              <w:t xml:space="preserve"> Follow-up survey for youth (Instrument 9)</w:t>
            </w:r>
          </w:p>
        </w:tc>
        <w:tc>
          <w:tcPr>
            <w:tcW w:w="1297" w:type="dxa"/>
            <w:tcBorders>
              <w:top w:val="nil"/>
              <w:left w:val="nil"/>
              <w:bottom w:val="single" w:color="000000" w:sz="8" w:space="0"/>
              <w:right w:val="single" w:color="000000" w:sz="8" w:space="0"/>
            </w:tcBorders>
            <w:shd w:val="clear" w:color="auto" w:fill="auto"/>
            <w:vAlign w:val="center"/>
            <w:hideMark/>
          </w:tcPr>
          <w:p w:rsidR="009A36C6" w:rsidP="009A36C6" w:rsidRDefault="009A36C6" w14:paraId="40C5EB94" w14:textId="77777777">
            <w:pPr>
              <w:jc w:val="right"/>
              <w:rPr>
                <w:rFonts w:ascii="Arial" w:hAnsi="Arial" w:cs="Arial"/>
                <w:color w:val="000000"/>
                <w:sz w:val="18"/>
                <w:szCs w:val="18"/>
              </w:rPr>
            </w:pPr>
            <w:r>
              <w:rPr>
                <w:rFonts w:ascii="Arial" w:hAnsi="Arial" w:cs="Arial"/>
                <w:color w:val="000000"/>
                <w:sz w:val="18"/>
                <w:szCs w:val="18"/>
              </w:rPr>
              <w:t>690</w:t>
            </w:r>
          </w:p>
        </w:tc>
        <w:tc>
          <w:tcPr>
            <w:tcW w:w="1297" w:type="dxa"/>
            <w:tcBorders>
              <w:top w:val="nil"/>
              <w:left w:val="nil"/>
              <w:bottom w:val="single" w:color="000000" w:sz="8" w:space="0"/>
              <w:right w:val="single" w:color="000000" w:sz="8" w:space="0"/>
            </w:tcBorders>
            <w:shd w:val="clear" w:color="auto" w:fill="auto"/>
            <w:vAlign w:val="center"/>
            <w:hideMark/>
          </w:tcPr>
          <w:p w:rsidR="009A36C6" w:rsidP="009A36C6" w:rsidRDefault="009A36C6" w14:paraId="03EB5DC5" w14:textId="77777777">
            <w:pPr>
              <w:jc w:val="right"/>
              <w:rPr>
                <w:rFonts w:ascii="Arial" w:hAnsi="Arial" w:cs="Arial"/>
                <w:color w:val="000000"/>
                <w:sz w:val="18"/>
                <w:szCs w:val="18"/>
              </w:rPr>
            </w:pPr>
            <w:r>
              <w:rPr>
                <w:rFonts w:ascii="Arial" w:hAnsi="Arial" w:cs="Arial"/>
                <w:color w:val="000000"/>
                <w:sz w:val="18"/>
                <w:szCs w:val="18"/>
              </w:rPr>
              <w:t>230</w:t>
            </w:r>
          </w:p>
        </w:tc>
        <w:tc>
          <w:tcPr>
            <w:tcW w:w="1197" w:type="dxa"/>
            <w:tcBorders>
              <w:top w:val="nil"/>
              <w:left w:val="nil"/>
              <w:bottom w:val="single" w:color="000000" w:sz="8" w:space="0"/>
              <w:right w:val="single" w:color="000000" w:sz="8" w:space="0"/>
            </w:tcBorders>
            <w:shd w:val="clear" w:color="auto" w:fill="auto"/>
            <w:vAlign w:val="center"/>
            <w:hideMark/>
          </w:tcPr>
          <w:p w:rsidR="009A36C6" w:rsidP="009A36C6" w:rsidRDefault="009A36C6" w14:paraId="7778F6E0" w14:textId="77777777">
            <w:pPr>
              <w:jc w:val="right"/>
              <w:rPr>
                <w:rFonts w:ascii="Arial" w:hAnsi="Arial" w:cs="Arial"/>
                <w:color w:val="000000"/>
                <w:sz w:val="18"/>
                <w:szCs w:val="18"/>
              </w:rPr>
            </w:pPr>
            <w:r>
              <w:rPr>
                <w:rFonts w:ascii="Arial" w:hAnsi="Arial" w:cs="Arial"/>
                <w:color w:val="000000"/>
                <w:sz w:val="18"/>
                <w:szCs w:val="18"/>
              </w:rPr>
              <w:t>1</w:t>
            </w:r>
          </w:p>
        </w:tc>
        <w:tc>
          <w:tcPr>
            <w:tcW w:w="1017" w:type="dxa"/>
            <w:tcBorders>
              <w:top w:val="nil"/>
              <w:left w:val="nil"/>
              <w:bottom w:val="single" w:color="000000" w:sz="8" w:space="0"/>
              <w:right w:val="single" w:color="000000" w:sz="8" w:space="0"/>
            </w:tcBorders>
            <w:shd w:val="clear" w:color="auto" w:fill="auto"/>
            <w:vAlign w:val="center"/>
            <w:hideMark/>
          </w:tcPr>
          <w:p w:rsidR="009A36C6" w:rsidP="009A36C6" w:rsidRDefault="009A36C6" w14:paraId="76A3E4EF" w14:textId="77777777">
            <w:pPr>
              <w:jc w:val="right"/>
              <w:rPr>
                <w:rFonts w:ascii="Arial" w:hAnsi="Arial" w:cs="Arial"/>
                <w:color w:val="000000"/>
                <w:sz w:val="18"/>
                <w:szCs w:val="18"/>
              </w:rPr>
            </w:pPr>
            <w:r>
              <w:rPr>
                <w:rFonts w:ascii="Arial" w:hAnsi="Arial" w:cs="Arial"/>
                <w:color w:val="000000"/>
                <w:sz w:val="18"/>
                <w:szCs w:val="18"/>
              </w:rPr>
              <w:t>0.5</w:t>
            </w:r>
          </w:p>
        </w:tc>
        <w:tc>
          <w:tcPr>
            <w:tcW w:w="1077" w:type="dxa"/>
            <w:tcBorders>
              <w:top w:val="nil"/>
              <w:left w:val="nil"/>
              <w:bottom w:val="single" w:color="000000" w:sz="8" w:space="0"/>
              <w:right w:val="single" w:color="000000" w:sz="8" w:space="0"/>
            </w:tcBorders>
            <w:shd w:val="clear" w:color="auto" w:fill="auto"/>
            <w:vAlign w:val="center"/>
            <w:hideMark/>
          </w:tcPr>
          <w:p w:rsidR="009A36C6" w:rsidP="009A36C6" w:rsidRDefault="009A36C6" w14:paraId="0892A4E1" w14:textId="77777777">
            <w:pPr>
              <w:jc w:val="right"/>
              <w:rPr>
                <w:rFonts w:ascii="Arial" w:hAnsi="Arial" w:cs="Arial"/>
                <w:color w:val="000000"/>
                <w:sz w:val="18"/>
                <w:szCs w:val="18"/>
              </w:rPr>
            </w:pPr>
            <w:r>
              <w:rPr>
                <w:rFonts w:ascii="Arial" w:hAnsi="Arial" w:cs="Arial"/>
                <w:color w:val="000000"/>
                <w:sz w:val="18"/>
                <w:szCs w:val="18"/>
              </w:rPr>
              <w:t>115</w:t>
            </w:r>
          </w:p>
        </w:tc>
        <w:tc>
          <w:tcPr>
            <w:tcW w:w="927" w:type="dxa"/>
            <w:tcBorders>
              <w:top w:val="nil"/>
              <w:left w:val="nil"/>
              <w:bottom w:val="single" w:color="000000" w:sz="8" w:space="0"/>
              <w:right w:val="single" w:color="000000" w:sz="8" w:space="0"/>
            </w:tcBorders>
            <w:shd w:val="clear" w:color="auto" w:fill="auto"/>
            <w:vAlign w:val="center"/>
            <w:hideMark/>
          </w:tcPr>
          <w:p w:rsidR="009A36C6" w:rsidP="009A36C6" w:rsidRDefault="009A36C6" w14:paraId="7CCC0F8C" w14:textId="77777777">
            <w:pPr>
              <w:jc w:val="right"/>
              <w:rPr>
                <w:rFonts w:ascii="Arial" w:hAnsi="Arial" w:cs="Arial"/>
                <w:color w:val="000000"/>
                <w:sz w:val="18"/>
                <w:szCs w:val="18"/>
              </w:rPr>
            </w:pPr>
            <w:r>
              <w:rPr>
                <w:rFonts w:ascii="Arial" w:hAnsi="Arial" w:cs="Arial"/>
                <w:color w:val="000000"/>
                <w:sz w:val="18"/>
                <w:szCs w:val="18"/>
              </w:rPr>
              <w:t xml:space="preserve">$7.25 </w:t>
            </w:r>
          </w:p>
        </w:tc>
        <w:tc>
          <w:tcPr>
            <w:tcW w:w="1112" w:type="dxa"/>
            <w:tcBorders>
              <w:top w:val="nil"/>
              <w:left w:val="nil"/>
              <w:bottom w:val="single" w:color="000000" w:sz="8" w:space="0"/>
              <w:right w:val="single" w:color="auto" w:sz="4" w:space="0"/>
            </w:tcBorders>
            <w:shd w:val="clear" w:color="auto" w:fill="auto"/>
            <w:vAlign w:val="center"/>
            <w:hideMark/>
          </w:tcPr>
          <w:p w:rsidR="009A36C6" w:rsidP="009A36C6" w:rsidRDefault="009A36C6" w14:paraId="3B7D5676" w14:textId="77777777">
            <w:pPr>
              <w:jc w:val="right"/>
              <w:rPr>
                <w:rFonts w:ascii="Arial" w:hAnsi="Arial" w:cs="Arial"/>
                <w:color w:val="000000"/>
                <w:sz w:val="18"/>
                <w:szCs w:val="18"/>
              </w:rPr>
            </w:pPr>
            <w:r>
              <w:rPr>
                <w:rFonts w:ascii="Arial" w:hAnsi="Arial" w:cs="Arial"/>
                <w:color w:val="000000"/>
                <w:sz w:val="18"/>
                <w:szCs w:val="18"/>
              </w:rPr>
              <w:t xml:space="preserve">$834 </w:t>
            </w:r>
          </w:p>
        </w:tc>
      </w:tr>
      <w:tr w:rsidR="009A36C6" w:rsidTr="009A36C6" w14:paraId="5FE01A76" w14:textId="77777777">
        <w:trPr>
          <w:trHeight w:val="772"/>
        </w:trPr>
        <w:tc>
          <w:tcPr>
            <w:tcW w:w="1436" w:type="dxa"/>
            <w:tcBorders>
              <w:top w:val="nil"/>
              <w:left w:val="single" w:color="auto" w:sz="4" w:space="0"/>
              <w:bottom w:val="single" w:color="000000" w:sz="8" w:space="0"/>
              <w:right w:val="single" w:color="000000" w:sz="8" w:space="0"/>
            </w:tcBorders>
            <w:shd w:val="clear" w:color="auto" w:fill="auto"/>
            <w:vAlign w:val="center"/>
            <w:hideMark/>
          </w:tcPr>
          <w:p w:rsidR="009A36C6" w:rsidP="009A36C6" w:rsidRDefault="009A36C6" w14:paraId="62DD7BE0" w14:textId="77777777">
            <w:pPr>
              <w:rPr>
                <w:rFonts w:ascii="Arial" w:hAnsi="Arial" w:cs="Arial"/>
                <w:color w:val="000000"/>
                <w:sz w:val="18"/>
                <w:szCs w:val="18"/>
              </w:rPr>
            </w:pPr>
            <w:r>
              <w:rPr>
                <w:rFonts w:ascii="Arial" w:hAnsi="Arial" w:cs="Arial"/>
                <w:color w:val="000000"/>
                <w:sz w:val="18"/>
                <w:szCs w:val="18"/>
              </w:rPr>
              <w:t>Baseline survey for adults (Instrument 10)</w:t>
            </w:r>
          </w:p>
        </w:tc>
        <w:tc>
          <w:tcPr>
            <w:tcW w:w="1297" w:type="dxa"/>
            <w:tcBorders>
              <w:top w:val="nil"/>
              <w:left w:val="nil"/>
              <w:bottom w:val="single" w:color="000000" w:sz="8" w:space="0"/>
              <w:right w:val="single" w:color="000000" w:sz="8" w:space="0"/>
            </w:tcBorders>
            <w:shd w:val="clear" w:color="auto" w:fill="auto"/>
            <w:vAlign w:val="center"/>
            <w:hideMark/>
          </w:tcPr>
          <w:p w:rsidR="009A36C6" w:rsidP="009A36C6" w:rsidRDefault="009A36C6" w14:paraId="65E6320A" w14:textId="77777777">
            <w:pPr>
              <w:jc w:val="right"/>
              <w:rPr>
                <w:rFonts w:ascii="Arial" w:hAnsi="Arial" w:cs="Arial"/>
                <w:color w:val="000000"/>
                <w:sz w:val="18"/>
                <w:szCs w:val="18"/>
              </w:rPr>
            </w:pPr>
            <w:r>
              <w:rPr>
                <w:rFonts w:ascii="Arial" w:hAnsi="Arial" w:cs="Arial"/>
                <w:color w:val="000000"/>
                <w:sz w:val="18"/>
                <w:szCs w:val="18"/>
              </w:rPr>
              <w:t>600</w:t>
            </w:r>
          </w:p>
        </w:tc>
        <w:tc>
          <w:tcPr>
            <w:tcW w:w="1297" w:type="dxa"/>
            <w:tcBorders>
              <w:top w:val="nil"/>
              <w:left w:val="nil"/>
              <w:bottom w:val="single" w:color="000000" w:sz="8" w:space="0"/>
              <w:right w:val="single" w:color="000000" w:sz="8" w:space="0"/>
            </w:tcBorders>
            <w:shd w:val="clear" w:color="auto" w:fill="auto"/>
            <w:vAlign w:val="center"/>
            <w:hideMark/>
          </w:tcPr>
          <w:p w:rsidR="009A36C6" w:rsidP="009A36C6" w:rsidRDefault="009A36C6" w14:paraId="4B1A9887" w14:textId="77777777">
            <w:pPr>
              <w:jc w:val="right"/>
              <w:rPr>
                <w:rFonts w:ascii="Arial" w:hAnsi="Arial" w:cs="Arial"/>
                <w:color w:val="000000"/>
                <w:sz w:val="18"/>
                <w:szCs w:val="18"/>
              </w:rPr>
            </w:pPr>
            <w:r>
              <w:rPr>
                <w:rFonts w:ascii="Arial" w:hAnsi="Arial" w:cs="Arial"/>
                <w:color w:val="000000"/>
                <w:sz w:val="18"/>
                <w:szCs w:val="18"/>
              </w:rPr>
              <w:t>200</w:t>
            </w:r>
          </w:p>
        </w:tc>
        <w:tc>
          <w:tcPr>
            <w:tcW w:w="1197" w:type="dxa"/>
            <w:tcBorders>
              <w:top w:val="nil"/>
              <w:left w:val="nil"/>
              <w:bottom w:val="single" w:color="000000" w:sz="8" w:space="0"/>
              <w:right w:val="single" w:color="000000" w:sz="8" w:space="0"/>
            </w:tcBorders>
            <w:shd w:val="clear" w:color="auto" w:fill="auto"/>
            <w:vAlign w:val="center"/>
            <w:hideMark/>
          </w:tcPr>
          <w:p w:rsidR="009A36C6" w:rsidP="009A36C6" w:rsidRDefault="009A36C6" w14:paraId="565A464A" w14:textId="77777777">
            <w:pPr>
              <w:jc w:val="right"/>
              <w:rPr>
                <w:rFonts w:ascii="Arial" w:hAnsi="Arial" w:cs="Arial"/>
                <w:color w:val="000000"/>
                <w:sz w:val="18"/>
                <w:szCs w:val="18"/>
              </w:rPr>
            </w:pPr>
            <w:r>
              <w:rPr>
                <w:rFonts w:ascii="Arial" w:hAnsi="Arial" w:cs="Arial"/>
                <w:color w:val="000000"/>
                <w:sz w:val="18"/>
                <w:szCs w:val="18"/>
              </w:rPr>
              <w:t>1</w:t>
            </w:r>
          </w:p>
        </w:tc>
        <w:tc>
          <w:tcPr>
            <w:tcW w:w="1017" w:type="dxa"/>
            <w:tcBorders>
              <w:top w:val="nil"/>
              <w:left w:val="nil"/>
              <w:bottom w:val="single" w:color="000000" w:sz="8" w:space="0"/>
              <w:right w:val="single" w:color="000000" w:sz="8" w:space="0"/>
            </w:tcBorders>
            <w:shd w:val="clear" w:color="auto" w:fill="auto"/>
            <w:vAlign w:val="center"/>
            <w:hideMark/>
          </w:tcPr>
          <w:p w:rsidR="009A36C6" w:rsidP="009A36C6" w:rsidRDefault="009A36C6" w14:paraId="60475727" w14:textId="77777777">
            <w:pPr>
              <w:jc w:val="right"/>
              <w:rPr>
                <w:rFonts w:ascii="Arial" w:hAnsi="Arial" w:cs="Arial"/>
                <w:color w:val="000000"/>
                <w:sz w:val="18"/>
                <w:szCs w:val="18"/>
              </w:rPr>
            </w:pPr>
            <w:r>
              <w:rPr>
                <w:rFonts w:ascii="Arial" w:hAnsi="Arial" w:cs="Arial"/>
                <w:color w:val="000000"/>
                <w:sz w:val="18"/>
                <w:szCs w:val="18"/>
              </w:rPr>
              <w:t>0.5</w:t>
            </w:r>
          </w:p>
        </w:tc>
        <w:tc>
          <w:tcPr>
            <w:tcW w:w="1077" w:type="dxa"/>
            <w:tcBorders>
              <w:top w:val="nil"/>
              <w:left w:val="nil"/>
              <w:bottom w:val="single" w:color="000000" w:sz="8" w:space="0"/>
              <w:right w:val="single" w:color="000000" w:sz="8" w:space="0"/>
            </w:tcBorders>
            <w:shd w:val="clear" w:color="auto" w:fill="auto"/>
            <w:vAlign w:val="center"/>
            <w:hideMark/>
          </w:tcPr>
          <w:p w:rsidR="009A36C6" w:rsidP="009A36C6" w:rsidRDefault="009A36C6" w14:paraId="2BE75DF1" w14:textId="77777777">
            <w:pPr>
              <w:jc w:val="right"/>
              <w:rPr>
                <w:rFonts w:ascii="Arial" w:hAnsi="Arial" w:cs="Arial"/>
                <w:color w:val="000000"/>
                <w:sz w:val="18"/>
                <w:szCs w:val="18"/>
              </w:rPr>
            </w:pPr>
            <w:r>
              <w:rPr>
                <w:rFonts w:ascii="Arial" w:hAnsi="Arial" w:cs="Arial"/>
                <w:color w:val="000000"/>
                <w:sz w:val="18"/>
                <w:szCs w:val="18"/>
              </w:rPr>
              <w:t>100</w:t>
            </w:r>
          </w:p>
        </w:tc>
        <w:tc>
          <w:tcPr>
            <w:tcW w:w="927" w:type="dxa"/>
            <w:tcBorders>
              <w:top w:val="nil"/>
              <w:left w:val="nil"/>
              <w:bottom w:val="single" w:color="000000" w:sz="8" w:space="0"/>
              <w:right w:val="single" w:color="000000" w:sz="8" w:space="0"/>
            </w:tcBorders>
            <w:shd w:val="clear" w:color="auto" w:fill="auto"/>
            <w:vAlign w:val="center"/>
            <w:hideMark/>
          </w:tcPr>
          <w:p w:rsidR="009A36C6" w:rsidP="009A36C6" w:rsidRDefault="009A36C6" w14:paraId="660BBA2B" w14:textId="77777777">
            <w:pPr>
              <w:jc w:val="right"/>
              <w:rPr>
                <w:rFonts w:ascii="Arial" w:hAnsi="Arial" w:cs="Arial"/>
                <w:color w:val="000000"/>
                <w:sz w:val="18"/>
                <w:szCs w:val="18"/>
              </w:rPr>
            </w:pPr>
            <w:r>
              <w:rPr>
                <w:rFonts w:ascii="Arial" w:hAnsi="Arial" w:cs="Arial"/>
                <w:color w:val="000000"/>
                <w:sz w:val="18"/>
                <w:szCs w:val="18"/>
              </w:rPr>
              <w:t xml:space="preserve">$7.25 </w:t>
            </w:r>
          </w:p>
        </w:tc>
        <w:tc>
          <w:tcPr>
            <w:tcW w:w="1112" w:type="dxa"/>
            <w:tcBorders>
              <w:top w:val="nil"/>
              <w:left w:val="nil"/>
              <w:bottom w:val="single" w:color="000000" w:sz="8" w:space="0"/>
              <w:right w:val="single" w:color="auto" w:sz="4" w:space="0"/>
            </w:tcBorders>
            <w:shd w:val="clear" w:color="auto" w:fill="auto"/>
            <w:vAlign w:val="center"/>
            <w:hideMark/>
          </w:tcPr>
          <w:p w:rsidR="009A36C6" w:rsidP="009A36C6" w:rsidRDefault="009A36C6" w14:paraId="6AF1F8BB" w14:textId="77777777">
            <w:pPr>
              <w:jc w:val="right"/>
              <w:rPr>
                <w:rFonts w:ascii="Arial" w:hAnsi="Arial" w:cs="Arial"/>
                <w:color w:val="000000"/>
                <w:sz w:val="18"/>
                <w:szCs w:val="18"/>
              </w:rPr>
            </w:pPr>
            <w:r>
              <w:rPr>
                <w:rFonts w:ascii="Arial" w:hAnsi="Arial" w:cs="Arial"/>
                <w:color w:val="000000"/>
                <w:sz w:val="18"/>
                <w:szCs w:val="18"/>
              </w:rPr>
              <w:t xml:space="preserve">$725 </w:t>
            </w:r>
          </w:p>
        </w:tc>
      </w:tr>
      <w:tr w:rsidR="009A36C6" w:rsidTr="009A36C6" w14:paraId="095EAA52" w14:textId="77777777">
        <w:trPr>
          <w:trHeight w:val="619"/>
        </w:trPr>
        <w:tc>
          <w:tcPr>
            <w:tcW w:w="1436" w:type="dxa"/>
            <w:tcBorders>
              <w:top w:val="single" w:color="auto" w:sz="4" w:space="0"/>
              <w:left w:val="single" w:color="auto" w:sz="4" w:space="0"/>
              <w:bottom w:val="single" w:color="000000" w:sz="8" w:space="0"/>
              <w:right w:val="single" w:color="000000" w:sz="8" w:space="0"/>
            </w:tcBorders>
            <w:shd w:val="clear" w:color="auto" w:fill="auto"/>
            <w:vAlign w:val="center"/>
            <w:hideMark/>
          </w:tcPr>
          <w:p w:rsidR="009A36C6" w:rsidP="009A36C6" w:rsidRDefault="009A36C6" w14:paraId="33641CE0" w14:textId="77777777">
            <w:pPr>
              <w:rPr>
                <w:rFonts w:ascii="Arial" w:hAnsi="Arial" w:cs="Arial"/>
                <w:color w:val="000000"/>
                <w:sz w:val="18"/>
                <w:szCs w:val="18"/>
              </w:rPr>
            </w:pPr>
            <w:r>
              <w:rPr>
                <w:rFonts w:ascii="Arial" w:hAnsi="Arial" w:cs="Arial"/>
                <w:color w:val="000000"/>
                <w:sz w:val="18"/>
                <w:szCs w:val="18"/>
              </w:rPr>
              <w:t>Follow-up survey for adults (Instrument 11)</w:t>
            </w:r>
          </w:p>
        </w:tc>
        <w:tc>
          <w:tcPr>
            <w:tcW w:w="1297" w:type="dxa"/>
            <w:tcBorders>
              <w:top w:val="single" w:color="auto" w:sz="4" w:space="0"/>
              <w:left w:val="nil"/>
              <w:bottom w:val="single" w:color="000000" w:sz="8" w:space="0"/>
              <w:right w:val="single" w:color="000000" w:sz="8" w:space="0"/>
            </w:tcBorders>
            <w:shd w:val="clear" w:color="auto" w:fill="auto"/>
            <w:vAlign w:val="center"/>
            <w:hideMark/>
          </w:tcPr>
          <w:p w:rsidR="009A36C6" w:rsidP="009A36C6" w:rsidRDefault="009A36C6" w14:paraId="22B48875" w14:textId="77777777">
            <w:pPr>
              <w:jc w:val="right"/>
              <w:rPr>
                <w:rFonts w:ascii="Arial" w:hAnsi="Arial" w:cs="Arial"/>
                <w:color w:val="000000"/>
                <w:sz w:val="18"/>
                <w:szCs w:val="18"/>
              </w:rPr>
            </w:pPr>
            <w:r>
              <w:rPr>
                <w:rFonts w:ascii="Arial" w:hAnsi="Arial" w:cs="Arial"/>
                <w:color w:val="000000"/>
                <w:sz w:val="18"/>
                <w:szCs w:val="18"/>
              </w:rPr>
              <w:t>2,300</w:t>
            </w:r>
          </w:p>
        </w:tc>
        <w:tc>
          <w:tcPr>
            <w:tcW w:w="1297" w:type="dxa"/>
            <w:tcBorders>
              <w:top w:val="single" w:color="auto" w:sz="4" w:space="0"/>
              <w:left w:val="nil"/>
              <w:bottom w:val="single" w:color="000000" w:sz="8" w:space="0"/>
              <w:right w:val="single" w:color="000000" w:sz="8" w:space="0"/>
            </w:tcBorders>
            <w:shd w:val="clear" w:color="auto" w:fill="auto"/>
            <w:vAlign w:val="center"/>
            <w:hideMark/>
          </w:tcPr>
          <w:p w:rsidR="009A36C6" w:rsidP="009A36C6" w:rsidRDefault="009A36C6" w14:paraId="02E3A422" w14:textId="77777777">
            <w:pPr>
              <w:jc w:val="right"/>
              <w:rPr>
                <w:rFonts w:ascii="Arial" w:hAnsi="Arial" w:cs="Arial"/>
                <w:color w:val="000000"/>
                <w:sz w:val="18"/>
                <w:szCs w:val="18"/>
              </w:rPr>
            </w:pPr>
            <w:r>
              <w:rPr>
                <w:rFonts w:ascii="Arial" w:hAnsi="Arial" w:cs="Arial"/>
                <w:color w:val="000000"/>
                <w:sz w:val="18"/>
                <w:szCs w:val="18"/>
              </w:rPr>
              <w:t>767</w:t>
            </w:r>
          </w:p>
        </w:tc>
        <w:tc>
          <w:tcPr>
            <w:tcW w:w="1197" w:type="dxa"/>
            <w:tcBorders>
              <w:top w:val="single" w:color="auto" w:sz="4" w:space="0"/>
              <w:left w:val="nil"/>
              <w:bottom w:val="single" w:color="000000" w:sz="8" w:space="0"/>
              <w:right w:val="single" w:color="000000" w:sz="8" w:space="0"/>
            </w:tcBorders>
            <w:shd w:val="clear" w:color="auto" w:fill="auto"/>
            <w:vAlign w:val="center"/>
            <w:hideMark/>
          </w:tcPr>
          <w:p w:rsidR="009A36C6" w:rsidP="009A36C6" w:rsidRDefault="009A36C6" w14:paraId="721C6598" w14:textId="77777777">
            <w:pPr>
              <w:jc w:val="right"/>
              <w:rPr>
                <w:rFonts w:ascii="Arial" w:hAnsi="Arial" w:cs="Arial"/>
                <w:color w:val="000000"/>
                <w:sz w:val="18"/>
                <w:szCs w:val="18"/>
              </w:rPr>
            </w:pPr>
            <w:r>
              <w:rPr>
                <w:rFonts w:ascii="Arial" w:hAnsi="Arial" w:cs="Arial"/>
                <w:color w:val="000000"/>
                <w:sz w:val="18"/>
                <w:szCs w:val="18"/>
              </w:rPr>
              <w:t>1</w:t>
            </w:r>
          </w:p>
        </w:tc>
        <w:tc>
          <w:tcPr>
            <w:tcW w:w="1017" w:type="dxa"/>
            <w:tcBorders>
              <w:top w:val="single" w:color="auto" w:sz="4" w:space="0"/>
              <w:left w:val="nil"/>
              <w:bottom w:val="single" w:color="000000" w:sz="8" w:space="0"/>
              <w:right w:val="single" w:color="000000" w:sz="8" w:space="0"/>
            </w:tcBorders>
            <w:shd w:val="clear" w:color="auto" w:fill="auto"/>
            <w:vAlign w:val="center"/>
            <w:hideMark/>
          </w:tcPr>
          <w:p w:rsidR="009A36C6" w:rsidP="009A36C6" w:rsidRDefault="009A36C6" w14:paraId="46726FBB" w14:textId="77777777">
            <w:pPr>
              <w:jc w:val="right"/>
              <w:rPr>
                <w:rFonts w:ascii="Arial" w:hAnsi="Arial" w:cs="Arial"/>
                <w:color w:val="000000"/>
                <w:sz w:val="18"/>
                <w:szCs w:val="18"/>
              </w:rPr>
            </w:pPr>
            <w:r>
              <w:rPr>
                <w:rFonts w:ascii="Arial" w:hAnsi="Arial" w:cs="Arial"/>
                <w:color w:val="000000"/>
                <w:sz w:val="18"/>
                <w:szCs w:val="18"/>
              </w:rPr>
              <w:t>0.75</w:t>
            </w:r>
          </w:p>
        </w:tc>
        <w:tc>
          <w:tcPr>
            <w:tcW w:w="1077" w:type="dxa"/>
            <w:tcBorders>
              <w:top w:val="single" w:color="auto" w:sz="4" w:space="0"/>
              <w:left w:val="nil"/>
              <w:bottom w:val="single" w:color="000000" w:sz="8" w:space="0"/>
              <w:right w:val="single" w:color="000000" w:sz="8" w:space="0"/>
            </w:tcBorders>
            <w:shd w:val="clear" w:color="auto" w:fill="auto"/>
            <w:vAlign w:val="center"/>
            <w:hideMark/>
          </w:tcPr>
          <w:p w:rsidR="009A36C6" w:rsidP="009A36C6" w:rsidRDefault="009A36C6" w14:paraId="2F353EEA" w14:textId="77777777">
            <w:pPr>
              <w:jc w:val="right"/>
              <w:rPr>
                <w:rFonts w:ascii="Arial" w:hAnsi="Arial" w:cs="Arial"/>
                <w:color w:val="000000"/>
                <w:sz w:val="18"/>
                <w:szCs w:val="18"/>
              </w:rPr>
            </w:pPr>
            <w:r>
              <w:rPr>
                <w:rFonts w:ascii="Arial" w:hAnsi="Arial" w:cs="Arial"/>
                <w:color w:val="000000"/>
                <w:sz w:val="18"/>
                <w:szCs w:val="18"/>
              </w:rPr>
              <w:t>575</w:t>
            </w:r>
          </w:p>
        </w:tc>
        <w:tc>
          <w:tcPr>
            <w:tcW w:w="927" w:type="dxa"/>
            <w:tcBorders>
              <w:top w:val="single" w:color="auto" w:sz="4" w:space="0"/>
              <w:left w:val="nil"/>
              <w:bottom w:val="single" w:color="000000" w:sz="8" w:space="0"/>
              <w:right w:val="single" w:color="000000" w:sz="8" w:space="0"/>
            </w:tcBorders>
            <w:shd w:val="clear" w:color="auto" w:fill="auto"/>
            <w:vAlign w:val="center"/>
            <w:hideMark/>
          </w:tcPr>
          <w:p w:rsidR="009A36C6" w:rsidP="009A36C6" w:rsidRDefault="009A36C6" w14:paraId="28BB52A7" w14:textId="77777777">
            <w:pPr>
              <w:jc w:val="right"/>
              <w:rPr>
                <w:rFonts w:ascii="Arial" w:hAnsi="Arial" w:cs="Arial"/>
                <w:color w:val="000000"/>
                <w:sz w:val="18"/>
                <w:szCs w:val="18"/>
              </w:rPr>
            </w:pPr>
            <w:r>
              <w:rPr>
                <w:rFonts w:ascii="Arial" w:hAnsi="Arial" w:cs="Arial"/>
                <w:color w:val="000000"/>
                <w:sz w:val="18"/>
                <w:szCs w:val="18"/>
              </w:rPr>
              <w:t xml:space="preserve">$7.25 </w:t>
            </w:r>
          </w:p>
        </w:tc>
        <w:tc>
          <w:tcPr>
            <w:tcW w:w="1112" w:type="dxa"/>
            <w:tcBorders>
              <w:top w:val="single" w:color="auto" w:sz="4" w:space="0"/>
              <w:left w:val="nil"/>
              <w:bottom w:val="single" w:color="000000" w:sz="8" w:space="0"/>
              <w:right w:val="single" w:color="auto" w:sz="4" w:space="0"/>
            </w:tcBorders>
            <w:shd w:val="clear" w:color="auto" w:fill="auto"/>
            <w:vAlign w:val="center"/>
            <w:hideMark/>
          </w:tcPr>
          <w:p w:rsidR="009A36C6" w:rsidP="009A36C6" w:rsidRDefault="009A36C6" w14:paraId="355E9AA0" w14:textId="77777777">
            <w:pPr>
              <w:jc w:val="right"/>
              <w:rPr>
                <w:rFonts w:ascii="Arial" w:hAnsi="Arial" w:cs="Arial"/>
                <w:color w:val="000000"/>
                <w:sz w:val="18"/>
                <w:szCs w:val="18"/>
              </w:rPr>
            </w:pPr>
            <w:r>
              <w:rPr>
                <w:rFonts w:ascii="Arial" w:hAnsi="Arial" w:cs="Arial"/>
                <w:color w:val="000000"/>
                <w:sz w:val="18"/>
                <w:szCs w:val="18"/>
              </w:rPr>
              <w:t xml:space="preserve">$4,169 </w:t>
            </w:r>
          </w:p>
        </w:tc>
      </w:tr>
      <w:tr w:rsidR="009A36C6" w:rsidTr="00641B02" w14:paraId="3C2FB527" w14:textId="77777777">
        <w:trPr>
          <w:trHeight w:val="300"/>
        </w:trPr>
        <w:tc>
          <w:tcPr>
            <w:tcW w:w="9360" w:type="dxa"/>
            <w:gridSpan w:val="8"/>
            <w:tcBorders>
              <w:top w:val="single" w:color="000000" w:sz="8" w:space="0"/>
              <w:left w:val="single" w:color="auto" w:sz="4" w:space="0"/>
              <w:bottom w:val="single" w:color="000000" w:sz="8" w:space="0"/>
              <w:right w:val="single" w:color="auto" w:sz="4" w:space="0"/>
            </w:tcBorders>
            <w:shd w:val="clear" w:color="000000" w:fill="D9D9D9"/>
            <w:vAlign w:val="center"/>
            <w:hideMark/>
          </w:tcPr>
          <w:p w:rsidR="009A36C6" w:rsidP="00D92E42" w:rsidRDefault="00D92E42" w14:paraId="0FB8B620" w14:textId="0F2DFCFF">
            <w:pPr>
              <w:jc w:val="center"/>
              <w:rPr>
                <w:rFonts w:ascii="Arial" w:hAnsi="Arial" w:cs="Arial"/>
                <w:b/>
                <w:bCs/>
                <w:color w:val="000000"/>
                <w:sz w:val="18"/>
                <w:szCs w:val="18"/>
              </w:rPr>
            </w:pPr>
            <w:r>
              <w:rPr>
                <w:rFonts w:ascii="Arial" w:hAnsi="Arial" w:cs="Arial"/>
                <w:b/>
                <w:bCs/>
                <w:color w:val="000000"/>
                <w:sz w:val="18"/>
                <w:szCs w:val="18"/>
              </w:rPr>
              <w:t>Burden for New Information Collections</w:t>
            </w:r>
          </w:p>
        </w:tc>
      </w:tr>
      <w:tr w:rsidR="009A36C6" w:rsidTr="009A36C6" w14:paraId="2ADEDEFB" w14:textId="77777777">
        <w:trPr>
          <w:trHeight w:val="1160"/>
        </w:trPr>
        <w:tc>
          <w:tcPr>
            <w:tcW w:w="1436" w:type="dxa"/>
            <w:tcBorders>
              <w:top w:val="nil"/>
              <w:left w:val="single" w:color="auto" w:sz="4" w:space="0"/>
              <w:bottom w:val="single" w:color="000000" w:sz="8" w:space="0"/>
              <w:right w:val="single" w:color="000000" w:sz="8" w:space="0"/>
            </w:tcBorders>
            <w:shd w:val="clear" w:color="auto" w:fill="auto"/>
            <w:vAlign w:val="center"/>
            <w:hideMark/>
          </w:tcPr>
          <w:p w:rsidR="009A36C6" w:rsidP="009A36C6" w:rsidRDefault="009A36C6" w14:paraId="0D45769B" w14:textId="77777777">
            <w:pPr>
              <w:rPr>
                <w:rFonts w:ascii="Arial" w:hAnsi="Arial" w:cs="Arial"/>
                <w:color w:val="000000"/>
                <w:sz w:val="18"/>
                <w:szCs w:val="18"/>
              </w:rPr>
            </w:pPr>
            <w:r>
              <w:rPr>
                <w:rFonts w:ascii="Arial" w:hAnsi="Arial" w:cs="Arial"/>
                <w:color w:val="000000"/>
                <w:sz w:val="18"/>
                <w:szCs w:val="18"/>
              </w:rPr>
              <w:t>Second follow-up survey for youth (Instrument 12)</w:t>
            </w:r>
          </w:p>
        </w:tc>
        <w:tc>
          <w:tcPr>
            <w:tcW w:w="1297" w:type="dxa"/>
            <w:tcBorders>
              <w:top w:val="nil"/>
              <w:left w:val="nil"/>
              <w:bottom w:val="single" w:color="000000" w:sz="8" w:space="0"/>
              <w:right w:val="single" w:color="000000" w:sz="8" w:space="0"/>
            </w:tcBorders>
            <w:shd w:val="clear" w:color="auto" w:fill="auto"/>
            <w:vAlign w:val="center"/>
            <w:hideMark/>
          </w:tcPr>
          <w:p w:rsidR="009A36C6" w:rsidP="009A36C6" w:rsidRDefault="009A36C6" w14:paraId="3CE3DF31" w14:textId="77777777">
            <w:pPr>
              <w:jc w:val="right"/>
              <w:rPr>
                <w:rFonts w:ascii="Arial" w:hAnsi="Arial" w:cs="Arial"/>
                <w:color w:val="000000"/>
                <w:sz w:val="18"/>
                <w:szCs w:val="18"/>
              </w:rPr>
            </w:pPr>
            <w:r>
              <w:rPr>
                <w:rFonts w:ascii="Arial" w:hAnsi="Arial" w:cs="Arial"/>
                <w:color w:val="000000"/>
                <w:sz w:val="18"/>
                <w:szCs w:val="18"/>
              </w:rPr>
              <w:t>1,500</w:t>
            </w:r>
          </w:p>
        </w:tc>
        <w:tc>
          <w:tcPr>
            <w:tcW w:w="1297" w:type="dxa"/>
            <w:tcBorders>
              <w:top w:val="nil"/>
              <w:left w:val="nil"/>
              <w:bottom w:val="single" w:color="000000" w:sz="8" w:space="0"/>
              <w:right w:val="single" w:color="000000" w:sz="8" w:space="0"/>
            </w:tcBorders>
            <w:shd w:val="clear" w:color="auto" w:fill="auto"/>
            <w:vAlign w:val="center"/>
            <w:hideMark/>
          </w:tcPr>
          <w:p w:rsidR="009A36C6" w:rsidP="009A36C6" w:rsidRDefault="009A36C6" w14:paraId="0CF62E33" w14:textId="77777777">
            <w:pPr>
              <w:jc w:val="right"/>
              <w:rPr>
                <w:rFonts w:ascii="Arial" w:hAnsi="Arial" w:cs="Arial"/>
                <w:color w:val="000000"/>
                <w:sz w:val="18"/>
                <w:szCs w:val="18"/>
              </w:rPr>
            </w:pPr>
            <w:r>
              <w:rPr>
                <w:rFonts w:ascii="Arial" w:hAnsi="Arial" w:cs="Arial"/>
                <w:color w:val="000000"/>
                <w:sz w:val="18"/>
                <w:szCs w:val="18"/>
              </w:rPr>
              <w:t>500</w:t>
            </w:r>
          </w:p>
        </w:tc>
        <w:tc>
          <w:tcPr>
            <w:tcW w:w="1197" w:type="dxa"/>
            <w:tcBorders>
              <w:top w:val="nil"/>
              <w:left w:val="nil"/>
              <w:bottom w:val="single" w:color="000000" w:sz="8" w:space="0"/>
              <w:right w:val="single" w:color="000000" w:sz="8" w:space="0"/>
            </w:tcBorders>
            <w:shd w:val="clear" w:color="auto" w:fill="auto"/>
            <w:vAlign w:val="center"/>
            <w:hideMark/>
          </w:tcPr>
          <w:p w:rsidR="009A36C6" w:rsidP="009A36C6" w:rsidRDefault="009A36C6" w14:paraId="5B57145F" w14:textId="77777777">
            <w:pPr>
              <w:jc w:val="right"/>
              <w:rPr>
                <w:rFonts w:ascii="Arial" w:hAnsi="Arial" w:cs="Arial"/>
                <w:color w:val="000000"/>
                <w:sz w:val="18"/>
                <w:szCs w:val="18"/>
              </w:rPr>
            </w:pPr>
            <w:r>
              <w:rPr>
                <w:rFonts w:ascii="Arial" w:hAnsi="Arial" w:cs="Arial"/>
                <w:color w:val="000000"/>
                <w:sz w:val="18"/>
                <w:szCs w:val="18"/>
              </w:rPr>
              <w:t>1</w:t>
            </w:r>
          </w:p>
        </w:tc>
        <w:tc>
          <w:tcPr>
            <w:tcW w:w="1017" w:type="dxa"/>
            <w:tcBorders>
              <w:top w:val="nil"/>
              <w:left w:val="nil"/>
              <w:bottom w:val="single" w:color="000000" w:sz="8" w:space="0"/>
              <w:right w:val="single" w:color="000000" w:sz="8" w:space="0"/>
            </w:tcBorders>
            <w:shd w:val="clear" w:color="auto" w:fill="auto"/>
            <w:vAlign w:val="center"/>
            <w:hideMark/>
          </w:tcPr>
          <w:p w:rsidR="009A36C6" w:rsidP="009A36C6" w:rsidRDefault="009A36C6" w14:paraId="36B5630B" w14:textId="77777777">
            <w:pPr>
              <w:jc w:val="right"/>
              <w:rPr>
                <w:rFonts w:ascii="Arial" w:hAnsi="Arial" w:cs="Arial"/>
                <w:color w:val="000000"/>
                <w:sz w:val="18"/>
                <w:szCs w:val="18"/>
              </w:rPr>
            </w:pPr>
            <w:r>
              <w:rPr>
                <w:rFonts w:ascii="Arial" w:hAnsi="Arial" w:cs="Arial"/>
                <w:color w:val="000000"/>
                <w:sz w:val="18"/>
                <w:szCs w:val="18"/>
              </w:rPr>
              <w:t>0.5</w:t>
            </w:r>
          </w:p>
        </w:tc>
        <w:tc>
          <w:tcPr>
            <w:tcW w:w="1077" w:type="dxa"/>
            <w:tcBorders>
              <w:top w:val="nil"/>
              <w:left w:val="nil"/>
              <w:bottom w:val="single" w:color="000000" w:sz="8" w:space="0"/>
              <w:right w:val="single" w:color="000000" w:sz="8" w:space="0"/>
            </w:tcBorders>
            <w:shd w:val="clear" w:color="auto" w:fill="auto"/>
            <w:vAlign w:val="center"/>
            <w:hideMark/>
          </w:tcPr>
          <w:p w:rsidR="009A36C6" w:rsidP="009A36C6" w:rsidRDefault="009A36C6" w14:paraId="67A5715D" w14:textId="77777777">
            <w:pPr>
              <w:jc w:val="right"/>
              <w:rPr>
                <w:rFonts w:ascii="Arial" w:hAnsi="Arial" w:cs="Arial"/>
                <w:color w:val="000000"/>
                <w:sz w:val="18"/>
                <w:szCs w:val="18"/>
              </w:rPr>
            </w:pPr>
            <w:r>
              <w:rPr>
                <w:rFonts w:ascii="Arial" w:hAnsi="Arial" w:cs="Arial"/>
                <w:color w:val="000000"/>
                <w:sz w:val="18"/>
                <w:szCs w:val="18"/>
              </w:rPr>
              <w:t>250</w:t>
            </w:r>
          </w:p>
        </w:tc>
        <w:tc>
          <w:tcPr>
            <w:tcW w:w="927" w:type="dxa"/>
            <w:tcBorders>
              <w:top w:val="nil"/>
              <w:left w:val="nil"/>
              <w:bottom w:val="single" w:color="000000" w:sz="8" w:space="0"/>
              <w:right w:val="single" w:color="000000" w:sz="8" w:space="0"/>
            </w:tcBorders>
            <w:shd w:val="clear" w:color="auto" w:fill="auto"/>
            <w:vAlign w:val="center"/>
            <w:hideMark/>
          </w:tcPr>
          <w:p w:rsidR="009A36C6" w:rsidP="009A36C6" w:rsidRDefault="009A36C6" w14:paraId="50FAEADB" w14:textId="77777777">
            <w:pPr>
              <w:jc w:val="right"/>
              <w:rPr>
                <w:rFonts w:ascii="Arial" w:hAnsi="Arial" w:cs="Arial"/>
                <w:color w:val="000000"/>
                <w:sz w:val="18"/>
                <w:szCs w:val="18"/>
              </w:rPr>
            </w:pPr>
            <w:r>
              <w:rPr>
                <w:rFonts w:ascii="Arial" w:hAnsi="Arial" w:cs="Arial"/>
                <w:color w:val="000000"/>
                <w:sz w:val="18"/>
                <w:szCs w:val="18"/>
              </w:rPr>
              <w:t xml:space="preserve">$7.25 </w:t>
            </w:r>
          </w:p>
        </w:tc>
        <w:tc>
          <w:tcPr>
            <w:tcW w:w="1112" w:type="dxa"/>
            <w:tcBorders>
              <w:top w:val="nil"/>
              <w:left w:val="nil"/>
              <w:bottom w:val="single" w:color="000000" w:sz="8" w:space="0"/>
              <w:right w:val="single" w:color="auto" w:sz="4" w:space="0"/>
            </w:tcBorders>
            <w:shd w:val="clear" w:color="auto" w:fill="auto"/>
            <w:vAlign w:val="center"/>
            <w:hideMark/>
          </w:tcPr>
          <w:p w:rsidR="009A36C6" w:rsidP="009A36C6" w:rsidRDefault="009A36C6" w14:paraId="4510A6E1" w14:textId="77777777">
            <w:pPr>
              <w:jc w:val="right"/>
              <w:rPr>
                <w:rFonts w:ascii="Arial" w:hAnsi="Arial" w:cs="Arial"/>
                <w:color w:val="000000"/>
                <w:sz w:val="18"/>
                <w:szCs w:val="18"/>
              </w:rPr>
            </w:pPr>
            <w:r>
              <w:rPr>
                <w:rFonts w:ascii="Arial" w:hAnsi="Arial" w:cs="Arial"/>
                <w:color w:val="000000"/>
                <w:sz w:val="18"/>
                <w:szCs w:val="18"/>
              </w:rPr>
              <w:t xml:space="preserve">$1,813 </w:t>
            </w:r>
          </w:p>
        </w:tc>
      </w:tr>
      <w:tr w:rsidR="009A36C6" w:rsidTr="009A36C6" w14:paraId="12E83854" w14:textId="77777777">
        <w:trPr>
          <w:trHeight w:val="790"/>
        </w:trPr>
        <w:tc>
          <w:tcPr>
            <w:tcW w:w="1436" w:type="dxa"/>
            <w:tcBorders>
              <w:top w:val="nil"/>
              <w:left w:val="single" w:color="auto" w:sz="4" w:space="0"/>
              <w:bottom w:val="single" w:color="000000" w:sz="8" w:space="0"/>
              <w:right w:val="single" w:color="000000" w:sz="8" w:space="0"/>
            </w:tcBorders>
            <w:shd w:val="clear" w:color="auto" w:fill="auto"/>
            <w:vAlign w:val="center"/>
            <w:hideMark/>
          </w:tcPr>
          <w:p w:rsidR="009A36C6" w:rsidP="009A36C6" w:rsidRDefault="009A36C6" w14:paraId="431D0379" w14:textId="77777777">
            <w:pPr>
              <w:rPr>
                <w:rFonts w:ascii="Arial" w:hAnsi="Arial" w:cs="Arial"/>
                <w:color w:val="000000"/>
                <w:sz w:val="18"/>
                <w:szCs w:val="18"/>
              </w:rPr>
            </w:pPr>
            <w:r>
              <w:rPr>
                <w:rFonts w:ascii="Arial" w:hAnsi="Arial" w:cs="Arial"/>
                <w:color w:val="000000"/>
                <w:sz w:val="18"/>
                <w:szCs w:val="18"/>
              </w:rPr>
              <w:t>Second follow-up survey for adults (Instrument 13)</w:t>
            </w:r>
          </w:p>
        </w:tc>
        <w:tc>
          <w:tcPr>
            <w:tcW w:w="1297" w:type="dxa"/>
            <w:tcBorders>
              <w:top w:val="nil"/>
              <w:left w:val="nil"/>
              <w:bottom w:val="single" w:color="000000" w:sz="8" w:space="0"/>
              <w:right w:val="single" w:color="000000" w:sz="8" w:space="0"/>
            </w:tcBorders>
            <w:shd w:val="clear" w:color="auto" w:fill="auto"/>
            <w:vAlign w:val="center"/>
            <w:hideMark/>
          </w:tcPr>
          <w:p w:rsidR="009A36C6" w:rsidP="009A36C6" w:rsidRDefault="009A36C6" w14:paraId="4B1B0CF4" w14:textId="77777777">
            <w:pPr>
              <w:jc w:val="right"/>
              <w:rPr>
                <w:rFonts w:ascii="Arial" w:hAnsi="Arial" w:cs="Arial"/>
                <w:color w:val="000000"/>
                <w:sz w:val="18"/>
                <w:szCs w:val="18"/>
              </w:rPr>
            </w:pPr>
            <w:r>
              <w:rPr>
                <w:rFonts w:ascii="Arial" w:hAnsi="Arial" w:cs="Arial"/>
                <w:color w:val="000000"/>
                <w:sz w:val="18"/>
                <w:szCs w:val="18"/>
              </w:rPr>
              <w:t>800</w:t>
            </w:r>
          </w:p>
        </w:tc>
        <w:tc>
          <w:tcPr>
            <w:tcW w:w="1297" w:type="dxa"/>
            <w:tcBorders>
              <w:top w:val="nil"/>
              <w:left w:val="nil"/>
              <w:bottom w:val="single" w:color="000000" w:sz="8" w:space="0"/>
              <w:right w:val="single" w:color="000000" w:sz="8" w:space="0"/>
            </w:tcBorders>
            <w:shd w:val="clear" w:color="auto" w:fill="auto"/>
            <w:vAlign w:val="center"/>
            <w:hideMark/>
          </w:tcPr>
          <w:p w:rsidR="009A36C6" w:rsidP="009A36C6" w:rsidRDefault="009A36C6" w14:paraId="67CCB7DE" w14:textId="77777777">
            <w:pPr>
              <w:jc w:val="right"/>
              <w:rPr>
                <w:rFonts w:ascii="Arial" w:hAnsi="Arial" w:cs="Arial"/>
                <w:color w:val="000000"/>
                <w:sz w:val="18"/>
                <w:szCs w:val="18"/>
              </w:rPr>
            </w:pPr>
            <w:r>
              <w:rPr>
                <w:rFonts w:ascii="Arial" w:hAnsi="Arial" w:cs="Arial"/>
                <w:color w:val="000000"/>
                <w:sz w:val="18"/>
                <w:szCs w:val="18"/>
              </w:rPr>
              <w:t>267</w:t>
            </w:r>
          </w:p>
        </w:tc>
        <w:tc>
          <w:tcPr>
            <w:tcW w:w="1197" w:type="dxa"/>
            <w:tcBorders>
              <w:top w:val="nil"/>
              <w:left w:val="nil"/>
              <w:bottom w:val="single" w:color="000000" w:sz="8" w:space="0"/>
              <w:right w:val="single" w:color="000000" w:sz="8" w:space="0"/>
            </w:tcBorders>
            <w:shd w:val="clear" w:color="auto" w:fill="auto"/>
            <w:vAlign w:val="center"/>
            <w:hideMark/>
          </w:tcPr>
          <w:p w:rsidR="009A36C6" w:rsidP="009A36C6" w:rsidRDefault="009A36C6" w14:paraId="33B6A793" w14:textId="77777777">
            <w:pPr>
              <w:jc w:val="right"/>
              <w:rPr>
                <w:rFonts w:ascii="Arial" w:hAnsi="Arial" w:cs="Arial"/>
                <w:color w:val="000000"/>
                <w:sz w:val="18"/>
                <w:szCs w:val="18"/>
              </w:rPr>
            </w:pPr>
            <w:r>
              <w:rPr>
                <w:rFonts w:ascii="Arial" w:hAnsi="Arial" w:cs="Arial"/>
                <w:color w:val="000000"/>
                <w:sz w:val="18"/>
                <w:szCs w:val="18"/>
              </w:rPr>
              <w:t>1</w:t>
            </w:r>
          </w:p>
        </w:tc>
        <w:tc>
          <w:tcPr>
            <w:tcW w:w="1017" w:type="dxa"/>
            <w:tcBorders>
              <w:top w:val="nil"/>
              <w:left w:val="nil"/>
              <w:bottom w:val="single" w:color="000000" w:sz="8" w:space="0"/>
              <w:right w:val="single" w:color="000000" w:sz="8" w:space="0"/>
            </w:tcBorders>
            <w:shd w:val="clear" w:color="auto" w:fill="auto"/>
            <w:vAlign w:val="center"/>
            <w:hideMark/>
          </w:tcPr>
          <w:p w:rsidR="009A36C6" w:rsidP="009A36C6" w:rsidRDefault="009A36C6" w14:paraId="014789C6" w14:textId="77777777">
            <w:pPr>
              <w:jc w:val="right"/>
              <w:rPr>
                <w:rFonts w:ascii="Arial" w:hAnsi="Arial" w:cs="Arial"/>
                <w:color w:val="000000"/>
                <w:sz w:val="18"/>
                <w:szCs w:val="18"/>
              </w:rPr>
            </w:pPr>
            <w:r>
              <w:rPr>
                <w:rFonts w:ascii="Arial" w:hAnsi="Arial" w:cs="Arial"/>
                <w:color w:val="000000"/>
                <w:sz w:val="18"/>
                <w:szCs w:val="18"/>
              </w:rPr>
              <w:t>0.75</w:t>
            </w:r>
          </w:p>
        </w:tc>
        <w:tc>
          <w:tcPr>
            <w:tcW w:w="1077" w:type="dxa"/>
            <w:tcBorders>
              <w:top w:val="nil"/>
              <w:left w:val="nil"/>
              <w:bottom w:val="single" w:color="000000" w:sz="8" w:space="0"/>
              <w:right w:val="single" w:color="000000" w:sz="8" w:space="0"/>
            </w:tcBorders>
            <w:shd w:val="clear" w:color="auto" w:fill="auto"/>
            <w:vAlign w:val="center"/>
            <w:hideMark/>
          </w:tcPr>
          <w:p w:rsidR="009A36C6" w:rsidP="009A36C6" w:rsidRDefault="009A36C6" w14:paraId="307D1C77" w14:textId="77777777">
            <w:pPr>
              <w:jc w:val="right"/>
              <w:rPr>
                <w:rFonts w:ascii="Arial" w:hAnsi="Arial" w:cs="Arial"/>
                <w:color w:val="000000"/>
                <w:sz w:val="18"/>
                <w:szCs w:val="18"/>
              </w:rPr>
            </w:pPr>
            <w:r>
              <w:rPr>
                <w:rFonts w:ascii="Arial" w:hAnsi="Arial" w:cs="Arial"/>
                <w:color w:val="000000"/>
                <w:sz w:val="18"/>
                <w:szCs w:val="18"/>
              </w:rPr>
              <w:t>200</w:t>
            </w:r>
          </w:p>
        </w:tc>
        <w:tc>
          <w:tcPr>
            <w:tcW w:w="927" w:type="dxa"/>
            <w:tcBorders>
              <w:top w:val="nil"/>
              <w:left w:val="nil"/>
              <w:bottom w:val="single" w:color="000000" w:sz="8" w:space="0"/>
              <w:right w:val="single" w:color="000000" w:sz="8" w:space="0"/>
            </w:tcBorders>
            <w:shd w:val="clear" w:color="auto" w:fill="auto"/>
            <w:vAlign w:val="center"/>
            <w:hideMark/>
          </w:tcPr>
          <w:p w:rsidR="009A36C6" w:rsidP="009A36C6" w:rsidRDefault="009A36C6" w14:paraId="4AB9C92A" w14:textId="77777777">
            <w:pPr>
              <w:jc w:val="right"/>
              <w:rPr>
                <w:rFonts w:ascii="Arial" w:hAnsi="Arial" w:cs="Arial"/>
                <w:color w:val="000000"/>
                <w:sz w:val="18"/>
                <w:szCs w:val="18"/>
              </w:rPr>
            </w:pPr>
            <w:r>
              <w:rPr>
                <w:rFonts w:ascii="Arial" w:hAnsi="Arial" w:cs="Arial"/>
                <w:color w:val="000000"/>
                <w:sz w:val="18"/>
                <w:szCs w:val="18"/>
              </w:rPr>
              <w:t xml:space="preserve">$7.25 </w:t>
            </w:r>
          </w:p>
        </w:tc>
        <w:tc>
          <w:tcPr>
            <w:tcW w:w="1112" w:type="dxa"/>
            <w:tcBorders>
              <w:top w:val="nil"/>
              <w:left w:val="nil"/>
              <w:bottom w:val="single" w:color="000000" w:sz="8" w:space="0"/>
              <w:right w:val="single" w:color="auto" w:sz="4" w:space="0"/>
            </w:tcBorders>
            <w:shd w:val="clear" w:color="auto" w:fill="auto"/>
            <w:vAlign w:val="center"/>
            <w:hideMark/>
          </w:tcPr>
          <w:p w:rsidR="009A36C6" w:rsidP="009A36C6" w:rsidRDefault="009A36C6" w14:paraId="54671D9F" w14:textId="77777777">
            <w:pPr>
              <w:jc w:val="right"/>
              <w:rPr>
                <w:rFonts w:ascii="Arial" w:hAnsi="Arial" w:cs="Arial"/>
                <w:color w:val="000000"/>
                <w:sz w:val="18"/>
                <w:szCs w:val="18"/>
              </w:rPr>
            </w:pPr>
            <w:r>
              <w:rPr>
                <w:rFonts w:ascii="Arial" w:hAnsi="Arial" w:cs="Arial"/>
                <w:color w:val="000000"/>
                <w:sz w:val="18"/>
                <w:szCs w:val="18"/>
              </w:rPr>
              <w:t xml:space="preserve">$1,450.00 </w:t>
            </w:r>
          </w:p>
        </w:tc>
      </w:tr>
      <w:tr w:rsidR="009A36C6" w:rsidTr="00641B02" w14:paraId="45B0A146" w14:textId="77777777">
        <w:trPr>
          <w:trHeight w:val="463"/>
        </w:trPr>
        <w:tc>
          <w:tcPr>
            <w:tcW w:w="9360" w:type="dxa"/>
            <w:gridSpan w:val="8"/>
            <w:tcBorders>
              <w:top w:val="single" w:color="000000" w:sz="8" w:space="0"/>
              <w:left w:val="single" w:color="auto" w:sz="4" w:space="0"/>
              <w:bottom w:val="single" w:color="000000" w:sz="8" w:space="0"/>
              <w:right w:val="single" w:color="auto" w:sz="4" w:space="0"/>
            </w:tcBorders>
            <w:shd w:val="clear" w:color="000000" w:fill="D9D9D9"/>
            <w:vAlign w:val="center"/>
            <w:hideMark/>
          </w:tcPr>
          <w:p w:rsidR="009A36C6" w:rsidP="009A36C6" w:rsidRDefault="009A36C6" w14:paraId="71C5A0A4" w14:textId="77777777">
            <w:pPr>
              <w:rPr>
                <w:rFonts w:ascii="Arial" w:hAnsi="Arial" w:cs="Arial"/>
                <w:b/>
                <w:bCs/>
                <w:color w:val="000000"/>
                <w:sz w:val="18"/>
                <w:szCs w:val="18"/>
              </w:rPr>
            </w:pPr>
            <w:r>
              <w:rPr>
                <w:rFonts w:ascii="Arial" w:hAnsi="Arial" w:cs="Arial"/>
                <w:b/>
                <w:bCs/>
                <w:color w:val="000000"/>
                <w:sz w:val="18"/>
                <w:szCs w:val="18"/>
              </w:rPr>
              <w:lastRenderedPageBreak/>
              <w:t> </w:t>
            </w:r>
          </w:p>
        </w:tc>
      </w:tr>
      <w:tr w:rsidR="000073B4" w:rsidTr="0070409C" w14:paraId="147E79A6" w14:textId="77777777">
        <w:trPr>
          <w:trHeight w:val="410"/>
        </w:trPr>
        <w:tc>
          <w:tcPr>
            <w:tcW w:w="6244" w:type="dxa"/>
            <w:gridSpan w:val="5"/>
            <w:tcBorders>
              <w:top w:val="single" w:color="000000" w:sz="8" w:space="0"/>
              <w:left w:val="single" w:color="auto" w:sz="4" w:space="0"/>
              <w:bottom w:val="single" w:color="000000" w:sz="8" w:space="0"/>
              <w:right w:val="single" w:color="000000" w:sz="8" w:space="0"/>
            </w:tcBorders>
            <w:shd w:val="clear" w:color="auto" w:fill="auto"/>
            <w:vAlign w:val="center"/>
            <w:hideMark/>
          </w:tcPr>
          <w:p w:rsidR="000073B4" w:rsidP="00D92E42" w:rsidRDefault="000073B4" w14:paraId="7F2F51C0" w14:textId="77777777">
            <w:pPr>
              <w:rPr>
                <w:rFonts w:ascii="Arial" w:hAnsi="Arial" w:cs="Arial"/>
                <w:b/>
                <w:bCs/>
                <w:color w:val="000000"/>
                <w:sz w:val="18"/>
                <w:szCs w:val="18"/>
              </w:rPr>
            </w:pPr>
            <w:r>
              <w:rPr>
                <w:rFonts w:ascii="Arial" w:hAnsi="Arial" w:cs="Arial"/>
                <w:b/>
                <w:bCs/>
                <w:color w:val="000000"/>
                <w:sz w:val="18"/>
                <w:szCs w:val="18"/>
              </w:rPr>
              <w:t>Total estimated annual burden  (remaining plus new request)</w:t>
            </w:r>
          </w:p>
          <w:p w:rsidR="000073B4" w:rsidP="009A36C6" w:rsidRDefault="000073B4" w14:paraId="5560350D" w14:textId="77777777">
            <w:pPr>
              <w:jc w:val="right"/>
              <w:rPr>
                <w:rFonts w:ascii="Arial" w:hAnsi="Arial" w:cs="Arial"/>
                <w:b/>
                <w:bCs/>
                <w:color w:val="000000"/>
                <w:sz w:val="18"/>
                <w:szCs w:val="18"/>
              </w:rPr>
            </w:pPr>
          </w:p>
          <w:p w:rsidRPr="000073B4" w:rsidR="000073B4" w:rsidP="009A36C6" w:rsidRDefault="000073B4" w14:paraId="66E008C4" w14:textId="77777777">
            <w:pPr>
              <w:rPr>
                <w:rFonts w:ascii="Arial" w:hAnsi="Arial"/>
                <w:color w:val="000000"/>
                <w:sz w:val="18"/>
              </w:rPr>
            </w:pPr>
            <w:r>
              <w:rPr>
                <w:rFonts w:ascii="Arial" w:hAnsi="Arial" w:cs="Arial"/>
                <w:color w:val="000000"/>
                <w:sz w:val="18"/>
                <w:szCs w:val="18"/>
              </w:rPr>
              <w:t> </w:t>
            </w:r>
          </w:p>
        </w:tc>
        <w:tc>
          <w:tcPr>
            <w:tcW w:w="1077" w:type="dxa"/>
            <w:tcBorders>
              <w:top w:val="nil"/>
              <w:left w:val="nil"/>
              <w:bottom w:val="single" w:color="000000" w:sz="8" w:space="0"/>
              <w:right w:val="single" w:color="000000" w:sz="8" w:space="0"/>
            </w:tcBorders>
            <w:shd w:val="clear" w:color="auto" w:fill="auto"/>
            <w:vAlign w:val="center"/>
            <w:hideMark/>
          </w:tcPr>
          <w:p w:rsidR="000073B4" w:rsidP="009A36C6" w:rsidRDefault="000073B4" w14:paraId="3BBD2743" w14:textId="77777777">
            <w:pPr>
              <w:jc w:val="right"/>
              <w:rPr>
                <w:rFonts w:ascii="Arial" w:hAnsi="Arial" w:cs="Arial"/>
                <w:b/>
                <w:bCs/>
                <w:color w:val="000000"/>
                <w:sz w:val="18"/>
                <w:szCs w:val="18"/>
              </w:rPr>
            </w:pPr>
            <w:r>
              <w:rPr>
                <w:rFonts w:ascii="Arial" w:hAnsi="Arial" w:cs="Arial"/>
                <w:b/>
                <w:bCs/>
                <w:color w:val="000000"/>
                <w:sz w:val="18"/>
                <w:szCs w:val="18"/>
              </w:rPr>
              <w:t>1,288</w:t>
            </w:r>
          </w:p>
        </w:tc>
        <w:tc>
          <w:tcPr>
            <w:tcW w:w="927" w:type="dxa"/>
            <w:tcBorders>
              <w:top w:val="nil"/>
              <w:left w:val="nil"/>
              <w:bottom w:val="single" w:color="000000" w:sz="8" w:space="0"/>
              <w:right w:val="single" w:color="000000" w:sz="8" w:space="0"/>
            </w:tcBorders>
            <w:shd w:val="clear" w:color="auto" w:fill="auto"/>
            <w:vAlign w:val="center"/>
            <w:hideMark/>
          </w:tcPr>
          <w:p w:rsidR="000073B4" w:rsidP="009A36C6" w:rsidRDefault="000073B4" w14:paraId="629809EF" w14:textId="77777777">
            <w:pPr>
              <w:jc w:val="right"/>
              <w:rPr>
                <w:rFonts w:ascii="Arial" w:hAnsi="Arial" w:cs="Arial"/>
                <w:color w:val="000000"/>
                <w:sz w:val="18"/>
                <w:szCs w:val="18"/>
              </w:rPr>
            </w:pPr>
            <w:r>
              <w:rPr>
                <w:rFonts w:ascii="Arial" w:hAnsi="Arial" w:cs="Arial"/>
                <w:color w:val="000000"/>
                <w:sz w:val="18"/>
                <w:szCs w:val="18"/>
              </w:rPr>
              <w:t> </w:t>
            </w:r>
          </w:p>
        </w:tc>
        <w:tc>
          <w:tcPr>
            <w:tcW w:w="1112" w:type="dxa"/>
            <w:tcBorders>
              <w:top w:val="nil"/>
              <w:left w:val="nil"/>
              <w:bottom w:val="single" w:color="000000" w:sz="8" w:space="0"/>
              <w:right w:val="single" w:color="auto" w:sz="4" w:space="0"/>
            </w:tcBorders>
            <w:shd w:val="clear" w:color="auto" w:fill="auto"/>
            <w:vAlign w:val="center"/>
            <w:hideMark/>
          </w:tcPr>
          <w:p w:rsidR="000073B4" w:rsidP="00725D81" w:rsidRDefault="000073B4" w14:paraId="7DC1F26F" w14:textId="70DBE907">
            <w:pPr>
              <w:jc w:val="right"/>
              <w:rPr>
                <w:rFonts w:ascii="Arial" w:hAnsi="Arial" w:cs="Arial"/>
                <w:b/>
                <w:bCs/>
                <w:color w:val="000000"/>
                <w:sz w:val="18"/>
                <w:szCs w:val="18"/>
              </w:rPr>
            </w:pPr>
            <w:r>
              <w:rPr>
                <w:rFonts w:ascii="Arial" w:hAnsi="Arial" w:cs="Arial"/>
                <w:b/>
                <w:bCs/>
                <w:color w:val="000000"/>
                <w:sz w:val="18"/>
                <w:szCs w:val="18"/>
              </w:rPr>
              <w:t xml:space="preserve">$9999 </w:t>
            </w:r>
          </w:p>
        </w:tc>
      </w:tr>
    </w:tbl>
    <w:p w:rsidR="006E57DE" w:rsidP="00436F5E" w:rsidRDefault="006E57DE" w14:paraId="10C2DD25" w14:textId="77777777">
      <w:pPr>
        <w:spacing w:after="60"/>
        <w:rPr>
          <w:b/>
          <w:i/>
        </w:rPr>
      </w:pPr>
    </w:p>
    <w:p w:rsidRPr="002F3EDE" w:rsidR="002338AC" w:rsidP="00436F5E" w:rsidRDefault="002338AC" w14:paraId="1EAA93E8" w14:textId="77777777">
      <w:pPr>
        <w:spacing w:after="60"/>
        <w:rPr>
          <w:b/>
          <w:i/>
        </w:rPr>
      </w:pPr>
      <w:r w:rsidRPr="002F3EDE">
        <w:rPr>
          <w:b/>
          <w:i/>
        </w:rPr>
        <w:t>Total Annual Cost</w:t>
      </w:r>
    </w:p>
    <w:p w:rsidR="002338AC" w:rsidP="0029050D" w:rsidRDefault="00671548" w14:paraId="10F8FF5B" w14:textId="77777777">
      <w:pPr>
        <w:spacing w:after="240"/>
        <w:ind w:firstLine="432"/>
      </w:pPr>
      <w:r w:rsidRPr="0013611C">
        <w:t>We estimate the average hourly wage for staff at the grantee organizations is the average hourly wage of “social and community service managers” taken from the U.S. Bureau of Labor Statistics, National Compensation Survey, 2010 ($27.86). We estimated the average hourly wage of program applicants based on the current federal minimum wage ($7.25)</w:t>
      </w:r>
      <w:r w:rsidR="0013611C">
        <w:t>.</w:t>
      </w:r>
    </w:p>
    <w:p w:rsidRPr="0072204D" w:rsidR="00945CD6" w:rsidP="00A478DB" w:rsidRDefault="00292B70" w14:paraId="3B68F1E4" w14:textId="77777777">
      <w:pPr>
        <w:spacing w:after="60"/>
        <w:rPr>
          <w:b/>
        </w:rPr>
      </w:pPr>
      <w:r>
        <w:rPr>
          <w:b/>
        </w:rPr>
        <w:t xml:space="preserve">A13. </w:t>
      </w:r>
      <w:r w:rsidRPr="0072204D" w:rsidR="00945CD6">
        <w:rPr>
          <w:b/>
        </w:rPr>
        <w:t>Cost Burden to Respondents or Record Keepers</w:t>
      </w:r>
    </w:p>
    <w:p w:rsidRPr="00D44E91" w:rsidR="002338AC" w:rsidP="0029050D" w:rsidRDefault="00B91D97" w14:paraId="44149BA2" w14:textId="77777777">
      <w:pPr>
        <w:spacing w:after="240"/>
        <w:ind w:firstLine="432"/>
        <w:rPr>
          <w:sz w:val="28"/>
        </w:rPr>
      </w:pPr>
      <w:r w:rsidRPr="00A478DB">
        <w:rPr>
          <w:szCs w:val="22"/>
        </w:rPr>
        <w:t>There are no additional costs to respondents.</w:t>
      </w:r>
    </w:p>
    <w:p w:rsidRPr="0072204D" w:rsidR="00945CD6" w:rsidP="00436F5E" w:rsidRDefault="00292B70" w14:paraId="65A36D97" w14:textId="77777777">
      <w:pPr>
        <w:spacing w:after="60"/>
        <w:rPr>
          <w:b/>
        </w:rPr>
      </w:pPr>
      <w:r>
        <w:rPr>
          <w:b/>
        </w:rPr>
        <w:t xml:space="preserve">A14. </w:t>
      </w:r>
      <w:r w:rsidRPr="0072204D" w:rsidR="00945CD6">
        <w:rPr>
          <w:b/>
        </w:rPr>
        <w:t>Estimate of Cost to the Federal Government</w:t>
      </w:r>
    </w:p>
    <w:p w:rsidR="00436F5E" w:rsidP="0029050D" w:rsidRDefault="00B91D97" w14:paraId="49B02E98" w14:textId="77777777">
      <w:pPr>
        <w:spacing w:after="240"/>
        <w:ind w:firstLine="432"/>
      </w:pPr>
      <w:r w:rsidRPr="000C4512">
        <w:t>The total cost for the data collection activities under this current request will be $</w:t>
      </w:r>
      <w:r w:rsidRPr="000C4512" w:rsidR="000C4512">
        <w:t>13,696,095</w:t>
      </w:r>
      <w:r w:rsidRPr="000C4512">
        <w:t>. This am</w:t>
      </w:r>
      <w:r w:rsidR="000C4512">
        <w:t xml:space="preserve">ount includes costs for </w:t>
      </w:r>
      <w:r w:rsidR="00A478DB">
        <w:t xml:space="preserve">(1) </w:t>
      </w:r>
      <w:r w:rsidR="000C4512">
        <w:t>completing the data collection activities previo</w:t>
      </w:r>
      <w:r w:rsidR="00A478DB">
        <w:t>usly approved and (2) conducting the two additional follow-up surveys</w:t>
      </w:r>
      <w:r w:rsidRPr="000C4512">
        <w:t>. Annual costs to the Federal government will be $</w:t>
      </w:r>
      <w:r w:rsidRPr="000C4512" w:rsidR="000C4512">
        <w:t>4,565,365</w:t>
      </w:r>
      <w:r w:rsidRPr="000C4512">
        <w:t xml:space="preserve"> for the proposed data collection.</w:t>
      </w:r>
    </w:p>
    <w:p w:rsidR="00945CD6" w:rsidP="00436F5E" w:rsidRDefault="00292B70" w14:paraId="06F856E9" w14:textId="77777777">
      <w:pPr>
        <w:spacing w:after="120"/>
        <w:rPr>
          <w:b/>
        </w:rPr>
      </w:pPr>
      <w:r>
        <w:rPr>
          <w:b/>
        </w:rPr>
        <w:t xml:space="preserve">A15. </w:t>
      </w:r>
      <w:r w:rsidRPr="0072204D" w:rsidR="00945CD6">
        <w:rPr>
          <w:b/>
        </w:rPr>
        <w:t>Change in Burden</w:t>
      </w:r>
    </w:p>
    <w:p w:rsidR="002338AC" w:rsidP="0029050D" w:rsidRDefault="0065153C" w14:paraId="002AEC62" w14:textId="3F87A921">
      <w:pPr>
        <w:spacing w:after="240"/>
        <w:ind w:firstLine="432"/>
      </w:pPr>
      <w:r>
        <w:t xml:space="preserve">This is an additional information collection request under OMB #0970-0481. </w:t>
      </w:r>
      <w:r w:rsidR="00865F1A">
        <w:t xml:space="preserve">This request is for (1) an extension of previously approved </w:t>
      </w:r>
      <w:r w:rsidR="00D92E42">
        <w:t xml:space="preserve">data collection </w:t>
      </w:r>
      <w:r w:rsidR="00865F1A">
        <w:t xml:space="preserve">and (2) </w:t>
      </w:r>
      <w:r w:rsidRPr="00865F1A" w:rsidR="00E35408">
        <w:t>new data collection.</w:t>
      </w:r>
    </w:p>
    <w:p w:rsidRPr="005A64C5" w:rsidR="00945CD6" w:rsidP="00436F5E" w:rsidRDefault="00292B70" w14:paraId="09BB26E0" w14:textId="77777777">
      <w:pPr>
        <w:spacing w:after="60"/>
        <w:rPr>
          <w:b/>
        </w:rPr>
      </w:pPr>
      <w:r w:rsidRPr="005A64C5">
        <w:rPr>
          <w:b/>
        </w:rPr>
        <w:t xml:space="preserve">A16. </w:t>
      </w:r>
      <w:r w:rsidRPr="005A64C5" w:rsidR="00945CD6">
        <w:rPr>
          <w:b/>
        </w:rPr>
        <w:t>Plan and Time Schedule for Information Collection, Tabulation and Publication</w:t>
      </w:r>
    </w:p>
    <w:p w:rsidR="0029050D" w:rsidP="0029050D" w:rsidRDefault="00731EE6" w14:paraId="6BCF067D" w14:textId="77777777">
      <w:pPr>
        <w:spacing w:after="240"/>
        <w:ind w:firstLine="432"/>
      </w:pPr>
      <w:r>
        <w:t>For the STREAMS impact study, p</w:t>
      </w:r>
      <w:r w:rsidRPr="00731EE6" w:rsidR="00044ABD">
        <w:t>rogram impacts will be analyzed separately for each site. With a random assignment research design, unbiased impact estimates can be obtained by comparing mean outcomes for the treatment and control groups based on follow-up data alone. However, the precision of the impact estimates can be improved by estimating multi-variate regression models that control for baseline covariates, such as baseline measures of the outcome variables. Regression adjustment can also address any differences between the treatment and control groups in baseline characteristics that arise by chance or from survey nonresponse.</w:t>
      </w:r>
    </w:p>
    <w:p w:rsidR="0029050D" w:rsidP="0029050D" w:rsidRDefault="00044ABD" w14:paraId="0038CA96" w14:textId="77777777">
      <w:pPr>
        <w:spacing w:after="240"/>
        <w:ind w:firstLine="432"/>
      </w:pPr>
      <w:r w:rsidRPr="00731EE6">
        <w:t>The empirical specification for the regression model will depend on the unit of random assignment. In sites that randomly assign individuals to the treatment or control groups, the regression model can be expressed as follows:</w:t>
      </w:r>
    </w:p>
    <w:p w:rsidR="0029050D" w:rsidP="0029050D" w:rsidRDefault="00CC51A6" w14:paraId="1DC09750" w14:textId="77777777">
      <w:pPr>
        <w:spacing w:after="240"/>
        <w:ind w:firstLine="432"/>
      </w:pPr>
      <w:r w:rsidRPr="00731EE6">
        <w:tab/>
      </w:r>
      <w:r w:rsidRPr="00731EE6" w:rsidR="00044ABD">
        <w:t>(1)</w:t>
      </w:r>
      <w:r w:rsidRPr="00731EE6" w:rsidR="00044ABD">
        <w:tab/>
        <w:t xml:space="preserve"> </w:t>
      </w:r>
      <w:r w:rsidRPr="00731EE6" w:rsidR="00044ABD">
        <w:rPr>
          <w:i/>
          <w:iCs/>
        </w:rPr>
        <w:t>y</w:t>
      </w:r>
      <w:r w:rsidRPr="00731EE6" w:rsidR="00044ABD">
        <w:rPr>
          <w:i/>
          <w:iCs/>
          <w:vertAlign w:val="subscript"/>
        </w:rPr>
        <w:t>i</w:t>
      </w:r>
      <w:r w:rsidRPr="00731EE6" w:rsidR="00044ABD">
        <w:t xml:space="preserve"> =</w:t>
      </w:r>
      <w:r w:rsidRPr="00731EE6" w:rsidR="00044ABD">
        <w:rPr>
          <w:i/>
          <w:iCs/>
        </w:rPr>
        <w:t>β′x</w:t>
      </w:r>
      <w:r w:rsidRPr="00731EE6" w:rsidR="00044ABD">
        <w:rPr>
          <w:i/>
          <w:iCs/>
          <w:vertAlign w:val="subscript"/>
        </w:rPr>
        <w:t>i</w:t>
      </w:r>
      <w:r w:rsidRPr="00731EE6" w:rsidR="00044ABD">
        <w:rPr>
          <w:i/>
          <w:iCs/>
        </w:rPr>
        <w:t>+λT</w:t>
      </w:r>
      <w:r w:rsidRPr="00731EE6" w:rsidR="00044ABD">
        <w:rPr>
          <w:i/>
          <w:iCs/>
          <w:vertAlign w:val="subscript"/>
        </w:rPr>
        <w:t>i</w:t>
      </w:r>
      <w:r w:rsidRPr="00731EE6" w:rsidR="00044ABD">
        <w:rPr>
          <w:i/>
          <w:iCs/>
        </w:rPr>
        <w:t>+ε</w:t>
      </w:r>
      <w:r w:rsidRPr="00731EE6" w:rsidR="00044ABD">
        <w:rPr>
          <w:i/>
          <w:iCs/>
          <w:vertAlign w:val="subscript"/>
        </w:rPr>
        <w:t>i</w:t>
      </w:r>
    </w:p>
    <w:p w:rsidR="00D44E91" w:rsidP="0029050D" w:rsidRDefault="00044ABD" w14:paraId="0079A219" w14:textId="77777777">
      <w:pPr>
        <w:spacing w:after="240"/>
      </w:pPr>
      <w:r w:rsidRPr="00731EE6">
        <w:t xml:space="preserve">where </w:t>
      </w:r>
      <w:r w:rsidRPr="00731EE6">
        <w:rPr>
          <w:i/>
          <w:iCs/>
        </w:rPr>
        <w:t>y</w:t>
      </w:r>
      <w:r w:rsidRPr="00731EE6">
        <w:rPr>
          <w:i/>
          <w:iCs/>
          <w:vertAlign w:val="subscript"/>
        </w:rPr>
        <w:t>i</w:t>
      </w:r>
      <w:r w:rsidRPr="00731EE6">
        <w:t xml:space="preserve"> is the outcome of interest for individual </w:t>
      </w:r>
      <w:r w:rsidRPr="00731EE6">
        <w:rPr>
          <w:i/>
          <w:iCs/>
        </w:rPr>
        <w:t>i</w:t>
      </w:r>
      <w:r w:rsidRPr="00731EE6">
        <w:t xml:space="preserve">; </w:t>
      </w:r>
      <w:r w:rsidRPr="00731EE6">
        <w:rPr>
          <w:i/>
          <w:iCs/>
        </w:rPr>
        <w:t>x</w:t>
      </w:r>
      <w:r w:rsidRPr="00731EE6">
        <w:rPr>
          <w:i/>
          <w:iCs/>
          <w:vertAlign w:val="subscript"/>
        </w:rPr>
        <w:t>i</w:t>
      </w:r>
      <w:r w:rsidRPr="00731EE6">
        <w:t xml:space="preserve"> is a vector of baseline characteristics; </w:t>
      </w:r>
      <w:r w:rsidRPr="00731EE6">
        <w:rPr>
          <w:i/>
          <w:iCs/>
        </w:rPr>
        <w:t>T</w:t>
      </w:r>
      <w:r w:rsidRPr="00731EE6">
        <w:rPr>
          <w:i/>
          <w:iCs/>
          <w:vertAlign w:val="subscript"/>
        </w:rPr>
        <w:t>i</w:t>
      </w:r>
      <w:r w:rsidRPr="00731EE6">
        <w:t xml:space="preserve"> is an indicator equal to one for individuals in the treatment group and zero for individuals in the control group; and </w:t>
      </w:r>
      <w:r w:rsidRPr="00731EE6">
        <w:rPr>
          <w:i/>
          <w:iCs/>
        </w:rPr>
        <w:t>ε</w:t>
      </w:r>
      <w:r w:rsidRPr="00731EE6">
        <w:rPr>
          <w:i/>
          <w:iCs/>
          <w:vertAlign w:val="subscript"/>
        </w:rPr>
        <w:t>i</w:t>
      </w:r>
      <w:r w:rsidRPr="00731EE6">
        <w:t xml:space="preserve"> is a random error term. The vector of baseline characteristics </w:t>
      </w:r>
      <w:r w:rsidRPr="00731EE6">
        <w:rPr>
          <w:i/>
          <w:iCs/>
        </w:rPr>
        <w:t>x</w:t>
      </w:r>
      <w:r w:rsidRPr="00731EE6">
        <w:rPr>
          <w:i/>
          <w:iCs/>
          <w:vertAlign w:val="subscript"/>
        </w:rPr>
        <w:t>i</w:t>
      </w:r>
      <w:r w:rsidRPr="00731EE6">
        <w:t xml:space="preserve"> will include demographic characteristics such as age, gender, race/ethnicity, and baseline measures of the outcomes. The parameter estimate for </w:t>
      </w:r>
      <w:r w:rsidRPr="00731EE6">
        <w:rPr>
          <w:i/>
          <w:iCs/>
        </w:rPr>
        <w:t>λ</w:t>
      </w:r>
      <w:r w:rsidRPr="00731EE6">
        <w:t xml:space="preserve"> is the estimated impact of the program.</w:t>
      </w:r>
    </w:p>
    <w:p w:rsidR="0029050D" w:rsidP="0029050D" w:rsidRDefault="00731EE6" w14:paraId="554C4643" w14:textId="77777777">
      <w:pPr>
        <w:spacing w:after="240"/>
        <w:ind w:firstLine="432"/>
      </w:pPr>
      <w:r>
        <w:lastRenderedPageBreak/>
        <w:t>In the site serving youth in high schools, random assignment was conducted</w:t>
      </w:r>
      <w:r w:rsidRPr="00731EE6" w:rsidR="00044ABD">
        <w:t xml:space="preserve"> </w:t>
      </w:r>
      <w:r>
        <w:t>at the classroom level. In this site</w:t>
      </w:r>
      <w:r w:rsidRPr="00731EE6" w:rsidR="00044ABD">
        <w:t>, the estimated regression model must account for the correlation of outcomes among individuals in the same cluster, as they will all be randomly assigned as a single unit, and each sample member cannot be considered statistically independent. To account for this dependence, the regression model used to estimate program impac</w:t>
      </w:r>
      <w:r w:rsidR="0029050D">
        <w:t>ts can be expressed as follows:</w:t>
      </w:r>
    </w:p>
    <w:p w:rsidRPr="00731EE6" w:rsidR="00CC51A6" w:rsidP="0029050D" w:rsidRDefault="00044ABD" w14:paraId="6A30667C" w14:textId="77777777">
      <w:pPr>
        <w:spacing w:after="240"/>
        <w:ind w:firstLine="432"/>
      </w:pPr>
      <w:r w:rsidRPr="00731EE6">
        <w:t>(2)</w:t>
      </w:r>
      <w:r w:rsidRPr="00731EE6">
        <w:tab/>
        <w:t xml:space="preserve"> </w:t>
      </w:r>
      <w:r w:rsidRPr="00731EE6">
        <w:rPr>
          <w:i/>
          <w:iCs/>
        </w:rPr>
        <w:t>y</w:t>
      </w:r>
      <w:r w:rsidRPr="00731EE6">
        <w:rPr>
          <w:i/>
          <w:iCs/>
          <w:vertAlign w:val="subscript"/>
        </w:rPr>
        <w:t>is</w:t>
      </w:r>
      <w:r w:rsidRPr="00731EE6">
        <w:rPr>
          <w:i/>
          <w:iCs/>
        </w:rPr>
        <w:t xml:space="preserve"> =β′x</w:t>
      </w:r>
      <w:r w:rsidRPr="00731EE6">
        <w:rPr>
          <w:i/>
          <w:iCs/>
          <w:vertAlign w:val="subscript"/>
        </w:rPr>
        <w:t>is</w:t>
      </w:r>
      <w:r w:rsidRPr="00731EE6">
        <w:rPr>
          <w:i/>
          <w:iCs/>
        </w:rPr>
        <w:t>+λT</w:t>
      </w:r>
      <w:r w:rsidRPr="00731EE6">
        <w:rPr>
          <w:i/>
          <w:iCs/>
          <w:vertAlign w:val="subscript"/>
        </w:rPr>
        <w:t>is</w:t>
      </w:r>
      <w:r w:rsidRPr="00731EE6">
        <w:rPr>
          <w:i/>
          <w:iCs/>
        </w:rPr>
        <w:t>+η</w:t>
      </w:r>
      <w:r w:rsidRPr="00731EE6">
        <w:rPr>
          <w:i/>
          <w:iCs/>
          <w:vertAlign w:val="subscript"/>
        </w:rPr>
        <w:t>s</w:t>
      </w:r>
      <w:r w:rsidRPr="00731EE6">
        <w:rPr>
          <w:i/>
          <w:iCs/>
        </w:rPr>
        <w:t xml:space="preserve"> +ε</w:t>
      </w:r>
      <w:r w:rsidRPr="00731EE6">
        <w:rPr>
          <w:i/>
          <w:iCs/>
          <w:vertAlign w:val="subscript"/>
        </w:rPr>
        <w:t>is</w:t>
      </w:r>
      <w:r w:rsidRPr="00731EE6">
        <w:t xml:space="preserve"> .</w:t>
      </w:r>
    </w:p>
    <w:p w:rsidR="00D44E91" w:rsidP="0029050D" w:rsidRDefault="00044ABD" w14:paraId="5DD888CC" w14:textId="77777777">
      <w:pPr>
        <w:spacing w:after="240"/>
      </w:pPr>
      <w:r w:rsidRPr="00731EE6">
        <w:t xml:space="preserve">The general structure of the model is the same, but now </w:t>
      </w:r>
      <w:r w:rsidRPr="00731EE6">
        <w:rPr>
          <w:i/>
          <w:iCs/>
        </w:rPr>
        <w:t>y</w:t>
      </w:r>
      <w:r w:rsidRPr="00731EE6">
        <w:rPr>
          <w:i/>
          <w:iCs/>
          <w:vertAlign w:val="subscript"/>
        </w:rPr>
        <w:t>is</w:t>
      </w:r>
      <w:r w:rsidRPr="00731EE6">
        <w:t xml:space="preserve"> is the outcome measure for individual </w:t>
      </w:r>
      <w:r w:rsidRPr="00731EE6">
        <w:rPr>
          <w:i/>
          <w:iCs/>
        </w:rPr>
        <w:t>i</w:t>
      </w:r>
      <w:r w:rsidRPr="00731EE6">
        <w:t xml:space="preserve"> in cluster </w:t>
      </w:r>
      <w:r w:rsidRPr="00731EE6">
        <w:rPr>
          <w:i/>
          <w:iCs/>
        </w:rPr>
        <w:t>s</w:t>
      </w:r>
      <w:r w:rsidRPr="00731EE6">
        <w:t xml:space="preserve"> (and similarly for the treatment status indicator, </w:t>
      </w:r>
      <w:r w:rsidRPr="00731EE6">
        <w:rPr>
          <w:i/>
          <w:iCs/>
        </w:rPr>
        <w:t>T</w:t>
      </w:r>
      <w:r w:rsidRPr="00731EE6">
        <w:rPr>
          <w:i/>
          <w:iCs/>
          <w:vertAlign w:val="subscript"/>
        </w:rPr>
        <w:t>is</w:t>
      </w:r>
      <w:r w:rsidRPr="00731EE6">
        <w:t xml:space="preserve">, vector of baseline characteristics, </w:t>
      </w:r>
      <w:r w:rsidRPr="00731EE6">
        <w:rPr>
          <w:i/>
          <w:iCs/>
        </w:rPr>
        <w:t>x</w:t>
      </w:r>
      <w:r w:rsidRPr="00731EE6">
        <w:rPr>
          <w:i/>
          <w:iCs/>
          <w:vertAlign w:val="subscript"/>
        </w:rPr>
        <w:t>is</w:t>
      </w:r>
      <w:r w:rsidRPr="00731EE6">
        <w:t xml:space="preserve"> and the error term </w:t>
      </w:r>
      <w:r w:rsidRPr="00731EE6">
        <w:rPr>
          <w:i/>
          <w:iCs/>
        </w:rPr>
        <w:t>ε</w:t>
      </w:r>
      <w:r w:rsidRPr="00731EE6">
        <w:rPr>
          <w:i/>
          <w:iCs/>
          <w:vertAlign w:val="subscript"/>
        </w:rPr>
        <w:t>is</w:t>
      </w:r>
      <w:r w:rsidRPr="00731EE6">
        <w:t>). Most importantly, the error term in Equation (2) accounts for the clu</w:t>
      </w:r>
      <w:r w:rsidR="00731EE6">
        <w:t>stering of youth within classrooms</w:t>
      </w:r>
      <w:r w:rsidRPr="00731EE6">
        <w:t xml:space="preserve"> because of the inclusion of the cluster-level error term </w:t>
      </w:r>
      <w:r w:rsidRPr="00731EE6">
        <w:rPr>
          <w:i/>
          <w:iCs/>
        </w:rPr>
        <w:t>η</w:t>
      </w:r>
      <w:r w:rsidRPr="00731EE6">
        <w:rPr>
          <w:i/>
          <w:iCs/>
          <w:vertAlign w:val="subscript"/>
        </w:rPr>
        <w:t>s</w:t>
      </w:r>
      <w:r w:rsidRPr="00731EE6">
        <w:t>—a cluster “random effect.” If this error term is excluded, the precision of the impact estim</w:t>
      </w:r>
      <w:r w:rsidR="00731EE6">
        <w:t xml:space="preserve">ates could be </w:t>
      </w:r>
      <w:r w:rsidRPr="00731EE6">
        <w:t xml:space="preserve">overstated. As in Equation (1), the estimated impact of the program is </w:t>
      </w:r>
      <w:r w:rsidRPr="00731EE6">
        <w:rPr>
          <w:i/>
          <w:iCs/>
        </w:rPr>
        <w:t>λ</w:t>
      </w:r>
      <w:r w:rsidRPr="00731EE6">
        <w:t>.</w:t>
      </w:r>
    </w:p>
    <w:p w:rsidRPr="00731EE6" w:rsidR="00700C94" w:rsidP="0029050D" w:rsidRDefault="00700C94" w14:paraId="5704ED93" w14:textId="5333493E">
      <w:pPr>
        <w:spacing w:after="240"/>
        <w:ind w:firstLine="432"/>
      </w:pPr>
      <w:r w:rsidRPr="00731EE6">
        <w:t>Table A.</w:t>
      </w:r>
      <w:r w:rsidR="00071293">
        <w:t>7</w:t>
      </w:r>
      <w:r w:rsidRPr="00731EE6">
        <w:t xml:space="preserve"> displays the tentative timeline for data collection and reporting activities.</w:t>
      </w:r>
      <w:r w:rsidRPr="00731EE6" w:rsidR="00E11F77">
        <w:t xml:space="preserve"> Sample enrollment and baseline data collection </w:t>
      </w:r>
      <w:r w:rsidR="00D93FA7">
        <w:t>for the impact study began</w:t>
      </w:r>
      <w:r w:rsidRPr="00731EE6" w:rsidR="00E11F77">
        <w:t xml:space="preserve"> in July 201</w:t>
      </w:r>
      <w:r w:rsidR="00D93FA7">
        <w:t>6</w:t>
      </w:r>
      <w:r w:rsidRPr="00731EE6" w:rsidR="00E11F77">
        <w:t>. Data collection</w:t>
      </w:r>
      <w:r w:rsidR="00D93FA7">
        <w:t xml:space="preserve"> for the first follow-up survey began in September 2017 and is expected to continue through </w:t>
      </w:r>
      <w:r w:rsidR="00CD309A">
        <w:t xml:space="preserve">May 2019 for youth and June </w:t>
      </w:r>
      <w:r w:rsidR="00D93FA7">
        <w:t>2020</w:t>
      </w:r>
      <w:r w:rsidR="00CD309A">
        <w:t xml:space="preserve"> for adults</w:t>
      </w:r>
      <w:r w:rsidRPr="00731EE6" w:rsidR="00154F53">
        <w:t xml:space="preserve">. </w:t>
      </w:r>
      <w:r w:rsidRPr="00731EE6">
        <w:t xml:space="preserve">The second follow-up data collection is expected to </w:t>
      </w:r>
      <w:r w:rsidR="00D93FA7">
        <w:t xml:space="preserve">begin </w:t>
      </w:r>
      <w:r w:rsidR="009504CA">
        <w:t>immediately</w:t>
      </w:r>
      <w:r w:rsidRPr="00731EE6">
        <w:t xml:space="preserve"> after obtaining OM</w:t>
      </w:r>
      <w:r w:rsidR="00865F1A">
        <w:t xml:space="preserve">B approval, and to continue </w:t>
      </w:r>
      <w:r w:rsidR="009504CA">
        <w:t>for three years</w:t>
      </w:r>
      <w:r w:rsidR="00927FA7">
        <w:t>.</w:t>
      </w:r>
      <w:r w:rsidR="00865F1A">
        <w:t xml:space="preserve"> Site-specific impact reports will be </w:t>
      </w:r>
      <w:r w:rsidRPr="00865F1A" w:rsidR="00865F1A">
        <w:t>release</w:t>
      </w:r>
      <w:r w:rsidR="00865F1A">
        <w:t>d on a rolling basis as each round of follow-up data collection is completed</w:t>
      </w:r>
      <w:r w:rsidRPr="00865F1A" w:rsidR="00865F1A">
        <w:t>.</w:t>
      </w:r>
    </w:p>
    <w:p w:rsidRPr="00731EE6" w:rsidR="00700C94" w:rsidP="00731EE6" w:rsidRDefault="00700C94" w14:paraId="731AF6B8" w14:textId="718DA5D7">
      <w:pPr>
        <w:pStyle w:val="MarkforTableTitle"/>
      </w:pPr>
      <w:bookmarkStart w:name="_Toc440631003" w:id="4"/>
      <w:bookmarkStart w:name="_Toc440639054" w:id="5"/>
      <w:bookmarkStart w:name="_Toc440959638" w:id="6"/>
      <w:r w:rsidRPr="00731EE6">
        <w:t>Table A.</w:t>
      </w:r>
      <w:r w:rsidR="00071293">
        <w:t>7</w:t>
      </w:r>
      <w:r w:rsidRPr="00731EE6">
        <w:t>. Schedule for the STREAMS</w:t>
      </w:r>
      <w:bookmarkEnd w:id="4"/>
      <w:bookmarkEnd w:id="5"/>
      <w:bookmarkEnd w:id="6"/>
      <w:r w:rsidR="00731EE6">
        <w:t xml:space="preserve"> Impact Study</w:t>
      </w:r>
    </w:p>
    <w:tbl>
      <w:tblPr>
        <w:tblW w:w="5000" w:type="pct"/>
        <w:tblLook w:val="0620" w:firstRow="1" w:lastRow="0" w:firstColumn="0" w:lastColumn="0" w:noHBand="1" w:noVBand="1"/>
      </w:tblPr>
      <w:tblGrid>
        <w:gridCol w:w="4950"/>
        <w:gridCol w:w="4410"/>
      </w:tblGrid>
      <w:tr w:rsidRPr="00731EE6" w:rsidR="00700C94" w:rsidTr="000908A4" w14:paraId="374EB53A" w14:textId="77777777">
        <w:trPr>
          <w:tblHeader/>
        </w:trPr>
        <w:tc>
          <w:tcPr>
            <w:tcW w:w="2644" w:type="pct"/>
            <w:tcBorders>
              <w:top w:val="single" w:color="FFFFFF" w:sz="8" w:space="0"/>
              <w:bottom w:val="single" w:color="000000" w:sz="8" w:space="0"/>
            </w:tcBorders>
            <w:shd w:val="clear" w:color="auto" w:fill="6C6F70"/>
            <w:vAlign w:val="bottom"/>
          </w:tcPr>
          <w:p w:rsidRPr="00731EE6" w:rsidR="00700C94" w:rsidP="00731EE6" w:rsidRDefault="00700C94" w14:paraId="6C77D445" w14:textId="77777777">
            <w:pPr>
              <w:pStyle w:val="TableHeaderLeft"/>
              <w:rPr>
                <w:b w:val="0"/>
                <w:bCs/>
              </w:rPr>
            </w:pPr>
            <w:r w:rsidRPr="00731EE6">
              <w:rPr>
                <w:bCs/>
              </w:rPr>
              <w:t>Activity</w:t>
            </w:r>
          </w:p>
        </w:tc>
        <w:tc>
          <w:tcPr>
            <w:tcW w:w="2356" w:type="pct"/>
            <w:tcBorders>
              <w:top w:val="single" w:color="FFFFFF" w:sz="8" w:space="0"/>
              <w:bottom w:val="single" w:color="000000" w:sz="8" w:space="0"/>
            </w:tcBorders>
            <w:shd w:val="clear" w:color="auto" w:fill="6C6F70"/>
            <w:vAlign w:val="bottom"/>
          </w:tcPr>
          <w:p w:rsidRPr="00731EE6" w:rsidR="00700C94" w:rsidP="00731EE6" w:rsidRDefault="00700C94" w14:paraId="4C175CC4" w14:textId="77777777">
            <w:pPr>
              <w:pStyle w:val="TableHeaderCenter"/>
              <w:rPr>
                <w:b w:val="0"/>
                <w:bCs/>
                <w:vertAlign w:val="superscript"/>
              </w:rPr>
            </w:pPr>
            <w:r w:rsidRPr="00731EE6">
              <w:rPr>
                <w:bCs/>
              </w:rPr>
              <w:t>Timing</w:t>
            </w:r>
            <w:r w:rsidRPr="00731EE6">
              <w:rPr>
                <w:bCs/>
                <w:vertAlign w:val="superscript"/>
              </w:rPr>
              <w:t>a</w:t>
            </w:r>
          </w:p>
        </w:tc>
      </w:tr>
      <w:tr w:rsidRPr="00731EE6" w:rsidR="00700C94" w:rsidTr="000908A4" w14:paraId="301BB89D" w14:textId="77777777">
        <w:tc>
          <w:tcPr>
            <w:tcW w:w="2644" w:type="pct"/>
            <w:tcBorders>
              <w:top w:val="single" w:color="000000" w:sz="8" w:space="0"/>
            </w:tcBorders>
            <w:shd w:val="clear" w:color="auto" w:fill="auto"/>
          </w:tcPr>
          <w:p w:rsidRPr="00731EE6" w:rsidR="00700C94" w:rsidP="00731EE6" w:rsidRDefault="00700C94" w14:paraId="618B4CBB" w14:textId="77777777">
            <w:pPr>
              <w:pStyle w:val="TableHeaderLeft"/>
              <w:spacing w:after="0"/>
              <w:rPr>
                <w:color w:val="auto"/>
              </w:rPr>
            </w:pPr>
            <w:r w:rsidRPr="00731EE6">
              <w:rPr>
                <w:color w:val="auto"/>
              </w:rPr>
              <w:t>Data collection</w:t>
            </w:r>
          </w:p>
        </w:tc>
        <w:tc>
          <w:tcPr>
            <w:tcW w:w="2356" w:type="pct"/>
            <w:tcBorders>
              <w:top w:val="single" w:color="000000" w:sz="8" w:space="0"/>
            </w:tcBorders>
            <w:shd w:val="clear" w:color="auto" w:fill="auto"/>
          </w:tcPr>
          <w:p w:rsidRPr="00731EE6" w:rsidR="00700C94" w:rsidP="00731EE6" w:rsidRDefault="00700C94" w14:paraId="380B99E5" w14:textId="77777777">
            <w:pPr>
              <w:pStyle w:val="TableHeaderLeft"/>
              <w:spacing w:after="0"/>
              <w:rPr>
                <w:color w:val="auto"/>
              </w:rPr>
            </w:pPr>
          </w:p>
        </w:tc>
      </w:tr>
      <w:tr w:rsidRPr="00731EE6" w:rsidR="00F23DB3" w:rsidTr="000908A4" w14:paraId="54D337AE" w14:textId="77777777">
        <w:tc>
          <w:tcPr>
            <w:tcW w:w="2644" w:type="pct"/>
            <w:tcBorders>
              <w:top w:val="single" w:color="000000" w:sz="8" w:space="0"/>
            </w:tcBorders>
            <w:shd w:val="clear" w:color="auto" w:fill="auto"/>
          </w:tcPr>
          <w:p w:rsidRPr="00731EE6" w:rsidR="00F23DB3" w:rsidP="00731EE6" w:rsidRDefault="00F23DB3" w14:paraId="32863162" w14:textId="77777777">
            <w:pPr>
              <w:pStyle w:val="TableHeaderLeft"/>
              <w:spacing w:after="0"/>
              <w:rPr>
                <w:b w:val="0"/>
                <w:color w:val="auto"/>
              </w:rPr>
            </w:pPr>
            <w:r w:rsidRPr="00731EE6">
              <w:rPr>
                <w:b w:val="0"/>
                <w:color w:val="auto"/>
              </w:rPr>
              <w:t>Sample enrollment and baseline surveys</w:t>
            </w:r>
          </w:p>
        </w:tc>
        <w:tc>
          <w:tcPr>
            <w:tcW w:w="2356" w:type="pct"/>
            <w:tcBorders>
              <w:top w:val="single" w:color="000000" w:sz="8" w:space="0"/>
            </w:tcBorders>
            <w:shd w:val="clear" w:color="auto" w:fill="auto"/>
          </w:tcPr>
          <w:p w:rsidRPr="00731EE6" w:rsidR="00F23DB3" w:rsidP="00731EE6" w:rsidRDefault="00F23DB3" w14:paraId="612147FA" w14:textId="77777777">
            <w:pPr>
              <w:pStyle w:val="TableHeaderLeft"/>
              <w:spacing w:after="0"/>
              <w:rPr>
                <w:b w:val="0"/>
                <w:color w:val="auto"/>
              </w:rPr>
            </w:pPr>
            <w:r w:rsidRPr="00731EE6">
              <w:rPr>
                <w:b w:val="0"/>
                <w:color w:val="auto"/>
              </w:rPr>
              <w:t xml:space="preserve">              July 2016 through </w:t>
            </w:r>
            <w:r w:rsidRPr="00731EE6" w:rsidR="000C6A7C">
              <w:rPr>
                <w:b w:val="0"/>
                <w:color w:val="auto"/>
              </w:rPr>
              <w:t>December</w:t>
            </w:r>
            <w:r w:rsidRPr="00731EE6">
              <w:rPr>
                <w:b w:val="0"/>
                <w:color w:val="auto"/>
              </w:rPr>
              <w:t xml:space="preserve"> 2018</w:t>
            </w:r>
          </w:p>
        </w:tc>
      </w:tr>
      <w:tr w:rsidRPr="00731EE6" w:rsidR="00700C94" w:rsidTr="000908A4" w14:paraId="75B0F9BC" w14:textId="77777777">
        <w:tc>
          <w:tcPr>
            <w:tcW w:w="2644" w:type="pct"/>
            <w:shd w:val="clear" w:color="auto" w:fill="auto"/>
          </w:tcPr>
          <w:p w:rsidRPr="00731EE6" w:rsidR="00700C94" w:rsidP="00731EE6" w:rsidRDefault="00700C94" w14:paraId="460C03B3" w14:textId="77777777">
            <w:pPr>
              <w:pStyle w:val="TableText"/>
            </w:pPr>
            <w:r w:rsidRPr="00731EE6">
              <w:t>Follow-up survey</w:t>
            </w:r>
            <w:r w:rsidR="00774290">
              <w:t xml:space="preserve"> for youth</w:t>
            </w:r>
          </w:p>
        </w:tc>
        <w:tc>
          <w:tcPr>
            <w:tcW w:w="2356" w:type="pct"/>
            <w:shd w:val="clear" w:color="auto" w:fill="auto"/>
          </w:tcPr>
          <w:p w:rsidRPr="00731EE6" w:rsidR="00700C94" w:rsidP="00731EE6" w:rsidRDefault="000C6A7C" w14:paraId="55F6BCAC" w14:textId="77777777">
            <w:pPr>
              <w:pStyle w:val="TableText"/>
              <w:ind w:left="696"/>
            </w:pPr>
            <w:r w:rsidRPr="00731EE6">
              <w:t xml:space="preserve">September </w:t>
            </w:r>
            <w:r w:rsidRPr="00731EE6" w:rsidR="00700C94">
              <w:t xml:space="preserve">2017 through </w:t>
            </w:r>
            <w:r w:rsidR="00774290">
              <w:t>May 2019</w:t>
            </w:r>
          </w:p>
        </w:tc>
      </w:tr>
      <w:tr w:rsidRPr="00731EE6" w:rsidR="00774290" w:rsidTr="000908A4" w14:paraId="560AA563" w14:textId="77777777">
        <w:tc>
          <w:tcPr>
            <w:tcW w:w="2644" w:type="pct"/>
            <w:shd w:val="clear" w:color="auto" w:fill="auto"/>
          </w:tcPr>
          <w:p w:rsidRPr="00731EE6" w:rsidR="00774290" w:rsidP="00731EE6" w:rsidRDefault="00774290" w14:paraId="216986AD" w14:textId="77777777">
            <w:pPr>
              <w:pStyle w:val="TableText"/>
            </w:pPr>
            <w:r>
              <w:t>Follow-up survey for adults</w:t>
            </w:r>
          </w:p>
        </w:tc>
        <w:tc>
          <w:tcPr>
            <w:tcW w:w="2356" w:type="pct"/>
            <w:shd w:val="clear" w:color="auto" w:fill="auto"/>
          </w:tcPr>
          <w:p w:rsidRPr="00731EE6" w:rsidR="00774290" w:rsidP="00731EE6" w:rsidRDefault="00AE25B2" w14:paraId="68606B8B" w14:textId="77777777">
            <w:pPr>
              <w:pStyle w:val="TableText"/>
              <w:ind w:left="696"/>
            </w:pPr>
            <w:r>
              <w:t>September 2017 through June</w:t>
            </w:r>
            <w:r w:rsidR="00774290">
              <w:t xml:space="preserve"> 2020</w:t>
            </w:r>
          </w:p>
        </w:tc>
      </w:tr>
      <w:tr w:rsidRPr="00731EE6" w:rsidR="00774290" w:rsidTr="000908A4" w14:paraId="6B5FBF84" w14:textId="77777777">
        <w:tc>
          <w:tcPr>
            <w:tcW w:w="2644" w:type="pct"/>
            <w:shd w:val="clear" w:color="auto" w:fill="auto"/>
          </w:tcPr>
          <w:p w:rsidRPr="00774290" w:rsidR="00774290" w:rsidP="00731EE6" w:rsidRDefault="00774290" w14:paraId="7177A466" w14:textId="77777777">
            <w:pPr>
              <w:pStyle w:val="TableText"/>
              <w:rPr>
                <w:vertAlign w:val="superscript"/>
              </w:rPr>
            </w:pPr>
            <w:r>
              <w:t>Second follow-up survey for youth</w:t>
            </w:r>
            <w:r>
              <w:rPr>
                <w:vertAlign w:val="superscript"/>
              </w:rPr>
              <w:t>a</w:t>
            </w:r>
          </w:p>
        </w:tc>
        <w:tc>
          <w:tcPr>
            <w:tcW w:w="2356" w:type="pct"/>
            <w:shd w:val="clear" w:color="auto" w:fill="auto"/>
          </w:tcPr>
          <w:p w:rsidRPr="00731EE6" w:rsidR="00774290" w:rsidP="00927FA7" w:rsidRDefault="00774290" w14:paraId="15EACA4E" w14:textId="77777777">
            <w:pPr>
              <w:pStyle w:val="TableText"/>
              <w:ind w:left="696"/>
            </w:pPr>
            <w:r>
              <w:t>September 2019 through May 2020</w:t>
            </w:r>
          </w:p>
        </w:tc>
      </w:tr>
      <w:tr w:rsidRPr="00731EE6" w:rsidR="00774290" w:rsidTr="000908A4" w14:paraId="7702075E" w14:textId="77777777">
        <w:tc>
          <w:tcPr>
            <w:tcW w:w="2644" w:type="pct"/>
            <w:shd w:val="clear" w:color="auto" w:fill="auto"/>
          </w:tcPr>
          <w:p w:rsidRPr="00774290" w:rsidR="00774290" w:rsidP="00731EE6" w:rsidRDefault="00774290" w14:paraId="53431919" w14:textId="77777777">
            <w:pPr>
              <w:pStyle w:val="TableText"/>
              <w:rPr>
                <w:vertAlign w:val="superscript"/>
              </w:rPr>
            </w:pPr>
            <w:r>
              <w:t>Second follow-up survey for adults</w:t>
            </w:r>
            <w:r>
              <w:rPr>
                <w:vertAlign w:val="superscript"/>
              </w:rPr>
              <w:t>a</w:t>
            </w:r>
          </w:p>
        </w:tc>
        <w:tc>
          <w:tcPr>
            <w:tcW w:w="2356" w:type="pct"/>
            <w:shd w:val="clear" w:color="auto" w:fill="auto"/>
          </w:tcPr>
          <w:p w:rsidRPr="00731EE6" w:rsidR="00774290" w:rsidP="00725D81" w:rsidRDefault="00E2516B" w14:paraId="5026AE85" w14:textId="22A1AC44">
            <w:pPr>
              <w:pStyle w:val="TableText"/>
              <w:ind w:left="696"/>
            </w:pPr>
            <w:r>
              <w:t xml:space="preserve">April </w:t>
            </w:r>
            <w:r w:rsidR="00774290">
              <w:t xml:space="preserve">2019 through </w:t>
            </w:r>
            <w:r>
              <w:t>April</w:t>
            </w:r>
            <w:r w:rsidR="00725D81">
              <w:t xml:space="preserve"> </w:t>
            </w:r>
            <w:r w:rsidR="00927FA7">
              <w:t>2022</w:t>
            </w:r>
          </w:p>
        </w:tc>
      </w:tr>
      <w:tr w:rsidRPr="00731EE6" w:rsidR="00700C94" w:rsidTr="000908A4" w14:paraId="286BDB32" w14:textId="77777777">
        <w:tc>
          <w:tcPr>
            <w:tcW w:w="2644" w:type="pct"/>
            <w:shd w:val="clear" w:color="auto" w:fill="auto"/>
          </w:tcPr>
          <w:p w:rsidRPr="00731EE6" w:rsidR="00700C94" w:rsidP="00731EE6" w:rsidRDefault="00700C94" w14:paraId="23E1A64C" w14:textId="77777777">
            <w:pPr>
              <w:pStyle w:val="TableHeaderLeft"/>
              <w:spacing w:after="0"/>
              <w:rPr>
                <w:color w:val="auto"/>
              </w:rPr>
            </w:pPr>
            <w:r w:rsidRPr="00731EE6">
              <w:rPr>
                <w:color w:val="auto"/>
              </w:rPr>
              <w:t>Reporting</w:t>
            </w:r>
          </w:p>
        </w:tc>
        <w:tc>
          <w:tcPr>
            <w:tcW w:w="2356" w:type="pct"/>
            <w:shd w:val="clear" w:color="auto" w:fill="auto"/>
          </w:tcPr>
          <w:p w:rsidRPr="00731EE6" w:rsidR="00700C94" w:rsidP="00731EE6" w:rsidRDefault="00700C94" w14:paraId="22B582E9" w14:textId="77777777">
            <w:pPr>
              <w:pStyle w:val="TableHeaderLeft"/>
              <w:spacing w:after="0"/>
              <w:ind w:left="696"/>
              <w:rPr>
                <w:color w:val="auto"/>
              </w:rPr>
            </w:pPr>
          </w:p>
        </w:tc>
      </w:tr>
      <w:tr w:rsidRPr="00731EE6" w:rsidR="00700C94" w:rsidTr="000908A4" w14:paraId="7DE68484" w14:textId="77777777">
        <w:tc>
          <w:tcPr>
            <w:tcW w:w="2644" w:type="pct"/>
            <w:tcBorders>
              <w:bottom w:val="single" w:color="auto" w:sz="4" w:space="0"/>
            </w:tcBorders>
            <w:shd w:val="clear" w:color="auto" w:fill="auto"/>
          </w:tcPr>
          <w:p w:rsidRPr="00731EE6" w:rsidR="00700C94" w:rsidP="00731EE6" w:rsidRDefault="00D93FA7" w14:paraId="4CC4C9A1" w14:textId="77777777">
            <w:pPr>
              <w:pStyle w:val="TableText"/>
            </w:pPr>
            <w:r>
              <w:t>Impact study reports</w:t>
            </w:r>
          </w:p>
        </w:tc>
        <w:tc>
          <w:tcPr>
            <w:tcW w:w="2356" w:type="pct"/>
            <w:tcBorders>
              <w:bottom w:val="single" w:color="auto" w:sz="4" w:space="0"/>
            </w:tcBorders>
            <w:shd w:val="clear" w:color="auto" w:fill="auto"/>
          </w:tcPr>
          <w:p w:rsidRPr="00731EE6" w:rsidR="00700C94" w:rsidP="00731EE6" w:rsidRDefault="00D93FA7" w14:paraId="347815BB" w14:textId="77777777">
            <w:pPr>
              <w:pStyle w:val="TableText"/>
              <w:ind w:left="696"/>
            </w:pPr>
            <w:r>
              <w:t xml:space="preserve">October 2019 through </w:t>
            </w:r>
            <w:r w:rsidR="00E2516B">
              <w:t>September</w:t>
            </w:r>
            <w:r>
              <w:t xml:space="preserve"> 2022.</w:t>
            </w:r>
          </w:p>
        </w:tc>
      </w:tr>
    </w:tbl>
    <w:p w:rsidRPr="00865F1A" w:rsidR="002338AC" w:rsidP="00865F1A" w:rsidRDefault="00700C94" w14:paraId="0F76B723" w14:textId="77777777">
      <w:pPr>
        <w:pStyle w:val="TableFootnoteCaption"/>
        <w:spacing w:after="360"/>
      </w:pPr>
      <w:r w:rsidRPr="00731EE6">
        <w:rPr>
          <w:vertAlign w:val="superscript"/>
        </w:rPr>
        <w:t>a</w:t>
      </w:r>
      <w:r w:rsidRPr="00731EE6">
        <w:t>Subject to timing of obtaining OMB approval.</w:t>
      </w:r>
    </w:p>
    <w:p w:rsidRPr="0072204D" w:rsidR="00945CD6" w:rsidP="00436F5E" w:rsidRDefault="00292B70" w14:paraId="585C84DE" w14:textId="77777777">
      <w:pPr>
        <w:spacing w:after="120"/>
        <w:rPr>
          <w:b/>
        </w:rPr>
      </w:pPr>
      <w:r>
        <w:rPr>
          <w:b/>
        </w:rPr>
        <w:t xml:space="preserve">A17. </w:t>
      </w:r>
      <w:r w:rsidRPr="0072204D" w:rsidR="00945CD6">
        <w:rPr>
          <w:b/>
        </w:rPr>
        <w:t>Reasons Not to Display OMB Expiration Date</w:t>
      </w:r>
    </w:p>
    <w:p w:rsidR="002338AC" w:rsidP="0029050D" w:rsidRDefault="00D90EF6" w14:paraId="7062199A" w14:textId="77777777">
      <w:pPr>
        <w:spacing w:after="240"/>
        <w:ind w:firstLine="432"/>
      </w:pPr>
      <w:r w:rsidRPr="00731EE6">
        <w:t>All instruments will display the expiration date for OMB approval.</w:t>
      </w:r>
    </w:p>
    <w:p w:rsidRPr="000B5EA8" w:rsidR="00945CD6" w:rsidP="00436F5E" w:rsidRDefault="00292B70" w14:paraId="7E7D2ACB" w14:textId="77777777">
      <w:pPr>
        <w:spacing w:after="120"/>
        <w:rPr>
          <w:b/>
        </w:rPr>
      </w:pPr>
      <w:r w:rsidRPr="000B5EA8">
        <w:rPr>
          <w:b/>
        </w:rPr>
        <w:t>A18.</w:t>
      </w:r>
      <w:r w:rsidRPr="000B5EA8" w:rsidR="000B5EA8">
        <w:rPr>
          <w:b/>
        </w:rPr>
        <w:t xml:space="preserve"> Exceptions to Certification for Paperwork Reduction Act Submissions</w:t>
      </w:r>
    </w:p>
    <w:p w:rsidRPr="0072204D" w:rsidR="0072204D" w:rsidP="00EE33E5" w:rsidRDefault="00D90EF6" w14:paraId="22DFA5B5" w14:textId="77777777">
      <w:pPr>
        <w:spacing w:after="240"/>
        <w:ind w:firstLine="432"/>
      </w:pPr>
      <w:r w:rsidRPr="00731EE6">
        <w:rPr>
          <w:szCs w:val="22"/>
        </w:rPr>
        <w:t xml:space="preserve">No exceptions are necessary </w:t>
      </w:r>
      <w:r w:rsidR="00D44E91">
        <w:rPr>
          <w:szCs w:val="22"/>
        </w:rPr>
        <w:t>for this information collection.</w:t>
      </w:r>
    </w:p>
    <w:sectPr w:rsidRPr="0072204D" w:rsidR="0072204D" w:rsidSect="008C673B">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46EB71" w14:textId="77777777" w:rsidR="006F5664" w:rsidRDefault="006F5664">
      <w:r>
        <w:separator/>
      </w:r>
    </w:p>
  </w:endnote>
  <w:endnote w:type="continuationSeparator" w:id="0">
    <w:p w14:paraId="1E87EB62" w14:textId="77777777" w:rsidR="006F5664" w:rsidRDefault="006F5664">
      <w:r>
        <w:continuationSeparator/>
      </w:r>
    </w:p>
  </w:endnote>
  <w:endnote w:type="continuationNotice" w:id="1">
    <w:p w14:paraId="2C21BCF9" w14:textId="77777777" w:rsidR="006F5664" w:rsidRDefault="006F56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Sans">
    <w:altName w:val="Lucida Sans Unicode"/>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BCF8C7" w14:textId="219C0A18" w:rsidR="006F5664" w:rsidRDefault="006F5664">
    <w:pPr>
      <w:pStyle w:val="Footer"/>
      <w:jc w:val="center"/>
    </w:pPr>
    <w:r>
      <w:fldChar w:fldCharType="begin"/>
    </w:r>
    <w:r>
      <w:instrText xml:space="preserve"> PAGE   \* MERGEFORMAT </w:instrText>
    </w:r>
    <w:r>
      <w:fldChar w:fldCharType="separate"/>
    </w:r>
    <w:r w:rsidR="00FA37F6">
      <w:rPr>
        <w:noProof/>
      </w:rPr>
      <w:t>14</w:t>
    </w:r>
    <w:r>
      <w:fldChar w:fldCharType="end"/>
    </w:r>
  </w:p>
  <w:p w14:paraId="07A0D8BE" w14:textId="77777777" w:rsidR="006F5664" w:rsidRDefault="006F5664" w:rsidP="00292B7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BA483C" w14:textId="77777777" w:rsidR="006F5664" w:rsidRDefault="006F5664">
      <w:r>
        <w:separator/>
      </w:r>
    </w:p>
  </w:footnote>
  <w:footnote w:type="continuationSeparator" w:id="0">
    <w:p w14:paraId="2D109F73" w14:textId="77777777" w:rsidR="006F5664" w:rsidRDefault="006F5664">
      <w:r>
        <w:continuationSeparator/>
      </w:r>
    </w:p>
  </w:footnote>
  <w:footnote w:type="continuationNotice" w:id="1">
    <w:p w14:paraId="2F927145" w14:textId="77777777" w:rsidR="006F5664" w:rsidRDefault="006F566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0190C9" w14:textId="77777777" w:rsidR="006F5664" w:rsidRDefault="006F5664" w:rsidP="00BE795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936FF"/>
    <w:multiLevelType w:val="hybridMultilevel"/>
    <w:tmpl w:val="17C2D73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15:restartNumberingAfterBreak="0">
    <w:nsid w:val="062745D9"/>
    <w:multiLevelType w:val="hybridMultilevel"/>
    <w:tmpl w:val="BBC2B8F6"/>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793D19"/>
    <w:multiLevelType w:val="hybridMultilevel"/>
    <w:tmpl w:val="4DA2C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E03283"/>
    <w:multiLevelType w:val="hybridMultilevel"/>
    <w:tmpl w:val="EAB2520C"/>
    <w:lvl w:ilvl="0" w:tplc="2E86487C">
      <w:start w:val="1"/>
      <w:numFmt w:val="decimal"/>
      <w:lvlText w:val="%1."/>
      <w:lvlJc w:val="left"/>
      <w:pPr>
        <w:tabs>
          <w:tab w:val="num" w:pos="720"/>
        </w:tabs>
        <w:ind w:left="720" w:hanging="360"/>
      </w:pPr>
      <w:rPr>
        <w:rFonts w:hint="default"/>
        <w:b w:val="0"/>
        <w:i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3">
      <w:start w:val="1"/>
      <w:numFmt w:val="bullet"/>
      <w:lvlText w:val="o"/>
      <w:lvlJc w:val="left"/>
      <w:pPr>
        <w:tabs>
          <w:tab w:val="num" w:pos="1440"/>
        </w:tabs>
        <w:ind w:left="1440" w:hanging="360"/>
      </w:pPr>
      <w:rPr>
        <w:rFonts w:ascii="Courier New" w:hAnsi="Courier New" w:cs="Courier New"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8F84C05"/>
    <w:multiLevelType w:val="hybridMultilevel"/>
    <w:tmpl w:val="10C8301C"/>
    <w:lvl w:ilvl="0" w:tplc="79423CD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A76A53"/>
    <w:multiLevelType w:val="hybridMultilevel"/>
    <w:tmpl w:val="B038C44C"/>
    <w:lvl w:ilvl="0" w:tplc="B1AA4D94">
      <w:start w:val="1"/>
      <w:numFmt w:val="decimal"/>
      <w:lvlText w:val="%1."/>
      <w:lvlJc w:val="left"/>
      <w:pPr>
        <w:ind w:left="792" w:hanging="360"/>
      </w:pPr>
      <w:rPr>
        <w:rFonts w:hint="default"/>
        <w:b/>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7" w15:restartNumberingAfterBreak="0">
    <w:nsid w:val="103A28B1"/>
    <w:multiLevelType w:val="hybridMultilevel"/>
    <w:tmpl w:val="8EC2525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8" w15:restartNumberingAfterBreak="0">
    <w:nsid w:val="13C112F2"/>
    <w:multiLevelType w:val="hybridMultilevel"/>
    <w:tmpl w:val="F2DC79D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15:restartNumberingAfterBreak="0">
    <w:nsid w:val="1AD502E5"/>
    <w:multiLevelType w:val="hybridMultilevel"/>
    <w:tmpl w:val="741A6838"/>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F26103"/>
    <w:multiLevelType w:val="hybridMultilevel"/>
    <w:tmpl w:val="A144400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1" w15:restartNumberingAfterBreak="0">
    <w:nsid w:val="1EC358DF"/>
    <w:multiLevelType w:val="hybridMultilevel"/>
    <w:tmpl w:val="404889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7A56D8"/>
    <w:multiLevelType w:val="hybridMultilevel"/>
    <w:tmpl w:val="11F085BA"/>
    <w:lvl w:ilvl="0" w:tplc="453A1C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4F7774"/>
    <w:multiLevelType w:val="hybridMultilevel"/>
    <w:tmpl w:val="B874E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AB6A06"/>
    <w:multiLevelType w:val="hybridMultilevel"/>
    <w:tmpl w:val="8DB869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15:restartNumberingAfterBreak="0">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69F2D24"/>
    <w:multiLevelType w:val="hybridMultilevel"/>
    <w:tmpl w:val="F22AD1FE"/>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8B52B62"/>
    <w:multiLevelType w:val="hybridMultilevel"/>
    <w:tmpl w:val="AC48E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FB72DF"/>
    <w:multiLevelType w:val="hybridMultilevel"/>
    <w:tmpl w:val="54F24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C6048B"/>
    <w:multiLevelType w:val="singleLevel"/>
    <w:tmpl w:val="08DE816E"/>
    <w:lvl w:ilvl="0">
      <w:start w:val="1"/>
      <w:numFmt w:val="decimal"/>
      <w:pStyle w:val="NumberedBullet"/>
      <w:lvlText w:val="%1."/>
      <w:lvlJc w:val="left"/>
      <w:pPr>
        <w:tabs>
          <w:tab w:val="num" w:pos="1350"/>
        </w:tabs>
        <w:ind w:left="1350" w:hanging="360"/>
      </w:pPr>
      <w:rPr>
        <w:rFonts w:hint="default"/>
      </w:rPr>
    </w:lvl>
  </w:abstractNum>
  <w:abstractNum w:abstractNumId="21" w15:restartNumberingAfterBreak="0">
    <w:nsid w:val="57F93ADE"/>
    <w:multiLevelType w:val="hybridMultilevel"/>
    <w:tmpl w:val="1360B32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2" w15:restartNumberingAfterBreak="0">
    <w:nsid w:val="5A9848A3"/>
    <w:multiLevelType w:val="hybridMultilevel"/>
    <w:tmpl w:val="9AECC7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B92ED5"/>
    <w:multiLevelType w:val="hybridMultilevel"/>
    <w:tmpl w:val="DF1230BA"/>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5C127280"/>
    <w:multiLevelType w:val="hybridMultilevel"/>
    <w:tmpl w:val="1924DC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1C4F57"/>
    <w:multiLevelType w:val="hybridMultilevel"/>
    <w:tmpl w:val="9B56B5E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6" w15:restartNumberingAfterBreak="0">
    <w:nsid w:val="5E3E4071"/>
    <w:multiLevelType w:val="hybridMultilevel"/>
    <w:tmpl w:val="0DF272B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A445D60">
      <w:start w:val="1"/>
      <w:numFmt w:val="lowerLetter"/>
      <w:lvlText w:val="%3)"/>
      <w:lvlJc w:val="left"/>
      <w:pPr>
        <w:tabs>
          <w:tab w:val="num" w:pos="2340"/>
        </w:tabs>
        <w:ind w:left="2340" w:hanging="360"/>
      </w:pPr>
      <w:rPr>
        <w:rFonts w:hint="default"/>
      </w:rPr>
    </w:lvl>
    <w:lvl w:ilvl="3" w:tplc="04090003">
      <w:start w:val="1"/>
      <w:numFmt w:val="bullet"/>
      <w:lvlText w:val="o"/>
      <w:lvlJc w:val="left"/>
      <w:pPr>
        <w:tabs>
          <w:tab w:val="num" w:pos="2880"/>
        </w:tabs>
        <w:ind w:left="2880" w:hanging="360"/>
      </w:pPr>
      <w:rPr>
        <w:rFonts w:ascii="Courier New" w:hAnsi="Courier New" w:cs="Courier New"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3284632"/>
    <w:multiLevelType w:val="hybridMultilevel"/>
    <w:tmpl w:val="50FC3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4A659F"/>
    <w:multiLevelType w:val="hybridMultilevel"/>
    <w:tmpl w:val="7E9E1648"/>
    <w:lvl w:ilvl="0" w:tplc="04090011">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9" w15:restartNumberingAfterBreak="0">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6C1B91"/>
    <w:multiLevelType w:val="hybridMultilevel"/>
    <w:tmpl w:val="675A7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4"/>
  </w:num>
  <w:num w:numId="3">
    <w:abstractNumId w:val="23"/>
  </w:num>
  <w:num w:numId="4">
    <w:abstractNumId w:val="16"/>
  </w:num>
  <w:num w:numId="5">
    <w:abstractNumId w:val="17"/>
  </w:num>
  <w:num w:numId="6">
    <w:abstractNumId w:val="26"/>
  </w:num>
  <w:num w:numId="7">
    <w:abstractNumId w:val="24"/>
  </w:num>
  <w:num w:numId="8">
    <w:abstractNumId w:val="18"/>
  </w:num>
  <w:num w:numId="9">
    <w:abstractNumId w:val="19"/>
  </w:num>
  <w:num w:numId="10">
    <w:abstractNumId w:val="5"/>
  </w:num>
  <w:num w:numId="11">
    <w:abstractNumId w:val="1"/>
  </w:num>
  <w:num w:numId="12">
    <w:abstractNumId w:val="9"/>
  </w:num>
  <w:num w:numId="13">
    <w:abstractNumId w:val="27"/>
  </w:num>
  <w:num w:numId="14">
    <w:abstractNumId w:val="13"/>
  </w:num>
  <w:num w:numId="15">
    <w:abstractNumId w:val="14"/>
  </w:num>
  <w:num w:numId="16">
    <w:abstractNumId w:val="20"/>
  </w:num>
  <w:num w:numId="17">
    <w:abstractNumId w:val="28"/>
  </w:num>
  <w:num w:numId="18">
    <w:abstractNumId w:val="20"/>
    <w:lvlOverride w:ilvl="0">
      <w:startOverride w:val="1"/>
    </w:lvlOverride>
  </w:num>
  <w:num w:numId="19">
    <w:abstractNumId w:val="20"/>
    <w:lvlOverride w:ilvl="0">
      <w:startOverride w:val="1"/>
    </w:lvlOverride>
  </w:num>
  <w:num w:numId="20">
    <w:abstractNumId w:val="3"/>
  </w:num>
  <w:num w:numId="21">
    <w:abstractNumId w:val="22"/>
  </w:num>
  <w:num w:numId="22">
    <w:abstractNumId w:val="12"/>
  </w:num>
  <w:num w:numId="23">
    <w:abstractNumId w:val="30"/>
  </w:num>
  <w:num w:numId="24">
    <w:abstractNumId w:val="29"/>
  </w:num>
  <w:num w:numId="25">
    <w:abstractNumId w:val="21"/>
  </w:num>
  <w:num w:numId="26">
    <w:abstractNumId w:val="25"/>
  </w:num>
  <w:num w:numId="27">
    <w:abstractNumId w:val="10"/>
  </w:num>
  <w:num w:numId="28">
    <w:abstractNumId w:val="6"/>
  </w:num>
  <w:num w:numId="29">
    <w:abstractNumId w:val="15"/>
  </w:num>
  <w:num w:numId="30">
    <w:abstractNumId w:val="8"/>
  </w:num>
  <w:num w:numId="31">
    <w:abstractNumId w:val="0"/>
  </w:num>
  <w:num w:numId="32">
    <w:abstractNumId w:val="2"/>
  </w:num>
  <w:num w:numId="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F2C"/>
    <w:rsid w:val="000073B4"/>
    <w:rsid w:val="00007CEA"/>
    <w:rsid w:val="000162E3"/>
    <w:rsid w:val="00022E1D"/>
    <w:rsid w:val="0002584C"/>
    <w:rsid w:val="00027349"/>
    <w:rsid w:val="00030361"/>
    <w:rsid w:val="000352CE"/>
    <w:rsid w:val="00042CDA"/>
    <w:rsid w:val="000431B8"/>
    <w:rsid w:val="00044ABD"/>
    <w:rsid w:val="00047823"/>
    <w:rsid w:val="00054670"/>
    <w:rsid w:val="00067CCE"/>
    <w:rsid w:val="00071293"/>
    <w:rsid w:val="000721FF"/>
    <w:rsid w:val="0007261B"/>
    <w:rsid w:val="00074057"/>
    <w:rsid w:val="000818D6"/>
    <w:rsid w:val="00082433"/>
    <w:rsid w:val="00082912"/>
    <w:rsid w:val="00085F94"/>
    <w:rsid w:val="0008643E"/>
    <w:rsid w:val="000908A4"/>
    <w:rsid w:val="00090E93"/>
    <w:rsid w:val="00091C59"/>
    <w:rsid w:val="00095236"/>
    <w:rsid w:val="000A1E65"/>
    <w:rsid w:val="000A3A7E"/>
    <w:rsid w:val="000A3D8B"/>
    <w:rsid w:val="000B5EA8"/>
    <w:rsid w:val="000C2AB2"/>
    <w:rsid w:val="000C3435"/>
    <w:rsid w:val="000C4512"/>
    <w:rsid w:val="000C4DA3"/>
    <w:rsid w:val="000C6A7C"/>
    <w:rsid w:val="000C75F7"/>
    <w:rsid w:val="000D1B10"/>
    <w:rsid w:val="000D40AC"/>
    <w:rsid w:val="000D4109"/>
    <w:rsid w:val="000D53DF"/>
    <w:rsid w:val="000D64BA"/>
    <w:rsid w:val="000D68F6"/>
    <w:rsid w:val="000D72DC"/>
    <w:rsid w:val="000E0AE8"/>
    <w:rsid w:val="000E258E"/>
    <w:rsid w:val="000F0D95"/>
    <w:rsid w:val="001016BA"/>
    <w:rsid w:val="001062F3"/>
    <w:rsid w:val="001106CF"/>
    <w:rsid w:val="00120558"/>
    <w:rsid w:val="00124EBF"/>
    <w:rsid w:val="00130457"/>
    <w:rsid w:val="00130C06"/>
    <w:rsid w:val="00132E0D"/>
    <w:rsid w:val="0013611C"/>
    <w:rsid w:val="00140E77"/>
    <w:rsid w:val="00146E06"/>
    <w:rsid w:val="00147EF3"/>
    <w:rsid w:val="00154045"/>
    <w:rsid w:val="00154D52"/>
    <w:rsid w:val="00154F53"/>
    <w:rsid w:val="0016012E"/>
    <w:rsid w:val="001609C2"/>
    <w:rsid w:val="0016161B"/>
    <w:rsid w:val="001624AE"/>
    <w:rsid w:val="00162773"/>
    <w:rsid w:val="001636FA"/>
    <w:rsid w:val="001649A3"/>
    <w:rsid w:val="00175816"/>
    <w:rsid w:val="00183127"/>
    <w:rsid w:val="00183C0F"/>
    <w:rsid w:val="001A5AF9"/>
    <w:rsid w:val="001A60AB"/>
    <w:rsid w:val="001A6279"/>
    <w:rsid w:val="001A7727"/>
    <w:rsid w:val="001B3740"/>
    <w:rsid w:val="001C3ECF"/>
    <w:rsid w:val="001C4D60"/>
    <w:rsid w:val="001D4823"/>
    <w:rsid w:val="001D51DD"/>
    <w:rsid w:val="001D7BD4"/>
    <w:rsid w:val="001E193C"/>
    <w:rsid w:val="001F0731"/>
    <w:rsid w:val="001F1A30"/>
    <w:rsid w:val="001F4143"/>
    <w:rsid w:val="001F4AE1"/>
    <w:rsid w:val="001F7C65"/>
    <w:rsid w:val="0020382F"/>
    <w:rsid w:val="002045D0"/>
    <w:rsid w:val="00206315"/>
    <w:rsid w:val="0021429E"/>
    <w:rsid w:val="002172D7"/>
    <w:rsid w:val="002203ED"/>
    <w:rsid w:val="00220F41"/>
    <w:rsid w:val="002231FA"/>
    <w:rsid w:val="002276B3"/>
    <w:rsid w:val="0022792B"/>
    <w:rsid w:val="002338AC"/>
    <w:rsid w:val="00234E8D"/>
    <w:rsid w:val="00235A6D"/>
    <w:rsid w:val="002408DE"/>
    <w:rsid w:val="002419D3"/>
    <w:rsid w:val="00242317"/>
    <w:rsid w:val="002424DC"/>
    <w:rsid w:val="002458A8"/>
    <w:rsid w:val="00245B0F"/>
    <w:rsid w:val="00245CEB"/>
    <w:rsid w:val="00246181"/>
    <w:rsid w:val="002470B0"/>
    <w:rsid w:val="0025173C"/>
    <w:rsid w:val="00253148"/>
    <w:rsid w:val="00253167"/>
    <w:rsid w:val="00266D48"/>
    <w:rsid w:val="0027090A"/>
    <w:rsid w:val="0029050D"/>
    <w:rsid w:val="00292B70"/>
    <w:rsid w:val="002A1F68"/>
    <w:rsid w:val="002A3096"/>
    <w:rsid w:val="002A6666"/>
    <w:rsid w:val="002B1952"/>
    <w:rsid w:val="002B390C"/>
    <w:rsid w:val="002B4DBE"/>
    <w:rsid w:val="002C1703"/>
    <w:rsid w:val="002C4F75"/>
    <w:rsid w:val="002D4B0A"/>
    <w:rsid w:val="002E36E2"/>
    <w:rsid w:val="0030097C"/>
    <w:rsid w:val="00303940"/>
    <w:rsid w:val="00304280"/>
    <w:rsid w:val="003161F2"/>
    <w:rsid w:val="0032404A"/>
    <w:rsid w:val="00324460"/>
    <w:rsid w:val="00327B2E"/>
    <w:rsid w:val="00343C1E"/>
    <w:rsid w:val="00345915"/>
    <w:rsid w:val="00350F6B"/>
    <w:rsid w:val="00351F35"/>
    <w:rsid w:val="00362564"/>
    <w:rsid w:val="00365213"/>
    <w:rsid w:val="00372948"/>
    <w:rsid w:val="00374DAB"/>
    <w:rsid w:val="00377502"/>
    <w:rsid w:val="00377517"/>
    <w:rsid w:val="00382634"/>
    <w:rsid w:val="0038291A"/>
    <w:rsid w:val="003B0144"/>
    <w:rsid w:val="003B5F60"/>
    <w:rsid w:val="003B6F18"/>
    <w:rsid w:val="003C3C7F"/>
    <w:rsid w:val="003D5177"/>
    <w:rsid w:val="003D5231"/>
    <w:rsid w:val="003E0F11"/>
    <w:rsid w:val="003E181A"/>
    <w:rsid w:val="003E58F2"/>
    <w:rsid w:val="003E6E7C"/>
    <w:rsid w:val="003F2418"/>
    <w:rsid w:val="003F60DD"/>
    <w:rsid w:val="003F64F2"/>
    <w:rsid w:val="003F7BCA"/>
    <w:rsid w:val="003F7FE5"/>
    <w:rsid w:val="00402164"/>
    <w:rsid w:val="00402E9C"/>
    <w:rsid w:val="00407E93"/>
    <w:rsid w:val="0041141A"/>
    <w:rsid w:val="0041227F"/>
    <w:rsid w:val="00413E41"/>
    <w:rsid w:val="004222F8"/>
    <w:rsid w:val="00422C1B"/>
    <w:rsid w:val="00425FDD"/>
    <w:rsid w:val="004315CC"/>
    <w:rsid w:val="004334C1"/>
    <w:rsid w:val="00433BA7"/>
    <w:rsid w:val="00436F5E"/>
    <w:rsid w:val="00442392"/>
    <w:rsid w:val="00445E26"/>
    <w:rsid w:val="00451290"/>
    <w:rsid w:val="004522FF"/>
    <w:rsid w:val="00453774"/>
    <w:rsid w:val="004554B1"/>
    <w:rsid w:val="00456E2F"/>
    <w:rsid w:val="00466924"/>
    <w:rsid w:val="00473A7E"/>
    <w:rsid w:val="00473B76"/>
    <w:rsid w:val="00476DBE"/>
    <w:rsid w:val="0048171A"/>
    <w:rsid w:val="00482DDE"/>
    <w:rsid w:val="004873E6"/>
    <w:rsid w:val="004876E7"/>
    <w:rsid w:val="00496AB0"/>
    <w:rsid w:val="004A0D1F"/>
    <w:rsid w:val="004A44DD"/>
    <w:rsid w:val="004A55D5"/>
    <w:rsid w:val="004A684C"/>
    <w:rsid w:val="004A768D"/>
    <w:rsid w:val="004B587E"/>
    <w:rsid w:val="004C2ADD"/>
    <w:rsid w:val="004D0795"/>
    <w:rsid w:val="004D6CA9"/>
    <w:rsid w:val="004E561F"/>
    <w:rsid w:val="004F0D66"/>
    <w:rsid w:val="004F160E"/>
    <w:rsid w:val="004F49D7"/>
    <w:rsid w:val="004F4E1D"/>
    <w:rsid w:val="004F6366"/>
    <w:rsid w:val="005046F0"/>
    <w:rsid w:val="00506045"/>
    <w:rsid w:val="0051050A"/>
    <w:rsid w:val="00513F35"/>
    <w:rsid w:val="00517061"/>
    <w:rsid w:val="00517906"/>
    <w:rsid w:val="0052041A"/>
    <w:rsid w:val="00520737"/>
    <w:rsid w:val="00520A8F"/>
    <w:rsid w:val="0052448E"/>
    <w:rsid w:val="00525D07"/>
    <w:rsid w:val="005353B7"/>
    <w:rsid w:val="00536ACD"/>
    <w:rsid w:val="00540F2E"/>
    <w:rsid w:val="00541024"/>
    <w:rsid w:val="00541A10"/>
    <w:rsid w:val="00545A43"/>
    <w:rsid w:val="00546C14"/>
    <w:rsid w:val="005600F6"/>
    <w:rsid w:val="00560538"/>
    <w:rsid w:val="00563C5C"/>
    <w:rsid w:val="00565081"/>
    <w:rsid w:val="00573BB6"/>
    <w:rsid w:val="0057525E"/>
    <w:rsid w:val="00577DD1"/>
    <w:rsid w:val="00582BE6"/>
    <w:rsid w:val="0059075A"/>
    <w:rsid w:val="005915BF"/>
    <w:rsid w:val="00593F09"/>
    <w:rsid w:val="00596C51"/>
    <w:rsid w:val="005A0715"/>
    <w:rsid w:val="005A199F"/>
    <w:rsid w:val="005A64C5"/>
    <w:rsid w:val="005B0DFD"/>
    <w:rsid w:val="005B41CD"/>
    <w:rsid w:val="005C50C6"/>
    <w:rsid w:val="005D09DC"/>
    <w:rsid w:val="005D2EF6"/>
    <w:rsid w:val="005D57E1"/>
    <w:rsid w:val="005E3872"/>
    <w:rsid w:val="005F0CA7"/>
    <w:rsid w:val="005F2061"/>
    <w:rsid w:val="005F524B"/>
    <w:rsid w:val="006010CA"/>
    <w:rsid w:val="006033A4"/>
    <w:rsid w:val="0060389F"/>
    <w:rsid w:val="00607351"/>
    <w:rsid w:val="006075BB"/>
    <w:rsid w:val="006139A0"/>
    <w:rsid w:val="00615A04"/>
    <w:rsid w:val="00624A11"/>
    <w:rsid w:val="00641B02"/>
    <w:rsid w:val="00642C6D"/>
    <w:rsid w:val="00643C5B"/>
    <w:rsid w:val="00647C20"/>
    <w:rsid w:val="0065153C"/>
    <w:rsid w:val="00651DBA"/>
    <w:rsid w:val="0065615B"/>
    <w:rsid w:val="00656DF0"/>
    <w:rsid w:val="00657424"/>
    <w:rsid w:val="006603F4"/>
    <w:rsid w:val="0066470A"/>
    <w:rsid w:val="00664922"/>
    <w:rsid w:val="006666CE"/>
    <w:rsid w:val="00671548"/>
    <w:rsid w:val="00671595"/>
    <w:rsid w:val="006760A1"/>
    <w:rsid w:val="006809B8"/>
    <w:rsid w:val="00683CBD"/>
    <w:rsid w:val="00687D1C"/>
    <w:rsid w:val="006962FB"/>
    <w:rsid w:val="006A298E"/>
    <w:rsid w:val="006A50C9"/>
    <w:rsid w:val="006B0A59"/>
    <w:rsid w:val="006B18CE"/>
    <w:rsid w:val="006B4E36"/>
    <w:rsid w:val="006B5C77"/>
    <w:rsid w:val="006B6845"/>
    <w:rsid w:val="006C0C37"/>
    <w:rsid w:val="006C0DE9"/>
    <w:rsid w:val="006C1242"/>
    <w:rsid w:val="006C39AD"/>
    <w:rsid w:val="006C5ECC"/>
    <w:rsid w:val="006D20B7"/>
    <w:rsid w:val="006D3144"/>
    <w:rsid w:val="006D7DC1"/>
    <w:rsid w:val="006E57DE"/>
    <w:rsid w:val="006E6FAF"/>
    <w:rsid w:val="006F5664"/>
    <w:rsid w:val="0070009D"/>
    <w:rsid w:val="00700C94"/>
    <w:rsid w:val="00701045"/>
    <w:rsid w:val="00701FFF"/>
    <w:rsid w:val="007021DD"/>
    <w:rsid w:val="0070409C"/>
    <w:rsid w:val="00704501"/>
    <w:rsid w:val="00707ED3"/>
    <w:rsid w:val="00711BC5"/>
    <w:rsid w:val="007176A4"/>
    <w:rsid w:val="0072204D"/>
    <w:rsid w:val="007250A3"/>
    <w:rsid w:val="00725D81"/>
    <w:rsid w:val="00725FD5"/>
    <w:rsid w:val="00730465"/>
    <w:rsid w:val="00731EE6"/>
    <w:rsid w:val="007340E5"/>
    <w:rsid w:val="007347D1"/>
    <w:rsid w:val="00736F1D"/>
    <w:rsid w:val="00742744"/>
    <w:rsid w:val="00752FB6"/>
    <w:rsid w:val="0075380D"/>
    <w:rsid w:val="00754331"/>
    <w:rsid w:val="00754987"/>
    <w:rsid w:val="007634A2"/>
    <w:rsid w:val="00772457"/>
    <w:rsid w:val="007728B8"/>
    <w:rsid w:val="00774290"/>
    <w:rsid w:val="00784137"/>
    <w:rsid w:val="0078590E"/>
    <w:rsid w:val="00794E36"/>
    <w:rsid w:val="00797643"/>
    <w:rsid w:val="007A18F7"/>
    <w:rsid w:val="007B16F4"/>
    <w:rsid w:val="007B5DD9"/>
    <w:rsid w:val="007B775E"/>
    <w:rsid w:val="007C2608"/>
    <w:rsid w:val="007C2FF6"/>
    <w:rsid w:val="007C55B3"/>
    <w:rsid w:val="007C5E7E"/>
    <w:rsid w:val="007D295D"/>
    <w:rsid w:val="007D3062"/>
    <w:rsid w:val="007D37DA"/>
    <w:rsid w:val="007E0E7F"/>
    <w:rsid w:val="007E20B0"/>
    <w:rsid w:val="007E2B01"/>
    <w:rsid w:val="007F15FC"/>
    <w:rsid w:val="007F1F5E"/>
    <w:rsid w:val="007F66E5"/>
    <w:rsid w:val="007F68D3"/>
    <w:rsid w:val="0080651A"/>
    <w:rsid w:val="00806712"/>
    <w:rsid w:val="00807EDF"/>
    <w:rsid w:val="008126B0"/>
    <w:rsid w:val="0082611A"/>
    <w:rsid w:val="008360DF"/>
    <w:rsid w:val="00843228"/>
    <w:rsid w:val="00850BB5"/>
    <w:rsid w:val="00860594"/>
    <w:rsid w:val="00864D50"/>
    <w:rsid w:val="00865F1A"/>
    <w:rsid w:val="008678BC"/>
    <w:rsid w:val="0087234E"/>
    <w:rsid w:val="00873554"/>
    <w:rsid w:val="00880F23"/>
    <w:rsid w:val="008841F6"/>
    <w:rsid w:val="008A2B7B"/>
    <w:rsid w:val="008B48CD"/>
    <w:rsid w:val="008B7F2C"/>
    <w:rsid w:val="008C2C0D"/>
    <w:rsid w:val="008C4EDE"/>
    <w:rsid w:val="008C563E"/>
    <w:rsid w:val="008C58FA"/>
    <w:rsid w:val="008C673B"/>
    <w:rsid w:val="008C6A6B"/>
    <w:rsid w:val="008C78B4"/>
    <w:rsid w:val="008D434C"/>
    <w:rsid w:val="008E4484"/>
    <w:rsid w:val="008F10A2"/>
    <w:rsid w:val="0090542E"/>
    <w:rsid w:val="009068E1"/>
    <w:rsid w:val="0090745D"/>
    <w:rsid w:val="009165DA"/>
    <w:rsid w:val="00921F21"/>
    <w:rsid w:val="00927FA7"/>
    <w:rsid w:val="00930875"/>
    <w:rsid w:val="00932244"/>
    <w:rsid w:val="00932D71"/>
    <w:rsid w:val="00933C18"/>
    <w:rsid w:val="00945CD6"/>
    <w:rsid w:val="00947F39"/>
    <w:rsid w:val="009504CA"/>
    <w:rsid w:val="00957AE3"/>
    <w:rsid w:val="009648CE"/>
    <w:rsid w:val="00983DCC"/>
    <w:rsid w:val="00984CA2"/>
    <w:rsid w:val="009919BD"/>
    <w:rsid w:val="00994628"/>
    <w:rsid w:val="009A36C6"/>
    <w:rsid w:val="009A54EA"/>
    <w:rsid w:val="009B1638"/>
    <w:rsid w:val="009B4FDE"/>
    <w:rsid w:val="009D1F6D"/>
    <w:rsid w:val="009D2B92"/>
    <w:rsid w:val="009D47D2"/>
    <w:rsid w:val="009E245F"/>
    <w:rsid w:val="009E28C8"/>
    <w:rsid w:val="009E2D8D"/>
    <w:rsid w:val="009E7970"/>
    <w:rsid w:val="009F0137"/>
    <w:rsid w:val="009F37B9"/>
    <w:rsid w:val="009F5007"/>
    <w:rsid w:val="00A0218A"/>
    <w:rsid w:val="00A10BDE"/>
    <w:rsid w:val="00A117AE"/>
    <w:rsid w:val="00A167C8"/>
    <w:rsid w:val="00A20788"/>
    <w:rsid w:val="00A207D0"/>
    <w:rsid w:val="00A232B6"/>
    <w:rsid w:val="00A320EF"/>
    <w:rsid w:val="00A35B0D"/>
    <w:rsid w:val="00A35E23"/>
    <w:rsid w:val="00A412C5"/>
    <w:rsid w:val="00A41B74"/>
    <w:rsid w:val="00A44209"/>
    <w:rsid w:val="00A478DB"/>
    <w:rsid w:val="00A50A8E"/>
    <w:rsid w:val="00A52483"/>
    <w:rsid w:val="00A63AE5"/>
    <w:rsid w:val="00A66A0D"/>
    <w:rsid w:val="00A75F31"/>
    <w:rsid w:val="00A87F69"/>
    <w:rsid w:val="00A90DDC"/>
    <w:rsid w:val="00A92651"/>
    <w:rsid w:val="00A96810"/>
    <w:rsid w:val="00A96C55"/>
    <w:rsid w:val="00AA1199"/>
    <w:rsid w:val="00AA29C0"/>
    <w:rsid w:val="00AA5D65"/>
    <w:rsid w:val="00AA7681"/>
    <w:rsid w:val="00AA7702"/>
    <w:rsid w:val="00AB0EFE"/>
    <w:rsid w:val="00AB1D78"/>
    <w:rsid w:val="00AB3E2A"/>
    <w:rsid w:val="00AC28EB"/>
    <w:rsid w:val="00AC6418"/>
    <w:rsid w:val="00AC7227"/>
    <w:rsid w:val="00AD297B"/>
    <w:rsid w:val="00AE135C"/>
    <w:rsid w:val="00AE25B2"/>
    <w:rsid w:val="00AE3912"/>
    <w:rsid w:val="00AE4AA0"/>
    <w:rsid w:val="00AE62E8"/>
    <w:rsid w:val="00AF1EC0"/>
    <w:rsid w:val="00AF3D3A"/>
    <w:rsid w:val="00B01385"/>
    <w:rsid w:val="00B041B4"/>
    <w:rsid w:val="00B070F9"/>
    <w:rsid w:val="00B07814"/>
    <w:rsid w:val="00B12569"/>
    <w:rsid w:val="00B12A14"/>
    <w:rsid w:val="00B13D71"/>
    <w:rsid w:val="00B14396"/>
    <w:rsid w:val="00B156A6"/>
    <w:rsid w:val="00B17F6B"/>
    <w:rsid w:val="00B26316"/>
    <w:rsid w:val="00B32B81"/>
    <w:rsid w:val="00B32C03"/>
    <w:rsid w:val="00B44BFD"/>
    <w:rsid w:val="00B45170"/>
    <w:rsid w:val="00B45519"/>
    <w:rsid w:val="00B53E85"/>
    <w:rsid w:val="00B62655"/>
    <w:rsid w:val="00B63542"/>
    <w:rsid w:val="00B66874"/>
    <w:rsid w:val="00B720C1"/>
    <w:rsid w:val="00B73ACF"/>
    <w:rsid w:val="00B772CF"/>
    <w:rsid w:val="00B84547"/>
    <w:rsid w:val="00B8611E"/>
    <w:rsid w:val="00B91A2C"/>
    <w:rsid w:val="00B91D97"/>
    <w:rsid w:val="00BA10D5"/>
    <w:rsid w:val="00BA5DAA"/>
    <w:rsid w:val="00BB13A6"/>
    <w:rsid w:val="00BB60B3"/>
    <w:rsid w:val="00BC04A9"/>
    <w:rsid w:val="00BC6164"/>
    <w:rsid w:val="00BD0863"/>
    <w:rsid w:val="00BD4CFB"/>
    <w:rsid w:val="00BE19FA"/>
    <w:rsid w:val="00BE27B4"/>
    <w:rsid w:val="00BE34EB"/>
    <w:rsid w:val="00BE4582"/>
    <w:rsid w:val="00BE4FD8"/>
    <w:rsid w:val="00BE7952"/>
    <w:rsid w:val="00C01655"/>
    <w:rsid w:val="00C04DC7"/>
    <w:rsid w:val="00C07324"/>
    <w:rsid w:val="00C12B95"/>
    <w:rsid w:val="00C1674B"/>
    <w:rsid w:val="00C21883"/>
    <w:rsid w:val="00C25529"/>
    <w:rsid w:val="00C261AA"/>
    <w:rsid w:val="00C30950"/>
    <w:rsid w:val="00C42A3E"/>
    <w:rsid w:val="00C440B7"/>
    <w:rsid w:val="00C44640"/>
    <w:rsid w:val="00C44D32"/>
    <w:rsid w:val="00C51A73"/>
    <w:rsid w:val="00C56EA9"/>
    <w:rsid w:val="00C64844"/>
    <w:rsid w:val="00C661EF"/>
    <w:rsid w:val="00C709A6"/>
    <w:rsid w:val="00C7166D"/>
    <w:rsid w:val="00C739AF"/>
    <w:rsid w:val="00C753B9"/>
    <w:rsid w:val="00C75EA4"/>
    <w:rsid w:val="00C83642"/>
    <w:rsid w:val="00C94A5D"/>
    <w:rsid w:val="00C96E8C"/>
    <w:rsid w:val="00CA002B"/>
    <w:rsid w:val="00CA3E1E"/>
    <w:rsid w:val="00CA3E22"/>
    <w:rsid w:val="00CC1B45"/>
    <w:rsid w:val="00CC239A"/>
    <w:rsid w:val="00CC36A1"/>
    <w:rsid w:val="00CC51A6"/>
    <w:rsid w:val="00CD0B40"/>
    <w:rsid w:val="00CD0BCA"/>
    <w:rsid w:val="00CD309A"/>
    <w:rsid w:val="00CE3C91"/>
    <w:rsid w:val="00CE6A05"/>
    <w:rsid w:val="00CE6EFF"/>
    <w:rsid w:val="00CF5575"/>
    <w:rsid w:val="00CF5F18"/>
    <w:rsid w:val="00CF7702"/>
    <w:rsid w:val="00D00BAB"/>
    <w:rsid w:val="00D012A6"/>
    <w:rsid w:val="00D01CDD"/>
    <w:rsid w:val="00D03836"/>
    <w:rsid w:val="00D06D5F"/>
    <w:rsid w:val="00D06F08"/>
    <w:rsid w:val="00D079B2"/>
    <w:rsid w:val="00D1021D"/>
    <w:rsid w:val="00D15AEE"/>
    <w:rsid w:val="00D23308"/>
    <w:rsid w:val="00D30D77"/>
    <w:rsid w:val="00D34DCF"/>
    <w:rsid w:val="00D415CE"/>
    <w:rsid w:val="00D44A24"/>
    <w:rsid w:val="00D44E91"/>
    <w:rsid w:val="00D45212"/>
    <w:rsid w:val="00D459ED"/>
    <w:rsid w:val="00D5165F"/>
    <w:rsid w:val="00D519D9"/>
    <w:rsid w:val="00D5761F"/>
    <w:rsid w:val="00D663D9"/>
    <w:rsid w:val="00D70F39"/>
    <w:rsid w:val="00D745BF"/>
    <w:rsid w:val="00D75DB2"/>
    <w:rsid w:val="00D77492"/>
    <w:rsid w:val="00D8682B"/>
    <w:rsid w:val="00D908DB"/>
    <w:rsid w:val="00D90EF6"/>
    <w:rsid w:val="00D92E42"/>
    <w:rsid w:val="00D930EC"/>
    <w:rsid w:val="00D93FA7"/>
    <w:rsid w:val="00D97D70"/>
    <w:rsid w:val="00DA2136"/>
    <w:rsid w:val="00DA48F4"/>
    <w:rsid w:val="00DA496E"/>
    <w:rsid w:val="00DB24D4"/>
    <w:rsid w:val="00DB592C"/>
    <w:rsid w:val="00DB655C"/>
    <w:rsid w:val="00DC2708"/>
    <w:rsid w:val="00DC7260"/>
    <w:rsid w:val="00DD0F24"/>
    <w:rsid w:val="00DD1C5F"/>
    <w:rsid w:val="00DD37E1"/>
    <w:rsid w:val="00DE16DE"/>
    <w:rsid w:val="00DE428F"/>
    <w:rsid w:val="00DE4962"/>
    <w:rsid w:val="00DF3E8D"/>
    <w:rsid w:val="00DF5D68"/>
    <w:rsid w:val="00E00860"/>
    <w:rsid w:val="00E03550"/>
    <w:rsid w:val="00E03A9A"/>
    <w:rsid w:val="00E05A0A"/>
    <w:rsid w:val="00E0789E"/>
    <w:rsid w:val="00E11F77"/>
    <w:rsid w:val="00E22B6F"/>
    <w:rsid w:val="00E22F3A"/>
    <w:rsid w:val="00E237F4"/>
    <w:rsid w:val="00E2516B"/>
    <w:rsid w:val="00E252AD"/>
    <w:rsid w:val="00E25C89"/>
    <w:rsid w:val="00E33F12"/>
    <w:rsid w:val="00E35408"/>
    <w:rsid w:val="00E41D46"/>
    <w:rsid w:val="00E5120F"/>
    <w:rsid w:val="00E57930"/>
    <w:rsid w:val="00E61C29"/>
    <w:rsid w:val="00E63883"/>
    <w:rsid w:val="00E64515"/>
    <w:rsid w:val="00E71FDB"/>
    <w:rsid w:val="00E72E9A"/>
    <w:rsid w:val="00E76DEB"/>
    <w:rsid w:val="00E77C63"/>
    <w:rsid w:val="00E86DB9"/>
    <w:rsid w:val="00E92616"/>
    <w:rsid w:val="00E92764"/>
    <w:rsid w:val="00E92C3A"/>
    <w:rsid w:val="00E94CAF"/>
    <w:rsid w:val="00E9528D"/>
    <w:rsid w:val="00E952E6"/>
    <w:rsid w:val="00EA12DE"/>
    <w:rsid w:val="00EA61A0"/>
    <w:rsid w:val="00EB0C42"/>
    <w:rsid w:val="00EB40B5"/>
    <w:rsid w:val="00EB428C"/>
    <w:rsid w:val="00EB588E"/>
    <w:rsid w:val="00EB5B54"/>
    <w:rsid w:val="00EC2F76"/>
    <w:rsid w:val="00EC329F"/>
    <w:rsid w:val="00EC66D7"/>
    <w:rsid w:val="00ED7B26"/>
    <w:rsid w:val="00EE1914"/>
    <w:rsid w:val="00EE329E"/>
    <w:rsid w:val="00EE33E5"/>
    <w:rsid w:val="00EE4944"/>
    <w:rsid w:val="00EF0E59"/>
    <w:rsid w:val="00EF2B54"/>
    <w:rsid w:val="00F00588"/>
    <w:rsid w:val="00F07B04"/>
    <w:rsid w:val="00F11AC9"/>
    <w:rsid w:val="00F12B62"/>
    <w:rsid w:val="00F13499"/>
    <w:rsid w:val="00F1704C"/>
    <w:rsid w:val="00F22E9A"/>
    <w:rsid w:val="00F23DB3"/>
    <w:rsid w:val="00F313CC"/>
    <w:rsid w:val="00F33CA1"/>
    <w:rsid w:val="00F34C87"/>
    <w:rsid w:val="00F42E24"/>
    <w:rsid w:val="00F47615"/>
    <w:rsid w:val="00F51D8A"/>
    <w:rsid w:val="00F62F23"/>
    <w:rsid w:val="00F665F8"/>
    <w:rsid w:val="00F67673"/>
    <w:rsid w:val="00F700EA"/>
    <w:rsid w:val="00F73374"/>
    <w:rsid w:val="00F76410"/>
    <w:rsid w:val="00F820E6"/>
    <w:rsid w:val="00F85204"/>
    <w:rsid w:val="00F95537"/>
    <w:rsid w:val="00F97E8B"/>
    <w:rsid w:val="00FA05FE"/>
    <w:rsid w:val="00FA27D3"/>
    <w:rsid w:val="00FA37F6"/>
    <w:rsid w:val="00FA6105"/>
    <w:rsid w:val="00FB0295"/>
    <w:rsid w:val="00FB1BA8"/>
    <w:rsid w:val="00FC04C5"/>
    <w:rsid w:val="00FC6FF2"/>
    <w:rsid w:val="00FD1B70"/>
    <w:rsid w:val="00FD4B62"/>
    <w:rsid w:val="00FD7600"/>
    <w:rsid w:val="00FD782D"/>
    <w:rsid w:val="00FE38FA"/>
    <w:rsid w:val="00FE7337"/>
    <w:rsid w:val="00FF3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0F0836"/>
  <w15:docId w15:val="{4BE4C463-62D3-46DB-B8E6-04275B202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nhideWhenUsed/>
    <w:qFormat/>
    <w:rsid w:val="00984CA2"/>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uiPriority w:val="99"/>
    <w:rsid w:val="005A64C5"/>
    <w:rPr>
      <w:sz w:val="16"/>
      <w:szCs w:val="16"/>
    </w:rPr>
  </w:style>
  <w:style w:type="paragraph" w:styleId="CommentText">
    <w:name w:val="annotation text"/>
    <w:basedOn w:val="Normal"/>
    <w:link w:val="CommentTextChar"/>
    <w:uiPriority w:val="99"/>
    <w:rsid w:val="005A64C5"/>
    <w:rPr>
      <w:sz w:val="20"/>
      <w:szCs w:val="20"/>
    </w:rPr>
  </w:style>
  <w:style w:type="character" w:customStyle="1" w:styleId="CommentTextChar">
    <w:name w:val="Comment Text Char"/>
    <w:basedOn w:val="DefaultParagraphFont"/>
    <w:link w:val="CommentText"/>
    <w:uiPriority w:val="99"/>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2C4F75"/>
    <w:rPr>
      <w:rFonts w:ascii="Cambria" w:eastAsia="Times New Roman" w:hAnsi="Cambria" w:cs="Times New Roman"/>
      <w:b/>
      <w:bCs/>
      <w:kern w:val="32"/>
      <w:sz w:val="32"/>
      <w:szCs w:val="32"/>
    </w:rPr>
  </w:style>
  <w:style w:type="character" w:styleId="Emphasis">
    <w:name w:val="Emphasis"/>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erChar">
    <w:name w:val="Header Char"/>
    <w:link w:val="Header"/>
    <w:uiPriority w:val="99"/>
    <w:rsid w:val="00A35B0D"/>
    <w:rPr>
      <w:sz w:val="24"/>
      <w:szCs w:val="24"/>
    </w:rPr>
  </w:style>
  <w:style w:type="paragraph" w:styleId="NoSpacing">
    <w:name w:val="No Spacing"/>
    <w:uiPriority w:val="1"/>
    <w:qFormat/>
    <w:rsid w:val="00A35B0D"/>
    <w:pPr>
      <w:widowControl w:val="0"/>
    </w:pPr>
    <w:rPr>
      <w:rFonts w:ascii="Courier New" w:hAnsi="Courier New"/>
      <w:snapToGrid w:val="0"/>
      <w:sz w:val="24"/>
    </w:rPr>
  </w:style>
  <w:style w:type="paragraph" w:styleId="NormalWeb">
    <w:name w:val="Normal (Web)"/>
    <w:basedOn w:val="Normal"/>
    <w:uiPriority w:val="99"/>
    <w:unhideWhenUsed/>
    <w:rsid w:val="00436F5E"/>
    <w:pPr>
      <w:spacing w:before="100" w:beforeAutospacing="1" w:after="100" w:afterAutospacing="1"/>
    </w:pPr>
  </w:style>
  <w:style w:type="paragraph" w:customStyle="1" w:styleId="NormalSS">
    <w:name w:val="NormalSS"/>
    <w:basedOn w:val="Normal"/>
    <w:link w:val="NormalSSChar"/>
    <w:qFormat/>
    <w:rsid w:val="00647C20"/>
    <w:pPr>
      <w:spacing w:after="240"/>
      <w:ind w:firstLine="432"/>
    </w:pPr>
    <w:rPr>
      <w:szCs w:val="20"/>
    </w:rPr>
  </w:style>
  <w:style w:type="paragraph" w:customStyle="1" w:styleId="NumberedBullet">
    <w:name w:val="Numbered Bullet"/>
    <w:basedOn w:val="Normal"/>
    <w:link w:val="NumberedBulletChar"/>
    <w:qFormat/>
    <w:rsid w:val="00647C20"/>
    <w:pPr>
      <w:numPr>
        <w:numId w:val="16"/>
      </w:numPr>
      <w:tabs>
        <w:tab w:val="left" w:pos="432"/>
      </w:tabs>
      <w:spacing w:after="120"/>
    </w:pPr>
    <w:rPr>
      <w:szCs w:val="20"/>
    </w:rPr>
  </w:style>
  <w:style w:type="character" w:customStyle="1" w:styleId="NumberedBulletChar">
    <w:name w:val="Numbered Bullet Char"/>
    <w:link w:val="NumberedBullet"/>
    <w:rsid w:val="00647C20"/>
    <w:rPr>
      <w:sz w:val="24"/>
      <w:lang w:val="en-US" w:eastAsia="en-US"/>
    </w:rPr>
  </w:style>
  <w:style w:type="character" w:customStyle="1" w:styleId="NormalSSChar">
    <w:name w:val="NormalSS Char"/>
    <w:link w:val="NormalSS"/>
    <w:rsid w:val="00647C20"/>
    <w:rPr>
      <w:sz w:val="24"/>
      <w:lang w:val="en-US" w:eastAsia="en-US"/>
    </w:rPr>
  </w:style>
  <w:style w:type="paragraph" w:customStyle="1" w:styleId="TableHeaderLeft">
    <w:name w:val="Table Header Left"/>
    <w:basedOn w:val="TableText"/>
    <w:next w:val="TableText"/>
    <w:qFormat/>
    <w:rsid w:val="00F85204"/>
    <w:pPr>
      <w:spacing w:before="120" w:after="60"/>
    </w:pPr>
    <w:rPr>
      <w:b/>
      <w:color w:val="FFFFFF"/>
    </w:rPr>
  </w:style>
  <w:style w:type="paragraph" w:customStyle="1" w:styleId="TableHeaderCenter">
    <w:name w:val="Table Header Center"/>
    <w:basedOn w:val="TableHeaderLeft"/>
    <w:qFormat/>
    <w:rsid w:val="00F85204"/>
    <w:pPr>
      <w:jc w:val="center"/>
    </w:pPr>
  </w:style>
  <w:style w:type="paragraph" w:customStyle="1" w:styleId="TableText">
    <w:name w:val="Table Text"/>
    <w:basedOn w:val="Normal"/>
    <w:qFormat/>
    <w:rsid w:val="00F85204"/>
    <w:rPr>
      <w:rFonts w:ascii="Arial" w:hAnsi="Arial"/>
      <w:sz w:val="18"/>
      <w:szCs w:val="20"/>
    </w:rPr>
  </w:style>
  <w:style w:type="table" w:styleId="LightList">
    <w:name w:val="Light List"/>
    <w:basedOn w:val="TableNormal"/>
    <w:uiPriority w:val="61"/>
    <w:rsid w:val="00F85204"/>
    <w:rPr>
      <w:rFonts w:ascii="Calibri" w:hAnsi="Calibri"/>
      <w:sz w:val="22"/>
      <w:szCs w:val="22"/>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MarkforTableTitle">
    <w:name w:val="Mark for Table Title"/>
    <w:basedOn w:val="Normal"/>
    <w:next w:val="NormalSS"/>
    <w:qFormat/>
    <w:rsid w:val="00700C94"/>
    <w:pPr>
      <w:keepNext/>
      <w:spacing w:after="60"/>
    </w:pPr>
    <w:rPr>
      <w:rFonts w:ascii="Arial Black" w:hAnsi="Arial Black"/>
      <w:sz w:val="22"/>
      <w:szCs w:val="20"/>
    </w:rPr>
  </w:style>
  <w:style w:type="paragraph" w:customStyle="1" w:styleId="TableFootnoteCaption">
    <w:name w:val="Table Footnote_Caption"/>
    <w:qFormat/>
    <w:rsid w:val="00700C94"/>
    <w:pPr>
      <w:tabs>
        <w:tab w:val="left" w:pos="1080"/>
      </w:tabs>
      <w:spacing w:before="60"/>
    </w:pPr>
    <w:rPr>
      <w:rFonts w:ascii="Arial" w:hAnsi="Arial"/>
      <w:sz w:val="18"/>
    </w:rPr>
  </w:style>
  <w:style w:type="table" w:customStyle="1" w:styleId="SMPRTableBlack">
    <w:name w:val="SMPR_Table_Black"/>
    <w:basedOn w:val="TableNormal"/>
    <w:uiPriority w:val="99"/>
    <w:rsid w:val="00A41B74"/>
    <w:pPr>
      <w:spacing w:after="240"/>
      <w:ind w:firstLine="432"/>
      <w:jc w:val="both"/>
    </w:pPr>
    <w:rPr>
      <w:rFonts w:ascii="Lucida Sans" w:hAnsi="Lucida Sans"/>
      <w:szCs w:val="24"/>
    </w:rPr>
    <w:tblPr>
      <w:tblInd w:w="115" w:type="dxa"/>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table" w:customStyle="1" w:styleId="TableGrid1">
    <w:name w:val="Table Grid1"/>
    <w:basedOn w:val="TableNormal"/>
    <w:next w:val="TableGrid"/>
    <w:uiPriority w:val="39"/>
    <w:rsid w:val="000818D6"/>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0818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C1242"/>
    <w:pPr>
      <w:ind w:left="720"/>
    </w:pPr>
    <w:rPr>
      <w:rFonts w:ascii="Calibri" w:eastAsia="Calibri" w:hAnsi="Calibri"/>
      <w:sz w:val="22"/>
      <w:szCs w:val="22"/>
    </w:rPr>
  </w:style>
  <w:style w:type="paragraph" w:customStyle="1" w:styleId="DashLASTSS">
    <w:name w:val="Dash (LAST SS)"/>
    <w:basedOn w:val="Normal"/>
    <w:next w:val="NormalSS"/>
    <w:qFormat/>
    <w:rsid w:val="005A0715"/>
    <w:pPr>
      <w:numPr>
        <w:numId w:val="24"/>
      </w:numPr>
      <w:tabs>
        <w:tab w:val="left" w:pos="288"/>
      </w:tabs>
      <w:spacing w:after="240"/>
    </w:pPr>
    <w:rPr>
      <w:szCs w:val="20"/>
    </w:rPr>
  </w:style>
  <w:style w:type="character" w:styleId="FootnoteReference">
    <w:name w:val="footnote reference"/>
    <w:qFormat/>
    <w:rsid w:val="00641B02"/>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641B02"/>
    <w:pPr>
      <w:spacing w:after="120"/>
    </w:pPr>
    <w:rPr>
      <w:sz w:val="20"/>
      <w:szCs w:val="20"/>
    </w:rPr>
  </w:style>
  <w:style w:type="character" w:customStyle="1" w:styleId="FootnoteTextChar">
    <w:name w:val="Footnote Text Char"/>
    <w:basedOn w:val="DefaultParagraphFont"/>
    <w:link w:val="FootnoteText"/>
    <w:rsid w:val="00641B02"/>
  </w:style>
  <w:style w:type="paragraph" w:styleId="Revision">
    <w:name w:val="Revision"/>
    <w:hidden/>
    <w:uiPriority w:val="99"/>
    <w:semiHidden/>
    <w:rsid w:val="00F9553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8148795">
      <w:bodyDiv w:val="1"/>
      <w:marLeft w:val="0"/>
      <w:marRight w:val="0"/>
      <w:marTop w:val="0"/>
      <w:marBottom w:val="0"/>
      <w:divBdr>
        <w:top w:val="none" w:sz="0" w:space="0" w:color="auto"/>
        <w:left w:val="none" w:sz="0" w:space="0" w:color="auto"/>
        <w:bottom w:val="none" w:sz="0" w:space="0" w:color="auto"/>
        <w:right w:val="none" w:sz="0" w:space="0" w:color="auto"/>
      </w:divBdr>
    </w:div>
    <w:div w:id="1151796553">
      <w:bodyDiv w:val="1"/>
      <w:marLeft w:val="0"/>
      <w:marRight w:val="0"/>
      <w:marTop w:val="0"/>
      <w:marBottom w:val="0"/>
      <w:divBdr>
        <w:top w:val="none" w:sz="0" w:space="0" w:color="auto"/>
        <w:left w:val="none" w:sz="0" w:space="0" w:color="auto"/>
        <w:bottom w:val="none" w:sz="0" w:space="0" w:color="auto"/>
        <w:right w:val="none" w:sz="0" w:space="0" w:color="auto"/>
      </w:divBdr>
    </w:div>
    <w:div w:id="1231035502">
      <w:bodyDiv w:val="1"/>
      <w:marLeft w:val="0"/>
      <w:marRight w:val="0"/>
      <w:marTop w:val="0"/>
      <w:marBottom w:val="0"/>
      <w:divBdr>
        <w:top w:val="none" w:sz="0" w:space="0" w:color="auto"/>
        <w:left w:val="none" w:sz="0" w:space="0" w:color="auto"/>
        <w:bottom w:val="none" w:sz="0" w:space="0" w:color="auto"/>
        <w:right w:val="none" w:sz="0" w:space="0" w:color="auto"/>
      </w:divBdr>
    </w:div>
    <w:div w:id="1551917799">
      <w:bodyDiv w:val="1"/>
      <w:marLeft w:val="0"/>
      <w:marRight w:val="0"/>
      <w:marTop w:val="0"/>
      <w:marBottom w:val="0"/>
      <w:divBdr>
        <w:top w:val="none" w:sz="0" w:space="0" w:color="auto"/>
        <w:left w:val="none" w:sz="0" w:space="0" w:color="auto"/>
        <w:bottom w:val="none" w:sz="0" w:space="0" w:color="auto"/>
        <w:right w:val="none" w:sz="0" w:space="0" w:color="auto"/>
      </w:divBdr>
    </w:div>
    <w:div w:id="1673414438">
      <w:bodyDiv w:val="1"/>
      <w:marLeft w:val="0"/>
      <w:marRight w:val="0"/>
      <w:marTop w:val="0"/>
      <w:marBottom w:val="0"/>
      <w:divBdr>
        <w:top w:val="none" w:sz="0" w:space="0" w:color="auto"/>
        <w:left w:val="none" w:sz="0" w:space="0" w:color="auto"/>
        <w:bottom w:val="none" w:sz="0" w:space="0" w:color="auto"/>
        <w:right w:val="none" w:sz="0" w:space="0" w:color="auto"/>
      </w:divBdr>
    </w:div>
    <w:div w:id="2125994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ginfo.gov/public/do/PRAViewICR?ref_nbr=201806-0970-006"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8686A168C6BA943A92CA58565AE45FB" ma:contentTypeVersion="0" ma:contentTypeDescription="Create a new document." ma:contentTypeScope="" ma:versionID="146d93f12f19a62c6d8369381ffc871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500F19-0DE7-4CEA-B9A2-FDD840442510}">
  <ds:schemaRefs>
    <ds:schemaRef ds:uri="http://schemas.microsoft.com/sharepoint/v3/contenttype/forms"/>
  </ds:schemaRefs>
</ds:datastoreItem>
</file>

<file path=customXml/itemProps2.xml><?xml version="1.0" encoding="utf-8"?>
<ds:datastoreItem xmlns:ds="http://schemas.openxmlformats.org/officeDocument/2006/customXml" ds:itemID="{08EC7B4B-31DB-44B1-AF7D-21C0984E0072}">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BD8B2EEE-8360-4E7F-BC49-B0834BE29E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49C4FD0-93D2-452E-8DAE-7824487A6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9076</Words>
  <Characters>52024</Characters>
  <Application>Microsoft Office Word</Application>
  <DocSecurity>0</DocSecurity>
  <Lines>433</Lines>
  <Paragraphs>121</Paragraphs>
  <ScaleCrop>false</ScaleCrop>
  <HeadingPairs>
    <vt:vector size="2" baseType="variant">
      <vt:variant>
        <vt:lpstr>Title</vt:lpstr>
      </vt:variant>
      <vt:variant>
        <vt:i4>1</vt:i4>
      </vt:variant>
    </vt:vector>
  </HeadingPairs>
  <TitlesOfParts>
    <vt:vector size="1" baseType="lpstr">
      <vt:lpstr>OPRE OMB Clearance Manual</vt:lpstr>
    </vt:vector>
  </TitlesOfParts>
  <Company>DHHS</Company>
  <LinksUpToDate>false</LinksUpToDate>
  <CharactersWithSpaces>60979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OPRE OMB Clearance Manual</dc:title>
  <dc:subject/>
  <dc:creator>DHHS</dc:creator>
  <cp:keywords/>
  <cp:lastModifiedBy>Illangasekare, Samantha (ACF)</cp:lastModifiedBy>
  <cp:revision>2</cp:revision>
  <cp:lastPrinted>2018-12-03T18:24:00Z</cp:lastPrinted>
  <dcterms:created xsi:type="dcterms:W3CDTF">2020-05-12T19:48:00Z</dcterms:created>
  <dcterms:modified xsi:type="dcterms:W3CDTF">2020-05-12T19:48:00Z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0">
    <vt:lpwstr/>
  </property>
  <property fmtid="{D5CDD505-2E9C-101B-9397-08002B2CF9AE}" pid="3" name="ContentTypeId">
    <vt:lpwstr>0x01010068686A168C6BA943A92CA58565AE45FB</vt:lpwstr>
  </property>
</Properties>
</file>