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93" w:rsidP="00FB7693" w:rsidRDefault="002F157A" w14:paraId="71004286" w14:textId="77777777">
      <w:pPr>
        <w:spacing w:after="0"/>
        <w:ind w:left="990" w:hanging="990"/>
        <w:rPr>
          <w:rFonts w:ascii="Calibri" w:hAnsi="Calibri" w:cs="Calibri"/>
          <w:sz w:val="22"/>
          <w:szCs w:val="22"/>
        </w:rPr>
      </w:pPr>
      <w:r w:rsidRPr="00FB7693">
        <w:rPr>
          <w:rStyle w:val="Bold"/>
          <w:rFonts w:ascii="Calibri" w:hAnsi="Calibri" w:cs="Calibri"/>
          <w:sz w:val="22"/>
          <w:szCs w:val="22"/>
        </w:rPr>
        <w:t>To:</w:t>
      </w:r>
      <w:bookmarkStart w:name="ToList" w:id="0"/>
      <w:bookmarkEnd w:id="0"/>
      <w:r w:rsidR="00FB7693">
        <w:rPr>
          <w:rFonts w:ascii="Calibri" w:hAnsi="Calibri" w:cs="Calibri"/>
          <w:sz w:val="22"/>
          <w:szCs w:val="22"/>
        </w:rPr>
        <w:tab/>
        <w:t>Josh Brammer</w:t>
      </w:r>
    </w:p>
    <w:p w:rsidR="00FB7693" w:rsidP="00FB7693" w:rsidRDefault="008A1177" w14:paraId="20298FD4" w14:textId="2A02DEFB">
      <w:pPr>
        <w:spacing w:after="0"/>
        <w:ind w:left="990"/>
        <w:rPr>
          <w:rFonts w:ascii="Calibri" w:hAnsi="Calibri" w:cs="Calibri"/>
          <w:sz w:val="22"/>
          <w:szCs w:val="22"/>
        </w:rPr>
      </w:pPr>
      <w:r w:rsidRPr="00FB7693">
        <w:rPr>
          <w:rFonts w:ascii="Calibri" w:hAnsi="Calibri" w:cs="Calibri"/>
          <w:sz w:val="22"/>
          <w:szCs w:val="22"/>
        </w:rPr>
        <w:t>Office of Information and Regulatory Affairs</w:t>
      </w:r>
    </w:p>
    <w:p w:rsidRPr="00FB7693" w:rsidR="003242F7" w:rsidP="00FB7693" w:rsidRDefault="00FE3987" w14:paraId="07C38149" w14:textId="56C6B564">
      <w:pPr>
        <w:spacing w:after="120"/>
        <w:ind w:left="990"/>
        <w:rPr>
          <w:rFonts w:ascii="Calibri" w:hAnsi="Calibri" w:cs="Calibri"/>
          <w:sz w:val="22"/>
          <w:szCs w:val="22"/>
        </w:rPr>
      </w:pPr>
      <w:r w:rsidRPr="00FB7693">
        <w:rPr>
          <w:rFonts w:ascii="Calibri" w:hAnsi="Calibri" w:cs="Calibri"/>
          <w:sz w:val="22"/>
          <w:szCs w:val="22"/>
        </w:rPr>
        <w:t>O</w:t>
      </w:r>
      <w:r w:rsidRPr="00FB7693" w:rsidR="00222EEC">
        <w:rPr>
          <w:rFonts w:ascii="Calibri" w:hAnsi="Calibri" w:cs="Calibri"/>
          <w:sz w:val="22"/>
          <w:szCs w:val="22"/>
        </w:rPr>
        <w:t xml:space="preserve">ffice of </w:t>
      </w:r>
      <w:r w:rsidRPr="00FB7693">
        <w:rPr>
          <w:rFonts w:ascii="Calibri" w:hAnsi="Calibri" w:cs="Calibri"/>
          <w:sz w:val="22"/>
          <w:szCs w:val="22"/>
        </w:rPr>
        <w:t>M</w:t>
      </w:r>
      <w:r w:rsidRPr="00FB7693" w:rsidR="0021411F">
        <w:rPr>
          <w:rFonts w:ascii="Calibri" w:hAnsi="Calibri" w:cs="Calibri"/>
          <w:sz w:val="22"/>
          <w:szCs w:val="22"/>
        </w:rPr>
        <w:t xml:space="preserve">anagement and </w:t>
      </w:r>
      <w:r w:rsidRPr="00FB7693">
        <w:rPr>
          <w:rFonts w:ascii="Calibri" w:hAnsi="Calibri" w:cs="Calibri"/>
          <w:sz w:val="22"/>
          <w:szCs w:val="22"/>
        </w:rPr>
        <w:t>B</w:t>
      </w:r>
      <w:r w:rsidRPr="00FB7693" w:rsidR="0021411F">
        <w:rPr>
          <w:rFonts w:ascii="Calibri" w:hAnsi="Calibri" w:cs="Calibri"/>
          <w:sz w:val="22"/>
          <w:szCs w:val="22"/>
        </w:rPr>
        <w:t>udget (OMB)</w:t>
      </w:r>
    </w:p>
    <w:p w:rsidR="00FB7693" w:rsidP="00FB7693" w:rsidRDefault="002F157A" w14:paraId="04179F6F" w14:textId="58B539AD">
      <w:pPr>
        <w:spacing w:after="0"/>
        <w:ind w:left="990" w:hanging="990"/>
        <w:rPr>
          <w:rFonts w:ascii="Calibri" w:hAnsi="Calibri" w:cs="Calibri"/>
          <w:sz w:val="22"/>
          <w:szCs w:val="22"/>
        </w:rPr>
      </w:pPr>
      <w:r w:rsidRPr="00FB7693">
        <w:rPr>
          <w:rFonts w:ascii="Calibri" w:hAnsi="Calibri" w:cs="Calibri"/>
          <w:b/>
          <w:sz w:val="22"/>
          <w:szCs w:val="22"/>
        </w:rPr>
        <w:t>From:</w:t>
      </w:r>
      <w:bookmarkStart w:name="From" w:id="1"/>
      <w:bookmarkEnd w:id="1"/>
      <w:r w:rsidR="00FB7693">
        <w:rPr>
          <w:rFonts w:ascii="Calibri" w:hAnsi="Calibri" w:cs="Calibri"/>
          <w:sz w:val="22"/>
          <w:szCs w:val="22"/>
        </w:rPr>
        <w:tab/>
      </w:r>
      <w:r w:rsidRPr="00FB7693" w:rsidR="00B066FC">
        <w:rPr>
          <w:rFonts w:ascii="Calibri" w:hAnsi="Calibri" w:cs="Calibri"/>
          <w:sz w:val="22"/>
          <w:szCs w:val="22"/>
        </w:rPr>
        <w:t>Samantha L. Ill</w:t>
      </w:r>
      <w:r w:rsidRPr="00FB7693" w:rsidR="004C0DD8">
        <w:rPr>
          <w:rFonts w:ascii="Calibri" w:hAnsi="Calibri" w:cs="Calibri"/>
          <w:sz w:val="22"/>
          <w:szCs w:val="22"/>
        </w:rPr>
        <w:t>angasekare</w:t>
      </w:r>
      <w:bookmarkStart w:name="_GoBack" w:id="2"/>
    </w:p>
    <w:p w:rsidR="00FB7693" w:rsidP="00FB7693" w:rsidRDefault="0021411F" w14:paraId="637B32E6" w14:textId="77777777">
      <w:pPr>
        <w:spacing w:after="0"/>
        <w:ind w:left="990"/>
        <w:rPr>
          <w:rFonts w:ascii="Calibri" w:hAnsi="Calibri" w:cs="Calibri"/>
          <w:sz w:val="22"/>
          <w:szCs w:val="22"/>
        </w:rPr>
      </w:pPr>
      <w:r w:rsidRPr="00FB7693">
        <w:rPr>
          <w:rFonts w:ascii="Calibri" w:hAnsi="Calibri" w:cs="Calibri"/>
          <w:sz w:val="22"/>
          <w:szCs w:val="22"/>
        </w:rPr>
        <w:t xml:space="preserve">Office of Planning, Research, </w:t>
      </w:r>
      <w:bookmarkEnd w:id="2"/>
      <w:r w:rsidRPr="00FB7693">
        <w:rPr>
          <w:rFonts w:ascii="Calibri" w:hAnsi="Calibri" w:cs="Calibri"/>
          <w:sz w:val="22"/>
          <w:szCs w:val="22"/>
        </w:rPr>
        <w:t>and Evaluation</w:t>
      </w:r>
    </w:p>
    <w:p w:rsidRPr="00FB7693" w:rsidR="003242F7" w:rsidP="00FB7693" w:rsidRDefault="00DE3D37" w14:paraId="7243857D" w14:textId="630F77FE">
      <w:pPr>
        <w:spacing w:after="120"/>
        <w:ind w:left="990"/>
        <w:rPr>
          <w:rFonts w:ascii="Calibri" w:hAnsi="Calibri" w:cs="Calibri"/>
          <w:sz w:val="22"/>
          <w:szCs w:val="22"/>
        </w:rPr>
      </w:pPr>
      <w:r w:rsidRPr="00FB7693">
        <w:rPr>
          <w:rFonts w:ascii="Calibri" w:hAnsi="Calibri" w:cs="Calibri"/>
          <w:sz w:val="22"/>
          <w:szCs w:val="22"/>
        </w:rPr>
        <w:t>Administration for Children and Families</w:t>
      </w:r>
      <w:r w:rsidRPr="00FB7693" w:rsidR="00C96F9A">
        <w:rPr>
          <w:rFonts w:ascii="Calibri" w:hAnsi="Calibri" w:cs="Calibri"/>
          <w:sz w:val="22"/>
          <w:szCs w:val="22"/>
        </w:rPr>
        <w:t xml:space="preserve"> (ACF)</w:t>
      </w:r>
      <w:r w:rsidRPr="00FB7693" w:rsidDel="00FE3987" w:rsidR="00FE3987">
        <w:rPr>
          <w:rFonts w:ascii="Calibri" w:hAnsi="Calibri" w:cs="Calibri"/>
          <w:sz w:val="22"/>
          <w:szCs w:val="22"/>
        </w:rPr>
        <w:t xml:space="preserve"> </w:t>
      </w:r>
    </w:p>
    <w:p w:rsidRPr="00FB7693" w:rsidR="003242F7" w:rsidP="00FB7693" w:rsidRDefault="00025A53" w14:paraId="2365008D" w14:textId="7472D0FA">
      <w:pPr>
        <w:spacing w:after="120"/>
        <w:ind w:left="990" w:hanging="990"/>
        <w:rPr>
          <w:rFonts w:ascii="Calibri" w:hAnsi="Calibri" w:cs="Calibri"/>
          <w:sz w:val="22"/>
          <w:szCs w:val="22"/>
        </w:rPr>
      </w:pPr>
      <w:r w:rsidRPr="00FB7693">
        <w:rPr>
          <w:rFonts w:ascii="Calibri" w:hAnsi="Calibri" w:cs="Calibri"/>
          <w:b/>
          <w:sz w:val="22"/>
          <w:szCs w:val="22"/>
        </w:rPr>
        <w:t>D</w:t>
      </w:r>
      <w:r w:rsidRPr="00FB7693" w:rsidR="00D9643F">
        <w:rPr>
          <w:rFonts w:ascii="Calibri" w:hAnsi="Calibri" w:cs="Calibri"/>
          <w:b/>
          <w:sz w:val="22"/>
          <w:szCs w:val="22"/>
        </w:rPr>
        <w:t>ate</w:t>
      </w:r>
      <w:r w:rsidRPr="00FB7693">
        <w:rPr>
          <w:rFonts w:ascii="Calibri" w:hAnsi="Calibri" w:cs="Calibri"/>
          <w:b/>
          <w:sz w:val="22"/>
          <w:szCs w:val="22"/>
        </w:rPr>
        <w:t>:</w:t>
      </w:r>
      <w:r w:rsidRPr="00FB7693">
        <w:rPr>
          <w:rFonts w:ascii="Calibri" w:hAnsi="Calibri" w:cs="Calibri"/>
          <w:sz w:val="22"/>
          <w:szCs w:val="22"/>
        </w:rPr>
        <w:tab/>
      </w:r>
      <w:bookmarkStart w:name="DateMark" w:id="3"/>
      <w:bookmarkEnd w:id="3"/>
      <w:r w:rsidRPr="00FB7693" w:rsidR="00FB7693">
        <w:rPr>
          <w:rFonts w:ascii="Calibri" w:hAnsi="Calibri" w:cs="Calibri"/>
          <w:sz w:val="22"/>
          <w:szCs w:val="22"/>
        </w:rPr>
        <w:t>May 12, 2020</w:t>
      </w:r>
    </w:p>
    <w:p w:rsidRPr="00FB7693" w:rsidR="00C1478C" w:rsidP="00FB7693" w:rsidRDefault="002F157A" w14:paraId="74D2E9AD" w14:textId="20F9EA04">
      <w:pPr>
        <w:ind w:left="990" w:hanging="990"/>
        <w:rPr>
          <w:rFonts w:ascii="Calibri" w:hAnsi="Calibri" w:cs="Calibri"/>
          <w:sz w:val="22"/>
          <w:szCs w:val="22"/>
        </w:rPr>
      </w:pPr>
      <w:r w:rsidRPr="00FB7693">
        <w:rPr>
          <w:rFonts w:ascii="Calibri" w:hAnsi="Calibri" w:cs="Calibri"/>
          <w:b/>
          <w:sz w:val="22"/>
          <w:szCs w:val="22"/>
        </w:rPr>
        <w:t>Subject:</w:t>
      </w:r>
      <w:r w:rsidRPr="00FB7693">
        <w:rPr>
          <w:rFonts w:ascii="Calibri" w:hAnsi="Calibri" w:cs="Calibri"/>
          <w:sz w:val="22"/>
          <w:szCs w:val="22"/>
        </w:rPr>
        <w:tab/>
      </w:r>
      <w:bookmarkStart w:name="Subject" w:id="4"/>
      <w:bookmarkStart w:name="MemoNumber" w:id="5"/>
      <w:bookmarkEnd w:id="4"/>
      <w:bookmarkEnd w:id="5"/>
      <w:r w:rsidRPr="00FB7693" w:rsidR="00A57707">
        <w:rPr>
          <w:rFonts w:ascii="Calibri" w:hAnsi="Calibri" w:cs="Calibri"/>
          <w:sz w:val="22"/>
          <w:szCs w:val="22"/>
        </w:rPr>
        <w:t xml:space="preserve">Request </w:t>
      </w:r>
      <w:r w:rsidRPr="00FB7693" w:rsidR="0021411F">
        <w:rPr>
          <w:rFonts w:ascii="Calibri" w:hAnsi="Calibri" w:cs="Calibri"/>
          <w:sz w:val="22"/>
          <w:szCs w:val="22"/>
        </w:rPr>
        <w:t xml:space="preserve">for </w:t>
      </w:r>
      <w:r w:rsidRPr="00FB7693" w:rsidR="00B56BC8">
        <w:rPr>
          <w:rFonts w:ascii="Calibri" w:hAnsi="Calibri" w:cs="Calibri"/>
          <w:sz w:val="22"/>
          <w:szCs w:val="22"/>
        </w:rPr>
        <w:t>change</w:t>
      </w:r>
      <w:r w:rsidRPr="00FB7693" w:rsidR="000B3385">
        <w:rPr>
          <w:rFonts w:ascii="Calibri" w:hAnsi="Calibri" w:cs="Calibri"/>
          <w:sz w:val="22"/>
          <w:szCs w:val="22"/>
        </w:rPr>
        <w:t>s</w:t>
      </w:r>
      <w:r w:rsidRPr="00FB7693" w:rsidR="00B56BC8">
        <w:rPr>
          <w:rFonts w:ascii="Calibri" w:hAnsi="Calibri" w:cs="Calibri"/>
          <w:sz w:val="22"/>
          <w:szCs w:val="22"/>
        </w:rPr>
        <w:t xml:space="preserve"> to</w:t>
      </w:r>
      <w:r w:rsidRPr="00FB7693" w:rsidR="00395B70">
        <w:rPr>
          <w:rFonts w:ascii="Calibri" w:hAnsi="Calibri" w:cs="Calibri"/>
          <w:sz w:val="22"/>
          <w:szCs w:val="22"/>
        </w:rPr>
        <w:t xml:space="preserve"> </w:t>
      </w:r>
      <w:r w:rsidRPr="00FB7693" w:rsidR="00DE3D37">
        <w:rPr>
          <w:rFonts w:ascii="Calibri" w:hAnsi="Calibri" w:cs="Calibri"/>
          <w:sz w:val="22"/>
          <w:szCs w:val="22"/>
        </w:rPr>
        <w:t xml:space="preserve">incentive </w:t>
      </w:r>
      <w:r w:rsidRPr="00FB7693" w:rsidR="00395B70">
        <w:rPr>
          <w:rFonts w:ascii="Calibri" w:hAnsi="Calibri" w:cs="Calibri"/>
          <w:sz w:val="22"/>
          <w:szCs w:val="22"/>
        </w:rPr>
        <w:t>amount</w:t>
      </w:r>
      <w:r w:rsidRPr="00FB7693" w:rsidR="0073793D">
        <w:rPr>
          <w:rFonts w:ascii="Calibri" w:hAnsi="Calibri" w:cs="Calibri"/>
          <w:sz w:val="22"/>
          <w:szCs w:val="22"/>
        </w:rPr>
        <w:t xml:space="preserve"> </w:t>
      </w:r>
      <w:r w:rsidRPr="00FB7693" w:rsidR="00DE3D37">
        <w:rPr>
          <w:rFonts w:ascii="Calibri" w:hAnsi="Calibri" w:cs="Calibri"/>
          <w:sz w:val="22"/>
          <w:szCs w:val="22"/>
        </w:rPr>
        <w:t>for</w:t>
      </w:r>
      <w:r w:rsidRPr="00FB7693" w:rsidR="0021411F">
        <w:rPr>
          <w:rFonts w:ascii="Calibri" w:hAnsi="Calibri" w:cs="Calibri"/>
          <w:sz w:val="22"/>
          <w:szCs w:val="22"/>
        </w:rPr>
        <w:t xml:space="preserve"> </w:t>
      </w:r>
      <w:r w:rsidRPr="00FB7693" w:rsidR="00DE61B7">
        <w:rPr>
          <w:rFonts w:ascii="Calibri" w:hAnsi="Calibri" w:cs="Calibri"/>
          <w:sz w:val="22"/>
          <w:szCs w:val="22"/>
        </w:rPr>
        <w:t>Strengthening Relationship</w:t>
      </w:r>
      <w:r w:rsidRPr="00FB7693" w:rsidR="00E66788">
        <w:rPr>
          <w:rFonts w:ascii="Calibri" w:hAnsi="Calibri" w:cs="Calibri"/>
          <w:sz w:val="22"/>
          <w:szCs w:val="22"/>
        </w:rPr>
        <w:t xml:space="preserve"> Education and Mar</w:t>
      </w:r>
      <w:r w:rsidRPr="00FB7693" w:rsidR="004F56AE">
        <w:rPr>
          <w:rFonts w:ascii="Calibri" w:hAnsi="Calibri" w:cs="Calibri"/>
          <w:sz w:val="22"/>
          <w:szCs w:val="22"/>
        </w:rPr>
        <w:t>r</w:t>
      </w:r>
      <w:r w:rsidRPr="00FB7693" w:rsidR="00E66788">
        <w:rPr>
          <w:rFonts w:ascii="Calibri" w:hAnsi="Calibri" w:cs="Calibri"/>
          <w:sz w:val="22"/>
          <w:szCs w:val="22"/>
        </w:rPr>
        <w:t>iage</w:t>
      </w:r>
      <w:r w:rsidRPr="00FB7693" w:rsidR="004F78A6">
        <w:rPr>
          <w:rFonts w:ascii="Calibri" w:hAnsi="Calibri" w:cs="Calibri"/>
          <w:sz w:val="22"/>
          <w:szCs w:val="22"/>
        </w:rPr>
        <w:t xml:space="preserve"> Services</w:t>
      </w:r>
      <w:r w:rsidRPr="00FB7693" w:rsidR="00E66788">
        <w:rPr>
          <w:rFonts w:ascii="Calibri" w:hAnsi="Calibri" w:cs="Calibri"/>
          <w:sz w:val="22"/>
          <w:szCs w:val="22"/>
        </w:rPr>
        <w:t xml:space="preserve"> </w:t>
      </w:r>
      <w:r w:rsidRPr="00FB7693" w:rsidR="0021411F">
        <w:rPr>
          <w:rFonts w:ascii="Calibri" w:hAnsi="Calibri" w:cs="Calibri"/>
          <w:sz w:val="22"/>
          <w:szCs w:val="22"/>
        </w:rPr>
        <w:t xml:space="preserve">(OMB Control Number </w:t>
      </w:r>
      <w:bookmarkStart w:name="_Hlk39067978" w:id="6"/>
      <w:r w:rsidRPr="00FB7693" w:rsidR="002438D5">
        <w:rPr>
          <w:rFonts w:ascii="Calibri" w:hAnsi="Calibri" w:cs="Calibri"/>
          <w:sz w:val="22"/>
          <w:szCs w:val="22"/>
        </w:rPr>
        <w:t>0970-0481</w:t>
      </w:r>
      <w:bookmarkEnd w:id="6"/>
      <w:r w:rsidRPr="00FB7693" w:rsidR="0021411F">
        <w:rPr>
          <w:rFonts w:ascii="Calibri" w:hAnsi="Calibri" w:cs="Calibri"/>
          <w:sz w:val="22"/>
          <w:szCs w:val="22"/>
        </w:rPr>
        <w:t>)</w:t>
      </w:r>
    </w:p>
    <w:p w:rsidRPr="00395B70" w:rsidR="00C1478C" w:rsidP="001F404D" w:rsidRDefault="00C1478C" w14:paraId="5A5B847D" w14:textId="77777777">
      <w:pPr>
        <w:pStyle w:val="FootnoteSep"/>
        <w:rPr>
          <w:rFonts w:ascii="Calibri" w:hAnsi="Calibri" w:cs="Calibri"/>
          <w:sz w:val="22"/>
          <w:szCs w:val="22"/>
        </w:rPr>
      </w:pPr>
    </w:p>
    <w:p w:rsidRPr="00395B70" w:rsidR="00C81E20" w:rsidP="00F670A5" w:rsidRDefault="00C81E20" w14:paraId="03F685F5" w14:textId="77777777">
      <w:pPr>
        <w:pStyle w:val="FeatureEndRule"/>
        <w:rPr>
          <w:rFonts w:ascii="Calibri" w:hAnsi="Calibri" w:cs="Calibri"/>
          <w:sz w:val="22"/>
          <w:szCs w:val="22"/>
        </w:rPr>
        <w:sectPr w:rsidRPr="00395B70" w:rsidR="00C81E20" w:rsidSect="007D2852">
          <w:headerReference w:type="default" r:id="rId11"/>
          <w:headerReference w:type="first" r:id="rId12"/>
          <w:type w:val="continuous"/>
          <w:pgSz w:w="12240" w:h="15840" w:code="1"/>
          <w:pgMar w:top="1440" w:right="1440" w:bottom="1440" w:left="1440" w:header="720" w:footer="720" w:gutter="0"/>
          <w:cols w:space="720"/>
          <w:titlePg/>
        </w:sectPr>
      </w:pPr>
    </w:p>
    <w:p w:rsidRPr="00395B70" w:rsidR="00C23079" w:rsidP="00654100" w:rsidRDefault="00C23079" w14:paraId="2E912B79" w14:textId="60E6D017">
      <w:pPr>
        <w:pStyle w:val="Paragraph"/>
        <w:rPr>
          <w:rFonts w:ascii="Calibri" w:hAnsi="Calibri" w:cs="Calibri"/>
          <w:b/>
          <w:bCs/>
          <w:sz w:val="22"/>
          <w:szCs w:val="22"/>
          <w:u w:val="single"/>
        </w:rPr>
      </w:pPr>
      <w:bookmarkStart w:name="StartingPoint" w:id="9"/>
      <w:bookmarkEnd w:id="9"/>
      <w:r w:rsidRPr="00395B70">
        <w:rPr>
          <w:rFonts w:ascii="Calibri" w:hAnsi="Calibri" w:cs="Calibri"/>
          <w:b/>
          <w:bCs/>
          <w:sz w:val="22"/>
          <w:szCs w:val="22"/>
          <w:u w:val="single"/>
        </w:rPr>
        <w:t>Background</w:t>
      </w:r>
    </w:p>
    <w:p w:rsidRPr="00395B70" w:rsidR="00C23079" w:rsidP="00CF3F88" w:rsidRDefault="00C23079" w14:paraId="11C9E63D" w14:textId="1A3F0C4A">
      <w:pPr>
        <w:pStyle w:val="Paragraph"/>
        <w:rPr>
          <w:rFonts w:ascii="Calibri" w:hAnsi="Calibri" w:cs="Calibri"/>
          <w:sz w:val="22"/>
          <w:szCs w:val="22"/>
        </w:rPr>
      </w:pPr>
      <w:r w:rsidRPr="00395B70">
        <w:rPr>
          <w:rFonts w:ascii="Calibri" w:hAnsi="Calibri" w:cs="Calibri"/>
          <w:b/>
          <w:bCs/>
          <w:sz w:val="22"/>
          <w:szCs w:val="22"/>
        </w:rPr>
        <w:t>Type of Request</w:t>
      </w:r>
      <w:r w:rsidRPr="00395B70">
        <w:rPr>
          <w:rFonts w:ascii="Calibri" w:hAnsi="Calibri" w:cs="Calibri"/>
          <w:sz w:val="22"/>
          <w:szCs w:val="22"/>
        </w:rPr>
        <w:t xml:space="preserve">: </w:t>
      </w:r>
      <w:r w:rsidRPr="00395B70" w:rsidR="00395B70">
        <w:rPr>
          <w:rFonts w:ascii="Calibri" w:hAnsi="Calibri" w:cs="Calibri"/>
          <w:sz w:val="22"/>
          <w:szCs w:val="22"/>
        </w:rPr>
        <w:t xml:space="preserve">  </w:t>
      </w:r>
      <w:r w:rsidRPr="00395B70">
        <w:rPr>
          <w:rFonts w:ascii="Calibri" w:hAnsi="Calibri" w:cs="Calibri"/>
          <w:sz w:val="22"/>
          <w:szCs w:val="22"/>
        </w:rPr>
        <w:t>Non-</w:t>
      </w:r>
      <w:r w:rsidRPr="00395B70" w:rsidR="00901036">
        <w:rPr>
          <w:rFonts w:ascii="Calibri" w:hAnsi="Calibri" w:cs="Calibri"/>
          <w:sz w:val="22"/>
          <w:szCs w:val="22"/>
        </w:rPr>
        <w:t xml:space="preserve">substantive change to incentive </w:t>
      </w:r>
      <w:r w:rsidRPr="00395B70" w:rsidR="0073793D">
        <w:rPr>
          <w:rFonts w:ascii="Calibri" w:hAnsi="Calibri" w:cs="Calibri"/>
          <w:sz w:val="22"/>
          <w:szCs w:val="22"/>
        </w:rPr>
        <w:t xml:space="preserve">amount </w:t>
      </w:r>
      <w:r w:rsidRPr="00395B70" w:rsidR="00901036">
        <w:rPr>
          <w:rFonts w:ascii="Calibri" w:hAnsi="Calibri" w:cs="Calibri"/>
          <w:sz w:val="22"/>
          <w:szCs w:val="22"/>
        </w:rPr>
        <w:t xml:space="preserve">for </w:t>
      </w:r>
      <w:r w:rsidR="00E34F30">
        <w:rPr>
          <w:rFonts w:ascii="Calibri" w:hAnsi="Calibri" w:cs="Calibri"/>
          <w:sz w:val="22"/>
          <w:szCs w:val="22"/>
        </w:rPr>
        <w:t>the second follow-up</w:t>
      </w:r>
      <w:r w:rsidRPr="00395B70" w:rsidR="00E34F30">
        <w:rPr>
          <w:rFonts w:ascii="Calibri" w:hAnsi="Calibri" w:cs="Calibri"/>
          <w:sz w:val="22"/>
          <w:szCs w:val="22"/>
        </w:rPr>
        <w:t xml:space="preserve"> </w:t>
      </w:r>
      <w:r w:rsidRPr="00395B70" w:rsidR="00901036">
        <w:rPr>
          <w:rFonts w:ascii="Calibri" w:hAnsi="Calibri" w:cs="Calibri"/>
          <w:sz w:val="22"/>
          <w:szCs w:val="22"/>
        </w:rPr>
        <w:t>surveys</w:t>
      </w:r>
      <w:r w:rsidR="002F01D5">
        <w:rPr>
          <w:rFonts w:ascii="Calibri" w:hAnsi="Calibri" w:cs="Calibri"/>
          <w:sz w:val="22"/>
          <w:szCs w:val="22"/>
        </w:rPr>
        <w:t xml:space="preserve"> for </w:t>
      </w:r>
      <w:r w:rsidR="00E8347C">
        <w:rPr>
          <w:rFonts w:ascii="Calibri" w:hAnsi="Calibri" w:cs="Calibri"/>
          <w:sz w:val="22"/>
          <w:szCs w:val="22"/>
        </w:rPr>
        <w:t>two</w:t>
      </w:r>
      <w:r w:rsidR="002F01D5">
        <w:rPr>
          <w:rFonts w:ascii="Calibri" w:hAnsi="Calibri" w:cs="Calibri"/>
          <w:sz w:val="22"/>
          <w:szCs w:val="22"/>
        </w:rPr>
        <w:t xml:space="preserve"> of the </w:t>
      </w:r>
      <w:r w:rsidR="00E8347C">
        <w:rPr>
          <w:rFonts w:ascii="Calibri" w:hAnsi="Calibri" w:cs="Calibri"/>
          <w:sz w:val="22"/>
          <w:szCs w:val="22"/>
        </w:rPr>
        <w:t>four</w:t>
      </w:r>
      <w:r w:rsidR="002F01D5">
        <w:rPr>
          <w:rFonts w:ascii="Calibri" w:hAnsi="Calibri" w:cs="Calibri"/>
          <w:sz w:val="22"/>
          <w:szCs w:val="22"/>
        </w:rPr>
        <w:t xml:space="preserve"> sites</w:t>
      </w:r>
      <w:r w:rsidR="000E7300">
        <w:rPr>
          <w:rFonts w:ascii="Calibri" w:hAnsi="Calibri" w:cs="Calibri"/>
          <w:sz w:val="22"/>
          <w:szCs w:val="22"/>
        </w:rPr>
        <w:t xml:space="preserve"> in Strengthening Relationship Education and Marriage Services (STREAMS)</w:t>
      </w:r>
      <w:r w:rsidR="000F0263">
        <w:rPr>
          <w:rFonts w:ascii="Calibri" w:hAnsi="Calibri" w:cs="Calibri"/>
          <w:sz w:val="22"/>
          <w:szCs w:val="22"/>
        </w:rPr>
        <w:t>.</w:t>
      </w:r>
    </w:p>
    <w:p w:rsidR="000B3E99" w:rsidP="006925BC" w:rsidRDefault="00C23079" w14:paraId="3982FC1A" w14:textId="666CF06F">
      <w:pPr>
        <w:pStyle w:val="Paragraph"/>
        <w:rPr>
          <w:rFonts w:ascii="Calibri" w:hAnsi="Calibri" w:cs="Calibri"/>
          <w:sz w:val="22"/>
          <w:szCs w:val="22"/>
        </w:rPr>
      </w:pPr>
      <w:r w:rsidRPr="00395B70">
        <w:rPr>
          <w:rFonts w:ascii="Calibri" w:hAnsi="Calibri" w:cs="Calibri"/>
          <w:b/>
          <w:bCs/>
          <w:sz w:val="22"/>
          <w:szCs w:val="22"/>
        </w:rPr>
        <w:t>Study Features Salient to Request:</w:t>
      </w:r>
      <w:r w:rsidRPr="00395B70">
        <w:rPr>
          <w:rFonts w:ascii="Calibri" w:hAnsi="Calibri" w:cs="Calibri"/>
          <w:sz w:val="22"/>
          <w:szCs w:val="22"/>
        </w:rPr>
        <w:t xml:space="preserve"> </w:t>
      </w:r>
      <w:r w:rsidRPr="00395B70" w:rsidR="003F2B51">
        <w:rPr>
          <w:rFonts w:ascii="Calibri" w:hAnsi="Calibri" w:cs="Calibri"/>
          <w:sz w:val="22"/>
          <w:szCs w:val="22"/>
        </w:rPr>
        <w:t>T</w:t>
      </w:r>
      <w:r w:rsidRPr="00395B70" w:rsidR="00B24DB5">
        <w:rPr>
          <w:rFonts w:ascii="Calibri" w:hAnsi="Calibri" w:cs="Calibri"/>
          <w:sz w:val="22"/>
          <w:szCs w:val="22"/>
        </w:rPr>
        <w:t xml:space="preserve">he </w:t>
      </w:r>
      <w:r w:rsidRPr="00395B70" w:rsidR="00901036">
        <w:rPr>
          <w:rFonts w:ascii="Calibri" w:hAnsi="Calibri" w:cs="Calibri"/>
          <w:sz w:val="22"/>
          <w:szCs w:val="22"/>
        </w:rPr>
        <w:t xml:space="preserve">purpose of </w:t>
      </w:r>
      <w:r w:rsidR="000E7300">
        <w:rPr>
          <w:rFonts w:ascii="Calibri" w:hAnsi="Calibri" w:cs="Calibri"/>
          <w:sz w:val="22"/>
          <w:szCs w:val="22"/>
        </w:rPr>
        <w:t>ST</w:t>
      </w:r>
      <w:r w:rsidR="00E56052">
        <w:rPr>
          <w:rFonts w:ascii="Calibri" w:hAnsi="Calibri" w:cs="Calibri"/>
          <w:sz w:val="22"/>
          <w:szCs w:val="22"/>
        </w:rPr>
        <w:t>REAMS</w:t>
      </w:r>
      <w:r w:rsidRPr="00395B70" w:rsidR="00B24DB5">
        <w:rPr>
          <w:rFonts w:ascii="Calibri" w:hAnsi="Calibri" w:cs="Calibri"/>
          <w:sz w:val="22"/>
          <w:szCs w:val="22"/>
        </w:rPr>
        <w:t xml:space="preserve"> (OMB </w:t>
      </w:r>
      <w:r w:rsidRPr="00395B70" w:rsidR="00A77016">
        <w:rPr>
          <w:rFonts w:ascii="Calibri" w:hAnsi="Calibri" w:cs="Calibri"/>
          <w:sz w:val="22"/>
          <w:szCs w:val="22"/>
        </w:rPr>
        <w:t xml:space="preserve">control </w:t>
      </w:r>
      <w:r w:rsidRPr="00395B70" w:rsidR="00B24DB5">
        <w:rPr>
          <w:rFonts w:ascii="Calibri" w:hAnsi="Calibri" w:cs="Calibri"/>
          <w:sz w:val="22"/>
          <w:szCs w:val="22"/>
        </w:rPr>
        <w:t xml:space="preserve">number </w:t>
      </w:r>
      <w:r w:rsidRPr="001A140D" w:rsidR="001A140D">
        <w:rPr>
          <w:rFonts w:ascii="Calibri" w:hAnsi="Calibri" w:cs="Calibri"/>
          <w:sz w:val="22"/>
          <w:szCs w:val="22"/>
        </w:rPr>
        <w:t>0970</w:t>
      </w:r>
      <w:r w:rsidRPr="002438D5" w:rsidR="001A140D">
        <w:rPr>
          <w:rFonts w:ascii="Calibri" w:hAnsi="Calibri" w:cs="Calibri"/>
          <w:sz w:val="22"/>
          <w:szCs w:val="22"/>
        </w:rPr>
        <w:t>-0481</w:t>
      </w:r>
      <w:r w:rsidRPr="00395B70" w:rsidR="00B24DB5">
        <w:rPr>
          <w:rFonts w:ascii="Calibri" w:hAnsi="Calibri" w:cs="Calibri"/>
          <w:sz w:val="22"/>
          <w:szCs w:val="22"/>
        </w:rPr>
        <w:t>)</w:t>
      </w:r>
      <w:r w:rsidRPr="00395B70" w:rsidR="00901036">
        <w:rPr>
          <w:rFonts w:ascii="Calibri" w:hAnsi="Calibri" w:cs="Calibri"/>
          <w:sz w:val="22"/>
          <w:szCs w:val="22"/>
        </w:rPr>
        <w:t xml:space="preserve"> is </w:t>
      </w:r>
      <w:proofErr w:type="spellStart"/>
      <w:r w:rsidR="00134B75">
        <w:rPr>
          <w:rFonts w:ascii="Calibri" w:hAnsi="Calibri" w:cs="Calibri"/>
          <w:sz w:val="22"/>
          <w:szCs w:val="22"/>
        </w:rPr>
        <w:t>t</w:t>
      </w:r>
      <w:r w:rsidRPr="007F6E91" w:rsidR="007F6E91">
        <w:rPr>
          <w:rFonts w:ascii="Calibri" w:hAnsi="Calibri" w:cs="Calibri"/>
          <w:color w:val="1A1818"/>
          <w:sz w:val="22"/>
          <w:szCs w:val="22"/>
          <w:lang w:val="en"/>
        </w:rPr>
        <w:t>o</w:t>
      </w:r>
      <w:proofErr w:type="spellEnd"/>
      <w:r w:rsidRPr="007F6E91" w:rsidR="007F6E91">
        <w:rPr>
          <w:rFonts w:ascii="Calibri" w:hAnsi="Calibri" w:cs="Calibri"/>
          <w:color w:val="1A1818"/>
          <w:sz w:val="22"/>
          <w:szCs w:val="22"/>
          <w:lang w:val="en"/>
        </w:rPr>
        <w:t xml:space="preserve"> identify </w:t>
      </w:r>
      <w:r w:rsidR="00E56052">
        <w:rPr>
          <w:rFonts w:ascii="Calibri" w:hAnsi="Calibri" w:cs="Calibri"/>
          <w:color w:val="1A1818"/>
          <w:sz w:val="22"/>
          <w:szCs w:val="22"/>
          <w:lang w:val="en"/>
        </w:rPr>
        <w:t xml:space="preserve">and evaluate </w:t>
      </w:r>
      <w:r w:rsidRPr="007F6E91" w:rsidR="007F6E91">
        <w:rPr>
          <w:rFonts w:ascii="Calibri" w:hAnsi="Calibri" w:cs="Calibri"/>
          <w:color w:val="1A1818"/>
          <w:sz w:val="22"/>
          <w:szCs w:val="22"/>
          <w:lang w:val="en"/>
        </w:rPr>
        <w:t xml:space="preserve">strategies for improving the delivery and effectiveness of </w:t>
      </w:r>
      <w:r w:rsidR="00FB7221">
        <w:rPr>
          <w:rFonts w:ascii="Calibri" w:hAnsi="Calibri" w:cs="Calibri"/>
          <w:color w:val="1A1818"/>
          <w:sz w:val="22"/>
          <w:szCs w:val="22"/>
          <w:lang w:val="en"/>
        </w:rPr>
        <w:t>healthy marriage and relationship education (</w:t>
      </w:r>
      <w:r w:rsidRPr="007F6E91" w:rsidR="007F6E91">
        <w:rPr>
          <w:rFonts w:ascii="Calibri" w:hAnsi="Calibri" w:cs="Calibri"/>
          <w:color w:val="1A1818"/>
          <w:sz w:val="22"/>
          <w:szCs w:val="22"/>
          <w:lang w:val="en"/>
        </w:rPr>
        <w:t>HMRE</w:t>
      </w:r>
      <w:r w:rsidR="00FB7221">
        <w:rPr>
          <w:rFonts w:ascii="Calibri" w:hAnsi="Calibri" w:cs="Calibri"/>
          <w:color w:val="1A1818"/>
          <w:sz w:val="22"/>
          <w:szCs w:val="22"/>
          <w:lang w:val="en"/>
        </w:rPr>
        <w:t>)</w:t>
      </w:r>
      <w:r w:rsidRPr="007F6E91" w:rsidR="007F6E91">
        <w:rPr>
          <w:rFonts w:ascii="Calibri" w:hAnsi="Calibri" w:cs="Calibri"/>
          <w:color w:val="1A1818"/>
          <w:sz w:val="22"/>
          <w:szCs w:val="22"/>
          <w:lang w:val="en"/>
        </w:rPr>
        <w:t xml:space="preserve"> programs</w:t>
      </w:r>
      <w:r w:rsidR="00EB33E9">
        <w:rPr>
          <w:rFonts w:ascii="Calibri" w:hAnsi="Calibri" w:cs="Calibri"/>
          <w:color w:val="1A1818"/>
          <w:sz w:val="22"/>
          <w:szCs w:val="22"/>
          <w:lang w:val="en"/>
        </w:rPr>
        <w:t xml:space="preserve">. </w:t>
      </w:r>
      <w:r w:rsidRPr="007F6E91" w:rsidR="007F6E91">
        <w:rPr>
          <w:rFonts w:ascii="Calibri" w:hAnsi="Calibri" w:cs="Calibri"/>
          <w:color w:val="1A1818"/>
          <w:sz w:val="22"/>
          <w:szCs w:val="22"/>
          <w:lang w:val="en"/>
        </w:rPr>
        <w:t xml:space="preserve">The project includes a process study and </w:t>
      </w:r>
      <w:r w:rsidR="00E56052">
        <w:rPr>
          <w:rFonts w:ascii="Calibri" w:hAnsi="Calibri" w:cs="Calibri"/>
          <w:color w:val="1A1818"/>
          <w:sz w:val="22"/>
          <w:szCs w:val="22"/>
          <w:lang w:val="en"/>
        </w:rPr>
        <w:t xml:space="preserve">a randomized controlled trial </w:t>
      </w:r>
      <w:r w:rsidR="006A234E">
        <w:rPr>
          <w:rFonts w:ascii="Calibri" w:hAnsi="Calibri" w:cs="Calibri"/>
          <w:color w:val="1A1818"/>
          <w:sz w:val="22"/>
          <w:szCs w:val="22"/>
          <w:lang w:val="en"/>
        </w:rPr>
        <w:t>(RCT)</w:t>
      </w:r>
      <w:r w:rsidR="006649C8">
        <w:rPr>
          <w:rFonts w:ascii="Calibri" w:hAnsi="Calibri" w:cs="Calibri"/>
          <w:color w:val="1A1818"/>
          <w:sz w:val="22"/>
          <w:szCs w:val="22"/>
          <w:lang w:val="en"/>
        </w:rPr>
        <w:t xml:space="preserve"> </w:t>
      </w:r>
      <w:r w:rsidR="00E56052">
        <w:rPr>
          <w:rFonts w:ascii="Calibri" w:hAnsi="Calibri" w:cs="Calibri"/>
          <w:color w:val="1A1818"/>
          <w:sz w:val="22"/>
          <w:szCs w:val="22"/>
          <w:lang w:val="en"/>
        </w:rPr>
        <w:t>o</w:t>
      </w:r>
      <w:r w:rsidR="006649C8">
        <w:rPr>
          <w:rFonts w:ascii="Calibri" w:hAnsi="Calibri" w:cs="Calibri"/>
          <w:color w:val="1A1818"/>
          <w:sz w:val="22"/>
          <w:szCs w:val="22"/>
          <w:lang w:val="en"/>
        </w:rPr>
        <w:t xml:space="preserve">f HMRE </w:t>
      </w:r>
      <w:r w:rsidR="00C952EE">
        <w:rPr>
          <w:rFonts w:ascii="Calibri" w:hAnsi="Calibri" w:cs="Calibri"/>
          <w:color w:val="1A1818"/>
          <w:sz w:val="22"/>
          <w:szCs w:val="22"/>
          <w:lang w:val="en"/>
        </w:rPr>
        <w:t>interventions</w:t>
      </w:r>
      <w:r w:rsidR="006649C8">
        <w:rPr>
          <w:rFonts w:ascii="Calibri" w:hAnsi="Calibri" w:cs="Calibri"/>
          <w:color w:val="1A1818"/>
          <w:sz w:val="22"/>
          <w:szCs w:val="22"/>
          <w:lang w:val="en"/>
        </w:rPr>
        <w:t xml:space="preserve"> in four sites</w:t>
      </w:r>
      <w:r w:rsidR="00D01716">
        <w:rPr>
          <w:rFonts w:ascii="Calibri" w:hAnsi="Calibri" w:cs="Calibri"/>
          <w:color w:val="1A1818"/>
          <w:sz w:val="22"/>
          <w:szCs w:val="22"/>
          <w:lang w:val="en"/>
        </w:rPr>
        <w:t xml:space="preserve">: </w:t>
      </w:r>
      <w:r w:rsidR="0035173A">
        <w:rPr>
          <w:rFonts w:ascii="Calibri" w:hAnsi="Calibri" w:cs="Calibri"/>
          <w:color w:val="1A1818"/>
          <w:sz w:val="22"/>
          <w:szCs w:val="22"/>
          <w:lang w:val="en"/>
        </w:rPr>
        <w:t>(</w:t>
      </w:r>
      <w:r w:rsidRPr="003539D2" w:rsidR="0035173A">
        <w:rPr>
          <w:rFonts w:ascii="Calibri" w:hAnsi="Calibri" w:cs="Calibri"/>
          <w:sz w:val="22"/>
          <w:szCs w:val="22"/>
          <w:lang w:val="en"/>
        </w:rPr>
        <w:t xml:space="preserve">1) </w:t>
      </w:r>
      <w:proofErr w:type="spellStart"/>
      <w:r w:rsidR="00001B72">
        <w:rPr>
          <w:rFonts w:ascii="Calibri" w:hAnsi="Calibri" w:cs="Calibri"/>
          <w:sz w:val="22"/>
          <w:szCs w:val="22"/>
        </w:rPr>
        <w:t>MotherWise</w:t>
      </w:r>
      <w:proofErr w:type="spellEnd"/>
      <w:r w:rsidRPr="003539D2" w:rsidR="0035173A">
        <w:rPr>
          <w:rFonts w:ascii="Calibri" w:hAnsi="Calibri" w:cs="Calibri"/>
          <w:sz w:val="22"/>
          <w:szCs w:val="22"/>
        </w:rPr>
        <w:t xml:space="preserve"> in Denver</w:t>
      </w:r>
      <w:r w:rsidR="00814A2C">
        <w:rPr>
          <w:rFonts w:ascii="Calibri" w:hAnsi="Calibri" w:cs="Calibri"/>
          <w:sz w:val="22"/>
          <w:szCs w:val="22"/>
        </w:rPr>
        <w:t>, CO</w:t>
      </w:r>
      <w:r w:rsidRPr="003539D2" w:rsidR="0035173A">
        <w:rPr>
          <w:rFonts w:ascii="Calibri" w:hAnsi="Calibri" w:cs="Calibri"/>
          <w:sz w:val="22"/>
          <w:szCs w:val="22"/>
        </w:rPr>
        <w:t xml:space="preserve">, (2) Family Workforce Centers of America </w:t>
      </w:r>
      <w:r w:rsidR="00A93FFF">
        <w:rPr>
          <w:rFonts w:ascii="Calibri" w:hAnsi="Calibri" w:cs="Calibri"/>
          <w:sz w:val="22"/>
          <w:szCs w:val="22"/>
        </w:rPr>
        <w:t xml:space="preserve">(FWCA) </w:t>
      </w:r>
      <w:r w:rsidR="00E9604A">
        <w:rPr>
          <w:rFonts w:ascii="Calibri" w:hAnsi="Calibri" w:cs="Calibri"/>
          <w:sz w:val="22"/>
          <w:szCs w:val="22"/>
        </w:rPr>
        <w:t xml:space="preserve">in </w:t>
      </w:r>
      <w:r w:rsidRPr="003539D2" w:rsidR="0035173A">
        <w:rPr>
          <w:rFonts w:ascii="Calibri" w:hAnsi="Calibri" w:cs="Calibri"/>
          <w:sz w:val="22"/>
          <w:szCs w:val="22"/>
        </w:rPr>
        <w:t>St. Louis</w:t>
      </w:r>
      <w:r w:rsidR="00814A2C">
        <w:rPr>
          <w:rFonts w:ascii="Calibri" w:hAnsi="Calibri" w:cs="Calibri"/>
          <w:sz w:val="22"/>
          <w:szCs w:val="22"/>
        </w:rPr>
        <w:t>, MO</w:t>
      </w:r>
      <w:r w:rsidRPr="003539D2" w:rsidR="0035173A">
        <w:rPr>
          <w:rFonts w:ascii="Calibri" w:hAnsi="Calibri" w:cs="Calibri"/>
          <w:sz w:val="22"/>
          <w:szCs w:val="22"/>
        </w:rPr>
        <w:t xml:space="preserve">, (3) The Parenting Center </w:t>
      </w:r>
      <w:r w:rsidRPr="003539D2" w:rsidR="00CC5CAF">
        <w:rPr>
          <w:rFonts w:ascii="Calibri" w:hAnsi="Calibri" w:cs="Calibri"/>
          <w:sz w:val="22"/>
          <w:szCs w:val="22"/>
        </w:rPr>
        <w:t>in Fort Worth</w:t>
      </w:r>
      <w:r w:rsidR="00814A2C">
        <w:rPr>
          <w:rFonts w:ascii="Calibri" w:hAnsi="Calibri" w:cs="Calibri"/>
          <w:sz w:val="22"/>
          <w:szCs w:val="22"/>
        </w:rPr>
        <w:t>, TX</w:t>
      </w:r>
      <w:r w:rsidRPr="003539D2" w:rsidR="0035173A">
        <w:rPr>
          <w:rFonts w:ascii="Calibri" w:hAnsi="Calibri" w:cs="Calibri"/>
          <w:sz w:val="22"/>
          <w:szCs w:val="22"/>
        </w:rPr>
        <w:t xml:space="preserve">, and </w:t>
      </w:r>
      <w:r w:rsidRPr="003539D2" w:rsidR="00CC5CAF">
        <w:rPr>
          <w:rFonts w:ascii="Calibri" w:hAnsi="Calibri" w:cs="Calibri"/>
          <w:sz w:val="22"/>
          <w:szCs w:val="22"/>
        </w:rPr>
        <w:t xml:space="preserve">(4) </w:t>
      </w:r>
      <w:r w:rsidRPr="003539D2" w:rsidR="0035173A">
        <w:rPr>
          <w:rFonts w:ascii="Calibri" w:hAnsi="Calibri" w:cs="Calibri"/>
          <w:sz w:val="22"/>
          <w:szCs w:val="22"/>
        </w:rPr>
        <w:t>More Than Conquerors, Inc. (MTCI)</w:t>
      </w:r>
      <w:r w:rsidRPr="003539D2" w:rsidR="00CC5CAF">
        <w:rPr>
          <w:rFonts w:ascii="Calibri" w:hAnsi="Calibri" w:cs="Calibri"/>
          <w:sz w:val="22"/>
          <w:szCs w:val="22"/>
        </w:rPr>
        <w:t xml:space="preserve"> </w:t>
      </w:r>
      <w:r w:rsidR="00E9604A">
        <w:rPr>
          <w:rFonts w:ascii="Calibri" w:hAnsi="Calibri" w:cs="Calibri"/>
          <w:sz w:val="22"/>
          <w:szCs w:val="22"/>
        </w:rPr>
        <w:t xml:space="preserve">in </w:t>
      </w:r>
      <w:r w:rsidR="00814A2C">
        <w:rPr>
          <w:rFonts w:ascii="Calibri" w:hAnsi="Calibri" w:cs="Calibri"/>
          <w:sz w:val="22"/>
          <w:szCs w:val="22"/>
        </w:rPr>
        <w:t>Atlanta, GA</w:t>
      </w:r>
      <w:r w:rsidRPr="003539D2" w:rsidR="0035173A">
        <w:rPr>
          <w:rFonts w:ascii="Calibri" w:hAnsi="Calibri" w:cs="Calibri"/>
          <w:sz w:val="22"/>
          <w:szCs w:val="22"/>
        </w:rPr>
        <w:t>.</w:t>
      </w:r>
      <w:r w:rsidRPr="006925BC" w:rsidR="00E56052">
        <w:rPr>
          <w:rFonts w:ascii="Calibri" w:hAnsi="Calibri" w:cs="Calibri"/>
          <w:sz w:val="22"/>
          <w:szCs w:val="22"/>
        </w:rPr>
        <w:t xml:space="preserve"> </w:t>
      </w:r>
      <w:proofErr w:type="spellStart"/>
      <w:r w:rsidR="00001B72">
        <w:rPr>
          <w:rFonts w:ascii="Calibri" w:hAnsi="Calibri" w:cs="Calibri"/>
          <w:sz w:val="22"/>
          <w:szCs w:val="22"/>
        </w:rPr>
        <w:t>MotherWise</w:t>
      </w:r>
      <w:proofErr w:type="spellEnd"/>
      <w:r w:rsidRPr="00F829C1" w:rsidR="00CC5CAF">
        <w:rPr>
          <w:rFonts w:ascii="Calibri" w:hAnsi="Calibri" w:cs="Calibri"/>
          <w:sz w:val="22"/>
          <w:szCs w:val="22"/>
        </w:rPr>
        <w:t xml:space="preserve">, </w:t>
      </w:r>
      <w:proofErr w:type="spellStart"/>
      <w:r w:rsidRPr="00F829C1" w:rsidR="00CC5CAF">
        <w:rPr>
          <w:rFonts w:ascii="Calibri" w:hAnsi="Calibri" w:cs="Calibri"/>
          <w:sz w:val="22"/>
          <w:szCs w:val="22"/>
        </w:rPr>
        <w:t>FW</w:t>
      </w:r>
      <w:r w:rsidRPr="00F829C1" w:rsidR="00E9604A">
        <w:rPr>
          <w:rFonts w:ascii="Calibri" w:hAnsi="Calibri" w:cs="Calibri"/>
          <w:sz w:val="22"/>
          <w:szCs w:val="22"/>
        </w:rPr>
        <w:t>C</w:t>
      </w:r>
      <w:r w:rsidR="00E9604A">
        <w:rPr>
          <w:rFonts w:ascii="Calibri" w:hAnsi="Calibri" w:cs="Calibri"/>
          <w:sz w:val="22"/>
          <w:szCs w:val="22"/>
        </w:rPr>
        <w:t>A</w:t>
      </w:r>
      <w:proofErr w:type="spellEnd"/>
      <w:r w:rsidR="00E9604A">
        <w:rPr>
          <w:rFonts w:ascii="Calibri" w:hAnsi="Calibri" w:cs="Calibri"/>
          <w:sz w:val="22"/>
          <w:szCs w:val="22"/>
        </w:rPr>
        <w:t xml:space="preserve">, and </w:t>
      </w:r>
      <w:r w:rsidR="00A93FFF">
        <w:rPr>
          <w:rFonts w:ascii="Calibri" w:hAnsi="Calibri" w:cs="Calibri"/>
          <w:sz w:val="22"/>
          <w:szCs w:val="22"/>
        </w:rPr>
        <w:t>T</w:t>
      </w:r>
      <w:r w:rsidR="00E9604A">
        <w:rPr>
          <w:rFonts w:ascii="Calibri" w:hAnsi="Calibri" w:cs="Calibri"/>
          <w:sz w:val="22"/>
          <w:szCs w:val="22"/>
        </w:rPr>
        <w:t xml:space="preserve">he Parenting Center </w:t>
      </w:r>
      <w:r w:rsidR="003004FD">
        <w:rPr>
          <w:rFonts w:ascii="Calibri" w:hAnsi="Calibri" w:cs="Calibri"/>
          <w:sz w:val="22"/>
          <w:szCs w:val="22"/>
        </w:rPr>
        <w:t>provide services for adults</w:t>
      </w:r>
      <w:r w:rsidR="00E9604A">
        <w:rPr>
          <w:rFonts w:ascii="Calibri" w:hAnsi="Calibri" w:cs="Calibri"/>
          <w:sz w:val="22"/>
          <w:szCs w:val="22"/>
        </w:rPr>
        <w:t xml:space="preserve">.  </w:t>
      </w:r>
      <w:r w:rsidR="00C25407">
        <w:rPr>
          <w:rFonts w:ascii="Calibri" w:hAnsi="Calibri" w:cs="Calibri"/>
          <w:sz w:val="22"/>
          <w:szCs w:val="22"/>
        </w:rPr>
        <w:t>MTCI</w:t>
      </w:r>
      <w:r w:rsidR="00E9604A">
        <w:rPr>
          <w:rFonts w:ascii="Calibri" w:hAnsi="Calibri" w:cs="Calibri"/>
          <w:sz w:val="22"/>
          <w:szCs w:val="22"/>
        </w:rPr>
        <w:t xml:space="preserve"> </w:t>
      </w:r>
      <w:r w:rsidR="006649C8">
        <w:rPr>
          <w:rFonts w:ascii="Calibri" w:hAnsi="Calibri" w:cs="Calibri"/>
          <w:sz w:val="22"/>
          <w:szCs w:val="22"/>
        </w:rPr>
        <w:t xml:space="preserve">provides services </w:t>
      </w:r>
      <w:r w:rsidR="00C25407">
        <w:rPr>
          <w:rFonts w:ascii="Calibri" w:hAnsi="Calibri" w:cs="Calibri"/>
          <w:sz w:val="22"/>
          <w:szCs w:val="22"/>
        </w:rPr>
        <w:t>to</w:t>
      </w:r>
      <w:r w:rsidR="00F86321">
        <w:rPr>
          <w:rFonts w:ascii="Calibri" w:hAnsi="Calibri" w:cs="Calibri"/>
          <w:sz w:val="22"/>
          <w:szCs w:val="22"/>
        </w:rPr>
        <w:t xml:space="preserve"> high school students.</w:t>
      </w:r>
      <w:r w:rsidR="00CC5CAF">
        <w:rPr>
          <w:rFonts w:ascii="Calibri" w:hAnsi="Calibri" w:cs="Calibri"/>
          <w:sz w:val="22"/>
          <w:szCs w:val="22"/>
        </w:rPr>
        <w:t xml:space="preserve"> </w:t>
      </w:r>
      <w:r w:rsidRPr="00E56580" w:rsidR="00E56580">
        <w:rPr>
          <w:rFonts w:ascii="Calibri" w:hAnsi="Calibri" w:cs="Calibri"/>
          <w:sz w:val="22"/>
          <w:szCs w:val="22"/>
        </w:rPr>
        <w:t xml:space="preserve">The information from this study is expected to be of use to policymakers, grantees, </w:t>
      </w:r>
      <w:r w:rsidR="008062DC">
        <w:rPr>
          <w:rFonts w:ascii="Calibri" w:hAnsi="Calibri" w:cs="Calibri"/>
          <w:sz w:val="22"/>
          <w:szCs w:val="22"/>
        </w:rPr>
        <w:t>technical assistance</w:t>
      </w:r>
      <w:r w:rsidRPr="00E56580" w:rsidR="00E56580">
        <w:rPr>
          <w:rFonts w:ascii="Calibri" w:hAnsi="Calibri" w:cs="Calibri"/>
          <w:sz w:val="22"/>
          <w:szCs w:val="22"/>
        </w:rPr>
        <w:t xml:space="preserve"> providers, and researchers. The information could inform policy making, program improvement, decision-making, program design, funding decisions, and the HMRE research field.</w:t>
      </w:r>
    </w:p>
    <w:p w:rsidRPr="00395B70" w:rsidR="00D65B16" w:rsidP="006925BC" w:rsidRDefault="00CC5CAF" w14:paraId="091FC1E2" w14:textId="7C50B527">
      <w:pPr>
        <w:pStyle w:val="Paragraph"/>
        <w:rPr>
          <w:rFonts w:ascii="Calibri" w:hAnsi="Calibri" w:cs="Calibri"/>
          <w:sz w:val="22"/>
          <w:szCs w:val="22"/>
        </w:rPr>
      </w:pPr>
      <w:r>
        <w:rPr>
          <w:rFonts w:ascii="Calibri" w:hAnsi="Calibri" w:cs="Calibri"/>
          <w:sz w:val="22"/>
          <w:szCs w:val="22"/>
        </w:rPr>
        <w:t>In each site, p</w:t>
      </w:r>
      <w:r w:rsidRPr="00395B70">
        <w:rPr>
          <w:rFonts w:ascii="Calibri" w:hAnsi="Calibri" w:cs="Calibri"/>
          <w:sz w:val="22"/>
          <w:szCs w:val="22"/>
        </w:rPr>
        <w:t xml:space="preserve">eople eligible for </w:t>
      </w:r>
      <w:r>
        <w:rPr>
          <w:rFonts w:ascii="Calibri" w:hAnsi="Calibri" w:cs="Calibri"/>
          <w:sz w:val="22"/>
          <w:szCs w:val="22"/>
        </w:rPr>
        <w:t>HMRE services</w:t>
      </w:r>
      <w:r w:rsidRPr="00395B70">
        <w:rPr>
          <w:rFonts w:ascii="Calibri" w:hAnsi="Calibri" w:cs="Calibri"/>
          <w:sz w:val="22"/>
          <w:szCs w:val="22"/>
        </w:rPr>
        <w:t xml:space="preserve"> </w:t>
      </w:r>
      <w:r>
        <w:rPr>
          <w:rFonts w:ascii="Calibri" w:hAnsi="Calibri" w:cs="Calibri"/>
          <w:sz w:val="22"/>
          <w:szCs w:val="22"/>
        </w:rPr>
        <w:t>were</w:t>
      </w:r>
      <w:r w:rsidRPr="00395B70">
        <w:rPr>
          <w:rFonts w:ascii="Calibri" w:hAnsi="Calibri" w:cs="Calibri"/>
          <w:sz w:val="22"/>
          <w:szCs w:val="22"/>
        </w:rPr>
        <w:t xml:space="preserve"> randomized into </w:t>
      </w:r>
      <w:r w:rsidR="00C952EE">
        <w:rPr>
          <w:rFonts w:ascii="Calibri" w:hAnsi="Calibri" w:cs="Calibri"/>
          <w:sz w:val="22"/>
          <w:szCs w:val="22"/>
        </w:rPr>
        <w:t>one or more</w:t>
      </w:r>
      <w:r w:rsidRPr="00395B70">
        <w:rPr>
          <w:rFonts w:ascii="Calibri" w:hAnsi="Calibri" w:cs="Calibri"/>
          <w:sz w:val="22"/>
          <w:szCs w:val="22"/>
        </w:rPr>
        <w:t xml:space="preserve"> treatment group</w:t>
      </w:r>
      <w:r w:rsidR="00C952EE">
        <w:rPr>
          <w:rFonts w:ascii="Calibri" w:hAnsi="Calibri" w:cs="Calibri"/>
          <w:sz w:val="22"/>
          <w:szCs w:val="22"/>
        </w:rPr>
        <w:t>s</w:t>
      </w:r>
      <w:r w:rsidRPr="00395B70">
        <w:rPr>
          <w:rFonts w:ascii="Calibri" w:hAnsi="Calibri" w:cs="Calibri"/>
          <w:sz w:val="22"/>
          <w:szCs w:val="22"/>
        </w:rPr>
        <w:t xml:space="preserve"> who </w:t>
      </w:r>
      <w:r>
        <w:rPr>
          <w:rFonts w:ascii="Calibri" w:hAnsi="Calibri" w:cs="Calibri"/>
          <w:sz w:val="22"/>
          <w:szCs w:val="22"/>
        </w:rPr>
        <w:t>were</w:t>
      </w:r>
      <w:r w:rsidRPr="00395B70">
        <w:rPr>
          <w:rFonts w:ascii="Calibri" w:hAnsi="Calibri" w:cs="Calibri"/>
          <w:sz w:val="22"/>
          <w:szCs w:val="22"/>
        </w:rPr>
        <w:t xml:space="preserve"> offered </w:t>
      </w:r>
      <w:r>
        <w:rPr>
          <w:rFonts w:ascii="Calibri" w:hAnsi="Calibri" w:cs="Calibri"/>
          <w:sz w:val="22"/>
          <w:szCs w:val="22"/>
        </w:rPr>
        <w:t>services</w:t>
      </w:r>
      <w:r w:rsidRPr="00395B70">
        <w:rPr>
          <w:rFonts w:ascii="Calibri" w:hAnsi="Calibri" w:cs="Calibri"/>
          <w:sz w:val="22"/>
          <w:szCs w:val="22"/>
        </w:rPr>
        <w:t xml:space="preserve"> and a control group who </w:t>
      </w:r>
      <w:r>
        <w:rPr>
          <w:rFonts w:ascii="Calibri" w:hAnsi="Calibri" w:cs="Calibri"/>
          <w:sz w:val="22"/>
          <w:szCs w:val="22"/>
        </w:rPr>
        <w:t>were</w:t>
      </w:r>
      <w:r w:rsidRPr="00395B70">
        <w:rPr>
          <w:rFonts w:ascii="Calibri" w:hAnsi="Calibri" w:cs="Calibri"/>
          <w:sz w:val="22"/>
          <w:szCs w:val="22"/>
        </w:rPr>
        <w:t xml:space="preserve"> not offered </w:t>
      </w:r>
      <w:r>
        <w:rPr>
          <w:rFonts w:ascii="Calibri" w:hAnsi="Calibri" w:cs="Calibri"/>
          <w:sz w:val="22"/>
          <w:szCs w:val="22"/>
        </w:rPr>
        <w:t>services</w:t>
      </w:r>
      <w:r w:rsidRPr="00395B70">
        <w:rPr>
          <w:rFonts w:ascii="Calibri" w:hAnsi="Calibri" w:cs="Calibri"/>
          <w:sz w:val="22"/>
          <w:szCs w:val="22"/>
        </w:rPr>
        <w:t>.</w:t>
      </w:r>
      <w:r w:rsidR="00C952EE">
        <w:rPr>
          <w:rFonts w:ascii="Calibri" w:hAnsi="Calibri" w:cs="Calibri"/>
          <w:sz w:val="22"/>
          <w:szCs w:val="22"/>
        </w:rPr>
        <w:t xml:space="preserve"> In MTCI, </w:t>
      </w:r>
      <w:r w:rsidR="000B3E99">
        <w:rPr>
          <w:rFonts w:ascii="Calibri" w:hAnsi="Calibri" w:cs="Calibri"/>
          <w:sz w:val="22"/>
          <w:szCs w:val="22"/>
        </w:rPr>
        <w:t>students were randomly assigned into two different treatment groups</w:t>
      </w:r>
      <w:r w:rsidR="00E515D9">
        <w:rPr>
          <w:rFonts w:ascii="Calibri" w:hAnsi="Calibri" w:cs="Calibri"/>
          <w:sz w:val="22"/>
          <w:szCs w:val="22"/>
        </w:rPr>
        <w:t xml:space="preserve"> that differ in how the program was administered</w:t>
      </w:r>
      <w:r w:rsidR="00294D07">
        <w:rPr>
          <w:rFonts w:ascii="Calibri" w:hAnsi="Calibri" w:cs="Calibri"/>
          <w:sz w:val="22"/>
          <w:szCs w:val="22"/>
        </w:rPr>
        <w:t>, as well as a control group.</w:t>
      </w:r>
    </w:p>
    <w:p w:rsidR="00623A68" w:rsidP="00CF3F88" w:rsidRDefault="009B7AA7" w14:paraId="2187E96A" w14:textId="21703049">
      <w:pPr>
        <w:pStyle w:val="Paragraph"/>
        <w:rPr>
          <w:rFonts w:ascii="Calibri" w:hAnsi="Calibri" w:cs="Calibri"/>
          <w:sz w:val="22"/>
          <w:szCs w:val="22"/>
        </w:rPr>
      </w:pPr>
      <w:r>
        <w:rPr>
          <w:rFonts w:ascii="Calibri" w:hAnsi="Calibri" w:cs="Calibri"/>
          <w:sz w:val="22"/>
          <w:szCs w:val="22"/>
        </w:rPr>
        <w:t>A</w:t>
      </w:r>
      <w:r w:rsidR="00D81C54">
        <w:rPr>
          <w:rFonts w:ascii="Calibri" w:hAnsi="Calibri" w:cs="Calibri"/>
          <w:sz w:val="22"/>
          <w:szCs w:val="22"/>
        </w:rPr>
        <w:t xml:space="preserve"> follow-up survey</w:t>
      </w:r>
      <w:r w:rsidR="002A2BF2">
        <w:rPr>
          <w:rFonts w:ascii="Calibri" w:hAnsi="Calibri" w:cs="Calibri"/>
          <w:sz w:val="22"/>
          <w:szCs w:val="22"/>
        </w:rPr>
        <w:t xml:space="preserve"> at 12 months after random assignment</w:t>
      </w:r>
      <w:r w:rsidR="00B32707">
        <w:rPr>
          <w:rFonts w:ascii="Calibri" w:hAnsi="Calibri" w:cs="Calibri"/>
          <w:sz w:val="22"/>
          <w:szCs w:val="22"/>
        </w:rPr>
        <w:t xml:space="preserve"> was administered in all </w:t>
      </w:r>
      <w:r w:rsidR="004D4374">
        <w:rPr>
          <w:rFonts w:ascii="Calibri" w:hAnsi="Calibri" w:cs="Calibri"/>
          <w:sz w:val="22"/>
          <w:szCs w:val="22"/>
        </w:rPr>
        <w:t>sites; these surveys</w:t>
      </w:r>
      <w:r w:rsidR="008A0F9B">
        <w:rPr>
          <w:rFonts w:ascii="Calibri" w:hAnsi="Calibri" w:cs="Calibri"/>
          <w:sz w:val="22"/>
          <w:szCs w:val="22"/>
        </w:rPr>
        <w:t xml:space="preserve"> </w:t>
      </w:r>
      <w:r w:rsidR="006F3CCF">
        <w:rPr>
          <w:rFonts w:ascii="Calibri" w:hAnsi="Calibri" w:cs="Calibri"/>
          <w:sz w:val="22"/>
          <w:szCs w:val="22"/>
        </w:rPr>
        <w:t>will</w:t>
      </w:r>
      <w:r w:rsidR="008A0F9B">
        <w:rPr>
          <w:rFonts w:ascii="Calibri" w:hAnsi="Calibri" w:cs="Calibri"/>
          <w:sz w:val="22"/>
          <w:szCs w:val="22"/>
        </w:rPr>
        <w:t xml:space="preserve"> </w:t>
      </w:r>
      <w:r w:rsidR="002A2BF2">
        <w:rPr>
          <w:rFonts w:ascii="Calibri" w:hAnsi="Calibri" w:cs="Calibri"/>
          <w:sz w:val="22"/>
          <w:szCs w:val="22"/>
        </w:rPr>
        <w:t>be</w:t>
      </w:r>
      <w:r w:rsidR="008A0F9B">
        <w:rPr>
          <w:rFonts w:ascii="Calibri" w:hAnsi="Calibri" w:cs="Calibri"/>
          <w:sz w:val="22"/>
          <w:szCs w:val="22"/>
        </w:rPr>
        <w:t xml:space="preserve"> completed</w:t>
      </w:r>
      <w:r w:rsidR="006F3CCF">
        <w:rPr>
          <w:rFonts w:ascii="Calibri" w:hAnsi="Calibri" w:cs="Calibri"/>
          <w:sz w:val="22"/>
          <w:szCs w:val="22"/>
        </w:rPr>
        <w:t xml:space="preserve"> by May</w:t>
      </w:r>
      <w:r w:rsidR="00690FCB">
        <w:rPr>
          <w:rFonts w:ascii="Calibri" w:hAnsi="Calibri" w:cs="Calibri"/>
          <w:sz w:val="22"/>
          <w:szCs w:val="22"/>
        </w:rPr>
        <w:t xml:space="preserve"> 2020</w:t>
      </w:r>
      <w:r w:rsidR="008A0F9B">
        <w:rPr>
          <w:rFonts w:ascii="Calibri" w:hAnsi="Calibri" w:cs="Calibri"/>
          <w:sz w:val="22"/>
          <w:szCs w:val="22"/>
        </w:rPr>
        <w:t xml:space="preserve">. </w:t>
      </w:r>
      <w:r w:rsidR="008A03FD">
        <w:rPr>
          <w:rFonts w:ascii="Calibri" w:hAnsi="Calibri" w:cs="Calibri"/>
          <w:sz w:val="22"/>
          <w:szCs w:val="22"/>
        </w:rPr>
        <w:t xml:space="preserve">A second follow-up </w:t>
      </w:r>
      <w:r w:rsidR="00D348D7">
        <w:rPr>
          <w:rFonts w:ascii="Calibri" w:hAnsi="Calibri" w:cs="Calibri"/>
          <w:sz w:val="22"/>
          <w:szCs w:val="22"/>
        </w:rPr>
        <w:t xml:space="preserve">survey </w:t>
      </w:r>
      <w:r w:rsidR="00AE3A2D">
        <w:rPr>
          <w:rFonts w:ascii="Calibri" w:hAnsi="Calibri" w:cs="Calibri"/>
          <w:sz w:val="22"/>
          <w:szCs w:val="22"/>
        </w:rPr>
        <w:t xml:space="preserve">at 30 </w:t>
      </w:r>
      <w:r w:rsidR="002A2BF2">
        <w:rPr>
          <w:rFonts w:ascii="Calibri" w:hAnsi="Calibri" w:cs="Calibri"/>
          <w:sz w:val="22"/>
          <w:szCs w:val="22"/>
        </w:rPr>
        <w:t xml:space="preserve">months after random assignment </w:t>
      </w:r>
      <w:r w:rsidR="00742F69">
        <w:rPr>
          <w:rFonts w:ascii="Calibri" w:hAnsi="Calibri" w:cs="Calibri"/>
          <w:sz w:val="22"/>
          <w:szCs w:val="22"/>
        </w:rPr>
        <w:t>is being</w:t>
      </w:r>
      <w:r w:rsidR="004D4374">
        <w:rPr>
          <w:rFonts w:ascii="Calibri" w:hAnsi="Calibri" w:cs="Calibri"/>
          <w:sz w:val="22"/>
          <w:szCs w:val="22"/>
        </w:rPr>
        <w:t xml:space="preserve"> conducted</w:t>
      </w:r>
      <w:r w:rsidR="00D348D7">
        <w:rPr>
          <w:rFonts w:ascii="Calibri" w:hAnsi="Calibri" w:cs="Calibri"/>
          <w:sz w:val="22"/>
          <w:szCs w:val="22"/>
        </w:rPr>
        <w:t xml:space="preserve"> for the </w:t>
      </w:r>
      <w:proofErr w:type="spellStart"/>
      <w:r w:rsidR="00001B72">
        <w:rPr>
          <w:rFonts w:ascii="Calibri" w:hAnsi="Calibri" w:cs="Calibri"/>
          <w:sz w:val="22"/>
          <w:szCs w:val="22"/>
        </w:rPr>
        <w:t>MotherWise</w:t>
      </w:r>
      <w:proofErr w:type="spellEnd"/>
      <w:r w:rsidR="00F67EBB">
        <w:rPr>
          <w:rFonts w:ascii="Calibri" w:hAnsi="Calibri" w:cs="Calibri"/>
          <w:sz w:val="22"/>
          <w:szCs w:val="22"/>
        </w:rPr>
        <w:t xml:space="preserve"> </w:t>
      </w:r>
      <w:r w:rsidR="003F5362">
        <w:rPr>
          <w:rFonts w:ascii="Calibri" w:hAnsi="Calibri" w:cs="Calibri"/>
          <w:sz w:val="22"/>
          <w:szCs w:val="22"/>
        </w:rPr>
        <w:t xml:space="preserve">program </w:t>
      </w:r>
      <w:r w:rsidR="005A4ACD">
        <w:rPr>
          <w:rFonts w:ascii="Calibri" w:hAnsi="Calibri" w:cs="Calibri"/>
          <w:sz w:val="22"/>
          <w:szCs w:val="22"/>
        </w:rPr>
        <w:t xml:space="preserve">and </w:t>
      </w:r>
      <w:r w:rsidR="003F5362">
        <w:rPr>
          <w:rFonts w:ascii="Calibri" w:hAnsi="Calibri" w:cs="Calibri"/>
          <w:sz w:val="22"/>
          <w:szCs w:val="22"/>
        </w:rPr>
        <w:t xml:space="preserve">at 24-36 months after random assignment for the </w:t>
      </w:r>
      <w:r w:rsidR="005A4ACD">
        <w:rPr>
          <w:rFonts w:ascii="Calibri" w:hAnsi="Calibri" w:cs="Calibri"/>
          <w:sz w:val="22"/>
          <w:szCs w:val="22"/>
        </w:rPr>
        <w:t xml:space="preserve">MTCI </w:t>
      </w:r>
      <w:r w:rsidR="00E43AFF">
        <w:rPr>
          <w:rFonts w:ascii="Calibri" w:hAnsi="Calibri" w:cs="Calibri"/>
          <w:sz w:val="22"/>
          <w:szCs w:val="22"/>
        </w:rPr>
        <w:t>program.</w:t>
      </w:r>
      <w:r w:rsidR="006731EB">
        <w:rPr>
          <w:rFonts w:ascii="Calibri" w:hAnsi="Calibri" w:cs="Calibri"/>
          <w:sz w:val="22"/>
          <w:szCs w:val="22"/>
        </w:rPr>
        <w:t xml:space="preserve"> </w:t>
      </w:r>
    </w:p>
    <w:p w:rsidR="00623A68" w:rsidP="00CF3F88" w:rsidRDefault="001A3CDD" w14:paraId="0330AE78" w14:textId="5BBA15B3">
      <w:pPr>
        <w:pStyle w:val="Paragraph"/>
        <w:rPr>
          <w:rFonts w:ascii="Calibri" w:hAnsi="Calibri" w:cs="Calibri"/>
          <w:sz w:val="22"/>
          <w:szCs w:val="22"/>
        </w:rPr>
      </w:pPr>
      <w:r>
        <w:rPr>
          <w:rFonts w:ascii="Calibri" w:hAnsi="Calibri" w:cs="Calibri"/>
          <w:sz w:val="22"/>
          <w:szCs w:val="22"/>
        </w:rPr>
        <w:t xml:space="preserve">The </w:t>
      </w:r>
      <w:r w:rsidR="00F35F0C">
        <w:rPr>
          <w:rFonts w:ascii="Calibri" w:hAnsi="Calibri" w:cs="Calibri"/>
          <w:sz w:val="22"/>
          <w:szCs w:val="22"/>
        </w:rPr>
        <w:t xml:space="preserve">second follow-up </w:t>
      </w:r>
      <w:r>
        <w:rPr>
          <w:rFonts w:ascii="Calibri" w:hAnsi="Calibri" w:cs="Calibri"/>
          <w:sz w:val="22"/>
          <w:szCs w:val="22"/>
        </w:rPr>
        <w:t>survey</w:t>
      </w:r>
      <w:r w:rsidR="00623A68">
        <w:rPr>
          <w:rFonts w:ascii="Calibri" w:hAnsi="Calibri" w:cs="Calibri"/>
          <w:sz w:val="22"/>
          <w:szCs w:val="22"/>
        </w:rPr>
        <w:t xml:space="preserve"> for </w:t>
      </w:r>
      <w:proofErr w:type="spellStart"/>
      <w:r w:rsidR="00001B72">
        <w:rPr>
          <w:rFonts w:ascii="Calibri" w:hAnsi="Calibri" w:cs="Calibri"/>
          <w:sz w:val="22"/>
          <w:szCs w:val="22"/>
        </w:rPr>
        <w:t>MotherWise</w:t>
      </w:r>
      <w:proofErr w:type="spellEnd"/>
      <w:r w:rsidR="00623A68">
        <w:rPr>
          <w:rFonts w:ascii="Calibri" w:hAnsi="Calibri" w:cs="Calibri"/>
          <w:sz w:val="22"/>
          <w:szCs w:val="22"/>
        </w:rPr>
        <w:t xml:space="preserve"> study participants</w:t>
      </w:r>
      <w:r>
        <w:rPr>
          <w:rFonts w:ascii="Calibri" w:hAnsi="Calibri" w:cs="Calibri"/>
          <w:sz w:val="22"/>
          <w:szCs w:val="22"/>
        </w:rPr>
        <w:t xml:space="preserve"> </w:t>
      </w:r>
      <w:r w:rsidR="00A268D5">
        <w:rPr>
          <w:rFonts w:ascii="Calibri" w:hAnsi="Calibri" w:cs="Calibri"/>
          <w:sz w:val="22"/>
          <w:szCs w:val="22"/>
        </w:rPr>
        <w:t>began</w:t>
      </w:r>
      <w:r w:rsidR="00965C7B">
        <w:rPr>
          <w:rFonts w:ascii="Calibri" w:hAnsi="Calibri" w:cs="Calibri"/>
          <w:sz w:val="22"/>
          <w:szCs w:val="22"/>
        </w:rPr>
        <w:t xml:space="preserve"> </w:t>
      </w:r>
      <w:r w:rsidR="00156771">
        <w:rPr>
          <w:rFonts w:ascii="Calibri" w:hAnsi="Calibri" w:cs="Calibri"/>
          <w:sz w:val="22"/>
          <w:szCs w:val="22"/>
        </w:rPr>
        <w:t>in May 2019</w:t>
      </w:r>
      <w:r w:rsidR="00EB477E">
        <w:rPr>
          <w:rFonts w:ascii="Calibri" w:hAnsi="Calibri" w:cs="Calibri"/>
          <w:sz w:val="22"/>
          <w:szCs w:val="22"/>
        </w:rPr>
        <w:t xml:space="preserve"> and will continue through</w:t>
      </w:r>
      <w:r w:rsidR="001612B3">
        <w:rPr>
          <w:rFonts w:ascii="Calibri" w:hAnsi="Calibri" w:cs="Calibri"/>
          <w:sz w:val="22"/>
          <w:szCs w:val="22"/>
        </w:rPr>
        <w:t xml:space="preserve"> </w:t>
      </w:r>
      <w:r w:rsidR="00B60ED8">
        <w:rPr>
          <w:rFonts w:ascii="Calibri" w:hAnsi="Calibri" w:cs="Calibri"/>
          <w:sz w:val="22"/>
          <w:szCs w:val="22"/>
        </w:rPr>
        <w:t xml:space="preserve">September </w:t>
      </w:r>
      <w:r w:rsidR="001612B3">
        <w:rPr>
          <w:rFonts w:ascii="Calibri" w:hAnsi="Calibri" w:cs="Calibri"/>
          <w:sz w:val="22"/>
          <w:szCs w:val="22"/>
        </w:rPr>
        <w:t>2021</w:t>
      </w:r>
      <w:r w:rsidR="006F1CD8">
        <w:rPr>
          <w:rFonts w:ascii="Calibri" w:hAnsi="Calibri" w:cs="Calibri"/>
          <w:sz w:val="22"/>
          <w:szCs w:val="22"/>
        </w:rPr>
        <w:t xml:space="preserve">. </w:t>
      </w:r>
      <w:r w:rsidR="00742F69">
        <w:rPr>
          <w:rFonts w:ascii="Calibri" w:hAnsi="Calibri" w:cs="Calibri"/>
          <w:sz w:val="22"/>
          <w:szCs w:val="22"/>
        </w:rPr>
        <w:t xml:space="preserve"> </w:t>
      </w:r>
      <w:r w:rsidR="00676289">
        <w:rPr>
          <w:rFonts w:ascii="Calibri" w:hAnsi="Calibri" w:cs="Calibri"/>
          <w:bCs/>
          <w:sz w:val="22"/>
          <w:szCs w:val="22"/>
        </w:rPr>
        <w:t>S</w:t>
      </w:r>
      <w:r w:rsidR="008A3BF8">
        <w:rPr>
          <w:rFonts w:ascii="Calibri" w:hAnsi="Calibri" w:cs="Calibri"/>
          <w:bCs/>
          <w:sz w:val="22"/>
          <w:szCs w:val="22"/>
        </w:rPr>
        <w:t xml:space="preserve">tudy participants are released for </w:t>
      </w:r>
      <w:r w:rsidR="00676289">
        <w:rPr>
          <w:rFonts w:ascii="Calibri" w:hAnsi="Calibri" w:cs="Calibri"/>
          <w:bCs/>
          <w:sz w:val="22"/>
          <w:szCs w:val="22"/>
        </w:rPr>
        <w:t xml:space="preserve">this </w:t>
      </w:r>
      <w:r w:rsidR="008A3BF8">
        <w:rPr>
          <w:rFonts w:ascii="Calibri" w:hAnsi="Calibri" w:cs="Calibri"/>
          <w:bCs/>
          <w:sz w:val="22"/>
          <w:szCs w:val="22"/>
        </w:rPr>
        <w:t xml:space="preserve">second follow-up survey on a rolling basis based on their date of study enrollment. </w:t>
      </w:r>
      <w:r w:rsidR="00623A68">
        <w:rPr>
          <w:rFonts w:ascii="Calibri" w:hAnsi="Calibri" w:cs="Calibri"/>
          <w:sz w:val="22"/>
          <w:szCs w:val="22"/>
        </w:rPr>
        <w:t xml:space="preserve">Study participants can respond to the survey either by phone or </w:t>
      </w:r>
      <w:r w:rsidR="00411909">
        <w:rPr>
          <w:rFonts w:ascii="Calibri" w:hAnsi="Calibri" w:cs="Calibri"/>
          <w:sz w:val="22"/>
          <w:szCs w:val="22"/>
        </w:rPr>
        <w:t>online</w:t>
      </w:r>
      <w:r w:rsidR="00623A68">
        <w:rPr>
          <w:rFonts w:ascii="Calibri" w:hAnsi="Calibri" w:cs="Calibri"/>
          <w:sz w:val="22"/>
          <w:szCs w:val="22"/>
        </w:rPr>
        <w:t xml:space="preserve">. Before </w:t>
      </w:r>
      <w:r w:rsidR="003F5362">
        <w:rPr>
          <w:rFonts w:ascii="Calibri" w:hAnsi="Calibri" w:cs="Calibri"/>
          <w:sz w:val="22"/>
          <w:szCs w:val="22"/>
        </w:rPr>
        <w:t>March 2020</w:t>
      </w:r>
      <w:r w:rsidR="00623A68">
        <w:rPr>
          <w:rFonts w:ascii="Calibri" w:hAnsi="Calibri" w:cs="Calibri"/>
          <w:sz w:val="22"/>
          <w:szCs w:val="22"/>
        </w:rPr>
        <w:t xml:space="preserve">, </w:t>
      </w:r>
      <w:r w:rsidR="00F01A08">
        <w:rPr>
          <w:rFonts w:ascii="Calibri" w:hAnsi="Calibri" w:cs="Calibri"/>
          <w:sz w:val="22"/>
          <w:szCs w:val="22"/>
        </w:rPr>
        <w:t xml:space="preserve">survey </w:t>
      </w:r>
      <w:r w:rsidR="00436FD2">
        <w:rPr>
          <w:rFonts w:ascii="Calibri" w:hAnsi="Calibri" w:cs="Calibri"/>
          <w:sz w:val="22"/>
          <w:szCs w:val="22"/>
        </w:rPr>
        <w:t xml:space="preserve">field </w:t>
      </w:r>
      <w:r w:rsidR="00F01A08">
        <w:rPr>
          <w:rFonts w:ascii="Calibri" w:hAnsi="Calibri" w:cs="Calibri"/>
          <w:sz w:val="22"/>
          <w:szCs w:val="22"/>
        </w:rPr>
        <w:t>staff</w:t>
      </w:r>
      <w:r w:rsidR="00623A68">
        <w:rPr>
          <w:rFonts w:ascii="Calibri" w:hAnsi="Calibri" w:cs="Calibri"/>
          <w:sz w:val="22"/>
          <w:szCs w:val="22"/>
        </w:rPr>
        <w:t xml:space="preserve"> </w:t>
      </w:r>
      <w:r w:rsidR="00D54173">
        <w:rPr>
          <w:rFonts w:ascii="Calibri" w:hAnsi="Calibri" w:cs="Calibri"/>
          <w:sz w:val="22"/>
          <w:szCs w:val="22"/>
        </w:rPr>
        <w:t xml:space="preserve">attempted to </w:t>
      </w:r>
      <w:r w:rsidR="00623A68">
        <w:rPr>
          <w:rFonts w:ascii="Calibri" w:hAnsi="Calibri" w:cs="Calibri"/>
          <w:sz w:val="22"/>
          <w:szCs w:val="22"/>
        </w:rPr>
        <w:t xml:space="preserve">locate </w:t>
      </w:r>
      <w:proofErr w:type="spellStart"/>
      <w:r w:rsidR="00623A68">
        <w:rPr>
          <w:rFonts w:ascii="Calibri" w:hAnsi="Calibri" w:cs="Calibri"/>
          <w:sz w:val="22"/>
          <w:szCs w:val="22"/>
        </w:rPr>
        <w:t>nonresponders</w:t>
      </w:r>
      <w:proofErr w:type="spellEnd"/>
      <w:r w:rsidR="00FA590A">
        <w:rPr>
          <w:rFonts w:ascii="Calibri" w:hAnsi="Calibri" w:cs="Calibri"/>
          <w:sz w:val="22"/>
          <w:szCs w:val="22"/>
        </w:rPr>
        <w:t xml:space="preserve"> in-person</w:t>
      </w:r>
      <w:r w:rsidR="00F40E3A">
        <w:rPr>
          <w:rFonts w:ascii="Calibri" w:hAnsi="Calibri" w:cs="Calibri"/>
          <w:sz w:val="22"/>
          <w:szCs w:val="22"/>
        </w:rPr>
        <w:t xml:space="preserve"> </w:t>
      </w:r>
      <w:r w:rsidR="00623A68">
        <w:rPr>
          <w:rFonts w:ascii="Calibri" w:hAnsi="Calibri" w:cs="Calibri"/>
          <w:sz w:val="22"/>
          <w:szCs w:val="22"/>
        </w:rPr>
        <w:lastRenderedPageBreak/>
        <w:t xml:space="preserve">and </w:t>
      </w:r>
      <w:r w:rsidR="00436FD2">
        <w:rPr>
          <w:rFonts w:ascii="Calibri" w:hAnsi="Calibri" w:cs="Calibri"/>
          <w:sz w:val="22"/>
          <w:szCs w:val="22"/>
        </w:rPr>
        <w:t xml:space="preserve">offer them the use of a cell phone to complete </w:t>
      </w:r>
      <w:r w:rsidR="00623A68">
        <w:rPr>
          <w:rFonts w:ascii="Calibri" w:hAnsi="Calibri" w:cs="Calibri"/>
          <w:sz w:val="22"/>
          <w:szCs w:val="22"/>
        </w:rPr>
        <w:t>the survey.</w:t>
      </w:r>
      <w:r w:rsidR="005B2113">
        <w:rPr>
          <w:rFonts w:ascii="Calibri" w:hAnsi="Calibri" w:cs="Calibri"/>
          <w:sz w:val="22"/>
          <w:szCs w:val="22"/>
        </w:rPr>
        <w:t xml:space="preserve">  </w:t>
      </w:r>
      <w:r w:rsidR="00F40E3A">
        <w:rPr>
          <w:rFonts w:ascii="Calibri" w:hAnsi="Calibri" w:cs="Calibri"/>
          <w:sz w:val="22"/>
          <w:szCs w:val="22"/>
        </w:rPr>
        <w:t>In March 2020, all field work stopped</w:t>
      </w:r>
      <w:r w:rsidR="00436FD2">
        <w:rPr>
          <w:rFonts w:ascii="Calibri" w:hAnsi="Calibri" w:cs="Calibri"/>
          <w:sz w:val="22"/>
          <w:szCs w:val="22"/>
        </w:rPr>
        <w:t xml:space="preserve"> because of COVID-19</w:t>
      </w:r>
      <w:r w:rsidR="00F40E3A">
        <w:rPr>
          <w:rFonts w:ascii="Calibri" w:hAnsi="Calibri" w:cs="Calibri"/>
          <w:sz w:val="22"/>
          <w:szCs w:val="22"/>
        </w:rPr>
        <w:t>.</w:t>
      </w:r>
      <w:r w:rsidR="001371E0">
        <w:rPr>
          <w:rFonts w:ascii="Calibri" w:hAnsi="Calibri" w:cs="Calibri"/>
          <w:sz w:val="22"/>
          <w:szCs w:val="22"/>
        </w:rPr>
        <w:t xml:space="preserve"> </w:t>
      </w:r>
    </w:p>
    <w:p w:rsidR="009B7AA7" w:rsidP="00CF3F88" w:rsidRDefault="00E250A7" w14:paraId="6BD3204A" w14:textId="34AAC07F">
      <w:pPr>
        <w:pStyle w:val="Paragraph"/>
        <w:rPr>
          <w:rFonts w:ascii="Calibri" w:hAnsi="Calibri" w:cs="Calibri"/>
          <w:sz w:val="22"/>
          <w:szCs w:val="22"/>
        </w:rPr>
      </w:pPr>
      <w:r>
        <w:rPr>
          <w:rFonts w:ascii="Calibri" w:hAnsi="Calibri" w:cs="Calibri"/>
          <w:sz w:val="22"/>
          <w:szCs w:val="22"/>
        </w:rPr>
        <w:t xml:space="preserve">Study participants at MTCI fall into two cohorts. </w:t>
      </w:r>
      <w:r w:rsidR="00742F69">
        <w:rPr>
          <w:rFonts w:ascii="Calibri" w:hAnsi="Calibri" w:cs="Calibri"/>
          <w:sz w:val="22"/>
          <w:szCs w:val="22"/>
        </w:rPr>
        <w:t xml:space="preserve">The </w:t>
      </w:r>
      <w:r w:rsidR="00D236D3">
        <w:rPr>
          <w:rFonts w:ascii="Calibri" w:hAnsi="Calibri" w:cs="Calibri"/>
          <w:sz w:val="22"/>
          <w:szCs w:val="22"/>
        </w:rPr>
        <w:t xml:space="preserve">second follow-up </w:t>
      </w:r>
      <w:r w:rsidR="00742F69">
        <w:rPr>
          <w:rFonts w:ascii="Calibri" w:hAnsi="Calibri" w:cs="Calibri"/>
          <w:sz w:val="22"/>
          <w:szCs w:val="22"/>
        </w:rPr>
        <w:t xml:space="preserve">survey for </w:t>
      </w:r>
      <w:r>
        <w:rPr>
          <w:rFonts w:ascii="Calibri" w:hAnsi="Calibri" w:cs="Calibri"/>
          <w:sz w:val="22"/>
          <w:szCs w:val="22"/>
        </w:rPr>
        <w:t xml:space="preserve">the first cohort of </w:t>
      </w:r>
      <w:r w:rsidR="00742F69">
        <w:rPr>
          <w:rFonts w:ascii="Calibri" w:hAnsi="Calibri" w:cs="Calibri"/>
          <w:sz w:val="22"/>
          <w:szCs w:val="22"/>
        </w:rPr>
        <w:t>MTCI</w:t>
      </w:r>
      <w:r>
        <w:rPr>
          <w:rFonts w:ascii="Calibri" w:hAnsi="Calibri" w:cs="Calibri"/>
          <w:sz w:val="22"/>
          <w:szCs w:val="22"/>
        </w:rPr>
        <w:t xml:space="preserve"> study participants</w:t>
      </w:r>
      <w:r w:rsidR="00742F69">
        <w:rPr>
          <w:rFonts w:ascii="Calibri" w:hAnsi="Calibri" w:cs="Calibri"/>
          <w:sz w:val="22"/>
          <w:szCs w:val="22"/>
        </w:rPr>
        <w:t xml:space="preserve"> began in October 2019</w:t>
      </w:r>
      <w:r w:rsidR="00623A68">
        <w:rPr>
          <w:rFonts w:ascii="Calibri" w:hAnsi="Calibri" w:cs="Calibri"/>
          <w:sz w:val="22"/>
          <w:szCs w:val="22"/>
        </w:rPr>
        <w:t xml:space="preserve">; </w:t>
      </w:r>
      <w:r>
        <w:rPr>
          <w:rFonts w:ascii="Calibri" w:hAnsi="Calibri" w:cs="Calibri"/>
          <w:sz w:val="22"/>
          <w:szCs w:val="22"/>
        </w:rPr>
        <w:t xml:space="preserve">the survey for the second cohort began </w:t>
      </w:r>
      <w:r w:rsidR="00623A68">
        <w:rPr>
          <w:rFonts w:ascii="Calibri" w:hAnsi="Calibri" w:cs="Calibri"/>
          <w:sz w:val="22"/>
          <w:szCs w:val="22"/>
        </w:rPr>
        <w:t xml:space="preserve">in March 2020. The </w:t>
      </w:r>
      <w:r w:rsidR="006C3134">
        <w:rPr>
          <w:rFonts w:ascii="Calibri" w:hAnsi="Calibri" w:cs="Calibri"/>
          <w:sz w:val="22"/>
          <w:szCs w:val="22"/>
        </w:rPr>
        <w:t>second follow-up</w:t>
      </w:r>
      <w:r>
        <w:rPr>
          <w:rFonts w:ascii="Calibri" w:hAnsi="Calibri" w:cs="Calibri"/>
          <w:sz w:val="22"/>
          <w:szCs w:val="22"/>
        </w:rPr>
        <w:t xml:space="preserve"> </w:t>
      </w:r>
      <w:r w:rsidR="00623A68">
        <w:rPr>
          <w:rFonts w:ascii="Calibri" w:hAnsi="Calibri" w:cs="Calibri"/>
          <w:sz w:val="22"/>
          <w:szCs w:val="22"/>
        </w:rPr>
        <w:t>survey</w:t>
      </w:r>
      <w:r w:rsidR="006C3134">
        <w:rPr>
          <w:rFonts w:ascii="Calibri" w:hAnsi="Calibri" w:cs="Calibri"/>
          <w:sz w:val="22"/>
          <w:szCs w:val="22"/>
        </w:rPr>
        <w:t xml:space="preserve"> at MTCI</w:t>
      </w:r>
      <w:r w:rsidR="00E46127">
        <w:rPr>
          <w:rFonts w:ascii="Calibri" w:hAnsi="Calibri" w:cs="Calibri"/>
          <w:sz w:val="22"/>
          <w:szCs w:val="22"/>
        </w:rPr>
        <w:t xml:space="preserve"> will continue through </w:t>
      </w:r>
      <w:r w:rsidR="005E3193">
        <w:rPr>
          <w:rFonts w:ascii="Calibri" w:hAnsi="Calibri" w:cs="Calibri"/>
          <w:sz w:val="22"/>
          <w:szCs w:val="22"/>
        </w:rPr>
        <w:t>December 2020</w:t>
      </w:r>
      <w:r w:rsidR="00E46127">
        <w:rPr>
          <w:rFonts w:ascii="Calibri" w:hAnsi="Calibri" w:cs="Calibri"/>
          <w:sz w:val="22"/>
          <w:szCs w:val="22"/>
        </w:rPr>
        <w:t>.</w:t>
      </w:r>
      <w:r w:rsidR="00623A68">
        <w:rPr>
          <w:rFonts w:ascii="Calibri" w:hAnsi="Calibri" w:cs="Calibri"/>
          <w:sz w:val="22"/>
          <w:szCs w:val="22"/>
        </w:rPr>
        <w:t xml:space="preserve"> Surveys </w:t>
      </w:r>
      <w:r w:rsidR="0026627A">
        <w:rPr>
          <w:rFonts w:ascii="Calibri" w:hAnsi="Calibri" w:cs="Calibri"/>
          <w:sz w:val="22"/>
          <w:szCs w:val="22"/>
        </w:rPr>
        <w:t xml:space="preserve">for the first cohort </w:t>
      </w:r>
      <w:r w:rsidR="00623A68">
        <w:rPr>
          <w:rFonts w:ascii="Calibri" w:hAnsi="Calibri" w:cs="Calibri"/>
          <w:sz w:val="22"/>
          <w:szCs w:val="22"/>
        </w:rPr>
        <w:t xml:space="preserve">were </w:t>
      </w:r>
      <w:r w:rsidR="0026627A">
        <w:rPr>
          <w:rFonts w:ascii="Calibri" w:hAnsi="Calibri" w:cs="Calibri"/>
          <w:sz w:val="22"/>
          <w:szCs w:val="22"/>
        </w:rPr>
        <w:t xml:space="preserve">attempted first in schools. If the surveys were not completed </w:t>
      </w:r>
      <w:r w:rsidR="006B7D0A">
        <w:rPr>
          <w:rFonts w:ascii="Calibri" w:hAnsi="Calibri" w:cs="Calibri"/>
          <w:sz w:val="22"/>
          <w:szCs w:val="22"/>
        </w:rPr>
        <w:t xml:space="preserve">in </w:t>
      </w:r>
      <w:r w:rsidR="0026627A">
        <w:rPr>
          <w:rFonts w:ascii="Calibri" w:hAnsi="Calibri" w:cs="Calibri"/>
          <w:sz w:val="22"/>
          <w:szCs w:val="22"/>
        </w:rPr>
        <w:t xml:space="preserve">schools, </w:t>
      </w:r>
      <w:r w:rsidR="006C3134">
        <w:rPr>
          <w:rFonts w:ascii="Calibri" w:hAnsi="Calibri" w:cs="Calibri"/>
          <w:sz w:val="22"/>
          <w:szCs w:val="22"/>
        </w:rPr>
        <w:t>study participants</w:t>
      </w:r>
      <w:r w:rsidR="0026627A">
        <w:rPr>
          <w:rFonts w:ascii="Calibri" w:hAnsi="Calibri" w:cs="Calibri"/>
          <w:sz w:val="22"/>
          <w:szCs w:val="22"/>
        </w:rPr>
        <w:t xml:space="preserve"> were </w:t>
      </w:r>
      <w:r w:rsidR="006C3134">
        <w:rPr>
          <w:rFonts w:ascii="Calibri" w:hAnsi="Calibri" w:cs="Calibri"/>
          <w:sz w:val="22"/>
          <w:szCs w:val="22"/>
        </w:rPr>
        <w:t>asked</w:t>
      </w:r>
      <w:r w:rsidR="0026627A">
        <w:rPr>
          <w:rFonts w:ascii="Calibri" w:hAnsi="Calibri" w:cs="Calibri"/>
          <w:sz w:val="22"/>
          <w:szCs w:val="22"/>
        </w:rPr>
        <w:t xml:space="preserve"> to conduct the surveys</w:t>
      </w:r>
      <w:r w:rsidR="00623A68">
        <w:rPr>
          <w:rFonts w:ascii="Calibri" w:hAnsi="Calibri" w:cs="Calibri"/>
          <w:sz w:val="22"/>
          <w:szCs w:val="22"/>
        </w:rPr>
        <w:t xml:space="preserve"> </w:t>
      </w:r>
      <w:r w:rsidR="00411909">
        <w:rPr>
          <w:rFonts w:ascii="Calibri" w:hAnsi="Calibri" w:cs="Calibri"/>
          <w:sz w:val="22"/>
          <w:szCs w:val="22"/>
        </w:rPr>
        <w:t xml:space="preserve">by phone or online. </w:t>
      </w:r>
      <w:r w:rsidR="00433F62">
        <w:rPr>
          <w:rFonts w:ascii="Calibri" w:hAnsi="Calibri" w:cs="Calibri"/>
          <w:sz w:val="22"/>
          <w:szCs w:val="22"/>
        </w:rPr>
        <w:t>Before March 20</w:t>
      </w:r>
      <w:r w:rsidR="003F5362">
        <w:rPr>
          <w:rFonts w:ascii="Calibri" w:hAnsi="Calibri" w:cs="Calibri"/>
          <w:sz w:val="22"/>
          <w:szCs w:val="22"/>
        </w:rPr>
        <w:t>20</w:t>
      </w:r>
      <w:r w:rsidR="00433F62">
        <w:rPr>
          <w:rFonts w:ascii="Calibri" w:hAnsi="Calibri" w:cs="Calibri"/>
          <w:sz w:val="22"/>
          <w:szCs w:val="22"/>
        </w:rPr>
        <w:t>, s</w:t>
      </w:r>
      <w:r w:rsidR="00D54173">
        <w:rPr>
          <w:rFonts w:ascii="Calibri" w:hAnsi="Calibri" w:cs="Calibri"/>
          <w:sz w:val="22"/>
          <w:szCs w:val="22"/>
        </w:rPr>
        <w:t xml:space="preserve">urvey field staff </w:t>
      </w:r>
      <w:r w:rsidR="00433F62">
        <w:rPr>
          <w:rFonts w:ascii="Calibri" w:hAnsi="Calibri" w:cs="Calibri"/>
          <w:sz w:val="22"/>
          <w:szCs w:val="22"/>
        </w:rPr>
        <w:t xml:space="preserve">would attempt to </w:t>
      </w:r>
      <w:r w:rsidR="00D54173">
        <w:rPr>
          <w:rFonts w:ascii="Calibri" w:hAnsi="Calibri" w:cs="Calibri"/>
          <w:sz w:val="22"/>
          <w:szCs w:val="22"/>
        </w:rPr>
        <w:t xml:space="preserve">locate </w:t>
      </w:r>
      <w:r w:rsidR="00433F62">
        <w:rPr>
          <w:rFonts w:ascii="Calibri" w:hAnsi="Calibri" w:cs="Calibri"/>
          <w:sz w:val="22"/>
          <w:szCs w:val="22"/>
        </w:rPr>
        <w:t xml:space="preserve">first cohort survey </w:t>
      </w:r>
      <w:proofErr w:type="spellStart"/>
      <w:r w:rsidR="00D54173">
        <w:rPr>
          <w:rFonts w:ascii="Calibri" w:hAnsi="Calibri" w:cs="Calibri"/>
          <w:sz w:val="22"/>
          <w:szCs w:val="22"/>
        </w:rPr>
        <w:t>nonresponders</w:t>
      </w:r>
      <w:proofErr w:type="spellEnd"/>
      <w:r w:rsidR="00621BE6">
        <w:rPr>
          <w:rFonts w:ascii="Calibri" w:hAnsi="Calibri" w:cs="Calibri"/>
          <w:sz w:val="22"/>
          <w:szCs w:val="22"/>
        </w:rPr>
        <w:t xml:space="preserve"> and </w:t>
      </w:r>
      <w:r w:rsidR="0012406F">
        <w:rPr>
          <w:rFonts w:ascii="Calibri" w:hAnsi="Calibri" w:cs="Calibri"/>
          <w:sz w:val="22"/>
          <w:szCs w:val="22"/>
        </w:rPr>
        <w:t>let</w:t>
      </w:r>
      <w:r w:rsidR="00621BE6">
        <w:rPr>
          <w:rFonts w:ascii="Calibri" w:hAnsi="Calibri" w:cs="Calibri"/>
          <w:sz w:val="22"/>
          <w:szCs w:val="22"/>
        </w:rPr>
        <w:t xml:space="preserve"> them </w:t>
      </w:r>
      <w:r w:rsidR="0012406F">
        <w:rPr>
          <w:rFonts w:ascii="Calibri" w:hAnsi="Calibri" w:cs="Calibri"/>
          <w:sz w:val="22"/>
          <w:szCs w:val="22"/>
        </w:rPr>
        <w:t xml:space="preserve">use </w:t>
      </w:r>
      <w:r w:rsidR="00621BE6">
        <w:rPr>
          <w:rFonts w:ascii="Calibri" w:hAnsi="Calibri" w:cs="Calibri"/>
          <w:sz w:val="22"/>
          <w:szCs w:val="22"/>
        </w:rPr>
        <w:t>a cell phone to complete the survey</w:t>
      </w:r>
      <w:r w:rsidR="00D54173">
        <w:rPr>
          <w:rFonts w:ascii="Calibri" w:hAnsi="Calibri" w:cs="Calibri"/>
          <w:sz w:val="22"/>
          <w:szCs w:val="22"/>
        </w:rPr>
        <w:t xml:space="preserve">. </w:t>
      </w:r>
      <w:r w:rsidR="00DB2634">
        <w:rPr>
          <w:rFonts w:ascii="Calibri" w:hAnsi="Calibri" w:cs="Calibri"/>
          <w:sz w:val="22"/>
          <w:szCs w:val="22"/>
        </w:rPr>
        <w:t xml:space="preserve">Because of the COVID-19 restrictions and school closures, </w:t>
      </w:r>
      <w:r w:rsidR="00FA590A">
        <w:rPr>
          <w:rFonts w:ascii="Calibri" w:hAnsi="Calibri" w:cs="Calibri"/>
          <w:sz w:val="22"/>
          <w:szCs w:val="22"/>
        </w:rPr>
        <w:t>survey staff were</w:t>
      </w:r>
      <w:r w:rsidR="00556419">
        <w:rPr>
          <w:rFonts w:ascii="Calibri" w:hAnsi="Calibri" w:cs="Calibri"/>
          <w:sz w:val="22"/>
          <w:szCs w:val="22"/>
        </w:rPr>
        <w:t xml:space="preserve"> </w:t>
      </w:r>
      <w:r w:rsidR="00D54173">
        <w:rPr>
          <w:rFonts w:ascii="Calibri" w:hAnsi="Calibri" w:cs="Calibri"/>
          <w:sz w:val="22"/>
          <w:szCs w:val="22"/>
        </w:rPr>
        <w:t>un</w:t>
      </w:r>
      <w:r w:rsidR="00556419">
        <w:rPr>
          <w:rFonts w:ascii="Calibri" w:hAnsi="Calibri" w:cs="Calibri"/>
          <w:sz w:val="22"/>
          <w:szCs w:val="22"/>
        </w:rPr>
        <w:t xml:space="preserve">able to </w:t>
      </w:r>
      <w:r w:rsidR="00D54173">
        <w:rPr>
          <w:rFonts w:ascii="Calibri" w:hAnsi="Calibri" w:cs="Calibri"/>
          <w:sz w:val="22"/>
          <w:szCs w:val="22"/>
        </w:rPr>
        <w:t>administer the survey to</w:t>
      </w:r>
      <w:r w:rsidR="00526212">
        <w:rPr>
          <w:rFonts w:ascii="Calibri" w:hAnsi="Calibri" w:cs="Calibri"/>
          <w:sz w:val="22"/>
          <w:szCs w:val="22"/>
        </w:rPr>
        <w:t xml:space="preserve"> the second</w:t>
      </w:r>
      <w:r w:rsidR="00622B08">
        <w:rPr>
          <w:rFonts w:ascii="Calibri" w:hAnsi="Calibri" w:cs="Calibri"/>
          <w:sz w:val="22"/>
          <w:szCs w:val="22"/>
        </w:rPr>
        <w:t xml:space="preserve"> </w:t>
      </w:r>
      <w:r w:rsidR="00526212">
        <w:rPr>
          <w:rFonts w:ascii="Calibri" w:hAnsi="Calibri" w:cs="Calibri"/>
          <w:sz w:val="22"/>
          <w:szCs w:val="22"/>
        </w:rPr>
        <w:t>cohort students in</w:t>
      </w:r>
      <w:r w:rsidR="00556419">
        <w:rPr>
          <w:rFonts w:ascii="Calibri" w:hAnsi="Calibri" w:cs="Calibri"/>
          <w:sz w:val="22"/>
          <w:szCs w:val="22"/>
        </w:rPr>
        <w:t xml:space="preserve"> the schools</w:t>
      </w:r>
      <w:r w:rsidR="00433F62">
        <w:rPr>
          <w:rFonts w:ascii="Calibri" w:hAnsi="Calibri" w:cs="Calibri"/>
          <w:sz w:val="22"/>
          <w:szCs w:val="22"/>
        </w:rPr>
        <w:t xml:space="preserve">. </w:t>
      </w:r>
      <w:r w:rsidR="004B427C">
        <w:rPr>
          <w:rFonts w:ascii="Calibri" w:hAnsi="Calibri" w:cs="Calibri"/>
          <w:sz w:val="22"/>
          <w:szCs w:val="22"/>
        </w:rPr>
        <w:t>Additionally, f</w:t>
      </w:r>
      <w:r w:rsidR="00433F62">
        <w:rPr>
          <w:rFonts w:ascii="Calibri" w:hAnsi="Calibri" w:cs="Calibri"/>
          <w:sz w:val="22"/>
          <w:szCs w:val="22"/>
        </w:rPr>
        <w:t xml:space="preserve">ield </w:t>
      </w:r>
      <w:r w:rsidR="00EE1F5D">
        <w:rPr>
          <w:rFonts w:ascii="Calibri" w:hAnsi="Calibri" w:cs="Calibri"/>
          <w:sz w:val="22"/>
          <w:szCs w:val="22"/>
        </w:rPr>
        <w:t>locating effor</w:t>
      </w:r>
      <w:r w:rsidR="00020AB3">
        <w:rPr>
          <w:rFonts w:ascii="Calibri" w:hAnsi="Calibri" w:cs="Calibri"/>
          <w:sz w:val="22"/>
          <w:szCs w:val="22"/>
        </w:rPr>
        <w:t>t</w:t>
      </w:r>
      <w:r w:rsidR="00EE1F5D">
        <w:rPr>
          <w:rFonts w:ascii="Calibri" w:hAnsi="Calibri" w:cs="Calibri"/>
          <w:sz w:val="22"/>
          <w:szCs w:val="22"/>
        </w:rPr>
        <w:t xml:space="preserve">s had to be discontinued </w:t>
      </w:r>
      <w:r w:rsidR="00020AB3">
        <w:rPr>
          <w:rFonts w:ascii="Calibri" w:hAnsi="Calibri" w:cs="Calibri"/>
          <w:sz w:val="22"/>
          <w:szCs w:val="22"/>
        </w:rPr>
        <w:t>in</w:t>
      </w:r>
      <w:r w:rsidR="004F04A3">
        <w:rPr>
          <w:rFonts w:ascii="Calibri" w:hAnsi="Calibri" w:cs="Calibri"/>
          <w:sz w:val="22"/>
          <w:szCs w:val="22"/>
        </w:rPr>
        <w:t xml:space="preserve"> March 20</w:t>
      </w:r>
      <w:r w:rsidR="0012406F">
        <w:rPr>
          <w:rFonts w:ascii="Calibri" w:hAnsi="Calibri" w:cs="Calibri"/>
          <w:sz w:val="22"/>
          <w:szCs w:val="22"/>
        </w:rPr>
        <w:t>20</w:t>
      </w:r>
      <w:r w:rsidR="00B25A12">
        <w:rPr>
          <w:rFonts w:ascii="Calibri" w:hAnsi="Calibri" w:cs="Calibri"/>
          <w:sz w:val="22"/>
          <w:szCs w:val="22"/>
        </w:rPr>
        <w:t xml:space="preserve"> because </w:t>
      </w:r>
      <w:r w:rsidR="00020AB3">
        <w:rPr>
          <w:rFonts w:ascii="Calibri" w:hAnsi="Calibri" w:cs="Calibri"/>
          <w:sz w:val="22"/>
          <w:szCs w:val="22"/>
        </w:rPr>
        <w:t xml:space="preserve">of </w:t>
      </w:r>
      <w:r w:rsidR="00B25A12">
        <w:rPr>
          <w:rFonts w:ascii="Calibri" w:hAnsi="Calibri" w:cs="Calibri"/>
          <w:sz w:val="22"/>
          <w:szCs w:val="22"/>
        </w:rPr>
        <w:t>COVID</w:t>
      </w:r>
      <w:r w:rsidR="00CF5802">
        <w:rPr>
          <w:rFonts w:ascii="Calibri" w:hAnsi="Calibri" w:cs="Calibri"/>
          <w:sz w:val="22"/>
          <w:szCs w:val="22"/>
        </w:rPr>
        <w:t>-</w:t>
      </w:r>
      <w:r w:rsidR="00100121">
        <w:rPr>
          <w:rFonts w:ascii="Calibri" w:hAnsi="Calibri" w:cs="Calibri"/>
          <w:sz w:val="22"/>
          <w:szCs w:val="22"/>
        </w:rPr>
        <w:t xml:space="preserve">19 </w:t>
      </w:r>
      <w:r w:rsidR="00020AB3">
        <w:rPr>
          <w:rFonts w:ascii="Calibri" w:hAnsi="Calibri" w:cs="Calibri"/>
          <w:sz w:val="22"/>
          <w:szCs w:val="22"/>
        </w:rPr>
        <w:t>restrictions</w:t>
      </w:r>
      <w:r w:rsidR="00556419">
        <w:rPr>
          <w:rFonts w:ascii="Calibri" w:hAnsi="Calibri" w:cs="Calibri"/>
          <w:sz w:val="22"/>
          <w:szCs w:val="22"/>
        </w:rPr>
        <w:t>.</w:t>
      </w:r>
    </w:p>
    <w:p w:rsidR="00D65B16" w:rsidP="00CF3F88" w:rsidRDefault="00BB1A99" w14:paraId="0A116D13" w14:textId="24BBB01D">
      <w:pPr>
        <w:pStyle w:val="Paragraph"/>
        <w:rPr>
          <w:rFonts w:ascii="Calibri" w:hAnsi="Calibri" w:cs="Calibri"/>
          <w:sz w:val="22"/>
          <w:szCs w:val="22"/>
        </w:rPr>
      </w:pPr>
      <w:r w:rsidRPr="00395B70">
        <w:rPr>
          <w:rFonts w:ascii="Calibri" w:hAnsi="Calibri" w:cs="Calibri"/>
          <w:b/>
          <w:bCs/>
          <w:sz w:val="22"/>
          <w:szCs w:val="22"/>
        </w:rPr>
        <w:t>Progress to Date:</w:t>
      </w:r>
      <w:r w:rsidRPr="00395B70">
        <w:rPr>
          <w:rFonts w:ascii="Calibri" w:hAnsi="Calibri" w:cs="Calibri"/>
          <w:sz w:val="22"/>
          <w:szCs w:val="22"/>
        </w:rPr>
        <w:t xml:space="preserve"> </w:t>
      </w:r>
      <w:r w:rsidR="00D41CBB">
        <w:rPr>
          <w:rFonts w:ascii="Calibri" w:hAnsi="Calibri" w:cs="Calibri"/>
          <w:sz w:val="22"/>
          <w:szCs w:val="22"/>
        </w:rPr>
        <w:t xml:space="preserve">First follow-up </w:t>
      </w:r>
      <w:r w:rsidR="006925BC">
        <w:rPr>
          <w:rFonts w:ascii="Calibri" w:hAnsi="Calibri" w:cs="Calibri"/>
          <w:sz w:val="22"/>
          <w:szCs w:val="22"/>
        </w:rPr>
        <w:t>d</w:t>
      </w:r>
      <w:r w:rsidR="00774D1D">
        <w:rPr>
          <w:rFonts w:ascii="Calibri" w:hAnsi="Calibri" w:cs="Calibri"/>
          <w:sz w:val="22"/>
          <w:szCs w:val="22"/>
        </w:rPr>
        <w:t>ata</w:t>
      </w:r>
      <w:r w:rsidR="00D41CBB">
        <w:rPr>
          <w:rFonts w:ascii="Calibri" w:hAnsi="Calibri" w:cs="Calibri"/>
          <w:sz w:val="22"/>
          <w:szCs w:val="22"/>
        </w:rPr>
        <w:t xml:space="preserve"> </w:t>
      </w:r>
      <w:r w:rsidR="00774D1D">
        <w:rPr>
          <w:rFonts w:ascii="Calibri" w:hAnsi="Calibri" w:cs="Calibri"/>
          <w:sz w:val="22"/>
          <w:szCs w:val="22"/>
        </w:rPr>
        <w:t xml:space="preserve">collection for all four sites </w:t>
      </w:r>
      <w:r w:rsidR="0012406F">
        <w:rPr>
          <w:rFonts w:ascii="Calibri" w:hAnsi="Calibri" w:cs="Calibri"/>
          <w:sz w:val="22"/>
          <w:szCs w:val="22"/>
        </w:rPr>
        <w:t>will be completed by May 2020</w:t>
      </w:r>
      <w:r w:rsidR="00D51086">
        <w:rPr>
          <w:rFonts w:ascii="Calibri" w:hAnsi="Calibri" w:cs="Calibri"/>
          <w:sz w:val="22"/>
          <w:szCs w:val="22"/>
        </w:rPr>
        <w:t>.</w:t>
      </w:r>
      <w:r w:rsidRPr="00395B70" w:rsidR="00B66EA2">
        <w:rPr>
          <w:rFonts w:ascii="Calibri" w:hAnsi="Calibri" w:cs="Calibri"/>
          <w:sz w:val="22"/>
          <w:szCs w:val="22"/>
        </w:rPr>
        <w:t xml:space="preserve"> </w:t>
      </w:r>
    </w:p>
    <w:p w:rsidRPr="00445922" w:rsidR="00CF6179" w:rsidP="00445922" w:rsidRDefault="008F7880" w14:paraId="684B724D" w14:textId="57EC18D2">
      <w:pPr>
        <w:pStyle w:val="Paragraph"/>
        <w:rPr>
          <w:rFonts w:ascii="Calibri" w:hAnsi="Calibri" w:cs="Calibri"/>
          <w:sz w:val="22"/>
          <w:szCs w:val="22"/>
        </w:rPr>
      </w:pPr>
      <w:r>
        <w:rPr>
          <w:rFonts w:ascii="Calibri" w:hAnsi="Calibri" w:cs="Calibri"/>
          <w:sz w:val="22"/>
          <w:szCs w:val="22"/>
        </w:rPr>
        <w:t xml:space="preserve">Response rates to the second follow-up survey in </w:t>
      </w:r>
      <w:proofErr w:type="spellStart"/>
      <w:r>
        <w:rPr>
          <w:rFonts w:ascii="Calibri" w:hAnsi="Calibri" w:cs="Calibri"/>
          <w:sz w:val="22"/>
          <w:szCs w:val="22"/>
        </w:rPr>
        <w:t>MotherWise</w:t>
      </w:r>
      <w:proofErr w:type="spellEnd"/>
      <w:r>
        <w:rPr>
          <w:rFonts w:ascii="Calibri" w:hAnsi="Calibri" w:cs="Calibri"/>
          <w:sz w:val="22"/>
          <w:szCs w:val="22"/>
        </w:rPr>
        <w:t xml:space="preserve"> and </w:t>
      </w:r>
      <w:proofErr w:type="spellStart"/>
      <w:r>
        <w:rPr>
          <w:rFonts w:ascii="Calibri" w:hAnsi="Calibri" w:cs="Calibri"/>
          <w:sz w:val="22"/>
          <w:szCs w:val="22"/>
        </w:rPr>
        <w:t>MTCI</w:t>
      </w:r>
      <w:proofErr w:type="spellEnd"/>
      <w:r>
        <w:rPr>
          <w:rFonts w:ascii="Calibri" w:hAnsi="Calibri" w:cs="Calibri"/>
          <w:sz w:val="22"/>
          <w:szCs w:val="22"/>
        </w:rPr>
        <w:t xml:space="preserve"> were already lower than anticipated and</w:t>
      </w:r>
      <w:r w:rsidR="001566C5">
        <w:rPr>
          <w:rFonts w:ascii="Calibri" w:hAnsi="Calibri" w:cs="Calibri"/>
          <w:sz w:val="22"/>
          <w:szCs w:val="22"/>
        </w:rPr>
        <w:t>,</w:t>
      </w:r>
      <w:r>
        <w:rPr>
          <w:rFonts w:ascii="Calibri" w:hAnsi="Calibri" w:cs="Calibri"/>
          <w:sz w:val="22"/>
          <w:szCs w:val="22"/>
        </w:rPr>
        <w:t xml:space="preserve"> d</w:t>
      </w:r>
      <w:r w:rsidRPr="00445922" w:rsidR="008A422E">
        <w:rPr>
          <w:rFonts w:ascii="Calibri" w:hAnsi="Calibri" w:cs="Calibri"/>
          <w:sz w:val="22"/>
          <w:szCs w:val="22"/>
        </w:rPr>
        <w:t>ue to the inability to conduct field work</w:t>
      </w:r>
      <w:r w:rsidRPr="00445922" w:rsidR="00CF6179">
        <w:rPr>
          <w:rFonts w:ascii="Calibri" w:hAnsi="Calibri" w:cs="Calibri"/>
          <w:sz w:val="22"/>
          <w:szCs w:val="22"/>
        </w:rPr>
        <w:t xml:space="preserve"> because of COVID-19</w:t>
      </w:r>
      <w:r w:rsidRPr="00445922" w:rsidR="008A422E">
        <w:rPr>
          <w:rFonts w:ascii="Calibri" w:hAnsi="Calibri" w:cs="Calibri"/>
          <w:sz w:val="22"/>
          <w:szCs w:val="22"/>
        </w:rPr>
        <w:t>, we are</w:t>
      </w:r>
      <w:r>
        <w:rPr>
          <w:rFonts w:ascii="Calibri" w:hAnsi="Calibri" w:cs="Calibri"/>
          <w:sz w:val="22"/>
          <w:szCs w:val="22"/>
        </w:rPr>
        <w:t xml:space="preserve"> increasingly</w:t>
      </w:r>
      <w:r w:rsidRPr="00445922" w:rsidR="008A422E">
        <w:rPr>
          <w:rFonts w:ascii="Calibri" w:hAnsi="Calibri" w:cs="Calibri"/>
          <w:sz w:val="22"/>
          <w:szCs w:val="22"/>
        </w:rPr>
        <w:t xml:space="preserve"> concerned about the </w:t>
      </w:r>
      <w:r w:rsidRPr="00445922" w:rsidR="003C537A">
        <w:rPr>
          <w:rFonts w:ascii="Calibri" w:hAnsi="Calibri" w:cs="Calibri"/>
          <w:sz w:val="22"/>
          <w:szCs w:val="22"/>
        </w:rPr>
        <w:t xml:space="preserve">anticipated </w:t>
      </w:r>
      <w:r w:rsidRPr="00445922" w:rsidR="006A523D">
        <w:rPr>
          <w:rFonts w:ascii="Calibri" w:hAnsi="Calibri" w:cs="Calibri"/>
          <w:sz w:val="22"/>
          <w:szCs w:val="22"/>
        </w:rPr>
        <w:t>overall response rate</w:t>
      </w:r>
      <w:r w:rsidRPr="00445922" w:rsidR="00D020AF">
        <w:rPr>
          <w:rFonts w:ascii="Calibri" w:hAnsi="Calibri" w:cs="Calibri"/>
          <w:sz w:val="22"/>
          <w:szCs w:val="22"/>
        </w:rPr>
        <w:t xml:space="preserve"> and the treatment</w:t>
      </w:r>
      <w:r w:rsidRPr="00445922" w:rsidR="004B427C">
        <w:rPr>
          <w:rFonts w:ascii="Calibri" w:hAnsi="Calibri" w:cs="Calibri"/>
          <w:sz w:val="22"/>
          <w:szCs w:val="22"/>
        </w:rPr>
        <w:t>-</w:t>
      </w:r>
      <w:r w:rsidRPr="00445922" w:rsidR="00D020AF">
        <w:rPr>
          <w:rFonts w:ascii="Calibri" w:hAnsi="Calibri" w:cs="Calibri"/>
          <w:sz w:val="22"/>
          <w:szCs w:val="22"/>
        </w:rPr>
        <w:t>control difference in response rates</w:t>
      </w:r>
      <w:r w:rsidRPr="00445922" w:rsidR="006A523D">
        <w:rPr>
          <w:rFonts w:ascii="Calibri" w:hAnsi="Calibri" w:cs="Calibri"/>
          <w:sz w:val="22"/>
          <w:szCs w:val="22"/>
        </w:rPr>
        <w:t xml:space="preserve"> to the second follow-up survey in both </w:t>
      </w:r>
      <w:r>
        <w:rPr>
          <w:rFonts w:ascii="Calibri" w:hAnsi="Calibri" w:cs="Calibri"/>
          <w:sz w:val="22"/>
          <w:szCs w:val="22"/>
        </w:rPr>
        <w:t>sites</w:t>
      </w:r>
      <w:r w:rsidRPr="00445922" w:rsidR="00F67CB2">
        <w:rPr>
          <w:rFonts w:ascii="Calibri" w:hAnsi="Calibri" w:cs="Calibri"/>
          <w:sz w:val="22"/>
          <w:szCs w:val="22"/>
        </w:rPr>
        <w:t xml:space="preserve">. </w:t>
      </w:r>
    </w:p>
    <w:p w:rsidR="008F7880" w:rsidP="00954B26" w:rsidRDefault="008F7880" w14:paraId="20E5BE0D" w14:textId="77777777">
      <w:pPr>
        <w:pStyle w:val="Paragraph"/>
        <w:spacing w:after="120"/>
        <w:rPr>
          <w:rFonts w:ascii="Calibri" w:hAnsi="Calibri" w:cs="Calibri"/>
          <w:sz w:val="22"/>
          <w:szCs w:val="22"/>
        </w:rPr>
      </w:pPr>
      <w:proofErr w:type="spellStart"/>
      <w:r w:rsidRPr="00954B26">
        <w:rPr>
          <w:rFonts w:ascii="Calibri" w:hAnsi="Calibri" w:cs="Calibri"/>
          <w:i/>
          <w:sz w:val="22"/>
          <w:szCs w:val="22"/>
        </w:rPr>
        <w:t>MotherWise</w:t>
      </w:r>
      <w:proofErr w:type="spellEnd"/>
    </w:p>
    <w:p w:rsidRPr="00445922" w:rsidR="00016284" w:rsidP="00954B26" w:rsidRDefault="00386760" w14:paraId="24C2B955" w14:textId="35E4ADA1">
      <w:pPr>
        <w:pStyle w:val="Paragraph"/>
        <w:spacing w:after="120"/>
        <w:rPr>
          <w:rFonts w:ascii="Calibri" w:hAnsi="Calibri" w:cs="Calibri"/>
          <w:sz w:val="22"/>
          <w:szCs w:val="22"/>
        </w:rPr>
      </w:pPr>
      <w:r w:rsidRPr="008F7880">
        <w:rPr>
          <w:rFonts w:ascii="Calibri" w:hAnsi="Calibri" w:cs="Calibri"/>
          <w:sz w:val="22"/>
          <w:szCs w:val="22"/>
        </w:rPr>
        <w:t>The</w:t>
      </w:r>
      <w:r w:rsidRPr="00445922">
        <w:rPr>
          <w:rFonts w:ascii="Calibri" w:hAnsi="Calibri" w:cs="Calibri"/>
          <w:sz w:val="22"/>
          <w:szCs w:val="22"/>
        </w:rPr>
        <w:t xml:space="preserve"> response rate to the second follow-up survey in </w:t>
      </w:r>
      <w:proofErr w:type="spellStart"/>
      <w:r w:rsidRPr="00445922" w:rsidR="00001B72">
        <w:rPr>
          <w:rFonts w:ascii="Calibri" w:hAnsi="Calibri" w:cs="Calibri"/>
          <w:sz w:val="22"/>
          <w:szCs w:val="22"/>
        </w:rPr>
        <w:t>MotherWise</w:t>
      </w:r>
      <w:proofErr w:type="spellEnd"/>
      <w:r w:rsidRPr="00445922">
        <w:rPr>
          <w:rFonts w:ascii="Calibri" w:hAnsi="Calibri" w:cs="Calibri"/>
          <w:sz w:val="22"/>
          <w:szCs w:val="22"/>
        </w:rPr>
        <w:t xml:space="preserve"> is low currently</w:t>
      </w:r>
      <w:r w:rsidRPr="00445922" w:rsidR="00016284">
        <w:rPr>
          <w:rFonts w:ascii="Calibri" w:hAnsi="Calibri" w:cs="Calibri"/>
          <w:sz w:val="22"/>
          <w:szCs w:val="22"/>
        </w:rPr>
        <w:t xml:space="preserve">. </w:t>
      </w:r>
      <w:r w:rsidRPr="00445922" w:rsidR="004A7EF6">
        <w:rPr>
          <w:rFonts w:ascii="Calibri" w:hAnsi="Calibri" w:cs="Calibri"/>
          <w:sz w:val="22"/>
          <w:szCs w:val="22"/>
        </w:rPr>
        <w:t xml:space="preserve">The </w:t>
      </w:r>
      <w:r w:rsidRPr="00445922" w:rsidR="00927CB9">
        <w:rPr>
          <w:rFonts w:ascii="Calibri" w:hAnsi="Calibri" w:cs="Calibri"/>
          <w:sz w:val="22"/>
          <w:szCs w:val="22"/>
        </w:rPr>
        <w:t xml:space="preserve">overall </w:t>
      </w:r>
      <w:r w:rsidRPr="00445922" w:rsidR="004A7EF6">
        <w:rPr>
          <w:rFonts w:ascii="Calibri" w:hAnsi="Calibri" w:cs="Calibri"/>
          <w:sz w:val="22"/>
          <w:szCs w:val="22"/>
        </w:rPr>
        <w:t xml:space="preserve">response rate for </w:t>
      </w:r>
      <w:r w:rsidRPr="00445922" w:rsidR="0042701B">
        <w:rPr>
          <w:rFonts w:ascii="Calibri" w:hAnsi="Calibri" w:cs="Calibri"/>
          <w:sz w:val="22"/>
          <w:szCs w:val="22"/>
        </w:rPr>
        <w:t xml:space="preserve">the second-follow-up survey in </w:t>
      </w:r>
      <w:proofErr w:type="spellStart"/>
      <w:r w:rsidRPr="00445922" w:rsidR="00001B72">
        <w:rPr>
          <w:rFonts w:ascii="Calibri" w:hAnsi="Calibri" w:cs="Calibri"/>
          <w:sz w:val="22"/>
          <w:szCs w:val="22"/>
        </w:rPr>
        <w:t>MotherWise</w:t>
      </w:r>
      <w:proofErr w:type="spellEnd"/>
      <w:r w:rsidRPr="00445922" w:rsidR="0042701B">
        <w:rPr>
          <w:rFonts w:ascii="Calibri" w:hAnsi="Calibri" w:cs="Calibri"/>
          <w:sz w:val="22"/>
          <w:szCs w:val="22"/>
        </w:rPr>
        <w:t xml:space="preserve"> </w:t>
      </w:r>
      <w:r w:rsidRPr="00445922" w:rsidR="003C537A">
        <w:rPr>
          <w:rFonts w:ascii="Calibri" w:hAnsi="Calibri" w:cs="Calibri"/>
          <w:sz w:val="22"/>
          <w:szCs w:val="22"/>
        </w:rPr>
        <w:t>f</w:t>
      </w:r>
      <w:r w:rsidRPr="00445922" w:rsidR="00927CB9">
        <w:rPr>
          <w:rFonts w:ascii="Calibri" w:hAnsi="Calibri" w:cs="Calibri"/>
          <w:sz w:val="22"/>
          <w:szCs w:val="22"/>
        </w:rPr>
        <w:t>or the 200 cases released before December 20</w:t>
      </w:r>
      <w:r w:rsidRPr="00445922" w:rsidR="007E1D1D">
        <w:rPr>
          <w:rFonts w:ascii="Calibri" w:hAnsi="Calibri" w:cs="Calibri"/>
          <w:sz w:val="22"/>
          <w:szCs w:val="22"/>
        </w:rPr>
        <w:t>19</w:t>
      </w:r>
      <w:r w:rsidRPr="00445922" w:rsidR="00D95104">
        <w:rPr>
          <w:rFonts w:ascii="Calibri" w:hAnsi="Calibri" w:cs="Calibri"/>
          <w:sz w:val="22"/>
          <w:szCs w:val="22"/>
        </w:rPr>
        <w:t xml:space="preserve"> </w:t>
      </w:r>
      <w:r w:rsidRPr="00445922" w:rsidR="00506442">
        <w:rPr>
          <w:rFonts w:ascii="Calibri" w:hAnsi="Calibri" w:cs="Calibri"/>
          <w:sz w:val="22"/>
          <w:szCs w:val="22"/>
        </w:rPr>
        <w:t>i</w:t>
      </w:r>
      <w:r w:rsidRPr="00445922" w:rsidR="00896485">
        <w:rPr>
          <w:rFonts w:ascii="Calibri" w:hAnsi="Calibri" w:cs="Calibri"/>
          <w:sz w:val="22"/>
          <w:szCs w:val="22"/>
        </w:rPr>
        <w:t>s</w:t>
      </w:r>
      <w:r w:rsidR="00B60672">
        <w:rPr>
          <w:rFonts w:ascii="Calibri" w:hAnsi="Calibri" w:cs="Calibri"/>
          <w:sz w:val="22"/>
          <w:szCs w:val="22"/>
        </w:rPr>
        <w:t xml:space="preserve"> currently</w:t>
      </w:r>
      <w:r w:rsidRPr="00445922" w:rsidR="00896485">
        <w:rPr>
          <w:rFonts w:ascii="Calibri" w:hAnsi="Calibri" w:cs="Calibri"/>
          <w:sz w:val="22"/>
          <w:szCs w:val="22"/>
        </w:rPr>
        <w:t xml:space="preserve"> 64.0 percent and the difference </w:t>
      </w:r>
      <w:r w:rsidRPr="00445922" w:rsidR="004B4B54">
        <w:rPr>
          <w:rFonts w:ascii="Calibri" w:hAnsi="Calibri" w:cs="Calibri"/>
          <w:sz w:val="22"/>
          <w:szCs w:val="22"/>
        </w:rPr>
        <w:t xml:space="preserve">in response rates </w:t>
      </w:r>
      <w:r w:rsidRPr="00445922" w:rsidR="00896485">
        <w:rPr>
          <w:rFonts w:ascii="Calibri" w:hAnsi="Calibri" w:cs="Calibri"/>
          <w:sz w:val="22"/>
          <w:szCs w:val="22"/>
        </w:rPr>
        <w:t xml:space="preserve">between the treatment and control group </w:t>
      </w:r>
      <w:r w:rsidRPr="00445922" w:rsidR="00506442">
        <w:rPr>
          <w:rFonts w:ascii="Calibri" w:hAnsi="Calibri" w:cs="Calibri"/>
          <w:sz w:val="22"/>
          <w:szCs w:val="22"/>
        </w:rPr>
        <w:t>i</w:t>
      </w:r>
      <w:r w:rsidRPr="00445922" w:rsidR="00896485">
        <w:rPr>
          <w:rFonts w:ascii="Calibri" w:hAnsi="Calibri" w:cs="Calibri"/>
          <w:sz w:val="22"/>
          <w:szCs w:val="22"/>
        </w:rPr>
        <w:t>s</w:t>
      </w:r>
      <w:r w:rsidRPr="00445922" w:rsidR="00506442">
        <w:rPr>
          <w:rFonts w:ascii="Calibri" w:hAnsi="Calibri" w:cs="Calibri"/>
          <w:sz w:val="22"/>
          <w:szCs w:val="22"/>
        </w:rPr>
        <w:t xml:space="preserve"> </w:t>
      </w:r>
      <w:r w:rsidRPr="00445922" w:rsidR="00896485">
        <w:rPr>
          <w:rFonts w:ascii="Calibri" w:hAnsi="Calibri" w:cs="Calibri"/>
          <w:sz w:val="22"/>
          <w:szCs w:val="22"/>
        </w:rPr>
        <w:t>3.8 percentage point</w:t>
      </w:r>
      <w:r w:rsidRPr="00445922" w:rsidR="000D166A">
        <w:rPr>
          <w:rFonts w:ascii="Calibri" w:hAnsi="Calibri" w:cs="Calibri"/>
          <w:sz w:val="22"/>
          <w:szCs w:val="22"/>
        </w:rPr>
        <w:t>s</w:t>
      </w:r>
      <w:r w:rsidRPr="00445922" w:rsidR="00754525">
        <w:rPr>
          <w:rFonts w:ascii="Calibri" w:hAnsi="Calibri" w:cs="Calibri"/>
          <w:sz w:val="22"/>
          <w:szCs w:val="22"/>
        </w:rPr>
        <w:t xml:space="preserve"> (Table 1)</w:t>
      </w:r>
      <w:r w:rsidRPr="00445922" w:rsidR="00896485">
        <w:rPr>
          <w:rFonts w:ascii="Calibri" w:hAnsi="Calibri" w:cs="Calibri"/>
          <w:sz w:val="22"/>
          <w:szCs w:val="22"/>
        </w:rPr>
        <w:t>.</w:t>
      </w:r>
      <w:r w:rsidRPr="00445922" w:rsidR="004B4B54">
        <w:rPr>
          <w:rFonts w:ascii="Calibri" w:hAnsi="Calibri" w:cs="Calibri"/>
          <w:sz w:val="22"/>
          <w:szCs w:val="22"/>
        </w:rPr>
        <w:t xml:space="preserve"> </w:t>
      </w:r>
    </w:p>
    <w:p w:rsidRPr="00395B70" w:rsidR="00032FBA" w:rsidP="000524DB" w:rsidRDefault="00FB6CE7" w14:paraId="5E92B797" w14:textId="44C42962">
      <w:pPr>
        <w:pStyle w:val="TableTitle"/>
        <w:rPr>
          <w:rFonts w:ascii="Calibri" w:hAnsi="Calibri" w:cs="Calibri"/>
          <w:szCs w:val="22"/>
        </w:rPr>
      </w:pPr>
      <w:r>
        <w:rPr>
          <w:rFonts w:ascii="Calibri" w:hAnsi="Calibri" w:cs="Calibri"/>
          <w:szCs w:val="22"/>
        </w:rPr>
        <w:t xml:space="preserve">Table 1: </w:t>
      </w:r>
      <w:r w:rsidR="006B01AB">
        <w:rPr>
          <w:rFonts w:ascii="Calibri" w:hAnsi="Calibri" w:cs="Calibri"/>
          <w:szCs w:val="22"/>
        </w:rPr>
        <w:t>R</w:t>
      </w:r>
      <w:r w:rsidRPr="00395B70" w:rsidR="00BB1A99">
        <w:rPr>
          <w:rFonts w:ascii="Calibri" w:hAnsi="Calibri" w:cs="Calibri"/>
          <w:szCs w:val="22"/>
        </w:rPr>
        <w:t xml:space="preserve">esponse rates for </w:t>
      </w:r>
      <w:r w:rsidR="00673D44">
        <w:rPr>
          <w:rFonts w:ascii="Calibri" w:hAnsi="Calibri" w:cs="Calibri"/>
          <w:szCs w:val="22"/>
        </w:rPr>
        <w:t xml:space="preserve">the second follow-up survey in </w:t>
      </w:r>
      <w:proofErr w:type="spellStart"/>
      <w:r w:rsidR="00001B72">
        <w:rPr>
          <w:rFonts w:ascii="Calibri" w:hAnsi="Calibri" w:cs="Calibri"/>
          <w:szCs w:val="22"/>
        </w:rPr>
        <w:t>MotherWise</w:t>
      </w:r>
      <w:proofErr w:type="spellEnd"/>
    </w:p>
    <w:tbl>
      <w:tblPr>
        <w:tblW w:w="5096" w:type="pct"/>
        <w:tblBorders>
          <w:bottom w:val="single" w:color="046B5C" w:sz="4" w:space="0"/>
        </w:tblBorders>
        <w:tblLayout w:type="fixed"/>
        <w:tblLook w:val="04A0" w:firstRow="1" w:lastRow="0" w:firstColumn="1" w:lastColumn="0" w:noHBand="0" w:noVBand="1"/>
      </w:tblPr>
      <w:tblGrid>
        <w:gridCol w:w="1784"/>
        <w:gridCol w:w="1702"/>
        <w:gridCol w:w="1914"/>
        <w:gridCol w:w="1753"/>
        <w:gridCol w:w="2387"/>
      </w:tblGrid>
      <w:tr w:rsidRPr="00395B70" w:rsidR="001F6377" w:rsidTr="005342BB" w14:paraId="2967D3C9" w14:textId="77777777">
        <w:trPr>
          <w:trHeight w:val="288"/>
        </w:trPr>
        <w:tc>
          <w:tcPr>
            <w:tcW w:w="1784" w:type="dxa"/>
            <w:shd w:val="clear" w:color="auto" w:fill="046B5C" w:themeFill="text2"/>
            <w:noWrap/>
            <w:tcMar>
              <w:left w:w="14" w:type="dxa"/>
              <w:right w:w="43" w:type="dxa"/>
            </w:tcMar>
            <w:vAlign w:val="bottom"/>
          </w:tcPr>
          <w:p w:rsidRPr="00395B70" w:rsidR="001F6377" w:rsidP="00A167DC" w:rsidRDefault="001F6377" w14:paraId="25F70DAE" w14:textId="77777777">
            <w:pPr>
              <w:pStyle w:val="TableHeaderCenter"/>
              <w:rPr>
                <w:rFonts w:ascii="Calibri" w:hAnsi="Calibri" w:cs="Calibri"/>
                <w:sz w:val="22"/>
                <w:szCs w:val="22"/>
              </w:rPr>
            </w:pPr>
          </w:p>
        </w:tc>
        <w:tc>
          <w:tcPr>
            <w:tcW w:w="1702" w:type="dxa"/>
            <w:shd w:val="clear" w:color="auto" w:fill="046B5C" w:themeFill="text2"/>
            <w:noWrap/>
            <w:vAlign w:val="bottom"/>
          </w:tcPr>
          <w:p w:rsidRPr="00395B70" w:rsidR="001F6377" w:rsidP="00A167DC" w:rsidRDefault="001F6377" w14:paraId="11D48A54" w14:textId="77777777">
            <w:pPr>
              <w:pStyle w:val="TableHeaderCenter"/>
              <w:rPr>
                <w:rFonts w:ascii="Calibri" w:hAnsi="Calibri" w:cs="Calibri"/>
                <w:sz w:val="22"/>
                <w:szCs w:val="22"/>
              </w:rPr>
            </w:pPr>
          </w:p>
        </w:tc>
        <w:tc>
          <w:tcPr>
            <w:tcW w:w="6054" w:type="dxa"/>
            <w:gridSpan w:val="3"/>
            <w:tcBorders>
              <w:bottom w:val="single" w:color="FFFFFF" w:themeColor="background1" w:sz="4" w:space="0"/>
            </w:tcBorders>
            <w:shd w:val="clear" w:color="auto" w:fill="046B5C" w:themeFill="text2"/>
            <w:noWrap/>
            <w:vAlign w:val="bottom"/>
          </w:tcPr>
          <w:p w:rsidR="001F6377" w:rsidP="00F67B64" w:rsidRDefault="001F6377" w14:paraId="0579B6D6" w14:textId="016EF205">
            <w:pPr>
              <w:pStyle w:val="TableHeaderCenter"/>
              <w:rPr>
                <w:rFonts w:ascii="Calibri" w:hAnsi="Calibri" w:cs="Calibri"/>
                <w:sz w:val="22"/>
                <w:szCs w:val="22"/>
              </w:rPr>
            </w:pPr>
            <w:r w:rsidRPr="00F829C1">
              <w:rPr>
                <w:rFonts w:ascii="Calibri" w:hAnsi="Calibri" w:cs="Calibri"/>
                <w:sz w:val="22"/>
                <w:szCs w:val="22"/>
              </w:rPr>
              <w:t>Response rates</w:t>
            </w:r>
          </w:p>
        </w:tc>
      </w:tr>
      <w:tr w:rsidRPr="00395B70" w:rsidR="00844C18" w:rsidTr="005342BB" w14:paraId="3C237653" w14:textId="667ADD63">
        <w:trPr>
          <w:trHeight w:val="288"/>
        </w:trPr>
        <w:tc>
          <w:tcPr>
            <w:tcW w:w="1784" w:type="dxa"/>
            <w:shd w:val="clear" w:color="auto" w:fill="046B5C" w:themeFill="text2"/>
            <w:noWrap/>
            <w:tcMar>
              <w:left w:w="14" w:type="dxa"/>
              <w:right w:w="43" w:type="dxa"/>
            </w:tcMar>
            <w:vAlign w:val="bottom"/>
            <w:hideMark/>
          </w:tcPr>
          <w:p w:rsidRPr="00395B70" w:rsidR="00844C18" w:rsidP="00A167DC" w:rsidRDefault="00844C18" w14:paraId="59FCF699" w14:textId="5708D8E4">
            <w:pPr>
              <w:pStyle w:val="TableHeaderCenter"/>
              <w:rPr>
                <w:rFonts w:ascii="Calibri" w:hAnsi="Calibri" w:cs="Calibri"/>
                <w:sz w:val="22"/>
                <w:szCs w:val="22"/>
              </w:rPr>
            </w:pPr>
            <w:r w:rsidRPr="00395B70">
              <w:rPr>
                <w:rFonts w:ascii="Calibri" w:hAnsi="Calibri" w:cs="Calibri"/>
                <w:sz w:val="22"/>
                <w:szCs w:val="22"/>
              </w:rPr>
              <w:t>Total number</w:t>
            </w:r>
            <w:r w:rsidR="00646405">
              <w:rPr>
                <w:rFonts w:ascii="Calibri" w:hAnsi="Calibri" w:cs="Calibri"/>
                <w:sz w:val="22"/>
                <w:szCs w:val="22"/>
              </w:rPr>
              <w:t xml:space="preserve"> of cases</w:t>
            </w:r>
            <w:r w:rsidRPr="00395B70">
              <w:rPr>
                <w:rFonts w:ascii="Calibri" w:hAnsi="Calibri" w:cs="Calibri"/>
                <w:sz w:val="22"/>
                <w:szCs w:val="22"/>
              </w:rPr>
              <w:t xml:space="preserve"> </w:t>
            </w:r>
            <w:proofErr w:type="spellStart"/>
            <w:r w:rsidRPr="00395B70">
              <w:rPr>
                <w:rFonts w:ascii="Calibri" w:hAnsi="Calibri" w:cs="Calibri"/>
                <w:sz w:val="22"/>
                <w:szCs w:val="22"/>
              </w:rPr>
              <w:t>released</w:t>
            </w:r>
            <w:r w:rsidR="001371E0">
              <w:rPr>
                <w:rFonts w:ascii="Calibri" w:hAnsi="Calibri" w:cs="Calibri"/>
                <w:sz w:val="22"/>
                <w:szCs w:val="22"/>
                <w:vertAlign w:val="superscript"/>
              </w:rPr>
              <w:t>a</w:t>
            </w:r>
            <w:proofErr w:type="spellEnd"/>
          </w:p>
        </w:tc>
        <w:tc>
          <w:tcPr>
            <w:tcW w:w="1702" w:type="dxa"/>
            <w:shd w:val="clear" w:color="auto" w:fill="046B5C" w:themeFill="text2"/>
            <w:noWrap/>
            <w:vAlign w:val="bottom"/>
            <w:hideMark/>
          </w:tcPr>
          <w:p w:rsidRPr="00395B70" w:rsidR="00844C18" w:rsidP="00A167DC" w:rsidRDefault="00844C18" w14:paraId="588D2B30" w14:textId="47AF1E98">
            <w:pPr>
              <w:pStyle w:val="TableHeaderCenter"/>
              <w:rPr>
                <w:rFonts w:ascii="Calibri" w:hAnsi="Calibri" w:cs="Calibri"/>
                <w:sz w:val="22"/>
                <w:szCs w:val="22"/>
              </w:rPr>
            </w:pPr>
            <w:r w:rsidRPr="00395B70">
              <w:rPr>
                <w:rFonts w:ascii="Calibri" w:hAnsi="Calibri" w:cs="Calibri"/>
                <w:sz w:val="22"/>
                <w:szCs w:val="22"/>
              </w:rPr>
              <w:t xml:space="preserve">Overall response </w:t>
            </w:r>
            <w:proofErr w:type="spellStart"/>
            <w:r w:rsidRPr="00395B70">
              <w:rPr>
                <w:rFonts w:ascii="Calibri" w:hAnsi="Calibri" w:cs="Calibri"/>
                <w:sz w:val="22"/>
                <w:szCs w:val="22"/>
              </w:rPr>
              <w:t>rates</w:t>
            </w:r>
            <w:r w:rsidRPr="003F7475" w:rsidR="000D070A">
              <w:rPr>
                <w:rFonts w:ascii="Calibri" w:hAnsi="Calibri" w:cs="Calibri"/>
                <w:sz w:val="22"/>
                <w:szCs w:val="22"/>
                <w:vertAlign w:val="superscript"/>
              </w:rPr>
              <w:t>b</w:t>
            </w:r>
            <w:proofErr w:type="spellEnd"/>
          </w:p>
        </w:tc>
        <w:tc>
          <w:tcPr>
            <w:tcW w:w="1914" w:type="dxa"/>
            <w:tcBorders>
              <w:top w:val="single" w:color="FFFFFF" w:themeColor="background1" w:sz="4" w:space="0"/>
            </w:tcBorders>
            <w:shd w:val="clear" w:color="auto" w:fill="046B5C" w:themeFill="text2"/>
            <w:noWrap/>
            <w:vAlign w:val="bottom"/>
            <w:hideMark/>
          </w:tcPr>
          <w:p w:rsidRPr="00395B70" w:rsidR="00844C18" w:rsidP="00BB4F1B" w:rsidRDefault="001F6377" w14:paraId="3ABEC7F3" w14:textId="7D6FE471">
            <w:pPr>
              <w:pStyle w:val="TableHeaderCenter"/>
              <w:rPr>
                <w:rFonts w:ascii="Calibri" w:hAnsi="Calibri" w:cs="Calibri"/>
                <w:sz w:val="22"/>
                <w:szCs w:val="22"/>
              </w:rPr>
            </w:pPr>
            <w:r>
              <w:rPr>
                <w:rFonts w:ascii="Calibri" w:hAnsi="Calibri" w:cs="Calibri"/>
                <w:sz w:val="22"/>
                <w:szCs w:val="22"/>
              </w:rPr>
              <w:t>T</w:t>
            </w:r>
            <w:r w:rsidRPr="00395B70" w:rsidR="00844C18">
              <w:rPr>
                <w:rFonts w:ascii="Calibri" w:hAnsi="Calibri" w:cs="Calibri"/>
                <w:sz w:val="22"/>
                <w:szCs w:val="22"/>
              </w:rPr>
              <w:t>reatment group</w:t>
            </w:r>
          </w:p>
        </w:tc>
        <w:tc>
          <w:tcPr>
            <w:tcW w:w="1753" w:type="dxa"/>
            <w:tcBorders>
              <w:top w:val="single" w:color="FFFFFF" w:themeColor="background1" w:sz="4" w:space="0"/>
            </w:tcBorders>
            <w:shd w:val="clear" w:color="auto" w:fill="046B5C" w:themeFill="text2"/>
            <w:noWrap/>
            <w:vAlign w:val="bottom"/>
            <w:hideMark/>
          </w:tcPr>
          <w:p w:rsidRPr="00395B70" w:rsidR="00844C18" w:rsidP="00F67B64" w:rsidRDefault="001F6377" w14:paraId="44098440" w14:textId="1A3CAAC2">
            <w:pPr>
              <w:pStyle w:val="TableHeaderCenter"/>
              <w:rPr>
                <w:rFonts w:ascii="Calibri" w:hAnsi="Calibri" w:cs="Calibri"/>
                <w:sz w:val="22"/>
                <w:szCs w:val="22"/>
              </w:rPr>
            </w:pPr>
            <w:r>
              <w:rPr>
                <w:rFonts w:ascii="Calibri" w:hAnsi="Calibri" w:cs="Calibri"/>
                <w:sz w:val="22"/>
                <w:szCs w:val="22"/>
              </w:rPr>
              <w:t>C</w:t>
            </w:r>
            <w:r w:rsidRPr="00395B70" w:rsidR="00844C18">
              <w:rPr>
                <w:rFonts w:ascii="Calibri" w:hAnsi="Calibri" w:cs="Calibri"/>
                <w:sz w:val="22"/>
                <w:szCs w:val="22"/>
              </w:rPr>
              <w:t>ontrol group</w:t>
            </w:r>
          </w:p>
        </w:tc>
        <w:tc>
          <w:tcPr>
            <w:tcW w:w="2387" w:type="dxa"/>
            <w:tcBorders>
              <w:top w:val="single" w:color="FFFFFF" w:themeColor="background1" w:sz="4" w:space="0"/>
            </w:tcBorders>
            <w:shd w:val="clear" w:color="auto" w:fill="046B5C" w:themeFill="text2"/>
          </w:tcPr>
          <w:p w:rsidRPr="00395B70" w:rsidR="00844C18" w:rsidP="00445922" w:rsidRDefault="00844C18" w14:paraId="128C0ACA" w14:textId="0E83CA91">
            <w:pPr>
              <w:pStyle w:val="TableHeaderCenter"/>
              <w:rPr>
                <w:rFonts w:ascii="Calibri" w:hAnsi="Calibri" w:cs="Calibri"/>
                <w:sz w:val="22"/>
                <w:szCs w:val="22"/>
              </w:rPr>
            </w:pPr>
            <w:r>
              <w:rPr>
                <w:rFonts w:ascii="Calibri" w:hAnsi="Calibri" w:cs="Calibri"/>
                <w:sz w:val="22"/>
                <w:szCs w:val="22"/>
              </w:rPr>
              <w:t>Treatment-control</w:t>
            </w:r>
            <w:r w:rsidR="00445922">
              <w:rPr>
                <w:rFonts w:ascii="Calibri" w:hAnsi="Calibri" w:cs="Calibri"/>
                <w:sz w:val="22"/>
                <w:szCs w:val="22"/>
              </w:rPr>
              <w:t xml:space="preserve"> </w:t>
            </w:r>
            <w:r>
              <w:rPr>
                <w:rFonts w:ascii="Calibri" w:hAnsi="Calibri" w:cs="Calibri"/>
                <w:sz w:val="22"/>
                <w:szCs w:val="22"/>
              </w:rPr>
              <w:t>difference</w:t>
            </w:r>
          </w:p>
        </w:tc>
      </w:tr>
      <w:tr w:rsidRPr="00B248C7" w:rsidR="00844C18" w:rsidTr="005342BB" w14:paraId="5BB1CDD7" w14:textId="77777777">
        <w:trPr>
          <w:trHeight w:val="288"/>
        </w:trPr>
        <w:tc>
          <w:tcPr>
            <w:tcW w:w="9540" w:type="dxa"/>
            <w:gridSpan w:val="5"/>
            <w:shd w:val="clear" w:color="auto" w:fill="0B2949"/>
            <w:noWrap/>
            <w:vAlign w:val="center"/>
          </w:tcPr>
          <w:p w:rsidRPr="00B248C7" w:rsidR="00844C18" w:rsidP="00445922" w:rsidRDefault="00844C18" w14:paraId="74E3A159" w14:textId="54FDB655">
            <w:pPr>
              <w:pStyle w:val="TableTextCentered"/>
              <w:jc w:val="left"/>
              <w:rPr>
                <w:rFonts w:ascii="Calibri" w:hAnsi="Calibri" w:cs="Calibri"/>
                <w:bCs/>
                <w:sz w:val="22"/>
                <w:szCs w:val="22"/>
              </w:rPr>
            </w:pPr>
            <w:r w:rsidRPr="00B248C7">
              <w:rPr>
                <w:rFonts w:ascii="Calibri" w:hAnsi="Calibri" w:cs="Calibri"/>
                <w:bCs/>
                <w:sz w:val="22"/>
                <w:szCs w:val="22"/>
              </w:rPr>
              <w:t xml:space="preserve">Including </w:t>
            </w:r>
            <w:r w:rsidRPr="00B248C7" w:rsidR="00460066">
              <w:rPr>
                <w:rFonts w:ascii="Calibri" w:hAnsi="Calibri" w:cs="Calibri"/>
                <w:bCs/>
                <w:sz w:val="22"/>
                <w:szCs w:val="22"/>
              </w:rPr>
              <w:t>responses occurring because of field work</w:t>
            </w:r>
          </w:p>
        </w:tc>
      </w:tr>
      <w:tr w:rsidRPr="00B248C7" w:rsidR="00844C18" w:rsidTr="005342BB" w14:paraId="3B023B04" w14:textId="54E545D9">
        <w:trPr>
          <w:trHeight w:val="288"/>
        </w:trPr>
        <w:tc>
          <w:tcPr>
            <w:tcW w:w="1784" w:type="dxa"/>
            <w:shd w:val="clear" w:color="auto" w:fill="auto"/>
            <w:noWrap/>
            <w:vAlign w:val="center"/>
            <w:hideMark/>
          </w:tcPr>
          <w:p w:rsidRPr="00B248C7" w:rsidR="00844C18" w:rsidP="00445922" w:rsidRDefault="00844C18" w14:paraId="21AD09CA" w14:textId="246FA780">
            <w:pPr>
              <w:pStyle w:val="TableTextLeft"/>
              <w:rPr>
                <w:rFonts w:ascii="Calibri" w:hAnsi="Calibri" w:cs="Calibri"/>
                <w:sz w:val="22"/>
                <w:szCs w:val="22"/>
              </w:rPr>
            </w:pPr>
            <w:r w:rsidRPr="00B248C7">
              <w:rPr>
                <w:rFonts w:ascii="Calibri" w:hAnsi="Calibri" w:cs="Calibri"/>
                <w:sz w:val="22"/>
                <w:szCs w:val="22"/>
              </w:rPr>
              <w:t>200</w:t>
            </w:r>
          </w:p>
        </w:tc>
        <w:tc>
          <w:tcPr>
            <w:tcW w:w="1702" w:type="dxa"/>
            <w:shd w:val="clear" w:color="auto" w:fill="auto"/>
            <w:noWrap/>
            <w:vAlign w:val="center"/>
            <w:hideMark/>
          </w:tcPr>
          <w:p w:rsidRPr="00B248C7" w:rsidR="00844C18" w:rsidP="00445922" w:rsidRDefault="00844C18" w14:paraId="065D3BB1" w14:textId="6A7996DD">
            <w:pPr>
              <w:pStyle w:val="TableTextLeft"/>
              <w:tabs>
                <w:tab w:val="decimal" w:pos="715"/>
              </w:tabs>
              <w:rPr>
                <w:rFonts w:ascii="Calibri" w:hAnsi="Calibri" w:cs="Calibri"/>
                <w:sz w:val="22"/>
                <w:szCs w:val="22"/>
              </w:rPr>
            </w:pPr>
            <w:r w:rsidRPr="00B248C7">
              <w:rPr>
                <w:rFonts w:ascii="Calibri" w:hAnsi="Calibri" w:cs="Calibri"/>
                <w:sz w:val="22"/>
                <w:szCs w:val="22"/>
              </w:rPr>
              <w:t>64.0%</w:t>
            </w:r>
          </w:p>
        </w:tc>
        <w:tc>
          <w:tcPr>
            <w:tcW w:w="1914" w:type="dxa"/>
            <w:shd w:val="clear" w:color="auto" w:fill="auto"/>
            <w:noWrap/>
            <w:vAlign w:val="center"/>
            <w:hideMark/>
          </w:tcPr>
          <w:p w:rsidRPr="00B248C7" w:rsidR="00844C18" w:rsidP="00445922" w:rsidRDefault="00844C18" w14:paraId="41C79658" w14:textId="559D936C">
            <w:pPr>
              <w:pStyle w:val="TableTextLeft"/>
              <w:tabs>
                <w:tab w:val="decimal" w:pos="715"/>
              </w:tabs>
              <w:rPr>
                <w:rFonts w:ascii="Calibri" w:hAnsi="Calibri" w:cs="Calibri"/>
                <w:sz w:val="22"/>
                <w:szCs w:val="22"/>
              </w:rPr>
            </w:pPr>
            <w:r w:rsidRPr="00B248C7">
              <w:rPr>
                <w:rFonts w:ascii="Calibri" w:hAnsi="Calibri" w:cs="Calibri"/>
                <w:sz w:val="22"/>
                <w:szCs w:val="22"/>
              </w:rPr>
              <w:t>65.4%</w:t>
            </w:r>
          </w:p>
        </w:tc>
        <w:tc>
          <w:tcPr>
            <w:tcW w:w="1753" w:type="dxa"/>
            <w:shd w:val="clear" w:color="auto" w:fill="auto"/>
            <w:noWrap/>
            <w:vAlign w:val="center"/>
            <w:hideMark/>
          </w:tcPr>
          <w:p w:rsidRPr="00B248C7" w:rsidR="00844C18" w:rsidP="00445922" w:rsidRDefault="00844C18" w14:paraId="20DF8BC8" w14:textId="192D68BC">
            <w:pPr>
              <w:pStyle w:val="TableTextLeft"/>
              <w:tabs>
                <w:tab w:val="decimal" w:pos="715"/>
              </w:tabs>
              <w:rPr>
                <w:rFonts w:ascii="Calibri" w:hAnsi="Calibri" w:cs="Calibri"/>
                <w:sz w:val="22"/>
                <w:szCs w:val="22"/>
              </w:rPr>
            </w:pPr>
            <w:r w:rsidRPr="00B248C7">
              <w:rPr>
                <w:rFonts w:ascii="Calibri" w:hAnsi="Calibri" w:cs="Calibri"/>
                <w:sz w:val="22"/>
                <w:szCs w:val="22"/>
              </w:rPr>
              <w:t>61.6%</w:t>
            </w:r>
          </w:p>
        </w:tc>
        <w:tc>
          <w:tcPr>
            <w:tcW w:w="2387" w:type="dxa"/>
          </w:tcPr>
          <w:p w:rsidRPr="00B248C7" w:rsidR="00844C18" w:rsidDel="003E7D6E" w:rsidP="00445922" w:rsidRDefault="00844C18" w14:paraId="7AB57D74" w14:textId="0627418E">
            <w:pPr>
              <w:pStyle w:val="TableTextLeft"/>
              <w:rPr>
                <w:rFonts w:ascii="Calibri" w:hAnsi="Calibri" w:cs="Calibri"/>
                <w:sz w:val="22"/>
                <w:szCs w:val="22"/>
              </w:rPr>
            </w:pPr>
            <w:r w:rsidRPr="00B248C7">
              <w:rPr>
                <w:rFonts w:ascii="Calibri" w:hAnsi="Calibri" w:cs="Calibri"/>
                <w:sz w:val="22"/>
                <w:szCs w:val="22"/>
              </w:rPr>
              <w:t>3.8 percentage points</w:t>
            </w:r>
          </w:p>
        </w:tc>
      </w:tr>
      <w:tr w:rsidRPr="00B248C7" w:rsidR="00844C18" w:rsidTr="005342BB" w14:paraId="26E534FD" w14:textId="77777777">
        <w:trPr>
          <w:trHeight w:val="288"/>
        </w:trPr>
        <w:tc>
          <w:tcPr>
            <w:tcW w:w="9540" w:type="dxa"/>
            <w:gridSpan w:val="5"/>
            <w:shd w:val="clear" w:color="auto" w:fill="0B2949"/>
            <w:noWrap/>
            <w:vAlign w:val="center"/>
          </w:tcPr>
          <w:p w:rsidRPr="00B248C7" w:rsidR="00844C18" w:rsidP="00445922" w:rsidRDefault="00460066" w14:paraId="42328355" w14:textId="602DE27D">
            <w:pPr>
              <w:pStyle w:val="TableTextCentered"/>
              <w:tabs>
                <w:tab w:val="decimal" w:pos="715"/>
              </w:tabs>
              <w:jc w:val="left"/>
              <w:rPr>
                <w:rFonts w:ascii="Calibri" w:hAnsi="Calibri" w:cs="Calibri"/>
                <w:bCs/>
                <w:sz w:val="22"/>
                <w:szCs w:val="22"/>
              </w:rPr>
            </w:pPr>
            <w:r w:rsidRPr="00B248C7">
              <w:rPr>
                <w:rFonts w:ascii="Calibri" w:hAnsi="Calibri" w:cs="Calibri"/>
                <w:bCs/>
                <w:sz w:val="22"/>
                <w:szCs w:val="22"/>
              </w:rPr>
              <w:t>Excluding responses occurring because of field work</w:t>
            </w:r>
          </w:p>
        </w:tc>
      </w:tr>
      <w:tr w:rsidRPr="00B248C7" w:rsidR="00844C18" w:rsidTr="005342BB" w14:paraId="42743EBA" w14:textId="075674FB">
        <w:trPr>
          <w:trHeight w:val="288"/>
        </w:trPr>
        <w:tc>
          <w:tcPr>
            <w:tcW w:w="1784" w:type="dxa"/>
            <w:shd w:val="clear" w:color="auto" w:fill="E0D4B5" w:themeFill="background2"/>
            <w:noWrap/>
            <w:vAlign w:val="center"/>
          </w:tcPr>
          <w:p w:rsidRPr="00B248C7" w:rsidR="00844C18" w:rsidP="00445922" w:rsidRDefault="00844C18" w14:paraId="14823938" w14:textId="17D964B5">
            <w:pPr>
              <w:pStyle w:val="TableTextLeft"/>
              <w:rPr>
                <w:rFonts w:ascii="Calibri" w:hAnsi="Calibri" w:cs="Calibri"/>
                <w:sz w:val="22"/>
                <w:szCs w:val="22"/>
              </w:rPr>
            </w:pPr>
            <w:r w:rsidRPr="00B248C7">
              <w:rPr>
                <w:rFonts w:ascii="Calibri" w:hAnsi="Calibri" w:cs="Calibri"/>
                <w:sz w:val="22"/>
                <w:szCs w:val="22"/>
              </w:rPr>
              <w:t>200</w:t>
            </w:r>
          </w:p>
        </w:tc>
        <w:tc>
          <w:tcPr>
            <w:tcW w:w="1702" w:type="dxa"/>
            <w:shd w:val="clear" w:color="auto" w:fill="E0D4B5" w:themeFill="background2"/>
            <w:noWrap/>
            <w:vAlign w:val="center"/>
          </w:tcPr>
          <w:p w:rsidRPr="00B248C7" w:rsidR="00844C18" w:rsidP="00445922" w:rsidRDefault="00844C18" w14:paraId="62D9C806" w14:textId="09F9413C">
            <w:pPr>
              <w:pStyle w:val="TableTextLeft"/>
              <w:tabs>
                <w:tab w:val="decimal" w:pos="715"/>
              </w:tabs>
              <w:rPr>
                <w:rFonts w:ascii="Calibri" w:hAnsi="Calibri" w:cs="Calibri"/>
                <w:sz w:val="22"/>
                <w:szCs w:val="22"/>
              </w:rPr>
            </w:pPr>
            <w:r w:rsidRPr="00B248C7">
              <w:rPr>
                <w:rFonts w:ascii="Calibri" w:hAnsi="Calibri" w:cs="Calibri"/>
                <w:sz w:val="22"/>
                <w:szCs w:val="22"/>
              </w:rPr>
              <w:t>50.5%</w:t>
            </w:r>
          </w:p>
        </w:tc>
        <w:tc>
          <w:tcPr>
            <w:tcW w:w="1914" w:type="dxa"/>
            <w:shd w:val="clear" w:color="auto" w:fill="E0D4B5" w:themeFill="background2"/>
            <w:noWrap/>
            <w:vAlign w:val="center"/>
          </w:tcPr>
          <w:p w:rsidRPr="00B248C7" w:rsidR="00844C18" w:rsidP="00445922" w:rsidRDefault="00844C18" w14:paraId="57DB6E3D" w14:textId="2BB69396">
            <w:pPr>
              <w:pStyle w:val="TableTextLeft"/>
              <w:tabs>
                <w:tab w:val="decimal" w:pos="715"/>
              </w:tabs>
              <w:rPr>
                <w:rFonts w:ascii="Calibri" w:hAnsi="Calibri" w:cs="Calibri"/>
                <w:sz w:val="22"/>
                <w:szCs w:val="22"/>
              </w:rPr>
            </w:pPr>
            <w:r w:rsidRPr="00B248C7">
              <w:rPr>
                <w:rFonts w:ascii="Calibri" w:hAnsi="Calibri" w:cs="Calibri"/>
                <w:sz w:val="22"/>
                <w:szCs w:val="22"/>
              </w:rPr>
              <w:t>54.3%</w:t>
            </w:r>
          </w:p>
        </w:tc>
        <w:tc>
          <w:tcPr>
            <w:tcW w:w="1753" w:type="dxa"/>
            <w:shd w:val="clear" w:color="auto" w:fill="E0D4B5" w:themeFill="background2"/>
            <w:noWrap/>
            <w:vAlign w:val="center"/>
          </w:tcPr>
          <w:p w:rsidRPr="00B248C7" w:rsidR="00844C18" w:rsidP="00445922" w:rsidRDefault="00844C18" w14:paraId="1820EEC2" w14:textId="3A48473B">
            <w:pPr>
              <w:pStyle w:val="TableTextLeft"/>
              <w:tabs>
                <w:tab w:val="decimal" w:pos="715"/>
              </w:tabs>
              <w:rPr>
                <w:rFonts w:ascii="Calibri" w:hAnsi="Calibri" w:cs="Calibri"/>
                <w:sz w:val="22"/>
                <w:szCs w:val="22"/>
              </w:rPr>
            </w:pPr>
            <w:r w:rsidRPr="00B248C7">
              <w:rPr>
                <w:rFonts w:ascii="Calibri" w:hAnsi="Calibri" w:cs="Calibri"/>
                <w:sz w:val="22"/>
                <w:szCs w:val="22"/>
              </w:rPr>
              <w:t>43.8%</w:t>
            </w:r>
          </w:p>
        </w:tc>
        <w:tc>
          <w:tcPr>
            <w:tcW w:w="2387" w:type="dxa"/>
            <w:shd w:val="clear" w:color="auto" w:fill="E0D4B5" w:themeFill="background2"/>
          </w:tcPr>
          <w:p w:rsidRPr="00B248C7" w:rsidR="00844C18" w:rsidP="00445922" w:rsidRDefault="00844C18" w14:paraId="1AD27230" w14:textId="2BAD7B14">
            <w:pPr>
              <w:pStyle w:val="TableTextLeft"/>
              <w:rPr>
                <w:rFonts w:ascii="Calibri" w:hAnsi="Calibri" w:cs="Calibri"/>
                <w:sz w:val="22"/>
                <w:szCs w:val="22"/>
              </w:rPr>
            </w:pPr>
            <w:r w:rsidRPr="00B248C7">
              <w:rPr>
                <w:rFonts w:ascii="Calibri" w:hAnsi="Calibri" w:cs="Calibri"/>
                <w:sz w:val="22"/>
                <w:szCs w:val="22"/>
              </w:rPr>
              <w:t>10.5 percentage points</w:t>
            </w:r>
          </w:p>
        </w:tc>
      </w:tr>
    </w:tbl>
    <w:p w:rsidR="00E746D2" w:rsidP="000524DB" w:rsidRDefault="00123AB6" w14:paraId="5F7829C4" w14:textId="243577ED">
      <w:pPr>
        <w:pStyle w:val="ListParagraph"/>
        <w:spacing w:before="0" w:after="0" w:line="240" w:lineRule="auto"/>
        <w:ind w:left="0" w:firstLine="0"/>
        <w:contextualSpacing/>
        <w:rPr>
          <w:rFonts w:ascii="Calibri" w:hAnsi="Calibri" w:cs="Calibri"/>
          <w:bCs/>
          <w:sz w:val="18"/>
          <w:szCs w:val="18"/>
        </w:rPr>
      </w:pPr>
      <w:proofErr w:type="spellStart"/>
      <w:r w:rsidRPr="00395B70">
        <w:rPr>
          <w:rFonts w:ascii="Calibri" w:hAnsi="Calibri" w:cs="Calibri"/>
          <w:bCs/>
          <w:sz w:val="18"/>
          <w:szCs w:val="18"/>
          <w:vertAlign w:val="superscript"/>
        </w:rPr>
        <w:t>a</w:t>
      </w:r>
      <w:proofErr w:type="spellEnd"/>
      <w:r w:rsidR="00445232">
        <w:rPr>
          <w:rFonts w:ascii="Calibri" w:hAnsi="Calibri" w:cs="Calibri"/>
          <w:bCs/>
          <w:sz w:val="18"/>
          <w:szCs w:val="18"/>
        </w:rPr>
        <w:t xml:space="preserve"> </w:t>
      </w:r>
      <w:r w:rsidRPr="00395B70" w:rsidR="00E746D2">
        <w:rPr>
          <w:rFonts w:ascii="Calibri" w:hAnsi="Calibri" w:cs="Calibri"/>
          <w:bCs/>
          <w:sz w:val="18"/>
          <w:szCs w:val="18"/>
        </w:rPr>
        <w:t xml:space="preserve">Includes sample members </w:t>
      </w:r>
      <w:r w:rsidR="0012406F">
        <w:rPr>
          <w:rFonts w:ascii="Calibri" w:hAnsi="Calibri" w:cs="Calibri"/>
          <w:bCs/>
          <w:sz w:val="18"/>
          <w:szCs w:val="18"/>
        </w:rPr>
        <w:t xml:space="preserve">who were </w:t>
      </w:r>
      <w:r w:rsidRPr="00395B70" w:rsidR="00E746D2">
        <w:rPr>
          <w:rFonts w:ascii="Calibri" w:hAnsi="Calibri" w:cs="Calibri"/>
          <w:bCs/>
          <w:sz w:val="18"/>
          <w:szCs w:val="18"/>
        </w:rPr>
        <w:t xml:space="preserve">released </w:t>
      </w:r>
      <w:r w:rsidR="00445232">
        <w:rPr>
          <w:rFonts w:ascii="Calibri" w:hAnsi="Calibri" w:cs="Calibri"/>
          <w:bCs/>
          <w:sz w:val="18"/>
          <w:szCs w:val="18"/>
        </w:rPr>
        <w:t xml:space="preserve">before December 2019 and were worked in the field </w:t>
      </w:r>
      <w:r w:rsidR="003E7D6E">
        <w:rPr>
          <w:rFonts w:ascii="Calibri" w:hAnsi="Calibri" w:cs="Calibri"/>
          <w:bCs/>
          <w:sz w:val="18"/>
          <w:szCs w:val="18"/>
        </w:rPr>
        <w:t>until March 2020.</w:t>
      </w:r>
      <w:r w:rsidR="001371E0">
        <w:rPr>
          <w:rFonts w:ascii="Calibri" w:hAnsi="Calibri" w:cs="Calibri"/>
          <w:bCs/>
          <w:sz w:val="18"/>
          <w:szCs w:val="18"/>
        </w:rPr>
        <w:t xml:space="preserve"> A further </w:t>
      </w:r>
      <w:r w:rsidR="00A7246F">
        <w:rPr>
          <w:rFonts w:ascii="Calibri" w:hAnsi="Calibri" w:cs="Calibri"/>
          <w:bCs/>
          <w:sz w:val="18"/>
          <w:szCs w:val="18"/>
        </w:rPr>
        <w:t xml:space="preserve">212 </w:t>
      </w:r>
      <w:r w:rsidR="00646405">
        <w:rPr>
          <w:rFonts w:ascii="Calibri" w:hAnsi="Calibri" w:cs="Calibri"/>
          <w:bCs/>
          <w:sz w:val="18"/>
          <w:szCs w:val="18"/>
        </w:rPr>
        <w:t>cases</w:t>
      </w:r>
      <w:r w:rsidR="00A7246F">
        <w:rPr>
          <w:rFonts w:ascii="Calibri" w:hAnsi="Calibri" w:cs="Calibri"/>
          <w:bCs/>
          <w:sz w:val="18"/>
          <w:szCs w:val="18"/>
        </w:rPr>
        <w:t xml:space="preserve"> were released </w:t>
      </w:r>
      <w:r w:rsidR="0042701B">
        <w:rPr>
          <w:rFonts w:ascii="Calibri" w:hAnsi="Calibri" w:cs="Calibri"/>
          <w:bCs/>
          <w:sz w:val="18"/>
          <w:szCs w:val="18"/>
        </w:rPr>
        <w:t>between December 2019 and April 2020. A</w:t>
      </w:r>
      <w:r w:rsidR="007B4ACD">
        <w:rPr>
          <w:rFonts w:ascii="Calibri" w:hAnsi="Calibri" w:cs="Calibri"/>
          <w:bCs/>
          <w:sz w:val="18"/>
          <w:szCs w:val="18"/>
        </w:rPr>
        <w:t>n additional</w:t>
      </w:r>
      <w:r w:rsidR="0042701B">
        <w:rPr>
          <w:rFonts w:ascii="Calibri" w:hAnsi="Calibri" w:cs="Calibri"/>
          <w:bCs/>
          <w:sz w:val="18"/>
          <w:szCs w:val="18"/>
        </w:rPr>
        <w:t xml:space="preserve"> 557 cases </w:t>
      </w:r>
      <w:r w:rsidR="007B4ACD">
        <w:rPr>
          <w:rFonts w:ascii="Calibri" w:hAnsi="Calibri" w:cs="Calibri"/>
          <w:bCs/>
          <w:sz w:val="18"/>
          <w:szCs w:val="18"/>
        </w:rPr>
        <w:t>are still waiting to be released</w:t>
      </w:r>
      <w:r w:rsidR="0042701B">
        <w:rPr>
          <w:rFonts w:ascii="Calibri" w:hAnsi="Calibri" w:cs="Calibri"/>
          <w:bCs/>
          <w:sz w:val="18"/>
          <w:szCs w:val="18"/>
        </w:rPr>
        <w:t>.</w:t>
      </w:r>
      <w:r w:rsidR="00646405">
        <w:rPr>
          <w:rFonts w:ascii="Calibri" w:hAnsi="Calibri" w:cs="Calibri"/>
          <w:bCs/>
          <w:sz w:val="18"/>
          <w:szCs w:val="18"/>
        </w:rPr>
        <w:t xml:space="preserve"> </w:t>
      </w:r>
    </w:p>
    <w:p w:rsidR="000D070A" w:rsidP="000524DB" w:rsidRDefault="00084E5C" w14:paraId="3246763F" w14:textId="6B3B4C62">
      <w:pPr>
        <w:pStyle w:val="ListParagraph"/>
        <w:spacing w:before="0" w:after="0" w:line="240" w:lineRule="auto"/>
        <w:ind w:left="0" w:firstLine="0"/>
        <w:contextualSpacing/>
        <w:rPr>
          <w:rFonts w:ascii="Calibri" w:hAnsi="Calibri" w:cs="Calibri"/>
          <w:bCs/>
          <w:sz w:val="18"/>
          <w:szCs w:val="18"/>
        </w:rPr>
      </w:pPr>
      <w:r w:rsidRPr="003F7475">
        <w:rPr>
          <w:rFonts w:ascii="Calibri" w:hAnsi="Calibri" w:cs="Calibri"/>
          <w:bCs/>
          <w:sz w:val="18"/>
          <w:szCs w:val="18"/>
          <w:vertAlign w:val="superscript"/>
        </w:rPr>
        <w:t>b</w:t>
      </w:r>
      <w:r w:rsidR="004C22E6">
        <w:rPr>
          <w:rFonts w:ascii="Calibri" w:hAnsi="Calibri" w:cs="Calibri"/>
          <w:bCs/>
          <w:sz w:val="18"/>
          <w:szCs w:val="18"/>
        </w:rPr>
        <w:t xml:space="preserve"> Target response rate is 80 percent.</w:t>
      </w:r>
    </w:p>
    <w:p w:rsidR="0050616E" w:rsidP="000524DB" w:rsidRDefault="0050616E" w14:paraId="038D4A33" w14:textId="5E643F8C">
      <w:pPr>
        <w:pStyle w:val="ListParagraph"/>
        <w:spacing w:before="0" w:after="0" w:line="240" w:lineRule="auto"/>
        <w:ind w:left="0" w:firstLine="0"/>
        <w:contextualSpacing/>
        <w:rPr>
          <w:rFonts w:ascii="Calibri" w:hAnsi="Calibri" w:cs="Calibri"/>
          <w:bCs/>
          <w:sz w:val="18"/>
          <w:szCs w:val="18"/>
        </w:rPr>
      </w:pPr>
    </w:p>
    <w:p w:rsidRPr="00445922" w:rsidR="00445922" w:rsidP="00445922" w:rsidRDefault="00445922" w14:paraId="37AED5E1" w14:textId="17810A0E">
      <w:pPr>
        <w:pStyle w:val="Paragraph"/>
        <w:rPr>
          <w:rFonts w:ascii="Calibri" w:hAnsi="Calibri" w:cs="Calibri"/>
          <w:sz w:val="22"/>
          <w:szCs w:val="22"/>
        </w:rPr>
      </w:pPr>
      <w:r w:rsidRPr="00445922">
        <w:rPr>
          <w:rFonts w:ascii="Calibri" w:hAnsi="Calibri" w:cs="Calibri"/>
          <w:sz w:val="22"/>
          <w:szCs w:val="22"/>
        </w:rPr>
        <w:t xml:space="preserve">Without the ability to do field work because of the COVID-19 restrictions, the response rate level is likely to be lower and the treatment-control differential in response rates is likely to be higher for the 769 cases released between December 2019 and May 2021 (when the </w:t>
      </w:r>
      <w:r w:rsidR="00B61B2E">
        <w:rPr>
          <w:rFonts w:ascii="Calibri" w:hAnsi="Calibri" w:cs="Calibri"/>
          <w:sz w:val="22"/>
          <w:szCs w:val="22"/>
        </w:rPr>
        <w:t>final</w:t>
      </w:r>
      <w:r w:rsidRPr="00445922" w:rsidR="00B61B2E">
        <w:rPr>
          <w:rFonts w:ascii="Calibri" w:hAnsi="Calibri" w:cs="Calibri"/>
          <w:sz w:val="22"/>
          <w:szCs w:val="22"/>
        </w:rPr>
        <w:t xml:space="preserve"> </w:t>
      </w:r>
      <w:proofErr w:type="spellStart"/>
      <w:r w:rsidRPr="00445922">
        <w:rPr>
          <w:rFonts w:ascii="Calibri" w:hAnsi="Calibri" w:cs="Calibri"/>
          <w:sz w:val="22"/>
          <w:szCs w:val="22"/>
        </w:rPr>
        <w:t>MotherWise</w:t>
      </w:r>
      <w:proofErr w:type="spellEnd"/>
      <w:r w:rsidRPr="00445922">
        <w:rPr>
          <w:rFonts w:ascii="Calibri" w:hAnsi="Calibri" w:cs="Calibri"/>
          <w:sz w:val="22"/>
          <w:szCs w:val="22"/>
        </w:rPr>
        <w:t xml:space="preserve"> cases will be released). Without the ability to conduct field work, we expect that the response rate for the later </w:t>
      </w:r>
      <w:r w:rsidRPr="00445922">
        <w:rPr>
          <w:rFonts w:ascii="Calibri" w:hAnsi="Calibri" w:cs="Calibri"/>
          <w:sz w:val="22"/>
          <w:szCs w:val="22"/>
        </w:rPr>
        <w:lastRenderedPageBreak/>
        <w:t xml:space="preserve">releases will be similar to those obtained for the earlier releases in which no in-person contact by survey field staff was made. The overall response rates for the earlier cohorts without the field work would have been 50.5 percent with a 10.5 percentage point differential in the response rates between treatment and control groups (Table 1). The overall response rate for the cases released between December 2019 and April 2020 is </w:t>
      </w:r>
      <w:r w:rsidR="00B60672">
        <w:rPr>
          <w:rFonts w:ascii="Calibri" w:hAnsi="Calibri" w:cs="Calibri"/>
          <w:sz w:val="22"/>
          <w:szCs w:val="22"/>
        </w:rPr>
        <w:t xml:space="preserve">currently </w:t>
      </w:r>
      <w:r w:rsidRPr="00445922">
        <w:rPr>
          <w:rFonts w:ascii="Calibri" w:hAnsi="Calibri" w:cs="Calibri"/>
          <w:sz w:val="22"/>
          <w:szCs w:val="22"/>
        </w:rPr>
        <w:t>35.8 percent with a 6.7 percentage point difference between the response rates in the treatment and control groups.</w:t>
      </w:r>
    </w:p>
    <w:p w:rsidR="008F7880" w:rsidP="003F7475" w:rsidRDefault="008F7880" w14:paraId="0BC25842" w14:textId="77777777">
      <w:pPr>
        <w:pStyle w:val="Paragraph"/>
        <w:spacing w:after="120"/>
        <w:rPr>
          <w:rFonts w:ascii="Calibri" w:hAnsi="Calibri" w:cs="Calibri"/>
          <w:i/>
          <w:sz w:val="22"/>
          <w:szCs w:val="22"/>
        </w:rPr>
      </w:pPr>
      <w:r>
        <w:rPr>
          <w:rFonts w:ascii="Calibri" w:hAnsi="Calibri" w:cs="Calibri"/>
          <w:i/>
          <w:sz w:val="22"/>
          <w:szCs w:val="22"/>
        </w:rPr>
        <w:t>MTCI</w:t>
      </w:r>
    </w:p>
    <w:p w:rsidR="00D020AF" w:rsidP="0050616E" w:rsidRDefault="00992140" w14:paraId="5BAC116F" w14:textId="2D64B6B7">
      <w:pPr>
        <w:pStyle w:val="Paragraph"/>
        <w:rPr>
          <w:rFonts w:ascii="Calibri" w:hAnsi="Calibri" w:cs="Calibri"/>
          <w:sz w:val="22"/>
          <w:szCs w:val="22"/>
        </w:rPr>
      </w:pPr>
      <w:r>
        <w:rPr>
          <w:rFonts w:ascii="Calibri" w:hAnsi="Calibri" w:cs="Calibri"/>
          <w:sz w:val="22"/>
          <w:szCs w:val="22"/>
        </w:rPr>
        <w:t xml:space="preserve">Similarly, the response rate for the MTCI second follow-up survey is lower than </w:t>
      </w:r>
      <w:r w:rsidR="005B7524">
        <w:rPr>
          <w:rFonts w:ascii="Calibri" w:hAnsi="Calibri" w:cs="Calibri"/>
          <w:sz w:val="22"/>
          <w:szCs w:val="22"/>
        </w:rPr>
        <w:t>anticipated and the differential between the research groups is higher than anticipated. For the first cohort</w:t>
      </w:r>
      <w:r w:rsidR="00480AC1">
        <w:rPr>
          <w:rFonts w:ascii="Calibri" w:hAnsi="Calibri" w:cs="Calibri"/>
          <w:sz w:val="22"/>
          <w:szCs w:val="22"/>
        </w:rPr>
        <w:t xml:space="preserve"> released in October 2019, the overall response rate is 63.0 percent </w:t>
      </w:r>
      <w:r w:rsidR="00D02992">
        <w:rPr>
          <w:rFonts w:ascii="Calibri" w:hAnsi="Calibri" w:cs="Calibri"/>
          <w:sz w:val="22"/>
          <w:szCs w:val="22"/>
        </w:rPr>
        <w:t>and the treatment-control response rate</w:t>
      </w:r>
      <w:r w:rsidR="00480AC1">
        <w:rPr>
          <w:rFonts w:ascii="Calibri" w:hAnsi="Calibri" w:cs="Calibri"/>
          <w:sz w:val="22"/>
          <w:szCs w:val="22"/>
        </w:rPr>
        <w:t xml:space="preserve"> differential </w:t>
      </w:r>
      <w:r w:rsidR="00D02992">
        <w:rPr>
          <w:rFonts w:ascii="Calibri" w:hAnsi="Calibri" w:cs="Calibri"/>
          <w:sz w:val="22"/>
          <w:szCs w:val="22"/>
        </w:rPr>
        <w:t>is</w:t>
      </w:r>
      <w:r w:rsidR="00480AC1">
        <w:rPr>
          <w:rFonts w:ascii="Calibri" w:hAnsi="Calibri" w:cs="Calibri"/>
          <w:sz w:val="22"/>
          <w:szCs w:val="22"/>
        </w:rPr>
        <w:t xml:space="preserve"> 6.9 percentage points</w:t>
      </w:r>
      <w:r w:rsidR="00D02992">
        <w:rPr>
          <w:rFonts w:ascii="Calibri" w:hAnsi="Calibri" w:cs="Calibri"/>
          <w:sz w:val="22"/>
          <w:szCs w:val="22"/>
        </w:rPr>
        <w:t xml:space="preserve"> (Table 2). </w:t>
      </w:r>
      <w:r w:rsidR="00102DEF">
        <w:rPr>
          <w:rFonts w:ascii="Calibri" w:hAnsi="Calibri" w:cs="Calibri"/>
          <w:sz w:val="22"/>
          <w:szCs w:val="22"/>
        </w:rPr>
        <w:t>The response rate for the second cohort, for whom school administration and field location was not feasible</w:t>
      </w:r>
      <w:r w:rsidR="00B60672">
        <w:rPr>
          <w:rFonts w:ascii="Calibri" w:hAnsi="Calibri" w:cs="Calibri"/>
          <w:sz w:val="22"/>
          <w:szCs w:val="22"/>
        </w:rPr>
        <w:t xml:space="preserve"> due to COVID-19 restrictions</w:t>
      </w:r>
      <w:r w:rsidR="007B4ACD">
        <w:rPr>
          <w:rFonts w:ascii="Calibri" w:hAnsi="Calibri" w:cs="Calibri"/>
          <w:sz w:val="22"/>
          <w:szCs w:val="22"/>
        </w:rPr>
        <w:t>,</w:t>
      </w:r>
      <w:r w:rsidR="00102DEF">
        <w:rPr>
          <w:rFonts w:ascii="Calibri" w:hAnsi="Calibri" w:cs="Calibri"/>
          <w:sz w:val="22"/>
          <w:szCs w:val="22"/>
        </w:rPr>
        <w:t xml:space="preserve"> </w:t>
      </w:r>
      <w:r w:rsidR="00607EA6">
        <w:rPr>
          <w:rFonts w:ascii="Calibri" w:hAnsi="Calibri" w:cs="Calibri"/>
          <w:sz w:val="22"/>
          <w:szCs w:val="22"/>
        </w:rPr>
        <w:t xml:space="preserve">is likely to be lower. </w:t>
      </w:r>
      <w:r w:rsidR="00B346D8">
        <w:rPr>
          <w:rFonts w:ascii="Calibri" w:hAnsi="Calibri" w:cs="Calibri"/>
          <w:sz w:val="22"/>
          <w:szCs w:val="22"/>
        </w:rPr>
        <w:t xml:space="preserve">For the </w:t>
      </w:r>
      <w:r w:rsidR="00607EA6">
        <w:rPr>
          <w:rFonts w:ascii="Calibri" w:hAnsi="Calibri" w:cs="Calibri"/>
          <w:sz w:val="22"/>
          <w:szCs w:val="22"/>
        </w:rPr>
        <w:t>first cohort study participants who</w:t>
      </w:r>
      <w:r w:rsidR="00B346D8">
        <w:rPr>
          <w:rFonts w:ascii="Calibri" w:hAnsi="Calibri" w:cs="Calibri"/>
          <w:sz w:val="22"/>
          <w:szCs w:val="22"/>
        </w:rPr>
        <w:t xml:space="preserve"> completed </w:t>
      </w:r>
      <w:r w:rsidR="00607EA6">
        <w:rPr>
          <w:rFonts w:ascii="Calibri" w:hAnsi="Calibri" w:cs="Calibri"/>
          <w:sz w:val="22"/>
          <w:szCs w:val="22"/>
        </w:rPr>
        <w:t>the survey by</w:t>
      </w:r>
      <w:r w:rsidR="00B346D8">
        <w:rPr>
          <w:rFonts w:ascii="Calibri" w:hAnsi="Calibri" w:cs="Calibri"/>
          <w:sz w:val="22"/>
          <w:szCs w:val="22"/>
        </w:rPr>
        <w:t xml:space="preserve"> </w:t>
      </w:r>
      <w:r w:rsidR="00526212">
        <w:rPr>
          <w:rFonts w:ascii="Calibri" w:hAnsi="Calibri" w:cs="Calibri"/>
          <w:sz w:val="22"/>
          <w:szCs w:val="22"/>
        </w:rPr>
        <w:t xml:space="preserve">telephone or </w:t>
      </w:r>
      <w:r w:rsidR="00607EA6">
        <w:rPr>
          <w:rFonts w:ascii="Calibri" w:hAnsi="Calibri" w:cs="Calibri"/>
          <w:sz w:val="22"/>
          <w:szCs w:val="22"/>
        </w:rPr>
        <w:t>on-line</w:t>
      </w:r>
      <w:r w:rsidR="00526212">
        <w:rPr>
          <w:rFonts w:ascii="Calibri" w:hAnsi="Calibri" w:cs="Calibri"/>
          <w:sz w:val="22"/>
          <w:szCs w:val="22"/>
        </w:rPr>
        <w:t xml:space="preserve"> </w:t>
      </w:r>
      <w:r w:rsidR="003310AC">
        <w:rPr>
          <w:rFonts w:ascii="Calibri" w:hAnsi="Calibri" w:cs="Calibri"/>
          <w:sz w:val="22"/>
          <w:szCs w:val="22"/>
        </w:rPr>
        <w:t xml:space="preserve">without in-person contact </w:t>
      </w:r>
      <w:r w:rsidR="00443B67">
        <w:rPr>
          <w:rFonts w:ascii="Calibri" w:hAnsi="Calibri" w:cs="Calibri"/>
          <w:sz w:val="22"/>
          <w:szCs w:val="22"/>
        </w:rPr>
        <w:t>by</w:t>
      </w:r>
      <w:r w:rsidR="00526212">
        <w:rPr>
          <w:rFonts w:ascii="Calibri" w:hAnsi="Calibri" w:cs="Calibri"/>
          <w:sz w:val="22"/>
          <w:szCs w:val="22"/>
        </w:rPr>
        <w:t xml:space="preserve"> survey </w:t>
      </w:r>
      <w:r w:rsidR="00AC306F">
        <w:rPr>
          <w:rFonts w:ascii="Calibri" w:hAnsi="Calibri" w:cs="Calibri"/>
          <w:sz w:val="22"/>
          <w:szCs w:val="22"/>
        </w:rPr>
        <w:t xml:space="preserve">field </w:t>
      </w:r>
      <w:r w:rsidR="00526212">
        <w:rPr>
          <w:rFonts w:ascii="Calibri" w:hAnsi="Calibri" w:cs="Calibri"/>
          <w:sz w:val="22"/>
          <w:szCs w:val="22"/>
        </w:rPr>
        <w:t xml:space="preserve">staff, the response rate </w:t>
      </w:r>
      <w:r w:rsidR="00AC306F">
        <w:rPr>
          <w:rFonts w:ascii="Calibri" w:hAnsi="Calibri" w:cs="Calibri"/>
          <w:sz w:val="22"/>
          <w:szCs w:val="22"/>
        </w:rPr>
        <w:t>i</w:t>
      </w:r>
      <w:r w:rsidR="00526212">
        <w:rPr>
          <w:rFonts w:ascii="Calibri" w:hAnsi="Calibri" w:cs="Calibri"/>
          <w:sz w:val="22"/>
          <w:szCs w:val="22"/>
        </w:rPr>
        <w:t xml:space="preserve">s only 34.7 percent and the differential between </w:t>
      </w:r>
      <w:r w:rsidR="00AC306F">
        <w:rPr>
          <w:rFonts w:ascii="Calibri" w:hAnsi="Calibri" w:cs="Calibri"/>
          <w:sz w:val="22"/>
          <w:szCs w:val="22"/>
        </w:rPr>
        <w:t xml:space="preserve">treatment and control </w:t>
      </w:r>
      <w:r w:rsidR="00526212">
        <w:rPr>
          <w:rFonts w:ascii="Calibri" w:hAnsi="Calibri" w:cs="Calibri"/>
          <w:sz w:val="22"/>
          <w:szCs w:val="22"/>
        </w:rPr>
        <w:t xml:space="preserve">groups </w:t>
      </w:r>
      <w:r w:rsidR="00AC306F">
        <w:rPr>
          <w:rFonts w:ascii="Calibri" w:hAnsi="Calibri" w:cs="Calibri"/>
          <w:sz w:val="22"/>
          <w:szCs w:val="22"/>
        </w:rPr>
        <w:t>i</w:t>
      </w:r>
      <w:r w:rsidR="00526212">
        <w:rPr>
          <w:rFonts w:ascii="Calibri" w:hAnsi="Calibri" w:cs="Calibri"/>
          <w:sz w:val="22"/>
          <w:szCs w:val="22"/>
        </w:rPr>
        <w:t>s 5.0 percentage points</w:t>
      </w:r>
      <w:r w:rsidR="00997944">
        <w:rPr>
          <w:rFonts w:ascii="Calibri" w:hAnsi="Calibri" w:cs="Calibri"/>
          <w:sz w:val="22"/>
          <w:szCs w:val="22"/>
        </w:rPr>
        <w:t xml:space="preserve"> (Table 2)</w:t>
      </w:r>
      <w:r w:rsidR="00526212">
        <w:rPr>
          <w:rFonts w:ascii="Calibri" w:hAnsi="Calibri" w:cs="Calibri"/>
          <w:sz w:val="22"/>
          <w:szCs w:val="22"/>
        </w:rPr>
        <w:t xml:space="preserve">. The overall response rate </w:t>
      </w:r>
      <w:r w:rsidR="00B62199">
        <w:rPr>
          <w:rFonts w:ascii="Calibri" w:hAnsi="Calibri" w:cs="Calibri"/>
          <w:sz w:val="22"/>
          <w:szCs w:val="22"/>
        </w:rPr>
        <w:t xml:space="preserve">for cohort 2 </w:t>
      </w:r>
      <w:r w:rsidR="00997944">
        <w:rPr>
          <w:rFonts w:ascii="Calibri" w:hAnsi="Calibri" w:cs="Calibri"/>
          <w:sz w:val="22"/>
          <w:szCs w:val="22"/>
        </w:rPr>
        <w:t xml:space="preserve">(762 cases) </w:t>
      </w:r>
      <w:r w:rsidR="00B62199">
        <w:rPr>
          <w:rFonts w:ascii="Calibri" w:hAnsi="Calibri" w:cs="Calibri"/>
          <w:sz w:val="22"/>
          <w:szCs w:val="22"/>
        </w:rPr>
        <w:t>released in March 2020</w:t>
      </w:r>
      <w:r w:rsidR="00997944">
        <w:rPr>
          <w:rFonts w:ascii="Calibri" w:hAnsi="Calibri" w:cs="Calibri"/>
          <w:sz w:val="22"/>
          <w:szCs w:val="22"/>
        </w:rPr>
        <w:t xml:space="preserve"> is </w:t>
      </w:r>
      <w:r w:rsidR="00B60672">
        <w:rPr>
          <w:rFonts w:ascii="Calibri" w:hAnsi="Calibri" w:cs="Calibri"/>
          <w:sz w:val="22"/>
          <w:szCs w:val="22"/>
        </w:rPr>
        <w:t xml:space="preserve">currently </w:t>
      </w:r>
      <w:r w:rsidR="00997944">
        <w:rPr>
          <w:rFonts w:ascii="Calibri" w:hAnsi="Calibri" w:cs="Calibri"/>
          <w:sz w:val="22"/>
          <w:szCs w:val="22"/>
        </w:rPr>
        <w:t>44.0 percent</w:t>
      </w:r>
      <w:r w:rsidR="00547279">
        <w:rPr>
          <w:rFonts w:ascii="Calibri" w:hAnsi="Calibri" w:cs="Calibri"/>
          <w:sz w:val="22"/>
          <w:szCs w:val="22"/>
        </w:rPr>
        <w:t xml:space="preserve"> with a 2.</w:t>
      </w:r>
      <w:r w:rsidR="004709DB">
        <w:rPr>
          <w:rFonts w:ascii="Calibri" w:hAnsi="Calibri" w:cs="Calibri"/>
          <w:sz w:val="22"/>
          <w:szCs w:val="22"/>
        </w:rPr>
        <w:t>9</w:t>
      </w:r>
      <w:r w:rsidR="00547279">
        <w:rPr>
          <w:rFonts w:ascii="Calibri" w:hAnsi="Calibri" w:cs="Calibri"/>
          <w:sz w:val="22"/>
          <w:szCs w:val="22"/>
        </w:rPr>
        <w:t xml:space="preserve"> percentage point difference </w:t>
      </w:r>
      <w:r w:rsidR="004709DB">
        <w:rPr>
          <w:rFonts w:ascii="Calibri" w:hAnsi="Calibri" w:cs="Calibri"/>
          <w:sz w:val="22"/>
          <w:szCs w:val="22"/>
        </w:rPr>
        <w:t xml:space="preserve">in response rates </w:t>
      </w:r>
      <w:r w:rsidR="00547279">
        <w:rPr>
          <w:rFonts w:ascii="Calibri" w:hAnsi="Calibri" w:cs="Calibri"/>
          <w:sz w:val="22"/>
          <w:szCs w:val="22"/>
        </w:rPr>
        <w:t>between</w:t>
      </w:r>
      <w:r w:rsidR="004709DB">
        <w:rPr>
          <w:rFonts w:ascii="Calibri" w:hAnsi="Calibri" w:cs="Calibri"/>
          <w:sz w:val="22"/>
          <w:szCs w:val="22"/>
        </w:rPr>
        <w:t xml:space="preserve"> research groups.</w:t>
      </w:r>
    </w:p>
    <w:p w:rsidRPr="00395B70" w:rsidR="001F6377" w:rsidP="001F6377" w:rsidRDefault="001F6377" w14:paraId="49D76979" w14:textId="75385F98">
      <w:pPr>
        <w:pStyle w:val="TableTitle"/>
        <w:rPr>
          <w:rFonts w:ascii="Calibri" w:hAnsi="Calibri" w:cs="Calibri"/>
          <w:szCs w:val="22"/>
        </w:rPr>
      </w:pPr>
      <w:r>
        <w:rPr>
          <w:rFonts w:ascii="Calibri" w:hAnsi="Calibri" w:cs="Calibri"/>
          <w:szCs w:val="22"/>
        </w:rPr>
        <w:t>Table 2: R</w:t>
      </w:r>
      <w:r w:rsidRPr="00395B70">
        <w:rPr>
          <w:rFonts w:ascii="Calibri" w:hAnsi="Calibri" w:cs="Calibri"/>
          <w:szCs w:val="22"/>
        </w:rPr>
        <w:t xml:space="preserve">esponse rates for </w:t>
      </w:r>
      <w:r>
        <w:rPr>
          <w:rFonts w:ascii="Calibri" w:hAnsi="Calibri" w:cs="Calibri"/>
          <w:szCs w:val="22"/>
        </w:rPr>
        <w:t>the second follow-up survey in MTCI</w:t>
      </w:r>
    </w:p>
    <w:tbl>
      <w:tblPr>
        <w:tblW w:w="5144" w:type="pct"/>
        <w:tblLayout w:type="fixed"/>
        <w:tblLook w:val="04A0" w:firstRow="1" w:lastRow="0" w:firstColumn="1" w:lastColumn="0" w:noHBand="0" w:noVBand="1"/>
      </w:tblPr>
      <w:tblGrid>
        <w:gridCol w:w="1890"/>
        <w:gridCol w:w="1620"/>
        <w:gridCol w:w="1350"/>
        <w:gridCol w:w="1260"/>
        <w:gridCol w:w="1260"/>
        <w:gridCol w:w="2250"/>
      </w:tblGrid>
      <w:tr w:rsidRPr="00B248C7" w:rsidR="001F6377" w:rsidTr="00B248C7" w14:paraId="3DC06E7D" w14:textId="77777777">
        <w:trPr>
          <w:trHeight w:val="288"/>
        </w:trPr>
        <w:tc>
          <w:tcPr>
            <w:tcW w:w="1890" w:type="dxa"/>
            <w:shd w:val="clear" w:color="auto" w:fill="046B5C" w:themeFill="text2"/>
            <w:noWrap/>
            <w:tcMar>
              <w:left w:w="14" w:type="dxa"/>
              <w:right w:w="43" w:type="dxa"/>
            </w:tcMar>
            <w:vAlign w:val="bottom"/>
          </w:tcPr>
          <w:p w:rsidRPr="00B248C7" w:rsidR="001F6377" w:rsidP="00040796" w:rsidRDefault="001F6377" w14:paraId="6CCAB2F3" w14:textId="77777777">
            <w:pPr>
              <w:pStyle w:val="TableHeaderCenter"/>
              <w:rPr>
                <w:rFonts w:ascii="Calibri" w:hAnsi="Calibri" w:cs="Calibri"/>
                <w:sz w:val="22"/>
                <w:szCs w:val="22"/>
              </w:rPr>
            </w:pPr>
          </w:p>
        </w:tc>
        <w:tc>
          <w:tcPr>
            <w:tcW w:w="1620" w:type="dxa"/>
            <w:shd w:val="clear" w:color="auto" w:fill="046B5C" w:themeFill="text2"/>
            <w:noWrap/>
            <w:vAlign w:val="bottom"/>
          </w:tcPr>
          <w:p w:rsidRPr="00B248C7" w:rsidR="001F6377" w:rsidP="00040796" w:rsidRDefault="001F6377" w14:paraId="373FF90F" w14:textId="77777777">
            <w:pPr>
              <w:pStyle w:val="TableHeaderCenter"/>
              <w:rPr>
                <w:rFonts w:ascii="Calibri" w:hAnsi="Calibri" w:cs="Calibri"/>
                <w:sz w:val="22"/>
                <w:szCs w:val="22"/>
              </w:rPr>
            </w:pPr>
          </w:p>
        </w:tc>
        <w:tc>
          <w:tcPr>
            <w:tcW w:w="6120" w:type="dxa"/>
            <w:gridSpan w:val="4"/>
            <w:tcBorders>
              <w:bottom w:val="single" w:color="FFFFFF" w:themeColor="background1" w:sz="4" w:space="0"/>
            </w:tcBorders>
            <w:shd w:val="clear" w:color="auto" w:fill="046B5C" w:themeFill="text2"/>
            <w:noWrap/>
            <w:vAlign w:val="bottom"/>
          </w:tcPr>
          <w:p w:rsidRPr="00B248C7" w:rsidR="001F6377" w:rsidP="00040796" w:rsidRDefault="001F6377" w14:paraId="621AEB44" w14:textId="7DE53781">
            <w:pPr>
              <w:pStyle w:val="TableHeaderCenter"/>
              <w:rPr>
                <w:rFonts w:ascii="Calibri" w:hAnsi="Calibri" w:cs="Calibri"/>
                <w:sz w:val="22"/>
                <w:szCs w:val="22"/>
              </w:rPr>
            </w:pPr>
            <w:r w:rsidRPr="00B248C7">
              <w:rPr>
                <w:rFonts w:ascii="Calibri" w:hAnsi="Calibri" w:cs="Calibri"/>
                <w:sz w:val="22"/>
                <w:szCs w:val="22"/>
              </w:rPr>
              <w:t>Response rates</w:t>
            </w:r>
          </w:p>
        </w:tc>
      </w:tr>
      <w:tr w:rsidRPr="00B248C7" w:rsidR="00040796" w:rsidTr="00B248C7" w14:paraId="2E744CF5" w14:textId="12B1C2AA">
        <w:trPr>
          <w:trHeight w:val="288"/>
        </w:trPr>
        <w:tc>
          <w:tcPr>
            <w:tcW w:w="1890" w:type="dxa"/>
            <w:shd w:val="clear" w:color="auto" w:fill="046B5C" w:themeFill="text2"/>
            <w:noWrap/>
            <w:tcMar>
              <w:left w:w="14" w:type="dxa"/>
              <w:right w:w="43" w:type="dxa"/>
            </w:tcMar>
            <w:vAlign w:val="bottom"/>
            <w:hideMark/>
          </w:tcPr>
          <w:p w:rsidRPr="00B248C7" w:rsidR="001F6377" w:rsidP="00040796" w:rsidRDefault="00526212" w14:paraId="67F61601" w14:textId="124BAC7E">
            <w:pPr>
              <w:pStyle w:val="TableHeaderCenter"/>
              <w:jc w:val="left"/>
              <w:rPr>
                <w:rFonts w:ascii="Calibri" w:hAnsi="Calibri" w:cs="Calibri"/>
                <w:sz w:val="22"/>
                <w:szCs w:val="22"/>
              </w:rPr>
            </w:pPr>
            <w:r w:rsidRPr="00B248C7">
              <w:rPr>
                <w:rFonts w:ascii="Calibri" w:hAnsi="Calibri" w:cs="Calibri"/>
                <w:sz w:val="22"/>
                <w:szCs w:val="22"/>
              </w:rPr>
              <w:t>Number of cases in cohort 1</w:t>
            </w:r>
          </w:p>
        </w:tc>
        <w:tc>
          <w:tcPr>
            <w:tcW w:w="1620" w:type="dxa"/>
            <w:shd w:val="clear" w:color="auto" w:fill="046B5C" w:themeFill="text2"/>
            <w:noWrap/>
            <w:vAlign w:val="bottom"/>
            <w:hideMark/>
          </w:tcPr>
          <w:p w:rsidRPr="00B248C7" w:rsidR="001F6377" w:rsidP="00040796" w:rsidRDefault="001F6377" w14:paraId="66B71667" w14:textId="17ABDB59">
            <w:pPr>
              <w:pStyle w:val="TableHeaderCenter"/>
              <w:rPr>
                <w:rFonts w:ascii="Calibri" w:hAnsi="Calibri" w:cs="Calibri"/>
                <w:sz w:val="22"/>
                <w:szCs w:val="22"/>
              </w:rPr>
            </w:pPr>
            <w:r w:rsidRPr="00B248C7">
              <w:rPr>
                <w:rFonts w:ascii="Calibri" w:hAnsi="Calibri" w:cs="Calibri"/>
                <w:sz w:val="22"/>
                <w:szCs w:val="22"/>
              </w:rPr>
              <w:t xml:space="preserve">Overall response </w:t>
            </w:r>
            <w:proofErr w:type="spellStart"/>
            <w:r w:rsidRPr="00B248C7">
              <w:rPr>
                <w:rFonts w:ascii="Calibri" w:hAnsi="Calibri" w:cs="Calibri"/>
                <w:sz w:val="22"/>
                <w:szCs w:val="22"/>
              </w:rPr>
              <w:t>rates</w:t>
            </w:r>
            <w:r w:rsidRPr="003F7475" w:rsidR="00496B7E">
              <w:rPr>
                <w:rFonts w:ascii="Calibri" w:hAnsi="Calibri" w:cs="Calibri"/>
                <w:sz w:val="22"/>
                <w:szCs w:val="22"/>
                <w:vertAlign w:val="superscript"/>
              </w:rPr>
              <w:t>b</w:t>
            </w:r>
            <w:proofErr w:type="spellEnd"/>
          </w:p>
        </w:tc>
        <w:tc>
          <w:tcPr>
            <w:tcW w:w="1350" w:type="dxa"/>
            <w:tcBorders>
              <w:top w:val="single" w:color="FFFFFF" w:themeColor="background1" w:sz="4" w:space="0"/>
            </w:tcBorders>
            <w:shd w:val="clear" w:color="auto" w:fill="046B5C" w:themeFill="text2"/>
            <w:noWrap/>
            <w:vAlign w:val="bottom"/>
            <w:hideMark/>
          </w:tcPr>
          <w:p w:rsidRPr="00B248C7" w:rsidR="001F6377" w:rsidP="00040796" w:rsidRDefault="001F6377" w14:paraId="18E358CB" w14:textId="3582374A">
            <w:pPr>
              <w:pStyle w:val="TableHeaderCenter"/>
              <w:rPr>
                <w:rFonts w:ascii="Calibri" w:hAnsi="Calibri" w:cs="Calibri"/>
                <w:sz w:val="22"/>
                <w:szCs w:val="22"/>
              </w:rPr>
            </w:pPr>
            <w:r w:rsidRPr="00B248C7">
              <w:rPr>
                <w:rFonts w:ascii="Calibri" w:hAnsi="Calibri" w:cs="Calibri"/>
                <w:sz w:val="22"/>
                <w:szCs w:val="22"/>
              </w:rPr>
              <w:t>T1 group</w:t>
            </w:r>
          </w:p>
        </w:tc>
        <w:tc>
          <w:tcPr>
            <w:tcW w:w="1260" w:type="dxa"/>
            <w:tcBorders>
              <w:top w:val="single" w:color="FFFFFF" w:themeColor="background1" w:sz="4" w:space="0"/>
            </w:tcBorders>
            <w:shd w:val="clear" w:color="auto" w:fill="046B5C" w:themeFill="text2"/>
            <w:noWrap/>
            <w:vAlign w:val="bottom"/>
            <w:hideMark/>
          </w:tcPr>
          <w:p w:rsidRPr="00B248C7" w:rsidR="001F6377" w:rsidP="00040796" w:rsidRDefault="001F6377" w14:paraId="64D22262" w14:textId="3F3410DC">
            <w:pPr>
              <w:pStyle w:val="TableHeaderCenter"/>
              <w:rPr>
                <w:rFonts w:ascii="Calibri" w:hAnsi="Calibri" w:cs="Calibri"/>
                <w:sz w:val="22"/>
                <w:szCs w:val="22"/>
              </w:rPr>
            </w:pPr>
            <w:r w:rsidRPr="00B248C7">
              <w:rPr>
                <w:rFonts w:ascii="Calibri" w:hAnsi="Calibri" w:cs="Calibri"/>
                <w:sz w:val="22"/>
                <w:szCs w:val="22"/>
              </w:rPr>
              <w:t>T2 group</w:t>
            </w:r>
          </w:p>
        </w:tc>
        <w:tc>
          <w:tcPr>
            <w:tcW w:w="1260" w:type="dxa"/>
            <w:tcBorders>
              <w:top w:val="single" w:color="FFFFFF" w:themeColor="background1" w:sz="4" w:space="0"/>
            </w:tcBorders>
            <w:shd w:val="clear" w:color="auto" w:fill="046B5C" w:themeFill="text2"/>
          </w:tcPr>
          <w:p w:rsidRPr="00B248C7" w:rsidR="001F6377" w:rsidP="00040796" w:rsidRDefault="001F6377" w14:paraId="2BD1E614" w14:textId="2AA2A004">
            <w:pPr>
              <w:pStyle w:val="TableHeaderCenter"/>
              <w:rPr>
                <w:rFonts w:ascii="Calibri" w:hAnsi="Calibri" w:cs="Calibri"/>
                <w:sz w:val="22"/>
                <w:szCs w:val="22"/>
              </w:rPr>
            </w:pPr>
            <w:r w:rsidRPr="00B248C7">
              <w:rPr>
                <w:rFonts w:ascii="Calibri" w:hAnsi="Calibri" w:cs="Calibri"/>
                <w:sz w:val="22"/>
                <w:szCs w:val="22"/>
              </w:rPr>
              <w:t>C</w:t>
            </w:r>
            <w:r w:rsidRPr="00B248C7" w:rsidR="00A703EB">
              <w:rPr>
                <w:rFonts w:ascii="Calibri" w:hAnsi="Calibri" w:cs="Calibri"/>
                <w:sz w:val="22"/>
                <w:szCs w:val="22"/>
              </w:rPr>
              <w:t>ontrol group</w:t>
            </w:r>
          </w:p>
        </w:tc>
        <w:tc>
          <w:tcPr>
            <w:tcW w:w="2250" w:type="dxa"/>
            <w:tcBorders>
              <w:top w:val="single" w:color="FFFFFF" w:themeColor="background1" w:sz="4" w:space="0"/>
            </w:tcBorders>
            <w:shd w:val="clear" w:color="auto" w:fill="046B5C" w:themeFill="text2"/>
          </w:tcPr>
          <w:p w:rsidRPr="00B248C7" w:rsidR="001F6377" w:rsidP="00040796" w:rsidRDefault="00A703EB" w14:paraId="4885B851" w14:textId="4925CDB5">
            <w:pPr>
              <w:pStyle w:val="TableHeaderCenter"/>
              <w:rPr>
                <w:rFonts w:ascii="Calibri" w:hAnsi="Calibri" w:cs="Calibri"/>
                <w:sz w:val="22"/>
                <w:szCs w:val="22"/>
              </w:rPr>
            </w:pPr>
            <w:r w:rsidRPr="00B248C7">
              <w:rPr>
                <w:rFonts w:ascii="Calibri" w:hAnsi="Calibri" w:cs="Calibri"/>
                <w:sz w:val="22"/>
                <w:szCs w:val="22"/>
              </w:rPr>
              <w:t>Largest difference between groups</w:t>
            </w:r>
          </w:p>
        </w:tc>
      </w:tr>
      <w:tr w:rsidRPr="00B248C7" w:rsidR="001F6377" w:rsidTr="00B248C7" w14:paraId="5D7F143B" w14:textId="41DBCE01">
        <w:trPr>
          <w:trHeight w:val="288"/>
        </w:trPr>
        <w:tc>
          <w:tcPr>
            <w:tcW w:w="9630" w:type="dxa"/>
            <w:gridSpan w:val="6"/>
            <w:shd w:val="clear" w:color="auto" w:fill="0B2949"/>
            <w:noWrap/>
            <w:vAlign w:val="center"/>
          </w:tcPr>
          <w:p w:rsidRPr="00B248C7" w:rsidR="001F6377" w:rsidP="00040796" w:rsidRDefault="001F6377" w14:paraId="287ACAD1" w14:textId="10973D7B">
            <w:pPr>
              <w:pStyle w:val="TableTextLeft"/>
              <w:rPr>
                <w:rFonts w:ascii="Calibri" w:hAnsi="Calibri" w:cs="Calibri"/>
                <w:sz w:val="22"/>
                <w:szCs w:val="22"/>
              </w:rPr>
            </w:pPr>
            <w:r w:rsidRPr="00B248C7">
              <w:rPr>
                <w:rFonts w:ascii="Calibri" w:hAnsi="Calibri" w:cs="Calibri"/>
                <w:sz w:val="22"/>
                <w:szCs w:val="22"/>
              </w:rPr>
              <w:t>Including responses occurring because of field work</w:t>
            </w:r>
          </w:p>
        </w:tc>
      </w:tr>
      <w:tr w:rsidRPr="00B248C7" w:rsidR="00B248C7" w:rsidTr="00B248C7" w14:paraId="4994BD5E" w14:textId="1F786BCC">
        <w:trPr>
          <w:trHeight w:val="288"/>
        </w:trPr>
        <w:tc>
          <w:tcPr>
            <w:tcW w:w="1890" w:type="dxa"/>
            <w:shd w:val="clear" w:color="auto" w:fill="auto"/>
            <w:noWrap/>
            <w:vAlign w:val="center"/>
            <w:hideMark/>
          </w:tcPr>
          <w:p w:rsidRPr="00B248C7" w:rsidR="001F6377" w:rsidP="00040796" w:rsidRDefault="001F6377" w14:paraId="6F38005C" w14:textId="5BED1FC5">
            <w:pPr>
              <w:pStyle w:val="TableTextLeft"/>
              <w:rPr>
                <w:rFonts w:ascii="Calibri" w:hAnsi="Calibri" w:cs="Calibri"/>
                <w:sz w:val="22"/>
                <w:szCs w:val="22"/>
              </w:rPr>
            </w:pPr>
            <w:r w:rsidRPr="00B248C7">
              <w:rPr>
                <w:rFonts w:ascii="Calibri" w:hAnsi="Calibri" w:cs="Calibri"/>
                <w:sz w:val="22"/>
                <w:szCs w:val="22"/>
              </w:rPr>
              <w:t>1,100</w:t>
            </w:r>
          </w:p>
        </w:tc>
        <w:tc>
          <w:tcPr>
            <w:tcW w:w="1620" w:type="dxa"/>
            <w:shd w:val="clear" w:color="auto" w:fill="auto"/>
            <w:noWrap/>
            <w:vAlign w:val="center"/>
            <w:hideMark/>
          </w:tcPr>
          <w:p w:rsidRPr="00B248C7" w:rsidR="001F6377" w:rsidP="00B248C7" w:rsidRDefault="001F6377" w14:paraId="5272BCF6" w14:textId="345AC3B9">
            <w:pPr>
              <w:pStyle w:val="TableTextLeft"/>
              <w:tabs>
                <w:tab w:val="decimal" w:pos="631"/>
              </w:tabs>
              <w:rPr>
                <w:rFonts w:ascii="Calibri" w:hAnsi="Calibri" w:cs="Calibri"/>
                <w:sz w:val="22"/>
                <w:szCs w:val="22"/>
              </w:rPr>
            </w:pPr>
            <w:r w:rsidRPr="00B248C7">
              <w:rPr>
                <w:rFonts w:ascii="Calibri" w:hAnsi="Calibri" w:cs="Calibri"/>
                <w:sz w:val="22"/>
                <w:szCs w:val="22"/>
              </w:rPr>
              <w:t>6</w:t>
            </w:r>
            <w:r w:rsidRPr="00B248C7" w:rsidR="00A703EB">
              <w:rPr>
                <w:rFonts w:ascii="Calibri" w:hAnsi="Calibri" w:cs="Calibri"/>
                <w:sz w:val="22"/>
                <w:szCs w:val="22"/>
              </w:rPr>
              <w:t>3</w:t>
            </w:r>
            <w:r w:rsidRPr="00B248C7">
              <w:rPr>
                <w:rFonts w:ascii="Calibri" w:hAnsi="Calibri" w:cs="Calibri"/>
                <w:sz w:val="22"/>
                <w:szCs w:val="22"/>
              </w:rPr>
              <w:t>.0%</w:t>
            </w:r>
          </w:p>
        </w:tc>
        <w:tc>
          <w:tcPr>
            <w:tcW w:w="1350" w:type="dxa"/>
            <w:shd w:val="clear" w:color="auto" w:fill="auto"/>
            <w:noWrap/>
            <w:vAlign w:val="center"/>
            <w:hideMark/>
          </w:tcPr>
          <w:p w:rsidRPr="00B248C7" w:rsidR="001F6377" w:rsidP="00B248C7" w:rsidRDefault="001F6377" w14:paraId="16C806CE" w14:textId="22639E51">
            <w:pPr>
              <w:pStyle w:val="TableTextLeft"/>
              <w:tabs>
                <w:tab w:val="decimal" w:pos="521"/>
              </w:tabs>
              <w:rPr>
                <w:rFonts w:ascii="Calibri" w:hAnsi="Calibri" w:cs="Calibri"/>
                <w:sz w:val="22"/>
                <w:szCs w:val="22"/>
              </w:rPr>
            </w:pPr>
            <w:r w:rsidRPr="00B248C7">
              <w:rPr>
                <w:rFonts w:ascii="Calibri" w:hAnsi="Calibri" w:cs="Calibri"/>
                <w:sz w:val="22"/>
                <w:szCs w:val="22"/>
              </w:rPr>
              <w:t>6</w:t>
            </w:r>
            <w:r w:rsidRPr="00B248C7" w:rsidR="00A703EB">
              <w:rPr>
                <w:rFonts w:ascii="Calibri" w:hAnsi="Calibri" w:cs="Calibri"/>
                <w:sz w:val="22"/>
                <w:szCs w:val="22"/>
              </w:rPr>
              <w:t>4.8</w:t>
            </w:r>
            <w:r w:rsidRPr="00B248C7">
              <w:rPr>
                <w:rFonts w:ascii="Calibri" w:hAnsi="Calibri" w:cs="Calibri"/>
                <w:sz w:val="22"/>
                <w:szCs w:val="22"/>
              </w:rPr>
              <w:t>%</w:t>
            </w:r>
          </w:p>
        </w:tc>
        <w:tc>
          <w:tcPr>
            <w:tcW w:w="1260" w:type="dxa"/>
            <w:shd w:val="clear" w:color="auto" w:fill="auto"/>
            <w:noWrap/>
            <w:vAlign w:val="center"/>
            <w:hideMark/>
          </w:tcPr>
          <w:p w:rsidRPr="00B248C7" w:rsidR="001F6377" w:rsidP="00B248C7" w:rsidRDefault="00A703EB" w14:paraId="12B9D3B9" w14:textId="5BDDF8C8">
            <w:pPr>
              <w:pStyle w:val="TableTextLeft"/>
              <w:tabs>
                <w:tab w:val="decimal" w:pos="523"/>
              </w:tabs>
              <w:rPr>
                <w:rFonts w:ascii="Calibri" w:hAnsi="Calibri" w:cs="Calibri"/>
                <w:sz w:val="22"/>
                <w:szCs w:val="22"/>
              </w:rPr>
            </w:pPr>
            <w:r w:rsidRPr="00B248C7">
              <w:rPr>
                <w:rFonts w:ascii="Calibri" w:hAnsi="Calibri" w:cs="Calibri"/>
                <w:sz w:val="22"/>
                <w:szCs w:val="22"/>
              </w:rPr>
              <w:t>58.9</w:t>
            </w:r>
            <w:r w:rsidRPr="00B248C7" w:rsidR="001F6377">
              <w:rPr>
                <w:rFonts w:ascii="Calibri" w:hAnsi="Calibri" w:cs="Calibri"/>
                <w:sz w:val="22"/>
                <w:szCs w:val="22"/>
              </w:rPr>
              <w:t>%</w:t>
            </w:r>
          </w:p>
        </w:tc>
        <w:tc>
          <w:tcPr>
            <w:tcW w:w="1260" w:type="dxa"/>
          </w:tcPr>
          <w:p w:rsidRPr="00B248C7" w:rsidR="001F6377" w:rsidDel="003E7D6E" w:rsidP="00B248C7" w:rsidRDefault="007F4F8B" w14:paraId="7DFC0D3C" w14:textId="51A6CEE6">
            <w:pPr>
              <w:pStyle w:val="TableTextLeft"/>
              <w:tabs>
                <w:tab w:val="decimal" w:pos="430"/>
              </w:tabs>
              <w:rPr>
                <w:rFonts w:ascii="Calibri" w:hAnsi="Calibri" w:cs="Calibri"/>
                <w:sz w:val="22"/>
                <w:szCs w:val="22"/>
              </w:rPr>
            </w:pPr>
            <w:r w:rsidRPr="00B248C7">
              <w:rPr>
                <w:rFonts w:ascii="Calibri" w:hAnsi="Calibri" w:cs="Calibri"/>
                <w:sz w:val="22"/>
                <w:szCs w:val="22"/>
              </w:rPr>
              <w:t>65.8%</w:t>
            </w:r>
          </w:p>
        </w:tc>
        <w:tc>
          <w:tcPr>
            <w:tcW w:w="2250" w:type="dxa"/>
          </w:tcPr>
          <w:p w:rsidRPr="00B248C7" w:rsidR="001F6377" w:rsidP="00040796" w:rsidRDefault="007F4F8B" w14:paraId="69CC3B10" w14:textId="1CB11CB3">
            <w:pPr>
              <w:pStyle w:val="TableTextLeft"/>
              <w:rPr>
                <w:rFonts w:ascii="Calibri" w:hAnsi="Calibri" w:cs="Calibri"/>
                <w:sz w:val="22"/>
                <w:szCs w:val="22"/>
              </w:rPr>
            </w:pPr>
            <w:r w:rsidRPr="00B248C7">
              <w:rPr>
                <w:rFonts w:ascii="Calibri" w:hAnsi="Calibri" w:cs="Calibri"/>
                <w:sz w:val="22"/>
                <w:szCs w:val="22"/>
              </w:rPr>
              <w:t>6.9</w:t>
            </w:r>
            <w:r w:rsidRPr="00B248C7" w:rsidR="00A703EB">
              <w:rPr>
                <w:rFonts w:ascii="Calibri" w:hAnsi="Calibri" w:cs="Calibri"/>
                <w:sz w:val="22"/>
                <w:szCs w:val="22"/>
              </w:rPr>
              <w:t xml:space="preserve"> percentage points</w:t>
            </w:r>
          </w:p>
        </w:tc>
      </w:tr>
      <w:tr w:rsidRPr="00B248C7" w:rsidR="00A836E7" w:rsidTr="00B248C7" w14:paraId="20ECB460" w14:textId="3170EA5E">
        <w:trPr>
          <w:trHeight w:val="288"/>
        </w:trPr>
        <w:tc>
          <w:tcPr>
            <w:tcW w:w="9630" w:type="dxa"/>
            <w:gridSpan w:val="6"/>
            <w:shd w:val="clear" w:color="auto" w:fill="0B2949"/>
            <w:noWrap/>
            <w:vAlign w:val="center"/>
          </w:tcPr>
          <w:p w:rsidRPr="00B248C7" w:rsidR="00A836E7" w:rsidP="00B248C7" w:rsidRDefault="00A836E7" w14:paraId="53DBF6C8" w14:textId="0D699383">
            <w:pPr>
              <w:pStyle w:val="TableTextLeft"/>
              <w:tabs>
                <w:tab w:val="decimal" w:pos="430"/>
                <w:tab w:val="decimal" w:pos="523"/>
                <w:tab w:val="decimal" w:pos="631"/>
              </w:tabs>
              <w:rPr>
                <w:rFonts w:ascii="Calibri" w:hAnsi="Calibri" w:cs="Calibri"/>
                <w:sz w:val="22"/>
                <w:szCs w:val="22"/>
              </w:rPr>
            </w:pPr>
            <w:r w:rsidRPr="00B248C7">
              <w:rPr>
                <w:rFonts w:ascii="Calibri" w:hAnsi="Calibri" w:cs="Calibri"/>
                <w:sz w:val="22"/>
                <w:szCs w:val="22"/>
              </w:rPr>
              <w:t>Excluding responses occurring because of field work</w:t>
            </w:r>
          </w:p>
        </w:tc>
      </w:tr>
      <w:tr w:rsidRPr="00B248C7" w:rsidR="00040796" w:rsidTr="00B248C7" w14:paraId="2FC67F77" w14:textId="07389AE5">
        <w:trPr>
          <w:trHeight w:val="288"/>
        </w:trPr>
        <w:tc>
          <w:tcPr>
            <w:tcW w:w="1890" w:type="dxa"/>
            <w:tcBorders>
              <w:bottom w:val="single" w:color="046B5C" w:sz="4" w:space="0"/>
            </w:tcBorders>
            <w:shd w:val="clear" w:color="auto" w:fill="E0D4B5" w:themeFill="background2"/>
            <w:noWrap/>
            <w:vAlign w:val="center"/>
          </w:tcPr>
          <w:p w:rsidRPr="00B248C7" w:rsidR="001F6377" w:rsidP="00040796" w:rsidRDefault="001F6377" w14:paraId="33D09ADF" w14:textId="20245AED">
            <w:pPr>
              <w:pStyle w:val="TableTextLeft"/>
              <w:rPr>
                <w:rFonts w:ascii="Calibri" w:hAnsi="Calibri" w:cs="Calibri"/>
                <w:sz w:val="22"/>
                <w:szCs w:val="22"/>
              </w:rPr>
            </w:pPr>
            <w:r w:rsidRPr="00B248C7">
              <w:rPr>
                <w:rFonts w:ascii="Calibri" w:hAnsi="Calibri" w:cs="Calibri"/>
                <w:sz w:val="22"/>
                <w:szCs w:val="22"/>
              </w:rPr>
              <w:t>1,100</w:t>
            </w:r>
          </w:p>
        </w:tc>
        <w:tc>
          <w:tcPr>
            <w:tcW w:w="1620" w:type="dxa"/>
            <w:tcBorders>
              <w:bottom w:val="single" w:color="046B5C" w:sz="4" w:space="0"/>
            </w:tcBorders>
            <w:shd w:val="clear" w:color="auto" w:fill="E0D4B5" w:themeFill="background2"/>
            <w:noWrap/>
            <w:vAlign w:val="center"/>
          </w:tcPr>
          <w:p w:rsidRPr="00B248C7" w:rsidR="001F6377" w:rsidP="00B248C7" w:rsidRDefault="007F4F8B" w14:paraId="64D2283D" w14:textId="23DBDFD8">
            <w:pPr>
              <w:pStyle w:val="TableTextLeft"/>
              <w:tabs>
                <w:tab w:val="decimal" w:pos="631"/>
              </w:tabs>
              <w:rPr>
                <w:rFonts w:ascii="Calibri" w:hAnsi="Calibri" w:cs="Calibri"/>
                <w:sz w:val="22"/>
                <w:szCs w:val="22"/>
              </w:rPr>
            </w:pPr>
            <w:r w:rsidRPr="00B248C7">
              <w:rPr>
                <w:rFonts w:ascii="Calibri" w:hAnsi="Calibri" w:cs="Calibri"/>
                <w:sz w:val="22"/>
                <w:szCs w:val="22"/>
              </w:rPr>
              <w:t>34.7</w:t>
            </w:r>
            <w:r w:rsidRPr="00B248C7" w:rsidR="001F6377">
              <w:rPr>
                <w:rFonts w:ascii="Calibri" w:hAnsi="Calibri" w:cs="Calibri"/>
                <w:sz w:val="22"/>
                <w:szCs w:val="22"/>
              </w:rPr>
              <w:t>%</w:t>
            </w:r>
          </w:p>
        </w:tc>
        <w:tc>
          <w:tcPr>
            <w:tcW w:w="1350" w:type="dxa"/>
            <w:tcBorders>
              <w:bottom w:val="single" w:color="046B5C" w:sz="4" w:space="0"/>
            </w:tcBorders>
            <w:shd w:val="clear" w:color="auto" w:fill="E0D4B5" w:themeFill="background2"/>
            <w:noWrap/>
            <w:vAlign w:val="center"/>
          </w:tcPr>
          <w:p w:rsidRPr="00B248C7" w:rsidR="001F6377" w:rsidP="00B248C7" w:rsidRDefault="007A5229" w14:paraId="6D5E9415" w14:textId="5D127E5A">
            <w:pPr>
              <w:pStyle w:val="TableTextLeft"/>
              <w:tabs>
                <w:tab w:val="decimal" w:pos="521"/>
              </w:tabs>
              <w:rPr>
                <w:rFonts w:ascii="Calibri" w:hAnsi="Calibri" w:cs="Calibri"/>
                <w:sz w:val="22"/>
                <w:szCs w:val="22"/>
              </w:rPr>
            </w:pPr>
            <w:r w:rsidRPr="00B248C7">
              <w:rPr>
                <w:rFonts w:ascii="Calibri" w:hAnsi="Calibri" w:cs="Calibri"/>
                <w:sz w:val="22"/>
                <w:szCs w:val="22"/>
              </w:rPr>
              <w:t>37.8</w:t>
            </w:r>
            <w:r w:rsidRPr="00B248C7" w:rsidR="001F6377">
              <w:rPr>
                <w:rFonts w:ascii="Calibri" w:hAnsi="Calibri" w:cs="Calibri"/>
                <w:sz w:val="22"/>
                <w:szCs w:val="22"/>
              </w:rPr>
              <w:t>%</w:t>
            </w:r>
          </w:p>
        </w:tc>
        <w:tc>
          <w:tcPr>
            <w:tcW w:w="1260" w:type="dxa"/>
            <w:tcBorders>
              <w:bottom w:val="single" w:color="046B5C" w:sz="4" w:space="0"/>
            </w:tcBorders>
            <w:shd w:val="clear" w:color="auto" w:fill="E0D4B5" w:themeFill="background2"/>
            <w:noWrap/>
            <w:vAlign w:val="center"/>
          </w:tcPr>
          <w:p w:rsidRPr="00B248C7" w:rsidR="001F6377" w:rsidP="00B248C7" w:rsidRDefault="007A5229" w14:paraId="6063E75B" w14:textId="7C686CC3">
            <w:pPr>
              <w:pStyle w:val="TableTextLeft"/>
              <w:tabs>
                <w:tab w:val="decimal" w:pos="523"/>
              </w:tabs>
              <w:rPr>
                <w:rFonts w:ascii="Calibri" w:hAnsi="Calibri" w:cs="Calibri"/>
                <w:sz w:val="22"/>
                <w:szCs w:val="22"/>
              </w:rPr>
            </w:pPr>
            <w:r w:rsidRPr="00B248C7">
              <w:rPr>
                <w:rFonts w:ascii="Calibri" w:hAnsi="Calibri" w:cs="Calibri"/>
                <w:sz w:val="22"/>
                <w:szCs w:val="22"/>
              </w:rPr>
              <w:t>32.8</w:t>
            </w:r>
            <w:r w:rsidRPr="00B248C7" w:rsidR="001F6377">
              <w:rPr>
                <w:rFonts w:ascii="Calibri" w:hAnsi="Calibri" w:cs="Calibri"/>
                <w:sz w:val="22"/>
                <w:szCs w:val="22"/>
              </w:rPr>
              <w:t>%</w:t>
            </w:r>
          </w:p>
        </w:tc>
        <w:tc>
          <w:tcPr>
            <w:tcW w:w="1260" w:type="dxa"/>
            <w:tcBorders>
              <w:bottom w:val="single" w:color="046B5C" w:sz="4" w:space="0"/>
            </w:tcBorders>
            <w:shd w:val="clear" w:color="auto" w:fill="E0D4B5" w:themeFill="background2"/>
          </w:tcPr>
          <w:p w:rsidRPr="00B248C7" w:rsidR="001F6377" w:rsidP="00B248C7" w:rsidRDefault="00A836E7" w14:paraId="73AF8677" w14:textId="0E3A1F1B">
            <w:pPr>
              <w:pStyle w:val="TableTextLeft"/>
              <w:tabs>
                <w:tab w:val="decimal" w:pos="430"/>
              </w:tabs>
              <w:rPr>
                <w:rFonts w:ascii="Calibri" w:hAnsi="Calibri" w:cs="Calibri"/>
                <w:sz w:val="22"/>
                <w:szCs w:val="22"/>
              </w:rPr>
            </w:pPr>
            <w:r w:rsidRPr="00B248C7">
              <w:rPr>
                <w:rFonts w:ascii="Calibri" w:hAnsi="Calibri" w:cs="Calibri"/>
                <w:sz w:val="22"/>
                <w:szCs w:val="22"/>
              </w:rPr>
              <w:t>33.9%</w:t>
            </w:r>
          </w:p>
        </w:tc>
        <w:tc>
          <w:tcPr>
            <w:tcW w:w="2250" w:type="dxa"/>
            <w:tcBorders>
              <w:bottom w:val="single" w:color="046B5C" w:sz="4" w:space="0"/>
            </w:tcBorders>
            <w:shd w:val="clear" w:color="auto" w:fill="E0D4B5" w:themeFill="background2"/>
          </w:tcPr>
          <w:p w:rsidRPr="00B248C7" w:rsidR="001F6377" w:rsidP="00040796" w:rsidRDefault="007A5229" w14:paraId="219AFCF7" w14:textId="16D5E9C6">
            <w:pPr>
              <w:pStyle w:val="TableTextLeft"/>
              <w:rPr>
                <w:rFonts w:ascii="Calibri" w:hAnsi="Calibri" w:cs="Calibri"/>
                <w:sz w:val="22"/>
                <w:szCs w:val="22"/>
              </w:rPr>
            </w:pPr>
            <w:r w:rsidRPr="00B248C7">
              <w:rPr>
                <w:rFonts w:ascii="Calibri" w:hAnsi="Calibri" w:cs="Calibri"/>
                <w:sz w:val="22"/>
                <w:szCs w:val="22"/>
              </w:rPr>
              <w:t>5</w:t>
            </w:r>
            <w:r w:rsidRPr="00B248C7" w:rsidR="00A836E7">
              <w:rPr>
                <w:rFonts w:ascii="Calibri" w:hAnsi="Calibri" w:cs="Calibri"/>
                <w:sz w:val="22"/>
                <w:szCs w:val="22"/>
              </w:rPr>
              <w:t>.0</w:t>
            </w:r>
            <w:r w:rsidRPr="00B248C7">
              <w:rPr>
                <w:rFonts w:ascii="Calibri" w:hAnsi="Calibri" w:cs="Calibri"/>
                <w:sz w:val="22"/>
                <w:szCs w:val="22"/>
              </w:rPr>
              <w:t xml:space="preserve"> percentage points</w:t>
            </w:r>
          </w:p>
        </w:tc>
      </w:tr>
    </w:tbl>
    <w:p w:rsidR="00D020AF" w:rsidP="00997944" w:rsidRDefault="001F6377" w14:paraId="5761664C" w14:textId="6A6DC6BA">
      <w:pPr>
        <w:pStyle w:val="ListParagraph"/>
        <w:spacing w:before="0" w:after="0" w:line="240" w:lineRule="auto"/>
        <w:ind w:left="0" w:firstLine="0"/>
        <w:contextualSpacing/>
        <w:rPr>
          <w:rFonts w:ascii="Calibri" w:hAnsi="Calibri" w:cs="Calibri"/>
          <w:bCs/>
          <w:sz w:val="18"/>
          <w:szCs w:val="18"/>
        </w:rPr>
      </w:pPr>
      <w:proofErr w:type="spellStart"/>
      <w:r w:rsidRPr="00395B70">
        <w:rPr>
          <w:rFonts w:ascii="Calibri" w:hAnsi="Calibri" w:cs="Calibri"/>
          <w:bCs/>
          <w:sz w:val="18"/>
          <w:szCs w:val="18"/>
          <w:vertAlign w:val="superscript"/>
        </w:rPr>
        <w:t>a</w:t>
      </w:r>
      <w:proofErr w:type="spellEnd"/>
      <w:r>
        <w:rPr>
          <w:rFonts w:ascii="Calibri" w:hAnsi="Calibri" w:cs="Calibri"/>
          <w:bCs/>
          <w:sz w:val="18"/>
          <w:szCs w:val="18"/>
        </w:rPr>
        <w:t xml:space="preserve"> </w:t>
      </w:r>
      <w:r w:rsidR="00DB036B">
        <w:rPr>
          <w:rFonts w:ascii="Calibri" w:hAnsi="Calibri" w:cs="Calibri"/>
          <w:bCs/>
          <w:sz w:val="18"/>
          <w:szCs w:val="18"/>
        </w:rPr>
        <w:t xml:space="preserve">All cohort 1 </w:t>
      </w:r>
      <w:r w:rsidRPr="00395B70">
        <w:rPr>
          <w:rFonts w:ascii="Calibri" w:hAnsi="Calibri" w:cs="Calibri"/>
          <w:bCs/>
          <w:sz w:val="18"/>
          <w:szCs w:val="18"/>
        </w:rPr>
        <w:t xml:space="preserve">sample members </w:t>
      </w:r>
      <w:r w:rsidR="00DB036B">
        <w:rPr>
          <w:rFonts w:ascii="Calibri" w:hAnsi="Calibri" w:cs="Calibri"/>
          <w:bCs/>
          <w:sz w:val="18"/>
          <w:szCs w:val="18"/>
        </w:rPr>
        <w:t xml:space="preserve">were </w:t>
      </w:r>
      <w:r w:rsidRPr="00395B70">
        <w:rPr>
          <w:rFonts w:ascii="Calibri" w:hAnsi="Calibri" w:cs="Calibri"/>
          <w:bCs/>
          <w:sz w:val="18"/>
          <w:szCs w:val="18"/>
        </w:rPr>
        <w:t xml:space="preserve">released </w:t>
      </w:r>
      <w:r w:rsidR="00D2684D">
        <w:rPr>
          <w:rFonts w:ascii="Calibri" w:hAnsi="Calibri" w:cs="Calibri"/>
          <w:bCs/>
          <w:sz w:val="18"/>
          <w:szCs w:val="18"/>
        </w:rPr>
        <w:t xml:space="preserve">in </w:t>
      </w:r>
      <w:r w:rsidR="007F4F8B">
        <w:rPr>
          <w:rFonts w:ascii="Calibri" w:hAnsi="Calibri" w:cs="Calibri"/>
          <w:bCs/>
          <w:sz w:val="18"/>
          <w:szCs w:val="18"/>
        </w:rPr>
        <w:t xml:space="preserve">October 2019. </w:t>
      </w:r>
      <w:r>
        <w:rPr>
          <w:rFonts w:ascii="Calibri" w:hAnsi="Calibri" w:cs="Calibri"/>
          <w:bCs/>
          <w:sz w:val="18"/>
          <w:szCs w:val="18"/>
        </w:rPr>
        <w:t xml:space="preserve"> </w:t>
      </w:r>
      <w:r w:rsidR="00D2684D">
        <w:rPr>
          <w:rFonts w:ascii="Calibri" w:hAnsi="Calibri" w:cs="Calibri"/>
          <w:bCs/>
          <w:sz w:val="18"/>
          <w:szCs w:val="18"/>
        </w:rPr>
        <w:t>An additional</w:t>
      </w:r>
      <w:r w:rsidR="007A5229">
        <w:rPr>
          <w:rFonts w:ascii="Calibri" w:hAnsi="Calibri" w:cs="Calibri"/>
          <w:bCs/>
          <w:sz w:val="18"/>
          <w:szCs w:val="18"/>
        </w:rPr>
        <w:t xml:space="preserve"> 762 cases were release in cohort 2 in March 2020.</w:t>
      </w:r>
      <w:r>
        <w:rPr>
          <w:rFonts w:ascii="Calibri" w:hAnsi="Calibri" w:cs="Calibri"/>
          <w:bCs/>
          <w:sz w:val="18"/>
          <w:szCs w:val="18"/>
        </w:rPr>
        <w:t xml:space="preserve"> </w:t>
      </w:r>
    </w:p>
    <w:p w:rsidR="00DD2D66" w:rsidP="00DD2D66" w:rsidRDefault="00DD2D66" w14:paraId="1F4D0F6E" w14:textId="77777777">
      <w:pPr>
        <w:pStyle w:val="ListParagraph"/>
        <w:spacing w:before="0" w:after="0" w:line="240" w:lineRule="auto"/>
        <w:ind w:left="0" w:firstLine="0"/>
        <w:contextualSpacing/>
        <w:rPr>
          <w:rFonts w:ascii="Calibri" w:hAnsi="Calibri" w:cs="Calibri"/>
          <w:bCs/>
          <w:sz w:val="18"/>
          <w:szCs w:val="18"/>
        </w:rPr>
      </w:pPr>
      <w:r w:rsidRPr="0086673F">
        <w:rPr>
          <w:rFonts w:ascii="Calibri" w:hAnsi="Calibri" w:cs="Calibri"/>
          <w:bCs/>
          <w:sz w:val="18"/>
          <w:szCs w:val="18"/>
          <w:vertAlign w:val="superscript"/>
        </w:rPr>
        <w:t>b</w:t>
      </w:r>
      <w:r>
        <w:rPr>
          <w:rFonts w:ascii="Calibri" w:hAnsi="Calibri" w:cs="Calibri"/>
          <w:bCs/>
          <w:sz w:val="18"/>
          <w:szCs w:val="18"/>
        </w:rPr>
        <w:t xml:space="preserve"> Target response rate is 80 percent.</w:t>
      </w:r>
    </w:p>
    <w:p w:rsidRPr="003539D2" w:rsidR="00997944" w:rsidP="003539D2" w:rsidRDefault="00997944" w14:paraId="0C5BCE6D" w14:textId="77777777">
      <w:pPr>
        <w:pStyle w:val="ListParagraph"/>
        <w:spacing w:before="0" w:after="0" w:line="240" w:lineRule="auto"/>
        <w:ind w:left="0" w:firstLine="0"/>
        <w:contextualSpacing/>
        <w:rPr>
          <w:rFonts w:ascii="Calibri" w:hAnsi="Calibri" w:cs="Calibri"/>
          <w:bCs/>
          <w:sz w:val="18"/>
          <w:szCs w:val="18"/>
        </w:rPr>
      </w:pPr>
    </w:p>
    <w:p w:rsidRPr="00395B70" w:rsidR="00EC4A43" w:rsidP="003F7475" w:rsidRDefault="00EC4A43" w14:paraId="2E0A34E3" w14:textId="42FB30A9">
      <w:pPr>
        <w:pStyle w:val="Paragraph"/>
        <w:spacing w:after="120"/>
        <w:rPr>
          <w:rFonts w:ascii="Calibri" w:hAnsi="Calibri" w:cs="Calibri"/>
          <w:sz w:val="22"/>
          <w:szCs w:val="22"/>
        </w:rPr>
      </w:pPr>
      <w:r w:rsidRPr="00395B70">
        <w:rPr>
          <w:rFonts w:ascii="Calibri" w:hAnsi="Calibri" w:cs="Calibri"/>
          <w:b/>
          <w:sz w:val="22"/>
          <w:szCs w:val="22"/>
        </w:rPr>
        <w:t>Previous Terms of Clearance:</w:t>
      </w:r>
      <w:r w:rsidRPr="00395B70" w:rsidR="00ED2A12">
        <w:rPr>
          <w:rFonts w:ascii="Calibri" w:hAnsi="Calibri" w:cs="Calibri"/>
          <w:b/>
          <w:sz w:val="22"/>
          <w:szCs w:val="22"/>
        </w:rPr>
        <w:t xml:space="preserve"> </w:t>
      </w:r>
      <w:r w:rsidRPr="00395B70">
        <w:rPr>
          <w:rFonts w:ascii="Calibri" w:hAnsi="Calibri" w:cs="Calibri"/>
          <w:sz w:val="22"/>
          <w:szCs w:val="22"/>
        </w:rPr>
        <w:t xml:space="preserve">The following tokens of appreciation for </w:t>
      </w:r>
      <w:r w:rsidRPr="00395B70" w:rsidR="006C432F">
        <w:rPr>
          <w:rFonts w:ascii="Calibri" w:hAnsi="Calibri" w:cs="Calibri"/>
          <w:sz w:val="22"/>
          <w:szCs w:val="22"/>
        </w:rPr>
        <w:t>both the first and</w:t>
      </w:r>
      <w:r w:rsidRPr="00395B70" w:rsidR="00581CD5">
        <w:rPr>
          <w:rFonts w:ascii="Calibri" w:hAnsi="Calibri" w:cs="Calibri"/>
          <w:sz w:val="22"/>
          <w:szCs w:val="22"/>
        </w:rPr>
        <w:t xml:space="preserve"> second follow-up surveys</w:t>
      </w:r>
      <w:r w:rsidRPr="00395B70" w:rsidR="006C432F">
        <w:rPr>
          <w:rFonts w:ascii="Calibri" w:hAnsi="Calibri" w:cs="Calibri"/>
          <w:sz w:val="22"/>
          <w:szCs w:val="22"/>
        </w:rPr>
        <w:t xml:space="preserve"> </w:t>
      </w:r>
      <w:r w:rsidRPr="00395B70">
        <w:rPr>
          <w:rFonts w:ascii="Calibri" w:hAnsi="Calibri" w:cs="Calibri"/>
          <w:sz w:val="22"/>
          <w:szCs w:val="22"/>
        </w:rPr>
        <w:t xml:space="preserve">were approved by OMB under Control Number </w:t>
      </w:r>
      <w:r w:rsidRPr="001A140D" w:rsidR="00607B02">
        <w:rPr>
          <w:rFonts w:ascii="Calibri" w:hAnsi="Calibri" w:cs="Calibri"/>
          <w:sz w:val="22"/>
          <w:szCs w:val="22"/>
        </w:rPr>
        <w:t>0970</w:t>
      </w:r>
      <w:r w:rsidRPr="002438D5" w:rsidR="00607B02">
        <w:rPr>
          <w:rFonts w:ascii="Calibri" w:hAnsi="Calibri" w:cs="Calibri"/>
          <w:sz w:val="22"/>
          <w:szCs w:val="22"/>
        </w:rPr>
        <w:t>-0481</w:t>
      </w:r>
      <w:r w:rsidRPr="00395B70" w:rsidR="00607B02">
        <w:rPr>
          <w:rFonts w:ascii="Calibri" w:hAnsi="Calibri" w:cs="Calibri"/>
          <w:sz w:val="22"/>
          <w:szCs w:val="22"/>
        </w:rPr>
        <w:t xml:space="preserve"> </w:t>
      </w:r>
      <w:r w:rsidRPr="00395B70" w:rsidR="006C432F">
        <w:rPr>
          <w:rFonts w:ascii="Calibri" w:hAnsi="Calibri" w:cs="Calibri"/>
          <w:sz w:val="22"/>
          <w:szCs w:val="22"/>
        </w:rPr>
        <w:t>(</w:t>
      </w:r>
      <w:r w:rsidR="006C12EE">
        <w:rPr>
          <w:rFonts w:ascii="Calibri" w:hAnsi="Calibri" w:cs="Calibri"/>
          <w:sz w:val="22"/>
          <w:szCs w:val="22"/>
        </w:rPr>
        <w:t>April</w:t>
      </w:r>
      <w:r w:rsidRPr="00395B70" w:rsidR="006C432F">
        <w:rPr>
          <w:rFonts w:ascii="Calibri" w:hAnsi="Calibri" w:cs="Calibri"/>
          <w:sz w:val="22"/>
          <w:szCs w:val="22"/>
        </w:rPr>
        <w:t xml:space="preserve"> 201</w:t>
      </w:r>
      <w:r w:rsidR="00F207A9">
        <w:rPr>
          <w:rFonts w:ascii="Calibri" w:hAnsi="Calibri" w:cs="Calibri"/>
          <w:sz w:val="22"/>
          <w:szCs w:val="22"/>
        </w:rPr>
        <w:t>9</w:t>
      </w:r>
      <w:r w:rsidRPr="00395B70" w:rsidR="006C432F">
        <w:rPr>
          <w:rFonts w:ascii="Calibri" w:hAnsi="Calibri" w:cs="Calibri"/>
          <w:sz w:val="22"/>
          <w:szCs w:val="22"/>
        </w:rPr>
        <w:t>)</w:t>
      </w:r>
      <w:r w:rsidRPr="00395B70">
        <w:rPr>
          <w:rFonts w:ascii="Calibri" w:hAnsi="Calibri" w:cs="Calibri"/>
          <w:sz w:val="22"/>
          <w:szCs w:val="22"/>
        </w:rPr>
        <w:t xml:space="preserve">: </w:t>
      </w:r>
    </w:p>
    <w:p w:rsidRPr="005342BB" w:rsidR="00EC4A43" w:rsidP="00954B26" w:rsidRDefault="00ED2A12" w14:paraId="6ADE977B" w14:textId="03C49451">
      <w:pPr>
        <w:pStyle w:val="ListBullet"/>
        <w:spacing w:before="0"/>
        <w:rPr>
          <w:rFonts w:ascii="Calibri" w:hAnsi="Calibri" w:cs="Calibri"/>
          <w:sz w:val="22"/>
          <w:szCs w:val="22"/>
        </w:rPr>
      </w:pPr>
      <w:r w:rsidRPr="005342BB">
        <w:rPr>
          <w:rFonts w:ascii="Calibri" w:hAnsi="Calibri" w:cs="Calibri"/>
          <w:sz w:val="22"/>
          <w:szCs w:val="22"/>
        </w:rPr>
        <w:t xml:space="preserve">Participants responding </w:t>
      </w:r>
      <w:r w:rsidRPr="005342BB" w:rsidR="00F207A9">
        <w:rPr>
          <w:rFonts w:ascii="Calibri" w:hAnsi="Calibri" w:cs="Calibri"/>
          <w:sz w:val="22"/>
          <w:szCs w:val="22"/>
        </w:rPr>
        <w:t xml:space="preserve">to the </w:t>
      </w:r>
      <w:proofErr w:type="spellStart"/>
      <w:r w:rsidRPr="005342BB" w:rsidR="00001B72">
        <w:rPr>
          <w:rFonts w:ascii="Calibri" w:hAnsi="Calibri" w:cs="Calibri"/>
          <w:sz w:val="22"/>
          <w:szCs w:val="22"/>
        </w:rPr>
        <w:t>MotherWise</w:t>
      </w:r>
      <w:proofErr w:type="spellEnd"/>
      <w:r w:rsidRPr="005342BB" w:rsidR="0070540C">
        <w:rPr>
          <w:rFonts w:ascii="Calibri" w:hAnsi="Calibri" w:cs="Calibri"/>
          <w:sz w:val="22"/>
          <w:szCs w:val="22"/>
        </w:rPr>
        <w:t xml:space="preserve"> </w:t>
      </w:r>
      <w:r w:rsidRPr="005342BB" w:rsidR="00F207A9">
        <w:rPr>
          <w:rFonts w:ascii="Calibri" w:hAnsi="Calibri" w:cs="Calibri"/>
          <w:sz w:val="22"/>
          <w:szCs w:val="22"/>
        </w:rPr>
        <w:t>survey</w:t>
      </w:r>
      <w:r w:rsidRPr="005342BB" w:rsidR="00EC4A43">
        <w:rPr>
          <w:rFonts w:ascii="Calibri" w:hAnsi="Calibri" w:cs="Calibri"/>
          <w:sz w:val="22"/>
          <w:szCs w:val="22"/>
        </w:rPr>
        <w:t>:  $2</w:t>
      </w:r>
      <w:r w:rsidRPr="005342BB">
        <w:rPr>
          <w:rFonts w:ascii="Calibri" w:hAnsi="Calibri" w:cs="Calibri"/>
          <w:sz w:val="22"/>
          <w:szCs w:val="22"/>
        </w:rPr>
        <w:t>5</w:t>
      </w:r>
      <w:r w:rsidRPr="005342BB" w:rsidR="00EC4A43">
        <w:rPr>
          <w:rFonts w:ascii="Calibri" w:hAnsi="Calibri" w:cs="Calibri"/>
          <w:sz w:val="22"/>
          <w:szCs w:val="22"/>
        </w:rPr>
        <w:t xml:space="preserve"> gift card</w:t>
      </w:r>
    </w:p>
    <w:p w:rsidRPr="005342BB" w:rsidR="00BE6EDD" w:rsidP="00040796" w:rsidRDefault="00BE6EDD" w14:paraId="1DD6CA4D" w14:textId="46A0818C">
      <w:pPr>
        <w:pStyle w:val="ListBullet"/>
        <w:spacing w:after="240"/>
        <w:rPr>
          <w:rFonts w:ascii="Calibri" w:hAnsi="Calibri" w:cs="Calibri"/>
          <w:sz w:val="22"/>
          <w:szCs w:val="22"/>
        </w:rPr>
      </w:pPr>
      <w:r w:rsidRPr="005342BB">
        <w:rPr>
          <w:rFonts w:ascii="Calibri" w:hAnsi="Calibri" w:cs="Calibri"/>
          <w:sz w:val="22"/>
          <w:szCs w:val="22"/>
        </w:rPr>
        <w:t xml:space="preserve">Participants responding to the </w:t>
      </w:r>
      <w:r w:rsidRPr="005342BB" w:rsidR="0070540C">
        <w:rPr>
          <w:rFonts w:ascii="Calibri" w:hAnsi="Calibri" w:cs="Calibri"/>
          <w:sz w:val="22"/>
          <w:szCs w:val="22"/>
        </w:rPr>
        <w:t xml:space="preserve">MTCI </w:t>
      </w:r>
      <w:r w:rsidRPr="005342BB">
        <w:rPr>
          <w:rFonts w:ascii="Calibri" w:hAnsi="Calibri" w:cs="Calibri"/>
          <w:sz w:val="22"/>
          <w:szCs w:val="22"/>
        </w:rPr>
        <w:t xml:space="preserve">survey:  In school, </w:t>
      </w:r>
      <w:r w:rsidRPr="005342BB" w:rsidR="00AB29B2">
        <w:rPr>
          <w:rFonts w:ascii="Calibri" w:hAnsi="Calibri" w:cs="Calibri"/>
          <w:sz w:val="22"/>
          <w:szCs w:val="22"/>
        </w:rPr>
        <w:t>$15 gift card</w:t>
      </w:r>
      <w:r w:rsidRPr="005342BB">
        <w:rPr>
          <w:rFonts w:ascii="Calibri" w:hAnsi="Calibri" w:cs="Calibri"/>
          <w:sz w:val="22"/>
          <w:szCs w:val="22"/>
        </w:rPr>
        <w:t>; at home</w:t>
      </w:r>
      <w:r w:rsidRPr="005342BB" w:rsidR="00AB29B2">
        <w:rPr>
          <w:rFonts w:ascii="Calibri" w:hAnsi="Calibri" w:cs="Calibri"/>
          <w:sz w:val="22"/>
          <w:szCs w:val="22"/>
        </w:rPr>
        <w:t>,</w:t>
      </w:r>
      <w:r w:rsidRPr="005342BB">
        <w:rPr>
          <w:rFonts w:ascii="Calibri" w:hAnsi="Calibri" w:cs="Calibri"/>
          <w:sz w:val="22"/>
          <w:szCs w:val="22"/>
        </w:rPr>
        <w:t xml:space="preserve"> $20 gift card </w:t>
      </w:r>
    </w:p>
    <w:p w:rsidRPr="005342BB" w:rsidR="00564518" w:rsidP="005342BB" w:rsidRDefault="00ED2A12" w14:paraId="5F93E8B6" w14:textId="5C8271FB">
      <w:pPr>
        <w:pStyle w:val="Paragraph"/>
        <w:rPr>
          <w:rFonts w:ascii="Calibri" w:hAnsi="Calibri" w:cs="Calibri"/>
          <w:sz w:val="22"/>
          <w:szCs w:val="22"/>
        </w:rPr>
      </w:pPr>
      <w:r w:rsidRPr="005342BB">
        <w:rPr>
          <w:rFonts w:ascii="Calibri" w:hAnsi="Calibri" w:cs="Calibri"/>
          <w:b/>
          <w:sz w:val="22"/>
          <w:szCs w:val="22"/>
        </w:rPr>
        <w:t>Time Sensitivity</w:t>
      </w:r>
      <w:r w:rsidRPr="005342BB">
        <w:rPr>
          <w:rFonts w:ascii="Calibri" w:hAnsi="Calibri" w:cs="Calibri"/>
          <w:sz w:val="22"/>
          <w:szCs w:val="22"/>
        </w:rPr>
        <w:t xml:space="preserve">: </w:t>
      </w:r>
      <w:r w:rsidRPr="005342BB" w:rsidR="00BD3355">
        <w:rPr>
          <w:rFonts w:ascii="Calibri" w:hAnsi="Calibri" w:cs="Calibri"/>
          <w:sz w:val="22"/>
          <w:szCs w:val="22"/>
        </w:rPr>
        <w:t>This</w:t>
      </w:r>
      <w:r w:rsidRPr="005342BB" w:rsidR="00C96F9A">
        <w:rPr>
          <w:rFonts w:ascii="Calibri" w:hAnsi="Calibri" w:cs="Calibri"/>
          <w:sz w:val="22"/>
          <w:szCs w:val="22"/>
        </w:rPr>
        <w:t xml:space="preserve"> request</w:t>
      </w:r>
      <w:r w:rsidRPr="005342BB" w:rsidR="00BD3355">
        <w:rPr>
          <w:rFonts w:ascii="Calibri" w:hAnsi="Calibri" w:cs="Calibri"/>
          <w:sz w:val="22"/>
          <w:szCs w:val="22"/>
        </w:rPr>
        <w:t xml:space="preserve"> has high time sensitivity. </w:t>
      </w:r>
      <w:r w:rsidR="00B57546">
        <w:rPr>
          <w:rFonts w:ascii="Calibri" w:hAnsi="Calibri" w:cs="Calibri"/>
          <w:sz w:val="22"/>
          <w:szCs w:val="22"/>
        </w:rPr>
        <w:t>To improve</w:t>
      </w:r>
      <w:r w:rsidR="00E160D6">
        <w:rPr>
          <w:rFonts w:ascii="Calibri" w:hAnsi="Calibri" w:cs="Calibri"/>
          <w:sz w:val="22"/>
          <w:szCs w:val="22"/>
        </w:rPr>
        <w:t xml:space="preserve"> our chances of achieving our target response rate </w:t>
      </w:r>
      <w:r w:rsidR="00BE4C18">
        <w:rPr>
          <w:rFonts w:ascii="Calibri" w:hAnsi="Calibri" w:cs="Calibri"/>
          <w:sz w:val="22"/>
          <w:szCs w:val="22"/>
        </w:rPr>
        <w:t xml:space="preserve">for the full sample </w:t>
      </w:r>
      <w:r w:rsidR="001C3206">
        <w:rPr>
          <w:rFonts w:ascii="Calibri" w:hAnsi="Calibri" w:cs="Calibri"/>
          <w:sz w:val="22"/>
          <w:szCs w:val="22"/>
        </w:rPr>
        <w:t xml:space="preserve">and to avoid bias </w:t>
      </w:r>
      <w:r w:rsidR="00BE3B97">
        <w:rPr>
          <w:rFonts w:ascii="Calibri" w:hAnsi="Calibri" w:cs="Calibri"/>
          <w:sz w:val="22"/>
          <w:szCs w:val="22"/>
        </w:rPr>
        <w:t xml:space="preserve">from </w:t>
      </w:r>
      <w:r w:rsidR="001C3206">
        <w:rPr>
          <w:rFonts w:ascii="Calibri" w:hAnsi="Calibri" w:cs="Calibri"/>
          <w:sz w:val="22"/>
          <w:szCs w:val="22"/>
        </w:rPr>
        <w:t>different</w:t>
      </w:r>
      <w:r w:rsidR="00206A93">
        <w:rPr>
          <w:rFonts w:ascii="Calibri" w:hAnsi="Calibri" w:cs="Calibri"/>
          <w:sz w:val="22"/>
          <w:szCs w:val="22"/>
        </w:rPr>
        <w:t>ial</w:t>
      </w:r>
      <w:r w:rsidR="001C3206">
        <w:rPr>
          <w:rFonts w:ascii="Calibri" w:hAnsi="Calibri" w:cs="Calibri"/>
          <w:sz w:val="22"/>
          <w:szCs w:val="22"/>
        </w:rPr>
        <w:t xml:space="preserve"> response </w:t>
      </w:r>
      <w:r w:rsidR="00206A93">
        <w:rPr>
          <w:rFonts w:ascii="Calibri" w:hAnsi="Calibri" w:cs="Calibri"/>
          <w:sz w:val="22"/>
          <w:szCs w:val="22"/>
        </w:rPr>
        <w:t>rates across research groups</w:t>
      </w:r>
      <w:r w:rsidR="00BE3B97">
        <w:rPr>
          <w:rFonts w:ascii="Calibri" w:hAnsi="Calibri" w:cs="Calibri"/>
          <w:sz w:val="22"/>
          <w:szCs w:val="22"/>
        </w:rPr>
        <w:t xml:space="preserve">, </w:t>
      </w:r>
      <w:r w:rsidR="006B3FF3">
        <w:rPr>
          <w:rFonts w:ascii="Calibri" w:hAnsi="Calibri" w:cs="Calibri"/>
          <w:sz w:val="22"/>
          <w:szCs w:val="22"/>
        </w:rPr>
        <w:t xml:space="preserve">it is essential </w:t>
      </w:r>
      <w:r w:rsidR="00BE3B97">
        <w:rPr>
          <w:rFonts w:ascii="Calibri" w:hAnsi="Calibri" w:cs="Calibri"/>
          <w:sz w:val="22"/>
          <w:szCs w:val="22"/>
        </w:rPr>
        <w:t xml:space="preserve">to increase the response rate </w:t>
      </w:r>
      <w:r w:rsidR="001E7FF7">
        <w:rPr>
          <w:rFonts w:ascii="Calibri" w:hAnsi="Calibri" w:cs="Calibri"/>
          <w:sz w:val="22"/>
          <w:szCs w:val="22"/>
        </w:rPr>
        <w:t xml:space="preserve">among </w:t>
      </w:r>
      <w:r w:rsidR="00036377">
        <w:rPr>
          <w:rFonts w:ascii="Calibri" w:hAnsi="Calibri" w:cs="Calibri"/>
          <w:sz w:val="22"/>
          <w:szCs w:val="22"/>
        </w:rPr>
        <w:t xml:space="preserve">the </w:t>
      </w:r>
      <w:r w:rsidR="001E7FF7">
        <w:rPr>
          <w:rFonts w:ascii="Calibri" w:hAnsi="Calibri" w:cs="Calibri"/>
          <w:sz w:val="22"/>
          <w:szCs w:val="22"/>
        </w:rPr>
        <w:t>cases currently in the field</w:t>
      </w:r>
      <w:r w:rsidRPr="005342BB" w:rsidR="00BC3D70">
        <w:rPr>
          <w:rFonts w:ascii="Calibri" w:hAnsi="Calibri" w:cs="Calibri"/>
          <w:sz w:val="22"/>
          <w:szCs w:val="22"/>
        </w:rPr>
        <w:t>.</w:t>
      </w:r>
    </w:p>
    <w:p w:rsidRPr="005342BB" w:rsidR="00C66010" w:rsidP="005342BB" w:rsidRDefault="00C66010" w14:paraId="3B1E89AB" w14:textId="5CD0BCE9">
      <w:pPr>
        <w:pStyle w:val="Paragraph"/>
        <w:keepNext/>
        <w:keepLines/>
        <w:rPr>
          <w:rFonts w:ascii="Calibri" w:hAnsi="Calibri" w:cs="Calibri"/>
          <w:b/>
          <w:sz w:val="22"/>
          <w:szCs w:val="22"/>
          <w:u w:val="single"/>
        </w:rPr>
      </w:pPr>
      <w:r w:rsidRPr="005342BB">
        <w:rPr>
          <w:rFonts w:ascii="Calibri" w:hAnsi="Calibri" w:cs="Calibri"/>
          <w:b/>
          <w:sz w:val="22"/>
          <w:szCs w:val="22"/>
          <w:u w:val="single"/>
        </w:rPr>
        <w:lastRenderedPageBreak/>
        <w:t>Request Overview</w:t>
      </w:r>
    </w:p>
    <w:p w:rsidR="005342BB" w:rsidP="005342BB" w:rsidRDefault="00C96F9A" w14:paraId="79098864" w14:textId="7C05866C">
      <w:pPr>
        <w:pStyle w:val="Paragraph"/>
        <w:keepNext/>
        <w:keepLines/>
        <w:rPr>
          <w:rFonts w:ascii="Calibri" w:hAnsi="Calibri" w:cs="Calibri"/>
          <w:sz w:val="22"/>
          <w:szCs w:val="22"/>
        </w:rPr>
      </w:pPr>
      <w:r w:rsidRPr="005342BB">
        <w:rPr>
          <w:rFonts w:ascii="Calibri" w:hAnsi="Calibri" w:cs="Calibri"/>
          <w:sz w:val="22"/>
          <w:szCs w:val="22"/>
        </w:rPr>
        <w:t>ACF</w:t>
      </w:r>
      <w:r w:rsidRPr="005342BB" w:rsidR="00796763">
        <w:rPr>
          <w:rFonts w:ascii="Calibri" w:hAnsi="Calibri" w:cs="Calibri"/>
          <w:sz w:val="22"/>
          <w:szCs w:val="22"/>
        </w:rPr>
        <w:t xml:space="preserve"> requests a non-substantive modification of the survey incentive </w:t>
      </w:r>
      <w:r w:rsidRPr="005342BB" w:rsidR="0073793D">
        <w:rPr>
          <w:rFonts w:ascii="Calibri" w:hAnsi="Calibri" w:cs="Calibri"/>
          <w:sz w:val="22"/>
          <w:szCs w:val="22"/>
        </w:rPr>
        <w:t xml:space="preserve">amount </w:t>
      </w:r>
      <w:r w:rsidRPr="005342BB" w:rsidR="00115629">
        <w:rPr>
          <w:rFonts w:ascii="Calibri" w:hAnsi="Calibri" w:cs="Calibri"/>
          <w:sz w:val="22"/>
          <w:szCs w:val="22"/>
        </w:rPr>
        <w:t>for the</w:t>
      </w:r>
      <w:r w:rsidRPr="005342BB" w:rsidR="005812B5">
        <w:rPr>
          <w:rFonts w:ascii="Calibri" w:hAnsi="Calibri" w:cs="Calibri"/>
          <w:sz w:val="22"/>
          <w:szCs w:val="22"/>
        </w:rPr>
        <w:t xml:space="preserve"> </w:t>
      </w:r>
      <w:r w:rsidRPr="005342BB" w:rsidR="00793212">
        <w:rPr>
          <w:rFonts w:ascii="Calibri" w:hAnsi="Calibri" w:cs="Calibri"/>
          <w:sz w:val="22"/>
          <w:szCs w:val="22"/>
        </w:rPr>
        <w:t xml:space="preserve">second </w:t>
      </w:r>
      <w:r w:rsidRPr="005342BB" w:rsidR="005812B5">
        <w:rPr>
          <w:rFonts w:ascii="Calibri" w:hAnsi="Calibri" w:cs="Calibri"/>
          <w:sz w:val="22"/>
          <w:szCs w:val="22"/>
        </w:rPr>
        <w:t>follow-up survey</w:t>
      </w:r>
      <w:r w:rsidR="002026CA">
        <w:rPr>
          <w:rFonts w:ascii="Calibri" w:hAnsi="Calibri" w:cs="Calibri"/>
          <w:sz w:val="22"/>
          <w:szCs w:val="22"/>
        </w:rPr>
        <w:t xml:space="preserve"> </w:t>
      </w:r>
      <w:r w:rsidRPr="005342BB" w:rsidR="002026CA">
        <w:rPr>
          <w:rFonts w:ascii="Calibri" w:hAnsi="Calibri" w:cs="Calibri"/>
          <w:sz w:val="22"/>
          <w:szCs w:val="22"/>
        </w:rPr>
        <w:t>for two sites</w:t>
      </w:r>
      <w:r w:rsidRPr="005342BB" w:rsidR="005812B5">
        <w:rPr>
          <w:rFonts w:ascii="Calibri" w:hAnsi="Calibri" w:cs="Calibri"/>
          <w:sz w:val="22"/>
          <w:szCs w:val="22"/>
        </w:rPr>
        <w:t>.</w:t>
      </w:r>
    </w:p>
    <w:p w:rsidR="002026CA" w:rsidP="002026CA" w:rsidRDefault="002026CA" w14:paraId="3EC29D84" w14:textId="29361914">
      <w:pPr>
        <w:pStyle w:val="Paragraph"/>
        <w:rPr>
          <w:rFonts w:ascii="Calibri" w:hAnsi="Calibri" w:cs="Calibri"/>
          <w:sz w:val="22"/>
          <w:szCs w:val="22"/>
        </w:rPr>
      </w:pPr>
      <w:r w:rsidRPr="00445922">
        <w:rPr>
          <w:rFonts w:ascii="Calibri" w:hAnsi="Calibri" w:cs="Calibri"/>
          <w:sz w:val="22"/>
          <w:szCs w:val="22"/>
        </w:rPr>
        <w:t xml:space="preserve">Due to the inability to conduct field work because of COVID-19, we are concerned about the anticipated overall response rate and the treatment-control difference in response rates to the second follow-up survey in both </w:t>
      </w:r>
      <w:proofErr w:type="spellStart"/>
      <w:r w:rsidRPr="00445922">
        <w:rPr>
          <w:rFonts w:ascii="Calibri" w:hAnsi="Calibri" w:cs="Calibri"/>
          <w:sz w:val="22"/>
          <w:szCs w:val="22"/>
        </w:rPr>
        <w:t>MotherWise</w:t>
      </w:r>
      <w:proofErr w:type="spellEnd"/>
      <w:r w:rsidRPr="00445922">
        <w:rPr>
          <w:rFonts w:ascii="Calibri" w:hAnsi="Calibri" w:cs="Calibri"/>
          <w:sz w:val="22"/>
          <w:szCs w:val="22"/>
        </w:rPr>
        <w:t xml:space="preserve"> and </w:t>
      </w:r>
      <w:proofErr w:type="spellStart"/>
      <w:r w:rsidRPr="00445922">
        <w:rPr>
          <w:rFonts w:ascii="Calibri" w:hAnsi="Calibri" w:cs="Calibri"/>
          <w:sz w:val="22"/>
          <w:szCs w:val="22"/>
        </w:rPr>
        <w:t>MTCI</w:t>
      </w:r>
      <w:proofErr w:type="spellEnd"/>
      <w:r w:rsidRPr="00445922">
        <w:rPr>
          <w:rFonts w:ascii="Calibri" w:hAnsi="Calibri" w:cs="Calibri"/>
          <w:sz w:val="22"/>
          <w:szCs w:val="22"/>
        </w:rPr>
        <w:t xml:space="preserve">. </w:t>
      </w:r>
      <w:r w:rsidRPr="002026CA">
        <w:rPr>
          <w:rFonts w:ascii="Calibri" w:hAnsi="Calibri" w:cs="Calibri"/>
          <w:sz w:val="22"/>
          <w:szCs w:val="22"/>
        </w:rPr>
        <w:t xml:space="preserve">We are concerned that the inability to conduct field work in both these sites will limit the ability to increase the response rates for newly released cases as well as the cases that have already been released. </w:t>
      </w:r>
      <w:r w:rsidR="00FB6E7B">
        <w:rPr>
          <w:rFonts w:ascii="Calibri" w:hAnsi="Calibri" w:cs="Calibri"/>
          <w:sz w:val="22"/>
          <w:szCs w:val="22"/>
        </w:rPr>
        <w:t xml:space="preserve">We will also be unable to use </w:t>
      </w:r>
      <w:r w:rsidR="002555A3">
        <w:rPr>
          <w:rFonts w:ascii="Calibri" w:hAnsi="Calibri" w:cs="Calibri"/>
          <w:sz w:val="22"/>
          <w:szCs w:val="22"/>
        </w:rPr>
        <w:t>targeted</w:t>
      </w:r>
      <w:r w:rsidR="00FB6E7B">
        <w:rPr>
          <w:rFonts w:ascii="Calibri" w:hAnsi="Calibri" w:cs="Calibri"/>
          <w:sz w:val="22"/>
          <w:szCs w:val="22"/>
        </w:rPr>
        <w:t xml:space="preserve"> field locating </w:t>
      </w:r>
      <w:r w:rsidR="00167958">
        <w:rPr>
          <w:rFonts w:ascii="Calibri" w:hAnsi="Calibri" w:cs="Calibri"/>
          <w:sz w:val="22"/>
          <w:szCs w:val="22"/>
        </w:rPr>
        <w:t>effort</w:t>
      </w:r>
      <w:r w:rsidR="002555A3">
        <w:rPr>
          <w:rFonts w:ascii="Calibri" w:hAnsi="Calibri" w:cs="Calibri"/>
          <w:sz w:val="22"/>
          <w:szCs w:val="22"/>
        </w:rPr>
        <w:t>s</w:t>
      </w:r>
      <w:r w:rsidR="00167958">
        <w:rPr>
          <w:rFonts w:ascii="Calibri" w:hAnsi="Calibri" w:cs="Calibri"/>
          <w:sz w:val="22"/>
          <w:szCs w:val="22"/>
        </w:rPr>
        <w:t xml:space="preserve"> to </w:t>
      </w:r>
      <w:r w:rsidR="002555A3">
        <w:rPr>
          <w:rFonts w:ascii="Calibri" w:hAnsi="Calibri" w:cs="Calibri"/>
          <w:sz w:val="22"/>
          <w:szCs w:val="22"/>
        </w:rPr>
        <w:t xml:space="preserve">help </w:t>
      </w:r>
      <w:r w:rsidR="00167958">
        <w:rPr>
          <w:rFonts w:ascii="Calibri" w:hAnsi="Calibri" w:cs="Calibri"/>
          <w:sz w:val="22"/>
          <w:szCs w:val="22"/>
        </w:rPr>
        <w:t xml:space="preserve">balance any differences </w:t>
      </w:r>
      <w:r w:rsidR="00F13C3E">
        <w:rPr>
          <w:rFonts w:ascii="Calibri" w:hAnsi="Calibri" w:cs="Calibri"/>
          <w:sz w:val="22"/>
          <w:szCs w:val="22"/>
        </w:rPr>
        <w:t>across research groups in</w:t>
      </w:r>
      <w:r w:rsidR="002555A3">
        <w:rPr>
          <w:rFonts w:ascii="Calibri" w:hAnsi="Calibri" w:cs="Calibri"/>
          <w:sz w:val="22"/>
          <w:szCs w:val="22"/>
        </w:rPr>
        <w:t xml:space="preserve"> response rates</w:t>
      </w:r>
      <w:r w:rsidR="00F13C3E">
        <w:rPr>
          <w:rFonts w:ascii="Calibri" w:hAnsi="Calibri" w:cs="Calibri"/>
          <w:sz w:val="22"/>
          <w:szCs w:val="22"/>
        </w:rPr>
        <w:t xml:space="preserve"> that may emerge</w:t>
      </w:r>
      <w:r w:rsidR="002555A3">
        <w:rPr>
          <w:rFonts w:ascii="Calibri" w:hAnsi="Calibri" w:cs="Calibri"/>
          <w:sz w:val="22"/>
          <w:szCs w:val="22"/>
        </w:rPr>
        <w:t xml:space="preserve">. </w:t>
      </w:r>
    </w:p>
    <w:p w:rsidRPr="005342BB" w:rsidR="00C92F48" w:rsidP="005342BB" w:rsidRDefault="005812B5" w14:paraId="06A7C265" w14:textId="29343178">
      <w:pPr>
        <w:pStyle w:val="Paragraph"/>
        <w:rPr>
          <w:rFonts w:ascii="Calibri" w:hAnsi="Calibri" w:cs="Calibri"/>
          <w:sz w:val="22"/>
          <w:szCs w:val="22"/>
        </w:rPr>
      </w:pPr>
      <w:r w:rsidRPr="005342BB">
        <w:rPr>
          <w:rFonts w:ascii="Calibri" w:hAnsi="Calibri" w:cs="Calibri"/>
          <w:sz w:val="22"/>
          <w:szCs w:val="22"/>
        </w:rPr>
        <w:t xml:space="preserve">These changes </w:t>
      </w:r>
      <w:r w:rsidR="002026CA">
        <w:rPr>
          <w:rFonts w:ascii="Calibri" w:hAnsi="Calibri" w:cs="Calibri"/>
          <w:sz w:val="22"/>
          <w:szCs w:val="22"/>
        </w:rPr>
        <w:t xml:space="preserve">to the survey incentive amounts </w:t>
      </w:r>
      <w:r w:rsidRPr="005342BB" w:rsidR="00395B70">
        <w:rPr>
          <w:rFonts w:ascii="Calibri" w:hAnsi="Calibri" w:cs="Calibri"/>
          <w:sz w:val="22"/>
          <w:szCs w:val="22"/>
        </w:rPr>
        <w:t>are proposed as part</w:t>
      </w:r>
      <w:r w:rsidRPr="005342BB" w:rsidR="00796763">
        <w:rPr>
          <w:rFonts w:ascii="Calibri" w:hAnsi="Calibri" w:cs="Calibri"/>
          <w:sz w:val="22"/>
          <w:szCs w:val="22"/>
        </w:rPr>
        <w:t xml:space="preserve"> of </w:t>
      </w:r>
      <w:r w:rsidRPr="005342BB" w:rsidR="001E5247">
        <w:rPr>
          <w:rFonts w:ascii="Calibri" w:hAnsi="Calibri" w:cs="Calibri"/>
          <w:sz w:val="22"/>
          <w:szCs w:val="22"/>
        </w:rPr>
        <w:t xml:space="preserve">OPRE’s </w:t>
      </w:r>
      <w:r w:rsidRPr="005342BB" w:rsidR="00796763">
        <w:rPr>
          <w:rFonts w:ascii="Calibri" w:hAnsi="Calibri" w:cs="Calibri"/>
          <w:sz w:val="22"/>
          <w:szCs w:val="22"/>
        </w:rPr>
        <w:t xml:space="preserve">ongoing efforts to address lower-than-expected </w:t>
      </w:r>
      <w:r w:rsidRPr="005342BB">
        <w:rPr>
          <w:rFonts w:ascii="Calibri" w:hAnsi="Calibri" w:cs="Calibri"/>
          <w:sz w:val="22"/>
          <w:szCs w:val="22"/>
        </w:rPr>
        <w:t xml:space="preserve">response rates and </w:t>
      </w:r>
      <w:r w:rsidRPr="005342BB" w:rsidR="00730D6F">
        <w:rPr>
          <w:rFonts w:ascii="Calibri" w:hAnsi="Calibri" w:cs="Calibri"/>
          <w:sz w:val="22"/>
          <w:szCs w:val="22"/>
        </w:rPr>
        <w:t>potential</w:t>
      </w:r>
      <w:r w:rsidRPr="005342BB" w:rsidR="001E5247">
        <w:rPr>
          <w:rFonts w:ascii="Calibri" w:hAnsi="Calibri" w:cs="Calibri"/>
          <w:sz w:val="22"/>
          <w:szCs w:val="22"/>
        </w:rPr>
        <w:t xml:space="preserve"> non-response bias </w:t>
      </w:r>
      <w:r w:rsidRPr="005342BB" w:rsidR="00730D6F">
        <w:rPr>
          <w:rFonts w:ascii="Calibri" w:hAnsi="Calibri" w:cs="Calibri"/>
          <w:sz w:val="22"/>
          <w:szCs w:val="22"/>
        </w:rPr>
        <w:t xml:space="preserve">caused by treatment-control </w:t>
      </w:r>
      <w:r w:rsidRPr="005342BB" w:rsidR="001F60A1">
        <w:rPr>
          <w:rFonts w:ascii="Calibri" w:hAnsi="Calibri" w:cs="Calibri"/>
          <w:sz w:val="22"/>
          <w:szCs w:val="22"/>
        </w:rPr>
        <w:t>differentials in response rates</w:t>
      </w:r>
      <w:r w:rsidR="00DA1E37">
        <w:rPr>
          <w:rFonts w:ascii="Calibri" w:hAnsi="Calibri" w:cs="Calibri"/>
          <w:sz w:val="22"/>
          <w:szCs w:val="22"/>
        </w:rPr>
        <w:t xml:space="preserve"> in these sites</w:t>
      </w:r>
      <w:r w:rsidRPr="005342BB">
        <w:rPr>
          <w:rFonts w:ascii="Calibri" w:hAnsi="Calibri" w:cs="Calibri"/>
          <w:sz w:val="22"/>
          <w:szCs w:val="22"/>
        </w:rPr>
        <w:t>.</w:t>
      </w:r>
      <w:r w:rsidRPr="005342BB" w:rsidR="001E5247">
        <w:rPr>
          <w:rFonts w:ascii="Calibri" w:hAnsi="Calibri" w:cs="Calibri"/>
          <w:sz w:val="22"/>
          <w:szCs w:val="22"/>
        </w:rPr>
        <w:t xml:space="preserve"> </w:t>
      </w:r>
      <w:r w:rsidRPr="005342BB">
        <w:rPr>
          <w:rFonts w:ascii="Calibri" w:hAnsi="Calibri" w:cs="Calibri"/>
          <w:sz w:val="22"/>
          <w:szCs w:val="22"/>
        </w:rPr>
        <w:t xml:space="preserve"> </w:t>
      </w:r>
      <w:r w:rsidRPr="005342BB" w:rsidR="00C96F9A">
        <w:rPr>
          <w:rFonts w:ascii="Calibri" w:hAnsi="Calibri" w:cs="Calibri"/>
          <w:sz w:val="22"/>
          <w:szCs w:val="22"/>
        </w:rPr>
        <w:t>ACF</w:t>
      </w:r>
      <w:r w:rsidRPr="005342BB" w:rsidR="009C7D2C">
        <w:rPr>
          <w:rFonts w:ascii="Calibri" w:hAnsi="Calibri" w:cs="Calibri"/>
          <w:sz w:val="22"/>
          <w:szCs w:val="22"/>
        </w:rPr>
        <w:t xml:space="preserve"> is</w:t>
      </w:r>
      <w:r w:rsidRPr="005342BB" w:rsidR="00796763">
        <w:rPr>
          <w:rFonts w:ascii="Calibri" w:hAnsi="Calibri" w:cs="Calibri"/>
          <w:sz w:val="22"/>
          <w:szCs w:val="22"/>
        </w:rPr>
        <w:t xml:space="preserve"> concerned that without </w:t>
      </w:r>
      <w:r w:rsidRPr="005342BB" w:rsidR="00395B70">
        <w:rPr>
          <w:rFonts w:ascii="Calibri" w:hAnsi="Calibri" w:cs="Calibri"/>
          <w:sz w:val="22"/>
          <w:szCs w:val="22"/>
        </w:rPr>
        <w:t>these interventions</w:t>
      </w:r>
      <w:r w:rsidRPr="005342BB" w:rsidR="00796763">
        <w:rPr>
          <w:rFonts w:ascii="Calibri" w:hAnsi="Calibri" w:cs="Calibri"/>
          <w:sz w:val="22"/>
          <w:szCs w:val="22"/>
        </w:rPr>
        <w:t xml:space="preserve">, </w:t>
      </w:r>
      <w:r w:rsidRPr="005342BB" w:rsidR="00395B70">
        <w:rPr>
          <w:rFonts w:ascii="Calibri" w:hAnsi="Calibri" w:cs="Calibri"/>
          <w:sz w:val="22"/>
          <w:szCs w:val="22"/>
        </w:rPr>
        <w:t>data will</w:t>
      </w:r>
      <w:r w:rsidRPr="005342BB" w:rsidR="00187240">
        <w:rPr>
          <w:rFonts w:ascii="Calibri" w:hAnsi="Calibri" w:cs="Calibri"/>
          <w:sz w:val="22"/>
          <w:szCs w:val="22"/>
        </w:rPr>
        <w:t xml:space="preserve"> produce</w:t>
      </w:r>
      <w:r w:rsidRPr="005342BB" w:rsidR="00796763">
        <w:rPr>
          <w:rFonts w:ascii="Calibri" w:hAnsi="Calibri" w:cs="Calibri"/>
          <w:sz w:val="22"/>
          <w:szCs w:val="22"/>
        </w:rPr>
        <w:t xml:space="preserve"> biased estimates of program impacts and will underrepresent participants in key </w:t>
      </w:r>
      <w:r w:rsidRPr="005342BB" w:rsidR="004D662C">
        <w:rPr>
          <w:rFonts w:ascii="Calibri" w:hAnsi="Calibri" w:cs="Calibri"/>
          <w:sz w:val="22"/>
          <w:szCs w:val="22"/>
        </w:rPr>
        <w:t xml:space="preserve">analytic </w:t>
      </w:r>
      <w:r w:rsidRPr="005342BB" w:rsidR="00796763">
        <w:rPr>
          <w:rFonts w:ascii="Calibri" w:hAnsi="Calibri" w:cs="Calibri"/>
          <w:sz w:val="22"/>
          <w:szCs w:val="22"/>
        </w:rPr>
        <w:t xml:space="preserve">groups. </w:t>
      </w:r>
    </w:p>
    <w:p w:rsidRPr="005342BB" w:rsidR="00BB1A99" w:rsidP="005342BB" w:rsidRDefault="00232078" w14:paraId="061D774A" w14:textId="7977BD1B">
      <w:pPr>
        <w:pStyle w:val="Paragraph"/>
        <w:rPr>
          <w:rFonts w:ascii="Calibri" w:hAnsi="Calibri" w:cs="Calibri"/>
          <w:sz w:val="22"/>
          <w:szCs w:val="22"/>
        </w:rPr>
      </w:pPr>
      <w:r w:rsidRPr="005342BB">
        <w:rPr>
          <w:rFonts w:ascii="Calibri" w:hAnsi="Calibri" w:cs="Calibri"/>
          <w:b/>
          <w:sz w:val="22"/>
          <w:szCs w:val="22"/>
          <w:u w:val="single"/>
        </w:rPr>
        <w:t>Mitigation to Date</w:t>
      </w:r>
    </w:p>
    <w:p w:rsidR="005342BB" w:rsidP="005342BB" w:rsidRDefault="00332E3A" w14:paraId="22015736" w14:textId="77777777">
      <w:pPr>
        <w:pStyle w:val="Paragraph"/>
        <w:rPr>
          <w:rFonts w:ascii="Calibri" w:hAnsi="Calibri" w:cs="Calibri"/>
          <w:sz w:val="22"/>
          <w:szCs w:val="22"/>
        </w:rPr>
      </w:pPr>
      <w:r w:rsidRPr="005342BB">
        <w:rPr>
          <w:rFonts w:ascii="Calibri" w:hAnsi="Calibri" w:cs="Calibri"/>
          <w:sz w:val="22"/>
          <w:szCs w:val="22"/>
        </w:rPr>
        <w:t xml:space="preserve">From the beginning of survey fielding, </w:t>
      </w:r>
      <w:r w:rsidRPr="005342BB" w:rsidR="00C96F9A">
        <w:rPr>
          <w:rFonts w:ascii="Calibri" w:hAnsi="Calibri" w:cs="Calibri"/>
          <w:sz w:val="22"/>
          <w:szCs w:val="22"/>
        </w:rPr>
        <w:t>ACF</w:t>
      </w:r>
      <w:r w:rsidRPr="005342BB">
        <w:rPr>
          <w:rFonts w:ascii="Calibri" w:hAnsi="Calibri" w:cs="Calibri"/>
          <w:sz w:val="22"/>
          <w:szCs w:val="22"/>
        </w:rPr>
        <w:t xml:space="preserve"> has actively monitored survey production and response rates. </w:t>
      </w:r>
      <w:r w:rsidRPr="005342BB" w:rsidR="00D86C65">
        <w:rPr>
          <w:rFonts w:ascii="Calibri" w:hAnsi="Calibri" w:cs="Calibri"/>
          <w:sz w:val="22"/>
          <w:szCs w:val="22"/>
        </w:rPr>
        <w:t>To date</w:t>
      </w:r>
      <w:r w:rsidRPr="005342BB" w:rsidR="00A441D2">
        <w:rPr>
          <w:rFonts w:ascii="Calibri" w:hAnsi="Calibri" w:cs="Calibri"/>
          <w:sz w:val="22"/>
          <w:szCs w:val="22"/>
        </w:rPr>
        <w:t xml:space="preserve">, the contract team has taken the following steps to </w:t>
      </w:r>
      <w:r w:rsidRPr="005342BB" w:rsidR="003A3852">
        <w:rPr>
          <w:rFonts w:ascii="Calibri" w:hAnsi="Calibri" w:cs="Calibri"/>
          <w:sz w:val="22"/>
          <w:szCs w:val="22"/>
        </w:rPr>
        <w:t xml:space="preserve">improve respondent location and </w:t>
      </w:r>
      <w:r w:rsidRPr="005342BB" w:rsidR="00A441D2">
        <w:rPr>
          <w:rFonts w:ascii="Calibri" w:hAnsi="Calibri" w:cs="Calibri"/>
          <w:sz w:val="22"/>
          <w:szCs w:val="22"/>
        </w:rPr>
        <w:t>encourage participation:</w:t>
      </w:r>
    </w:p>
    <w:p w:rsidRPr="00395B70" w:rsidR="00D86C65" w:rsidP="005342BB" w:rsidRDefault="00627B99" w14:paraId="4D1922BD" w14:textId="21F223C6">
      <w:pPr>
        <w:spacing w:after="120" w:line="240" w:lineRule="auto"/>
        <w:rPr>
          <w:rFonts w:ascii="Calibri" w:hAnsi="Calibri" w:cs="Calibri"/>
          <w:i/>
          <w:sz w:val="22"/>
          <w:szCs w:val="22"/>
        </w:rPr>
      </w:pPr>
      <w:r>
        <w:rPr>
          <w:rFonts w:ascii="Calibri" w:hAnsi="Calibri" w:cs="Calibri"/>
          <w:i/>
          <w:sz w:val="22"/>
          <w:szCs w:val="22"/>
        </w:rPr>
        <w:t>Initial</w:t>
      </w:r>
      <w:r w:rsidRPr="00395B70" w:rsidR="00806B60">
        <w:rPr>
          <w:rFonts w:ascii="Calibri" w:hAnsi="Calibri" w:cs="Calibri"/>
          <w:i/>
          <w:sz w:val="22"/>
          <w:szCs w:val="22"/>
        </w:rPr>
        <w:t xml:space="preserve"> Design</w:t>
      </w:r>
      <w:r w:rsidR="0006791B">
        <w:rPr>
          <w:rFonts w:ascii="Calibri" w:hAnsi="Calibri" w:cs="Calibri"/>
          <w:i/>
          <w:sz w:val="22"/>
          <w:szCs w:val="22"/>
        </w:rPr>
        <w:t xml:space="preserve"> for </w:t>
      </w:r>
      <w:proofErr w:type="spellStart"/>
      <w:r w:rsidR="00001B72">
        <w:rPr>
          <w:rFonts w:ascii="Calibri" w:hAnsi="Calibri" w:cs="Calibri"/>
          <w:i/>
          <w:sz w:val="22"/>
          <w:szCs w:val="22"/>
        </w:rPr>
        <w:t>MotherWise</w:t>
      </w:r>
      <w:proofErr w:type="spellEnd"/>
    </w:p>
    <w:p w:rsidRPr="005342BB" w:rsidR="00A441D2" w:rsidP="005342BB" w:rsidRDefault="00232078" w14:paraId="689AC653" w14:textId="39AD1960">
      <w:pPr>
        <w:pStyle w:val="ListBullet"/>
        <w:rPr>
          <w:rFonts w:ascii="Calibri" w:hAnsi="Calibri" w:cs="Calibri"/>
          <w:sz w:val="22"/>
          <w:szCs w:val="22"/>
        </w:rPr>
      </w:pPr>
      <w:bookmarkStart w:name="_Hlk39070336" w:id="10"/>
      <w:r w:rsidRPr="005342BB">
        <w:rPr>
          <w:rFonts w:ascii="Calibri" w:hAnsi="Calibri" w:cs="Calibri"/>
          <w:sz w:val="22"/>
          <w:szCs w:val="22"/>
        </w:rPr>
        <w:t xml:space="preserve">The follow-up surveys </w:t>
      </w:r>
      <w:r w:rsidR="00D74B76">
        <w:rPr>
          <w:rFonts w:ascii="Calibri" w:hAnsi="Calibri" w:cs="Calibri"/>
          <w:sz w:val="22"/>
          <w:szCs w:val="22"/>
        </w:rPr>
        <w:t>were</w:t>
      </w:r>
      <w:r w:rsidRPr="005342BB" w:rsidR="00D74B76">
        <w:rPr>
          <w:rFonts w:ascii="Calibri" w:hAnsi="Calibri" w:cs="Calibri"/>
          <w:sz w:val="22"/>
          <w:szCs w:val="22"/>
        </w:rPr>
        <w:t xml:space="preserve"> </w:t>
      </w:r>
      <w:r w:rsidRPr="005342BB">
        <w:rPr>
          <w:rFonts w:ascii="Calibri" w:hAnsi="Calibri" w:cs="Calibri"/>
          <w:sz w:val="22"/>
          <w:szCs w:val="22"/>
        </w:rPr>
        <w:t xml:space="preserve">offered to respondents in two modes: web and telephone, allowing </w:t>
      </w:r>
      <w:r w:rsidRPr="005342BB" w:rsidR="003462B6">
        <w:rPr>
          <w:rFonts w:ascii="Calibri" w:hAnsi="Calibri" w:cs="Calibri"/>
          <w:sz w:val="22"/>
          <w:szCs w:val="22"/>
        </w:rPr>
        <w:t xml:space="preserve">study </w:t>
      </w:r>
      <w:r w:rsidRPr="005342BB">
        <w:rPr>
          <w:rFonts w:ascii="Calibri" w:hAnsi="Calibri" w:cs="Calibri"/>
          <w:sz w:val="22"/>
          <w:szCs w:val="22"/>
        </w:rPr>
        <w:t xml:space="preserve">participants to complete the surveys </w:t>
      </w:r>
      <w:r w:rsidRPr="005342BB" w:rsidR="003462B6">
        <w:rPr>
          <w:rFonts w:ascii="Calibri" w:hAnsi="Calibri" w:cs="Calibri"/>
          <w:sz w:val="22"/>
          <w:szCs w:val="22"/>
        </w:rPr>
        <w:t xml:space="preserve">how and </w:t>
      </w:r>
      <w:r w:rsidRPr="005342BB">
        <w:rPr>
          <w:rFonts w:ascii="Calibri" w:hAnsi="Calibri" w:cs="Calibri"/>
          <w:sz w:val="22"/>
          <w:szCs w:val="22"/>
        </w:rPr>
        <w:t xml:space="preserve">when </w:t>
      </w:r>
      <w:r w:rsidRPr="005342BB" w:rsidR="003462B6">
        <w:rPr>
          <w:rFonts w:ascii="Calibri" w:hAnsi="Calibri" w:cs="Calibri"/>
          <w:sz w:val="22"/>
          <w:szCs w:val="22"/>
        </w:rPr>
        <w:t xml:space="preserve">it is </w:t>
      </w:r>
      <w:r w:rsidRPr="005342BB">
        <w:rPr>
          <w:rFonts w:ascii="Calibri" w:hAnsi="Calibri" w:cs="Calibri"/>
          <w:sz w:val="22"/>
          <w:szCs w:val="22"/>
        </w:rPr>
        <w:t xml:space="preserve">convenient for them. </w:t>
      </w:r>
    </w:p>
    <w:p w:rsidRPr="005342BB" w:rsidR="00C92F48" w:rsidP="005342BB" w:rsidRDefault="001642EC" w14:paraId="78637B53" w14:textId="1AD910A1">
      <w:pPr>
        <w:pStyle w:val="ListBullet"/>
        <w:rPr>
          <w:rFonts w:ascii="Calibri" w:hAnsi="Calibri" w:cs="Calibri"/>
          <w:sz w:val="22"/>
          <w:szCs w:val="22"/>
        </w:rPr>
      </w:pPr>
      <w:r w:rsidRPr="005342BB">
        <w:rPr>
          <w:rFonts w:ascii="Calibri" w:hAnsi="Calibri" w:cs="Calibri"/>
          <w:sz w:val="22"/>
          <w:szCs w:val="22"/>
        </w:rPr>
        <w:t>Survey outreach use</w:t>
      </w:r>
      <w:r w:rsidR="00D74B76">
        <w:rPr>
          <w:rFonts w:ascii="Calibri" w:hAnsi="Calibri" w:cs="Calibri"/>
          <w:sz w:val="22"/>
          <w:szCs w:val="22"/>
        </w:rPr>
        <w:t>d</w:t>
      </w:r>
      <w:r w:rsidRPr="005342BB">
        <w:rPr>
          <w:rFonts w:ascii="Calibri" w:hAnsi="Calibri" w:cs="Calibri"/>
          <w:sz w:val="22"/>
          <w:szCs w:val="22"/>
        </w:rPr>
        <w:t xml:space="preserve"> multiple channels </w:t>
      </w:r>
      <w:r w:rsidRPr="005342BB" w:rsidR="005A407E">
        <w:rPr>
          <w:rFonts w:ascii="Calibri" w:hAnsi="Calibri" w:cs="Calibri"/>
          <w:sz w:val="22"/>
          <w:szCs w:val="22"/>
        </w:rPr>
        <w:t xml:space="preserve">and </w:t>
      </w:r>
      <w:r w:rsidRPr="005342BB" w:rsidR="00222EEC">
        <w:rPr>
          <w:rFonts w:ascii="Calibri" w:hAnsi="Calibri" w:cs="Calibri"/>
          <w:sz w:val="22"/>
          <w:szCs w:val="22"/>
        </w:rPr>
        <w:t xml:space="preserve">multiple contact attempts. </w:t>
      </w:r>
      <w:r w:rsidRPr="005342BB">
        <w:rPr>
          <w:rFonts w:ascii="Calibri" w:hAnsi="Calibri" w:cs="Calibri"/>
          <w:sz w:val="22"/>
          <w:szCs w:val="22"/>
        </w:rPr>
        <w:t xml:space="preserve">Prior to attempted telephone contact, all </w:t>
      </w:r>
      <w:r w:rsidRPr="005342BB" w:rsidR="003462B6">
        <w:rPr>
          <w:rFonts w:ascii="Calibri" w:hAnsi="Calibri" w:cs="Calibri"/>
          <w:sz w:val="22"/>
          <w:szCs w:val="22"/>
        </w:rPr>
        <w:t xml:space="preserve">participants </w:t>
      </w:r>
      <w:r w:rsidR="00D74B76">
        <w:rPr>
          <w:rFonts w:ascii="Calibri" w:hAnsi="Calibri" w:cs="Calibri"/>
          <w:sz w:val="22"/>
          <w:szCs w:val="22"/>
        </w:rPr>
        <w:t>were</w:t>
      </w:r>
      <w:r w:rsidRPr="005342BB" w:rsidR="00D74B76">
        <w:rPr>
          <w:rFonts w:ascii="Calibri" w:hAnsi="Calibri" w:cs="Calibri"/>
          <w:sz w:val="22"/>
          <w:szCs w:val="22"/>
        </w:rPr>
        <w:t xml:space="preserve"> </w:t>
      </w:r>
      <w:r w:rsidRPr="005342BB" w:rsidR="00232078">
        <w:rPr>
          <w:rFonts w:ascii="Calibri" w:hAnsi="Calibri" w:cs="Calibri"/>
          <w:sz w:val="22"/>
          <w:szCs w:val="22"/>
        </w:rPr>
        <w:t xml:space="preserve">notified about the </w:t>
      </w:r>
      <w:r w:rsidRPr="005342BB">
        <w:rPr>
          <w:rFonts w:ascii="Calibri" w:hAnsi="Calibri" w:cs="Calibri"/>
          <w:sz w:val="22"/>
          <w:szCs w:val="22"/>
        </w:rPr>
        <w:t xml:space="preserve">data collection </w:t>
      </w:r>
      <w:r w:rsidRPr="005342BB" w:rsidR="00232078">
        <w:rPr>
          <w:rFonts w:ascii="Calibri" w:hAnsi="Calibri" w:cs="Calibri"/>
          <w:sz w:val="22"/>
          <w:szCs w:val="22"/>
        </w:rPr>
        <w:t>through an advance letter</w:t>
      </w:r>
      <w:r w:rsidRPr="005342BB">
        <w:rPr>
          <w:rFonts w:ascii="Calibri" w:hAnsi="Calibri" w:cs="Calibri"/>
          <w:sz w:val="22"/>
          <w:szCs w:val="22"/>
        </w:rPr>
        <w:t>.</w:t>
      </w:r>
      <w:r w:rsidRPr="005342BB" w:rsidR="00232078">
        <w:rPr>
          <w:rFonts w:ascii="Calibri" w:hAnsi="Calibri" w:cs="Calibri"/>
          <w:sz w:val="22"/>
          <w:szCs w:val="22"/>
        </w:rPr>
        <w:t xml:space="preserve"> </w:t>
      </w:r>
      <w:r w:rsidRPr="005342BB">
        <w:rPr>
          <w:rFonts w:ascii="Calibri" w:hAnsi="Calibri" w:cs="Calibri"/>
          <w:sz w:val="22"/>
          <w:szCs w:val="22"/>
        </w:rPr>
        <w:t xml:space="preserve">Participants </w:t>
      </w:r>
      <w:r w:rsidRPr="005342BB" w:rsidR="00232078">
        <w:rPr>
          <w:rFonts w:ascii="Calibri" w:hAnsi="Calibri" w:cs="Calibri"/>
          <w:sz w:val="22"/>
          <w:szCs w:val="22"/>
        </w:rPr>
        <w:t xml:space="preserve">who provided an email address </w:t>
      </w:r>
      <w:r w:rsidRPr="005342BB" w:rsidR="00F3041F">
        <w:rPr>
          <w:rFonts w:ascii="Calibri" w:hAnsi="Calibri" w:cs="Calibri"/>
          <w:sz w:val="22"/>
          <w:szCs w:val="22"/>
        </w:rPr>
        <w:t>wer</w:t>
      </w:r>
      <w:r w:rsidRPr="005342BB">
        <w:rPr>
          <w:rFonts w:ascii="Calibri" w:hAnsi="Calibri" w:cs="Calibri"/>
          <w:sz w:val="22"/>
          <w:szCs w:val="22"/>
        </w:rPr>
        <w:t xml:space="preserve">e </w:t>
      </w:r>
      <w:r w:rsidRPr="005342BB" w:rsidR="00232078">
        <w:rPr>
          <w:rFonts w:ascii="Calibri" w:hAnsi="Calibri" w:cs="Calibri"/>
          <w:sz w:val="22"/>
          <w:szCs w:val="22"/>
        </w:rPr>
        <w:t>sent email messages providing login information</w:t>
      </w:r>
      <w:r w:rsidRPr="005342BB">
        <w:rPr>
          <w:rFonts w:ascii="Calibri" w:hAnsi="Calibri" w:cs="Calibri"/>
          <w:sz w:val="22"/>
          <w:szCs w:val="22"/>
        </w:rPr>
        <w:t xml:space="preserve"> for the survey web form</w:t>
      </w:r>
      <w:r w:rsidRPr="005342BB" w:rsidR="00232078">
        <w:rPr>
          <w:rFonts w:ascii="Calibri" w:hAnsi="Calibri" w:cs="Calibri"/>
          <w:sz w:val="22"/>
          <w:szCs w:val="22"/>
        </w:rPr>
        <w:t xml:space="preserve">. </w:t>
      </w:r>
      <w:r w:rsidRPr="005342BB" w:rsidR="003462B6">
        <w:rPr>
          <w:rFonts w:ascii="Calibri" w:hAnsi="Calibri" w:cs="Calibri"/>
          <w:sz w:val="22"/>
          <w:szCs w:val="22"/>
        </w:rPr>
        <w:t xml:space="preserve">Participants </w:t>
      </w:r>
      <w:r w:rsidRPr="005342BB" w:rsidR="00232078">
        <w:rPr>
          <w:rFonts w:ascii="Calibri" w:hAnsi="Calibri" w:cs="Calibri"/>
          <w:sz w:val="22"/>
          <w:szCs w:val="22"/>
        </w:rPr>
        <w:t xml:space="preserve">with an email address </w:t>
      </w:r>
      <w:r w:rsidRPr="005342BB" w:rsidR="005A407E">
        <w:rPr>
          <w:rFonts w:ascii="Calibri" w:hAnsi="Calibri" w:cs="Calibri"/>
          <w:sz w:val="22"/>
          <w:szCs w:val="22"/>
        </w:rPr>
        <w:t>or</w:t>
      </w:r>
      <w:r w:rsidRPr="005342BB" w:rsidR="00232078">
        <w:rPr>
          <w:rFonts w:ascii="Calibri" w:hAnsi="Calibri" w:cs="Calibri"/>
          <w:sz w:val="22"/>
          <w:szCs w:val="22"/>
        </w:rPr>
        <w:t xml:space="preserve"> assent to text </w:t>
      </w:r>
      <w:r w:rsidRPr="005342BB">
        <w:rPr>
          <w:rFonts w:ascii="Calibri" w:hAnsi="Calibri" w:cs="Calibri"/>
          <w:sz w:val="22"/>
          <w:szCs w:val="22"/>
        </w:rPr>
        <w:t xml:space="preserve">were </w:t>
      </w:r>
      <w:r w:rsidRPr="005342BB" w:rsidR="00232078">
        <w:rPr>
          <w:rFonts w:ascii="Calibri" w:hAnsi="Calibri" w:cs="Calibri"/>
          <w:sz w:val="22"/>
          <w:szCs w:val="22"/>
        </w:rPr>
        <w:t xml:space="preserve">sent two email messages </w:t>
      </w:r>
      <w:r w:rsidRPr="005342BB" w:rsidR="005A407E">
        <w:rPr>
          <w:rFonts w:ascii="Calibri" w:hAnsi="Calibri" w:cs="Calibri"/>
          <w:sz w:val="22"/>
          <w:szCs w:val="22"/>
        </w:rPr>
        <w:t>or</w:t>
      </w:r>
      <w:r w:rsidRPr="005342BB" w:rsidR="00232078">
        <w:rPr>
          <w:rFonts w:ascii="Calibri" w:hAnsi="Calibri" w:cs="Calibri"/>
          <w:sz w:val="22"/>
          <w:szCs w:val="22"/>
        </w:rPr>
        <w:t xml:space="preserve"> two text messages prior to </w:t>
      </w:r>
      <w:r w:rsidRPr="005342BB">
        <w:rPr>
          <w:rFonts w:ascii="Calibri" w:hAnsi="Calibri" w:cs="Calibri"/>
          <w:sz w:val="22"/>
          <w:szCs w:val="22"/>
        </w:rPr>
        <w:t xml:space="preserve">telephone contact </w:t>
      </w:r>
      <w:r w:rsidRPr="005342BB" w:rsidR="00232078">
        <w:rPr>
          <w:rFonts w:ascii="Calibri" w:hAnsi="Calibri" w:cs="Calibri"/>
          <w:sz w:val="22"/>
          <w:szCs w:val="22"/>
        </w:rPr>
        <w:t xml:space="preserve">attempts. </w:t>
      </w:r>
    </w:p>
    <w:p w:rsidRPr="005342BB" w:rsidR="00C92F48" w:rsidP="005342BB" w:rsidRDefault="003462B6" w14:paraId="491D69D3" w14:textId="71B6EF38">
      <w:pPr>
        <w:pStyle w:val="ListBullet"/>
        <w:rPr>
          <w:rFonts w:ascii="Calibri" w:hAnsi="Calibri" w:cs="Calibri"/>
          <w:sz w:val="22"/>
          <w:szCs w:val="22"/>
        </w:rPr>
      </w:pPr>
      <w:r w:rsidRPr="005342BB">
        <w:rPr>
          <w:rFonts w:ascii="Calibri" w:hAnsi="Calibri" w:cs="Calibri"/>
          <w:sz w:val="22"/>
          <w:szCs w:val="22"/>
        </w:rPr>
        <w:t>N</w:t>
      </w:r>
      <w:r w:rsidRPr="005342BB" w:rsidR="00C92F48">
        <w:rPr>
          <w:rFonts w:ascii="Calibri" w:hAnsi="Calibri" w:cs="Calibri"/>
          <w:sz w:val="22"/>
          <w:szCs w:val="22"/>
        </w:rPr>
        <w:t>onresponding participants</w:t>
      </w:r>
      <w:r w:rsidRPr="005342BB">
        <w:rPr>
          <w:rFonts w:ascii="Calibri" w:hAnsi="Calibri" w:cs="Calibri"/>
          <w:sz w:val="22"/>
          <w:szCs w:val="22"/>
        </w:rPr>
        <w:t xml:space="preserve"> receive</w:t>
      </w:r>
      <w:r w:rsidRPr="005342BB" w:rsidR="001642EC">
        <w:rPr>
          <w:rFonts w:ascii="Calibri" w:hAnsi="Calibri" w:cs="Calibri"/>
          <w:sz w:val="22"/>
          <w:szCs w:val="22"/>
        </w:rPr>
        <w:t>d</w:t>
      </w:r>
      <w:r w:rsidRPr="005342BB">
        <w:rPr>
          <w:rFonts w:ascii="Calibri" w:hAnsi="Calibri" w:cs="Calibri"/>
          <w:sz w:val="22"/>
          <w:szCs w:val="22"/>
        </w:rPr>
        <w:t xml:space="preserve"> multiple</w:t>
      </w:r>
      <w:r w:rsidRPr="005342BB" w:rsidR="00232078">
        <w:rPr>
          <w:rFonts w:ascii="Calibri" w:hAnsi="Calibri" w:cs="Calibri"/>
          <w:sz w:val="22"/>
          <w:szCs w:val="22"/>
        </w:rPr>
        <w:t xml:space="preserve"> telephone calls </w:t>
      </w:r>
      <w:r w:rsidRPr="005342BB">
        <w:rPr>
          <w:rFonts w:ascii="Calibri" w:hAnsi="Calibri" w:cs="Calibri"/>
          <w:sz w:val="22"/>
          <w:szCs w:val="22"/>
        </w:rPr>
        <w:t xml:space="preserve">over </w:t>
      </w:r>
      <w:r w:rsidRPr="005342BB" w:rsidR="00232078">
        <w:rPr>
          <w:rFonts w:ascii="Calibri" w:hAnsi="Calibri" w:cs="Calibri"/>
          <w:sz w:val="22"/>
          <w:szCs w:val="22"/>
        </w:rPr>
        <w:t>several weeks</w:t>
      </w:r>
      <w:r w:rsidRPr="005342BB">
        <w:rPr>
          <w:rFonts w:ascii="Calibri" w:hAnsi="Calibri" w:cs="Calibri"/>
          <w:sz w:val="22"/>
          <w:szCs w:val="22"/>
        </w:rPr>
        <w:t xml:space="preserve"> on different days and at different times</w:t>
      </w:r>
      <w:r w:rsidRPr="005342BB" w:rsidR="00232078">
        <w:rPr>
          <w:rFonts w:ascii="Calibri" w:hAnsi="Calibri" w:cs="Calibri"/>
          <w:sz w:val="22"/>
          <w:szCs w:val="22"/>
        </w:rPr>
        <w:t xml:space="preserve"> </w:t>
      </w:r>
      <w:r w:rsidRPr="005342BB" w:rsidR="00C92F48">
        <w:rPr>
          <w:rFonts w:ascii="Calibri" w:hAnsi="Calibri" w:cs="Calibri"/>
          <w:sz w:val="22"/>
          <w:szCs w:val="22"/>
        </w:rPr>
        <w:t>asking them to complete the survey.</w:t>
      </w:r>
    </w:p>
    <w:p w:rsidRPr="005342BB" w:rsidR="00C92F48" w:rsidP="005342BB" w:rsidRDefault="003462B6" w14:paraId="417526A7" w14:textId="56440B7D">
      <w:pPr>
        <w:pStyle w:val="ListBullet"/>
        <w:rPr>
          <w:rFonts w:ascii="Calibri" w:hAnsi="Calibri" w:cs="Calibri"/>
          <w:sz w:val="22"/>
          <w:szCs w:val="22"/>
        </w:rPr>
      </w:pPr>
      <w:r w:rsidRPr="005342BB">
        <w:rPr>
          <w:rFonts w:ascii="Calibri" w:hAnsi="Calibri" w:cs="Calibri"/>
          <w:sz w:val="22"/>
          <w:szCs w:val="22"/>
        </w:rPr>
        <w:t>N</w:t>
      </w:r>
      <w:r w:rsidRPr="005342BB" w:rsidR="00232078">
        <w:rPr>
          <w:rFonts w:ascii="Calibri" w:hAnsi="Calibri" w:cs="Calibri"/>
          <w:sz w:val="22"/>
          <w:szCs w:val="22"/>
        </w:rPr>
        <w:t xml:space="preserve">on-working </w:t>
      </w:r>
      <w:r w:rsidRPr="005342BB">
        <w:rPr>
          <w:rFonts w:ascii="Calibri" w:hAnsi="Calibri" w:cs="Calibri"/>
          <w:sz w:val="22"/>
          <w:szCs w:val="22"/>
        </w:rPr>
        <w:t xml:space="preserve">telephone </w:t>
      </w:r>
      <w:r w:rsidRPr="005342BB" w:rsidR="00232078">
        <w:rPr>
          <w:rFonts w:ascii="Calibri" w:hAnsi="Calibri" w:cs="Calibri"/>
          <w:sz w:val="22"/>
          <w:szCs w:val="22"/>
        </w:rPr>
        <w:t xml:space="preserve">numbers or those that </w:t>
      </w:r>
      <w:r w:rsidRPr="005342BB" w:rsidR="001642EC">
        <w:rPr>
          <w:rFonts w:ascii="Calibri" w:hAnsi="Calibri" w:cs="Calibri"/>
          <w:sz w:val="22"/>
          <w:szCs w:val="22"/>
        </w:rPr>
        <w:t>did not result in</w:t>
      </w:r>
      <w:r w:rsidRPr="005342BB" w:rsidR="00232078">
        <w:rPr>
          <w:rFonts w:ascii="Calibri" w:hAnsi="Calibri" w:cs="Calibri"/>
          <w:sz w:val="22"/>
          <w:szCs w:val="22"/>
        </w:rPr>
        <w:t xml:space="preserve"> contact </w:t>
      </w:r>
      <w:r w:rsidRPr="005342BB" w:rsidR="001642EC">
        <w:rPr>
          <w:rFonts w:ascii="Calibri" w:hAnsi="Calibri" w:cs="Calibri"/>
          <w:sz w:val="22"/>
          <w:szCs w:val="22"/>
        </w:rPr>
        <w:t xml:space="preserve">were subject to locating, </w:t>
      </w:r>
      <w:r w:rsidRPr="005342BB" w:rsidR="005A407E">
        <w:rPr>
          <w:rFonts w:ascii="Calibri" w:hAnsi="Calibri" w:cs="Calibri"/>
          <w:sz w:val="22"/>
          <w:szCs w:val="22"/>
        </w:rPr>
        <w:t>through contact with</w:t>
      </w:r>
      <w:r w:rsidRPr="005342BB" w:rsidR="001642EC">
        <w:rPr>
          <w:rFonts w:ascii="Calibri" w:hAnsi="Calibri" w:cs="Calibri"/>
          <w:sz w:val="22"/>
          <w:szCs w:val="22"/>
        </w:rPr>
        <w:t xml:space="preserve"> individuals provided by the participant at the time of study enrollment.</w:t>
      </w:r>
      <w:r w:rsidRPr="005342BB" w:rsidR="00232078">
        <w:rPr>
          <w:rFonts w:ascii="Calibri" w:hAnsi="Calibri" w:cs="Calibri"/>
          <w:sz w:val="22"/>
          <w:szCs w:val="22"/>
        </w:rPr>
        <w:t xml:space="preserve"> </w:t>
      </w:r>
    </w:p>
    <w:p w:rsidRPr="005342BB" w:rsidR="00C92F48" w:rsidP="005342BB" w:rsidRDefault="00D86C65" w14:paraId="2FF42BFB" w14:textId="145FA46B">
      <w:pPr>
        <w:pStyle w:val="ListBullet"/>
        <w:rPr>
          <w:rFonts w:ascii="Calibri" w:hAnsi="Calibri" w:cs="Calibri"/>
          <w:sz w:val="22"/>
          <w:szCs w:val="22"/>
        </w:rPr>
      </w:pPr>
      <w:r w:rsidRPr="005342BB">
        <w:rPr>
          <w:rFonts w:ascii="Calibri" w:hAnsi="Calibri" w:cs="Calibri"/>
          <w:sz w:val="22"/>
          <w:szCs w:val="22"/>
        </w:rPr>
        <w:t>A</w:t>
      </w:r>
      <w:r w:rsidRPr="005342BB" w:rsidR="00232078">
        <w:rPr>
          <w:rFonts w:ascii="Calibri" w:hAnsi="Calibri" w:cs="Calibri"/>
          <w:sz w:val="22"/>
          <w:szCs w:val="22"/>
        </w:rPr>
        <w:t xml:space="preserve"> specialized letter </w:t>
      </w:r>
      <w:r w:rsidRPr="005342BB" w:rsidR="001642EC">
        <w:rPr>
          <w:rFonts w:ascii="Calibri" w:hAnsi="Calibri" w:cs="Calibri"/>
          <w:sz w:val="22"/>
          <w:szCs w:val="22"/>
        </w:rPr>
        <w:t xml:space="preserve">was </w:t>
      </w:r>
      <w:r w:rsidRPr="005342BB">
        <w:rPr>
          <w:rFonts w:ascii="Calibri" w:hAnsi="Calibri" w:cs="Calibri"/>
          <w:sz w:val="22"/>
          <w:szCs w:val="22"/>
        </w:rPr>
        <w:t xml:space="preserve">sent to </w:t>
      </w:r>
      <w:r w:rsidRPr="005342BB" w:rsidR="00336D6B">
        <w:rPr>
          <w:rFonts w:ascii="Calibri" w:hAnsi="Calibri" w:cs="Calibri"/>
          <w:sz w:val="22"/>
          <w:szCs w:val="22"/>
        </w:rPr>
        <w:t>participants who ma</w:t>
      </w:r>
      <w:r w:rsidR="00DA1E37">
        <w:rPr>
          <w:rFonts w:ascii="Calibri" w:hAnsi="Calibri" w:cs="Calibri"/>
          <w:sz w:val="22"/>
          <w:szCs w:val="22"/>
        </w:rPr>
        <w:t>d</w:t>
      </w:r>
      <w:r w:rsidRPr="005342BB" w:rsidR="00336D6B">
        <w:rPr>
          <w:rFonts w:ascii="Calibri" w:hAnsi="Calibri" w:cs="Calibri"/>
          <w:sz w:val="22"/>
          <w:szCs w:val="22"/>
        </w:rPr>
        <w:t xml:space="preserve">e </w:t>
      </w:r>
      <w:r w:rsidRPr="005342BB">
        <w:rPr>
          <w:rFonts w:ascii="Calibri" w:hAnsi="Calibri" w:cs="Calibri"/>
          <w:sz w:val="22"/>
          <w:szCs w:val="22"/>
        </w:rPr>
        <w:t>non-adamant refusals</w:t>
      </w:r>
      <w:r w:rsidRPr="005342BB" w:rsidR="001642EC">
        <w:rPr>
          <w:rFonts w:ascii="Calibri" w:hAnsi="Calibri" w:cs="Calibri"/>
          <w:sz w:val="22"/>
          <w:szCs w:val="22"/>
        </w:rPr>
        <w:t>, followed by contact from a specially-trained and</w:t>
      </w:r>
      <w:r w:rsidRPr="005342BB" w:rsidR="0085589E">
        <w:rPr>
          <w:rFonts w:ascii="Calibri" w:hAnsi="Calibri" w:cs="Calibri"/>
          <w:sz w:val="22"/>
          <w:szCs w:val="22"/>
        </w:rPr>
        <w:t xml:space="preserve"> </w:t>
      </w:r>
      <w:r w:rsidRPr="005342BB" w:rsidR="00232078">
        <w:rPr>
          <w:rFonts w:ascii="Calibri" w:hAnsi="Calibri" w:cs="Calibri"/>
          <w:sz w:val="22"/>
          <w:szCs w:val="22"/>
        </w:rPr>
        <w:t xml:space="preserve">experienced telephone interviewer. </w:t>
      </w:r>
    </w:p>
    <w:p w:rsidRPr="003F7475" w:rsidR="002B58F5" w:rsidP="003F7475" w:rsidRDefault="00336D6B" w14:paraId="65C4BDB7" w14:textId="59E0C237">
      <w:pPr>
        <w:pStyle w:val="ListBullet"/>
        <w:spacing w:after="0"/>
        <w:rPr>
          <w:rFonts w:ascii="Calibri" w:hAnsi="Calibri" w:cs="Calibri"/>
          <w:b/>
          <w:bCs/>
          <w:sz w:val="22"/>
          <w:szCs w:val="22"/>
          <w:u w:val="single"/>
        </w:rPr>
      </w:pPr>
      <w:r w:rsidRPr="005342BB">
        <w:rPr>
          <w:rFonts w:ascii="Calibri" w:hAnsi="Calibri" w:cs="Calibri"/>
          <w:sz w:val="22"/>
          <w:szCs w:val="22"/>
        </w:rPr>
        <w:lastRenderedPageBreak/>
        <w:t xml:space="preserve">If the </w:t>
      </w:r>
      <w:r w:rsidRPr="005342BB" w:rsidR="0018185A">
        <w:rPr>
          <w:rFonts w:ascii="Calibri" w:hAnsi="Calibri" w:cs="Calibri"/>
          <w:sz w:val="22"/>
          <w:szCs w:val="22"/>
        </w:rPr>
        <w:t xml:space="preserve">participants </w:t>
      </w:r>
      <w:r w:rsidRPr="005342BB" w:rsidR="001642EC">
        <w:rPr>
          <w:rFonts w:ascii="Calibri" w:hAnsi="Calibri" w:cs="Calibri"/>
          <w:sz w:val="22"/>
          <w:szCs w:val="22"/>
        </w:rPr>
        <w:t xml:space="preserve">could not </w:t>
      </w:r>
      <w:r w:rsidRPr="005342BB" w:rsidR="0018185A">
        <w:rPr>
          <w:rFonts w:ascii="Calibri" w:hAnsi="Calibri" w:cs="Calibri"/>
          <w:sz w:val="22"/>
          <w:szCs w:val="22"/>
        </w:rPr>
        <w:t>be contacted by telephone, f</w:t>
      </w:r>
      <w:r w:rsidRPr="005342BB" w:rsidR="00232078">
        <w:rPr>
          <w:rFonts w:ascii="Calibri" w:hAnsi="Calibri" w:cs="Calibri"/>
          <w:sz w:val="22"/>
          <w:szCs w:val="22"/>
        </w:rPr>
        <w:t xml:space="preserve">ield locators </w:t>
      </w:r>
      <w:r w:rsidRPr="005342BB" w:rsidR="001642EC">
        <w:rPr>
          <w:rFonts w:ascii="Calibri" w:hAnsi="Calibri" w:cs="Calibri"/>
          <w:sz w:val="22"/>
          <w:szCs w:val="22"/>
        </w:rPr>
        <w:t xml:space="preserve">made </w:t>
      </w:r>
      <w:r w:rsidRPr="005342BB" w:rsidR="00232078">
        <w:rPr>
          <w:rFonts w:ascii="Calibri" w:hAnsi="Calibri" w:cs="Calibri"/>
          <w:sz w:val="22"/>
          <w:szCs w:val="22"/>
        </w:rPr>
        <w:t xml:space="preserve">in-person contact with </w:t>
      </w:r>
      <w:r w:rsidRPr="005342BB" w:rsidR="0018185A">
        <w:rPr>
          <w:rFonts w:ascii="Calibri" w:hAnsi="Calibri" w:cs="Calibri"/>
          <w:sz w:val="22"/>
          <w:szCs w:val="22"/>
        </w:rPr>
        <w:t>them</w:t>
      </w:r>
      <w:r w:rsidRPr="005342BB" w:rsidR="00232078">
        <w:rPr>
          <w:rFonts w:ascii="Calibri" w:hAnsi="Calibri" w:cs="Calibri"/>
          <w:sz w:val="22"/>
          <w:szCs w:val="22"/>
        </w:rPr>
        <w:t xml:space="preserve"> and provide</w:t>
      </w:r>
      <w:r w:rsidRPr="005342BB" w:rsidR="001642EC">
        <w:rPr>
          <w:rFonts w:ascii="Calibri" w:hAnsi="Calibri" w:cs="Calibri"/>
          <w:sz w:val="22"/>
          <w:szCs w:val="22"/>
        </w:rPr>
        <w:t>d</w:t>
      </w:r>
      <w:r w:rsidRPr="005342BB" w:rsidR="00232078">
        <w:rPr>
          <w:rFonts w:ascii="Calibri" w:hAnsi="Calibri" w:cs="Calibri"/>
          <w:sz w:val="22"/>
          <w:szCs w:val="22"/>
        </w:rPr>
        <w:t xml:space="preserve"> them with a cell phone to complete the survey with a telephone interviewer. </w:t>
      </w:r>
    </w:p>
    <w:p w:rsidRPr="005342BB" w:rsidR="00DA1E37" w:rsidP="003F7475" w:rsidRDefault="00DA1E37" w14:paraId="1E879E2F" w14:textId="77777777">
      <w:pPr>
        <w:pStyle w:val="ListBullet"/>
        <w:numPr>
          <w:ilvl w:val="0"/>
          <w:numId w:val="0"/>
        </w:numPr>
        <w:spacing w:before="0" w:after="0"/>
        <w:ind w:left="720"/>
        <w:rPr>
          <w:rFonts w:ascii="Calibri" w:hAnsi="Calibri" w:cs="Calibri"/>
          <w:b/>
          <w:bCs/>
          <w:sz w:val="22"/>
          <w:szCs w:val="22"/>
          <w:u w:val="single"/>
        </w:rPr>
      </w:pPr>
    </w:p>
    <w:bookmarkEnd w:id="10"/>
    <w:p w:rsidRPr="002B58F5" w:rsidR="002B58F5" w:rsidP="005342BB" w:rsidRDefault="002B58F5" w14:paraId="47AEF204" w14:textId="6BCD4B9C">
      <w:pPr>
        <w:spacing w:after="120" w:line="240" w:lineRule="auto"/>
        <w:rPr>
          <w:rFonts w:ascii="Calibri" w:hAnsi="Calibri" w:cs="Calibri"/>
          <w:i/>
          <w:sz w:val="22"/>
          <w:szCs w:val="22"/>
        </w:rPr>
      </w:pPr>
      <w:r w:rsidRPr="002B58F5">
        <w:rPr>
          <w:rFonts w:ascii="Calibri" w:hAnsi="Calibri" w:cs="Calibri"/>
          <w:i/>
          <w:sz w:val="22"/>
          <w:szCs w:val="22"/>
        </w:rPr>
        <w:t xml:space="preserve">Initial Design for </w:t>
      </w:r>
      <w:r w:rsidR="00C33B31">
        <w:rPr>
          <w:rFonts w:ascii="Calibri" w:hAnsi="Calibri" w:cs="Calibri"/>
          <w:i/>
          <w:sz w:val="22"/>
          <w:szCs w:val="22"/>
        </w:rPr>
        <w:t>MTCI</w:t>
      </w:r>
    </w:p>
    <w:p w:rsidRPr="005342BB" w:rsidR="009D14BB" w:rsidP="005342BB" w:rsidRDefault="006E4A77" w14:paraId="3FADBD23" w14:textId="45DEE4B8">
      <w:pPr>
        <w:pStyle w:val="ListBullet"/>
        <w:rPr>
          <w:rFonts w:ascii="Calibri" w:hAnsi="Calibri" w:cs="Calibri"/>
          <w:sz w:val="22"/>
          <w:szCs w:val="22"/>
        </w:rPr>
      </w:pPr>
      <w:r w:rsidRPr="005342BB">
        <w:rPr>
          <w:rFonts w:ascii="Calibri" w:hAnsi="Calibri" w:cs="Calibri"/>
          <w:sz w:val="22"/>
          <w:szCs w:val="22"/>
        </w:rPr>
        <w:t>Survey</w:t>
      </w:r>
      <w:r w:rsidRPr="005342BB" w:rsidR="00B04B3F">
        <w:rPr>
          <w:rFonts w:ascii="Calibri" w:hAnsi="Calibri" w:cs="Calibri"/>
          <w:sz w:val="22"/>
          <w:szCs w:val="22"/>
        </w:rPr>
        <w:t xml:space="preserve"> staff </w:t>
      </w:r>
      <w:r w:rsidRPr="005342BB" w:rsidR="00221647">
        <w:rPr>
          <w:rFonts w:ascii="Calibri" w:hAnsi="Calibri" w:cs="Calibri"/>
          <w:sz w:val="22"/>
          <w:szCs w:val="22"/>
        </w:rPr>
        <w:t xml:space="preserve">worked closely with participating schools to coordinate data collection. </w:t>
      </w:r>
      <w:r w:rsidRPr="005342BB" w:rsidR="009D14BB">
        <w:rPr>
          <w:rFonts w:ascii="Calibri" w:hAnsi="Calibri" w:cs="Calibri"/>
          <w:sz w:val="22"/>
          <w:szCs w:val="22"/>
        </w:rPr>
        <w:t xml:space="preserve">The follow-up surveys were </w:t>
      </w:r>
      <w:r w:rsidRPr="005342BB" w:rsidR="00A10A33">
        <w:rPr>
          <w:rFonts w:ascii="Calibri" w:hAnsi="Calibri" w:cs="Calibri"/>
          <w:sz w:val="22"/>
          <w:szCs w:val="22"/>
        </w:rPr>
        <w:t>administered</w:t>
      </w:r>
      <w:r w:rsidRPr="005342BB" w:rsidR="00B83044">
        <w:rPr>
          <w:rFonts w:ascii="Calibri" w:hAnsi="Calibri" w:cs="Calibri"/>
          <w:sz w:val="22"/>
          <w:szCs w:val="22"/>
        </w:rPr>
        <w:t xml:space="preserve"> to students in </w:t>
      </w:r>
      <w:r w:rsidRPr="005342BB" w:rsidR="00B04B3F">
        <w:rPr>
          <w:rFonts w:ascii="Calibri" w:hAnsi="Calibri" w:cs="Calibri"/>
          <w:sz w:val="22"/>
          <w:szCs w:val="22"/>
        </w:rPr>
        <w:t>a classroom setting</w:t>
      </w:r>
      <w:r w:rsidRPr="005342BB" w:rsidR="009E0D07">
        <w:rPr>
          <w:rFonts w:ascii="Calibri" w:hAnsi="Calibri" w:cs="Calibri"/>
          <w:sz w:val="22"/>
          <w:szCs w:val="22"/>
        </w:rPr>
        <w:t xml:space="preserve"> whenever possible</w:t>
      </w:r>
      <w:r w:rsidRPr="005342BB" w:rsidR="00B04B3F">
        <w:rPr>
          <w:rFonts w:ascii="Calibri" w:hAnsi="Calibri" w:cs="Calibri"/>
          <w:sz w:val="22"/>
          <w:szCs w:val="22"/>
        </w:rPr>
        <w:t>.</w:t>
      </w:r>
      <w:r w:rsidRPr="005342BB" w:rsidR="009E0D07">
        <w:rPr>
          <w:rFonts w:ascii="Calibri" w:hAnsi="Calibri" w:cs="Calibri"/>
          <w:sz w:val="22"/>
          <w:szCs w:val="22"/>
        </w:rPr>
        <w:t xml:space="preserve"> </w:t>
      </w:r>
      <w:r w:rsidRPr="005342BB" w:rsidR="0026627A">
        <w:rPr>
          <w:rFonts w:ascii="Calibri" w:hAnsi="Calibri" w:cs="Calibri"/>
          <w:sz w:val="22"/>
          <w:szCs w:val="22"/>
        </w:rPr>
        <w:t>Opportunities to administer the survey</w:t>
      </w:r>
      <w:r w:rsidRPr="005342BB" w:rsidR="009E0D07">
        <w:rPr>
          <w:rFonts w:ascii="Calibri" w:hAnsi="Calibri" w:cs="Calibri"/>
          <w:sz w:val="22"/>
          <w:szCs w:val="22"/>
        </w:rPr>
        <w:t xml:space="preserve"> were scheduled on different days to </w:t>
      </w:r>
      <w:r w:rsidRPr="005342BB" w:rsidR="00D94124">
        <w:rPr>
          <w:rFonts w:ascii="Calibri" w:hAnsi="Calibri" w:cs="Calibri"/>
          <w:sz w:val="22"/>
          <w:szCs w:val="22"/>
        </w:rPr>
        <w:t>account for absences</w:t>
      </w:r>
      <w:r w:rsidRPr="005342BB" w:rsidR="005A384E">
        <w:rPr>
          <w:rFonts w:ascii="Calibri" w:hAnsi="Calibri" w:cs="Calibri"/>
          <w:sz w:val="22"/>
          <w:szCs w:val="22"/>
        </w:rPr>
        <w:t>. Participants who did not complete in school were contacted at home v</w:t>
      </w:r>
      <w:r w:rsidRPr="005342BB" w:rsidR="00A76704">
        <w:rPr>
          <w:rFonts w:ascii="Calibri" w:hAnsi="Calibri" w:cs="Calibri"/>
          <w:sz w:val="22"/>
          <w:szCs w:val="22"/>
        </w:rPr>
        <w:t>ia telephone.</w:t>
      </w:r>
      <w:r w:rsidRPr="005342BB" w:rsidR="00B04B3F">
        <w:rPr>
          <w:rFonts w:ascii="Calibri" w:hAnsi="Calibri" w:cs="Calibri"/>
          <w:sz w:val="22"/>
          <w:szCs w:val="22"/>
        </w:rPr>
        <w:t xml:space="preserve"> </w:t>
      </w:r>
    </w:p>
    <w:p w:rsidRPr="005342BB" w:rsidR="009D14BB" w:rsidP="005342BB" w:rsidRDefault="009D14BB" w14:paraId="073DB50B" w14:textId="2E38345E">
      <w:pPr>
        <w:pStyle w:val="ListBullet"/>
        <w:rPr>
          <w:rFonts w:ascii="Calibri" w:hAnsi="Calibri" w:cs="Calibri"/>
          <w:sz w:val="22"/>
          <w:szCs w:val="22"/>
        </w:rPr>
      </w:pPr>
      <w:r w:rsidRPr="005342BB">
        <w:rPr>
          <w:rFonts w:ascii="Calibri" w:hAnsi="Calibri" w:cs="Calibri"/>
          <w:sz w:val="22"/>
          <w:szCs w:val="22"/>
        </w:rPr>
        <w:t xml:space="preserve">Survey outreach used multiple channels and multiple contact attempts. Prior to attempted telephone contact, all participants were notified about the data collection through an advance letter. Participants who provided an email address were sent email messages </w:t>
      </w:r>
      <w:r w:rsidRPr="005342BB" w:rsidR="004202A4">
        <w:rPr>
          <w:rFonts w:ascii="Calibri" w:hAnsi="Calibri" w:cs="Calibri"/>
          <w:sz w:val="22"/>
          <w:szCs w:val="22"/>
        </w:rPr>
        <w:t>asking them to call a toll fr</w:t>
      </w:r>
      <w:r w:rsidRPr="005342BB" w:rsidR="001A063D">
        <w:rPr>
          <w:rFonts w:ascii="Calibri" w:hAnsi="Calibri" w:cs="Calibri"/>
          <w:sz w:val="22"/>
          <w:szCs w:val="22"/>
        </w:rPr>
        <w:t>ee number</w:t>
      </w:r>
      <w:r w:rsidRPr="005342BB">
        <w:rPr>
          <w:rFonts w:ascii="Calibri" w:hAnsi="Calibri" w:cs="Calibri"/>
          <w:sz w:val="22"/>
          <w:szCs w:val="22"/>
        </w:rPr>
        <w:t xml:space="preserve">. </w:t>
      </w:r>
    </w:p>
    <w:p w:rsidRPr="005342BB" w:rsidR="009D14BB" w:rsidP="005342BB" w:rsidRDefault="009D14BB" w14:paraId="65572BDA" w14:textId="77777777">
      <w:pPr>
        <w:pStyle w:val="ListBullet"/>
        <w:rPr>
          <w:rFonts w:ascii="Calibri" w:hAnsi="Calibri" w:cs="Calibri"/>
          <w:sz w:val="22"/>
          <w:szCs w:val="22"/>
        </w:rPr>
      </w:pPr>
      <w:r w:rsidRPr="005342BB">
        <w:rPr>
          <w:rFonts w:ascii="Calibri" w:hAnsi="Calibri" w:cs="Calibri"/>
          <w:sz w:val="22"/>
          <w:szCs w:val="22"/>
        </w:rPr>
        <w:t>Nonresponding participants received multiple telephone calls over several weeks on different days and at different times asking them to complete the survey.</w:t>
      </w:r>
    </w:p>
    <w:p w:rsidRPr="005342BB" w:rsidR="009D14BB" w:rsidP="005342BB" w:rsidRDefault="009D14BB" w14:paraId="5C3A47A0" w14:textId="75438DBF">
      <w:pPr>
        <w:pStyle w:val="ListBullet"/>
        <w:rPr>
          <w:rFonts w:ascii="Calibri" w:hAnsi="Calibri" w:cs="Calibri"/>
          <w:sz w:val="22"/>
          <w:szCs w:val="22"/>
        </w:rPr>
      </w:pPr>
      <w:r w:rsidRPr="005342BB">
        <w:rPr>
          <w:rFonts w:ascii="Calibri" w:hAnsi="Calibri" w:cs="Calibri"/>
          <w:sz w:val="22"/>
          <w:szCs w:val="22"/>
        </w:rPr>
        <w:t>Non-working telephone numbers or those that did not result in contact were subject to locating</w:t>
      </w:r>
      <w:r w:rsidRPr="005342BB" w:rsidR="00DC753C">
        <w:rPr>
          <w:rFonts w:ascii="Calibri" w:hAnsi="Calibri" w:cs="Calibri"/>
          <w:sz w:val="22"/>
          <w:szCs w:val="22"/>
        </w:rPr>
        <w:t>.</w:t>
      </w:r>
    </w:p>
    <w:p w:rsidRPr="005342BB" w:rsidR="009D14BB" w:rsidP="005342BB" w:rsidRDefault="009D14BB" w14:paraId="42DAA183" w14:textId="44323C4B">
      <w:pPr>
        <w:pStyle w:val="ListBullet"/>
        <w:rPr>
          <w:rFonts w:ascii="Calibri" w:hAnsi="Calibri" w:cs="Calibri"/>
          <w:sz w:val="22"/>
          <w:szCs w:val="22"/>
        </w:rPr>
      </w:pPr>
      <w:r w:rsidRPr="005342BB">
        <w:rPr>
          <w:rFonts w:ascii="Calibri" w:hAnsi="Calibri" w:cs="Calibri"/>
          <w:sz w:val="22"/>
          <w:szCs w:val="22"/>
        </w:rPr>
        <w:t>A specialized letter was sent to participants who ma</w:t>
      </w:r>
      <w:r w:rsidR="00DA1E37">
        <w:rPr>
          <w:rFonts w:ascii="Calibri" w:hAnsi="Calibri" w:cs="Calibri"/>
          <w:sz w:val="22"/>
          <w:szCs w:val="22"/>
        </w:rPr>
        <w:t>d</w:t>
      </w:r>
      <w:r w:rsidRPr="005342BB">
        <w:rPr>
          <w:rFonts w:ascii="Calibri" w:hAnsi="Calibri" w:cs="Calibri"/>
          <w:sz w:val="22"/>
          <w:szCs w:val="22"/>
        </w:rPr>
        <w:t xml:space="preserve">e non-adamant refusals, followed by contact from a specially-trained and experienced telephone interviewer. </w:t>
      </w:r>
    </w:p>
    <w:p w:rsidRPr="003F7475" w:rsidR="009D14BB" w:rsidP="003F7475" w:rsidRDefault="009D14BB" w14:paraId="5872F701" w14:textId="632E8B36">
      <w:pPr>
        <w:pStyle w:val="ListBullet"/>
        <w:spacing w:before="0" w:after="0"/>
        <w:rPr>
          <w:rFonts w:ascii="Calibri" w:hAnsi="Calibri" w:cs="Calibri"/>
          <w:b/>
          <w:bCs/>
          <w:sz w:val="22"/>
          <w:szCs w:val="22"/>
          <w:u w:val="single"/>
        </w:rPr>
      </w:pPr>
      <w:r w:rsidRPr="005342BB">
        <w:rPr>
          <w:rFonts w:ascii="Calibri" w:hAnsi="Calibri" w:cs="Calibri"/>
          <w:sz w:val="22"/>
          <w:szCs w:val="22"/>
        </w:rPr>
        <w:t xml:space="preserve">If the participants could not be contacted by telephone, field locators made in-person contact with them and provided them with a cell phone to complete the survey with a telephone interviewer. </w:t>
      </w:r>
    </w:p>
    <w:p w:rsidRPr="005342BB" w:rsidR="00DA1E37" w:rsidP="003F7475" w:rsidRDefault="00DA1E37" w14:paraId="0B9F9061" w14:textId="77777777">
      <w:pPr>
        <w:pStyle w:val="ListBullet"/>
        <w:numPr>
          <w:ilvl w:val="0"/>
          <w:numId w:val="0"/>
        </w:numPr>
        <w:spacing w:before="0" w:after="0"/>
        <w:ind w:left="720"/>
        <w:rPr>
          <w:rFonts w:ascii="Calibri" w:hAnsi="Calibri" w:cs="Calibri"/>
          <w:b/>
          <w:bCs/>
          <w:sz w:val="22"/>
          <w:szCs w:val="22"/>
          <w:u w:val="single"/>
        </w:rPr>
      </w:pPr>
    </w:p>
    <w:p w:rsidRPr="00222EEC" w:rsidR="00806B60" w:rsidP="005342BB" w:rsidRDefault="00806B60" w14:paraId="521D6F2E" w14:textId="01A7214E">
      <w:pPr>
        <w:pStyle w:val="Paragraph"/>
        <w:spacing w:after="120"/>
        <w:rPr>
          <w:rFonts w:ascii="Calibri" w:hAnsi="Calibri" w:cs="Calibri"/>
          <w:bCs/>
          <w:i/>
          <w:sz w:val="22"/>
          <w:szCs w:val="22"/>
        </w:rPr>
      </w:pPr>
      <w:r w:rsidRPr="00222EEC">
        <w:rPr>
          <w:rFonts w:ascii="Calibri" w:hAnsi="Calibri" w:cs="Calibri"/>
          <w:bCs/>
          <w:i/>
          <w:sz w:val="22"/>
          <w:szCs w:val="22"/>
        </w:rPr>
        <w:t>Additional Mitigation</w:t>
      </w:r>
    </w:p>
    <w:p w:rsidRPr="005342BB" w:rsidR="00806B60" w:rsidP="003F7475" w:rsidRDefault="00806B60" w14:paraId="78B57431" w14:textId="5BDE9C3A">
      <w:pPr>
        <w:pStyle w:val="Paragraph"/>
        <w:spacing w:after="120"/>
        <w:rPr>
          <w:rFonts w:ascii="Calibri" w:hAnsi="Calibri" w:cs="Calibri"/>
          <w:sz w:val="22"/>
          <w:szCs w:val="22"/>
        </w:rPr>
      </w:pPr>
      <w:r w:rsidRPr="005342BB">
        <w:rPr>
          <w:rFonts w:ascii="Calibri" w:hAnsi="Calibri" w:cs="Calibri"/>
          <w:sz w:val="22"/>
          <w:szCs w:val="22"/>
        </w:rPr>
        <w:t xml:space="preserve">As it became apparent that </w:t>
      </w:r>
      <w:r w:rsidRPr="005342BB" w:rsidR="00146297">
        <w:rPr>
          <w:rFonts w:ascii="Calibri" w:hAnsi="Calibri" w:cs="Calibri"/>
          <w:sz w:val="22"/>
          <w:szCs w:val="22"/>
        </w:rPr>
        <w:t>survey production</w:t>
      </w:r>
      <w:r w:rsidRPr="005342BB">
        <w:rPr>
          <w:rFonts w:ascii="Calibri" w:hAnsi="Calibri" w:cs="Calibri"/>
          <w:sz w:val="22"/>
          <w:szCs w:val="22"/>
        </w:rPr>
        <w:t xml:space="preserve"> in the </w:t>
      </w:r>
      <w:r w:rsidRPr="005342BB" w:rsidR="00A40F25">
        <w:rPr>
          <w:rFonts w:ascii="Calibri" w:hAnsi="Calibri" w:cs="Calibri"/>
          <w:sz w:val="22"/>
          <w:szCs w:val="22"/>
        </w:rPr>
        <w:t>two</w:t>
      </w:r>
      <w:r w:rsidRPr="005342BB">
        <w:rPr>
          <w:rFonts w:ascii="Calibri" w:hAnsi="Calibri" w:cs="Calibri"/>
          <w:sz w:val="22"/>
          <w:szCs w:val="22"/>
        </w:rPr>
        <w:t xml:space="preserve"> affected sites </w:t>
      </w:r>
      <w:r w:rsidRPr="005342BB" w:rsidR="00146297">
        <w:rPr>
          <w:rFonts w:ascii="Calibri" w:hAnsi="Calibri" w:cs="Calibri"/>
          <w:sz w:val="22"/>
          <w:szCs w:val="22"/>
        </w:rPr>
        <w:t xml:space="preserve">would likely be </w:t>
      </w:r>
      <w:r w:rsidRPr="005342BB" w:rsidR="00260DCF">
        <w:rPr>
          <w:rFonts w:ascii="Calibri" w:hAnsi="Calibri" w:cs="Calibri"/>
          <w:sz w:val="22"/>
          <w:szCs w:val="22"/>
        </w:rPr>
        <w:t>insufficient</w:t>
      </w:r>
      <w:r w:rsidRPr="005342BB">
        <w:rPr>
          <w:rFonts w:ascii="Calibri" w:hAnsi="Calibri" w:cs="Calibri"/>
          <w:sz w:val="22"/>
          <w:szCs w:val="22"/>
        </w:rPr>
        <w:t xml:space="preserve">, </w:t>
      </w:r>
      <w:r w:rsidRPr="005342BB" w:rsidR="00146297">
        <w:rPr>
          <w:rFonts w:ascii="Calibri" w:hAnsi="Calibri" w:cs="Calibri"/>
          <w:sz w:val="22"/>
          <w:szCs w:val="22"/>
        </w:rPr>
        <w:t xml:space="preserve">the contractor took </w:t>
      </w:r>
      <w:r w:rsidRPr="005342BB">
        <w:rPr>
          <w:rFonts w:ascii="Calibri" w:hAnsi="Calibri" w:cs="Calibri"/>
          <w:sz w:val="22"/>
          <w:szCs w:val="22"/>
        </w:rPr>
        <w:t xml:space="preserve">additional steps to </w:t>
      </w:r>
      <w:r w:rsidRPr="005342BB" w:rsidR="00146297">
        <w:rPr>
          <w:rFonts w:ascii="Calibri" w:hAnsi="Calibri" w:cs="Calibri"/>
          <w:sz w:val="22"/>
          <w:szCs w:val="22"/>
        </w:rPr>
        <w:t>address non-response</w:t>
      </w:r>
      <w:r w:rsidRPr="005342BB">
        <w:rPr>
          <w:rFonts w:ascii="Calibri" w:hAnsi="Calibri" w:cs="Calibri"/>
          <w:sz w:val="22"/>
          <w:szCs w:val="22"/>
        </w:rPr>
        <w:t xml:space="preserve"> in these sites. </w:t>
      </w:r>
    </w:p>
    <w:p w:rsidRPr="005342BB" w:rsidR="00806B60" w:rsidP="005342BB" w:rsidRDefault="00806B60" w14:paraId="643783A5" w14:textId="4CE952DD">
      <w:pPr>
        <w:pStyle w:val="ListBullet"/>
        <w:rPr>
          <w:rFonts w:ascii="Calibri" w:hAnsi="Calibri" w:cs="Calibri"/>
          <w:sz w:val="22"/>
          <w:szCs w:val="22"/>
        </w:rPr>
      </w:pPr>
      <w:r w:rsidRPr="005342BB">
        <w:rPr>
          <w:rFonts w:ascii="Calibri" w:hAnsi="Calibri" w:cs="Calibri"/>
          <w:sz w:val="22"/>
          <w:szCs w:val="22"/>
        </w:rPr>
        <w:t xml:space="preserve">The survey fielding period </w:t>
      </w:r>
      <w:r w:rsidRPr="005342BB" w:rsidR="001642EC">
        <w:rPr>
          <w:rFonts w:ascii="Calibri" w:hAnsi="Calibri" w:cs="Calibri"/>
          <w:sz w:val="22"/>
          <w:szCs w:val="22"/>
        </w:rPr>
        <w:t xml:space="preserve">was </w:t>
      </w:r>
      <w:r w:rsidRPr="005342BB" w:rsidR="00775AFA">
        <w:rPr>
          <w:rFonts w:ascii="Calibri" w:hAnsi="Calibri" w:cs="Calibri"/>
          <w:sz w:val="22"/>
          <w:szCs w:val="22"/>
        </w:rPr>
        <w:t>lengthened</w:t>
      </w:r>
      <w:r w:rsidRPr="005342BB">
        <w:rPr>
          <w:rFonts w:ascii="Calibri" w:hAnsi="Calibri" w:cs="Calibri"/>
          <w:sz w:val="22"/>
          <w:szCs w:val="22"/>
        </w:rPr>
        <w:t xml:space="preserve"> to provide additional time to locate</w:t>
      </w:r>
      <w:r w:rsidRPr="005342BB" w:rsidR="001642EC">
        <w:rPr>
          <w:rFonts w:ascii="Calibri" w:hAnsi="Calibri" w:cs="Calibri"/>
          <w:sz w:val="22"/>
          <w:szCs w:val="22"/>
        </w:rPr>
        <w:t xml:space="preserve"> participants</w:t>
      </w:r>
      <w:r w:rsidRPr="005342BB">
        <w:rPr>
          <w:rFonts w:ascii="Calibri" w:hAnsi="Calibri" w:cs="Calibri"/>
          <w:sz w:val="22"/>
          <w:szCs w:val="22"/>
        </w:rPr>
        <w:t xml:space="preserve"> and complete surveys. </w:t>
      </w:r>
    </w:p>
    <w:p w:rsidR="004D662C" w:rsidP="003F7475" w:rsidRDefault="004D662C" w14:paraId="247927FB" w14:textId="59169765">
      <w:pPr>
        <w:pStyle w:val="ListBullet"/>
        <w:spacing w:before="0" w:after="0"/>
        <w:rPr>
          <w:rFonts w:ascii="Calibri" w:hAnsi="Calibri" w:cs="Calibri"/>
          <w:sz w:val="22"/>
          <w:szCs w:val="22"/>
        </w:rPr>
      </w:pPr>
      <w:r w:rsidRPr="005342BB">
        <w:rPr>
          <w:rFonts w:ascii="Calibri" w:hAnsi="Calibri" w:cs="Calibri"/>
          <w:sz w:val="22"/>
          <w:szCs w:val="22"/>
        </w:rPr>
        <w:t>Site staff began providing updated participant contact information for nonresponding sample members.</w:t>
      </w:r>
    </w:p>
    <w:p w:rsidRPr="005342BB" w:rsidR="00DA1E37" w:rsidP="003F7475" w:rsidRDefault="00DA1E37" w14:paraId="52BAE9AA" w14:textId="77777777">
      <w:pPr>
        <w:pStyle w:val="ListBullet"/>
        <w:numPr>
          <w:ilvl w:val="0"/>
          <w:numId w:val="0"/>
        </w:numPr>
        <w:spacing w:before="0" w:after="0"/>
        <w:ind w:left="720"/>
        <w:rPr>
          <w:rFonts w:ascii="Calibri" w:hAnsi="Calibri" w:cs="Calibri"/>
          <w:sz w:val="22"/>
          <w:szCs w:val="22"/>
        </w:rPr>
      </w:pPr>
    </w:p>
    <w:p w:rsidRPr="005342BB" w:rsidR="005342BB" w:rsidP="003F7475" w:rsidRDefault="00EF5C7A" w14:paraId="6C05DB11" w14:textId="77777777">
      <w:pPr>
        <w:pStyle w:val="Paragraph"/>
        <w:spacing w:after="120"/>
        <w:rPr>
          <w:rFonts w:ascii="Calibri" w:hAnsi="Calibri" w:cs="Calibri"/>
          <w:b/>
          <w:sz w:val="22"/>
          <w:szCs w:val="22"/>
          <w:u w:val="single"/>
        </w:rPr>
      </w:pPr>
      <w:r w:rsidRPr="005342BB">
        <w:rPr>
          <w:rFonts w:ascii="Calibri" w:hAnsi="Calibri" w:cs="Calibri"/>
          <w:b/>
          <w:sz w:val="22"/>
          <w:szCs w:val="22"/>
          <w:u w:val="single"/>
        </w:rPr>
        <w:t>Plans for Future Mitigation</w:t>
      </w:r>
    </w:p>
    <w:p w:rsidRPr="005342BB" w:rsidR="00806B60" w:rsidP="003F7475" w:rsidRDefault="00806B60" w14:paraId="6915734F" w14:textId="0075034C">
      <w:pPr>
        <w:pStyle w:val="ListBullet"/>
        <w:spacing w:before="0"/>
        <w:rPr>
          <w:rFonts w:ascii="Calibri" w:hAnsi="Calibri" w:cs="Calibri"/>
          <w:sz w:val="22"/>
          <w:szCs w:val="22"/>
        </w:rPr>
      </w:pPr>
      <w:r w:rsidRPr="005342BB">
        <w:rPr>
          <w:rFonts w:ascii="Calibri" w:hAnsi="Calibri" w:cs="Calibri"/>
          <w:sz w:val="22"/>
          <w:szCs w:val="22"/>
        </w:rPr>
        <w:t>(</w:t>
      </w:r>
      <w:r w:rsidRPr="005342BB">
        <w:rPr>
          <w:rFonts w:ascii="Calibri" w:hAnsi="Calibri" w:cs="Calibri"/>
          <w:b/>
          <w:sz w:val="22"/>
          <w:szCs w:val="22"/>
        </w:rPr>
        <w:t>The subject of this request</w:t>
      </w:r>
      <w:r w:rsidRPr="005342BB">
        <w:rPr>
          <w:rFonts w:ascii="Calibri" w:hAnsi="Calibri" w:cs="Calibri"/>
          <w:sz w:val="22"/>
          <w:szCs w:val="22"/>
        </w:rPr>
        <w:t xml:space="preserve">) ACF requests </w:t>
      </w:r>
      <w:r w:rsidRPr="005342BB" w:rsidR="003D1703">
        <w:rPr>
          <w:rFonts w:ascii="Calibri" w:hAnsi="Calibri" w:cs="Calibri"/>
          <w:sz w:val="22"/>
          <w:szCs w:val="22"/>
        </w:rPr>
        <w:t>a change to</w:t>
      </w:r>
      <w:r w:rsidRPr="005342BB" w:rsidR="00146297">
        <w:rPr>
          <w:rFonts w:ascii="Calibri" w:hAnsi="Calibri" w:cs="Calibri"/>
          <w:sz w:val="22"/>
          <w:szCs w:val="22"/>
        </w:rPr>
        <w:t xml:space="preserve"> the </w:t>
      </w:r>
      <w:r w:rsidRPr="005342BB">
        <w:rPr>
          <w:rFonts w:ascii="Calibri" w:hAnsi="Calibri" w:cs="Calibri"/>
          <w:sz w:val="22"/>
          <w:szCs w:val="22"/>
        </w:rPr>
        <w:t xml:space="preserve">survey incentive amount </w:t>
      </w:r>
      <w:r w:rsidRPr="005342BB" w:rsidR="00146297">
        <w:rPr>
          <w:rFonts w:ascii="Calibri" w:hAnsi="Calibri" w:cs="Calibri"/>
          <w:sz w:val="22"/>
          <w:szCs w:val="22"/>
        </w:rPr>
        <w:t xml:space="preserve">in </w:t>
      </w:r>
      <w:r w:rsidRPr="005342BB" w:rsidR="00E02A10">
        <w:rPr>
          <w:rFonts w:ascii="Calibri" w:hAnsi="Calibri" w:cs="Calibri"/>
          <w:sz w:val="22"/>
          <w:szCs w:val="22"/>
        </w:rPr>
        <w:t>two</w:t>
      </w:r>
      <w:r w:rsidRPr="005342BB" w:rsidR="00146297">
        <w:rPr>
          <w:rFonts w:ascii="Calibri" w:hAnsi="Calibri" w:cs="Calibri"/>
          <w:sz w:val="22"/>
          <w:szCs w:val="22"/>
        </w:rPr>
        <w:t xml:space="preserve"> sites.</w:t>
      </w:r>
    </w:p>
    <w:p w:rsidRPr="005342BB" w:rsidR="00260DCF" w:rsidP="005342BB" w:rsidRDefault="00260DCF" w14:paraId="0ABF0E5D" w14:textId="4D3C83C5">
      <w:pPr>
        <w:pStyle w:val="ListBullet"/>
        <w:rPr>
          <w:rFonts w:ascii="Calibri" w:hAnsi="Calibri" w:cs="Calibri"/>
          <w:sz w:val="22"/>
          <w:szCs w:val="22"/>
        </w:rPr>
      </w:pPr>
      <w:r w:rsidRPr="005342BB">
        <w:rPr>
          <w:rFonts w:ascii="Calibri" w:hAnsi="Calibri" w:cs="Calibri"/>
          <w:sz w:val="22"/>
          <w:szCs w:val="22"/>
        </w:rPr>
        <w:t>Site staff will continue to provide updated participant contact information for nonresponding sample members.</w:t>
      </w:r>
    </w:p>
    <w:p w:rsidRPr="005342BB" w:rsidR="0002391A" w:rsidP="005342BB" w:rsidRDefault="00FA4475" w14:paraId="0EEC5304" w14:textId="08C41501">
      <w:pPr>
        <w:pStyle w:val="ListBullet"/>
        <w:rPr>
          <w:rFonts w:ascii="Calibri" w:hAnsi="Calibri" w:cs="Calibri"/>
          <w:sz w:val="22"/>
          <w:szCs w:val="22"/>
        </w:rPr>
      </w:pPr>
      <w:r w:rsidRPr="005342BB">
        <w:rPr>
          <w:rFonts w:ascii="Calibri" w:hAnsi="Calibri" w:cs="Calibri"/>
          <w:sz w:val="22"/>
          <w:szCs w:val="22"/>
        </w:rPr>
        <w:t xml:space="preserve">For </w:t>
      </w:r>
      <w:r w:rsidRPr="005342BB" w:rsidR="00E27F86">
        <w:rPr>
          <w:rFonts w:ascii="Calibri" w:hAnsi="Calibri" w:cs="Calibri"/>
          <w:sz w:val="22"/>
          <w:szCs w:val="22"/>
        </w:rPr>
        <w:t>MTCI</w:t>
      </w:r>
      <w:r w:rsidRPr="005342BB">
        <w:rPr>
          <w:rFonts w:ascii="Calibri" w:hAnsi="Calibri" w:cs="Calibri"/>
          <w:sz w:val="22"/>
          <w:szCs w:val="22"/>
        </w:rPr>
        <w:t xml:space="preserve">, contractor staff will begin direct messaging </w:t>
      </w:r>
      <w:r w:rsidRPr="005342BB" w:rsidR="00765B29">
        <w:rPr>
          <w:rFonts w:ascii="Calibri" w:hAnsi="Calibri" w:cs="Calibri"/>
          <w:sz w:val="22"/>
          <w:szCs w:val="22"/>
        </w:rPr>
        <w:t xml:space="preserve">via Instagram </w:t>
      </w:r>
      <w:r w:rsidRPr="005342BB" w:rsidR="00D302D6">
        <w:rPr>
          <w:rFonts w:ascii="Calibri" w:hAnsi="Calibri" w:cs="Calibri"/>
          <w:sz w:val="22"/>
          <w:szCs w:val="22"/>
        </w:rPr>
        <w:t xml:space="preserve">to participants who provided consent and </w:t>
      </w:r>
      <w:r w:rsidRPr="005342BB" w:rsidR="002A2446">
        <w:rPr>
          <w:rFonts w:ascii="Calibri" w:hAnsi="Calibri" w:cs="Calibri"/>
          <w:sz w:val="22"/>
          <w:szCs w:val="22"/>
        </w:rPr>
        <w:t>I</w:t>
      </w:r>
      <w:r w:rsidRPr="005342BB" w:rsidR="00D302D6">
        <w:rPr>
          <w:rFonts w:ascii="Calibri" w:hAnsi="Calibri" w:cs="Calibri"/>
          <w:sz w:val="22"/>
          <w:szCs w:val="22"/>
        </w:rPr>
        <w:t>nstagram user information.</w:t>
      </w:r>
      <w:r w:rsidRPr="005342BB" w:rsidR="00C476F6">
        <w:rPr>
          <w:rFonts w:ascii="Calibri" w:hAnsi="Calibri" w:cs="Calibri"/>
          <w:sz w:val="22"/>
          <w:szCs w:val="22"/>
        </w:rPr>
        <w:t xml:space="preserve"> No participants will be allowed to follow </w:t>
      </w:r>
      <w:r w:rsidRPr="005342BB" w:rsidR="002A2446">
        <w:rPr>
          <w:rFonts w:ascii="Calibri" w:hAnsi="Calibri" w:cs="Calibri"/>
          <w:sz w:val="22"/>
          <w:szCs w:val="22"/>
        </w:rPr>
        <w:t>the contractor</w:t>
      </w:r>
      <w:r w:rsidRPr="005342BB" w:rsidR="00E27F86">
        <w:rPr>
          <w:rFonts w:ascii="Calibri" w:hAnsi="Calibri" w:cs="Calibri"/>
          <w:sz w:val="22"/>
          <w:szCs w:val="22"/>
        </w:rPr>
        <w:t>’</w:t>
      </w:r>
      <w:r w:rsidRPr="005342BB" w:rsidR="002A2446">
        <w:rPr>
          <w:rFonts w:ascii="Calibri" w:hAnsi="Calibri" w:cs="Calibri"/>
          <w:sz w:val="22"/>
          <w:szCs w:val="22"/>
        </w:rPr>
        <w:t>s account, in order to protect participants privacy.</w:t>
      </w:r>
    </w:p>
    <w:p w:rsidR="005342BB" w:rsidP="00210B8E" w:rsidRDefault="00376059" w14:paraId="1B1E0B52" w14:textId="563FE735">
      <w:pPr>
        <w:pStyle w:val="ListBullet"/>
        <w:spacing w:before="0"/>
        <w:rPr>
          <w:rFonts w:ascii="Calibri" w:hAnsi="Calibri" w:cs="Calibri"/>
          <w:sz w:val="22"/>
          <w:szCs w:val="22"/>
        </w:rPr>
      </w:pPr>
      <w:r w:rsidRPr="005342BB">
        <w:rPr>
          <w:rFonts w:ascii="Calibri" w:hAnsi="Calibri" w:cs="Calibri"/>
          <w:sz w:val="22"/>
          <w:szCs w:val="22"/>
        </w:rPr>
        <w:lastRenderedPageBreak/>
        <w:t>As described in Supp</w:t>
      </w:r>
      <w:r w:rsidR="00DA1E37">
        <w:rPr>
          <w:rFonts w:ascii="Calibri" w:hAnsi="Calibri" w:cs="Calibri"/>
          <w:sz w:val="22"/>
          <w:szCs w:val="22"/>
        </w:rPr>
        <w:t>orting</w:t>
      </w:r>
      <w:r w:rsidRPr="005342BB">
        <w:rPr>
          <w:rFonts w:ascii="Calibri" w:hAnsi="Calibri" w:cs="Calibri"/>
          <w:sz w:val="22"/>
          <w:szCs w:val="22"/>
        </w:rPr>
        <w:t xml:space="preserve"> Statement B of the OMB package approved in </w:t>
      </w:r>
      <w:r w:rsidRPr="005342BB" w:rsidR="00EE4604">
        <w:rPr>
          <w:rFonts w:ascii="Calibri" w:hAnsi="Calibri" w:cs="Calibri"/>
          <w:sz w:val="22"/>
          <w:szCs w:val="22"/>
        </w:rPr>
        <w:t>April</w:t>
      </w:r>
      <w:r w:rsidRPr="005342BB">
        <w:rPr>
          <w:rFonts w:ascii="Calibri" w:hAnsi="Calibri" w:cs="Calibri"/>
          <w:sz w:val="22"/>
          <w:szCs w:val="22"/>
        </w:rPr>
        <w:t xml:space="preserve"> 201</w:t>
      </w:r>
      <w:r w:rsidRPr="005342BB" w:rsidR="00EE4604">
        <w:rPr>
          <w:rFonts w:ascii="Calibri" w:hAnsi="Calibri" w:cs="Calibri"/>
          <w:sz w:val="22"/>
          <w:szCs w:val="22"/>
        </w:rPr>
        <w:t>9</w:t>
      </w:r>
      <w:r w:rsidRPr="005342BB">
        <w:rPr>
          <w:rFonts w:ascii="Calibri" w:hAnsi="Calibri" w:cs="Calibri"/>
          <w:sz w:val="22"/>
          <w:szCs w:val="22"/>
        </w:rPr>
        <w:t xml:space="preserve">, following the conclusion of data collection, we will use demographic information from the baseline survey to </w:t>
      </w:r>
      <w:r w:rsidRPr="005342BB" w:rsidR="008537F9">
        <w:rPr>
          <w:rFonts w:ascii="Calibri" w:hAnsi="Calibri" w:cs="Calibri"/>
          <w:sz w:val="22"/>
          <w:szCs w:val="22"/>
        </w:rPr>
        <w:t xml:space="preserve">(1) statistically adjust for observed differences between the characteristics of the treatment and control group respondents and (2) </w:t>
      </w:r>
      <w:r w:rsidRPr="005342BB">
        <w:rPr>
          <w:rFonts w:ascii="Calibri" w:hAnsi="Calibri" w:cs="Calibri"/>
          <w:sz w:val="22"/>
          <w:szCs w:val="22"/>
        </w:rPr>
        <w:t xml:space="preserve">produce </w:t>
      </w:r>
      <w:r w:rsidRPr="005342BB" w:rsidR="008537F9">
        <w:rPr>
          <w:rFonts w:ascii="Calibri" w:hAnsi="Calibri" w:cs="Calibri"/>
          <w:sz w:val="22"/>
          <w:szCs w:val="22"/>
        </w:rPr>
        <w:t>sample</w:t>
      </w:r>
      <w:r w:rsidRPr="005342BB">
        <w:rPr>
          <w:rFonts w:ascii="Calibri" w:hAnsi="Calibri" w:cs="Calibri"/>
          <w:sz w:val="22"/>
          <w:szCs w:val="22"/>
        </w:rPr>
        <w:t xml:space="preserve"> weights </w:t>
      </w:r>
      <w:r w:rsidRPr="005342BB" w:rsidR="008537F9">
        <w:rPr>
          <w:rFonts w:ascii="Calibri" w:hAnsi="Calibri" w:cs="Calibri"/>
          <w:sz w:val="22"/>
          <w:szCs w:val="22"/>
        </w:rPr>
        <w:t xml:space="preserve">so </w:t>
      </w:r>
      <w:r w:rsidRPr="005342BB">
        <w:rPr>
          <w:rFonts w:ascii="Calibri" w:hAnsi="Calibri" w:cs="Calibri"/>
          <w:sz w:val="22"/>
          <w:szCs w:val="22"/>
        </w:rPr>
        <w:t>that</w:t>
      </w:r>
      <w:r w:rsidRPr="005342BB" w:rsidR="008537F9">
        <w:rPr>
          <w:rFonts w:ascii="Calibri" w:hAnsi="Calibri" w:cs="Calibri"/>
          <w:sz w:val="22"/>
          <w:szCs w:val="22"/>
        </w:rPr>
        <w:t xml:space="preserve"> the weighted baseline characteristics of the respondents in the treatment and control group are similar to those of the full sample (respondents and </w:t>
      </w:r>
      <w:proofErr w:type="spellStart"/>
      <w:r w:rsidRPr="005342BB" w:rsidR="008537F9">
        <w:rPr>
          <w:rFonts w:ascii="Calibri" w:hAnsi="Calibri" w:cs="Calibri"/>
          <w:sz w:val="22"/>
          <w:szCs w:val="22"/>
        </w:rPr>
        <w:t>nonrespondents</w:t>
      </w:r>
      <w:proofErr w:type="spellEnd"/>
      <w:r w:rsidRPr="005342BB" w:rsidR="008537F9">
        <w:rPr>
          <w:rFonts w:ascii="Calibri" w:hAnsi="Calibri" w:cs="Calibri"/>
          <w:sz w:val="22"/>
          <w:szCs w:val="22"/>
        </w:rPr>
        <w:t>).</w:t>
      </w:r>
    </w:p>
    <w:p w:rsidRPr="005342BB" w:rsidR="00210B8E" w:rsidP="003F7475" w:rsidRDefault="00210B8E" w14:paraId="7FD9562B" w14:textId="77777777">
      <w:pPr>
        <w:pStyle w:val="ListBullet"/>
        <w:numPr>
          <w:ilvl w:val="0"/>
          <w:numId w:val="0"/>
        </w:numPr>
        <w:spacing w:before="0" w:after="0"/>
        <w:ind w:left="720"/>
        <w:rPr>
          <w:rFonts w:ascii="Calibri" w:hAnsi="Calibri" w:cs="Calibri"/>
          <w:sz w:val="22"/>
          <w:szCs w:val="22"/>
        </w:rPr>
      </w:pPr>
    </w:p>
    <w:p w:rsidRPr="005342BB" w:rsidR="006371DF" w:rsidP="003F7475" w:rsidRDefault="005C3B11" w14:paraId="26104117" w14:textId="201BBA5F">
      <w:pPr>
        <w:pStyle w:val="Paragraph"/>
        <w:spacing w:after="120"/>
        <w:rPr>
          <w:rFonts w:ascii="Calibri" w:hAnsi="Calibri" w:cs="Calibri"/>
          <w:b/>
          <w:sz w:val="22"/>
          <w:szCs w:val="22"/>
          <w:u w:val="single"/>
        </w:rPr>
      </w:pPr>
      <w:r w:rsidRPr="005342BB">
        <w:rPr>
          <w:rFonts w:ascii="Calibri" w:hAnsi="Calibri" w:cs="Calibri"/>
          <w:b/>
          <w:sz w:val="22"/>
          <w:szCs w:val="22"/>
          <w:u w:val="single"/>
        </w:rPr>
        <w:t>Proposed Intervention for OIRA Approval</w:t>
      </w:r>
    </w:p>
    <w:p w:rsidRPr="00040796" w:rsidR="00EF206B" w:rsidP="00040796" w:rsidRDefault="00EF206B" w14:paraId="6C511C10" w14:textId="6AEF2625">
      <w:pPr>
        <w:pStyle w:val="Paragraph"/>
        <w:rPr>
          <w:rFonts w:ascii="Calibri" w:hAnsi="Calibri" w:cs="Calibri"/>
          <w:sz w:val="22"/>
          <w:szCs w:val="22"/>
        </w:rPr>
      </w:pPr>
      <w:r w:rsidRPr="00040796">
        <w:rPr>
          <w:rFonts w:ascii="Calibri" w:hAnsi="Calibri" w:cs="Calibri"/>
          <w:sz w:val="22"/>
          <w:szCs w:val="22"/>
        </w:rPr>
        <w:t>W</w:t>
      </w:r>
      <w:r w:rsidRPr="00040796" w:rsidR="003A3852">
        <w:rPr>
          <w:rFonts w:ascii="Calibri" w:hAnsi="Calibri" w:cs="Calibri"/>
          <w:sz w:val="22"/>
          <w:szCs w:val="22"/>
        </w:rPr>
        <w:t xml:space="preserve">e will continue our </w:t>
      </w:r>
      <w:r w:rsidRPr="00040796" w:rsidR="004D662C">
        <w:rPr>
          <w:rFonts w:ascii="Calibri" w:hAnsi="Calibri" w:cs="Calibri"/>
          <w:sz w:val="22"/>
          <w:szCs w:val="22"/>
        </w:rPr>
        <w:t xml:space="preserve">increased </w:t>
      </w:r>
      <w:r w:rsidRPr="00040796" w:rsidR="003A3852">
        <w:rPr>
          <w:rFonts w:ascii="Calibri" w:hAnsi="Calibri" w:cs="Calibri"/>
          <w:sz w:val="22"/>
          <w:szCs w:val="22"/>
        </w:rPr>
        <w:t xml:space="preserve">efforts in tracing and field location, described above.  </w:t>
      </w:r>
    </w:p>
    <w:p w:rsidRPr="00040796" w:rsidR="00EF206B" w:rsidP="00040796" w:rsidRDefault="003A3852" w14:paraId="594F676B" w14:textId="4E5B2540">
      <w:pPr>
        <w:pStyle w:val="Paragraph"/>
        <w:rPr>
          <w:rFonts w:ascii="Calibri" w:hAnsi="Calibri" w:cs="Calibri"/>
          <w:sz w:val="22"/>
          <w:szCs w:val="22"/>
        </w:rPr>
      </w:pPr>
      <w:r w:rsidRPr="00040796">
        <w:rPr>
          <w:rFonts w:ascii="Calibri" w:hAnsi="Calibri" w:cs="Calibri"/>
          <w:sz w:val="22"/>
          <w:szCs w:val="22"/>
        </w:rPr>
        <w:t xml:space="preserve">We </w:t>
      </w:r>
      <w:r w:rsidRPr="00040796" w:rsidR="00DC46DE">
        <w:rPr>
          <w:rFonts w:ascii="Calibri" w:hAnsi="Calibri" w:cs="Calibri"/>
          <w:sz w:val="22"/>
          <w:szCs w:val="22"/>
        </w:rPr>
        <w:t xml:space="preserve">also </w:t>
      </w:r>
      <w:r w:rsidRPr="00040796" w:rsidR="00EF5C7A">
        <w:rPr>
          <w:rFonts w:ascii="Calibri" w:hAnsi="Calibri" w:cs="Calibri"/>
          <w:sz w:val="22"/>
          <w:szCs w:val="22"/>
        </w:rPr>
        <w:t>propose</w:t>
      </w:r>
      <w:r w:rsidRPr="00040796">
        <w:rPr>
          <w:rFonts w:ascii="Calibri" w:hAnsi="Calibri" w:cs="Calibri"/>
          <w:sz w:val="22"/>
          <w:szCs w:val="22"/>
        </w:rPr>
        <w:t xml:space="preserve"> </w:t>
      </w:r>
      <w:r w:rsidRPr="00040796" w:rsidR="00A71D11">
        <w:rPr>
          <w:rFonts w:ascii="Calibri" w:hAnsi="Calibri" w:cs="Calibri"/>
          <w:sz w:val="22"/>
          <w:szCs w:val="22"/>
        </w:rPr>
        <w:t xml:space="preserve">to </w:t>
      </w:r>
      <w:r w:rsidRPr="00040796" w:rsidR="000B3385">
        <w:rPr>
          <w:rFonts w:ascii="Calibri" w:hAnsi="Calibri" w:cs="Calibri"/>
          <w:sz w:val="22"/>
          <w:szCs w:val="22"/>
        </w:rPr>
        <w:t xml:space="preserve">replace the currently-approved $25 incentive with </w:t>
      </w:r>
      <w:r w:rsidRPr="00040796" w:rsidR="00A71D11">
        <w:rPr>
          <w:rFonts w:ascii="Calibri" w:hAnsi="Calibri" w:cs="Calibri"/>
          <w:sz w:val="22"/>
          <w:szCs w:val="22"/>
        </w:rPr>
        <w:t xml:space="preserve">a $50 incentive to all study participants </w:t>
      </w:r>
      <w:r w:rsidRPr="00040796" w:rsidR="00DC46DE">
        <w:rPr>
          <w:rFonts w:ascii="Calibri" w:hAnsi="Calibri" w:cs="Calibri"/>
          <w:sz w:val="22"/>
          <w:szCs w:val="22"/>
        </w:rPr>
        <w:t>completing</w:t>
      </w:r>
      <w:r w:rsidRPr="00040796" w:rsidR="00A71D11">
        <w:rPr>
          <w:rFonts w:ascii="Calibri" w:hAnsi="Calibri" w:cs="Calibri"/>
          <w:sz w:val="22"/>
          <w:szCs w:val="22"/>
        </w:rPr>
        <w:t xml:space="preserve"> a </w:t>
      </w:r>
      <w:r w:rsidRPr="00040796" w:rsidR="0051627D">
        <w:rPr>
          <w:rFonts w:ascii="Calibri" w:hAnsi="Calibri" w:cs="Calibri"/>
          <w:sz w:val="22"/>
          <w:szCs w:val="22"/>
        </w:rPr>
        <w:t xml:space="preserve">second </w:t>
      </w:r>
      <w:r w:rsidRPr="00040796" w:rsidR="00A71D11">
        <w:rPr>
          <w:rFonts w:ascii="Calibri" w:hAnsi="Calibri" w:cs="Calibri"/>
          <w:sz w:val="22"/>
          <w:szCs w:val="22"/>
        </w:rPr>
        <w:t xml:space="preserve">follow-up survey in the </w:t>
      </w:r>
      <w:proofErr w:type="spellStart"/>
      <w:r w:rsidRPr="00040796" w:rsidR="00001B72">
        <w:rPr>
          <w:rFonts w:ascii="Calibri" w:hAnsi="Calibri" w:cs="Calibri"/>
          <w:sz w:val="22"/>
          <w:szCs w:val="22"/>
        </w:rPr>
        <w:t>MotherWise</w:t>
      </w:r>
      <w:proofErr w:type="spellEnd"/>
      <w:r w:rsidRPr="00040796" w:rsidR="00A45493">
        <w:rPr>
          <w:rFonts w:ascii="Calibri" w:hAnsi="Calibri" w:cs="Calibri"/>
          <w:sz w:val="22"/>
          <w:szCs w:val="22"/>
        </w:rPr>
        <w:t xml:space="preserve"> </w:t>
      </w:r>
      <w:r w:rsidRPr="00040796" w:rsidR="00E725D0">
        <w:rPr>
          <w:rFonts w:ascii="Calibri" w:hAnsi="Calibri" w:cs="Calibri"/>
          <w:sz w:val="22"/>
          <w:szCs w:val="22"/>
        </w:rPr>
        <w:t>site</w:t>
      </w:r>
      <w:r w:rsidRPr="00040796" w:rsidR="00A71D11">
        <w:rPr>
          <w:rFonts w:ascii="Calibri" w:hAnsi="Calibri" w:cs="Calibri"/>
          <w:sz w:val="22"/>
          <w:szCs w:val="22"/>
        </w:rPr>
        <w:t>.</w:t>
      </w:r>
      <w:r w:rsidRPr="00040796" w:rsidR="00F109F7">
        <w:rPr>
          <w:rFonts w:ascii="Calibri" w:hAnsi="Calibri" w:cs="Calibri"/>
          <w:sz w:val="22"/>
          <w:szCs w:val="22"/>
        </w:rPr>
        <w:t xml:space="preserve"> </w:t>
      </w:r>
      <w:r w:rsidRPr="00040796" w:rsidR="008A00BA">
        <w:rPr>
          <w:rFonts w:ascii="Calibri" w:hAnsi="Calibri" w:cs="Calibri"/>
          <w:sz w:val="22"/>
          <w:szCs w:val="22"/>
        </w:rPr>
        <w:t xml:space="preserve">In the MTCI site, we </w:t>
      </w:r>
      <w:r w:rsidRPr="00040796" w:rsidR="00F109F7">
        <w:rPr>
          <w:rFonts w:ascii="Calibri" w:hAnsi="Calibri" w:cs="Calibri"/>
          <w:sz w:val="22"/>
          <w:szCs w:val="22"/>
        </w:rPr>
        <w:t xml:space="preserve">propose replacing the </w:t>
      </w:r>
      <w:r w:rsidRPr="00040796" w:rsidR="00F10A62">
        <w:rPr>
          <w:rFonts w:ascii="Calibri" w:hAnsi="Calibri" w:cs="Calibri"/>
          <w:sz w:val="22"/>
          <w:szCs w:val="22"/>
        </w:rPr>
        <w:t>currently-approved $20 incentive</w:t>
      </w:r>
      <w:r w:rsidRPr="00040796" w:rsidR="006B2DA7">
        <w:rPr>
          <w:rFonts w:ascii="Calibri" w:hAnsi="Calibri" w:cs="Calibri"/>
          <w:sz w:val="22"/>
          <w:szCs w:val="22"/>
        </w:rPr>
        <w:t xml:space="preserve"> with a $40 incentive</w:t>
      </w:r>
      <w:r w:rsidRPr="00040796" w:rsidR="00D64354">
        <w:rPr>
          <w:rFonts w:ascii="Calibri" w:hAnsi="Calibri" w:cs="Calibri"/>
          <w:sz w:val="22"/>
          <w:szCs w:val="22"/>
        </w:rPr>
        <w:t xml:space="preserve"> to all participants completing a</w:t>
      </w:r>
      <w:r w:rsidRPr="00040796" w:rsidR="0051627D">
        <w:rPr>
          <w:rFonts w:ascii="Calibri" w:hAnsi="Calibri" w:cs="Calibri"/>
          <w:sz w:val="22"/>
          <w:szCs w:val="22"/>
        </w:rPr>
        <w:t xml:space="preserve"> second</w:t>
      </w:r>
      <w:r w:rsidRPr="00040796" w:rsidR="00D64354">
        <w:rPr>
          <w:rFonts w:ascii="Calibri" w:hAnsi="Calibri" w:cs="Calibri"/>
          <w:sz w:val="22"/>
          <w:szCs w:val="22"/>
        </w:rPr>
        <w:t xml:space="preserve"> follow-up survey</w:t>
      </w:r>
      <w:r w:rsidRPr="00040796" w:rsidR="00122006">
        <w:rPr>
          <w:rFonts w:ascii="Calibri" w:hAnsi="Calibri" w:cs="Calibri"/>
          <w:sz w:val="22"/>
          <w:szCs w:val="22"/>
        </w:rPr>
        <w:t>.</w:t>
      </w:r>
      <w:r w:rsidRPr="00040796" w:rsidR="00F10A62">
        <w:rPr>
          <w:rFonts w:ascii="Calibri" w:hAnsi="Calibri" w:cs="Calibri"/>
          <w:sz w:val="22"/>
          <w:szCs w:val="22"/>
        </w:rPr>
        <w:t xml:space="preserve"> </w:t>
      </w:r>
      <w:r w:rsidRPr="00040796" w:rsidR="00A71D11">
        <w:rPr>
          <w:rFonts w:ascii="Calibri" w:hAnsi="Calibri" w:cs="Calibri"/>
          <w:sz w:val="22"/>
          <w:szCs w:val="22"/>
        </w:rPr>
        <w:t xml:space="preserve"> </w:t>
      </w:r>
      <w:r w:rsidRPr="00040796" w:rsidR="00376059">
        <w:rPr>
          <w:rFonts w:ascii="Calibri" w:hAnsi="Calibri" w:cs="Calibri"/>
          <w:sz w:val="22"/>
          <w:szCs w:val="22"/>
        </w:rPr>
        <w:t>This</w:t>
      </w:r>
      <w:r w:rsidRPr="00040796" w:rsidR="00A71D11">
        <w:rPr>
          <w:rFonts w:ascii="Calibri" w:hAnsi="Calibri" w:cs="Calibri"/>
          <w:sz w:val="22"/>
          <w:szCs w:val="22"/>
        </w:rPr>
        <w:t xml:space="preserve"> increased incentive </w:t>
      </w:r>
      <w:r w:rsidRPr="00040796" w:rsidR="00376059">
        <w:rPr>
          <w:rFonts w:ascii="Calibri" w:hAnsi="Calibri" w:cs="Calibri"/>
          <w:sz w:val="22"/>
          <w:szCs w:val="22"/>
        </w:rPr>
        <w:t xml:space="preserve">would be offered </w:t>
      </w:r>
      <w:r w:rsidRPr="00040796" w:rsidR="00914879">
        <w:rPr>
          <w:rFonts w:ascii="Calibri" w:hAnsi="Calibri" w:cs="Calibri"/>
          <w:sz w:val="22"/>
          <w:szCs w:val="22"/>
        </w:rPr>
        <w:t xml:space="preserve">to all </w:t>
      </w:r>
      <w:proofErr w:type="spellStart"/>
      <w:r w:rsidRPr="00040796" w:rsidR="00914879">
        <w:rPr>
          <w:rFonts w:ascii="Calibri" w:hAnsi="Calibri" w:cs="Calibri"/>
          <w:sz w:val="22"/>
          <w:szCs w:val="22"/>
        </w:rPr>
        <w:t>nonresponders</w:t>
      </w:r>
      <w:proofErr w:type="spellEnd"/>
      <w:r w:rsidRPr="00040796" w:rsidR="00914879">
        <w:rPr>
          <w:rFonts w:ascii="Calibri" w:hAnsi="Calibri" w:cs="Calibri"/>
          <w:sz w:val="22"/>
          <w:szCs w:val="22"/>
        </w:rPr>
        <w:t xml:space="preserve"> to the </w:t>
      </w:r>
      <w:r w:rsidRPr="00040796" w:rsidR="00A71D11">
        <w:rPr>
          <w:rFonts w:ascii="Calibri" w:hAnsi="Calibri" w:cs="Calibri"/>
          <w:sz w:val="22"/>
          <w:szCs w:val="22"/>
        </w:rPr>
        <w:t>second follow-up survey.</w:t>
      </w:r>
      <w:r w:rsidRPr="00040796" w:rsidR="00A258C0">
        <w:rPr>
          <w:rFonts w:ascii="Calibri" w:hAnsi="Calibri" w:cs="Calibri"/>
          <w:sz w:val="22"/>
          <w:szCs w:val="22"/>
        </w:rPr>
        <w:t xml:space="preserve"> </w:t>
      </w:r>
    </w:p>
    <w:p w:rsidRPr="00040796" w:rsidR="00104C15" w:rsidP="00040796" w:rsidRDefault="00EF206B" w14:paraId="4C92C43C" w14:textId="04BBE569">
      <w:pPr>
        <w:pStyle w:val="Paragraph"/>
        <w:rPr>
          <w:rFonts w:ascii="Calibri" w:hAnsi="Calibri" w:cs="Calibri"/>
          <w:b/>
          <w:bCs/>
          <w:sz w:val="22"/>
          <w:szCs w:val="22"/>
          <w:u w:val="single"/>
        </w:rPr>
      </w:pPr>
      <w:bookmarkStart w:name="_Hlk33525390" w:id="11"/>
      <w:r w:rsidRPr="00040796">
        <w:rPr>
          <w:rFonts w:ascii="Calibri" w:hAnsi="Calibri" w:cs="Calibri"/>
          <w:bCs/>
          <w:sz w:val="22"/>
          <w:szCs w:val="22"/>
        </w:rPr>
        <w:t xml:space="preserve">ACF’s proposed change to the incentives is aimed at increasing the likelihood that </w:t>
      </w:r>
      <w:r w:rsidRPr="00040796" w:rsidR="009F3175">
        <w:rPr>
          <w:rFonts w:ascii="Calibri" w:hAnsi="Calibri" w:cs="Calibri"/>
          <w:bCs/>
          <w:sz w:val="22"/>
          <w:szCs w:val="22"/>
        </w:rPr>
        <w:t xml:space="preserve">sample members who are successfully contacted respond to the survey. It is also intended to increase the likelihood that </w:t>
      </w:r>
      <w:r w:rsidRPr="00040796">
        <w:rPr>
          <w:rFonts w:ascii="Calibri" w:hAnsi="Calibri" w:cs="Calibri"/>
          <w:bCs/>
          <w:sz w:val="22"/>
          <w:szCs w:val="22"/>
        </w:rPr>
        <w:t>friends and relatives of the respondents who are contacted by the survey team will tell respondents about the opportunity to complete the survey.</w:t>
      </w:r>
      <w:bookmarkEnd w:id="11"/>
    </w:p>
    <w:p w:rsidRPr="00040796" w:rsidR="002F2DBB" w:rsidP="003F7475" w:rsidRDefault="002F2DBB" w14:paraId="5ADE9288" w14:textId="737437EF">
      <w:pPr>
        <w:pStyle w:val="Paragraph"/>
        <w:spacing w:after="120"/>
        <w:rPr>
          <w:rFonts w:ascii="Calibri" w:hAnsi="Calibri" w:cs="Calibri"/>
          <w:b/>
          <w:bCs/>
          <w:sz w:val="22"/>
          <w:szCs w:val="22"/>
          <w:u w:val="single"/>
        </w:rPr>
      </w:pPr>
      <w:r w:rsidRPr="00040796">
        <w:rPr>
          <w:rFonts w:ascii="Calibri" w:hAnsi="Calibri" w:cs="Calibri"/>
          <w:b/>
          <w:bCs/>
          <w:sz w:val="22"/>
          <w:szCs w:val="22"/>
          <w:u w:val="single"/>
        </w:rPr>
        <w:t>Expected Benefits and Proposed</w:t>
      </w:r>
      <w:r w:rsidRPr="00040796" w:rsidR="00562203">
        <w:rPr>
          <w:rFonts w:ascii="Calibri" w:hAnsi="Calibri" w:cs="Calibri"/>
          <w:b/>
          <w:bCs/>
          <w:sz w:val="22"/>
          <w:szCs w:val="22"/>
          <w:u w:val="single"/>
        </w:rPr>
        <w:t xml:space="preserve"> Assessment</w:t>
      </w:r>
      <w:r w:rsidRPr="00040796">
        <w:rPr>
          <w:rFonts w:ascii="Calibri" w:hAnsi="Calibri" w:cs="Calibri"/>
          <w:b/>
          <w:bCs/>
          <w:sz w:val="22"/>
          <w:szCs w:val="22"/>
          <w:u w:val="single"/>
        </w:rPr>
        <w:t xml:space="preserve"> </w:t>
      </w:r>
    </w:p>
    <w:p w:rsidRPr="00040796" w:rsidR="00DF3315" w:rsidP="00040796" w:rsidRDefault="006D3219" w14:paraId="0CD7366B" w14:textId="36EE0031">
      <w:pPr>
        <w:pStyle w:val="Paragraph"/>
        <w:rPr>
          <w:rFonts w:ascii="Calibri" w:hAnsi="Calibri" w:cs="Calibri"/>
          <w:sz w:val="22"/>
          <w:szCs w:val="22"/>
        </w:rPr>
      </w:pPr>
      <w:r w:rsidRPr="00040796">
        <w:rPr>
          <w:rFonts w:ascii="Calibri" w:hAnsi="Calibri" w:cs="Calibri"/>
          <w:sz w:val="22"/>
          <w:szCs w:val="22"/>
        </w:rPr>
        <w:t>We hypothesize that</w:t>
      </w:r>
      <w:r w:rsidRPr="00040796" w:rsidR="00DC46DE">
        <w:rPr>
          <w:rFonts w:ascii="Calibri" w:hAnsi="Calibri" w:cs="Calibri"/>
          <w:sz w:val="22"/>
          <w:szCs w:val="22"/>
        </w:rPr>
        <w:t xml:space="preserve"> </w:t>
      </w:r>
      <w:r w:rsidRPr="00040796">
        <w:rPr>
          <w:rFonts w:ascii="Calibri" w:hAnsi="Calibri" w:cs="Calibri"/>
          <w:sz w:val="22"/>
          <w:szCs w:val="22"/>
        </w:rPr>
        <w:t>increasing the incentives will increase response rates</w:t>
      </w:r>
      <w:r w:rsidRPr="00040796" w:rsidR="003A3852">
        <w:rPr>
          <w:rFonts w:ascii="Calibri" w:hAnsi="Calibri" w:cs="Calibri"/>
          <w:sz w:val="22"/>
          <w:szCs w:val="22"/>
        </w:rPr>
        <w:t xml:space="preserve"> conditional on successful contact</w:t>
      </w:r>
      <w:r w:rsidRPr="00040796">
        <w:rPr>
          <w:rFonts w:ascii="Calibri" w:hAnsi="Calibri" w:cs="Calibri"/>
          <w:sz w:val="22"/>
          <w:szCs w:val="22"/>
        </w:rPr>
        <w:t xml:space="preserve">, particularly for the control group that is disproportionately underrepresented among survey respondents. This would reduce the risk of bias in our experimental impact estimates. </w:t>
      </w:r>
    </w:p>
    <w:p w:rsidRPr="00040796" w:rsidR="00784BBA" w:rsidP="00040796" w:rsidRDefault="00260DCF" w14:paraId="73B57DC9" w14:textId="231A2240">
      <w:pPr>
        <w:pStyle w:val="Paragraph"/>
        <w:rPr>
          <w:rFonts w:ascii="Calibri" w:hAnsi="Calibri" w:cs="Calibri"/>
          <w:sz w:val="22"/>
          <w:szCs w:val="22"/>
        </w:rPr>
      </w:pPr>
      <w:r w:rsidRPr="00040796">
        <w:rPr>
          <w:rFonts w:ascii="Calibri" w:hAnsi="Calibri" w:cs="Calibri"/>
          <w:sz w:val="22"/>
          <w:szCs w:val="22"/>
        </w:rPr>
        <w:t xml:space="preserve">While recent </w:t>
      </w:r>
      <w:r w:rsidRPr="00040796" w:rsidR="000B3385">
        <w:rPr>
          <w:rFonts w:ascii="Calibri" w:hAnsi="Calibri" w:cs="Calibri"/>
          <w:sz w:val="22"/>
          <w:szCs w:val="22"/>
        </w:rPr>
        <w:t>RCTs</w:t>
      </w:r>
      <w:r w:rsidRPr="00040796">
        <w:rPr>
          <w:rFonts w:ascii="Calibri" w:hAnsi="Calibri" w:cs="Calibri"/>
          <w:sz w:val="22"/>
          <w:szCs w:val="22"/>
        </w:rPr>
        <w:t xml:space="preserve"> with similar populations</w:t>
      </w:r>
      <w:r w:rsidRPr="00040796" w:rsidR="000B3385">
        <w:rPr>
          <w:rFonts w:ascii="Calibri" w:hAnsi="Calibri" w:cs="Calibri"/>
          <w:sz w:val="22"/>
          <w:szCs w:val="22"/>
        </w:rPr>
        <w:t xml:space="preserve"> do not provide causal evidence </w:t>
      </w:r>
      <w:r w:rsidRPr="00040796" w:rsidR="00FD4C1A">
        <w:rPr>
          <w:rFonts w:ascii="Calibri" w:hAnsi="Calibri" w:cs="Calibri"/>
          <w:sz w:val="22"/>
          <w:szCs w:val="22"/>
        </w:rPr>
        <w:t>about</w:t>
      </w:r>
      <w:r w:rsidRPr="00040796" w:rsidR="000B3385">
        <w:rPr>
          <w:rFonts w:ascii="Calibri" w:hAnsi="Calibri" w:cs="Calibri"/>
          <w:sz w:val="22"/>
          <w:szCs w:val="22"/>
        </w:rPr>
        <w:t xml:space="preserve"> the impact of incentives on </w:t>
      </w:r>
      <w:r w:rsidRPr="00040796" w:rsidR="00DC46DE">
        <w:rPr>
          <w:rFonts w:ascii="Calibri" w:hAnsi="Calibri" w:cs="Calibri"/>
          <w:sz w:val="22"/>
          <w:szCs w:val="22"/>
        </w:rPr>
        <w:t xml:space="preserve">survey </w:t>
      </w:r>
      <w:r w:rsidRPr="00040796" w:rsidR="000B3385">
        <w:rPr>
          <w:rFonts w:ascii="Calibri" w:hAnsi="Calibri" w:cs="Calibri"/>
          <w:sz w:val="22"/>
          <w:szCs w:val="22"/>
        </w:rPr>
        <w:t xml:space="preserve">participation, </w:t>
      </w:r>
      <w:r w:rsidRPr="00040796" w:rsidR="007A2ABF">
        <w:rPr>
          <w:rFonts w:ascii="Calibri" w:hAnsi="Calibri" w:cs="Calibri"/>
          <w:sz w:val="22"/>
          <w:szCs w:val="22"/>
        </w:rPr>
        <w:t>several</w:t>
      </w:r>
      <w:r w:rsidRPr="00040796" w:rsidR="00FD4C1A">
        <w:rPr>
          <w:rFonts w:ascii="Calibri" w:hAnsi="Calibri" w:cs="Calibri"/>
          <w:sz w:val="22"/>
          <w:szCs w:val="22"/>
        </w:rPr>
        <w:t xml:space="preserve"> data collections</w:t>
      </w:r>
      <w:r w:rsidRPr="00040796" w:rsidR="000B3385">
        <w:rPr>
          <w:rFonts w:ascii="Calibri" w:hAnsi="Calibri" w:cs="Calibri"/>
          <w:sz w:val="22"/>
          <w:szCs w:val="22"/>
        </w:rPr>
        <w:t xml:space="preserve"> </w:t>
      </w:r>
      <w:r w:rsidRPr="00040796" w:rsidR="00FD4C1A">
        <w:rPr>
          <w:rFonts w:ascii="Calibri" w:hAnsi="Calibri" w:cs="Calibri"/>
          <w:sz w:val="22"/>
          <w:szCs w:val="22"/>
        </w:rPr>
        <w:t xml:space="preserve">provide </w:t>
      </w:r>
      <w:r w:rsidRPr="00040796" w:rsidR="000B3385">
        <w:rPr>
          <w:rFonts w:ascii="Calibri" w:hAnsi="Calibri" w:cs="Calibri"/>
          <w:sz w:val="22"/>
          <w:szCs w:val="22"/>
        </w:rPr>
        <w:t xml:space="preserve">observational </w:t>
      </w:r>
      <w:r w:rsidRPr="00040796" w:rsidR="004D662C">
        <w:rPr>
          <w:rFonts w:ascii="Calibri" w:hAnsi="Calibri" w:cs="Calibri"/>
          <w:sz w:val="22"/>
          <w:szCs w:val="22"/>
        </w:rPr>
        <w:t>data</w:t>
      </w:r>
      <w:r w:rsidRPr="00040796" w:rsidR="00FD4C1A">
        <w:rPr>
          <w:rFonts w:ascii="Calibri" w:hAnsi="Calibri" w:cs="Calibri"/>
          <w:sz w:val="22"/>
          <w:szCs w:val="22"/>
        </w:rPr>
        <w:t xml:space="preserve"> </w:t>
      </w:r>
      <w:r w:rsidRPr="00040796" w:rsidR="004D662C">
        <w:rPr>
          <w:rFonts w:ascii="Calibri" w:hAnsi="Calibri" w:cs="Calibri"/>
          <w:sz w:val="22"/>
          <w:szCs w:val="22"/>
        </w:rPr>
        <w:t xml:space="preserve">suggesting that the </w:t>
      </w:r>
      <w:r w:rsidRPr="00040796" w:rsidR="004D662C">
        <w:rPr>
          <w:rFonts w:ascii="Calibri" w:hAnsi="Calibri" w:cs="Calibri"/>
          <w:i/>
          <w:sz w:val="22"/>
          <w:szCs w:val="22"/>
        </w:rPr>
        <w:t>amount</w:t>
      </w:r>
      <w:r w:rsidRPr="00040796" w:rsidR="004D662C">
        <w:rPr>
          <w:rFonts w:ascii="Calibri" w:hAnsi="Calibri" w:cs="Calibri"/>
          <w:sz w:val="22"/>
          <w:szCs w:val="22"/>
        </w:rPr>
        <w:t xml:space="preserve"> may be sufficient to support desired outcomes</w:t>
      </w:r>
      <w:r w:rsidRPr="00040796" w:rsidR="000B3385">
        <w:rPr>
          <w:rFonts w:ascii="Calibri" w:hAnsi="Calibri" w:cs="Calibri"/>
          <w:sz w:val="22"/>
          <w:szCs w:val="22"/>
        </w:rPr>
        <w:t xml:space="preserve">.  Recent </w:t>
      </w:r>
      <w:r w:rsidRPr="00040796" w:rsidR="005E120D">
        <w:rPr>
          <w:rFonts w:ascii="Calibri" w:hAnsi="Calibri" w:cs="Calibri"/>
          <w:sz w:val="22"/>
          <w:szCs w:val="22"/>
        </w:rPr>
        <w:t>RCTs</w:t>
      </w:r>
      <w:r w:rsidRPr="00040796" w:rsidR="00ED5F89">
        <w:rPr>
          <w:rFonts w:ascii="Calibri" w:hAnsi="Calibri" w:cs="Calibri"/>
          <w:sz w:val="22"/>
          <w:szCs w:val="22"/>
        </w:rPr>
        <w:t xml:space="preserve"> with similar populations </w:t>
      </w:r>
      <w:r w:rsidRPr="00040796" w:rsidR="00500243">
        <w:rPr>
          <w:rFonts w:ascii="Calibri" w:hAnsi="Calibri" w:cs="Calibri"/>
          <w:sz w:val="22"/>
          <w:szCs w:val="22"/>
        </w:rPr>
        <w:t xml:space="preserve">have </w:t>
      </w:r>
      <w:r w:rsidRPr="00040796" w:rsidR="00ED5F89">
        <w:rPr>
          <w:rFonts w:ascii="Calibri" w:hAnsi="Calibri" w:cs="Calibri"/>
          <w:sz w:val="22"/>
          <w:szCs w:val="22"/>
        </w:rPr>
        <w:t xml:space="preserve">used incentives in the $40 to $50 range </w:t>
      </w:r>
      <w:r w:rsidRPr="00040796" w:rsidR="00DF3315">
        <w:rPr>
          <w:rFonts w:ascii="Calibri" w:hAnsi="Calibri" w:cs="Calibri"/>
          <w:sz w:val="22"/>
          <w:szCs w:val="22"/>
        </w:rPr>
        <w:t xml:space="preserve">to conduct </w:t>
      </w:r>
      <w:r w:rsidRPr="00040796" w:rsidR="004D662C">
        <w:rPr>
          <w:rFonts w:ascii="Calibri" w:hAnsi="Calibri" w:cs="Calibri"/>
          <w:sz w:val="22"/>
          <w:szCs w:val="22"/>
        </w:rPr>
        <w:t xml:space="preserve">longitudinal </w:t>
      </w:r>
      <w:r w:rsidRPr="00040796" w:rsidR="00DF3315">
        <w:rPr>
          <w:rFonts w:ascii="Calibri" w:hAnsi="Calibri" w:cs="Calibri"/>
          <w:sz w:val="22"/>
          <w:szCs w:val="22"/>
        </w:rPr>
        <w:t>surveys of equal or lower respondent burden</w:t>
      </w:r>
      <w:r w:rsidRPr="00040796" w:rsidR="000B3385">
        <w:rPr>
          <w:rFonts w:ascii="Calibri" w:hAnsi="Calibri" w:cs="Calibri"/>
          <w:sz w:val="22"/>
          <w:szCs w:val="22"/>
        </w:rPr>
        <w:t xml:space="preserve">; these </w:t>
      </w:r>
      <w:r w:rsidRPr="00040796">
        <w:rPr>
          <w:rFonts w:ascii="Calibri" w:hAnsi="Calibri" w:cs="Calibri"/>
          <w:sz w:val="22"/>
          <w:szCs w:val="22"/>
        </w:rPr>
        <w:t xml:space="preserve">data collection efforts had </w:t>
      </w:r>
      <w:r w:rsidRPr="00040796" w:rsidR="00500243">
        <w:rPr>
          <w:rFonts w:ascii="Calibri" w:hAnsi="Calibri" w:cs="Calibri"/>
          <w:sz w:val="22"/>
          <w:szCs w:val="22"/>
        </w:rPr>
        <w:t xml:space="preserve">lower </w:t>
      </w:r>
      <w:r w:rsidRPr="00040796" w:rsidR="00D65B16">
        <w:rPr>
          <w:rFonts w:ascii="Calibri" w:hAnsi="Calibri" w:cs="Calibri"/>
          <w:sz w:val="22"/>
          <w:szCs w:val="22"/>
        </w:rPr>
        <w:t>non-response</w:t>
      </w:r>
      <w:r w:rsidRPr="00040796" w:rsidR="00500243">
        <w:rPr>
          <w:rFonts w:ascii="Calibri" w:hAnsi="Calibri" w:cs="Calibri"/>
          <w:sz w:val="22"/>
          <w:szCs w:val="22"/>
        </w:rPr>
        <w:t xml:space="preserve"> bias </w:t>
      </w:r>
      <w:r w:rsidRPr="00040796">
        <w:rPr>
          <w:rFonts w:ascii="Calibri" w:hAnsi="Calibri" w:cs="Calibri"/>
          <w:sz w:val="22"/>
          <w:szCs w:val="22"/>
        </w:rPr>
        <w:t>than</w:t>
      </w:r>
      <w:r w:rsidRPr="00040796" w:rsidR="00230937">
        <w:rPr>
          <w:rFonts w:ascii="Calibri" w:hAnsi="Calibri" w:cs="Calibri"/>
          <w:sz w:val="22"/>
          <w:szCs w:val="22"/>
        </w:rPr>
        <w:t xml:space="preserve"> the current study</w:t>
      </w:r>
      <w:r w:rsidRPr="00040796" w:rsidR="00ED5F89">
        <w:rPr>
          <w:rFonts w:ascii="Calibri" w:hAnsi="Calibri" w:cs="Calibri"/>
          <w:sz w:val="22"/>
          <w:szCs w:val="22"/>
        </w:rPr>
        <w:t xml:space="preserve">. </w:t>
      </w:r>
      <w:r w:rsidRPr="00040796" w:rsidR="00DF3315">
        <w:rPr>
          <w:rFonts w:ascii="Calibri" w:hAnsi="Calibri" w:cs="Calibri"/>
          <w:sz w:val="22"/>
          <w:szCs w:val="22"/>
        </w:rPr>
        <w:t>Examples include t</w:t>
      </w:r>
      <w:r w:rsidRPr="00040796" w:rsidR="00ED5F89">
        <w:rPr>
          <w:rFonts w:ascii="Calibri" w:hAnsi="Calibri" w:cs="Calibri"/>
          <w:sz w:val="22"/>
          <w:szCs w:val="22"/>
        </w:rPr>
        <w:t xml:space="preserve">he </w:t>
      </w:r>
      <w:r w:rsidR="00613849">
        <w:rPr>
          <w:rFonts w:ascii="Calibri" w:hAnsi="Calibri" w:cs="Calibri"/>
          <w:sz w:val="22"/>
          <w:szCs w:val="22"/>
        </w:rPr>
        <w:t>Evaluation of Adolescent Pregnancy Prevention</w:t>
      </w:r>
      <w:r w:rsidRPr="00040796" w:rsidR="00ED5F89">
        <w:rPr>
          <w:rFonts w:ascii="Calibri" w:hAnsi="Calibri" w:cs="Calibri"/>
          <w:sz w:val="22"/>
          <w:szCs w:val="22"/>
        </w:rPr>
        <w:t xml:space="preserve"> </w:t>
      </w:r>
      <w:r w:rsidR="00613849">
        <w:rPr>
          <w:rFonts w:ascii="Calibri" w:hAnsi="Calibri" w:cs="Calibri"/>
          <w:sz w:val="22"/>
          <w:szCs w:val="22"/>
        </w:rPr>
        <w:t xml:space="preserve">Approaches </w:t>
      </w:r>
      <w:r w:rsidRPr="00040796" w:rsidR="00ED5F89">
        <w:rPr>
          <w:rFonts w:ascii="Calibri" w:hAnsi="Calibri" w:cs="Calibri"/>
          <w:sz w:val="22"/>
          <w:szCs w:val="22"/>
        </w:rPr>
        <w:t>study</w:t>
      </w:r>
      <w:r w:rsidRPr="00040796" w:rsidR="00A77016">
        <w:rPr>
          <w:rFonts w:ascii="Calibri" w:hAnsi="Calibri" w:cs="Calibri"/>
          <w:sz w:val="22"/>
          <w:szCs w:val="22"/>
        </w:rPr>
        <w:t xml:space="preserve"> (OMB control number </w:t>
      </w:r>
      <w:r w:rsidRPr="003F7475" w:rsidR="00613849">
        <w:rPr>
          <w:rFonts w:ascii="Calibri" w:hAnsi="Calibri" w:cs="Calibri"/>
          <w:sz w:val="22"/>
          <w:szCs w:val="22"/>
        </w:rPr>
        <w:t>0990-0382</w:t>
      </w:r>
      <w:r w:rsidRPr="00613849" w:rsidR="00A77016">
        <w:rPr>
          <w:rFonts w:ascii="Calibri" w:hAnsi="Calibri" w:cs="Calibri"/>
          <w:sz w:val="22"/>
          <w:szCs w:val="22"/>
        </w:rPr>
        <w:t>)</w:t>
      </w:r>
      <w:r w:rsidRPr="00613849" w:rsidR="00DF3315">
        <w:rPr>
          <w:rFonts w:ascii="Calibri" w:hAnsi="Calibri" w:cs="Calibri"/>
          <w:sz w:val="22"/>
          <w:szCs w:val="22"/>
        </w:rPr>
        <w:t>,</w:t>
      </w:r>
      <w:r w:rsidRPr="00040796" w:rsidR="00DF3315">
        <w:rPr>
          <w:rFonts w:ascii="Calibri" w:hAnsi="Calibri" w:cs="Calibri"/>
          <w:sz w:val="22"/>
          <w:szCs w:val="22"/>
        </w:rPr>
        <w:t xml:space="preserve"> which</w:t>
      </w:r>
      <w:r w:rsidRPr="00040796" w:rsidR="00ED5F89">
        <w:rPr>
          <w:rFonts w:ascii="Calibri" w:hAnsi="Calibri" w:cs="Calibri"/>
          <w:sz w:val="22"/>
          <w:szCs w:val="22"/>
        </w:rPr>
        <w:t xml:space="preserve"> </w:t>
      </w:r>
      <w:r w:rsidR="00C448F4">
        <w:rPr>
          <w:rFonts w:ascii="Calibri" w:hAnsi="Calibri" w:cs="Calibri"/>
          <w:sz w:val="22"/>
          <w:szCs w:val="22"/>
        </w:rPr>
        <w:t>offered a $</w:t>
      </w:r>
      <w:r w:rsidR="00830C42">
        <w:rPr>
          <w:rFonts w:ascii="Calibri" w:hAnsi="Calibri" w:cs="Calibri"/>
          <w:sz w:val="22"/>
          <w:szCs w:val="22"/>
        </w:rPr>
        <w:t>50</w:t>
      </w:r>
      <w:r w:rsidR="00C448F4">
        <w:rPr>
          <w:rFonts w:ascii="Calibri" w:hAnsi="Calibri" w:cs="Calibri"/>
          <w:sz w:val="22"/>
          <w:szCs w:val="22"/>
        </w:rPr>
        <w:t xml:space="preserve"> incentive in two of its six sites, and </w:t>
      </w:r>
      <w:r w:rsidRPr="00040796" w:rsidR="00500243">
        <w:rPr>
          <w:rFonts w:ascii="Calibri" w:hAnsi="Calibri" w:cs="Calibri"/>
          <w:sz w:val="22"/>
          <w:szCs w:val="22"/>
        </w:rPr>
        <w:t xml:space="preserve">obtained </w:t>
      </w:r>
      <w:r w:rsidRPr="00040796" w:rsidR="00BB270A">
        <w:rPr>
          <w:rFonts w:ascii="Calibri" w:hAnsi="Calibri" w:cs="Calibri"/>
          <w:sz w:val="22"/>
          <w:szCs w:val="22"/>
        </w:rPr>
        <w:t>a</w:t>
      </w:r>
      <w:r w:rsidR="00C448F4">
        <w:rPr>
          <w:rFonts w:ascii="Calibri" w:hAnsi="Calibri" w:cs="Calibri"/>
          <w:sz w:val="22"/>
          <w:szCs w:val="22"/>
        </w:rPr>
        <w:t>n</w:t>
      </w:r>
      <w:r w:rsidRPr="00040796" w:rsidR="00BB270A">
        <w:rPr>
          <w:rFonts w:ascii="Calibri" w:hAnsi="Calibri" w:cs="Calibri"/>
          <w:sz w:val="22"/>
          <w:szCs w:val="22"/>
        </w:rPr>
        <w:t xml:space="preserve"> </w:t>
      </w:r>
      <w:r w:rsidRPr="00040796" w:rsidR="00ED5F89">
        <w:rPr>
          <w:rFonts w:ascii="Calibri" w:hAnsi="Calibri" w:cs="Calibri"/>
          <w:sz w:val="22"/>
          <w:szCs w:val="22"/>
        </w:rPr>
        <w:t xml:space="preserve">overall response rate </w:t>
      </w:r>
      <w:r w:rsidR="003A2001">
        <w:rPr>
          <w:rFonts w:ascii="Calibri" w:hAnsi="Calibri" w:cs="Calibri"/>
          <w:sz w:val="22"/>
          <w:szCs w:val="22"/>
        </w:rPr>
        <w:t>of 80 percent</w:t>
      </w:r>
      <w:r w:rsidR="00FA6150">
        <w:rPr>
          <w:rFonts w:ascii="Calibri" w:hAnsi="Calibri" w:cs="Calibri"/>
          <w:sz w:val="22"/>
          <w:szCs w:val="22"/>
        </w:rPr>
        <w:t xml:space="preserve"> or higher</w:t>
      </w:r>
      <w:r w:rsidR="003A2001">
        <w:rPr>
          <w:rFonts w:ascii="Calibri" w:hAnsi="Calibri" w:cs="Calibri"/>
          <w:sz w:val="22"/>
          <w:szCs w:val="22"/>
        </w:rPr>
        <w:t xml:space="preserve"> </w:t>
      </w:r>
      <w:r w:rsidR="003F43EB">
        <w:rPr>
          <w:rFonts w:ascii="Calibri" w:hAnsi="Calibri" w:cs="Calibri"/>
          <w:sz w:val="22"/>
          <w:szCs w:val="22"/>
        </w:rPr>
        <w:t xml:space="preserve">and low treatment-control differentials </w:t>
      </w:r>
      <w:r w:rsidR="00C448F4">
        <w:rPr>
          <w:rFonts w:ascii="Calibri" w:hAnsi="Calibri" w:cs="Calibri"/>
          <w:sz w:val="22"/>
          <w:szCs w:val="22"/>
        </w:rPr>
        <w:t xml:space="preserve">in those sites. </w:t>
      </w:r>
      <w:r w:rsidRPr="00040796" w:rsidR="00C8048B">
        <w:rPr>
          <w:rFonts w:ascii="Calibri" w:hAnsi="Calibri" w:cs="Calibri"/>
          <w:sz w:val="22"/>
          <w:szCs w:val="22"/>
        </w:rPr>
        <w:t xml:space="preserve">The evaluation of </w:t>
      </w:r>
      <w:proofErr w:type="spellStart"/>
      <w:r w:rsidRPr="00040796" w:rsidR="00ED5F89">
        <w:rPr>
          <w:rFonts w:ascii="Calibri" w:hAnsi="Calibri" w:cs="Calibri"/>
          <w:sz w:val="22"/>
          <w:szCs w:val="22"/>
        </w:rPr>
        <w:t>Youth</w:t>
      </w:r>
      <w:r w:rsidRPr="00040796" w:rsidR="00690C71">
        <w:rPr>
          <w:rFonts w:ascii="Calibri" w:hAnsi="Calibri" w:cs="Calibri"/>
          <w:sz w:val="22"/>
          <w:szCs w:val="22"/>
        </w:rPr>
        <w:t>B</w:t>
      </w:r>
      <w:r w:rsidRPr="00040796" w:rsidR="00ED5F89">
        <w:rPr>
          <w:rFonts w:ascii="Calibri" w:hAnsi="Calibri" w:cs="Calibri"/>
          <w:sz w:val="22"/>
          <w:szCs w:val="22"/>
        </w:rPr>
        <w:t>uild</w:t>
      </w:r>
      <w:proofErr w:type="spellEnd"/>
      <w:r w:rsidRPr="00040796" w:rsidR="00ED5F89">
        <w:rPr>
          <w:rFonts w:ascii="Calibri" w:hAnsi="Calibri" w:cs="Calibri"/>
          <w:sz w:val="22"/>
          <w:szCs w:val="22"/>
        </w:rPr>
        <w:t xml:space="preserve"> </w:t>
      </w:r>
      <w:r w:rsidRPr="00040796" w:rsidR="00A77016">
        <w:rPr>
          <w:rFonts w:ascii="Calibri" w:hAnsi="Calibri" w:cs="Calibri"/>
          <w:sz w:val="22"/>
          <w:szCs w:val="22"/>
        </w:rPr>
        <w:t xml:space="preserve">(OMB control number </w:t>
      </w:r>
      <w:r w:rsidRPr="00040796" w:rsidR="000E4CFE">
        <w:rPr>
          <w:rFonts w:ascii="Calibri" w:hAnsi="Calibri" w:cs="Calibri"/>
          <w:sz w:val="22"/>
          <w:szCs w:val="22"/>
        </w:rPr>
        <w:t xml:space="preserve">1205-0503) </w:t>
      </w:r>
      <w:r w:rsidRPr="00040796" w:rsidR="00500243">
        <w:rPr>
          <w:rFonts w:ascii="Calibri" w:hAnsi="Calibri" w:cs="Calibri"/>
          <w:sz w:val="22"/>
          <w:szCs w:val="22"/>
        </w:rPr>
        <w:t xml:space="preserve">similarly </w:t>
      </w:r>
      <w:r w:rsidRPr="00040796" w:rsidR="00ED5F89">
        <w:rPr>
          <w:rFonts w:ascii="Calibri" w:hAnsi="Calibri" w:cs="Calibri"/>
          <w:sz w:val="22"/>
          <w:szCs w:val="22"/>
        </w:rPr>
        <w:t>achieved high overall response rates with low treatment-control differentials</w:t>
      </w:r>
      <w:r w:rsidRPr="00040796" w:rsidR="00FD1438">
        <w:rPr>
          <w:rFonts w:ascii="Calibri" w:hAnsi="Calibri" w:cs="Calibri"/>
          <w:sz w:val="22"/>
          <w:szCs w:val="22"/>
        </w:rPr>
        <w:t xml:space="preserve"> and offered incentives of $40 to $50</w:t>
      </w:r>
      <w:r w:rsidRPr="00040796" w:rsidR="00ED5F89">
        <w:rPr>
          <w:rFonts w:ascii="Calibri" w:hAnsi="Calibri" w:cs="Calibri"/>
          <w:sz w:val="22"/>
          <w:szCs w:val="22"/>
        </w:rPr>
        <w:t xml:space="preserve">. Given </w:t>
      </w:r>
      <w:r w:rsidRPr="00040796" w:rsidR="000B3385">
        <w:rPr>
          <w:rFonts w:ascii="Calibri" w:hAnsi="Calibri" w:cs="Calibri"/>
          <w:sz w:val="22"/>
          <w:szCs w:val="22"/>
        </w:rPr>
        <w:t>the</w:t>
      </w:r>
      <w:r w:rsidRPr="00040796" w:rsidR="004D662C">
        <w:rPr>
          <w:rFonts w:ascii="Calibri" w:hAnsi="Calibri" w:cs="Calibri"/>
          <w:sz w:val="22"/>
          <w:szCs w:val="22"/>
        </w:rPr>
        <w:t>se recent experiences</w:t>
      </w:r>
      <w:r w:rsidRPr="00040796" w:rsidR="00ED5F89">
        <w:rPr>
          <w:rFonts w:ascii="Calibri" w:hAnsi="Calibri" w:cs="Calibri"/>
          <w:sz w:val="22"/>
          <w:szCs w:val="22"/>
        </w:rPr>
        <w:t xml:space="preserve">, we </w:t>
      </w:r>
      <w:r w:rsidRPr="00040796" w:rsidR="000B3385">
        <w:rPr>
          <w:rFonts w:ascii="Calibri" w:hAnsi="Calibri" w:cs="Calibri"/>
          <w:sz w:val="22"/>
          <w:szCs w:val="22"/>
        </w:rPr>
        <w:t xml:space="preserve">propose that </w:t>
      </w:r>
      <w:r w:rsidRPr="00040796" w:rsidR="00ED5F89">
        <w:rPr>
          <w:rFonts w:ascii="Calibri" w:hAnsi="Calibri" w:cs="Calibri"/>
          <w:sz w:val="22"/>
          <w:szCs w:val="22"/>
        </w:rPr>
        <w:t>a $</w:t>
      </w:r>
      <w:r w:rsidRPr="00040796" w:rsidR="00230937">
        <w:rPr>
          <w:rFonts w:ascii="Calibri" w:hAnsi="Calibri" w:cs="Calibri"/>
          <w:sz w:val="22"/>
          <w:szCs w:val="22"/>
        </w:rPr>
        <w:t>5</w:t>
      </w:r>
      <w:r w:rsidRPr="00040796" w:rsidR="00ED5F89">
        <w:rPr>
          <w:rFonts w:ascii="Calibri" w:hAnsi="Calibri" w:cs="Calibri"/>
          <w:sz w:val="22"/>
          <w:szCs w:val="22"/>
        </w:rPr>
        <w:t xml:space="preserve">0 incentive is an appropriate amount for </w:t>
      </w:r>
      <w:r w:rsidRPr="00040796" w:rsidR="00F829C1">
        <w:rPr>
          <w:rFonts w:ascii="Calibri" w:hAnsi="Calibri" w:cs="Calibri"/>
          <w:sz w:val="22"/>
          <w:szCs w:val="22"/>
        </w:rPr>
        <w:t xml:space="preserve">adults </w:t>
      </w:r>
      <w:r w:rsidRPr="00040796" w:rsidR="00ED5F89">
        <w:rPr>
          <w:rFonts w:ascii="Calibri" w:hAnsi="Calibri" w:cs="Calibri"/>
          <w:sz w:val="22"/>
          <w:szCs w:val="22"/>
        </w:rPr>
        <w:t xml:space="preserve">for completing a </w:t>
      </w:r>
      <w:r w:rsidRPr="00040796" w:rsidR="00230937">
        <w:rPr>
          <w:rFonts w:ascii="Calibri" w:hAnsi="Calibri" w:cs="Calibri"/>
          <w:sz w:val="22"/>
          <w:szCs w:val="22"/>
        </w:rPr>
        <w:t>45</w:t>
      </w:r>
      <w:r w:rsidRPr="00040796" w:rsidR="00ED5F89">
        <w:rPr>
          <w:rFonts w:ascii="Calibri" w:hAnsi="Calibri" w:cs="Calibri"/>
          <w:sz w:val="22"/>
          <w:szCs w:val="22"/>
        </w:rPr>
        <w:t>-minute survey</w:t>
      </w:r>
      <w:r w:rsidRPr="00040796" w:rsidR="00F829C1">
        <w:rPr>
          <w:rFonts w:ascii="Calibri" w:hAnsi="Calibri" w:cs="Calibri"/>
          <w:sz w:val="22"/>
          <w:szCs w:val="22"/>
        </w:rPr>
        <w:t xml:space="preserve"> and a $40 incentive is an appropriate amount for youth completing a </w:t>
      </w:r>
      <w:r w:rsidRPr="00040796" w:rsidR="006B0BBE">
        <w:rPr>
          <w:rFonts w:ascii="Calibri" w:hAnsi="Calibri" w:cs="Calibri"/>
          <w:sz w:val="22"/>
          <w:szCs w:val="22"/>
        </w:rPr>
        <w:t>30</w:t>
      </w:r>
      <w:r w:rsidRPr="00040796" w:rsidR="00F829C1">
        <w:rPr>
          <w:rFonts w:ascii="Calibri" w:hAnsi="Calibri" w:cs="Calibri"/>
          <w:sz w:val="22"/>
          <w:szCs w:val="22"/>
        </w:rPr>
        <w:t>-minute survey</w:t>
      </w:r>
      <w:r w:rsidRPr="00040796" w:rsidR="00ED5F89">
        <w:rPr>
          <w:rFonts w:ascii="Calibri" w:hAnsi="Calibri" w:cs="Calibri"/>
          <w:sz w:val="22"/>
          <w:szCs w:val="22"/>
        </w:rPr>
        <w:t>.</w:t>
      </w:r>
    </w:p>
    <w:p w:rsidR="00040796" w:rsidP="00040796" w:rsidRDefault="00562203" w14:paraId="04FE9F62" w14:textId="77777777">
      <w:pPr>
        <w:pStyle w:val="Paragraph"/>
        <w:rPr>
          <w:rFonts w:ascii="Calibri" w:hAnsi="Calibri" w:cs="Calibri"/>
          <w:sz w:val="22"/>
          <w:szCs w:val="22"/>
        </w:rPr>
      </w:pPr>
      <w:r w:rsidRPr="00040796">
        <w:rPr>
          <w:rFonts w:ascii="Calibri" w:hAnsi="Calibri" w:cs="Calibri"/>
          <w:sz w:val="22"/>
          <w:szCs w:val="22"/>
        </w:rPr>
        <w:t>This proposal was designed to maximize improv</w:t>
      </w:r>
      <w:r w:rsidRPr="00040796" w:rsidR="00784BBA">
        <w:rPr>
          <w:rFonts w:ascii="Calibri" w:hAnsi="Calibri" w:cs="Calibri"/>
          <w:sz w:val="22"/>
          <w:szCs w:val="22"/>
        </w:rPr>
        <w:t>e</w:t>
      </w:r>
      <w:r w:rsidRPr="00040796">
        <w:rPr>
          <w:rFonts w:ascii="Calibri" w:hAnsi="Calibri" w:cs="Calibri"/>
          <w:sz w:val="22"/>
          <w:szCs w:val="22"/>
        </w:rPr>
        <w:t xml:space="preserve">ments in data quality given the results of </w:t>
      </w:r>
      <w:r w:rsidRPr="00040796" w:rsidR="00C96F9A">
        <w:rPr>
          <w:rFonts w:ascii="Calibri" w:hAnsi="Calibri" w:cs="Calibri"/>
          <w:sz w:val="22"/>
          <w:szCs w:val="22"/>
        </w:rPr>
        <w:t>ACF</w:t>
      </w:r>
      <w:r w:rsidRPr="00040796">
        <w:rPr>
          <w:rFonts w:ascii="Calibri" w:hAnsi="Calibri" w:cs="Calibri"/>
          <w:sz w:val="22"/>
          <w:szCs w:val="22"/>
        </w:rPr>
        <w:t xml:space="preserve">’s efforts to date and the constraints of remaining time and budget for the data collection. </w:t>
      </w:r>
      <w:r w:rsidRPr="00040796" w:rsidR="00C96F9A">
        <w:rPr>
          <w:rFonts w:ascii="Calibri" w:hAnsi="Calibri" w:cs="Calibri"/>
          <w:sz w:val="22"/>
          <w:szCs w:val="22"/>
        </w:rPr>
        <w:t>ACF</w:t>
      </w:r>
      <w:r w:rsidRPr="00040796">
        <w:rPr>
          <w:rFonts w:ascii="Calibri" w:hAnsi="Calibri" w:cs="Calibri"/>
          <w:sz w:val="22"/>
          <w:szCs w:val="22"/>
        </w:rPr>
        <w:t xml:space="preserve"> is interested in </w:t>
      </w:r>
      <w:r w:rsidRPr="00040796">
        <w:rPr>
          <w:rFonts w:ascii="Calibri" w:hAnsi="Calibri" w:cs="Calibri"/>
          <w:sz w:val="22"/>
          <w:szCs w:val="22"/>
        </w:rPr>
        <w:lastRenderedPageBreak/>
        <w:t xml:space="preserve">using this opportunity to contribute to the body of evidence on the role of incentives in mitigating </w:t>
      </w:r>
      <w:r w:rsidRPr="00040796" w:rsidR="00D65B16">
        <w:rPr>
          <w:rFonts w:ascii="Calibri" w:hAnsi="Calibri" w:cs="Calibri"/>
          <w:sz w:val="22"/>
          <w:szCs w:val="22"/>
        </w:rPr>
        <w:t>non-response</w:t>
      </w:r>
      <w:r w:rsidRPr="00040796">
        <w:rPr>
          <w:rFonts w:ascii="Calibri" w:hAnsi="Calibri" w:cs="Calibri"/>
          <w:sz w:val="22"/>
          <w:szCs w:val="22"/>
        </w:rPr>
        <w:t xml:space="preserve"> bias. </w:t>
      </w:r>
      <w:r w:rsidRPr="00040796" w:rsidR="00E84651">
        <w:rPr>
          <w:rFonts w:ascii="Calibri" w:hAnsi="Calibri" w:cs="Calibri"/>
          <w:sz w:val="22"/>
          <w:szCs w:val="22"/>
        </w:rPr>
        <w:t>Response rates before and after the change in incentives will be calculated for all study participants in each site as well as for each research group</w:t>
      </w:r>
      <w:r w:rsidRPr="00040796" w:rsidR="00784BBA">
        <w:rPr>
          <w:rFonts w:ascii="Calibri" w:hAnsi="Calibri" w:cs="Calibri"/>
          <w:sz w:val="22"/>
          <w:szCs w:val="22"/>
        </w:rPr>
        <w:t>.</w:t>
      </w:r>
      <w:r w:rsidRPr="00040796" w:rsidR="00D00F51">
        <w:rPr>
          <w:rFonts w:ascii="Calibri" w:hAnsi="Calibri" w:cs="Calibri"/>
          <w:sz w:val="22"/>
          <w:szCs w:val="22"/>
        </w:rPr>
        <w:t xml:space="preserve"> In addition, the</w:t>
      </w:r>
      <w:r w:rsidRPr="00040796" w:rsidR="003D4976">
        <w:rPr>
          <w:rFonts w:ascii="Calibri" w:hAnsi="Calibri" w:cs="Calibri"/>
          <w:sz w:val="22"/>
          <w:szCs w:val="22"/>
        </w:rPr>
        <w:t xml:space="preserve"> demographic</w:t>
      </w:r>
      <w:r w:rsidRPr="00040796" w:rsidR="00D00F51">
        <w:rPr>
          <w:rFonts w:ascii="Calibri" w:hAnsi="Calibri" w:cs="Calibri"/>
          <w:sz w:val="22"/>
          <w:szCs w:val="22"/>
        </w:rPr>
        <w:t xml:space="preserve"> characteristics of respondents </w:t>
      </w:r>
      <w:r w:rsidRPr="00040796" w:rsidR="003539D2">
        <w:rPr>
          <w:rFonts w:ascii="Calibri" w:hAnsi="Calibri" w:cs="Calibri"/>
          <w:sz w:val="22"/>
          <w:szCs w:val="22"/>
        </w:rPr>
        <w:t xml:space="preserve">before and after the increase in incentives </w:t>
      </w:r>
      <w:r w:rsidRPr="00040796" w:rsidR="00797842">
        <w:rPr>
          <w:rFonts w:ascii="Calibri" w:hAnsi="Calibri" w:cs="Calibri"/>
          <w:sz w:val="22"/>
          <w:szCs w:val="22"/>
        </w:rPr>
        <w:t>will be</w:t>
      </w:r>
      <w:r w:rsidRPr="00040796" w:rsidR="00D00F51">
        <w:rPr>
          <w:rFonts w:ascii="Calibri" w:hAnsi="Calibri" w:cs="Calibri"/>
          <w:sz w:val="22"/>
          <w:szCs w:val="22"/>
        </w:rPr>
        <w:t xml:space="preserve"> compare</w:t>
      </w:r>
      <w:r w:rsidRPr="00040796" w:rsidR="00797842">
        <w:rPr>
          <w:rFonts w:ascii="Calibri" w:hAnsi="Calibri" w:cs="Calibri"/>
          <w:sz w:val="22"/>
          <w:szCs w:val="22"/>
        </w:rPr>
        <w:t>d</w:t>
      </w:r>
      <w:r w:rsidRPr="00040796" w:rsidR="00D00F51">
        <w:rPr>
          <w:rFonts w:ascii="Calibri" w:hAnsi="Calibri" w:cs="Calibri"/>
          <w:sz w:val="22"/>
          <w:szCs w:val="22"/>
        </w:rPr>
        <w:t xml:space="preserve"> with the full </w:t>
      </w:r>
      <w:r w:rsidRPr="00040796" w:rsidR="000B3385">
        <w:rPr>
          <w:rFonts w:ascii="Calibri" w:hAnsi="Calibri" w:cs="Calibri"/>
          <w:sz w:val="22"/>
          <w:szCs w:val="22"/>
        </w:rPr>
        <w:t xml:space="preserve">baseline study </w:t>
      </w:r>
      <w:r w:rsidRPr="00040796" w:rsidR="00D00F51">
        <w:rPr>
          <w:rFonts w:ascii="Calibri" w:hAnsi="Calibri" w:cs="Calibri"/>
          <w:sz w:val="22"/>
          <w:szCs w:val="22"/>
        </w:rPr>
        <w:t>sample</w:t>
      </w:r>
      <w:r w:rsidRPr="00040796" w:rsidR="00A52B93">
        <w:rPr>
          <w:rFonts w:ascii="Calibri" w:hAnsi="Calibri" w:cs="Calibri"/>
          <w:sz w:val="22"/>
          <w:szCs w:val="22"/>
        </w:rPr>
        <w:t xml:space="preserve">. </w:t>
      </w:r>
      <w:r w:rsidRPr="00040796" w:rsidR="00797842">
        <w:rPr>
          <w:rFonts w:ascii="Calibri" w:hAnsi="Calibri" w:cs="Calibri"/>
          <w:sz w:val="22"/>
          <w:szCs w:val="22"/>
        </w:rPr>
        <w:t>T</w:t>
      </w:r>
      <w:r w:rsidRPr="00040796" w:rsidR="00784BBA">
        <w:rPr>
          <w:rFonts w:ascii="Calibri" w:hAnsi="Calibri" w:cs="Calibri"/>
          <w:sz w:val="22"/>
          <w:szCs w:val="22"/>
        </w:rPr>
        <w:t xml:space="preserve">his analysis </w:t>
      </w:r>
      <w:r w:rsidRPr="00040796" w:rsidR="00797842">
        <w:rPr>
          <w:rFonts w:ascii="Calibri" w:hAnsi="Calibri" w:cs="Calibri"/>
          <w:sz w:val="22"/>
          <w:szCs w:val="22"/>
        </w:rPr>
        <w:t xml:space="preserve">will yield an estimate </w:t>
      </w:r>
      <w:r w:rsidRPr="00040796" w:rsidR="00784BBA">
        <w:rPr>
          <w:rFonts w:ascii="Calibri" w:hAnsi="Calibri" w:cs="Calibri"/>
          <w:sz w:val="22"/>
          <w:szCs w:val="22"/>
        </w:rPr>
        <w:t xml:space="preserve">of the impact </w:t>
      </w:r>
      <w:r w:rsidRPr="00040796" w:rsidR="00260DCF">
        <w:rPr>
          <w:rFonts w:ascii="Calibri" w:hAnsi="Calibri" w:cs="Calibri"/>
          <w:sz w:val="22"/>
          <w:szCs w:val="22"/>
        </w:rPr>
        <w:t>of our</w:t>
      </w:r>
      <w:r w:rsidRPr="00040796" w:rsidR="00784BBA">
        <w:rPr>
          <w:rFonts w:ascii="Calibri" w:hAnsi="Calibri" w:cs="Calibri"/>
          <w:sz w:val="22"/>
          <w:szCs w:val="22"/>
        </w:rPr>
        <w:t xml:space="preserve"> change</w:t>
      </w:r>
      <w:r w:rsidRPr="00040796" w:rsidR="00260DCF">
        <w:rPr>
          <w:rFonts w:ascii="Calibri" w:hAnsi="Calibri" w:cs="Calibri"/>
          <w:sz w:val="22"/>
          <w:szCs w:val="22"/>
        </w:rPr>
        <w:t>s</w:t>
      </w:r>
      <w:r w:rsidRPr="00040796" w:rsidR="00784BBA">
        <w:rPr>
          <w:rFonts w:ascii="Calibri" w:hAnsi="Calibri" w:cs="Calibri"/>
          <w:sz w:val="22"/>
          <w:szCs w:val="22"/>
        </w:rPr>
        <w:t xml:space="preserve"> to </w:t>
      </w:r>
      <w:r w:rsidRPr="00040796" w:rsidR="00260DCF">
        <w:rPr>
          <w:rFonts w:ascii="Calibri" w:hAnsi="Calibri" w:cs="Calibri"/>
          <w:sz w:val="22"/>
          <w:szCs w:val="22"/>
        </w:rPr>
        <w:t xml:space="preserve">fielding </w:t>
      </w:r>
      <w:r w:rsidRPr="00040796" w:rsidR="00784BBA">
        <w:rPr>
          <w:rFonts w:ascii="Calibri" w:hAnsi="Calibri" w:cs="Calibri"/>
          <w:sz w:val="22"/>
          <w:szCs w:val="22"/>
        </w:rPr>
        <w:t xml:space="preserve">protocol on </w:t>
      </w:r>
      <w:r w:rsidRPr="00040796" w:rsidR="000B3385">
        <w:rPr>
          <w:rFonts w:ascii="Calibri" w:hAnsi="Calibri" w:cs="Calibri"/>
          <w:sz w:val="22"/>
          <w:szCs w:val="22"/>
        </w:rPr>
        <w:t xml:space="preserve">observable </w:t>
      </w:r>
      <w:r w:rsidRPr="00040796" w:rsidR="00D65B16">
        <w:rPr>
          <w:rFonts w:ascii="Calibri" w:hAnsi="Calibri" w:cs="Calibri"/>
          <w:sz w:val="22"/>
          <w:szCs w:val="22"/>
        </w:rPr>
        <w:t>non-response</w:t>
      </w:r>
      <w:r w:rsidRPr="00040796" w:rsidR="00784BBA">
        <w:rPr>
          <w:rFonts w:ascii="Calibri" w:hAnsi="Calibri" w:cs="Calibri"/>
          <w:sz w:val="22"/>
          <w:szCs w:val="22"/>
        </w:rPr>
        <w:t xml:space="preserve"> bias. </w:t>
      </w:r>
    </w:p>
    <w:p w:rsidRPr="00040796" w:rsidR="00562203" w:rsidP="00040796" w:rsidRDefault="00784BBA" w14:paraId="4DF0B042" w14:textId="0DAC3750">
      <w:pPr>
        <w:pStyle w:val="Paragraph"/>
        <w:rPr>
          <w:rFonts w:ascii="Calibri" w:hAnsi="Calibri" w:cs="Calibri"/>
          <w:sz w:val="22"/>
          <w:szCs w:val="22"/>
        </w:rPr>
      </w:pPr>
      <w:r w:rsidRPr="00040796">
        <w:rPr>
          <w:rFonts w:ascii="Calibri" w:hAnsi="Calibri" w:cs="Calibri"/>
          <w:sz w:val="22"/>
          <w:szCs w:val="22"/>
        </w:rPr>
        <w:t xml:space="preserve">Given </w:t>
      </w:r>
      <w:r w:rsidRPr="00040796" w:rsidR="00517912">
        <w:rPr>
          <w:rFonts w:ascii="Calibri" w:hAnsi="Calibri" w:cs="Calibri"/>
          <w:sz w:val="22"/>
          <w:szCs w:val="22"/>
        </w:rPr>
        <w:t xml:space="preserve">the widespread changes caused by COVID-19 and the fact </w:t>
      </w:r>
      <w:r w:rsidRPr="00040796">
        <w:rPr>
          <w:rFonts w:ascii="Calibri" w:hAnsi="Calibri" w:cs="Calibri"/>
          <w:sz w:val="22"/>
          <w:szCs w:val="22"/>
        </w:rPr>
        <w:t xml:space="preserve">that we propose to pair the incentive with additional outreach, this analysis will not isolate the causal effect of increased </w:t>
      </w:r>
      <w:r w:rsidRPr="00040796" w:rsidR="00260DCF">
        <w:rPr>
          <w:rFonts w:ascii="Calibri" w:hAnsi="Calibri" w:cs="Calibri"/>
          <w:sz w:val="22"/>
          <w:szCs w:val="22"/>
        </w:rPr>
        <w:t xml:space="preserve">incentives </w:t>
      </w:r>
      <w:r w:rsidRPr="00040796">
        <w:rPr>
          <w:rFonts w:ascii="Calibri" w:hAnsi="Calibri" w:cs="Calibri"/>
          <w:sz w:val="22"/>
          <w:szCs w:val="22"/>
        </w:rPr>
        <w:t xml:space="preserve">alone. </w:t>
      </w:r>
      <w:r w:rsidRPr="00040796" w:rsidR="00C96F9A">
        <w:rPr>
          <w:rFonts w:ascii="Calibri" w:hAnsi="Calibri" w:cs="Calibri"/>
          <w:sz w:val="22"/>
          <w:szCs w:val="22"/>
        </w:rPr>
        <w:t>ACF</w:t>
      </w:r>
      <w:r w:rsidRPr="00040796">
        <w:rPr>
          <w:rFonts w:ascii="Calibri" w:hAnsi="Calibri" w:cs="Calibri"/>
          <w:sz w:val="22"/>
          <w:szCs w:val="22"/>
        </w:rPr>
        <w:t xml:space="preserve"> anticipates that the information resulting from </w:t>
      </w:r>
      <w:r w:rsidRPr="00040796" w:rsidR="003539D2">
        <w:rPr>
          <w:rFonts w:ascii="Calibri" w:hAnsi="Calibri" w:cs="Calibri"/>
          <w:sz w:val="22"/>
          <w:szCs w:val="22"/>
        </w:rPr>
        <w:t xml:space="preserve">the </w:t>
      </w:r>
      <w:r w:rsidRPr="00040796" w:rsidR="000B3385">
        <w:rPr>
          <w:rFonts w:ascii="Calibri" w:hAnsi="Calibri" w:cs="Calibri"/>
          <w:sz w:val="22"/>
          <w:szCs w:val="22"/>
        </w:rPr>
        <w:t>survey administration efforts, including the proposed change in incentive amount, will be</w:t>
      </w:r>
      <w:r w:rsidRPr="00040796">
        <w:rPr>
          <w:rFonts w:ascii="Calibri" w:hAnsi="Calibri" w:cs="Calibri"/>
          <w:sz w:val="22"/>
          <w:szCs w:val="22"/>
        </w:rPr>
        <w:t xml:space="preserve"> of sufficient quality to meaningfully contribute to ongoing learning about strategies for improving the quality, efficiency, and effectiveness of our survey data collections.</w:t>
      </w:r>
    </w:p>
    <w:p w:rsidRPr="00395B70" w:rsidR="00561227" w:rsidP="00561227" w:rsidRDefault="00561227" w14:paraId="6AF63401" w14:textId="03B2A983">
      <w:pPr>
        <w:pStyle w:val="Paragraph"/>
        <w:rPr>
          <w:rFonts w:ascii="Calibri" w:hAnsi="Calibri" w:cs="Calibri"/>
          <w:sz w:val="22"/>
          <w:szCs w:val="22"/>
        </w:rPr>
      </w:pPr>
      <w:bookmarkStart w:name="CC" w:id="12"/>
      <w:bookmarkEnd w:id="12"/>
    </w:p>
    <w:sectPr w:rsidRPr="00395B70" w:rsidR="00561227" w:rsidSect="00BF2A4B">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2B12" w14:textId="77777777" w:rsidR="00085176" w:rsidRPr="00F670A5" w:rsidRDefault="00085176" w:rsidP="00F670A5">
      <w:r>
        <w:separator/>
      </w:r>
    </w:p>
  </w:endnote>
  <w:endnote w:type="continuationSeparator" w:id="0">
    <w:p w14:paraId="0ABD6E34" w14:textId="77777777" w:rsidR="00085176" w:rsidRPr="00F670A5" w:rsidRDefault="00085176"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72E56" w14:textId="77777777" w:rsidR="00085176" w:rsidRDefault="00085176">
      <w:r>
        <w:separator/>
      </w:r>
    </w:p>
  </w:footnote>
  <w:footnote w:type="continuationSeparator" w:id="0">
    <w:p w14:paraId="63960C10" w14:textId="77777777" w:rsidR="00085176" w:rsidRPr="00F670A5" w:rsidRDefault="00085176" w:rsidP="00F670A5">
      <w:r>
        <w:separator/>
      </w:r>
    </w:p>
    <w:p w14:paraId="0E59BBF3" w14:textId="77777777" w:rsidR="00085176" w:rsidRDefault="00085176">
      <w:r w:rsidRPr="00F670A5">
        <w:t>(continued)</w:t>
      </w:r>
    </w:p>
  </w:footnote>
  <w:footnote w:type="continuationNotice" w:id="1">
    <w:p w14:paraId="4F3F54DF" w14:textId="77777777" w:rsidR="00085176" w:rsidRDefault="000851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13A1" w14:textId="1F386CF0" w:rsidR="00901036" w:rsidRDefault="00901036" w:rsidP="00D9643F">
    <w:pPr>
      <w:pStyle w:val="Header"/>
    </w:pPr>
    <w:r w:rsidRPr="00D9643F">
      <w:rPr>
        <w:rStyle w:val="Bold"/>
      </w:rPr>
      <w:t>To:</w:t>
    </w:r>
    <w:r w:rsidRPr="00C81E20">
      <w:rPr>
        <w:rStyle w:val="Default"/>
      </w:rPr>
      <w:tab/>
    </w:r>
    <w:bookmarkStart w:id="7" w:name="HeaderTo"/>
    <w:bookmarkEnd w:id="7"/>
    <w:r w:rsidR="00E81165">
      <w:rPr>
        <w:rStyle w:val="Default"/>
      </w:rPr>
      <w:t>Josh Brammer</w:t>
    </w:r>
  </w:p>
  <w:p w14:paraId="1A00D9E9" w14:textId="5D8EDFB5" w:rsidR="00901036" w:rsidRPr="00C863A2" w:rsidRDefault="00901036" w:rsidP="00D9643F">
    <w:pPr>
      <w:pStyle w:val="Header"/>
      <w:rPr>
        <w:rStyle w:val="Default"/>
      </w:rPr>
    </w:pPr>
    <w:r w:rsidRPr="00D9643F">
      <w:rPr>
        <w:rStyle w:val="Bold"/>
      </w:rPr>
      <w:t>From</w:t>
    </w:r>
    <w:r>
      <w:rPr>
        <w:rStyle w:val="Bold"/>
      </w:rPr>
      <w:t>:</w:t>
    </w:r>
    <w:r w:rsidRPr="00C863A2">
      <w:rPr>
        <w:rStyle w:val="Default"/>
      </w:rPr>
      <w:tab/>
    </w:r>
    <w:r w:rsidR="0059662A">
      <w:rPr>
        <w:rFonts w:ascii="Calibri" w:hAnsi="Calibri" w:cs="Calibri"/>
        <w:sz w:val="22"/>
        <w:szCs w:val="22"/>
      </w:rPr>
      <w:t>Samantha L. Illangasekare</w:t>
    </w:r>
  </w:p>
  <w:p w14:paraId="2DB491FE" w14:textId="0254A56B" w:rsidR="00901036" w:rsidRPr="00C863A2" w:rsidRDefault="00901036" w:rsidP="00D9643F">
    <w:pPr>
      <w:pStyle w:val="Header"/>
      <w:rPr>
        <w:rStyle w:val="Default"/>
      </w:rPr>
    </w:pPr>
    <w:r w:rsidRPr="002F157A">
      <w:rPr>
        <w:rStyle w:val="Bold"/>
      </w:rPr>
      <w:t>Date:</w:t>
    </w:r>
    <w:r w:rsidRPr="00C863A2">
      <w:rPr>
        <w:rStyle w:val="Default"/>
      </w:rPr>
      <w:tab/>
    </w:r>
    <w:bookmarkStart w:id="8" w:name="HeaderDateMark"/>
    <w:bookmarkEnd w:id="8"/>
    <w:r w:rsidR="000117B7" w:rsidRPr="00001B72">
      <w:rPr>
        <w:rStyle w:val="Default"/>
      </w:rPr>
      <w:t>5</w:t>
    </w:r>
    <w:r w:rsidRPr="00001B72">
      <w:rPr>
        <w:rStyle w:val="Default"/>
      </w:rPr>
      <w:t>/</w:t>
    </w:r>
    <w:r w:rsidR="003F7475">
      <w:rPr>
        <w:rStyle w:val="Default"/>
      </w:rPr>
      <w:t>8</w:t>
    </w:r>
    <w:r w:rsidRPr="00001B72">
      <w:rPr>
        <w:rStyle w:val="Default"/>
      </w:rPr>
      <w:t>/2020</w:t>
    </w:r>
  </w:p>
  <w:p w14:paraId="035188A8" w14:textId="0FCBF7F5" w:rsidR="00901036" w:rsidRPr="00C81E20" w:rsidRDefault="00901036"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FB7693">
      <w:rPr>
        <w:rStyle w:val="Default"/>
        <w:noProof/>
      </w:rPr>
      <w:t>7</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A85" w14:textId="60BBB100" w:rsidR="00901036" w:rsidRDefault="00901036" w:rsidP="007D2852">
    <w:pPr>
      <w:pStyle w:val="LogoAnchor"/>
    </w:pPr>
  </w:p>
  <w:p w14:paraId="5CD46DE8" w14:textId="72251ADB" w:rsidR="00901036" w:rsidRPr="000A781A" w:rsidRDefault="00901036" w:rsidP="00D971D0">
    <w:pPr>
      <w:pStyle w:val="TOCHeading"/>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755D3E"/>
    <w:multiLevelType w:val="hybridMultilevel"/>
    <w:tmpl w:val="CF0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0"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FD5C1F"/>
    <w:multiLevelType w:val="hybridMultilevel"/>
    <w:tmpl w:val="C96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A799E"/>
    <w:multiLevelType w:val="hybridMultilevel"/>
    <w:tmpl w:val="6A62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A15501"/>
    <w:multiLevelType w:val="hybridMultilevel"/>
    <w:tmpl w:val="45A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8E1DA8"/>
    <w:multiLevelType w:val="hybridMultilevel"/>
    <w:tmpl w:val="B92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0"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A668C"/>
    <w:multiLevelType w:val="hybridMultilevel"/>
    <w:tmpl w:val="87D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CA0864"/>
    <w:multiLevelType w:val="hybridMultilevel"/>
    <w:tmpl w:val="117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33"/>
  </w:num>
  <w:num w:numId="4">
    <w:abstractNumId w:val="21"/>
  </w:num>
  <w:num w:numId="5">
    <w:abstractNumId w:val="22"/>
  </w:num>
  <w:num w:numId="6">
    <w:abstractNumId w:val="7"/>
  </w:num>
  <w:num w:numId="7">
    <w:abstractNumId w:val="5"/>
  </w:num>
  <w:num w:numId="8">
    <w:abstractNumId w:val="24"/>
  </w:num>
  <w:num w:numId="9">
    <w:abstractNumId w:val="18"/>
  </w:num>
  <w:num w:numId="10">
    <w:abstractNumId w:val="23"/>
  </w:num>
  <w:num w:numId="11">
    <w:abstractNumId w:val="17"/>
  </w:num>
  <w:num w:numId="12">
    <w:abstractNumId w:val="27"/>
  </w:num>
  <w:num w:numId="13">
    <w:abstractNumId w:val="12"/>
  </w:num>
  <w:num w:numId="14">
    <w:abstractNumId w:val="10"/>
  </w:num>
  <w:num w:numId="15">
    <w:abstractNumId w:val="4"/>
  </w:num>
  <w:num w:numId="16">
    <w:abstractNumId w:val="3"/>
  </w:num>
  <w:num w:numId="17">
    <w:abstractNumId w:val="2"/>
  </w:num>
  <w:num w:numId="18">
    <w:abstractNumId w:val="1"/>
  </w:num>
  <w:num w:numId="19">
    <w:abstractNumId w:val="0"/>
  </w:num>
  <w:num w:numId="20">
    <w:abstractNumId w:val="25"/>
  </w:num>
  <w:num w:numId="21">
    <w:abstractNumId w:val="9"/>
  </w:num>
  <w:num w:numId="22">
    <w:abstractNumId w:val="29"/>
  </w:num>
  <w:num w:numId="23">
    <w:abstractNumId w:val="15"/>
  </w:num>
  <w:num w:numId="24">
    <w:abstractNumId w:val="16"/>
  </w:num>
  <w:num w:numId="25">
    <w:abstractNumId w:val="14"/>
  </w:num>
  <w:num w:numId="26">
    <w:abstractNumId w:val="6"/>
  </w:num>
  <w:num w:numId="27">
    <w:abstractNumId w:val="26"/>
  </w:num>
  <w:num w:numId="28">
    <w:abstractNumId w:val="31"/>
  </w:num>
  <w:num w:numId="29">
    <w:abstractNumId w:val="13"/>
  </w:num>
  <w:num w:numId="30">
    <w:abstractNumId w:val="32"/>
  </w:num>
  <w:num w:numId="31">
    <w:abstractNumId w:val="28"/>
  </w:num>
  <w:num w:numId="32">
    <w:abstractNumId w:val="20"/>
  </w:num>
  <w:num w:numId="33">
    <w:abstractNumId w:val="11"/>
  </w:num>
  <w:num w:numId="3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432"/>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1C1"/>
    <w:rsid w:val="00000EB2"/>
    <w:rsid w:val="00001B72"/>
    <w:rsid w:val="0000235B"/>
    <w:rsid w:val="000037DF"/>
    <w:rsid w:val="00004D4D"/>
    <w:rsid w:val="000056F0"/>
    <w:rsid w:val="00006B47"/>
    <w:rsid w:val="000117B7"/>
    <w:rsid w:val="00012B57"/>
    <w:rsid w:val="00013374"/>
    <w:rsid w:val="000147E2"/>
    <w:rsid w:val="00016284"/>
    <w:rsid w:val="00016D0F"/>
    <w:rsid w:val="00020AB3"/>
    <w:rsid w:val="000211A2"/>
    <w:rsid w:val="0002391A"/>
    <w:rsid w:val="00025470"/>
    <w:rsid w:val="00025A53"/>
    <w:rsid w:val="00026BE2"/>
    <w:rsid w:val="00026F59"/>
    <w:rsid w:val="0002711C"/>
    <w:rsid w:val="000307F6"/>
    <w:rsid w:val="00032FBA"/>
    <w:rsid w:val="000362F8"/>
    <w:rsid w:val="00036377"/>
    <w:rsid w:val="00036389"/>
    <w:rsid w:val="000367D0"/>
    <w:rsid w:val="00037D4E"/>
    <w:rsid w:val="0004021A"/>
    <w:rsid w:val="00040796"/>
    <w:rsid w:val="0004452D"/>
    <w:rsid w:val="00044ED5"/>
    <w:rsid w:val="00046559"/>
    <w:rsid w:val="000468A0"/>
    <w:rsid w:val="00047872"/>
    <w:rsid w:val="00050B86"/>
    <w:rsid w:val="00051ADE"/>
    <w:rsid w:val="00052351"/>
    <w:rsid w:val="000524DB"/>
    <w:rsid w:val="0005544D"/>
    <w:rsid w:val="00057551"/>
    <w:rsid w:val="000579C1"/>
    <w:rsid w:val="000633A2"/>
    <w:rsid w:val="000633A4"/>
    <w:rsid w:val="0006791B"/>
    <w:rsid w:val="0007077D"/>
    <w:rsid w:val="000721E5"/>
    <w:rsid w:val="00076C64"/>
    <w:rsid w:val="000770BE"/>
    <w:rsid w:val="000810E1"/>
    <w:rsid w:val="00082685"/>
    <w:rsid w:val="00082868"/>
    <w:rsid w:val="000837BD"/>
    <w:rsid w:val="00083FE7"/>
    <w:rsid w:val="00084E5C"/>
    <w:rsid w:val="00085176"/>
    <w:rsid w:val="00087480"/>
    <w:rsid w:val="000951AF"/>
    <w:rsid w:val="00096351"/>
    <w:rsid w:val="000A0076"/>
    <w:rsid w:val="000A0BF3"/>
    <w:rsid w:val="000A1412"/>
    <w:rsid w:val="000A20F6"/>
    <w:rsid w:val="000A25A4"/>
    <w:rsid w:val="000A47F6"/>
    <w:rsid w:val="000A580A"/>
    <w:rsid w:val="000A781A"/>
    <w:rsid w:val="000B0F0E"/>
    <w:rsid w:val="000B2C09"/>
    <w:rsid w:val="000B3385"/>
    <w:rsid w:val="000B371A"/>
    <w:rsid w:val="000B3E99"/>
    <w:rsid w:val="000B3FC4"/>
    <w:rsid w:val="000C2B0B"/>
    <w:rsid w:val="000C5979"/>
    <w:rsid w:val="000D070A"/>
    <w:rsid w:val="000D11A5"/>
    <w:rsid w:val="000D166A"/>
    <w:rsid w:val="000D2534"/>
    <w:rsid w:val="000D7486"/>
    <w:rsid w:val="000E016D"/>
    <w:rsid w:val="000E0333"/>
    <w:rsid w:val="000E1D80"/>
    <w:rsid w:val="000E26BE"/>
    <w:rsid w:val="000E2E56"/>
    <w:rsid w:val="000E4CFE"/>
    <w:rsid w:val="000E7300"/>
    <w:rsid w:val="000F0263"/>
    <w:rsid w:val="000F032D"/>
    <w:rsid w:val="000F0817"/>
    <w:rsid w:val="000F4249"/>
    <w:rsid w:val="000F6403"/>
    <w:rsid w:val="00100121"/>
    <w:rsid w:val="00102DEF"/>
    <w:rsid w:val="00103336"/>
    <w:rsid w:val="00104C15"/>
    <w:rsid w:val="00115629"/>
    <w:rsid w:val="00116DFB"/>
    <w:rsid w:val="00122006"/>
    <w:rsid w:val="001225DC"/>
    <w:rsid w:val="00123AB6"/>
    <w:rsid w:val="0012406F"/>
    <w:rsid w:val="00124B32"/>
    <w:rsid w:val="001265FF"/>
    <w:rsid w:val="00127C46"/>
    <w:rsid w:val="00134B75"/>
    <w:rsid w:val="001371E0"/>
    <w:rsid w:val="001434A9"/>
    <w:rsid w:val="00145E8B"/>
    <w:rsid w:val="00146297"/>
    <w:rsid w:val="0015080C"/>
    <w:rsid w:val="0015329C"/>
    <w:rsid w:val="0015331C"/>
    <w:rsid w:val="0015348C"/>
    <w:rsid w:val="00155C80"/>
    <w:rsid w:val="001566C5"/>
    <w:rsid w:val="00156718"/>
    <w:rsid w:val="00156771"/>
    <w:rsid w:val="00161235"/>
    <w:rsid w:val="001612B3"/>
    <w:rsid w:val="00161C93"/>
    <w:rsid w:val="001642EC"/>
    <w:rsid w:val="001674DB"/>
    <w:rsid w:val="00167958"/>
    <w:rsid w:val="001707BE"/>
    <w:rsid w:val="00170D06"/>
    <w:rsid w:val="00172DAF"/>
    <w:rsid w:val="00173CE0"/>
    <w:rsid w:val="00174615"/>
    <w:rsid w:val="00181662"/>
    <w:rsid w:val="0018185A"/>
    <w:rsid w:val="00181A03"/>
    <w:rsid w:val="001821B8"/>
    <w:rsid w:val="00183F3E"/>
    <w:rsid w:val="00185094"/>
    <w:rsid w:val="00186135"/>
    <w:rsid w:val="001868C4"/>
    <w:rsid w:val="00187240"/>
    <w:rsid w:val="001900CD"/>
    <w:rsid w:val="001930E1"/>
    <w:rsid w:val="00193B4B"/>
    <w:rsid w:val="00196EFB"/>
    <w:rsid w:val="0019797B"/>
    <w:rsid w:val="001A063D"/>
    <w:rsid w:val="001A140D"/>
    <w:rsid w:val="001A3CDD"/>
    <w:rsid w:val="001A5160"/>
    <w:rsid w:val="001A5F00"/>
    <w:rsid w:val="001B31BD"/>
    <w:rsid w:val="001B51E0"/>
    <w:rsid w:val="001C3206"/>
    <w:rsid w:val="001C3D19"/>
    <w:rsid w:val="001C49D3"/>
    <w:rsid w:val="001C7A81"/>
    <w:rsid w:val="001D3E2F"/>
    <w:rsid w:val="001D3FF7"/>
    <w:rsid w:val="001D468F"/>
    <w:rsid w:val="001E0B6A"/>
    <w:rsid w:val="001E2897"/>
    <w:rsid w:val="001E3911"/>
    <w:rsid w:val="001E3E41"/>
    <w:rsid w:val="001E5247"/>
    <w:rsid w:val="001E79F4"/>
    <w:rsid w:val="001E7FF7"/>
    <w:rsid w:val="001F0C78"/>
    <w:rsid w:val="001F1831"/>
    <w:rsid w:val="001F404D"/>
    <w:rsid w:val="001F60A1"/>
    <w:rsid w:val="001F6377"/>
    <w:rsid w:val="001F6FC2"/>
    <w:rsid w:val="002026CA"/>
    <w:rsid w:val="00206A25"/>
    <w:rsid w:val="00206A93"/>
    <w:rsid w:val="00210B8E"/>
    <w:rsid w:val="00212F85"/>
    <w:rsid w:val="0021411F"/>
    <w:rsid w:val="002159E6"/>
    <w:rsid w:val="00216A0D"/>
    <w:rsid w:val="00220B8E"/>
    <w:rsid w:val="00221647"/>
    <w:rsid w:val="00222EEC"/>
    <w:rsid w:val="00223AF9"/>
    <w:rsid w:val="002252F8"/>
    <w:rsid w:val="002261D3"/>
    <w:rsid w:val="0022788D"/>
    <w:rsid w:val="00227C76"/>
    <w:rsid w:val="00230037"/>
    <w:rsid w:val="00230937"/>
    <w:rsid w:val="00230E1C"/>
    <w:rsid w:val="00230EDA"/>
    <w:rsid w:val="00232078"/>
    <w:rsid w:val="00233D9B"/>
    <w:rsid w:val="00236CCB"/>
    <w:rsid w:val="00240CFA"/>
    <w:rsid w:val="00241EAD"/>
    <w:rsid w:val="002423F9"/>
    <w:rsid w:val="002438D5"/>
    <w:rsid w:val="00246DFB"/>
    <w:rsid w:val="0024708C"/>
    <w:rsid w:val="00247FDC"/>
    <w:rsid w:val="002515B4"/>
    <w:rsid w:val="002555A3"/>
    <w:rsid w:val="00260B32"/>
    <w:rsid w:val="00260DCF"/>
    <w:rsid w:val="002619D1"/>
    <w:rsid w:val="00265C23"/>
    <w:rsid w:val="0026627A"/>
    <w:rsid w:val="002700CE"/>
    <w:rsid w:val="00271487"/>
    <w:rsid w:val="00275FF2"/>
    <w:rsid w:val="002860C7"/>
    <w:rsid w:val="00286A49"/>
    <w:rsid w:val="00290AAD"/>
    <w:rsid w:val="00290C18"/>
    <w:rsid w:val="00292C2A"/>
    <w:rsid w:val="00293353"/>
    <w:rsid w:val="00294D07"/>
    <w:rsid w:val="0029636B"/>
    <w:rsid w:val="0029644B"/>
    <w:rsid w:val="002A0256"/>
    <w:rsid w:val="002A08C0"/>
    <w:rsid w:val="002A2446"/>
    <w:rsid w:val="002A28BA"/>
    <w:rsid w:val="002A2BF2"/>
    <w:rsid w:val="002A4108"/>
    <w:rsid w:val="002A7CA1"/>
    <w:rsid w:val="002B125C"/>
    <w:rsid w:val="002B12A3"/>
    <w:rsid w:val="002B16C1"/>
    <w:rsid w:val="002B3137"/>
    <w:rsid w:val="002B4321"/>
    <w:rsid w:val="002B569C"/>
    <w:rsid w:val="002B58F5"/>
    <w:rsid w:val="002B5A7C"/>
    <w:rsid w:val="002B6A17"/>
    <w:rsid w:val="002C1ABC"/>
    <w:rsid w:val="002C6428"/>
    <w:rsid w:val="002C6AE0"/>
    <w:rsid w:val="002C6D5F"/>
    <w:rsid w:val="002C75AC"/>
    <w:rsid w:val="002D42E5"/>
    <w:rsid w:val="002E0B9D"/>
    <w:rsid w:val="002E2517"/>
    <w:rsid w:val="002E6429"/>
    <w:rsid w:val="002E65FD"/>
    <w:rsid w:val="002F01D5"/>
    <w:rsid w:val="002F157A"/>
    <w:rsid w:val="002F2DBB"/>
    <w:rsid w:val="002F707D"/>
    <w:rsid w:val="003004FD"/>
    <w:rsid w:val="00304532"/>
    <w:rsid w:val="00306387"/>
    <w:rsid w:val="00310967"/>
    <w:rsid w:val="00310A32"/>
    <w:rsid w:val="00310F2E"/>
    <w:rsid w:val="00311D3E"/>
    <w:rsid w:val="00312074"/>
    <w:rsid w:val="003122B6"/>
    <w:rsid w:val="003137D2"/>
    <w:rsid w:val="00315CFD"/>
    <w:rsid w:val="00324043"/>
    <w:rsid w:val="003242F7"/>
    <w:rsid w:val="00330106"/>
    <w:rsid w:val="003310AC"/>
    <w:rsid w:val="0033236F"/>
    <w:rsid w:val="00332E3A"/>
    <w:rsid w:val="00335FE8"/>
    <w:rsid w:val="00336D6B"/>
    <w:rsid w:val="00337C89"/>
    <w:rsid w:val="00342BE6"/>
    <w:rsid w:val="00343C99"/>
    <w:rsid w:val="00344E2D"/>
    <w:rsid w:val="003462B6"/>
    <w:rsid w:val="0035173A"/>
    <w:rsid w:val="003539D2"/>
    <w:rsid w:val="00355A72"/>
    <w:rsid w:val="003609A9"/>
    <w:rsid w:val="00361A92"/>
    <w:rsid w:val="0036593D"/>
    <w:rsid w:val="00370C41"/>
    <w:rsid w:val="00375230"/>
    <w:rsid w:val="00376059"/>
    <w:rsid w:val="003771FC"/>
    <w:rsid w:val="0037757D"/>
    <w:rsid w:val="003814D4"/>
    <w:rsid w:val="00381819"/>
    <w:rsid w:val="003837E7"/>
    <w:rsid w:val="00385775"/>
    <w:rsid w:val="0038623D"/>
    <w:rsid w:val="00386760"/>
    <w:rsid w:val="00395B70"/>
    <w:rsid w:val="003A2001"/>
    <w:rsid w:val="003A355C"/>
    <w:rsid w:val="003A3852"/>
    <w:rsid w:val="003A3CDA"/>
    <w:rsid w:val="003A3E45"/>
    <w:rsid w:val="003A3E79"/>
    <w:rsid w:val="003A4CDC"/>
    <w:rsid w:val="003A59E6"/>
    <w:rsid w:val="003B06CA"/>
    <w:rsid w:val="003B4A60"/>
    <w:rsid w:val="003B4F97"/>
    <w:rsid w:val="003B752E"/>
    <w:rsid w:val="003B76CB"/>
    <w:rsid w:val="003C0681"/>
    <w:rsid w:val="003C236B"/>
    <w:rsid w:val="003C537A"/>
    <w:rsid w:val="003C5989"/>
    <w:rsid w:val="003C7111"/>
    <w:rsid w:val="003C7680"/>
    <w:rsid w:val="003D0791"/>
    <w:rsid w:val="003D1703"/>
    <w:rsid w:val="003D4976"/>
    <w:rsid w:val="003E2437"/>
    <w:rsid w:val="003E41AE"/>
    <w:rsid w:val="003E72B6"/>
    <w:rsid w:val="003E7D6E"/>
    <w:rsid w:val="003F2B51"/>
    <w:rsid w:val="003F43EB"/>
    <w:rsid w:val="003F5362"/>
    <w:rsid w:val="003F7475"/>
    <w:rsid w:val="003F7DD5"/>
    <w:rsid w:val="00403076"/>
    <w:rsid w:val="004069D1"/>
    <w:rsid w:val="00411909"/>
    <w:rsid w:val="00412C19"/>
    <w:rsid w:val="004174DC"/>
    <w:rsid w:val="004202A4"/>
    <w:rsid w:val="0042076D"/>
    <w:rsid w:val="004232B5"/>
    <w:rsid w:val="00423753"/>
    <w:rsid w:val="004249AB"/>
    <w:rsid w:val="0042701B"/>
    <w:rsid w:val="00430743"/>
    <w:rsid w:val="004307E4"/>
    <w:rsid w:val="00430E48"/>
    <w:rsid w:val="00433F62"/>
    <w:rsid w:val="00435832"/>
    <w:rsid w:val="00436FD2"/>
    <w:rsid w:val="004376DA"/>
    <w:rsid w:val="00441CDA"/>
    <w:rsid w:val="00443B67"/>
    <w:rsid w:val="0044403F"/>
    <w:rsid w:val="00444CF5"/>
    <w:rsid w:val="00444F53"/>
    <w:rsid w:val="00445232"/>
    <w:rsid w:val="00445922"/>
    <w:rsid w:val="00446366"/>
    <w:rsid w:val="00446834"/>
    <w:rsid w:val="00450E21"/>
    <w:rsid w:val="004565E5"/>
    <w:rsid w:val="00460066"/>
    <w:rsid w:val="00465787"/>
    <w:rsid w:val="00466BF1"/>
    <w:rsid w:val="004670CF"/>
    <w:rsid w:val="0047070C"/>
    <w:rsid w:val="004709DB"/>
    <w:rsid w:val="004716AF"/>
    <w:rsid w:val="00473218"/>
    <w:rsid w:val="0047321C"/>
    <w:rsid w:val="004742CB"/>
    <w:rsid w:val="00474E69"/>
    <w:rsid w:val="00476557"/>
    <w:rsid w:val="00480AC1"/>
    <w:rsid w:val="00487B5A"/>
    <w:rsid w:val="004909CF"/>
    <w:rsid w:val="004917FE"/>
    <w:rsid w:val="00495FA4"/>
    <w:rsid w:val="00496B31"/>
    <w:rsid w:val="00496B7E"/>
    <w:rsid w:val="004A0AC4"/>
    <w:rsid w:val="004A118E"/>
    <w:rsid w:val="004A7EF6"/>
    <w:rsid w:val="004B005A"/>
    <w:rsid w:val="004B07E1"/>
    <w:rsid w:val="004B0AB4"/>
    <w:rsid w:val="004B1D0F"/>
    <w:rsid w:val="004B427C"/>
    <w:rsid w:val="004B44AF"/>
    <w:rsid w:val="004B4B54"/>
    <w:rsid w:val="004B4CF9"/>
    <w:rsid w:val="004B6223"/>
    <w:rsid w:val="004B7525"/>
    <w:rsid w:val="004C0DD8"/>
    <w:rsid w:val="004C15F3"/>
    <w:rsid w:val="004C22E6"/>
    <w:rsid w:val="004C3BDB"/>
    <w:rsid w:val="004C3DF3"/>
    <w:rsid w:val="004C3F5C"/>
    <w:rsid w:val="004C3F89"/>
    <w:rsid w:val="004C7419"/>
    <w:rsid w:val="004D0F3F"/>
    <w:rsid w:val="004D2F3C"/>
    <w:rsid w:val="004D4374"/>
    <w:rsid w:val="004D4BC7"/>
    <w:rsid w:val="004D5C42"/>
    <w:rsid w:val="004D662C"/>
    <w:rsid w:val="004D670E"/>
    <w:rsid w:val="004D6DD3"/>
    <w:rsid w:val="004D71F9"/>
    <w:rsid w:val="004E145E"/>
    <w:rsid w:val="004E41FD"/>
    <w:rsid w:val="004E485B"/>
    <w:rsid w:val="004F04A3"/>
    <w:rsid w:val="004F0947"/>
    <w:rsid w:val="004F0EC5"/>
    <w:rsid w:val="004F55EA"/>
    <w:rsid w:val="004F56AE"/>
    <w:rsid w:val="004F7854"/>
    <w:rsid w:val="004F78A6"/>
    <w:rsid w:val="00500243"/>
    <w:rsid w:val="0050564C"/>
    <w:rsid w:val="0050616E"/>
    <w:rsid w:val="00506442"/>
    <w:rsid w:val="00507927"/>
    <w:rsid w:val="00510604"/>
    <w:rsid w:val="0051205C"/>
    <w:rsid w:val="00514725"/>
    <w:rsid w:val="00515591"/>
    <w:rsid w:val="0051627D"/>
    <w:rsid w:val="00517912"/>
    <w:rsid w:val="005208A3"/>
    <w:rsid w:val="005216B7"/>
    <w:rsid w:val="00522506"/>
    <w:rsid w:val="005233C0"/>
    <w:rsid w:val="00526212"/>
    <w:rsid w:val="005322B1"/>
    <w:rsid w:val="005342BB"/>
    <w:rsid w:val="00545514"/>
    <w:rsid w:val="00547279"/>
    <w:rsid w:val="005474AB"/>
    <w:rsid w:val="00554E36"/>
    <w:rsid w:val="00554EBD"/>
    <w:rsid w:val="00556419"/>
    <w:rsid w:val="00561227"/>
    <w:rsid w:val="00562203"/>
    <w:rsid w:val="00563EF2"/>
    <w:rsid w:val="00564518"/>
    <w:rsid w:val="005660B5"/>
    <w:rsid w:val="005665E6"/>
    <w:rsid w:val="00566D77"/>
    <w:rsid w:val="005678C0"/>
    <w:rsid w:val="00571E92"/>
    <w:rsid w:val="00573F08"/>
    <w:rsid w:val="00574252"/>
    <w:rsid w:val="005751D0"/>
    <w:rsid w:val="00580622"/>
    <w:rsid w:val="005812B5"/>
    <w:rsid w:val="00581CD5"/>
    <w:rsid w:val="00583421"/>
    <w:rsid w:val="0058669E"/>
    <w:rsid w:val="00586C81"/>
    <w:rsid w:val="00591975"/>
    <w:rsid w:val="0059662A"/>
    <w:rsid w:val="005975E0"/>
    <w:rsid w:val="005A32D4"/>
    <w:rsid w:val="005A384E"/>
    <w:rsid w:val="005A3A6F"/>
    <w:rsid w:val="005A407E"/>
    <w:rsid w:val="005A47DB"/>
    <w:rsid w:val="005A4ACD"/>
    <w:rsid w:val="005A54A0"/>
    <w:rsid w:val="005B0D3A"/>
    <w:rsid w:val="005B1399"/>
    <w:rsid w:val="005B2113"/>
    <w:rsid w:val="005B2738"/>
    <w:rsid w:val="005B4D59"/>
    <w:rsid w:val="005B620F"/>
    <w:rsid w:val="005B7524"/>
    <w:rsid w:val="005C00AF"/>
    <w:rsid w:val="005C3B11"/>
    <w:rsid w:val="005C5C26"/>
    <w:rsid w:val="005C6819"/>
    <w:rsid w:val="005C79A1"/>
    <w:rsid w:val="005D10CE"/>
    <w:rsid w:val="005D4145"/>
    <w:rsid w:val="005D425D"/>
    <w:rsid w:val="005D4F0E"/>
    <w:rsid w:val="005D5E7D"/>
    <w:rsid w:val="005E120D"/>
    <w:rsid w:val="005E3193"/>
    <w:rsid w:val="005F0590"/>
    <w:rsid w:val="005F10D9"/>
    <w:rsid w:val="005F1C22"/>
    <w:rsid w:val="005F2530"/>
    <w:rsid w:val="005F33FB"/>
    <w:rsid w:val="005F502A"/>
    <w:rsid w:val="0060180F"/>
    <w:rsid w:val="00607B02"/>
    <w:rsid w:val="00607EA6"/>
    <w:rsid w:val="00613849"/>
    <w:rsid w:val="00617A51"/>
    <w:rsid w:val="006219AE"/>
    <w:rsid w:val="00621BE6"/>
    <w:rsid w:val="00622B08"/>
    <w:rsid w:val="00623A68"/>
    <w:rsid w:val="006240A2"/>
    <w:rsid w:val="00627B99"/>
    <w:rsid w:val="00627F71"/>
    <w:rsid w:val="00632187"/>
    <w:rsid w:val="006349C6"/>
    <w:rsid w:val="006371DF"/>
    <w:rsid w:val="00644E78"/>
    <w:rsid w:val="00646405"/>
    <w:rsid w:val="00650933"/>
    <w:rsid w:val="006511B7"/>
    <w:rsid w:val="00652415"/>
    <w:rsid w:val="00652708"/>
    <w:rsid w:val="00652B66"/>
    <w:rsid w:val="00654100"/>
    <w:rsid w:val="0065616C"/>
    <w:rsid w:val="006626EB"/>
    <w:rsid w:val="00664315"/>
    <w:rsid w:val="006649C8"/>
    <w:rsid w:val="00664BBF"/>
    <w:rsid w:val="00665825"/>
    <w:rsid w:val="006658BB"/>
    <w:rsid w:val="006731EB"/>
    <w:rsid w:val="006732D7"/>
    <w:rsid w:val="00673D44"/>
    <w:rsid w:val="00676289"/>
    <w:rsid w:val="0068269A"/>
    <w:rsid w:val="0068279A"/>
    <w:rsid w:val="00690B08"/>
    <w:rsid w:val="00690C71"/>
    <w:rsid w:val="00690FCB"/>
    <w:rsid w:val="00691C32"/>
    <w:rsid w:val="006925BC"/>
    <w:rsid w:val="0069412E"/>
    <w:rsid w:val="006943A9"/>
    <w:rsid w:val="00694697"/>
    <w:rsid w:val="006946CD"/>
    <w:rsid w:val="00694755"/>
    <w:rsid w:val="006950ED"/>
    <w:rsid w:val="0069544F"/>
    <w:rsid w:val="006A0D67"/>
    <w:rsid w:val="006A234E"/>
    <w:rsid w:val="006A523D"/>
    <w:rsid w:val="006A5E09"/>
    <w:rsid w:val="006A710F"/>
    <w:rsid w:val="006B01AB"/>
    <w:rsid w:val="006B0BBE"/>
    <w:rsid w:val="006B1647"/>
    <w:rsid w:val="006B1DE8"/>
    <w:rsid w:val="006B2DA7"/>
    <w:rsid w:val="006B3FF3"/>
    <w:rsid w:val="006B40EE"/>
    <w:rsid w:val="006B4238"/>
    <w:rsid w:val="006B49F7"/>
    <w:rsid w:val="006B4AE8"/>
    <w:rsid w:val="006B7D0A"/>
    <w:rsid w:val="006C12EE"/>
    <w:rsid w:val="006C3134"/>
    <w:rsid w:val="006C432F"/>
    <w:rsid w:val="006D1E27"/>
    <w:rsid w:val="006D3219"/>
    <w:rsid w:val="006D4B21"/>
    <w:rsid w:val="006D5A83"/>
    <w:rsid w:val="006D672B"/>
    <w:rsid w:val="006D6739"/>
    <w:rsid w:val="006E2A3C"/>
    <w:rsid w:val="006E4A77"/>
    <w:rsid w:val="006E6C35"/>
    <w:rsid w:val="006F0F77"/>
    <w:rsid w:val="006F1CD8"/>
    <w:rsid w:val="006F3CCF"/>
    <w:rsid w:val="006F655F"/>
    <w:rsid w:val="006F6FB5"/>
    <w:rsid w:val="006F7C1F"/>
    <w:rsid w:val="006F7FBC"/>
    <w:rsid w:val="00700710"/>
    <w:rsid w:val="00701EB7"/>
    <w:rsid w:val="0070540C"/>
    <w:rsid w:val="0070583F"/>
    <w:rsid w:val="00705880"/>
    <w:rsid w:val="00710AB7"/>
    <w:rsid w:val="00711F93"/>
    <w:rsid w:val="00711FAB"/>
    <w:rsid w:val="00717966"/>
    <w:rsid w:val="00725ADB"/>
    <w:rsid w:val="00726E1C"/>
    <w:rsid w:val="007278AA"/>
    <w:rsid w:val="00730422"/>
    <w:rsid w:val="00730D6F"/>
    <w:rsid w:val="00732201"/>
    <w:rsid w:val="00732B64"/>
    <w:rsid w:val="00733FA4"/>
    <w:rsid w:val="00735CF6"/>
    <w:rsid w:val="00736EF5"/>
    <w:rsid w:val="0073793D"/>
    <w:rsid w:val="007407FA"/>
    <w:rsid w:val="00742F69"/>
    <w:rsid w:val="00743DC7"/>
    <w:rsid w:val="00744B8E"/>
    <w:rsid w:val="00753181"/>
    <w:rsid w:val="007533D3"/>
    <w:rsid w:val="00754525"/>
    <w:rsid w:val="00754E13"/>
    <w:rsid w:val="00755848"/>
    <w:rsid w:val="00756B6C"/>
    <w:rsid w:val="007575CC"/>
    <w:rsid w:val="00760A41"/>
    <w:rsid w:val="007618CA"/>
    <w:rsid w:val="00764FAF"/>
    <w:rsid w:val="00765B29"/>
    <w:rsid w:val="00765C21"/>
    <w:rsid w:val="00767EC4"/>
    <w:rsid w:val="00772EBE"/>
    <w:rsid w:val="00774D1D"/>
    <w:rsid w:val="00775AFA"/>
    <w:rsid w:val="007775CB"/>
    <w:rsid w:val="00780288"/>
    <w:rsid w:val="0078158A"/>
    <w:rsid w:val="00784BBA"/>
    <w:rsid w:val="007857FE"/>
    <w:rsid w:val="00791141"/>
    <w:rsid w:val="007918B0"/>
    <w:rsid w:val="00793212"/>
    <w:rsid w:val="00793FBA"/>
    <w:rsid w:val="00794B01"/>
    <w:rsid w:val="00796495"/>
    <w:rsid w:val="00796763"/>
    <w:rsid w:val="00796FAE"/>
    <w:rsid w:val="00797842"/>
    <w:rsid w:val="007A2ABF"/>
    <w:rsid w:val="007A490F"/>
    <w:rsid w:val="007A5229"/>
    <w:rsid w:val="007A74ED"/>
    <w:rsid w:val="007B1E08"/>
    <w:rsid w:val="007B3847"/>
    <w:rsid w:val="007B4ACD"/>
    <w:rsid w:val="007B71DA"/>
    <w:rsid w:val="007B7CF6"/>
    <w:rsid w:val="007C04EA"/>
    <w:rsid w:val="007C3E83"/>
    <w:rsid w:val="007C4E70"/>
    <w:rsid w:val="007C5E52"/>
    <w:rsid w:val="007C6792"/>
    <w:rsid w:val="007D2852"/>
    <w:rsid w:val="007D4318"/>
    <w:rsid w:val="007D7ABA"/>
    <w:rsid w:val="007E1D1D"/>
    <w:rsid w:val="007E4573"/>
    <w:rsid w:val="007E58DD"/>
    <w:rsid w:val="007E6D63"/>
    <w:rsid w:val="007F1D72"/>
    <w:rsid w:val="007F1E79"/>
    <w:rsid w:val="007F4F8B"/>
    <w:rsid w:val="007F571B"/>
    <w:rsid w:val="007F6E91"/>
    <w:rsid w:val="007F7DB6"/>
    <w:rsid w:val="00803848"/>
    <w:rsid w:val="008062DC"/>
    <w:rsid w:val="00806B60"/>
    <w:rsid w:val="00810D90"/>
    <w:rsid w:val="008138A2"/>
    <w:rsid w:val="00814A2C"/>
    <w:rsid w:val="008158C2"/>
    <w:rsid w:val="0082427A"/>
    <w:rsid w:val="00825F68"/>
    <w:rsid w:val="00826FA9"/>
    <w:rsid w:val="00830C42"/>
    <w:rsid w:val="00834D84"/>
    <w:rsid w:val="00840C51"/>
    <w:rsid w:val="00842C83"/>
    <w:rsid w:val="00844C18"/>
    <w:rsid w:val="0085221E"/>
    <w:rsid w:val="008537F9"/>
    <w:rsid w:val="00853D77"/>
    <w:rsid w:val="00854E94"/>
    <w:rsid w:val="0085589E"/>
    <w:rsid w:val="0085676A"/>
    <w:rsid w:val="00861A87"/>
    <w:rsid w:val="0086215A"/>
    <w:rsid w:val="008625C8"/>
    <w:rsid w:val="0086294F"/>
    <w:rsid w:val="008633BA"/>
    <w:rsid w:val="00864D13"/>
    <w:rsid w:val="00864F15"/>
    <w:rsid w:val="008654D5"/>
    <w:rsid w:val="00865577"/>
    <w:rsid w:val="0086709F"/>
    <w:rsid w:val="00872B34"/>
    <w:rsid w:val="00873CAC"/>
    <w:rsid w:val="00873D36"/>
    <w:rsid w:val="00874D06"/>
    <w:rsid w:val="00874DE5"/>
    <w:rsid w:val="008758C4"/>
    <w:rsid w:val="00877837"/>
    <w:rsid w:val="00880CBA"/>
    <w:rsid w:val="00882CDC"/>
    <w:rsid w:val="0088326B"/>
    <w:rsid w:val="0088497F"/>
    <w:rsid w:val="00885040"/>
    <w:rsid w:val="00885745"/>
    <w:rsid w:val="0088623C"/>
    <w:rsid w:val="008866B4"/>
    <w:rsid w:val="00886F66"/>
    <w:rsid w:val="0088717B"/>
    <w:rsid w:val="00891A67"/>
    <w:rsid w:val="00894116"/>
    <w:rsid w:val="00894F97"/>
    <w:rsid w:val="00896485"/>
    <w:rsid w:val="0089738C"/>
    <w:rsid w:val="008A00BA"/>
    <w:rsid w:val="008A02F1"/>
    <w:rsid w:val="008A03FD"/>
    <w:rsid w:val="008A0414"/>
    <w:rsid w:val="008A0F9B"/>
    <w:rsid w:val="008A1177"/>
    <w:rsid w:val="008A3BF8"/>
    <w:rsid w:val="008A422E"/>
    <w:rsid w:val="008A4E97"/>
    <w:rsid w:val="008B32D9"/>
    <w:rsid w:val="008B461A"/>
    <w:rsid w:val="008B54ED"/>
    <w:rsid w:val="008B5D93"/>
    <w:rsid w:val="008B6298"/>
    <w:rsid w:val="008B67BF"/>
    <w:rsid w:val="008C36D5"/>
    <w:rsid w:val="008C78E3"/>
    <w:rsid w:val="008D16C1"/>
    <w:rsid w:val="008D1B3E"/>
    <w:rsid w:val="008D59CA"/>
    <w:rsid w:val="008D73C2"/>
    <w:rsid w:val="008E2F6B"/>
    <w:rsid w:val="008E403A"/>
    <w:rsid w:val="008E49B0"/>
    <w:rsid w:val="008E55D5"/>
    <w:rsid w:val="008E71C9"/>
    <w:rsid w:val="008F02F9"/>
    <w:rsid w:val="008F0E9C"/>
    <w:rsid w:val="008F18E0"/>
    <w:rsid w:val="008F7060"/>
    <w:rsid w:val="008F7880"/>
    <w:rsid w:val="00900491"/>
    <w:rsid w:val="00901008"/>
    <w:rsid w:val="00901036"/>
    <w:rsid w:val="00901242"/>
    <w:rsid w:val="009025BD"/>
    <w:rsid w:val="0090696E"/>
    <w:rsid w:val="00907E45"/>
    <w:rsid w:val="00907FFB"/>
    <w:rsid w:val="00910C76"/>
    <w:rsid w:val="00911667"/>
    <w:rsid w:val="00911A74"/>
    <w:rsid w:val="009122E6"/>
    <w:rsid w:val="00913934"/>
    <w:rsid w:val="009143AF"/>
    <w:rsid w:val="00914879"/>
    <w:rsid w:val="00917152"/>
    <w:rsid w:val="0092023E"/>
    <w:rsid w:val="00920C13"/>
    <w:rsid w:val="00920C89"/>
    <w:rsid w:val="00920F2E"/>
    <w:rsid w:val="00921B22"/>
    <w:rsid w:val="00922C77"/>
    <w:rsid w:val="00923E64"/>
    <w:rsid w:val="00924178"/>
    <w:rsid w:val="00924BB9"/>
    <w:rsid w:val="00925684"/>
    <w:rsid w:val="00925E91"/>
    <w:rsid w:val="0092709F"/>
    <w:rsid w:val="00927CB9"/>
    <w:rsid w:val="00932AF2"/>
    <w:rsid w:val="009341AB"/>
    <w:rsid w:val="00937384"/>
    <w:rsid w:val="00937DE0"/>
    <w:rsid w:val="00941227"/>
    <w:rsid w:val="00944016"/>
    <w:rsid w:val="009510A2"/>
    <w:rsid w:val="00951FD3"/>
    <w:rsid w:val="00954B26"/>
    <w:rsid w:val="00954C66"/>
    <w:rsid w:val="00955267"/>
    <w:rsid w:val="00964E90"/>
    <w:rsid w:val="00965C58"/>
    <w:rsid w:val="00965C7B"/>
    <w:rsid w:val="009675EB"/>
    <w:rsid w:val="0097265A"/>
    <w:rsid w:val="00975331"/>
    <w:rsid w:val="0097668D"/>
    <w:rsid w:val="00980587"/>
    <w:rsid w:val="0098138F"/>
    <w:rsid w:val="009817FA"/>
    <w:rsid w:val="00982ADF"/>
    <w:rsid w:val="00984825"/>
    <w:rsid w:val="00990810"/>
    <w:rsid w:val="009916D7"/>
    <w:rsid w:val="00992140"/>
    <w:rsid w:val="00997944"/>
    <w:rsid w:val="009A11F0"/>
    <w:rsid w:val="009A1D89"/>
    <w:rsid w:val="009A2384"/>
    <w:rsid w:val="009A26B2"/>
    <w:rsid w:val="009A3932"/>
    <w:rsid w:val="009B063D"/>
    <w:rsid w:val="009B0C4B"/>
    <w:rsid w:val="009B1101"/>
    <w:rsid w:val="009B3368"/>
    <w:rsid w:val="009B7AA7"/>
    <w:rsid w:val="009B7B53"/>
    <w:rsid w:val="009C336A"/>
    <w:rsid w:val="009C4561"/>
    <w:rsid w:val="009C4DD8"/>
    <w:rsid w:val="009C7D2C"/>
    <w:rsid w:val="009D01F5"/>
    <w:rsid w:val="009D14BB"/>
    <w:rsid w:val="009D7395"/>
    <w:rsid w:val="009E0D07"/>
    <w:rsid w:val="009E1674"/>
    <w:rsid w:val="009E1CCB"/>
    <w:rsid w:val="009E5884"/>
    <w:rsid w:val="009E6B73"/>
    <w:rsid w:val="009E7A15"/>
    <w:rsid w:val="009E7ECC"/>
    <w:rsid w:val="009F06B2"/>
    <w:rsid w:val="009F0797"/>
    <w:rsid w:val="009F1F1E"/>
    <w:rsid w:val="009F3175"/>
    <w:rsid w:val="009F45ED"/>
    <w:rsid w:val="009F51B1"/>
    <w:rsid w:val="009F559C"/>
    <w:rsid w:val="00A021F6"/>
    <w:rsid w:val="00A03423"/>
    <w:rsid w:val="00A069A8"/>
    <w:rsid w:val="00A109E6"/>
    <w:rsid w:val="00A10A33"/>
    <w:rsid w:val="00A11596"/>
    <w:rsid w:val="00A12A88"/>
    <w:rsid w:val="00A133C5"/>
    <w:rsid w:val="00A13C79"/>
    <w:rsid w:val="00A13E18"/>
    <w:rsid w:val="00A1402E"/>
    <w:rsid w:val="00A16661"/>
    <w:rsid w:val="00A167DC"/>
    <w:rsid w:val="00A22251"/>
    <w:rsid w:val="00A23F2A"/>
    <w:rsid w:val="00A24932"/>
    <w:rsid w:val="00A258C0"/>
    <w:rsid w:val="00A268D5"/>
    <w:rsid w:val="00A319B0"/>
    <w:rsid w:val="00A34B13"/>
    <w:rsid w:val="00A40930"/>
    <w:rsid w:val="00A40F03"/>
    <w:rsid w:val="00A40F25"/>
    <w:rsid w:val="00A41637"/>
    <w:rsid w:val="00A4180A"/>
    <w:rsid w:val="00A422C5"/>
    <w:rsid w:val="00A42501"/>
    <w:rsid w:val="00A42E94"/>
    <w:rsid w:val="00A441D2"/>
    <w:rsid w:val="00A45493"/>
    <w:rsid w:val="00A47355"/>
    <w:rsid w:val="00A478A5"/>
    <w:rsid w:val="00A50355"/>
    <w:rsid w:val="00A52B93"/>
    <w:rsid w:val="00A54384"/>
    <w:rsid w:val="00A56303"/>
    <w:rsid w:val="00A56AAA"/>
    <w:rsid w:val="00A57707"/>
    <w:rsid w:val="00A57FBD"/>
    <w:rsid w:val="00A625A7"/>
    <w:rsid w:val="00A6495A"/>
    <w:rsid w:val="00A66D45"/>
    <w:rsid w:val="00A70045"/>
    <w:rsid w:val="00A700BB"/>
    <w:rsid w:val="00A703EB"/>
    <w:rsid w:val="00A71D11"/>
    <w:rsid w:val="00A7246F"/>
    <w:rsid w:val="00A749D1"/>
    <w:rsid w:val="00A74F16"/>
    <w:rsid w:val="00A75B22"/>
    <w:rsid w:val="00A76704"/>
    <w:rsid w:val="00A77016"/>
    <w:rsid w:val="00A803EA"/>
    <w:rsid w:val="00A836E7"/>
    <w:rsid w:val="00A911BA"/>
    <w:rsid w:val="00A9126F"/>
    <w:rsid w:val="00A93DBD"/>
    <w:rsid w:val="00A93FFF"/>
    <w:rsid w:val="00A94836"/>
    <w:rsid w:val="00AA0EBF"/>
    <w:rsid w:val="00AA16B8"/>
    <w:rsid w:val="00AA3677"/>
    <w:rsid w:val="00AA512D"/>
    <w:rsid w:val="00AA56C6"/>
    <w:rsid w:val="00AA6CB1"/>
    <w:rsid w:val="00AB29B2"/>
    <w:rsid w:val="00AB2E55"/>
    <w:rsid w:val="00AB3BF7"/>
    <w:rsid w:val="00AB5206"/>
    <w:rsid w:val="00AC073C"/>
    <w:rsid w:val="00AC16F3"/>
    <w:rsid w:val="00AC2780"/>
    <w:rsid w:val="00AC306F"/>
    <w:rsid w:val="00AC5C5D"/>
    <w:rsid w:val="00AD07BB"/>
    <w:rsid w:val="00AD1DB6"/>
    <w:rsid w:val="00AD3A50"/>
    <w:rsid w:val="00AE189E"/>
    <w:rsid w:val="00AE3015"/>
    <w:rsid w:val="00AE3A2D"/>
    <w:rsid w:val="00AE487C"/>
    <w:rsid w:val="00AE53DE"/>
    <w:rsid w:val="00AF5F6D"/>
    <w:rsid w:val="00B0037A"/>
    <w:rsid w:val="00B012B1"/>
    <w:rsid w:val="00B01A2C"/>
    <w:rsid w:val="00B022BA"/>
    <w:rsid w:val="00B04B3F"/>
    <w:rsid w:val="00B060F3"/>
    <w:rsid w:val="00B066FC"/>
    <w:rsid w:val="00B06AD7"/>
    <w:rsid w:val="00B074A2"/>
    <w:rsid w:val="00B07617"/>
    <w:rsid w:val="00B1270F"/>
    <w:rsid w:val="00B248C7"/>
    <w:rsid w:val="00B24B32"/>
    <w:rsid w:val="00B24DB5"/>
    <w:rsid w:val="00B25A12"/>
    <w:rsid w:val="00B32707"/>
    <w:rsid w:val="00B33A2E"/>
    <w:rsid w:val="00B3451A"/>
    <w:rsid w:val="00B346D8"/>
    <w:rsid w:val="00B34733"/>
    <w:rsid w:val="00B35399"/>
    <w:rsid w:val="00B37EBC"/>
    <w:rsid w:val="00B425E9"/>
    <w:rsid w:val="00B45712"/>
    <w:rsid w:val="00B47547"/>
    <w:rsid w:val="00B543A2"/>
    <w:rsid w:val="00B5652A"/>
    <w:rsid w:val="00B56BC8"/>
    <w:rsid w:val="00B57546"/>
    <w:rsid w:val="00B60672"/>
    <w:rsid w:val="00B60779"/>
    <w:rsid w:val="00B60ED8"/>
    <w:rsid w:val="00B61B2E"/>
    <w:rsid w:val="00B62199"/>
    <w:rsid w:val="00B64147"/>
    <w:rsid w:val="00B64FA1"/>
    <w:rsid w:val="00B651AC"/>
    <w:rsid w:val="00B65CD7"/>
    <w:rsid w:val="00B66D14"/>
    <w:rsid w:val="00B66EA2"/>
    <w:rsid w:val="00B73BF2"/>
    <w:rsid w:val="00B75A96"/>
    <w:rsid w:val="00B81C50"/>
    <w:rsid w:val="00B81CAB"/>
    <w:rsid w:val="00B81D70"/>
    <w:rsid w:val="00B83044"/>
    <w:rsid w:val="00B83FEF"/>
    <w:rsid w:val="00B87330"/>
    <w:rsid w:val="00B90A79"/>
    <w:rsid w:val="00B94619"/>
    <w:rsid w:val="00B960F1"/>
    <w:rsid w:val="00BA1CA2"/>
    <w:rsid w:val="00BA1E41"/>
    <w:rsid w:val="00BA2D38"/>
    <w:rsid w:val="00BA3952"/>
    <w:rsid w:val="00BA49E3"/>
    <w:rsid w:val="00BA6FE7"/>
    <w:rsid w:val="00BB0531"/>
    <w:rsid w:val="00BB1A99"/>
    <w:rsid w:val="00BB251E"/>
    <w:rsid w:val="00BB270A"/>
    <w:rsid w:val="00BB444A"/>
    <w:rsid w:val="00BB4820"/>
    <w:rsid w:val="00BB4F1B"/>
    <w:rsid w:val="00BB73D7"/>
    <w:rsid w:val="00BC0409"/>
    <w:rsid w:val="00BC05D6"/>
    <w:rsid w:val="00BC15F2"/>
    <w:rsid w:val="00BC1B0D"/>
    <w:rsid w:val="00BC250C"/>
    <w:rsid w:val="00BC270B"/>
    <w:rsid w:val="00BC273B"/>
    <w:rsid w:val="00BC3D31"/>
    <w:rsid w:val="00BC3D70"/>
    <w:rsid w:val="00BD2FA7"/>
    <w:rsid w:val="00BD3355"/>
    <w:rsid w:val="00BD3457"/>
    <w:rsid w:val="00BD5B4F"/>
    <w:rsid w:val="00BE1624"/>
    <w:rsid w:val="00BE35E3"/>
    <w:rsid w:val="00BE3B97"/>
    <w:rsid w:val="00BE431A"/>
    <w:rsid w:val="00BE4C18"/>
    <w:rsid w:val="00BE6BD7"/>
    <w:rsid w:val="00BE6EDD"/>
    <w:rsid w:val="00BE7736"/>
    <w:rsid w:val="00BF1467"/>
    <w:rsid w:val="00BF2A4B"/>
    <w:rsid w:val="00BF3F2B"/>
    <w:rsid w:val="00BF5BC0"/>
    <w:rsid w:val="00BF644C"/>
    <w:rsid w:val="00BF7C10"/>
    <w:rsid w:val="00C01CF5"/>
    <w:rsid w:val="00C03E3F"/>
    <w:rsid w:val="00C03E4A"/>
    <w:rsid w:val="00C04E63"/>
    <w:rsid w:val="00C105FC"/>
    <w:rsid w:val="00C11D9D"/>
    <w:rsid w:val="00C14085"/>
    <w:rsid w:val="00C14117"/>
    <w:rsid w:val="00C14150"/>
    <w:rsid w:val="00C1478C"/>
    <w:rsid w:val="00C154ED"/>
    <w:rsid w:val="00C21956"/>
    <w:rsid w:val="00C22DD7"/>
    <w:rsid w:val="00C23079"/>
    <w:rsid w:val="00C23BBF"/>
    <w:rsid w:val="00C25407"/>
    <w:rsid w:val="00C26B5C"/>
    <w:rsid w:val="00C30591"/>
    <w:rsid w:val="00C3312C"/>
    <w:rsid w:val="00C33B31"/>
    <w:rsid w:val="00C35A3F"/>
    <w:rsid w:val="00C41274"/>
    <w:rsid w:val="00C44309"/>
    <w:rsid w:val="00C448F4"/>
    <w:rsid w:val="00C4499B"/>
    <w:rsid w:val="00C44C08"/>
    <w:rsid w:val="00C457D4"/>
    <w:rsid w:val="00C45C6D"/>
    <w:rsid w:val="00C466F2"/>
    <w:rsid w:val="00C4690E"/>
    <w:rsid w:val="00C476F6"/>
    <w:rsid w:val="00C531E3"/>
    <w:rsid w:val="00C54564"/>
    <w:rsid w:val="00C56665"/>
    <w:rsid w:val="00C632AF"/>
    <w:rsid w:val="00C66010"/>
    <w:rsid w:val="00C8048B"/>
    <w:rsid w:val="00C814AB"/>
    <w:rsid w:val="00C81E20"/>
    <w:rsid w:val="00C830CF"/>
    <w:rsid w:val="00C84B8B"/>
    <w:rsid w:val="00C863A2"/>
    <w:rsid w:val="00C87826"/>
    <w:rsid w:val="00C92F48"/>
    <w:rsid w:val="00C952EE"/>
    <w:rsid w:val="00C96EE2"/>
    <w:rsid w:val="00C96F9A"/>
    <w:rsid w:val="00CA0852"/>
    <w:rsid w:val="00CB05AB"/>
    <w:rsid w:val="00CB7139"/>
    <w:rsid w:val="00CC1ABA"/>
    <w:rsid w:val="00CC5CAF"/>
    <w:rsid w:val="00CC5ED3"/>
    <w:rsid w:val="00CC64A3"/>
    <w:rsid w:val="00CC778A"/>
    <w:rsid w:val="00CD0107"/>
    <w:rsid w:val="00CD30AD"/>
    <w:rsid w:val="00CD3B63"/>
    <w:rsid w:val="00CD49AD"/>
    <w:rsid w:val="00CD4C34"/>
    <w:rsid w:val="00CD64F5"/>
    <w:rsid w:val="00CD7FEC"/>
    <w:rsid w:val="00CE1415"/>
    <w:rsid w:val="00CF1178"/>
    <w:rsid w:val="00CF3922"/>
    <w:rsid w:val="00CF3A41"/>
    <w:rsid w:val="00CF3F88"/>
    <w:rsid w:val="00CF431F"/>
    <w:rsid w:val="00CF452E"/>
    <w:rsid w:val="00CF5802"/>
    <w:rsid w:val="00CF6179"/>
    <w:rsid w:val="00CF6F3B"/>
    <w:rsid w:val="00CF78C8"/>
    <w:rsid w:val="00CF7B1C"/>
    <w:rsid w:val="00D00F51"/>
    <w:rsid w:val="00D01597"/>
    <w:rsid w:val="00D01716"/>
    <w:rsid w:val="00D020AF"/>
    <w:rsid w:val="00D02992"/>
    <w:rsid w:val="00D03CDC"/>
    <w:rsid w:val="00D061CA"/>
    <w:rsid w:val="00D07817"/>
    <w:rsid w:val="00D118EC"/>
    <w:rsid w:val="00D14A2E"/>
    <w:rsid w:val="00D15871"/>
    <w:rsid w:val="00D168D5"/>
    <w:rsid w:val="00D20FB1"/>
    <w:rsid w:val="00D236D3"/>
    <w:rsid w:val="00D2684D"/>
    <w:rsid w:val="00D302D6"/>
    <w:rsid w:val="00D31383"/>
    <w:rsid w:val="00D3382B"/>
    <w:rsid w:val="00D348D7"/>
    <w:rsid w:val="00D365E6"/>
    <w:rsid w:val="00D41CBB"/>
    <w:rsid w:val="00D422C5"/>
    <w:rsid w:val="00D43E3B"/>
    <w:rsid w:val="00D4435A"/>
    <w:rsid w:val="00D45283"/>
    <w:rsid w:val="00D476EC"/>
    <w:rsid w:val="00D50A17"/>
    <w:rsid w:val="00D51086"/>
    <w:rsid w:val="00D54173"/>
    <w:rsid w:val="00D54680"/>
    <w:rsid w:val="00D5587D"/>
    <w:rsid w:val="00D64354"/>
    <w:rsid w:val="00D65499"/>
    <w:rsid w:val="00D65B16"/>
    <w:rsid w:val="00D66B65"/>
    <w:rsid w:val="00D67A20"/>
    <w:rsid w:val="00D71703"/>
    <w:rsid w:val="00D743CC"/>
    <w:rsid w:val="00D74960"/>
    <w:rsid w:val="00D74B76"/>
    <w:rsid w:val="00D74C16"/>
    <w:rsid w:val="00D764CF"/>
    <w:rsid w:val="00D76D3D"/>
    <w:rsid w:val="00D81C54"/>
    <w:rsid w:val="00D86808"/>
    <w:rsid w:val="00D86C65"/>
    <w:rsid w:val="00D900E3"/>
    <w:rsid w:val="00D9036A"/>
    <w:rsid w:val="00D91AF2"/>
    <w:rsid w:val="00D94124"/>
    <w:rsid w:val="00D94619"/>
    <w:rsid w:val="00D95104"/>
    <w:rsid w:val="00D9624E"/>
    <w:rsid w:val="00D9643F"/>
    <w:rsid w:val="00D965E1"/>
    <w:rsid w:val="00D971D0"/>
    <w:rsid w:val="00DA1E37"/>
    <w:rsid w:val="00DA2BF2"/>
    <w:rsid w:val="00DA3EE4"/>
    <w:rsid w:val="00DA51A3"/>
    <w:rsid w:val="00DB036B"/>
    <w:rsid w:val="00DB079E"/>
    <w:rsid w:val="00DB2634"/>
    <w:rsid w:val="00DB5D3E"/>
    <w:rsid w:val="00DB6F5C"/>
    <w:rsid w:val="00DC2234"/>
    <w:rsid w:val="00DC46DE"/>
    <w:rsid w:val="00DC4AC9"/>
    <w:rsid w:val="00DC753C"/>
    <w:rsid w:val="00DD12B0"/>
    <w:rsid w:val="00DD2B26"/>
    <w:rsid w:val="00DD2D66"/>
    <w:rsid w:val="00DD3DA3"/>
    <w:rsid w:val="00DD4914"/>
    <w:rsid w:val="00DD4A68"/>
    <w:rsid w:val="00DD6EA5"/>
    <w:rsid w:val="00DE2A32"/>
    <w:rsid w:val="00DE2B93"/>
    <w:rsid w:val="00DE3D37"/>
    <w:rsid w:val="00DE61B7"/>
    <w:rsid w:val="00DF0485"/>
    <w:rsid w:val="00DF16AD"/>
    <w:rsid w:val="00DF3315"/>
    <w:rsid w:val="00DF55D9"/>
    <w:rsid w:val="00DF7462"/>
    <w:rsid w:val="00E003BF"/>
    <w:rsid w:val="00E00ABA"/>
    <w:rsid w:val="00E02A10"/>
    <w:rsid w:val="00E02C7C"/>
    <w:rsid w:val="00E1017D"/>
    <w:rsid w:val="00E10E59"/>
    <w:rsid w:val="00E10FE1"/>
    <w:rsid w:val="00E11C5D"/>
    <w:rsid w:val="00E13CBC"/>
    <w:rsid w:val="00E160D6"/>
    <w:rsid w:val="00E16F60"/>
    <w:rsid w:val="00E20669"/>
    <w:rsid w:val="00E2261D"/>
    <w:rsid w:val="00E250A7"/>
    <w:rsid w:val="00E25148"/>
    <w:rsid w:val="00E26B53"/>
    <w:rsid w:val="00E2759F"/>
    <w:rsid w:val="00E27F86"/>
    <w:rsid w:val="00E304D9"/>
    <w:rsid w:val="00E32EA6"/>
    <w:rsid w:val="00E34F30"/>
    <w:rsid w:val="00E370B2"/>
    <w:rsid w:val="00E40D8D"/>
    <w:rsid w:val="00E415E7"/>
    <w:rsid w:val="00E41B16"/>
    <w:rsid w:val="00E42BB0"/>
    <w:rsid w:val="00E43AFF"/>
    <w:rsid w:val="00E457F6"/>
    <w:rsid w:val="00E46127"/>
    <w:rsid w:val="00E50ADE"/>
    <w:rsid w:val="00E50DFA"/>
    <w:rsid w:val="00E515D9"/>
    <w:rsid w:val="00E52E29"/>
    <w:rsid w:val="00E555A0"/>
    <w:rsid w:val="00E56052"/>
    <w:rsid w:val="00E56580"/>
    <w:rsid w:val="00E56C08"/>
    <w:rsid w:val="00E61FCA"/>
    <w:rsid w:val="00E65CB1"/>
    <w:rsid w:val="00E66788"/>
    <w:rsid w:val="00E70606"/>
    <w:rsid w:val="00E70DB1"/>
    <w:rsid w:val="00E725D0"/>
    <w:rsid w:val="00E746D2"/>
    <w:rsid w:val="00E74902"/>
    <w:rsid w:val="00E74E6B"/>
    <w:rsid w:val="00E758DE"/>
    <w:rsid w:val="00E81165"/>
    <w:rsid w:val="00E81E89"/>
    <w:rsid w:val="00E8266F"/>
    <w:rsid w:val="00E8347C"/>
    <w:rsid w:val="00E83A3F"/>
    <w:rsid w:val="00E84651"/>
    <w:rsid w:val="00E95E33"/>
    <w:rsid w:val="00E9604A"/>
    <w:rsid w:val="00EA0909"/>
    <w:rsid w:val="00EA1C49"/>
    <w:rsid w:val="00EA5A1B"/>
    <w:rsid w:val="00EA7EA6"/>
    <w:rsid w:val="00EB33E9"/>
    <w:rsid w:val="00EB477E"/>
    <w:rsid w:val="00EB4F20"/>
    <w:rsid w:val="00EC4A43"/>
    <w:rsid w:val="00EC5EB6"/>
    <w:rsid w:val="00ED2A12"/>
    <w:rsid w:val="00ED4399"/>
    <w:rsid w:val="00ED597C"/>
    <w:rsid w:val="00ED5F89"/>
    <w:rsid w:val="00ED6F1D"/>
    <w:rsid w:val="00EE08B0"/>
    <w:rsid w:val="00EE1EF2"/>
    <w:rsid w:val="00EE1F5D"/>
    <w:rsid w:val="00EE2366"/>
    <w:rsid w:val="00EE2E28"/>
    <w:rsid w:val="00EE4604"/>
    <w:rsid w:val="00EE61F0"/>
    <w:rsid w:val="00EE697B"/>
    <w:rsid w:val="00EF02EA"/>
    <w:rsid w:val="00EF206B"/>
    <w:rsid w:val="00EF3827"/>
    <w:rsid w:val="00EF3831"/>
    <w:rsid w:val="00EF3E8D"/>
    <w:rsid w:val="00EF5C7A"/>
    <w:rsid w:val="00EF7BAC"/>
    <w:rsid w:val="00F01A08"/>
    <w:rsid w:val="00F04F78"/>
    <w:rsid w:val="00F109F7"/>
    <w:rsid w:val="00F10A62"/>
    <w:rsid w:val="00F10CFC"/>
    <w:rsid w:val="00F11F0D"/>
    <w:rsid w:val="00F132DB"/>
    <w:rsid w:val="00F13C3E"/>
    <w:rsid w:val="00F1436B"/>
    <w:rsid w:val="00F14616"/>
    <w:rsid w:val="00F16776"/>
    <w:rsid w:val="00F17E3B"/>
    <w:rsid w:val="00F207A9"/>
    <w:rsid w:val="00F20930"/>
    <w:rsid w:val="00F21BE1"/>
    <w:rsid w:val="00F23FF8"/>
    <w:rsid w:val="00F3041F"/>
    <w:rsid w:val="00F30787"/>
    <w:rsid w:val="00F31F82"/>
    <w:rsid w:val="00F33349"/>
    <w:rsid w:val="00F35F0C"/>
    <w:rsid w:val="00F361BC"/>
    <w:rsid w:val="00F40E3A"/>
    <w:rsid w:val="00F41A3A"/>
    <w:rsid w:val="00F42B4B"/>
    <w:rsid w:val="00F42D36"/>
    <w:rsid w:val="00F452E1"/>
    <w:rsid w:val="00F558FF"/>
    <w:rsid w:val="00F60E81"/>
    <w:rsid w:val="00F61EC0"/>
    <w:rsid w:val="00F62656"/>
    <w:rsid w:val="00F63C1B"/>
    <w:rsid w:val="00F6447B"/>
    <w:rsid w:val="00F65530"/>
    <w:rsid w:val="00F65FDA"/>
    <w:rsid w:val="00F6673A"/>
    <w:rsid w:val="00F66F71"/>
    <w:rsid w:val="00F670A5"/>
    <w:rsid w:val="00F67B64"/>
    <w:rsid w:val="00F67CB2"/>
    <w:rsid w:val="00F67EBB"/>
    <w:rsid w:val="00F709B1"/>
    <w:rsid w:val="00F7501D"/>
    <w:rsid w:val="00F763BB"/>
    <w:rsid w:val="00F80968"/>
    <w:rsid w:val="00F82236"/>
    <w:rsid w:val="00F829C1"/>
    <w:rsid w:val="00F83B79"/>
    <w:rsid w:val="00F86321"/>
    <w:rsid w:val="00F90E6A"/>
    <w:rsid w:val="00F914B8"/>
    <w:rsid w:val="00F9342B"/>
    <w:rsid w:val="00FA26C8"/>
    <w:rsid w:val="00FA32DD"/>
    <w:rsid w:val="00FA4111"/>
    <w:rsid w:val="00FA4475"/>
    <w:rsid w:val="00FA590A"/>
    <w:rsid w:val="00FA6150"/>
    <w:rsid w:val="00FA7B19"/>
    <w:rsid w:val="00FB05C4"/>
    <w:rsid w:val="00FB15F4"/>
    <w:rsid w:val="00FB3005"/>
    <w:rsid w:val="00FB4847"/>
    <w:rsid w:val="00FB6B90"/>
    <w:rsid w:val="00FB6CE7"/>
    <w:rsid w:val="00FB6E7B"/>
    <w:rsid w:val="00FB7221"/>
    <w:rsid w:val="00FB7693"/>
    <w:rsid w:val="00FC2589"/>
    <w:rsid w:val="00FC64A1"/>
    <w:rsid w:val="00FC7544"/>
    <w:rsid w:val="00FD1438"/>
    <w:rsid w:val="00FD2C62"/>
    <w:rsid w:val="00FD4C1A"/>
    <w:rsid w:val="00FE3987"/>
    <w:rsid w:val="00FE3C09"/>
    <w:rsid w:val="00FE4B77"/>
    <w:rsid w:val="00FE5BFD"/>
    <w:rsid w:val="00FE61E1"/>
    <w:rsid w:val="00FF3A02"/>
    <w:rsid w:val="00FF45A2"/>
    <w:rsid w:val="00FF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F56B20"/>
  <w15:docId w15:val="{6D306690-1EB6-4E6E-910D-8EE0B01D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lsdException w:name="toc 6" w:locked="1" w:semiHidden="1" w:uiPriority="39"/>
    <w:lsdException w:name="toc 7" w:locked="1" w:semiHidden="1" w:uiPriority="39"/>
    <w:lsdException w:name="toc 8" w:locked="1" w:semiHidden="1" w:unhideWhenUsed="1" w:qFormat="1"/>
    <w:lsdException w:name="toc 9" w:locked="1" w:semiHidden="1" w:uiPriority="39"/>
    <w:lsdException w:name="Normal Indent" w:semiHidden="1" w:unhideWhenUsed="1"/>
    <w:lsdException w:name="footnote text" w:semiHidden="1" w:uiPriority="1" w:unhideWhenUsed="1" w:qFormat="1"/>
    <w:lsdException w:name="annotation text" w:semiHidden="1" w:uiPriority="0"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locked="1" w:semiHidden="1"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uiPriority w:val="9"/>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uiPriority w:val="99"/>
    <w:semiHidden/>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uiPriority w:val="99"/>
    <w:semiHidden/>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uiPriority w:val="99"/>
    <w:semiHidden/>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uiPriority w:val="99"/>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uiPriority w:val="99"/>
    <w:semiHidden/>
    <w:locked/>
    <w:rsid w:val="00DD4A68"/>
    <w:pPr>
      <w:keepNext/>
      <w:numPr>
        <w:ilvl w:val="5"/>
        <w:numId w:val="25"/>
      </w:numPr>
      <w:spacing w:after="120"/>
      <w:outlineLvl w:val="5"/>
    </w:pPr>
  </w:style>
  <w:style w:type="paragraph" w:styleId="Heading7">
    <w:name w:val="heading 7"/>
    <w:basedOn w:val="Normal"/>
    <w:next w:val="Normal"/>
    <w:link w:val="Heading7Char"/>
    <w:uiPriority w:val="99"/>
    <w:semiHidden/>
    <w:locked/>
    <w:rsid w:val="00DD4A68"/>
    <w:pPr>
      <w:keepNext/>
      <w:numPr>
        <w:ilvl w:val="6"/>
        <w:numId w:val="25"/>
      </w:numPr>
      <w:spacing w:after="120"/>
      <w:outlineLvl w:val="6"/>
    </w:pPr>
  </w:style>
  <w:style w:type="paragraph" w:styleId="Heading8">
    <w:name w:val="heading 8"/>
    <w:basedOn w:val="Normal"/>
    <w:next w:val="Normal"/>
    <w:link w:val="Heading8Char"/>
    <w:uiPriority w:val="99"/>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uiPriority w:val="99"/>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qFormat/>
    <w:rsid w:val="00DD4A68"/>
  </w:style>
  <w:style w:type="paragraph" w:styleId="Footer">
    <w:name w:val="footer"/>
    <w:basedOn w:val="Normal"/>
    <w:link w:val="FooterChar"/>
    <w:uiPriority w:val="1"/>
    <w:qFormat/>
    <w:rsid w:val="00DD4A68"/>
    <w:pPr>
      <w:tabs>
        <w:tab w:val="center" w:pos="4320"/>
        <w:tab w:val="right" w:pos="9360"/>
      </w:tabs>
    </w:pPr>
    <w:rPr>
      <w:rFonts w:ascii="Arial" w:hAnsi="Arial"/>
      <w:sz w:val="20"/>
    </w:rPr>
  </w:style>
  <w:style w:type="character" w:styleId="PageNumber">
    <w:name w:val="page number"/>
    <w:basedOn w:val="DefaultParagraphFont"/>
    <w:uiPriority w:val="99"/>
    <w:qFormat/>
    <w:rsid w:val="00DD4A68"/>
    <w:rPr>
      <w:rFonts w:ascii="Arial" w:hAnsi="Arial"/>
      <w:color w:val="auto"/>
      <w:sz w:val="20"/>
      <w:bdr w:val="none" w:sz="0" w:space="0" w:color="auto"/>
    </w:rPr>
  </w:style>
  <w:style w:type="paragraph" w:styleId="TableofFigures">
    <w:name w:val="table of figures"/>
    <w:basedOn w:val="Normal"/>
    <w:next w:val="Normal"/>
    <w:uiPriority w:val="99"/>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uiPriority w:val="1"/>
    <w:qFormat/>
    <w:rsid w:val="00DD4A68"/>
    <w:pPr>
      <w:tabs>
        <w:tab w:val="left" w:pos="173"/>
      </w:tabs>
      <w:spacing w:after="60" w:line="250" w:lineRule="exact"/>
      <w:ind w:left="173" w:hanging="173"/>
    </w:pPr>
    <w:rPr>
      <w:sz w:val="20"/>
    </w:rPr>
  </w:style>
  <w:style w:type="paragraph" w:customStyle="1" w:styleId="BasicParagraph">
    <w:name w:val="[Basic Paragraph]"/>
    <w:basedOn w:val="Normal"/>
    <w:uiPriority w:val="99"/>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uiPriority w:val="39"/>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uiPriority w:val="39"/>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uiPriority w:val="39"/>
    <w:qFormat/>
    <w:locked/>
    <w:rsid w:val="00DD4A68"/>
    <w:pPr>
      <w:spacing w:after="120"/>
      <w:ind w:left="1350"/>
    </w:pPr>
  </w:style>
  <w:style w:type="paragraph" w:styleId="TOC4">
    <w:name w:val="toc 4"/>
    <w:next w:val="Normal"/>
    <w:autoRedefine/>
    <w:uiPriority w:val="39"/>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uiPriority w:val="1"/>
    <w:rsid w:val="00DD4A68"/>
    <w:rPr>
      <w:rFonts w:ascii="Arial" w:hAnsi="Arial"/>
      <w:vanish w:val="0"/>
      <w:color w:val="auto"/>
      <w:sz w:val="18"/>
    </w:rPr>
  </w:style>
  <w:style w:type="paragraph" w:styleId="EndnoteText">
    <w:name w:val="endnote text"/>
    <w:basedOn w:val="Normal"/>
    <w:link w:val="EndnoteTextChar"/>
    <w:uiPriority w:val="1"/>
    <w:unhideWhenUsed/>
    <w:rsid w:val="00DD4A68"/>
    <w:pPr>
      <w:spacing w:after="80"/>
    </w:pPr>
    <w:rPr>
      <w:sz w:val="20"/>
    </w:rPr>
  </w:style>
  <w:style w:type="character" w:customStyle="1" w:styleId="8pt">
    <w:name w:val="8 pt"/>
    <w:basedOn w:val="DefaultParagraphFont"/>
    <w:uiPriority w:val="98"/>
    <w:qFormat/>
    <w:rsid w:val="00DD4A68"/>
    <w:rPr>
      <w:sz w:val="16"/>
    </w:rPr>
  </w:style>
  <w:style w:type="character" w:customStyle="1" w:styleId="9pt">
    <w:name w:val="9 pt"/>
    <w:basedOn w:val="DefaultParagraphFont"/>
    <w:uiPriority w:val="98"/>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uiPriority w:val="1"/>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uiPriority w:val="2"/>
    <w:qFormat/>
    <w:rsid w:val="00DD4A68"/>
  </w:style>
  <w:style w:type="paragraph" w:customStyle="1" w:styleId="ParagraphContinued">
    <w:name w:val="Paragraph Continued"/>
    <w:basedOn w:val="Paragraph"/>
    <w:next w:val="Paragraph"/>
    <w:uiPriority w:val="1"/>
    <w:qFormat/>
    <w:rsid w:val="00DD4A68"/>
    <w:pPr>
      <w:spacing w:before="240"/>
    </w:pPr>
  </w:style>
  <w:style w:type="paragraph" w:customStyle="1" w:styleId="ESH1">
    <w:name w:val="ES H1"/>
    <w:basedOn w:val="Normal"/>
    <w:uiPriority w:val="1"/>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uiPriority w:val="1"/>
    <w:qFormat/>
    <w:rsid w:val="00DD4A68"/>
    <w:pPr>
      <w:jc w:val="center"/>
      <w:textboxTightWrap w:val="allLines"/>
    </w:pPr>
  </w:style>
  <w:style w:type="paragraph" w:customStyle="1" w:styleId="TableHeaderLeft">
    <w:name w:val="Table Header Left"/>
    <w:basedOn w:val="TableTextLeft"/>
    <w:next w:val="TableTextLeft"/>
    <w:uiPriority w:val="1"/>
    <w:qFormat/>
    <w:rsid w:val="00DD4A68"/>
    <w:pPr>
      <w:spacing w:before="120"/>
    </w:pPr>
    <w:rPr>
      <w:b/>
      <w:color w:val="FFFFFF" w:themeColor="background1"/>
    </w:rPr>
  </w:style>
  <w:style w:type="paragraph" w:customStyle="1" w:styleId="Acknowledgment">
    <w:name w:val="Acknowledgment"/>
    <w:basedOn w:val="ESH1"/>
    <w:next w:val="Normal"/>
    <w:uiPriority w:val="1"/>
    <w:qFormat/>
    <w:rsid w:val="00DD4A68"/>
    <w:pPr>
      <w:spacing w:before="600"/>
    </w:pPr>
    <w:rPr>
      <w:caps w:val="0"/>
    </w:rPr>
  </w:style>
  <w:style w:type="paragraph" w:styleId="Salutation">
    <w:name w:val="Salutation"/>
    <w:basedOn w:val="Normal"/>
    <w:next w:val="Normal"/>
    <w:link w:val="SalutationChar"/>
    <w:uiPriority w:val="1"/>
    <w:unhideWhenUsed/>
    <w:rsid w:val="003242F7"/>
    <w:pPr>
      <w:tabs>
        <w:tab w:val="left" w:pos="1620"/>
      </w:tabs>
      <w:spacing w:before="240" w:after="0" w:line="276" w:lineRule="auto"/>
      <w:contextualSpacing/>
    </w:pPr>
  </w:style>
  <w:style w:type="paragraph" w:styleId="BalloonText">
    <w:name w:val="Balloon Text"/>
    <w:basedOn w:val="Normal"/>
    <w:link w:val="BalloonTextChar"/>
    <w:uiPriority w:val="99"/>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uiPriority w:val="1"/>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uiPriority w:val="1"/>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uiPriority w:val="1"/>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uiPriority w:val="1"/>
    <w:qFormat/>
    <w:rsid w:val="00DD4A68"/>
  </w:style>
  <w:style w:type="paragraph" w:styleId="Quote">
    <w:name w:val="Quote"/>
    <w:basedOn w:val="Normal"/>
    <w:next w:val="Normal"/>
    <w:link w:val="QuoteChar"/>
    <w:uiPriority w:val="1"/>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uiPriority w:val="1"/>
    <w:qFormat/>
    <w:rsid w:val="00DD4A68"/>
    <w:pPr>
      <w:spacing w:before="120"/>
      <w:jc w:val="right"/>
    </w:pPr>
    <w:rPr>
      <w:i w:val="0"/>
    </w:rPr>
  </w:style>
  <w:style w:type="paragraph" w:styleId="TOC8">
    <w:name w:val="toc 8"/>
    <w:next w:val="Normal"/>
    <w:autoRedefine/>
    <w:uiPriority w:val="99"/>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uiPriority w:val="1"/>
    <w:qFormat/>
    <w:rsid w:val="00DD4A68"/>
    <w:pPr>
      <w:spacing w:after="100"/>
      <w:jc w:val="right"/>
    </w:pPr>
    <w:rPr>
      <w:rFonts w:asciiTheme="majorHAnsi" w:hAnsiTheme="majorHAnsi"/>
      <w:noProof/>
      <w:sz w:val="20"/>
      <w:szCs w:val="19"/>
    </w:rPr>
  </w:style>
  <w:style w:type="paragraph" w:customStyle="1" w:styleId="Byline">
    <w:name w:val="Byline"/>
    <w:basedOn w:val="QuoteAttribution"/>
    <w:uiPriority w:val="1"/>
    <w:qFormat/>
    <w:rsid w:val="00DD4A68"/>
    <w:rPr>
      <w:rFonts w:asciiTheme="majorHAnsi" w:hAnsiTheme="majorHAnsi"/>
      <w:b/>
    </w:rPr>
  </w:style>
  <w:style w:type="paragraph" w:customStyle="1" w:styleId="Author">
    <w:name w:val="Author"/>
    <w:basedOn w:val="Byline"/>
    <w:uiPriority w:val="1"/>
    <w:qFormat/>
    <w:rsid w:val="00DD4A68"/>
    <w:pPr>
      <w:jc w:val="left"/>
    </w:pPr>
  </w:style>
  <w:style w:type="paragraph" w:customStyle="1" w:styleId="Banner">
    <w:name w:val="Banner"/>
    <w:basedOn w:val="Normal"/>
    <w:uiPriority w:val="1"/>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DD4A68"/>
    <w:pPr>
      <w:spacing w:before="80" w:after="60"/>
    </w:pPr>
  </w:style>
  <w:style w:type="paragraph" w:customStyle="1" w:styleId="Blank">
    <w:name w:val="Blank"/>
    <w:basedOn w:val="Normal"/>
    <w:uiPriority w:val="1"/>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uiPriority w:val="1"/>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uiPriority w:val="1"/>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uiPriority w:val="1"/>
    <w:qFormat/>
    <w:rsid w:val="00DD4A68"/>
  </w:style>
  <w:style w:type="paragraph" w:customStyle="1" w:styleId="Callout">
    <w:name w:val="Callout"/>
    <w:basedOn w:val="ESSidebar"/>
    <w:uiPriority w:val="1"/>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uiPriority w:val="1"/>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iPriority w:val="99"/>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semiHidden/>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rsid w:val="00DD4A6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uiPriority w:val="1"/>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iPriority w:val="1"/>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iPriority w:val="1"/>
    <w:unhideWhenUsed/>
    <w:qFormat/>
    <w:rsid w:val="00DD4A68"/>
    <w:pPr>
      <w:spacing w:before="720" w:after="290"/>
    </w:pPr>
    <w:rPr>
      <w:color w:val="0B2949" w:themeColor="accent1"/>
    </w:rPr>
  </w:style>
  <w:style w:type="paragraph" w:customStyle="1" w:styleId="CoverHead">
    <w:name w:val="Cover Head"/>
    <w:basedOn w:val="Normal"/>
    <w:uiPriority w:val="1"/>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uiPriority w:val="1"/>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uiPriority w:val="1"/>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uiPriority w:val="1"/>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iPriority w:val="1"/>
    <w:unhideWhenUsed/>
    <w:rsid w:val="00DD4A68"/>
    <w:pPr>
      <w:numPr>
        <w:numId w:val="2"/>
      </w:numPr>
      <w:spacing w:before="120" w:after="120"/>
    </w:pPr>
  </w:style>
  <w:style w:type="paragraph" w:customStyle="1" w:styleId="Feature1ListBullet">
    <w:name w:val="Feature1 List Bullet"/>
    <w:basedOn w:val="ListBullet"/>
    <w:uiPriority w:val="1"/>
    <w:qFormat/>
    <w:rsid w:val="00DD4A68"/>
    <w:pPr>
      <w:spacing w:after="0"/>
      <w:ind w:left="360"/>
      <w:contextualSpacing/>
    </w:pPr>
    <w:rPr>
      <w:sz w:val="20"/>
    </w:rPr>
  </w:style>
  <w:style w:type="paragraph" w:customStyle="1" w:styleId="ESListBullet">
    <w:name w:val="ES List Bullet"/>
    <w:basedOn w:val="Feature1ListBullet"/>
    <w:uiPriority w:val="1"/>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uiPriority w:val="1"/>
    <w:qFormat/>
    <w:rsid w:val="00DD4A68"/>
    <w:pPr>
      <w:spacing w:line="310" w:lineRule="exact"/>
    </w:pPr>
    <w:rPr>
      <w:rFonts w:asciiTheme="majorHAnsi" w:hAnsiTheme="majorHAnsi"/>
      <w:sz w:val="22"/>
    </w:rPr>
  </w:style>
  <w:style w:type="paragraph" w:customStyle="1" w:styleId="ESListNumber">
    <w:name w:val="ES List Number"/>
    <w:basedOn w:val="ESParagraph"/>
    <w:uiPriority w:val="1"/>
    <w:qFormat/>
    <w:rsid w:val="00DD4A68"/>
    <w:pPr>
      <w:numPr>
        <w:numId w:val="4"/>
      </w:numPr>
      <w:contextualSpacing/>
    </w:pPr>
  </w:style>
  <w:style w:type="paragraph" w:customStyle="1" w:styleId="ESParagraphContinued">
    <w:name w:val="ES Paragraph Continued"/>
    <w:basedOn w:val="ESParagraph"/>
    <w:uiPriority w:val="1"/>
    <w:qFormat/>
    <w:rsid w:val="00DD4A68"/>
    <w:pPr>
      <w:spacing w:before="240"/>
    </w:pPr>
  </w:style>
  <w:style w:type="paragraph" w:customStyle="1" w:styleId="ExhibitSource">
    <w:name w:val="Exhibit Source"/>
    <w:uiPriority w:val="1"/>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uiPriority w:val="1"/>
    <w:qFormat/>
    <w:rsid w:val="00DD4A68"/>
    <w:pPr>
      <w:ind w:left="0" w:firstLine="0"/>
    </w:pPr>
  </w:style>
  <w:style w:type="paragraph" w:customStyle="1" w:styleId="ExhibitSignificance">
    <w:name w:val="Exhibit Significance"/>
    <w:basedOn w:val="Normal"/>
    <w:uiPriority w:val="1"/>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uiPriority w:val="1"/>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uiPriority w:val="1"/>
    <w:qFormat/>
    <w:rsid w:val="00DD4A68"/>
  </w:style>
  <w:style w:type="paragraph" w:customStyle="1" w:styleId="FAQQuestion">
    <w:name w:val="FAQ Question"/>
    <w:basedOn w:val="Normal"/>
    <w:uiPriority w:val="1"/>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uiPriority w:val="1"/>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uiPriority w:val="1"/>
    <w:qFormat/>
    <w:rsid w:val="00DD4A68"/>
    <w:pPr>
      <w:spacing w:before="120" w:after="0"/>
    </w:pPr>
    <w:rPr>
      <w:color w:val="000000" w:themeColor="text1"/>
      <w:sz w:val="20"/>
    </w:rPr>
  </w:style>
  <w:style w:type="paragraph" w:customStyle="1" w:styleId="Feature1Head">
    <w:name w:val="Feature1 Head"/>
    <w:basedOn w:val="Normal"/>
    <w:uiPriority w:val="1"/>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D971D0"/>
    <w:pPr>
      <w:keepNext/>
      <w:spacing w:before="80" w:after="160"/>
      <w:ind w:left="540" w:hanging="540"/>
      <w:outlineLvl w:val="3"/>
    </w:pPr>
    <w:rPr>
      <w:b/>
    </w:rPr>
  </w:style>
  <w:style w:type="paragraph" w:styleId="ListNumber">
    <w:name w:val="List Number"/>
    <w:basedOn w:val="Normal"/>
    <w:uiPriority w:val="1"/>
    <w:unhideWhenUsed/>
    <w:rsid w:val="00DD4A68"/>
    <w:pPr>
      <w:numPr>
        <w:numId w:val="7"/>
      </w:numPr>
      <w:spacing w:before="120" w:after="120"/>
    </w:pPr>
  </w:style>
  <w:style w:type="paragraph" w:customStyle="1" w:styleId="Feature1ListNumbered">
    <w:name w:val="Feature1 List Numbered"/>
    <w:basedOn w:val="ListNumber"/>
    <w:uiPriority w:val="1"/>
    <w:qFormat/>
    <w:rsid w:val="00DD4A68"/>
    <w:pPr>
      <w:spacing w:after="0"/>
      <w:contextualSpacing/>
    </w:pPr>
    <w:rPr>
      <w:sz w:val="20"/>
    </w:rPr>
  </w:style>
  <w:style w:type="paragraph" w:customStyle="1" w:styleId="Feature1Title">
    <w:name w:val="Feature1 Title"/>
    <w:basedOn w:val="Normal"/>
    <w:uiPriority w:val="1"/>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uiPriority w:val="1"/>
    <w:qFormat/>
    <w:rsid w:val="00DD4A68"/>
    <w:rPr>
      <w:rFonts w:asciiTheme="majorHAnsi" w:hAnsiTheme="majorHAnsi"/>
    </w:rPr>
  </w:style>
  <w:style w:type="paragraph" w:customStyle="1" w:styleId="Feature2Head">
    <w:name w:val="Feature2 Head"/>
    <w:basedOn w:val="Feature1Head"/>
    <w:uiPriority w:val="1"/>
    <w:qFormat/>
    <w:rsid w:val="00DD4A68"/>
    <w:rPr>
      <w:b/>
      <w:color w:val="0B2949" w:themeColor="accent1"/>
    </w:rPr>
  </w:style>
  <w:style w:type="paragraph" w:customStyle="1" w:styleId="Feature2ListBullet">
    <w:name w:val="Feature2 List Bullet"/>
    <w:basedOn w:val="Feature1ListBullet"/>
    <w:uiPriority w:val="1"/>
    <w:qFormat/>
    <w:rsid w:val="00DD4A68"/>
    <w:pPr>
      <w:numPr>
        <w:numId w:val="8"/>
      </w:numPr>
    </w:pPr>
    <w:rPr>
      <w:rFonts w:asciiTheme="majorHAnsi" w:hAnsiTheme="majorHAnsi"/>
    </w:rPr>
  </w:style>
  <w:style w:type="paragraph" w:customStyle="1" w:styleId="Feature2ListHead">
    <w:name w:val="Feature2 List Head"/>
    <w:basedOn w:val="Feature1ListHead"/>
    <w:uiPriority w:val="1"/>
    <w:qFormat/>
    <w:rsid w:val="00DD4A68"/>
    <w:rPr>
      <w:rFonts w:asciiTheme="majorHAnsi" w:hAnsiTheme="majorHAnsi"/>
      <w:sz w:val="20"/>
    </w:rPr>
  </w:style>
  <w:style w:type="paragraph" w:customStyle="1" w:styleId="Feature2ListNumbered">
    <w:name w:val="Feature2 List Numbered"/>
    <w:basedOn w:val="Feature20"/>
    <w:uiPriority w:val="1"/>
    <w:qFormat/>
    <w:rsid w:val="00DD4A68"/>
    <w:pPr>
      <w:numPr>
        <w:numId w:val="9"/>
      </w:numPr>
    </w:pPr>
  </w:style>
  <w:style w:type="paragraph" w:customStyle="1" w:styleId="Feature2Title">
    <w:name w:val="Feature2 Title"/>
    <w:basedOn w:val="Feature1Title"/>
    <w:uiPriority w:val="1"/>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uiPriority w:val="1"/>
    <w:qFormat/>
    <w:rsid w:val="00DD4A68"/>
  </w:style>
  <w:style w:type="paragraph" w:customStyle="1" w:styleId="FigureSignificance">
    <w:name w:val="Figure Significance"/>
    <w:basedOn w:val="ExhibitSignificance"/>
    <w:uiPriority w:val="1"/>
    <w:qFormat/>
    <w:rsid w:val="00DD4A68"/>
    <w:pPr>
      <w:spacing w:before="60"/>
    </w:pPr>
  </w:style>
  <w:style w:type="paragraph" w:customStyle="1" w:styleId="FigureSource">
    <w:name w:val="Figure Source"/>
    <w:basedOn w:val="ExhibitSource"/>
    <w:uiPriority w:val="1"/>
    <w:qFormat/>
    <w:rsid w:val="00DD4A68"/>
  </w:style>
  <w:style w:type="paragraph" w:customStyle="1" w:styleId="FigureTitle">
    <w:name w:val="Figure Title"/>
    <w:basedOn w:val="TableTitle"/>
    <w:next w:val="Paragraph"/>
    <w:uiPriority w:val="1"/>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uiPriority w:val="1"/>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uiPriority w:val="1"/>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uiPriority w:val="98"/>
    <w:qFormat/>
    <w:rsid w:val="00DD4A68"/>
    <w:rPr>
      <w:bdr w:val="none" w:sz="0" w:space="0" w:color="auto"/>
      <w:shd w:val="clear" w:color="auto" w:fill="B1F4FD"/>
    </w:rPr>
  </w:style>
  <w:style w:type="character" w:customStyle="1" w:styleId="HighlightYellow">
    <w:name w:val="Highlight Yellow"/>
    <w:basedOn w:val="DefaultParagraphFont"/>
    <w:uiPriority w:val="98"/>
    <w:qFormat/>
    <w:rsid w:val="00DD4A68"/>
    <w:rPr>
      <w:bdr w:val="none" w:sz="0" w:space="0" w:color="auto"/>
      <w:shd w:val="clear" w:color="auto" w:fill="FFFF00"/>
    </w:rPr>
  </w:style>
  <w:style w:type="paragraph" w:styleId="HTMLPreformatted">
    <w:name w:val="HTML Preformatted"/>
    <w:basedOn w:val="Normal"/>
    <w:link w:val="HTMLPreformattedChar"/>
    <w:uiPriority w:val="99"/>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iPriority w:val="99"/>
    <w:unhideWhenUsed/>
    <w:rsid w:val="00DD4A68"/>
    <w:rPr>
      <w:color w:val="0563C1" w:themeColor="hyperlink"/>
      <w:u w:val="single"/>
    </w:rPr>
  </w:style>
  <w:style w:type="paragraph" w:styleId="Index1">
    <w:name w:val="index 1"/>
    <w:basedOn w:val="Normal"/>
    <w:next w:val="Normal"/>
    <w:autoRedefine/>
    <w:uiPriority w:val="1"/>
    <w:semiHidden/>
    <w:unhideWhenUsed/>
    <w:rsid w:val="00DD4A68"/>
    <w:pPr>
      <w:ind w:left="240" w:hanging="240"/>
    </w:pPr>
  </w:style>
  <w:style w:type="paragraph" w:styleId="Index2">
    <w:name w:val="index 2"/>
    <w:basedOn w:val="Normal"/>
    <w:next w:val="Normal"/>
    <w:autoRedefine/>
    <w:uiPriority w:val="1"/>
    <w:semiHidden/>
    <w:unhideWhenUsed/>
    <w:rsid w:val="00DD4A68"/>
    <w:pPr>
      <w:ind w:left="480" w:hanging="240"/>
    </w:pPr>
  </w:style>
  <w:style w:type="paragraph" w:styleId="Index3">
    <w:name w:val="index 3"/>
    <w:basedOn w:val="Normal"/>
    <w:next w:val="Normal"/>
    <w:autoRedefine/>
    <w:uiPriority w:val="1"/>
    <w:semiHidden/>
    <w:unhideWhenUsed/>
    <w:rsid w:val="00DD4A68"/>
    <w:pPr>
      <w:ind w:left="720" w:hanging="240"/>
    </w:pPr>
  </w:style>
  <w:style w:type="character" w:styleId="IntenseEmphasis">
    <w:name w:val="Intense Emphasis"/>
    <w:basedOn w:val="DefaultParagraphFont"/>
    <w:uiPriority w:val="99"/>
    <w:unhideWhenUsed/>
    <w:qFormat/>
    <w:rsid w:val="00DD4A68"/>
    <w:rPr>
      <w:i/>
      <w:iCs/>
      <w:color w:val="0B2949" w:themeColor="accent1"/>
    </w:rPr>
  </w:style>
  <w:style w:type="character" w:styleId="IntenseReference">
    <w:name w:val="Intense Reference"/>
    <w:basedOn w:val="DefaultParagraphFont"/>
    <w:uiPriority w:val="99"/>
    <w:unhideWhenUsed/>
    <w:qFormat/>
    <w:rsid w:val="00DD4A68"/>
    <w:rPr>
      <w:b/>
      <w:bCs/>
      <w:smallCaps/>
      <w:color w:val="0B2949" w:themeColor="accent1"/>
      <w:spacing w:val="5"/>
    </w:rPr>
  </w:style>
  <w:style w:type="paragraph" w:customStyle="1" w:styleId="Introduction">
    <w:name w:val="Introduction"/>
    <w:basedOn w:val="Paragraph"/>
    <w:uiPriority w:val="1"/>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uiPriority w:val="1"/>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iPriority w:val="1"/>
    <w:unhideWhenUsed/>
    <w:rsid w:val="00DD4A68"/>
    <w:pPr>
      <w:numPr>
        <w:numId w:val="10"/>
      </w:numPr>
      <w:spacing w:before="120" w:after="120"/>
    </w:pPr>
  </w:style>
  <w:style w:type="paragraph" w:styleId="List2">
    <w:name w:val="List 2"/>
    <w:basedOn w:val="Normal"/>
    <w:uiPriority w:val="1"/>
    <w:unhideWhenUsed/>
    <w:rsid w:val="00DD4A68"/>
    <w:pPr>
      <w:numPr>
        <w:ilvl w:val="1"/>
        <w:numId w:val="10"/>
      </w:numPr>
      <w:spacing w:before="120" w:after="120"/>
    </w:pPr>
  </w:style>
  <w:style w:type="paragraph" w:styleId="List3">
    <w:name w:val="List 3"/>
    <w:basedOn w:val="Normal"/>
    <w:uiPriority w:val="1"/>
    <w:unhideWhenUsed/>
    <w:rsid w:val="00DD4A68"/>
    <w:pPr>
      <w:numPr>
        <w:ilvl w:val="2"/>
        <w:numId w:val="10"/>
      </w:numPr>
      <w:spacing w:before="120" w:after="120"/>
    </w:pPr>
  </w:style>
  <w:style w:type="paragraph" w:styleId="List4">
    <w:name w:val="List 4"/>
    <w:basedOn w:val="Normal"/>
    <w:uiPriority w:val="99"/>
    <w:unhideWhenUsed/>
    <w:rsid w:val="00DD4A68"/>
    <w:pPr>
      <w:numPr>
        <w:ilvl w:val="3"/>
        <w:numId w:val="10"/>
      </w:numPr>
      <w:spacing w:before="120" w:after="120"/>
      <w:contextualSpacing/>
    </w:pPr>
  </w:style>
  <w:style w:type="paragraph" w:styleId="List5">
    <w:name w:val="List 5"/>
    <w:basedOn w:val="Normal"/>
    <w:uiPriority w:val="99"/>
    <w:unhideWhenUsed/>
    <w:rsid w:val="00DD4A68"/>
    <w:pPr>
      <w:numPr>
        <w:ilvl w:val="4"/>
        <w:numId w:val="10"/>
      </w:numPr>
      <w:contextualSpacing/>
    </w:pPr>
  </w:style>
  <w:style w:type="paragraph" w:customStyle="1" w:styleId="ListAlpha">
    <w:name w:val="List Alpha"/>
    <w:basedOn w:val="Normal"/>
    <w:uiPriority w:val="1"/>
    <w:qFormat/>
    <w:rsid w:val="00DD4A68"/>
    <w:pPr>
      <w:numPr>
        <w:numId w:val="11"/>
      </w:numPr>
      <w:spacing w:before="120" w:after="120"/>
      <w:contextualSpacing/>
    </w:pPr>
  </w:style>
  <w:style w:type="paragraph" w:customStyle="1" w:styleId="ListAlpha2">
    <w:name w:val="List Alpha 2"/>
    <w:basedOn w:val="Normal"/>
    <w:uiPriority w:val="1"/>
    <w:qFormat/>
    <w:rsid w:val="00DD4A68"/>
    <w:pPr>
      <w:numPr>
        <w:numId w:val="12"/>
      </w:numPr>
      <w:spacing w:before="120" w:after="120"/>
      <w:contextualSpacing/>
    </w:pPr>
  </w:style>
  <w:style w:type="paragraph" w:customStyle="1" w:styleId="ListAlpha3">
    <w:name w:val="List Alpha 3"/>
    <w:basedOn w:val="Normal"/>
    <w:uiPriority w:val="1"/>
    <w:qFormat/>
    <w:rsid w:val="00DD4A68"/>
    <w:pPr>
      <w:numPr>
        <w:numId w:val="13"/>
      </w:numPr>
    </w:pPr>
  </w:style>
  <w:style w:type="paragraph" w:styleId="ListBullet2">
    <w:name w:val="List Bullet 2"/>
    <w:basedOn w:val="Normal"/>
    <w:uiPriority w:val="1"/>
    <w:unhideWhenUsed/>
    <w:rsid w:val="00DD4A68"/>
    <w:pPr>
      <w:numPr>
        <w:numId w:val="14"/>
      </w:numPr>
      <w:tabs>
        <w:tab w:val="left" w:pos="432"/>
      </w:tabs>
      <w:spacing w:before="120" w:after="120"/>
    </w:pPr>
  </w:style>
  <w:style w:type="paragraph" w:styleId="ListBullet3">
    <w:name w:val="List Bullet 3"/>
    <w:basedOn w:val="Normal"/>
    <w:uiPriority w:val="1"/>
    <w:unhideWhenUsed/>
    <w:rsid w:val="00DD4A68"/>
    <w:pPr>
      <w:numPr>
        <w:numId w:val="15"/>
      </w:numPr>
      <w:tabs>
        <w:tab w:val="left" w:pos="432"/>
      </w:tabs>
      <w:spacing w:before="120" w:after="120"/>
    </w:pPr>
  </w:style>
  <w:style w:type="paragraph" w:styleId="ListBullet4">
    <w:name w:val="List Bullet 4"/>
    <w:basedOn w:val="Normal"/>
    <w:uiPriority w:val="99"/>
    <w:unhideWhenUsed/>
    <w:rsid w:val="00DD4A68"/>
    <w:pPr>
      <w:numPr>
        <w:numId w:val="16"/>
      </w:numPr>
      <w:contextualSpacing/>
    </w:pPr>
  </w:style>
  <w:style w:type="paragraph" w:styleId="ListBullet5">
    <w:name w:val="List Bullet 5"/>
    <w:basedOn w:val="Normal"/>
    <w:uiPriority w:val="99"/>
    <w:unhideWhenUsed/>
    <w:rsid w:val="00DD4A68"/>
    <w:pPr>
      <w:numPr>
        <w:numId w:val="17"/>
      </w:numPr>
      <w:contextualSpacing/>
    </w:pPr>
  </w:style>
  <w:style w:type="paragraph" w:styleId="ListContinue">
    <w:name w:val="List Continue"/>
    <w:basedOn w:val="Normal"/>
    <w:uiPriority w:val="1"/>
    <w:unhideWhenUsed/>
    <w:rsid w:val="00DD4A68"/>
    <w:pPr>
      <w:spacing w:before="120" w:after="120"/>
      <w:ind w:left="360"/>
    </w:pPr>
  </w:style>
  <w:style w:type="paragraph" w:styleId="ListContinue2">
    <w:name w:val="List Continue 2"/>
    <w:basedOn w:val="Normal"/>
    <w:uiPriority w:val="1"/>
    <w:unhideWhenUsed/>
    <w:rsid w:val="00DD4A68"/>
    <w:pPr>
      <w:spacing w:before="120" w:after="120"/>
      <w:ind w:left="720"/>
    </w:pPr>
  </w:style>
  <w:style w:type="paragraph" w:styleId="ListContinue3">
    <w:name w:val="List Continue 3"/>
    <w:basedOn w:val="Normal"/>
    <w:uiPriority w:val="1"/>
    <w:unhideWhenUsed/>
    <w:rsid w:val="00DD4A68"/>
    <w:pPr>
      <w:spacing w:before="120" w:after="120"/>
      <w:ind w:left="1080"/>
    </w:pPr>
  </w:style>
  <w:style w:type="paragraph" w:customStyle="1" w:styleId="ListHead">
    <w:name w:val="List Head"/>
    <w:basedOn w:val="Normal"/>
    <w:uiPriority w:val="1"/>
    <w:qFormat/>
    <w:rsid w:val="00D971D0"/>
    <w:pPr>
      <w:keepNext/>
      <w:spacing w:before="360" w:after="120"/>
    </w:pPr>
    <w:rPr>
      <w:b/>
    </w:rPr>
  </w:style>
  <w:style w:type="paragraph" w:styleId="ListNumber2">
    <w:name w:val="List Number 2"/>
    <w:basedOn w:val="Normal"/>
    <w:uiPriority w:val="1"/>
    <w:unhideWhenUsed/>
    <w:rsid w:val="00DD4A68"/>
    <w:pPr>
      <w:numPr>
        <w:numId w:val="18"/>
      </w:numPr>
      <w:spacing w:before="120" w:after="120"/>
    </w:pPr>
  </w:style>
  <w:style w:type="paragraph" w:styleId="ListNumber3">
    <w:name w:val="List Number 3"/>
    <w:basedOn w:val="Normal"/>
    <w:uiPriority w:val="1"/>
    <w:unhideWhenUsed/>
    <w:rsid w:val="00DD4A68"/>
    <w:pPr>
      <w:numPr>
        <w:numId w:val="19"/>
      </w:numPr>
      <w:spacing w:before="120" w:after="120"/>
    </w:pPr>
  </w:style>
  <w:style w:type="paragraph" w:styleId="ListParagraph">
    <w:name w:val="List Paragraph"/>
    <w:basedOn w:val="Normal"/>
    <w:link w:val="ListParagraphChar"/>
    <w:uiPriority w:val="34"/>
    <w:qFormat/>
    <w:rsid w:val="00DD4A68"/>
    <w:pPr>
      <w:spacing w:before="240" w:after="60"/>
      <w:ind w:left="1260" w:hanging="1260"/>
    </w:pPr>
  </w:style>
  <w:style w:type="paragraph" w:customStyle="1" w:styleId="LOF1">
    <w:name w:val="LOF 1"/>
    <w:basedOn w:val="TableofFigures"/>
    <w:uiPriority w:val="1"/>
    <w:qFormat/>
    <w:rsid w:val="00DD4A68"/>
  </w:style>
  <w:style w:type="paragraph" w:customStyle="1" w:styleId="LogoAnchor">
    <w:name w:val="Logo_Anchor"/>
    <w:basedOn w:val="Normal"/>
    <w:uiPriority w:val="1"/>
    <w:qFormat/>
    <w:rsid w:val="00DD4A68"/>
    <w:pPr>
      <w:spacing w:before="240"/>
      <w:jc w:val="center"/>
    </w:pPr>
    <w:rPr>
      <w:sz w:val="4"/>
    </w:rPr>
  </w:style>
  <w:style w:type="paragraph" w:styleId="NoSpacing">
    <w:name w:val="No Spacing"/>
    <w:link w:val="NoSpacingChar"/>
    <w:uiPriority w:val="1"/>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uiPriority w:val="1"/>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uiPriority w:val="1"/>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uiPriority w:val="1"/>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uiPriority w:val="1"/>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uiPriority w:val="1"/>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uiPriority w:val="1"/>
    <w:qFormat/>
    <w:rsid w:val="00DD4A68"/>
  </w:style>
  <w:style w:type="character" w:styleId="PlaceholderText">
    <w:name w:val="Placeholder Text"/>
    <w:basedOn w:val="DefaultParagraphFont"/>
    <w:uiPriority w:val="99"/>
    <w:semiHidden/>
    <w:rsid w:val="00DD4A68"/>
    <w:rPr>
      <w:color w:val="808080"/>
    </w:rPr>
  </w:style>
  <w:style w:type="paragraph" w:customStyle="1" w:styleId="Pubinfo">
    <w:name w:val="Pubinfo"/>
    <w:basedOn w:val="Byline"/>
    <w:uiPriority w:val="1"/>
    <w:qFormat/>
    <w:rsid w:val="00DD4A68"/>
    <w:pPr>
      <w:spacing w:before="0" w:after="120"/>
      <w:jc w:val="left"/>
    </w:pPr>
    <w:rPr>
      <w:b w:val="0"/>
    </w:rPr>
  </w:style>
  <w:style w:type="paragraph" w:customStyle="1" w:styleId="PubinfoNumber">
    <w:name w:val="Pubinfo Number"/>
    <w:basedOn w:val="Pubinfo"/>
    <w:uiPriority w:val="1"/>
    <w:qFormat/>
    <w:rsid w:val="00DD4A68"/>
  </w:style>
  <w:style w:type="paragraph" w:customStyle="1" w:styleId="PubinfoCategory">
    <w:name w:val="Pubinfo Category"/>
    <w:basedOn w:val="PubinfoNumber"/>
    <w:uiPriority w:val="1"/>
    <w:qFormat/>
    <w:rsid w:val="00DD4A68"/>
    <w:rPr>
      <w:rFonts w:cstheme="majorHAnsi"/>
      <w:b/>
      <w:smallCaps/>
    </w:rPr>
  </w:style>
  <w:style w:type="paragraph" w:customStyle="1" w:styleId="PubinfoHead">
    <w:name w:val="Pubinfo Head"/>
    <w:basedOn w:val="Pubinfo"/>
    <w:uiPriority w:val="1"/>
    <w:qFormat/>
    <w:rsid w:val="00DD4A68"/>
    <w:pPr>
      <w:spacing w:after="240"/>
    </w:pPr>
    <w:rPr>
      <w:b/>
    </w:rPr>
  </w:style>
  <w:style w:type="paragraph" w:customStyle="1" w:styleId="PubinfoDate">
    <w:name w:val="Pubinfo Date"/>
    <w:basedOn w:val="PubinfoHead"/>
    <w:uiPriority w:val="1"/>
    <w:qFormat/>
    <w:rsid w:val="00DD4A68"/>
  </w:style>
  <w:style w:type="paragraph" w:customStyle="1" w:styleId="PubinfoList">
    <w:name w:val="Pubinfo List"/>
    <w:basedOn w:val="PubinfoHead"/>
    <w:uiPriority w:val="1"/>
    <w:qFormat/>
    <w:rsid w:val="00DD4A68"/>
    <w:pPr>
      <w:spacing w:before="60" w:after="60"/>
      <w:ind w:left="432" w:hanging="432"/>
    </w:pPr>
    <w:rPr>
      <w:rFonts w:asciiTheme="minorHAnsi" w:hAnsiTheme="minorHAnsi"/>
      <w:b w:val="0"/>
    </w:rPr>
  </w:style>
  <w:style w:type="paragraph" w:customStyle="1" w:styleId="ResBody">
    <w:name w:val="Res_Body"/>
    <w:link w:val="ResBodyChar"/>
    <w:uiPriority w:val="98"/>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DD4A68"/>
    <w:pPr>
      <w:pBdr>
        <w:bottom w:val="single" w:sz="24" w:space="1" w:color="E0D4B5"/>
      </w:pBdr>
    </w:pPr>
  </w:style>
  <w:style w:type="paragraph" w:customStyle="1" w:styleId="ResH1Sidebar">
    <w:name w:val="Res_H1_Sidebar"/>
    <w:basedOn w:val="ResH1"/>
    <w:uiPriority w:val="98"/>
    <w:semiHidden/>
    <w:qFormat/>
    <w:rsid w:val="00DD4A68"/>
    <w:pPr>
      <w:spacing w:before="0" w:after="120"/>
    </w:pPr>
  </w:style>
  <w:style w:type="paragraph" w:customStyle="1" w:styleId="ResH2">
    <w:name w:val="Res_H2"/>
    <w:basedOn w:val="Normal"/>
    <w:link w:val="ResH2Char"/>
    <w:uiPriority w:val="98"/>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DD4A68"/>
    <w:pPr>
      <w:keepNext/>
    </w:pPr>
    <w:rPr>
      <w:b/>
    </w:rPr>
  </w:style>
  <w:style w:type="paragraph" w:customStyle="1" w:styleId="ResHeader">
    <w:name w:val="Res_Header"/>
    <w:link w:val="ResHeaderChar"/>
    <w:uiPriority w:val="98"/>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DD4A68"/>
    <w:pPr>
      <w:numPr>
        <w:numId w:val="22"/>
      </w:numPr>
    </w:pPr>
  </w:style>
  <w:style w:type="paragraph" w:customStyle="1" w:styleId="ResList">
    <w:name w:val="Res_List"/>
    <w:basedOn w:val="ResBody"/>
    <w:link w:val="ResListChar"/>
    <w:uiPriority w:val="98"/>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DD4A68"/>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DD4A68"/>
    <w:pPr>
      <w:spacing w:before="120"/>
      <w:ind w:left="1440" w:hanging="1440"/>
    </w:pPr>
  </w:style>
  <w:style w:type="paragraph" w:customStyle="1" w:styleId="ResListFirst">
    <w:name w:val="Res_List_First"/>
    <w:basedOn w:val="ResList"/>
    <w:uiPriority w:val="98"/>
    <w:semiHidden/>
    <w:qFormat/>
    <w:rsid w:val="00DD4A68"/>
    <w:pPr>
      <w:spacing w:before="120"/>
    </w:pPr>
  </w:style>
  <w:style w:type="paragraph" w:customStyle="1" w:styleId="ResName">
    <w:name w:val="Res_Name"/>
    <w:basedOn w:val="Normal"/>
    <w:link w:val="ResNameChar"/>
    <w:uiPriority w:val="98"/>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DD4A68"/>
    <w:pPr>
      <w:keepLines/>
    </w:pPr>
  </w:style>
  <w:style w:type="paragraph" w:customStyle="1" w:styleId="ResSidebar">
    <w:name w:val="Res_Sidebar"/>
    <w:basedOn w:val="Normal"/>
    <w:link w:val="ResSidebarChar"/>
    <w:uiPriority w:val="98"/>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uiPriority w:val="98"/>
    <w:semiHidden/>
    <w:qFormat/>
    <w:rsid w:val="00DD4A68"/>
    <w:pPr>
      <w:spacing w:before="160"/>
    </w:pPr>
  </w:style>
  <w:style w:type="paragraph" w:customStyle="1" w:styleId="ResTitle">
    <w:name w:val="Res_Title"/>
    <w:basedOn w:val="Normal"/>
    <w:link w:val="ResTitleChar"/>
    <w:uiPriority w:val="98"/>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uiPriority w:val="1"/>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uiPriority w:val="1"/>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uiPriority w:val="1"/>
    <w:qFormat/>
    <w:rsid w:val="00DD4A68"/>
    <w:pPr>
      <w:numPr>
        <w:numId w:val="25"/>
      </w:numPr>
      <w:tabs>
        <w:tab w:val="clear" w:pos="792"/>
      </w:tabs>
    </w:pPr>
    <w:rPr>
      <w:color w:val="000000"/>
      <w:szCs w:val="21"/>
    </w:rPr>
  </w:style>
  <w:style w:type="paragraph" w:customStyle="1" w:styleId="SidebarTitle">
    <w:name w:val="Sidebar Title"/>
    <w:basedOn w:val="SidebarHead"/>
    <w:uiPriority w:val="1"/>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iPriority w:val="1"/>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uiPriority w:val="1"/>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uiPriority w:val="1"/>
    <w:qFormat/>
    <w:rsid w:val="00DD4A68"/>
    <w:pPr>
      <w:spacing w:after="0" w:line="240" w:lineRule="auto"/>
    </w:pPr>
    <w:rPr>
      <w:rFonts w:asciiTheme="majorHAnsi" w:hAnsiTheme="majorHAnsi"/>
      <w:sz w:val="20"/>
    </w:rPr>
  </w:style>
  <w:style w:type="paragraph" w:customStyle="1" w:styleId="TableListBullet">
    <w:name w:val="Table List Bullet"/>
    <w:basedOn w:val="TableTextLeft"/>
    <w:uiPriority w:val="1"/>
    <w:qFormat/>
    <w:rsid w:val="00DD4A68"/>
    <w:pPr>
      <w:numPr>
        <w:numId w:val="26"/>
      </w:numPr>
      <w:textboxTightWrap w:val="allLines"/>
    </w:pPr>
  </w:style>
  <w:style w:type="paragraph" w:customStyle="1" w:styleId="TableListNumber">
    <w:name w:val="Table List Number"/>
    <w:basedOn w:val="TableTextLeft"/>
    <w:uiPriority w:val="1"/>
    <w:qFormat/>
    <w:rsid w:val="00DD4A68"/>
    <w:pPr>
      <w:numPr>
        <w:numId w:val="27"/>
      </w:numPr>
      <w:textboxTightWrap w:val="allLines"/>
    </w:pPr>
  </w:style>
  <w:style w:type="paragraph" w:customStyle="1" w:styleId="TableRowHead">
    <w:name w:val="Table Row Head"/>
    <w:basedOn w:val="TableHeaderLeft"/>
    <w:uiPriority w:val="1"/>
    <w:qFormat/>
    <w:rsid w:val="00DD4A68"/>
    <w:pPr>
      <w:spacing w:before="60" w:after="40"/>
    </w:pPr>
    <w:rPr>
      <w:color w:val="auto"/>
    </w:rPr>
  </w:style>
  <w:style w:type="paragraph" w:customStyle="1" w:styleId="TableSignificance">
    <w:name w:val="Table Significance"/>
    <w:basedOn w:val="TableFootnote"/>
    <w:uiPriority w:val="1"/>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uiPriority w:val="1"/>
    <w:qFormat/>
    <w:rsid w:val="00DD4A68"/>
    <w:pPr>
      <w:spacing w:before="80"/>
    </w:pPr>
  </w:style>
  <w:style w:type="paragraph" w:customStyle="1" w:styleId="TableTextCentered">
    <w:name w:val="Table Text Centered"/>
    <w:basedOn w:val="TableTextLeft"/>
    <w:uiPriority w:val="1"/>
    <w:qFormat/>
    <w:rsid w:val="00DD4A68"/>
    <w:pPr>
      <w:jc w:val="center"/>
    </w:pPr>
  </w:style>
  <w:style w:type="paragraph" w:customStyle="1" w:styleId="TableTextDecimal">
    <w:name w:val="Table Text Decimal"/>
    <w:basedOn w:val="TableTextLeft"/>
    <w:uiPriority w:val="1"/>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uiPriority w:val="1"/>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uiPriority w:val="1"/>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uiPriority w:val="1"/>
    <w:qFormat/>
    <w:rsid w:val="00DD4A68"/>
    <w:rPr>
      <w:rFonts w:asciiTheme="majorHAnsi" w:hAnsiTheme="majorHAnsi"/>
      <w:b/>
      <w:color w:val="046B5C" w:themeColor="text2"/>
    </w:rPr>
  </w:style>
  <w:style w:type="paragraph" w:styleId="TOCHeading">
    <w:name w:val="TOC Heading"/>
    <w:basedOn w:val="Heading1"/>
    <w:next w:val="Normal"/>
    <w:uiPriority w:val="39"/>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uiPriority w:val="20"/>
    <w:qFormat/>
    <w:rsid w:val="00D76D3D"/>
    <w:rPr>
      <w:i/>
      <w:iCs/>
    </w:rPr>
  </w:style>
  <w:style w:type="paragraph" w:customStyle="1" w:styleId="NormalSS">
    <w:name w:val="NormalSS"/>
    <w:basedOn w:val="Normal"/>
    <w:uiPriority w:val="1"/>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uiPriority w:val="1"/>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uiPriority w:val="1"/>
    <w:qFormat/>
    <w:rsid w:val="00D76D3D"/>
    <w:pPr>
      <w:spacing w:after="60"/>
      <w:ind w:left="0"/>
    </w:pPr>
    <w:rPr>
      <w:sz w:val="20"/>
    </w:rPr>
  </w:style>
  <w:style w:type="paragraph" w:customStyle="1" w:styleId="SignatoryTitle">
    <w:name w:val="Signatory Title"/>
    <w:basedOn w:val="Signatory"/>
    <w:uiPriority w:val="1"/>
    <w:qFormat/>
    <w:rsid w:val="00D76D3D"/>
    <w:pPr>
      <w:spacing w:after="360"/>
    </w:pPr>
    <w:rPr>
      <w:i/>
    </w:rPr>
  </w:style>
  <w:style w:type="paragraph" w:customStyle="1" w:styleId="CoverSubtitle">
    <w:name w:val="Cover Subtitle"/>
    <w:basedOn w:val="CoverTitle"/>
    <w:uiPriority w:val="1"/>
    <w:qFormat/>
    <w:rsid w:val="00DD4A68"/>
    <w:rPr>
      <w:sz w:val="32"/>
    </w:rPr>
  </w:style>
  <w:style w:type="paragraph" w:customStyle="1" w:styleId="SidebarLiBullet">
    <w:name w:val="Sidebar LiBullet"/>
    <w:basedOn w:val="SidebarBullet"/>
    <w:uiPriority w:val="1"/>
    <w:rsid w:val="00DD4A68"/>
  </w:style>
  <w:style w:type="paragraph" w:customStyle="1" w:styleId="SidebarListBullet">
    <w:name w:val="Sidebar List Bullet"/>
    <w:basedOn w:val="Sidebar"/>
    <w:uiPriority w:val="1"/>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uiPriority w:val="1"/>
    <w:qFormat/>
    <w:rsid w:val="00DD4A68"/>
    <w:pPr>
      <w:numPr>
        <w:numId w:val="24"/>
      </w:numPr>
      <w:tabs>
        <w:tab w:val="clear" w:pos="792"/>
      </w:tabs>
    </w:pPr>
    <w:rPr>
      <w:color w:val="000000"/>
      <w:szCs w:val="21"/>
    </w:rPr>
  </w:style>
  <w:style w:type="paragraph" w:customStyle="1" w:styleId="SalutationSubject">
    <w:name w:val="Salutation Subject"/>
    <w:basedOn w:val="Salutation"/>
    <w:uiPriority w:val="1"/>
    <w:qFormat/>
    <w:rsid w:val="003242F7"/>
    <w:pPr>
      <w:spacing w:before="0" w:after="360"/>
      <w:ind w:left="1627" w:hanging="1627"/>
      <w:contextualSpacing w:val="0"/>
    </w:pPr>
  </w:style>
  <w:style w:type="character" w:customStyle="1" w:styleId="UnresolvedMention1">
    <w:name w:val="Unresolved Mention1"/>
    <w:basedOn w:val="DefaultParagraphFont"/>
    <w:uiPriority w:val="99"/>
    <w:semiHidden/>
    <w:unhideWhenUsed/>
    <w:rsid w:val="000F0817"/>
    <w:rPr>
      <w:color w:val="605E5C"/>
      <w:shd w:val="clear" w:color="auto" w:fill="E1DFDD"/>
    </w:rPr>
  </w:style>
  <w:style w:type="paragraph" w:styleId="BodyText">
    <w:name w:val="Body Text"/>
    <w:basedOn w:val="Normal"/>
    <w:link w:val="BodyTextChar"/>
    <w:unhideWhenUsed/>
    <w:rsid w:val="00EC4A43"/>
    <w:pPr>
      <w:tabs>
        <w:tab w:val="left" w:pos="720"/>
        <w:tab w:val="left" w:pos="1080"/>
        <w:tab w:val="left" w:pos="1440"/>
        <w:tab w:val="left" w:pos="1800"/>
      </w:tabs>
      <w:spacing w:after="0" w:line="264" w:lineRule="auto"/>
    </w:pPr>
    <w:rPr>
      <w:rFonts w:ascii="Times New Roman" w:hAnsi="Times New Roman"/>
      <w:sz w:val="22"/>
    </w:rPr>
  </w:style>
  <w:style w:type="character" w:customStyle="1" w:styleId="BodyTextChar">
    <w:name w:val="Body Text Char"/>
    <w:basedOn w:val="DefaultParagraphFont"/>
    <w:link w:val="BodyText"/>
    <w:rsid w:val="00EC4A43"/>
    <w:rPr>
      <w:sz w:val="22"/>
      <w:szCs w:val="20"/>
    </w:rPr>
  </w:style>
  <w:style w:type="character" w:customStyle="1" w:styleId="ListParagraphChar">
    <w:name w:val="List Paragraph Char"/>
    <w:link w:val="ListParagraph"/>
    <w:uiPriority w:val="34"/>
    <w:locked/>
    <w:rsid w:val="00EC4A43"/>
    <w:rPr>
      <w:rFonts w:asciiTheme="minorHAnsi" w:hAnsiTheme="minorHAnsi"/>
      <w:szCs w:val="20"/>
    </w:rPr>
  </w:style>
  <w:style w:type="paragraph" w:styleId="Revision">
    <w:name w:val="Revision"/>
    <w:hidden/>
    <w:uiPriority w:val="99"/>
    <w:semiHidden/>
    <w:rsid w:val="00F829C1"/>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6984">
      <w:bodyDiv w:val="1"/>
      <w:marLeft w:val="0"/>
      <w:marRight w:val="0"/>
      <w:marTop w:val="0"/>
      <w:marBottom w:val="0"/>
      <w:divBdr>
        <w:top w:val="none" w:sz="0" w:space="0" w:color="auto"/>
        <w:left w:val="none" w:sz="0" w:space="0" w:color="auto"/>
        <w:bottom w:val="none" w:sz="0" w:space="0" w:color="auto"/>
        <w:right w:val="none" w:sz="0" w:space="0" w:color="auto"/>
      </w:divBdr>
    </w:div>
    <w:div w:id="748617812">
      <w:bodyDiv w:val="1"/>
      <w:marLeft w:val="0"/>
      <w:marRight w:val="0"/>
      <w:marTop w:val="0"/>
      <w:marBottom w:val="0"/>
      <w:divBdr>
        <w:top w:val="none" w:sz="0" w:space="0" w:color="auto"/>
        <w:left w:val="none" w:sz="0" w:space="0" w:color="auto"/>
        <w:bottom w:val="none" w:sz="0" w:space="0" w:color="auto"/>
        <w:right w:val="none" w:sz="0" w:space="0" w:color="auto"/>
      </w:divBdr>
    </w:div>
    <w:div w:id="851727570">
      <w:bodyDiv w:val="1"/>
      <w:marLeft w:val="0"/>
      <w:marRight w:val="0"/>
      <w:marTop w:val="0"/>
      <w:marBottom w:val="0"/>
      <w:divBdr>
        <w:top w:val="none" w:sz="0" w:space="0" w:color="auto"/>
        <w:left w:val="none" w:sz="0" w:space="0" w:color="auto"/>
        <w:bottom w:val="none" w:sz="0" w:space="0" w:color="auto"/>
        <w:right w:val="none" w:sz="0" w:space="0" w:color="auto"/>
      </w:divBdr>
    </w:div>
    <w:div w:id="1847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23a43399335da685248e96707b6536bd">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8df3f63d7dcefd01c3a401c2a3dd6164"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2271-3217-4994-84F6-4A023E29A5E4}">
  <ds:schemaRefs>
    <ds:schemaRef ds:uri="http://schemas.microsoft.com/sharepoint/v3/contenttype/forms"/>
  </ds:schemaRefs>
</ds:datastoreItem>
</file>

<file path=customXml/itemProps2.xml><?xml version="1.0" encoding="utf-8"?>
<ds:datastoreItem xmlns:ds="http://schemas.openxmlformats.org/officeDocument/2006/customXml" ds:itemID="{2C21FE98-F461-4BE1-8EB9-9ACE27C3F352}">
  <ds:schemaRefs>
    <ds:schemaRef ds:uri="http://schemas.openxmlformats.org/package/2006/metadata/core-properties"/>
    <ds:schemaRef ds:uri="http://schemas.microsoft.com/office/2006/documentManagement/types"/>
    <ds:schemaRef ds:uri="http://purl.org/dc/elements/1.1/"/>
    <ds:schemaRef ds:uri="3944bd3e-eb76-4a70-8423-067311227f76"/>
    <ds:schemaRef ds:uri="http://schemas.microsoft.com/office/infopath/2007/PartnerControls"/>
    <ds:schemaRef ds:uri="5309e048-1b4c-4f6d-b014-3d79d9de2e99"/>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F8F47D2-54FB-4F2B-BCD0-62BE58093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22824-0603-4DA5-9826-D73CA682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4</TotalTime>
  <Pages>7</Pages>
  <Words>2629</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17364</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Sheena McConnell</dc:creator>
  <dc:description>This template should just print out on plain paper.</dc:description>
  <cp:lastModifiedBy>Jones, Molly (ACF)</cp:lastModifiedBy>
  <cp:revision>4</cp:revision>
  <cp:lastPrinted>2020-01-22T21:04:00Z</cp:lastPrinted>
  <dcterms:created xsi:type="dcterms:W3CDTF">2020-05-08T14:17:00Z</dcterms:created>
  <dcterms:modified xsi:type="dcterms:W3CDTF">2020-05-12T19:26:00Z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