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1E76" w:rsidR="00A67DE5" w:rsidP="00F81E76" w:rsidRDefault="00A67DE5">
      <w:pPr>
        <w:jc w:val="center"/>
        <w:rPr>
          <w:b/>
        </w:rPr>
      </w:pPr>
      <w:bookmarkStart w:name="_GoBack" w:id="0"/>
      <w:bookmarkEnd w:id="0"/>
      <w:r w:rsidRPr="00F81E76">
        <w:rPr>
          <w:b/>
        </w:rPr>
        <w:t>SUPPORTING STATEMENT</w:t>
      </w:r>
    </w:p>
    <w:p w:rsidR="00A67DE5" w:rsidP="00A67DE5" w:rsidRDefault="00577B0A">
      <w:pPr>
        <w:jc w:val="center"/>
        <w:rPr>
          <w:b/>
          <w:caps/>
        </w:rPr>
      </w:pPr>
      <w:r>
        <w:rPr>
          <w:b/>
          <w:caps/>
        </w:rPr>
        <w:t>CAHPS</w:t>
      </w:r>
      <w:r w:rsidRPr="00EA4C90" w:rsidR="00F02899">
        <w:rPr>
          <w:b/>
          <w:caps/>
          <w:vertAlign w:val="superscript"/>
        </w:rPr>
        <w:t>®</w:t>
      </w:r>
      <w:r>
        <w:rPr>
          <w:b/>
          <w:caps/>
        </w:rPr>
        <w:t xml:space="preserve"> </w:t>
      </w:r>
      <w:r w:rsidR="00890144">
        <w:rPr>
          <w:b/>
          <w:caps/>
        </w:rPr>
        <w:t xml:space="preserve">Hospice </w:t>
      </w:r>
      <w:r w:rsidR="00F2497A">
        <w:rPr>
          <w:b/>
          <w:caps/>
        </w:rPr>
        <w:t>survey</w:t>
      </w:r>
    </w:p>
    <w:p w:rsidR="00A22B5D" w:rsidP="00A67DE5" w:rsidRDefault="00A22B5D">
      <w:pPr>
        <w:jc w:val="center"/>
        <w:rPr>
          <w:b/>
          <w:caps/>
        </w:rPr>
      </w:pPr>
      <w:r>
        <w:rPr>
          <w:b/>
          <w:caps/>
        </w:rPr>
        <w:t>(CMS-</w:t>
      </w:r>
      <w:r w:rsidRPr="00A22B5D">
        <w:rPr>
          <w:b/>
          <w:caps/>
        </w:rPr>
        <w:t>10537</w:t>
      </w:r>
      <w:r>
        <w:rPr>
          <w:b/>
          <w:caps/>
        </w:rPr>
        <w:t>; omb 0938-1257)</w:t>
      </w:r>
    </w:p>
    <w:p w:rsidRPr="00634FA0" w:rsidR="00A67DE5" w:rsidP="00A67DE5" w:rsidRDefault="00A67DE5"/>
    <w:p w:rsidRPr="00C91747" w:rsidR="00A67DE5" w:rsidP="00D10660" w:rsidRDefault="00A67DE5">
      <w:pPr>
        <w:pStyle w:val="Heading1"/>
      </w:pPr>
      <w:bookmarkStart w:name="_Toc383511890" w:id="1"/>
      <w:r w:rsidRPr="00C91747">
        <w:t>Introduction</w:t>
      </w:r>
      <w:bookmarkEnd w:id="1"/>
    </w:p>
    <w:p w:rsidR="00A67DE5" w:rsidP="00A67DE5" w:rsidRDefault="00A67DE5"/>
    <w:p w:rsidRPr="00815356" w:rsidR="00F2497A" w:rsidP="00D5175B" w:rsidRDefault="00F2497A">
      <w:pPr>
        <w:spacing w:after="200" w:line="23" w:lineRule="atLeast"/>
      </w:pPr>
      <w:r>
        <w:t xml:space="preserve">The Centers for Medicare &amp; Medicaid Services (CMS) requests a </w:t>
      </w:r>
      <w:r w:rsidR="00485603">
        <w:t>three</w:t>
      </w:r>
      <w:r>
        <w:t>-year</w:t>
      </w:r>
      <w:r w:rsidR="001E3907">
        <w:t xml:space="preserve"> </w:t>
      </w:r>
      <w:r>
        <w:t xml:space="preserve">clearance from the Office of Management and Budget (OMB) under the Paperwork Reduction Act of 1995 to </w:t>
      </w:r>
      <w:r w:rsidR="005B4E7E">
        <w:t xml:space="preserve">continue implementation of </w:t>
      </w:r>
      <w:r>
        <w:t xml:space="preserve">the </w:t>
      </w:r>
      <w:r w:rsidR="00C83F69">
        <w:t xml:space="preserve">Consumer Assessment of Healthcare Plans and Systems </w:t>
      </w:r>
      <w:r w:rsidR="00831A86">
        <w:t>(</w:t>
      </w:r>
      <w:r w:rsidR="005B4E7E">
        <w:t>CAHPS</w:t>
      </w:r>
      <w:r w:rsidRPr="005B4E7E" w:rsidR="005B4E7E">
        <w:rPr>
          <w:vertAlign w:val="superscript"/>
        </w:rPr>
        <w:t>®</w:t>
      </w:r>
      <w:r w:rsidR="00831A86">
        <w:rPr>
          <w:vertAlign w:val="superscript"/>
        </w:rPr>
        <w:t>)</w:t>
      </w:r>
      <w:r w:rsidR="005B4E7E">
        <w:t xml:space="preserve"> </w:t>
      </w:r>
      <w:r w:rsidR="001E3907">
        <w:t xml:space="preserve">Hospice </w:t>
      </w:r>
      <w:r w:rsidR="005B4E7E">
        <w:t>Survey</w:t>
      </w:r>
      <w:r w:rsidR="00FF469F">
        <w:t>.</w:t>
      </w:r>
      <w:r w:rsidR="005B4E7E">
        <w:t xml:space="preserve"> </w:t>
      </w:r>
      <w:r w:rsidR="00831A86">
        <w:t xml:space="preserve"> </w:t>
      </w:r>
      <w:r>
        <w:t>Under Contract Number</w:t>
      </w:r>
      <w:r w:rsidR="00D5175B">
        <w:t xml:space="preserve"> GS-10F-0275P and Task Order number 75FCMC19F0026</w:t>
      </w:r>
      <w:r>
        <w:t>, the project team will</w:t>
      </w:r>
      <w:r w:rsidR="002434A2">
        <w:t xml:space="preserve"> </w:t>
      </w:r>
      <w:r w:rsidR="005B4E7E">
        <w:t xml:space="preserve">continue to </w:t>
      </w:r>
      <w:r w:rsidR="00577B0A">
        <w:t>implement</w:t>
      </w:r>
      <w:r>
        <w:t xml:space="preserve"> and analyze a </w:t>
      </w:r>
      <w:r w:rsidR="00126E54">
        <w:t>hospice e</w:t>
      </w:r>
      <w:r>
        <w:t>xperience</w:t>
      </w:r>
      <w:r w:rsidR="00126E54">
        <w:t xml:space="preserve"> of</w:t>
      </w:r>
      <w:r>
        <w:t xml:space="preserve"> care survey for </w:t>
      </w:r>
      <w:r w:rsidR="00270388">
        <w:t xml:space="preserve">primary caregivers (i.e., </w:t>
      </w:r>
      <w:r w:rsidR="00681D38">
        <w:t>bereaved family members or close friends</w:t>
      </w:r>
      <w:r w:rsidR="00270388">
        <w:t>)</w:t>
      </w:r>
      <w:r w:rsidR="00415BFD">
        <w:t xml:space="preserve"> of </w:t>
      </w:r>
      <w:r w:rsidRPr="00815356" w:rsidR="00415BFD">
        <w:t xml:space="preserve">patients </w:t>
      </w:r>
      <w:r w:rsidRPr="00815356" w:rsidR="00A42F4D">
        <w:t>who died while receiving</w:t>
      </w:r>
      <w:r w:rsidRPr="00815356" w:rsidR="00415BFD">
        <w:t xml:space="preserve"> hospice care</w:t>
      </w:r>
      <w:r w:rsidR="00A27D3E">
        <w:t xml:space="preserve"> (“decedents”)</w:t>
      </w:r>
      <w:r w:rsidRPr="00815356">
        <w:t>.</w:t>
      </w:r>
      <w:r w:rsidR="00E203E4">
        <w:t xml:space="preserve"> </w:t>
      </w:r>
      <w:r w:rsidR="007452B3">
        <w:t xml:space="preserve"> </w:t>
      </w:r>
    </w:p>
    <w:p w:rsidRPr="00EF52AE" w:rsidR="00A67DE5" w:rsidP="00D10660" w:rsidRDefault="007452B3">
      <w:pPr>
        <w:pStyle w:val="Heading1"/>
      </w:pPr>
      <w:bookmarkStart w:name="_Toc383511891" w:id="2"/>
      <w:r>
        <w:t xml:space="preserve">A. </w:t>
      </w:r>
      <w:r w:rsidRPr="00EF52AE" w:rsidR="00A67DE5">
        <w:t>Justification</w:t>
      </w:r>
      <w:bookmarkEnd w:id="2"/>
    </w:p>
    <w:p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383511892" w:id="3"/>
      <w:r>
        <w:rPr>
          <w:rFonts w:ascii="Times New Roman" w:hAnsi="Times New Roman"/>
        </w:rPr>
        <w:t xml:space="preserve">A1. </w:t>
      </w:r>
      <w:r w:rsidRPr="00EF52AE" w:rsidR="00A67DE5">
        <w:rPr>
          <w:rFonts w:ascii="Times New Roman" w:hAnsi="Times New Roman"/>
        </w:rPr>
        <w:t>Necessity of Information Collection</w:t>
      </w:r>
      <w:bookmarkEnd w:id="3"/>
    </w:p>
    <w:p w:rsidRPr="00EF52AE" w:rsidR="00A67DE5" w:rsidP="00A67DE5" w:rsidRDefault="00A67DE5">
      <w:pPr>
        <w:tabs>
          <w:tab w:val="left" w:pos="540"/>
        </w:tabs>
      </w:pPr>
    </w:p>
    <w:p w:rsidR="004D2916" w:rsidP="002434A2" w:rsidRDefault="002434A2">
      <w:pPr>
        <w:tabs>
          <w:tab w:val="left" w:pos="360"/>
          <w:tab w:val="left" w:pos="720"/>
          <w:tab w:val="left" w:pos="1080"/>
          <w:tab w:val="left" w:pos="1440"/>
        </w:tabs>
      </w:pPr>
      <w:r>
        <w:t>CMS</w:t>
      </w:r>
      <w:r w:rsidRPr="00BC3907">
        <w:t xml:space="preserve"> launched the development of the</w:t>
      </w:r>
      <w:r w:rsidR="00356D84">
        <w:t xml:space="preserve"> </w:t>
      </w:r>
      <w:r w:rsidR="001E3907">
        <w:t>CAHPS</w:t>
      </w:r>
      <w:r w:rsidRPr="00EA4C90" w:rsidR="00F02899">
        <w:rPr>
          <w:vertAlign w:val="superscript"/>
        </w:rPr>
        <w:t>®</w:t>
      </w:r>
      <w:r>
        <w:t xml:space="preserve"> Hospice Survey</w:t>
      </w:r>
      <w:r w:rsidR="00FF469F">
        <w:t xml:space="preserve"> in 2012.  </w:t>
      </w:r>
      <w:r w:rsidR="00D5175B">
        <w:t>Public reporting of the results on Hospice Compare started in 201</w:t>
      </w:r>
      <w:r w:rsidR="001132E8">
        <w:t>8</w:t>
      </w:r>
      <w:r w:rsidR="00D5175B">
        <w:t xml:space="preserve">.  The </w:t>
      </w:r>
      <w:r w:rsidR="00FF469F">
        <w:t xml:space="preserve">goal </w:t>
      </w:r>
      <w:r w:rsidR="00D5175B">
        <w:t xml:space="preserve">of the </w:t>
      </w:r>
      <w:r w:rsidR="00A62F16">
        <w:t>s</w:t>
      </w:r>
      <w:r w:rsidR="00D5175B">
        <w:t xml:space="preserve">urvey </w:t>
      </w:r>
      <w:r w:rsidR="00FF469F">
        <w:t xml:space="preserve">is to </w:t>
      </w:r>
      <w:r w:rsidRPr="00BC3907">
        <w:t xml:space="preserve">measure the experiences of </w:t>
      </w:r>
      <w:r>
        <w:t xml:space="preserve">patients and their caregivers with </w:t>
      </w:r>
      <w:r w:rsidRPr="00BC3907">
        <w:t>hospice care.  Th</w:t>
      </w:r>
      <w:r>
        <w:t xml:space="preserve">e survey was developed to:  </w:t>
      </w:r>
    </w:p>
    <w:p w:rsidR="004D2916" w:rsidP="004D2916" w:rsidRDefault="004D2916">
      <w:pPr>
        <w:numPr>
          <w:ilvl w:val="0"/>
          <w:numId w:val="6"/>
        </w:numPr>
        <w:tabs>
          <w:tab w:val="left" w:pos="360"/>
          <w:tab w:val="left" w:pos="720"/>
          <w:tab w:val="left" w:pos="1080"/>
          <w:tab w:val="left" w:pos="1440"/>
        </w:tabs>
      </w:pPr>
      <w:r>
        <w:t>P</w:t>
      </w:r>
      <w:r w:rsidR="002434A2">
        <w:t>r</w:t>
      </w:r>
      <w:r w:rsidRPr="00BC3907" w:rsidR="002434A2">
        <w:t>ovide a source of information from which selected measures could be publicly reported to beneficiaries and their family members as a decision aid for selection of a hospice program;</w:t>
      </w:r>
      <w:r>
        <w:t xml:space="preserve"> </w:t>
      </w:r>
    </w:p>
    <w:p w:rsidR="004D2916" w:rsidP="004D2916" w:rsidRDefault="004D2916">
      <w:pPr>
        <w:numPr>
          <w:ilvl w:val="0"/>
          <w:numId w:val="6"/>
        </w:numPr>
        <w:tabs>
          <w:tab w:val="left" w:pos="360"/>
          <w:tab w:val="left" w:pos="720"/>
          <w:tab w:val="left" w:pos="1080"/>
          <w:tab w:val="left" w:pos="1440"/>
        </w:tabs>
      </w:pPr>
      <w:r>
        <w:t>A</w:t>
      </w:r>
      <w:r w:rsidRPr="00BC3907" w:rsidR="002434A2">
        <w:t>id hospices with their internal quality improvement efforts and external benchmarking with other facilities; and</w:t>
      </w:r>
      <w:r w:rsidR="002434A2">
        <w:t xml:space="preserve"> </w:t>
      </w:r>
    </w:p>
    <w:p w:rsidR="002434A2" w:rsidP="004D2916" w:rsidRDefault="004D2916">
      <w:pPr>
        <w:numPr>
          <w:ilvl w:val="0"/>
          <w:numId w:val="6"/>
        </w:numPr>
        <w:tabs>
          <w:tab w:val="left" w:pos="360"/>
          <w:tab w:val="left" w:pos="720"/>
          <w:tab w:val="left" w:pos="1080"/>
          <w:tab w:val="left" w:pos="1440"/>
        </w:tabs>
      </w:pPr>
      <w:r>
        <w:t>P</w:t>
      </w:r>
      <w:r w:rsidRPr="00BC3907" w:rsidR="002434A2">
        <w:t>rovide CMS with information for monitoring the care provided.</w:t>
      </w:r>
    </w:p>
    <w:p w:rsidR="002434A2" w:rsidP="002434A2" w:rsidRDefault="002434A2">
      <w:pPr>
        <w:tabs>
          <w:tab w:val="left" w:pos="360"/>
          <w:tab w:val="left" w:pos="720"/>
          <w:tab w:val="left" w:pos="1080"/>
          <w:tab w:val="left" w:pos="1440"/>
        </w:tabs>
      </w:pPr>
    </w:p>
    <w:p w:rsidRPr="002434A2" w:rsidR="002434A2" w:rsidP="002434A2" w:rsidRDefault="002434A2">
      <w:pPr>
        <w:tabs>
          <w:tab w:val="left" w:pos="360"/>
          <w:tab w:val="left" w:pos="720"/>
          <w:tab w:val="left" w:pos="1080"/>
          <w:tab w:val="left" w:pos="1440"/>
        </w:tabs>
      </w:pPr>
      <w:r w:rsidRPr="00BC3907">
        <w:t xml:space="preserve">CMS announced </w:t>
      </w:r>
      <w:r>
        <w:t>its</w:t>
      </w:r>
      <w:r w:rsidRPr="00BC3907">
        <w:t xml:space="preserve"> intent</w:t>
      </w:r>
      <w:r>
        <w:t>ion to implement the CAHPS</w:t>
      </w:r>
      <w:r w:rsidRPr="00EA4C90" w:rsidR="00E203E4">
        <w:rPr>
          <w:vertAlign w:val="superscript"/>
        </w:rPr>
        <w:t>®</w:t>
      </w:r>
      <w:r>
        <w:t xml:space="preserve"> Hospice Survey</w:t>
      </w:r>
      <w:r w:rsidRPr="00BC3907">
        <w:t xml:space="preserve"> in the FY 2014 Hospice Wage Index and Payment Rate Update; Hospice Quality Reporting Requirements</w:t>
      </w:r>
      <w:r>
        <w:t>; and Updates on Payment Reform</w:t>
      </w:r>
      <w:r w:rsidRPr="00BC3907">
        <w:t xml:space="preserve">.  </w:t>
      </w:r>
      <w:r w:rsidR="005B4E7E">
        <w:t xml:space="preserve">National </w:t>
      </w:r>
      <w:r w:rsidRPr="002434A2">
        <w:t>implementation</w:t>
      </w:r>
      <w:r>
        <w:t xml:space="preserve"> of the survey launch</w:t>
      </w:r>
      <w:r w:rsidR="005B4E7E">
        <w:t>ed</w:t>
      </w:r>
      <w:r>
        <w:t xml:space="preserve"> </w:t>
      </w:r>
      <w:r w:rsidR="00E203E4">
        <w:t>o</w:t>
      </w:r>
      <w:r>
        <w:t>n</w:t>
      </w:r>
      <w:r w:rsidRPr="002434A2">
        <w:t xml:space="preserve"> January 1, 2015 with </w:t>
      </w:r>
      <w:r>
        <w:t xml:space="preserve">hospices administering the survey for </w:t>
      </w:r>
      <w:r w:rsidRPr="002434A2">
        <w:t xml:space="preserve">a </w:t>
      </w:r>
      <w:r>
        <w:t>“</w:t>
      </w:r>
      <w:r w:rsidRPr="002434A2">
        <w:t>dry run</w:t>
      </w:r>
      <w:r>
        <w:t>”</w:t>
      </w:r>
      <w:r w:rsidRPr="002434A2">
        <w:t xml:space="preserve"> for at least one month in the first quarter of </w:t>
      </w:r>
      <w:r w:rsidR="001E3907">
        <w:t>2015.  Starting April 1, 2015 (s</w:t>
      </w:r>
      <w:r w:rsidRPr="002434A2">
        <w:t>econd quarter)</w:t>
      </w:r>
      <w:r w:rsidR="00E203E4">
        <w:t>,</w:t>
      </w:r>
      <w:r w:rsidRPr="002434A2">
        <w:t xml:space="preserve"> hospices </w:t>
      </w:r>
      <w:r w:rsidR="005B4E7E">
        <w:t xml:space="preserve">were </w:t>
      </w:r>
      <w:r w:rsidRPr="002434A2">
        <w:t xml:space="preserve">required to participate on a monthly basis in order to receive the full Annual Payment Update (APU).  </w:t>
      </w:r>
      <w:r w:rsidR="00FF469F">
        <w:t>Implementation is ongoing and there have been no changes to the questionnaire.</w:t>
      </w:r>
    </w:p>
    <w:p w:rsidR="00E95814" w:rsidP="00A67DE5" w:rsidRDefault="00E95814"/>
    <w:p w:rsidR="00E95814" w:rsidP="00A67DE5" w:rsidRDefault="00E95814"/>
    <w:p w:rsidRPr="00EF52AE" w:rsidR="00A67DE5" w:rsidP="00A67DE5" w:rsidRDefault="007452B3">
      <w:pPr>
        <w:pStyle w:val="Heading2"/>
        <w:rPr>
          <w:rFonts w:ascii="Times New Roman" w:hAnsi="Times New Roman"/>
        </w:rPr>
      </w:pPr>
      <w:bookmarkStart w:name="_Toc383511893" w:id="4"/>
      <w:r>
        <w:rPr>
          <w:rFonts w:ascii="Times New Roman" w:hAnsi="Times New Roman"/>
        </w:rPr>
        <w:t xml:space="preserve">A2. </w:t>
      </w:r>
      <w:r w:rsidRPr="00EF52AE" w:rsidR="00A67DE5">
        <w:rPr>
          <w:rFonts w:ascii="Times New Roman" w:hAnsi="Times New Roman"/>
        </w:rPr>
        <w:t>Purpose and Use of Information</w:t>
      </w:r>
      <w:bookmarkEnd w:id="4"/>
    </w:p>
    <w:p w:rsidR="00A67DE5" w:rsidP="000E38BB" w:rsidRDefault="00A67DE5">
      <w:pPr>
        <w:keepNext/>
        <w:tabs>
          <w:tab w:val="left" w:pos="540"/>
        </w:tabs>
        <w:ind w:left="1195" w:hanging="1195"/>
        <w:outlineLvl w:val="1"/>
      </w:pPr>
    </w:p>
    <w:p w:rsidR="00211335" w:rsidP="00211335" w:rsidRDefault="00211335">
      <w:pPr>
        <w:spacing w:after="240"/>
      </w:pPr>
      <w:r>
        <w:t xml:space="preserve">The U.S. Department of Health and Human Services (DHHS) developed the National Health Care Quality Strategy (NQS) to create national aims and priorities to guide local, state, and national efforts to improve the delivery of health care services, patient health outcomes, and population health. Since the NQS was developed, CMS has launched quality initiatives that require public reporting of quality measures for a variety of health </w:t>
      </w:r>
      <w:r>
        <w:lastRenderedPageBreak/>
        <w:t xml:space="preserve">care delivery settings, including nursing homes, hospitals, home health care, and kidney dialysis centers. Collection and public reporting of health care quality measures: </w:t>
      </w:r>
    </w:p>
    <w:p w:rsidR="00211335" w:rsidP="00211335" w:rsidRDefault="00211335">
      <w:pPr>
        <w:spacing w:after="240"/>
      </w:pPr>
      <w:r>
        <w:t>•</w:t>
      </w:r>
      <w:r>
        <w:tab/>
        <w:t>provides information that consumers can use to assist them in making health care choices or decisions;</w:t>
      </w:r>
    </w:p>
    <w:p w:rsidR="00211335" w:rsidP="00211335" w:rsidRDefault="00211335">
      <w:pPr>
        <w:spacing w:after="240"/>
      </w:pPr>
      <w:r>
        <w:t>•</w:t>
      </w:r>
      <w:r>
        <w:tab/>
        <w:t>aids health care systems and providers with internal quality improvement efforts and external benchmarking; and</w:t>
      </w:r>
    </w:p>
    <w:p w:rsidR="00211335" w:rsidP="00211335" w:rsidRDefault="00211335">
      <w:pPr>
        <w:spacing w:after="240"/>
      </w:pPr>
      <w:r>
        <w:t>•</w:t>
      </w:r>
      <w:r>
        <w:tab/>
        <w:t>provides CMS with information for monitoring health care providers’ performance.</w:t>
      </w:r>
    </w:p>
    <w:p w:rsidR="00211335" w:rsidP="00211335" w:rsidRDefault="00211335">
      <w:pPr>
        <w:spacing w:after="240"/>
      </w:pPr>
      <w:r>
        <w:t>Surveys focusing on patients’ experience of care with their health care providers are an important part of the NQS. In addition to publicly reporting clinical quality measures, CMS is currently reporting measures from patient experience of care surveys in a variety of settings, including in-center hemodialysis (ICH) centers, hospitals, home health agencies, hospices, health and drug plans on the Medicare web site Web site.</w:t>
      </w:r>
    </w:p>
    <w:p w:rsidR="00211335" w:rsidP="00211335" w:rsidRDefault="00211335">
      <w:pPr>
        <w:spacing w:after="240"/>
      </w:pPr>
      <w:r w:rsidRPr="00695509">
        <w:t>Publicly reporting comparative survey results related to patients’ perspectives of the care they receive from providers and plans collected through the Consumer Assessment of Healthcare Providers and Systems (CAHPS®) Surveys support CMS’s efforts to put patients first and improve the beneficiary experience.</w:t>
      </w:r>
    </w:p>
    <w:p w:rsidR="00211335" w:rsidP="00211335" w:rsidRDefault="00211335">
      <w:pPr>
        <w:spacing w:after="240"/>
      </w:pPr>
      <w:r>
        <w:t>CAHPS is a standardized family of surveys developed by the Agency for Healthcare Research and Quality (AHRQ) for patients to assess and report the quality of care they receive from their health care providers and health care delivery systems.</w:t>
      </w:r>
    </w:p>
    <w:p w:rsidRPr="00EF52AE" w:rsidR="00A67DE5" w:rsidP="00A67DE5" w:rsidRDefault="007452B3">
      <w:pPr>
        <w:pStyle w:val="Heading2"/>
        <w:rPr>
          <w:rFonts w:ascii="Times New Roman" w:hAnsi="Times New Roman"/>
        </w:rPr>
      </w:pPr>
      <w:bookmarkStart w:name="_Toc383511894" w:id="5"/>
      <w:r>
        <w:rPr>
          <w:rFonts w:ascii="Times New Roman" w:hAnsi="Times New Roman"/>
        </w:rPr>
        <w:t xml:space="preserve">A3. </w:t>
      </w:r>
      <w:r w:rsidRPr="00EF52AE" w:rsidR="00A67DE5">
        <w:rPr>
          <w:rFonts w:ascii="Times New Roman" w:hAnsi="Times New Roman"/>
        </w:rPr>
        <w:t>Technological Collection Techniques</w:t>
      </w:r>
      <w:bookmarkEnd w:id="5"/>
    </w:p>
    <w:p w:rsidRPr="00EF52AE" w:rsidR="00A67DE5" w:rsidP="00A67DE5" w:rsidRDefault="00A67DE5">
      <w:pPr>
        <w:tabs>
          <w:tab w:val="left" w:pos="540"/>
        </w:tabs>
      </w:pPr>
    </w:p>
    <w:p w:rsidRPr="004976C3" w:rsidR="004976C3" w:rsidP="004976C3" w:rsidRDefault="00B301EA">
      <w:r>
        <w:t>For n</w:t>
      </w:r>
      <w:r w:rsidR="00E95814">
        <w:t>ational implementation survey vendors</w:t>
      </w:r>
      <w:r w:rsidRPr="00CD2A52" w:rsidR="00A67DE5">
        <w:t xml:space="preserve"> collect the data</w:t>
      </w:r>
      <w:r w:rsidR="00E95814">
        <w:t xml:space="preserve"> from primary </w:t>
      </w:r>
      <w:r w:rsidR="00C062F0">
        <w:t xml:space="preserve">informal </w:t>
      </w:r>
      <w:r w:rsidR="00E95814">
        <w:t xml:space="preserve">caregivers (i.e., bereaved family members or close friends) of patients who died while receiving hospice care </w:t>
      </w:r>
      <w:r w:rsidR="00FF469F">
        <w:t xml:space="preserve">in any of the following settings: </w:t>
      </w:r>
      <w:r w:rsidR="00E95814">
        <w:t>(1) at home</w:t>
      </w:r>
      <w:r w:rsidR="00A62F16">
        <w:t xml:space="preserve"> or in an assisted living facility</w:t>
      </w:r>
      <w:r w:rsidR="00E95814">
        <w:t xml:space="preserve">, (2) in a nursing home, and (3) </w:t>
      </w:r>
      <w:r w:rsidR="00356D84">
        <w:t xml:space="preserve">in </w:t>
      </w:r>
      <w:r w:rsidR="00E95814">
        <w:t>an inpatient setting (i.e., freestanding inpatient unit or acute care hospital)</w:t>
      </w:r>
      <w:r w:rsidR="00FF469F">
        <w:t>.  Three modes of survey administration are allowed</w:t>
      </w:r>
      <w:r w:rsidR="00E95814">
        <w:t>: mail-only</w:t>
      </w:r>
      <w:r w:rsidR="00356D84">
        <w:t xml:space="preserve"> (up to two mailed surveys)</w:t>
      </w:r>
      <w:r w:rsidR="00E95814">
        <w:t xml:space="preserve">, telephone-only (up to 5 telephone attempts), and mixed mode (mailed survey followed by up to 5 telephone attempts beginning 21 days later).  </w:t>
      </w:r>
      <w:r w:rsidR="00AF0F18">
        <w:t xml:space="preserve">Mailed questionnaires are </w:t>
      </w:r>
      <w:r w:rsidRPr="00CD2A52" w:rsidR="00A67DE5">
        <w:t>formatted for data scanning</w:t>
      </w:r>
      <w:r w:rsidR="00A42F4D">
        <w:t>,</w:t>
      </w:r>
      <w:r w:rsidRPr="00CD2A52" w:rsidR="00A67DE5">
        <w:t xml:space="preserve"> and data from all returned surveys </w:t>
      </w:r>
      <w:r w:rsidR="00AC691C">
        <w:t>are</w:t>
      </w:r>
      <w:r w:rsidRPr="00CD2A52" w:rsidR="00A67DE5">
        <w:t xml:space="preserve"> scanned</w:t>
      </w:r>
      <w:r w:rsidR="006C4E32">
        <w:t xml:space="preserve"> into an electronic data file. </w:t>
      </w:r>
      <w:r w:rsidRPr="00CD2A52" w:rsidR="00A67DE5">
        <w:t>Computer Assisted Telephone Interview</w:t>
      </w:r>
      <w:r w:rsidR="00FB296C">
        <w:t>ing</w:t>
      </w:r>
      <w:r w:rsidRPr="00CD2A52" w:rsidR="00A67DE5">
        <w:t xml:space="preserve"> (CATI) </w:t>
      </w:r>
      <w:r w:rsidR="00AC691C">
        <w:t>is</w:t>
      </w:r>
      <w:r w:rsidRPr="00CD2A52" w:rsidR="00A67DE5">
        <w:t xml:space="preserve"> used </w:t>
      </w:r>
      <w:r w:rsidRPr="00CD2A52" w:rsidR="00CD2A52">
        <w:t xml:space="preserve">for </w:t>
      </w:r>
      <w:r w:rsidR="00CE5320">
        <w:t xml:space="preserve">the telephone mode.  </w:t>
      </w:r>
      <w:r w:rsidR="004136C6">
        <w:t>Currently we have no web-based option as a mode of data collection for</w:t>
      </w:r>
      <w:r w:rsidR="001B4D45">
        <w:t xml:space="preserve"> </w:t>
      </w:r>
      <w:r w:rsidR="004136C6">
        <w:t>the CAHPS Hospice Survey.  We are in the process of testing other CAHPS surveys in order to determine if a web-based option is feasible and what form it should take.  We are hoping to test a web-based option of the CAHPS Hospice Survey, probably next year</w:t>
      </w:r>
      <w:r w:rsidR="003A03FF">
        <w:t>,</w:t>
      </w:r>
      <w:r w:rsidR="004136C6">
        <w:t xml:space="preserve"> and will make application to OMB for that test</w:t>
      </w:r>
      <w:r w:rsidR="004976C3">
        <w:t xml:space="preserve"> </w:t>
      </w:r>
      <w:r w:rsidRPr="004976C3" w:rsidR="004976C3">
        <w:t>through the Generic OMB package available for web surveys.</w:t>
      </w:r>
    </w:p>
    <w:p w:rsidR="00A67DE5" w:rsidP="00A67DE5" w:rsidRDefault="00A67DE5">
      <w:pPr>
        <w:tabs>
          <w:tab w:val="left" w:pos="540"/>
        </w:tabs>
      </w:pPr>
    </w:p>
    <w:p w:rsidRPr="00EF52AE" w:rsidR="00CE5320" w:rsidP="00A67DE5" w:rsidRDefault="00CE5320">
      <w:pPr>
        <w:tabs>
          <w:tab w:val="left" w:pos="540"/>
        </w:tabs>
      </w:pPr>
    </w:p>
    <w:p w:rsidRPr="00EF52AE" w:rsidR="00A67DE5" w:rsidP="00A67DE5" w:rsidRDefault="007452B3">
      <w:pPr>
        <w:pStyle w:val="Heading2"/>
        <w:rPr>
          <w:rFonts w:ascii="Times New Roman" w:hAnsi="Times New Roman"/>
        </w:rPr>
      </w:pPr>
      <w:bookmarkStart w:name="_Toc383511895" w:id="6"/>
      <w:r>
        <w:rPr>
          <w:rFonts w:ascii="Times New Roman" w:hAnsi="Times New Roman"/>
        </w:rPr>
        <w:lastRenderedPageBreak/>
        <w:t xml:space="preserve">A4. </w:t>
      </w:r>
      <w:r w:rsidRPr="00EF52AE" w:rsidR="00A67DE5">
        <w:rPr>
          <w:rFonts w:ascii="Times New Roman" w:hAnsi="Times New Roman"/>
        </w:rPr>
        <w:t>Identifying Duplication</w:t>
      </w:r>
      <w:bookmarkEnd w:id="6"/>
    </w:p>
    <w:p w:rsidR="00A67DE5" w:rsidP="00A67DE5" w:rsidRDefault="00A67DE5">
      <w:pPr>
        <w:tabs>
          <w:tab w:val="left" w:pos="540"/>
        </w:tabs>
      </w:pPr>
    </w:p>
    <w:p w:rsidRPr="0085024A" w:rsidR="00A67DE5" w:rsidP="00CA53C6" w:rsidRDefault="00A67DE5">
      <w:pPr>
        <w:pStyle w:val="HTMLPreformatted"/>
      </w:pPr>
      <w:r w:rsidRPr="00CA53C6">
        <w:rPr>
          <w:rFonts w:ascii="Times New Roman" w:hAnsi="Times New Roman" w:cs="Times New Roman"/>
          <w:sz w:val="24"/>
          <w:szCs w:val="24"/>
        </w:rPr>
        <w:t xml:space="preserve">The </w:t>
      </w:r>
      <w:r w:rsidR="00D74475">
        <w:rPr>
          <w:rFonts w:ascii="Times New Roman" w:hAnsi="Times New Roman" w:cs="Times New Roman"/>
          <w:sz w:val="24"/>
          <w:szCs w:val="24"/>
        </w:rPr>
        <w:t>CAHPS</w:t>
      </w:r>
      <w:r w:rsidRPr="00EA4C90" w:rsidR="00E203E4">
        <w:rPr>
          <w:vertAlign w:val="superscript"/>
        </w:rPr>
        <w:t>®</w:t>
      </w:r>
      <w:r w:rsidR="00D74475">
        <w:rPr>
          <w:rFonts w:ascii="Times New Roman" w:hAnsi="Times New Roman" w:cs="Times New Roman"/>
          <w:sz w:val="24"/>
          <w:szCs w:val="24"/>
        </w:rPr>
        <w:t xml:space="preserve"> </w:t>
      </w:r>
      <w:r w:rsidR="001E3907">
        <w:rPr>
          <w:rFonts w:ascii="Times New Roman" w:hAnsi="Times New Roman" w:cs="Times New Roman"/>
          <w:sz w:val="24"/>
          <w:szCs w:val="24"/>
        </w:rPr>
        <w:t xml:space="preserve">Hospice </w:t>
      </w:r>
      <w:r w:rsidR="00D74475">
        <w:rPr>
          <w:rFonts w:ascii="Times New Roman" w:hAnsi="Times New Roman" w:cs="Times New Roman"/>
          <w:sz w:val="24"/>
          <w:szCs w:val="24"/>
        </w:rPr>
        <w:t xml:space="preserve">Survey includes items </w:t>
      </w:r>
      <w:r w:rsidRPr="00CA53C6" w:rsidR="006E1902">
        <w:rPr>
          <w:rFonts w:ascii="Times New Roman" w:hAnsi="Times New Roman" w:cs="Times New Roman"/>
          <w:sz w:val="24"/>
          <w:szCs w:val="24"/>
        </w:rPr>
        <w:t>addressing</w:t>
      </w:r>
      <w:r w:rsidRPr="00CA53C6" w:rsidR="006C4517">
        <w:rPr>
          <w:rFonts w:ascii="Times New Roman" w:hAnsi="Times New Roman" w:cs="Times New Roman"/>
          <w:sz w:val="24"/>
          <w:szCs w:val="24"/>
        </w:rPr>
        <w:t xml:space="preserve"> communication</w:t>
      </w:r>
      <w:r w:rsidR="00D74475">
        <w:rPr>
          <w:rFonts w:ascii="Times New Roman" w:hAnsi="Times New Roman" w:cs="Times New Roman"/>
          <w:sz w:val="24"/>
          <w:szCs w:val="24"/>
        </w:rPr>
        <w:t>,</w:t>
      </w:r>
      <w:r w:rsidR="00A62F16">
        <w:rPr>
          <w:rFonts w:ascii="Times New Roman" w:hAnsi="Times New Roman" w:cs="Times New Roman"/>
          <w:sz w:val="24"/>
          <w:szCs w:val="24"/>
        </w:rPr>
        <w:t xml:space="preserve"> timely care, </w:t>
      </w:r>
      <w:r w:rsidR="00D74475">
        <w:rPr>
          <w:rFonts w:ascii="Times New Roman" w:hAnsi="Times New Roman" w:cs="Times New Roman"/>
          <w:sz w:val="24"/>
          <w:szCs w:val="24"/>
        </w:rPr>
        <w:t xml:space="preserve">respect, spiritual and emotional support, symptom management, </w:t>
      </w:r>
      <w:r w:rsidR="00C062F0">
        <w:rPr>
          <w:rFonts w:ascii="Times New Roman" w:hAnsi="Times New Roman" w:cs="Times New Roman"/>
          <w:sz w:val="24"/>
          <w:szCs w:val="24"/>
        </w:rPr>
        <w:t xml:space="preserve">the </w:t>
      </w:r>
      <w:r w:rsidR="00A62F16">
        <w:rPr>
          <w:rFonts w:ascii="Times New Roman" w:hAnsi="Times New Roman" w:cs="Times New Roman"/>
          <w:sz w:val="24"/>
          <w:szCs w:val="24"/>
        </w:rPr>
        <w:t xml:space="preserve">training of family </w:t>
      </w:r>
      <w:r w:rsidR="00211335">
        <w:rPr>
          <w:rFonts w:ascii="Times New Roman" w:hAnsi="Times New Roman" w:cs="Times New Roman"/>
          <w:sz w:val="24"/>
          <w:szCs w:val="24"/>
        </w:rPr>
        <w:t xml:space="preserve">members </w:t>
      </w:r>
      <w:r w:rsidR="00A62F16">
        <w:rPr>
          <w:rFonts w:ascii="Times New Roman" w:hAnsi="Times New Roman" w:cs="Times New Roman"/>
          <w:sz w:val="24"/>
          <w:szCs w:val="24"/>
        </w:rPr>
        <w:t xml:space="preserve">to care for the patient, </w:t>
      </w:r>
      <w:r w:rsidR="00D74475">
        <w:rPr>
          <w:rFonts w:ascii="Times New Roman" w:hAnsi="Times New Roman" w:cs="Times New Roman"/>
          <w:sz w:val="24"/>
          <w:szCs w:val="24"/>
        </w:rPr>
        <w:t xml:space="preserve">and overall care ratings.  </w:t>
      </w:r>
      <w:r w:rsidR="00763B81">
        <w:rPr>
          <w:rFonts w:ascii="Times New Roman" w:hAnsi="Times New Roman" w:cs="Times New Roman"/>
          <w:sz w:val="24"/>
          <w:szCs w:val="24"/>
        </w:rPr>
        <w:t>The survey questionnaire is unchanged from our prior submission.</w:t>
      </w:r>
      <w:r w:rsidR="00AC691C">
        <w:rPr>
          <w:rFonts w:ascii="Times New Roman" w:hAnsi="Times New Roman" w:cs="Times New Roman"/>
          <w:sz w:val="24"/>
          <w:szCs w:val="24"/>
        </w:rPr>
        <w:t xml:space="preserve"> </w:t>
      </w:r>
      <w:r w:rsidRPr="00CA53C6">
        <w:rPr>
          <w:rFonts w:ascii="Times New Roman" w:hAnsi="Times New Roman" w:cs="Times New Roman"/>
          <w:sz w:val="24"/>
          <w:szCs w:val="24"/>
        </w:rPr>
        <w:t xml:space="preserve">The survey is designed to gather only the data that CMS needs for assessing </w:t>
      </w:r>
      <w:r w:rsidR="00461752">
        <w:rPr>
          <w:rFonts w:ascii="Times New Roman" w:hAnsi="Times New Roman" w:cs="Times New Roman"/>
          <w:sz w:val="24"/>
          <w:szCs w:val="24"/>
        </w:rPr>
        <w:t xml:space="preserve">experiences with </w:t>
      </w:r>
      <w:r w:rsidR="005A7CE6">
        <w:rPr>
          <w:rFonts w:ascii="Times New Roman" w:hAnsi="Times New Roman" w:cs="Times New Roman"/>
          <w:sz w:val="24"/>
          <w:szCs w:val="24"/>
        </w:rPr>
        <w:t>hospice</w:t>
      </w:r>
      <w:r w:rsidRPr="00CA53C6" w:rsidR="005E20CB">
        <w:rPr>
          <w:rFonts w:ascii="Times New Roman" w:hAnsi="Times New Roman" w:cs="Times New Roman"/>
          <w:sz w:val="24"/>
          <w:szCs w:val="24"/>
        </w:rPr>
        <w:t xml:space="preserve"> care</w:t>
      </w:r>
      <w:r w:rsidR="00461752">
        <w:rPr>
          <w:rFonts w:ascii="Times New Roman" w:hAnsi="Times New Roman" w:cs="Times New Roman"/>
          <w:sz w:val="24"/>
          <w:szCs w:val="24"/>
        </w:rPr>
        <w:t>.</w:t>
      </w:r>
    </w:p>
    <w:p w:rsidR="00CA53C6" w:rsidP="00106398" w:rsidRDefault="00CA53C6"/>
    <w:p w:rsidR="00A42DE0" w:rsidP="00106398" w:rsidRDefault="00A42DE0">
      <w:r w:rsidRPr="001440DC">
        <w:t xml:space="preserve">Though </w:t>
      </w:r>
      <w:r>
        <w:t xml:space="preserve">some </w:t>
      </w:r>
      <w:r w:rsidRPr="001440DC">
        <w:t xml:space="preserve">hospices and vendors may </w:t>
      </w:r>
      <w:r>
        <w:t xml:space="preserve">voluntarily </w:t>
      </w:r>
      <w:r w:rsidRPr="001440DC">
        <w:t xml:space="preserve">use the </w:t>
      </w:r>
      <w:r>
        <w:t>Family Evaluation of Hospice Care</w:t>
      </w:r>
      <w:r w:rsidRPr="001440DC">
        <w:t xml:space="preserve">, the Veterans Health Administration Bereaved Family Survey, or other site-specific surveys to collect data on experiences with hospice care, </w:t>
      </w:r>
      <w:r>
        <w:t>the CAHPS</w:t>
      </w:r>
      <w:r w:rsidRPr="00831A86" w:rsidR="00831A86">
        <w:rPr>
          <w:vertAlign w:val="superscript"/>
        </w:rPr>
        <w:t>®</w:t>
      </w:r>
      <w:r>
        <w:t xml:space="preserve"> Hospice Survey is the only </w:t>
      </w:r>
      <w:r w:rsidRPr="001440DC">
        <w:t>standardized instrument used to collect such data from</w:t>
      </w:r>
      <w:r>
        <w:t xml:space="preserve"> all</w:t>
      </w:r>
      <w:r w:rsidRPr="001440DC">
        <w:t xml:space="preserve"> hospices across the country</w:t>
      </w:r>
      <w:r>
        <w:t xml:space="preserve"> for the purposes of comparability and accountability</w:t>
      </w:r>
      <w:r w:rsidRPr="001440DC">
        <w:t>.</w:t>
      </w:r>
    </w:p>
    <w:p w:rsidRPr="0085024A" w:rsidR="00A42DE0" w:rsidP="00106398" w:rsidRDefault="00A42DE0"/>
    <w:p w:rsidRPr="00EF52AE" w:rsidR="00A67DE5" w:rsidP="00A67DE5" w:rsidRDefault="007452B3">
      <w:pPr>
        <w:pStyle w:val="Heading2"/>
        <w:rPr>
          <w:rFonts w:ascii="Times New Roman" w:hAnsi="Times New Roman"/>
        </w:rPr>
      </w:pPr>
      <w:bookmarkStart w:name="_Toc383511896" w:id="7"/>
      <w:r>
        <w:rPr>
          <w:rFonts w:ascii="Times New Roman" w:hAnsi="Times New Roman"/>
        </w:rPr>
        <w:t xml:space="preserve">A5. </w:t>
      </w:r>
      <w:r w:rsidRPr="00EF52AE" w:rsidR="00A67DE5">
        <w:rPr>
          <w:rFonts w:ascii="Times New Roman" w:hAnsi="Times New Roman"/>
        </w:rPr>
        <w:t>Impact on Small Businesses</w:t>
      </w:r>
      <w:bookmarkEnd w:id="7"/>
    </w:p>
    <w:p w:rsidRPr="00EF52AE" w:rsidR="00A67DE5" w:rsidP="00A67DE5" w:rsidRDefault="00A67DE5">
      <w:pPr>
        <w:tabs>
          <w:tab w:val="left" w:pos="540"/>
        </w:tabs>
      </w:pPr>
    </w:p>
    <w:p w:rsidRPr="00F67776" w:rsidR="00C37C7C" w:rsidP="00C37C7C" w:rsidRDefault="00333118">
      <w:pPr>
        <w:tabs>
          <w:tab w:val="left" w:pos="547"/>
          <w:tab w:val="left" w:pos="1080"/>
          <w:tab w:val="left" w:pos="1627"/>
          <w:tab w:val="left" w:pos="2160"/>
          <w:tab w:val="left" w:pos="2880"/>
        </w:tabs>
      </w:pPr>
      <w:r>
        <w:t xml:space="preserve">Survey respondents are primary caregivers of patients who died while receiving hospice care.  The survey should not impact small business or other small entities.  </w:t>
      </w:r>
    </w:p>
    <w:p w:rsidRPr="00EF52AE"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383511897" w:id="8"/>
      <w:r>
        <w:rPr>
          <w:rFonts w:ascii="Times New Roman" w:hAnsi="Times New Roman"/>
        </w:rPr>
        <w:t xml:space="preserve">A6. </w:t>
      </w:r>
      <w:r w:rsidRPr="00EF52AE" w:rsidR="00A67DE5">
        <w:rPr>
          <w:rFonts w:ascii="Times New Roman" w:hAnsi="Times New Roman"/>
        </w:rPr>
        <w:t>Consequences of Less Frequent Data Collection</w:t>
      </w:r>
      <w:bookmarkEnd w:id="8"/>
    </w:p>
    <w:p w:rsidRPr="00EF52AE" w:rsidR="00A67DE5" w:rsidP="00A67DE5" w:rsidRDefault="00A67DE5">
      <w:pPr>
        <w:tabs>
          <w:tab w:val="left" w:pos="540"/>
        </w:tabs>
      </w:pPr>
    </w:p>
    <w:p w:rsidR="00A67DE5" w:rsidP="00A67DE5" w:rsidRDefault="00D74475">
      <w:pPr>
        <w:tabs>
          <w:tab w:val="left" w:pos="540"/>
        </w:tabs>
      </w:pPr>
      <w:r>
        <w:t xml:space="preserve">The survey will be administered once to each primary </w:t>
      </w:r>
      <w:r w:rsidR="00C062F0">
        <w:t xml:space="preserve">informal </w:t>
      </w:r>
      <w:r>
        <w:t xml:space="preserve">caregiver following the death of </w:t>
      </w:r>
      <w:r w:rsidR="001E3907">
        <w:t xml:space="preserve">his or her </w:t>
      </w:r>
      <w:r>
        <w:t xml:space="preserve">family member or friend.  </w:t>
      </w:r>
      <w:r w:rsidR="004136C6">
        <w:t>The consequences of not collecting th</w:t>
      </w:r>
      <w:r w:rsidR="0042599F">
        <w:t>ese</w:t>
      </w:r>
      <w:r w:rsidR="0046661C">
        <w:t xml:space="preserve"> </w:t>
      </w:r>
      <w:r w:rsidR="004136C6">
        <w:t>data are that we would not have CAHPS Hospice Survey data to report publicly on Hospice Compare or successor CMS websites.  This would reduce the information about hospice providers that available to the public.</w:t>
      </w:r>
      <w:r w:rsidR="00714853">
        <w:t xml:space="preserve">  Currently, hospices are required to collect these data to meet the </w:t>
      </w:r>
      <w:r w:rsidR="00B42221">
        <w:t>requirements of the H</w:t>
      </w:r>
      <w:r w:rsidR="00714853">
        <w:t xml:space="preserve">ospice </w:t>
      </w:r>
      <w:r w:rsidR="00B42221">
        <w:t>Q</w:t>
      </w:r>
      <w:r w:rsidR="00714853">
        <w:t xml:space="preserve">uality </w:t>
      </w:r>
      <w:r w:rsidR="00B42221">
        <w:t>R</w:t>
      </w:r>
      <w:r w:rsidR="00714853">
        <w:t xml:space="preserve">eporting </w:t>
      </w:r>
      <w:r w:rsidR="00B42221">
        <w:t>Program (HQRP)</w:t>
      </w:r>
      <w:r w:rsidR="0042599F">
        <w:t xml:space="preserve">.  </w:t>
      </w:r>
      <w:r w:rsidR="00B42221">
        <w:t xml:space="preserve">Compliance with the HQRP </w:t>
      </w:r>
      <w:r w:rsidR="0042599F">
        <w:t>impacts their annual payment update</w:t>
      </w:r>
      <w:r w:rsidR="00B42221">
        <w:t>s</w:t>
      </w:r>
      <w:r w:rsidR="0042599F">
        <w:t>.  The consequence of not collecting the data would be that hospices would not meet the quality reporting requirements</w:t>
      </w:r>
      <w:r w:rsidR="00B42221">
        <w:t xml:space="preserve"> and may be subject to lower annual payment updates</w:t>
      </w:r>
      <w:r w:rsidR="00714853">
        <w:t>.</w:t>
      </w:r>
    </w:p>
    <w:p w:rsidRPr="00EF52AE" w:rsidR="00D74475" w:rsidP="00A67DE5" w:rsidRDefault="00D74475">
      <w:pPr>
        <w:tabs>
          <w:tab w:val="left" w:pos="540"/>
        </w:tabs>
      </w:pPr>
    </w:p>
    <w:p w:rsidRPr="00EF52AE" w:rsidR="00A67DE5" w:rsidP="00A67DE5" w:rsidRDefault="007452B3">
      <w:pPr>
        <w:pStyle w:val="Heading2"/>
        <w:rPr>
          <w:rFonts w:ascii="Times New Roman" w:hAnsi="Times New Roman"/>
        </w:rPr>
      </w:pPr>
      <w:bookmarkStart w:name="_Toc383511898" w:id="9"/>
      <w:r>
        <w:rPr>
          <w:rFonts w:ascii="Times New Roman" w:hAnsi="Times New Roman"/>
        </w:rPr>
        <w:t xml:space="preserve">A7. </w:t>
      </w:r>
      <w:r w:rsidRPr="00EF52AE" w:rsidR="00A67DE5">
        <w:rPr>
          <w:rFonts w:ascii="Times New Roman" w:hAnsi="Times New Roman"/>
        </w:rPr>
        <w:t>Special Circumstances</w:t>
      </w:r>
      <w:bookmarkEnd w:id="9"/>
    </w:p>
    <w:p w:rsidRPr="00EF52AE" w:rsidR="00A67DE5" w:rsidP="00A67DE5" w:rsidRDefault="00A67DE5">
      <w:pPr>
        <w:tabs>
          <w:tab w:val="left" w:pos="540"/>
        </w:tabs>
      </w:pPr>
    </w:p>
    <w:p w:rsidRPr="00EF52AE" w:rsidR="00A67DE5" w:rsidP="00A67DE5" w:rsidRDefault="00107082">
      <w:pPr>
        <w:tabs>
          <w:tab w:val="left" w:pos="540"/>
        </w:tabs>
      </w:pPr>
      <w:r>
        <w:t>There are no special circumstances associated with this information collection request.</w:t>
      </w:r>
    </w:p>
    <w:p w:rsidRPr="00EF52AE"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383511899" w:id="10"/>
      <w:r>
        <w:rPr>
          <w:rFonts w:ascii="Times New Roman" w:hAnsi="Times New Roman"/>
        </w:rPr>
        <w:t xml:space="preserve">A8. </w:t>
      </w:r>
      <w:r w:rsidRPr="00EF52AE" w:rsidR="00A67DE5">
        <w:rPr>
          <w:rFonts w:ascii="Times New Roman" w:hAnsi="Times New Roman"/>
        </w:rPr>
        <w:t>CMS Federal Register Notice</w:t>
      </w:r>
      <w:bookmarkEnd w:id="10"/>
    </w:p>
    <w:p w:rsidRPr="00EF52AE" w:rsidR="00A67DE5" w:rsidP="00A67DE5" w:rsidRDefault="00A67DE5">
      <w:pPr>
        <w:tabs>
          <w:tab w:val="left" w:pos="540"/>
        </w:tabs>
      </w:pPr>
    </w:p>
    <w:p w:rsidR="00651FF6" w:rsidP="00641862" w:rsidRDefault="00641862">
      <w:pPr>
        <w:tabs>
          <w:tab w:val="left" w:pos="540"/>
        </w:tabs>
      </w:pPr>
      <w:r>
        <w:t>The 60-day Federal Register Notice was published in the Federal Register 02/26/2020</w:t>
      </w:r>
    </w:p>
    <w:p w:rsidR="00641862" w:rsidP="00641862" w:rsidRDefault="00641862">
      <w:pPr>
        <w:tabs>
          <w:tab w:val="left" w:pos="540"/>
        </w:tabs>
      </w:pPr>
      <w:r>
        <w:t xml:space="preserve">[85 FR 11087].  </w:t>
      </w:r>
    </w:p>
    <w:p w:rsidR="00641862" w:rsidP="00641862" w:rsidRDefault="00641862">
      <w:pPr>
        <w:tabs>
          <w:tab w:val="left" w:pos="540"/>
        </w:tabs>
      </w:pPr>
      <w:r>
        <w:t xml:space="preserve">One comment was received during the comment period.  However, the comment was unrelated to the CAHPS Surveys. </w:t>
      </w:r>
    </w:p>
    <w:p w:rsidR="00641862" w:rsidP="00641862" w:rsidRDefault="00641862">
      <w:pPr>
        <w:tabs>
          <w:tab w:val="left" w:pos="540"/>
        </w:tabs>
      </w:pPr>
      <w:r>
        <w:t xml:space="preserve"> </w:t>
      </w:r>
    </w:p>
    <w:p w:rsidR="00651FF6" w:rsidP="00641862" w:rsidRDefault="00641862">
      <w:pPr>
        <w:tabs>
          <w:tab w:val="left" w:pos="540"/>
        </w:tabs>
      </w:pPr>
      <w:r>
        <w:t xml:space="preserve">The 30-day Federal Register Notice was published in the Federal Register 05/29/2020 </w:t>
      </w:r>
    </w:p>
    <w:p w:rsidR="00641862" w:rsidP="00641862" w:rsidRDefault="00641862">
      <w:pPr>
        <w:tabs>
          <w:tab w:val="left" w:pos="540"/>
        </w:tabs>
      </w:pPr>
      <w:r>
        <w:t>[85 FR 32399].</w:t>
      </w:r>
    </w:p>
    <w:p w:rsidRPr="00EF52AE" w:rsidR="00ED295E" w:rsidP="00A67DE5" w:rsidRDefault="00641862">
      <w:pPr>
        <w:tabs>
          <w:tab w:val="left" w:pos="540"/>
        </w:tabs>
      </w:pPr>
      <w:r>
        <w:t xml:space="preserve">No comments were received. </w:t>
      </w:r>
    </w:p>
    <w:p w:rsidRPr="00EF52AE" w:rsidR="00A67DE5" w:rsidP="00A67DE5" w:rsidRDefault="007452B3">
      <w:pPr>
        <w:pStyle w:val="Heading2"/>
        <w:rPr>
          <w:rFonts w:ascii="Times New Roman" w:hAnsi="Times New Roman"/>
        </w:rPr>
      </w:pPr>
      <w:bookmarkStart w:name="_Toc383511900" w:id="11"/>
      <w:r>
        <w:rPr>
          <w:rFonts w:ascii="Times New Roman" w:hAnsi="Times New Roman"/>
        </w:rPr>
        <w:lastRenderedPageBreak/>
        <w:t xml:space="preserve">A9. </w:t>
      </w:r>
      <w:r w:rsidRPr="00EF52AE" w:rsidR="00A67DE5">
        <w:rPr>
          <w:rFonts w:ascii="Times New Roman" w:hAnsi="Times New Roman"/>
        </w:rPr>
        <w:t>Respondent Payments or Gifts</w:t>
      </w:r>
      <w:bookmarkEnd w:id="11"/>
    </w:p>
    <w:p w:rsidRPr="00EF52AE" w:rsidR="00A67DE5" w:rsidP="00A67DE5" w:rsidRDefault="00A67DE5">
      <w:pPr>
        <w:tabs>
          <w:tab w:val="left" w:pos="540"/>
        </w:tabs>
      </w:pPr>
    </w:p>
    <w:p w:rsidRPr="00EF52AE" w:rsidR="00A67DE5" w:rsidP="00A67DE5" w:rsidRDefault="00A67DE5">
      <w:pPr>
        <w:tabs>
          <w:tab w:val="left" w:pos="540"/>
        </w:tabs>
      </w:pPr>
      <w:r w:rsidRPr="00EF52AE">
        <w:t>This data collection will not include respondent incentive payments or gifts.</w:t>
      </w:r>
    </w:p>
    <w:p w:rsidRPr="00EF52AE" w:rsidR="00A67DE5" w:rsidP="00A67DE5" w:rsidRDefault="00A67DE5">
      <w:pPr>
        <w:tabs>
          <w:tab w:val="left" w:pos="540"/>
        </w:tabs>
        <w:rPr>
          <w:b/>
        </w:rPr>
      </w:pPr>
    </w:p>
    <w:p w:rsidRPr="00EF52AE" w:rsidR="00A67DE5" w:rsidP="00A67DE5" w:rsidRDefault="007452B3">
      <w:pPr>
        <w:pStyle w:val="Heading2"/>
        <w:rPr>
          <w:rFonts w:ascii="Times New Roman" w:hAnsi="Times New Roman"/>
        </w:rPr>
      </w:pPr>
      <w:bookmarkStart w:name="_Toc383511901" w:id="12"/>
      <w:r>
        <w:rPr>
          <w:rFonts w:ascii="Times New Roman" w:hAnsi="Times New Roman"/>
        </w:rPr>
        <w:t xml:space="preserve">A10. </w:t>
      </w:r>
      <w:r w:rsidRPr="00EF52AE" w:rsidR="00A67DE5">
        <w:rPr>
          <w:rFonts w:ascii="Times New Roman" w:hAnsi="Times New Roman"/>
        </w:rPr>
        <w:t>Assurance of Confidentiality</w:t>
      </w:r>
      <w:bookmarkEnd w:id="12"/>
    </w:p>
    <w:p w:rsidRPr="00EF52AE" w:rsidR="00A67DE5" w:rsidP="00A67DE5" w:rsidRDefault="00A67DE5">
      <w:pPr>
        <w:tabs>
          <w:tab w:val="left" w:pos="540"/>
        </w:tabs>
      </w:pPr>
    </w:p>
    <w:p w:rsidR="000A243B" w:rsidP="00A67DE5" w:rsidRDefault="000A243B">
      <w:pPr>
        <w:tabs>
          <w:tab w:val="left" w:pos="540"/>
        </w:tabs>
      </w:pPr>
      <w:r>
        <w:t>Survey vendors are required to take steps to assure respondent confidentiality.  These include preventing access to confidential data sets, restricting access to systems or rooms in which CAHPS</w:t>
      </w:r>
      <w:r w:rsidRPr="000A243B">
        <w:rPr>
          <w:vertAlign w:val="superscript"/>
        </w:rPr>
        <w:t>®</w:t>
      </w:r>
      <w:r>
        <w:t xml:space="preserve"> Hospice Survey data is kept, and requiring that vendor staff sign confidentiality agreements.  Survey results are </w:t>
      </w:r>
      <w:r w:rsidR="00B0254E">
        <w:t xml:space="preserve">identified by </w:t>
      </w:r>
      <w:r>
        <w:t xml:space="preserve">an ID number that is not associated with an individual’s name or other identifying information.  CMS does not publish results for hospices that had fewer than 30 responses over the previous eight quarters.  It is permissible for vendors to share unofficial identifiable survey results with individual hospices.  However, the information </w:t>
      </w:r>
      <w:r w:rsidR="00B0254E">
        <w:t xml:space="preserve">must </w:t>
      </w:r>
      <w:r>
        <w:t xml:space="preserve">s used only for quality improvement and should be confined to managers and quality improvement personnel.  They </w:t>
      </w:r>
      <w:r w:rsidR="00B0254E">
        <w:t>cannot</w:t>
      </w:r>
      <w:r>
        <w:t xml:space="preserve"> to be shared with direct care staff.</w:t>
      </w:r>
    </w:p>
    <w:p w:rsidRPr="00EF52AE" w:rsidR="00740333" w:rsidP="00A67DE5" w:rsidRDefault="00740333">
      <w:pPr>
        <w:tabs>
          <w:tab w:val="left" w:pos="540"/>
        </w:tabs>
      </w:pPr>
    </w:p>
    <w:p w:rsidRPr="00EF52AE" w:rsidR="00A67DE5" w:rsidP="00A67DE5" w:rsidRDefault="007452B3">
      <w:pPr>
        <w:pStyle w:val="Heading2"/>
        <w:rPr>
          <w:rFonts w:ascii="Times New Roman" w:hAnsi="Times New Roman"/>
        </w:rPr>
      </w:pPr>
      <w:bookmarkStart w:name="_Toc383511902" w:id="13"/>
      <w:r>
        <w:rPr>
          <w:rFonts w:ascii="Times New Roman" w:hAnsi="Times New Roman"/>
        </w:rPr>
        <w:t xml:space="preserve">A11. </w:t>
      </w:r>
      <w:r w:rsidRPr="00EF52AE" w:rsidR="00A67DE5">
        <w:rPr>
          <w:rFonts w:ascii="Times New Roman" w:hAnsi="Times New Roman"/>
        </w:rPr>
        <w:t>Sensitive Questions</w:t>
      </w:r>
      <w:bookmarkEnd w:id="13"/>
    </w:p>
    <w:p w:rsidRPr="00EF52AE" w:rsidR="00A67DE5" w:rsidP="00A67DE5" w:rsidRDefault="00A67DE5">
      <w:pPr>
        <w:tabs>
          <w:tab w:val="left" w:pos="540"/>
        </w:tabs>
      </w:pPr>
    </w:p>
    <w:p w:rsidRPr="00F67776" w:rsidR="007C07E2" w:rsidP="00562B3A" w:rsidRDefault="007C07E2">
      <w:pPr>
        <w:tabs>
          <w:tab w:val="left" w:pos="540"/>
        </w:tabs>
      </w:pPr>
      <w:r w:rsidRPr="00F67776">
        <w:t>As this survey requests information from bereaved family members</w:t>
      </w:r>
      <w:r w:rsidR="001440DC">
        <w:t xml:space="preserve"> </w:t>
      </w:r>
      <w:r w:rsidR="00681D38">
        <w:t>or</w:t>
      </w:r>
      <w:r w:rsidR="001440DC">
        <w:t xml:space="preserve"> </w:t>
      </w:r>
      <w:r w:rsidR="00681D38">
        <w:t xml:space="preserve">close </w:t>
      </w:r>
      <w:r w:rsidR="001440DC">
        <w:t>friends</w:t>
      </w:r>
      <w:r w:rsidR="00681D38">
        <w:t xml:space="preserve"> of a deceased patient</w:t>
      </w:r>
      <w:r w:rsidRPr="00F67776">
        <w:t xml:space="preserve">, the potential for distress is possible; however, </w:t>
      </w:r>
      <w:r w:rsidR="00E203E4">
        <w:t xml:space="preserve">CMS’ </w:t>
      </w:r>
      <w:r w:rsidR="001E3907">
        <w:t>experience with the CAHPS Hospice Survey</w:t>
      </w:r>
      <w:r w:rsidR="00763B81">
        <w:t xml:space="preserve"> thus far </w:t>
      </w:r>
      <w:r w:rsidRPr="00562B3A">
        <w:t>indicates that this is a</w:t>
      </w:r>
      <w:r w:rsidR="00D4597F">
        <w:t xml:space="preserve"> very rare</w:t>
      </w:r>
      <w:r w:rsidR="006C4E32">
        <w:t xml:space="preserve"> event. </w:t>
      </w:r>
      <w:r w:rsidRPr="00562B3A" w:rsidR="00562B3A">
        <w:t xml:space="preserve">The cover letter </w:t>
      </w:r>
      <w:r w:rsidR="00763B81">
        <w:t xml:space="preserve">that vendors send </w:t>
      </w:r>
      <w:r w:rsidRPr="00562B3A" w:rsidR="00562B3A">
        <w:t>accompany</w:t>
      </w:r>
      <w:r w:rsidR="00D4597F">
        <w:t>ing</w:t>
      </w:r>
      <w:r w:rsidRPr="00562B3A" w:rsidR="00562B3A">
        <w:t xml:space="preserve"> mailed surveys </w:t>
      </w:r>
      <w:r w:rsidR="00763B81">
        <w:t xml:space="preserve">is required to </w:t>
      </w:r>
      <w:r w:rsidRPr="00562B3A" w:rsidR="00562B3A">
        <w:t>include a toll-free number which respondents may use for questions or concerns</w:t>
      </w:r>
      <w:r w:rsidR="00763B81">
        <w:t>.  S</w:t>
      </w:r>
      <w:r w:rsidRPr="00562B3A" w:rsidR="00562B3A">
        <w:t>hould a respondent e</w:t>
      </w:r>
      <w:r w:rsidRPr="00562B3A">
        <w:t xml:space="preserve">xperience distress significant enough </w:t>
      </w:r>
      <w:r w:rsidRPr="00562B3A" w:rsidR="00562B3A">
        <w:t>for him or her</w:t>
      </w:r>
      <w:r w:rsidRPr="00562B3A">
        <w:t xml:space="preserve"> to </w:t>
      </w:r>
      <w:r w:rsidRPr="00562B3A" w:rsidR="00597864">
        <w:t>request</w:t>
      </w:r>
      <w:r w:rsidRPr="00562B3A">
        <w:t xml:space="preserve"> additional support, </w:t>
      </w:r>
      <w:r w:rsidR="001E3907">
        <w:t xml:space="preserve">we recommend that survey vendors’ telephone staff </w:t>
      </w:r>
      <w:r w:rsidRPr="00562B3A" w:rsidR="00597864">
        <w:t xml:space="preserve">put the </w:t>
      </w:r>
      <w:r w:rsidRPr="00562B3A" w:rsidR="00562B3A">
        <w:t>respondent</w:t>
      </w:r>
      <w:r w:rsidRPr="00562B3A" w:rsidR="00597864">
        <w:t xml:space="preserve"> in contact with the appropriate local resource (generally a </w:t>
      </w:r>
      <w:r w:rsidR="00D4597F">
        <w:t xml:space="preserve">bereavement </w:t>
      </w:r>
      <w:r w:rsidRPr="00562B3A" w:rsidR="00597864">
        <w:t xml:space="preserve">counselor or social worker on the </w:t>
      </w:r>
      <w:r w:rsidR="00D4597F">
        <w:t>hospice</w:t>
      </w:r>
      <w:r w:rsidRPr="00562B3A" w:rsidR="00597864">
        <w:t xml:space="preserve"> team that provided care to their family member or friend).</w:t>
      </w:r>
      <w:r w:rsidRPr="00F67776">
        <w:t xml:space="preserve"> </w:t>
      </w:r>
      <w:r w:rsidR="00D4597F">
        <w:t>This visit and support groups for bereavement are part of the services covered under the Medicare Hospice Benefit.</w:t>
      </w:r>
    </w:p>
    <w:p w:rsidR="00E717A3" w:rsidP="00A67DE5" w:rsidRDefault="00E717A3">
      <w:pPr>
        <w:pStyle w:val="Heading2"/>
        <w:rPr>
          <w:rFonts w:ascii="Times New Roman" w:hAnsi="Times New Roman"/>
        </w:rPr>
      </w:pPr>
    </w:p>
    <w:p w:rsidRPr="002A392C" w:rsidR="00A67DE5" w:rsidP="00A67DE5" w:rsidRDefault="007452B3">
      <w:pPr>
        <w:pStyle w:val="Heading2"/>
        <w:rPr>
          <w:rFonts w:ascii="Times New Roman" w:hAnsi="Times New Roman"/>
        </w:rPr>
      </w:pPr>
      <w:bookmarkStart w:name="_Toc383511903" w:id="14"/>
      <w:r>
        <w:rPr>
          <w:rFonts w:ascii="Times New Roman" w:hAnsi="Times New Roman"/>
        </w:rPr>
        <w:t xml:space="preserve">A12. </w:t>
      </w:r>
      <w:r w:rsidRPr="002A392C" w:rsidR="00A67DE5">
        <w:rPr>
          <w:rFonts w:ascii="Times New Roman" w:hAnsi="Times New Roman"/>
        </w:rPr>
        <w:t>Burden of Information Collection</w:t>
      </w:r>
      <w:bookmarkEnd w:id="14"/>
    </w:p>
    <w:p w:rsidRPr="002A392C" w:rsidR="00A67DE5" w:rsidP="00A67DE5" w:rsidRDefault="00A67DE5">
      <w:pPr>
        <w:tabs>
          <w:tab w:val="left" w:pos="540"/>
        </w:tabs>
      </w:pPr>
    </w:p>
    <w:p w:rsidR="00D10525" w:rsidP="00D10525" w:rsidRDefault="00D10525">
      <w:pPr>
        <w:pStyle w:val="BodyText"/>
      </w:pPr>
      <w:r>
        <w:t xml:space="preserve">Estimated annualized burden hours and costs </w:t>
      </w:r>
      <w:r w:rsidR="00A27D3E">
        <w:t xml:space="preserve">to respondents </w:t>
      </w:r>
      <w:r>
        <w:t>for the national implementation of the CAHPS</w:t>
      </w:r>
      <w:r w:rsidRPr="00EA4C90" w:rsidR="00E203E4">
        <w:rPr>
          <w:vertAlign w:val="superscript"/>
        </w:rPr>
        <w:t>®</w:t>
      </w:r>
      <w:r>
        <w:t xml:space="preserve"> Hospice Survey are shown in Table</w:t>
      </w:r>
      <w:r w:rsidR="00EA4C90">
        <w:t xml:space="preserve">s 1 and 2. </w:t>
      </w:r>
      <w:r w:rsidR="0077694B">
        <w:t>Based on participation in national implementation in the CAHPS</w:t>
      </w:r>
      <w:r w:rsidRPr="00EA4C90" w:rsidR="00441AEA">
        <w:rPr>
          <w:vertAlign w:val="superscript"/>
        </w:rPr>
        <w:t>®</w:t>
      </w:r>
      <w:r w:rsidR="0077694B">
        <w:t xml:space="preserve"> Hospice Survey from Quarter </w:t>
      </w:r>
      <w:r w:rsidR="00187BBD">
        <w:t>3</w:t>
      </w:r>
      <w:r w:rsidR="0077694B">
        <w:t xml:space="preserve"> 201</w:t>
      </w:r>
      <w:r w:rsidR="00187BBD">
        <w:t>6</w:t>
      </w:r>
      <w:r w:rsidR="0077694B">
        <w:t xml:space="preserve"> through Quarter </w:t>
      </w:r>
      <w:r w:rsidR="00187BBD">
        <w:t>2</w:t>
      </w:r>
      <w:r w:rsidR="0077694B">
        <w:t xml:space="preserve"> 201</w:t>
      </w:r>
      <w:r w:rsidR="00187BBD">
        <w:t>8</w:t>
      </w:r>
      <w:r w:rsidR="0077694B">
        <w:t xml:space="preserve">, </w:t>
      </w:r>
      <w:r w:rsidR="00EA4C90">
        <w:t>we assume that</w:t>
      </w:r>
      <w:r>
        <w:t xml:space="preserve"> </w:t>
      </w:r>
      <w:r w:rsidR="00187BBD">
        <w:t>3,670</w:t>
      </w:r>
      <w:r w:rsidR="0077694B">
        <w:t xml:space="preserve"> </w:t>
      </w:r>
      <w:r>
        <w:t xml:space="preserve">hospices will administer the survey to an average of </w:t>
      </w:r>
      <w:r w:rsidR="00187BBD">
        <w:t>281.2</w:t>
      </w:r>
      <w:r w:rsidR="0077694B">
        <w:t xml:space="preserve"> </w:t>
      </w:r>
      <w:r>
        <w:t>cases</w:t>
      </w:r>
      <w:r w:rsidR="00187BBD">
        <w:t xml:space="preserve"> per year</w:t>
      </w:r>
      <w:r w:rsidR="00EA4C90">
        <w:t xml:space="preserve">.  </w:t>
      </w:r>
      <w:r w:rsidR="00B74156">
        <w:t>T</w:t>
      </w:r>
      <w:r w:rsidRPr="00562B3A" w:rsidR="00B74156">
        <w:rPr>
          <w:color w:val="000000"/>
        </w:rPr>
        <w:t>h</w:t>
      </w:r>
      <w:r w:rsidR="00B74156">
        <w:rPr>
          <w:color w:val="000000"/>
        </w:rPr>
        <w:t>us, we estimate that th</w:t>
      </w:r>
      <w:r w:rsidRPr="00562B3A" w:rsidR="00B74156">
        <w:rPr>
          <w:color w:val="000000"/>
        </w:rPr>
        <w:t xml:space="preserve">e </w:t>
      </w:r>
      <w:r w:rsidR="00B74156">
        <w:rPr>
          <w:color w:val="000000"/>
        </w:rPr>
        <w:t>CAHPS</w:t>
      </w:r>
      <w:r w:rsidRPr="00EA4C90" w:rsidR="00E203E4">
        <w:rPr>
          <w:vertAlign w:val="superscript"/>
        </w:rPr>
        <w:t>®</w:t>
      </w:r>
      <w:r w:rsidR="00B74156">
        <w:rPr>
          <w:color w:val="000000"/>
        </w:rPr>
        <w:t xml:space="preserve"> H</w:t>
      </w:r>
      <w:r w:rsidRPr="00562B3A" w:rsidR="00B74156">
        <w:rPr>
          <w:color w:val="000000"/>
        </w:rPr>
        <w:t xml:space="preserve">ospice </w:t>
      </w:r>
      <w:r w:rsidR="00B74156">
        <w:rPr>
          <w:color w:val="000000"/>
        </w:rPr>
        <w:t xml:space="preserve">Survey </w:t>
      </w:r>
      <w:r w:rsidRPr="00562B3A" w:rsidR="00B74156">
        <w:t>will be administered to</w:t>
      </w:r>
      <w:r w:rsidR="00B74156">
        <w:t xml:space="preserve"> </w:t>
      </w:r>
      <w:r w:rsidR="00A27D3E">
        <w:t xml:space="preserve">a maximum of </w:t>
      </w:r>
      <w:r w:rsidRPr="00187BBD" w:rsidR="00187BBD">
        <w:t>1</w:t>
      </w:r>
      <w:r w:rsidR="00187BBD">
        <w:t>,</w:t>
      </w:r>
      <w:r w:rsidRPr="00187BBD" w:rsidR="00187BBD">
        <w:t>032</w:t>
      </w:r>
      <w:r w:rsidR="00187BBD">
        <w:t>,</w:t>
      </w:r>
      <w:r w:rsidRPr="00187BBD" w:rsidR="00187BBD">
        <w:t>004</w:t>
      </w:r>
      <w:r w:rsidR="00B74156">
        <w:t xml:space="preserve"> </w:t>
      </w:r>
      <w:r w:rsidRPr="00562B3A" w:rsidR="00B74156">
        <w:t xml:space="preserve">individuals </w:t>
      </w:r>
      <w:r w:rsidR="00A42DE0">
        <w:t>each year for the duration of the collection period covered by this application</w:t>
      </w:r>
      <w:r w:rsidRPr="00562B3A" w:rsidR="00A42DE0">
        <w:t xml:space="preserve"> </w:t>
      </w:r>
      <w:r w:rsidR="00B74156">
        <w:t xml:space="preserve">for the purposes of national implementation. </w:t>
      </w:r>
      <w:r w:rsidR="00EA4C90">
        <w:t>As not all sampled cases will complete the survey, this estimate reflects the maximum burden possible</w:t>
      </w:r>
      <w:r w:rsidR="00231506">
        <w:t xml:space="preserve">. The estimated number of responses is based on </w:t>
      </w:r>
      <w:r w:rsidR="00441AEA">
        <w:t>actual hospice participation in national implementation of the CAHPS</w:t>
      </w:r>
      <w:r w:rsidRPr="00EA4C90" w:rsidR="00441AEA">
        <w:rPr>
          <w:vertAlign w:val="superscript"/>
        </w:rPr>
        <w:t>®</w:t>
      </w:r>
      <w:r w:rsidR="00441AEA">
        <w:t xml:space="preserve"> Hospice Survey.</w:t>
      </w:r>
    </w:p>
    <w:p w:rsidR="004136C6" w:rsidP="00D10525" w:rsidRDefault="004136C6">
      <w:pPr>
        <w:pStyle w:val="BodyText"/>
      </w:pPr>
    </w:p>
    <w:p w:rsidR="004136C6" w:rsidP="00D10525" w:rsidRDefault="004136C6">
      <w:pPr>
        <w:pStyle w:val="BodyText"/>
      </w:pPr>
      <w:r>
        <w:t xml:space="preserve">Our burden estimates do not include any estimates for the Mode Experiment.  The reason for this is that the Mode Experiment was a one-time study conducted in 2015.  We have </w:t>
      </w:r>
      <w:r>
        <w:lastRenderedPageBreak/>
        <w:t xml:space="preserve">not conducted any subsequent mode experiments.  The goal of the original Mode Experiment was to determine whether or not we needed to adjust our data by the mode of data collection (mail, telephone, or mail with telephone follow-up).  The experiment also </w:t>
      </w:r>
      <w:r w:rsidR="00FE36D3">
        <w:t>produced coefficients for adjusting our survey data.  The</w:t>
      </w:r>
      <w:r w:rsidR="00B42221">
        <w:t xml:space="preserve"> coefficients </w:t>
      </w:r>
      <w:r w:rsidR="00FE36D3">
        <w:t>are in use, but they pose no burden to the hospices.</w:t>
      </w:r>
    </w:p>
    <w:p w:rsidR="00D10525" w:rsidP="006620B6" w:rsidRDefault="00D10525">
      <w:pPr>
        <w:keepLines/>
        <w:rPr>
          <w:color w:val="000000"/>
        </w:rPr>
      </w:pPr>
    </w:p>
    <w:p w:rsidRPr="00440B8F" w:rsidR="006620B6" w:rsidP="006620B6" w:rsidRDefault="007452B3">
      <w:pPr>
        <w:keepLines/>
      </w:pPr>
      <w:r>
        <w:rPr>
          <w:color w:val="000000"/>
        </w:rPr>
        <w:t>Table</w:t>
      </w:r>
      <w:r w:rsidRPr="00562B3A" w:rsidR="006620B6">
        <w:rPr>
          <w:color w:val="000000"/>
        </w:rPr>
        <w:t xml:space="preserve"> 1 shows the estimated annualized burden for the respondents' time to parti</w:t>
      </w:r>
      <w:r w:rsidR="00EA4C90">
        <w:rPr>
          <w:color w:val="000000"/>
        </w:rPr>
        <w:t>cipate in the national implementation</w:t>
      </w:r>
      <w:r w:rsidR="006C4E32">
        <w:rPr>
          <w:color w:val="000000"/>
        </w:rPr>
        <w:t xml:space="preserve"> data collection.</w:t>
      </w:r>
      <w:r w:rsidRPr="00562B3A" w:rsidR="006620B6">
        <w:rPr>
          <w:color w:val="000000"/>
        </w:rPr>
        <w:t xml:space="preserve"> </w:t>
      </w:r>
      <w:r w:rsidRPr="00440B8F" w:rsidR="00696DA9">
        <w:t xml:space="preserve">The survey contains </w:t>
      </w:r>
      <w:r w:rsidR="00E44D5E">
        <w:t>4</w:t>
      </w:r>
      <w:r w:rsidR="00AE1285">
        <w:t>7</w:t>
      </w:r>
      <w:r w:rsidRPr="00440B8F" w:rsidR="00696DA9">
        <w:t xml:space="preserve"> item</w:t>
      </w:r>
      <w:r w:rsidRPr="00440B8F" w:rsidR="003C0CDE">
        <w:t>s and is estimated to require</w:t>
      </w:r>
      <w:r w:rsidRPr="00440B8F" w:rsidR="00696DA9">
        <w:t xml:space="preserve"> an average administration time of </w:t>
      </w:r>
      <w:r w:rsidR="001D5C41">
        <w:t>10.</w:t>
      </w:r>
      <w:r w:rsidR="00A27D3E">
        <w:t>4</w:t>
      </w:r>
      <w:r w:rsidRPr="00440B8F" w:rsidR="00696DA9">
        <w:t xml:space="preserve"> minutes in English (at a pace of 4.5 items per minute) and </w:t>
      </w:r>
      <w:r w:rsidR="00F560A8">
        <w:t>1</w:t>
      </w:r>
      <w:r w:rsidR="001D5C41">
        <w:t>2</w:t>
      </w:r>
      <w:r w:rsidR="00F560A8">
        <w:t>.</w:t>
      </w:r>
      <w:r w:rsidR="00A27D3E">
        <w:t>5</w:t>
      </w:r>
      <w:r w:rsidRPr="00440B8F" w:rsidR="00696DA9">
        <w:t xml:space="preserve"> </w:t>
      </w:r>
      <w:r w:rsidR="006C4E32">
        <w:t>minutes in Spanish (assuming 20 percent</w:t>
      </w:r>
      <w:r w:rsidRPr="00440B8F" w:rsidR="00696DA9">
        <w:t xml:space="preserve"> more words in the Spanish translation)</w:t>
      </w:r>
      <w:r w:rsidRPr="00440B8F" w:rsidR="00F16281">
        <w:t xml:space="preserve">, for an average response time of </w:t>
      </w:r>
      <w:r w:rsidR="001D5C41">
        <w:t>10.</w:t>
      </w:r>
      <w:r w:rsidR="0077694B">
        <w:t>47</w:t>
      </w:r>
      <w:r w:rsidRPr="00440B8F" w:rsidR="00F16281">
        <w:t xml:space="preserve"> minutes or </w:t>
      </w:r>
      <w:r w:rsidRPr="00440B8F" w:rsidR="00440194">
        <w:t>0</w:t>
      </w:r>
      <w:r w:rsidRPr="00440B8F" w:rsidR="00F16281">
        <w:t>.</w:t>
      </w:r>
      <w:r w:rsidR="0077694B">
        <w:t xml:space="preserve">174 </w:t>
      </w:r>
      <w:r w:rsidR="00440B8F">
        <w:t>hours</w:t>
      </w:r>
      <w:r w:rsidR="005E2EAF">
        <w:t xml:space="preserve"> (assuming that </w:t>
      </w:r>
      <w:r w:rsidR="0077694B">
        <w:t>1</w:t>
      </w:r>
      <w:r w:rsidR="005E2EAF">
        <w:t>% of survey respondents complete the survey in Spanish)</w:t>
      </w:r>
      <w:r w:rsidRPr="00440B8F" w:rsidR="002A392C">
        <w:t xml:space="preserve">. </w:t>
      </w:r>
      <w:r w:rsidRPr="00440B8F" w:rsidR="00696DA9">
        <w:rPr>
          <w:color w:val="000000"/>
        </w:rPr>
        <w:t>These burden and pace estimates are based</w:t>
      </w:r>
      <w:r w:rsidRPr="00440B8F" w:rsidR="006620B6">
        <w:rPr>
          <w:color w:val="000000"/>
        </w:rPr>
        <w:t xml:space="preserve"> </w:t>
      </w:r>
      <w:r w:rsidRPr="00440B8F" w:rsidR="00696DA9">
        <w:rPr>
          <w:color w:val="000000"/>
        </w:rPr>
        <w:t>on</w:t>
      </w:r>
      <w:r w:rsidRPr="00440B8F" w:rsidR="006620B6">
        <w:rPr>
          <w:color w:val="000000"/>
        </w:rPr>
        <w:t xml:space="preserve"> CMS’ experience with </w:t>
      </w:r>
      <w:r w:rsidR="00231506">
        <w:rPr>
          <w:color w:val="000000"/>
        </w:rPr>
        <w:t>the CAHPS</w:t>
      </w:r>
      <w:r w:rsidRPr="00441AEA" w:rsidR="00231506">
        <w:rPr>
          <w:color w:val="000000"/>
          <w:vertAlign w:val="superscript"/>
        </w:rPr>
        <w:t>®</w:t>
      </w:r>
      <w:r w:rsidR="00231506">
        <w:rPr>
          <w:color w:val="000000"/>
        </w:rPr>
        <w:t xml:space="preserve"> Hospice Survey and </w:t>
      </w:r>
      <w:r w:rsidRPr="00440B8F" w:rsidR="006620B6">
        <w:rPr>
          <w:color w:val="000000"/>
        </w:rPr>
        <w:t>surveys of similar length that were fielded with Medicare beneficiaries.</w:t>
      </w:r>
      <w:r w:rsidRPr="00440B8F" w:rsidR="006620B6">
        <w:rPr>
          <w:bCs/>
        </w:rPr>
        <w:t xml:space="preserve"> As indicated below, the </w:t>
      </w:r>
      <w:r w:rsidRPr="00440B8F" w:rsidR="00C90E08">
        <w:rPr>
          <w:bCs/>
        </w:rPr>
        <w:t xml:space="preserve">annual </w:t>
      </w:r>
      <w:r w:rsidRPr="00440B8F" w:rsidR="006620B6">
        <w:rPr>
          <w:bCs/>
        </w:rPr>
        <w:t>total b</w:t>
      </w:r>
      <w:r w:rsidR="001D5C41">
        <w:rPr>
          <w:bCs/>
        </w:rPr>
        <w:t xml:space="preserve">urden hours </w:t>
      </w:r>
      <w:r w:rsidR="00D10525">
        <w:rPr>
          <w:bCs/>
        </w:rPr>
        <w:t xml:space="preserve">for survey participants </w:t>
      </w:r>
      <w:r w:rsidR="001D5C41">
        <w:rPr>
          <w:bCs/>
        </w:rPr>
        <w:t>are estimated to be</w:t>
      </w:r>
      <w:r w:rsidR="004131D6">
        <w:rPr>
          <w:bCs/>
        </w:rPr>
        <w:t xml:space="preserve"> </w:t>
      </w:r>
      <w:r w:rsidRPr="00562088" w:rsidR="00A62F16">
        <w:rPr>
          <w:color w:val="000000"/>
        </w:rPr>
        <w:t>180,004.43</w:t>
      </w:r>
      <w:r w:rsidR="00AE1285">
        <w:rPr>
          <w:color w:val="000000"/>
        </w:rPr>
        <w:t xml:space="preserve"> </w:t>
      </w:r>
      <w:r w:rsidR="00D10525">
        <w:rPr>
          <w:bCs/>
        </w:rPr>
        <w:t xml:space="preserve">for the </w:t>
      </w:r>
      <w:r w:rsidR="00F422C9">
        <w:rPr>
          <w:bCs/>
        </w:rPr>
        <w:t xml:space="preserve">continued </w:t>
      </w:r>
      <w:r w:rsidR="00D10525">
        <w:rPr>
          <w:bCs/>
        </w:rPr>
        <w:t>national implementation of the survey</w:t>
      </w:r>
      <w:r w:rsidR="00C64785">
        <w:rPr>
          <w:bCs/>
        </w:rPr>
        <w:t>.</w:t>
      </w:r>
    </w:p>
    <w:p w:rsidR="00A67DE5" w:rsidP="00A67DE5" w:rsidRDefault="00A67DE5">
      <w:pPr>
        <w:rPr>
          <w:color w:val="000000"/>
        </w:rPr>
      </w:pPr>
    </w:p>
    <w:p w:rsidRPr="007E49C6" w:rsidR="00F422C9" w:rsidP="00F422C9" w:rsidRDefault="00F422C9">
      <w:pPr>
        <w:keepNext/>
        <w:rPr>
          <w:color w:val="000000"/>
        </w:rPr>
      </w:pPr>
      <w:r>
        <w:rPr>
          <w:b/>
          <w:bCs/>
          <w:color w:val="000000"/>
        </w:rPr>
        <w:t>Table 1. Estimated A</w:t>
      </w:r>
      <w:r w:rsidRPr="007E49C6">
        <w:rPr>
          <w:b/>
          <w:bCs/>
          <w:color w:val="000000"/>
        </w:rPr>
        <w:t xml:space="preserve">nnualized </w:t>
      </w:r>
      <w:r>
        <w:rPr>
          <w:b/>
          <w:bCs/>
          <w:color w:val="000000"/>
        </w:rPr>
        <w:t>B</w:t>
      </w:r>
      <w:r w:rsidRPr="007E49C6">
        <w:rPr>
          <w:b/>
          <w:bCs/>
          <w:color w:val="000000"/>
        </w:rPr>
        <w:t xml:space="preserve">urden </w:t>
      </w:r>
      <w:r>
        <w:rPr>
          <w:b/>
          <w:bCs/>
          <w:color w:val="000000"/>
        </w:rPr>
        <w:t>H</w:t>
      </w:r>
      <w:r w:rsidRPr="007E49C6">
        <w:rPr>
          <w:b/>
          <w:bCs/>
          <w:color w:val="000000"/>
        </w:rPr>
        <w:t>ours</w:t>
      </w:r>
      <w:r>
        <w:rPr>
          <w:b/>
          <w:bCs/>
          <w:color w:val="000000"/>
        </w:rPr>
        <w:t xml:space="preserve"> for Respondents: National Implementation of the CAHPS</w:t>
      </w:r>
      <w:r w:rsidRPr="00E203E4">
        <w:rPr>
          <w:b/>
          <w:vertAlign w:val="superscript"/>
        </w:rPr>
        <w:t>®</w:t>
      </w:r>
      <w:r w:rsidR="000B5EF7">
        <w:rPr>
          <w:b/>
          <w:bCs/>
          <w:color w:val="000000"/>
        </w:rPr>
        <w:t xml:space="preserve"> Hospice Survey</w:t>
      </w:r>
    </w:p>
    <w:tbl>
      <w:tblPr>
        <w:tblW w:w="8640" w:type="dxa"/>
        <w:tblInd w:w="108" w:type="dxa"/>
        <w:tblLook w:val="04A0" w:firstRow="1" w:lastRow="0" w:firstColumn="1" w:lastColumn="0" w:noHBand="0" w:noVBand="1"/>
      </w:tblPr>
      <w:tblGrid>
        <w:gridCol w:w="1593"/>
        <w:gridCol w:w="1877"/>
        <w:gridCol w:w="1813"/>
        <w:gridCol w:w="1637"/>
        <w:gridCol w:w="1720"/>
      </w:tblGrid>
      <w:tr w:rsidR="004F1414" w:rsidTr="00A42DE0">
        <w:trPr>
          <w:cantSplit/>
        </w:trPr>
        <w:tc>
          <w:tcPr>
            <w:tcW w:w="26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4F1414" w:rsidRDefault="004F1414">
            <w:pPr>
              <w:rPr>
                <w:b/>
                <w:bCs/>
                <w:color w:val="000000"/>
              </w:rPr>
            </w:pPr>
            <w:r>
              <w:rPr>
                <w:b/>
                <w:bCs/>
                <w:color w:val="000000"/>
                <w:szCs w:val="20"/>
              </w:rPr>
              <w:t>Survey Version</w:t>
            </w:r>
          </w:p>
        </w:tc>
        <w:tc>
          <w:tcPr>
            <w:tcW w:w="2680" w:type="dxa"/>
            <w:tcBorders>
              <w:top w:val="single" w:color="auto" w:sz="8" w:space="0"/>
              <w:left w:val="nil"/>
              <w:bottom w:val="single" w:color="auto" w:sz="8" w:space="0"/>
              <w:right w:val="single" w:color="auto" w:sz="8" w:space="0"/>
            </w:tcBorders>
            <w:shd w:val="clear" w:color="auto" w:fill="auto"/>
            <w:vAlign w:val="center"/>
            <w:hideMark/>
          </w:tcPr>
          <w:p w:rsidR="004F1414" w:rsidRDefault="004F1414">
            <w:pPr>
              <w:jc w:val="center"/>
              <w:rPr>
                <w:b/>
                <w:bCs/>
                <w:color w:val="000000"/>
              </w:rPr>
            </w:pPr>
            <w:r>
              <w:rPr>
                <w:b/>
                <w:bCs/>
                <w:color w:val="000000"/>
                <w:szCs w:val="20"/>
              </w:rPr>
              <w:t>Number of Respondents</w:t>
            </w:r>
          </w:p>
        </w:tc>
        <w:tc>
          <w:tcPr>
            <w:tcW w:w="2680" w:type="dxa"/>
            <w:tcBorders>
              <w:top w:val="single" w:color="auto" w:sz="8" w:space="0"/>
              <w:left w:val="nil"/>
              <w:bottom w:val="single" w:color="auto" w:sz="8" w:space="0"/>
              <w:right w:val="single" w:color="auto" w:sz="8" w:space="0"/>
            </w:tcBorders>
            <w:shd w:val="clear" w:color="auto" w:fill="auto"/>
            <w:vAlign w:val="center"/>
            <w:hideMark/>
          </w:tcPr>
          <w:p w:rsidR="004F1414" w:rsidRDefault="004F1414">
            <w:pPr>
              <w:jc w:val="center"/>
              <w:rPr>
                <w:b/>
                <w:bCs/>
                <w:color w:val="000000"/>
              </w:rPr>
            </w:pPr>
            <w:r>
              <w:rPr>
                <w:b/>
                <w:bCs/>
                <w:color w:val="000000"/>
                <w:szCs w:val="20"/>
              </w:rPr>
              <w:t>Number of Responses per Respondent</w:t>
            </w:r>
          </w:p>
        </w:tc>
        <w:tc>
          <w:tcPr>
            <w:tcW w:w="2680" w:type="dxa"/>
            <w:tcBorders>
              <w:top w:val="single" w:color="auto" w:sz="8" w:space="0"/>
              <w:left w:val="nil"/>
              <w:bottom w:val="single" w:color="auto" w:sz="8" w:space="0"/>
              <w:right w:val="single" w:color="auto" w:sz="8" w:space="0"/>
            </w:tcBorders>
            <w:shd w:val="clear" w:color="auto" w:fill="auto"/>
            <w:vAlign w:val="center"/>
            <w:hideMark/>
          </w:tcPr>
          <w:p w:rsidR="004F1414" w:rsidRDefault="004F1414">
            <w:pPr>
              <w:jc w:val="center"/>
              <w:rPr>
                <w:b/>
                <w:bCs/>
                <w:color w:val="000000"/>
              </w:rPr>
            </w:pPr>
            <w:r>
              <w:rPr>
                <w:b/>
                <w:bCs/>
                <w:color w:val="000000"/>
                <w:szCs w:val="20"/>
              </w:rPr>
              <w:t>Hours per Response</w:t>
            </w:r>
          </w:p>
        </w:tc>
        <w:tc>
          <w:tcPr>
            <w:tcW w:w="2680" w:type="dxa"/>
            <w:tcBorders>
              <w:top w:val="single" w:color="auto" w:sz="8" w:space="0"/>
              <w:left w:val="nil"/>
              <w:bottom w:val="single" w:color="auto" w:sz="8" w:space="0"/>
              <w:right w:val="single" w:color="auto" w:sz="8" w:space="0"/>
            </w:tcBorders>
            <w:shd w:val="clear" w:color="auto" w:fill="auto"/>
            <w:vAlign w:val="center"/>
            <w:hideMark/>
          </w:tcPr>
          <w:p w:rsidR="004F1414" w:rsidRDefault="004F1414">
            <w:pPr>
              <w:jc w:val="center"/>
              <w:rPr>
                <w:b/>
                <w:bCs/>
                <w:color w:val="000000"/>
              </w:rPr>
            </w:pPr>
            <w:r>
              <w:rPr>
                <w:b/>
                <w:bCs/>
                <w:color w:val="000000"/>
                <w:szCs w:val="20"/>
              </w:rPr>
              <w:t>Total Burden Hours</w:t>
            </w:r>
          </w:p>
        </w:tc>
      </w:tr>
      <w:tr w:rsidR="004F1414" w:rsidTr="00A42DE0">
        <w:trPr>
          <w:cantSplit/>
        </w:trPr>
        <w:tc>
          <w:tcPr>
            <w:tcW w:w="2680" w:type="dxa"/>
            <w:tcBorders>
              <w:top w:val="nil"/>
              <w:left w:val="single" w:color="auto" w:sz="8" w:space="0"/>
              <w:bottom w:val="single" w:color="auto" w:sz="8" w:space="0"/>
              <w:right w:val="single" w:color="auto" w:sz="8" w:space="0"/>
            </w:tcBorders>
            <w:shd w:val="clear" w:color="auto" w:fill="auto"/>
            <w:vAlign w:val="center"/>
            <w:hideMark/>
          </w:tcPr>
          <w:p w:rsidR="004F1414" w:rsidRDefault="004F1414">
            <w:pPr>
              <w:rPr>
                <w:color w:val="000000"/>
              </w:rPr>
            </w:pPr>
            <w:r>
              <w:rPr>
                <w:color w:val="000000"/>
              </w:rPr>
              <w:t>CAHPS</w:t>
            </w:r>
            <w:r>
              <w:rPr>
                <w:color w:val="000000"/>
                <w:vertAlign w:val="superscript"/>
              </w:rPr>
              <w:t>®</w:t>
            </w:r>
            <w:r>
              <w:rPr>
                <w:color w:val="000000"/>
              </w:rPr>
              <w:t xml:space="preserve"> Hospice Survey</w:t>
            </w:r>
          </w:p>
        </w:tc>
        <w:tc>
          <w:tcPr>
            <w:tcW w:w="2680" w:type="dxa"/>
            <w:tcBorders>
              <w:top w:val="nil"/>
              <w:left w:val="nil"/>
              <w:bottom w:val="single" w:color="auto" w:sz="8" w:space="0"/>
              <w:right w:val="single" w:color="auto" w:sz="8" w:space="0"/>
            </w:tcBorders>
            <w:shd w:val="clear" w:color="auto" w:fill="auto"/>
            <w:vAlign w:val="center"/>
            <w:hideMark/>
          </w:tcPr>
          <w:p w:rsidRPr="00A77903" w:rsidR="004F1414" w:rsidP="009D6FC2" w:rsidRDefault="00A62F16">
            <w:pPr>
              <w:jc w:val="center"/>
              <w:rPr>
                <w:color w:val="000000"/>
              </w:rPr>
            </w:pPr>
            <w:r>
              <w:rPr>
                <w:color w:val="000000"/>
              </w:rPr>
              <w:t>1,032,004</w:t>
            </w:r>
          </w:p>
        </w:tc>
        <w:tc>
          <w:tcPr>
            <w:tcW w:w="2680" w:type="dxa"/>
            <w:tcBorders>
              <w:top w:val="nil"/>
              <w:left w:val="nil"/>
              <w:bottom w:val="single" w:color="auto" w:sz="8" w:space="0"/>
              <w:right w:val="single" w:color="auto" w:sz="8" w:space="0"/>
            </w:tcBorders>
            <w:shd w:val="clear" w:color="auto" w:fill="auto"/>
            <w:vAlign w:val="center"/>
            <w:hideMark/>
          </w:tcPr>
          <w:p w:rsidRPr="00A77903" w:rsidR="004F1414" w:rsidRDefault="004F1414">
            <w:pPr>
              <w:jc w:val="center"/>
              <w:rPr>
                <w:color w:val="000000"/>
              </w:rPr>
            </w:pPr>
            <w:r w:rsidRPr="00A77903">
              <w:rPr>
                <w:color w:val="000000"/>
              </w:rPr>
              <w:t>1</w:t>
            </w:r>
          </w:p>
        </w:tc>
        <w:tc>
          <w:tcPr>
            <w:tcW w:w="2680" w:type="dxa"/>
            <w:tcBorders>
              <w:top w:val="nil"/>
              <w:left w:val="nil"/>
              <w:bottom w:val="single" w:color="auto" w:sz="8" w:space="0"/>
              <w:right w:val="single" w:color="auto" w:sz="8" w:space="0"/>
            </w:tcBorders>
            <w:shd w:val="clear" w:color="auto" w:fill="auto"/>
            <w:vAlign w:val="center"/>
            <w:hideMark/>
          </w:tcPr>
          <w:p w:rsidRPr="00A77903" w:rsidR="004F1414" w:rsidP="0077694B" w:rsidRDefault="004F1414">
            <w:pPr>
              <w:jc w:val="center"/>
              <w:rPr>
                <w:color w:val="000000"/>
              </w:rPr>
            </w:pPr>
            <w:r w:rsidRPr="00A77903">
              <w:rPr>
                <w:color w:val="000000"/>
              </w:rPr>
              <w:t>0.17</w:t>
            </w:r>
            <w:r w:rsidRPr="00A77903" w:rsidR="0077694B">
              <w:rPr>
                <w:color w:val="000000"/>
              </w:rPr>
              <w:t>4</w:t>
            </w:r>
          </w:p>
        </w:tc>
        <w:tc>
          <w:tcPr>
            <w:tcW w:w="2680" w:type="dxa"/>
            <w:tcBorders>
              <w:top w:val="nil"/>
              <w:left w:val="nil"/>
              <w:bottom w:val="single" w:color="auto" w:sz="8" w:space="0"/>
              <w:right w:val="single" w:color="auto" w:sz="8" w:space="0"/>
            </w:tcBorders>
            <w:shd w:val="clear" w:color="auto" w:fill="auto"/>
            <w:vAlign w:val="center"/>
            <w:hideMark/>
          </w:tcPr>
          <w:p w:rsidRPr="00A77903" w:rsidR="004F1414" w:rsidP="009D6FC2" w:rsidRDefault="00A62F16">
            <w:pPr>
              <w:jc w:val="center"/>
              <w:rPr>
                <w:color w:val="000000"/>
              </w:rPr>
            </w:pPr>
            <w:r>
              <w:rPr>
                <w:color w:val="000000"/>
              </w:rPr>
              <w:t>180,004.43</w:t>
            </w:r>
          </w:p>
        </w:tc>
      </w:tr>
      <w:tr w:rsidR="004F1414" w:rsidTr="00A42DE0">
        <w:trPr>
          <w:cantSplit/>
        </w:trPr>
        <w:tc>
          <w:tcPr>
            <w:tcW w:w="2680" w:type="dxa"/>
            <w:tcBorders>
              <w:top w:val="nil"/>
              <w:left w:val="single" w:color="auto" w:sz="8" w:space="0"/>
              <w:bottom w:val="single" w:color="auto" w:sz="8" w:space="0"/>
              <w:right w:val="single" w:color="auto" w:sz="8" w:space="0"/>
            </w:tcBorders>
            <w:shd w:val="clear" w:color="auto" w:fill="auto"/>
            <w:vAlign w:val="center"/>
            <w:hideMark/>
          </w:tcPr>
          <w:p w:rsidR="004F1414" w:rsidRDefault="004F1414">
            <w:pPr>
              <w:jc w:val="right"/>
              <w:rPr>
                <w:b/>
                <w:bCs/>
                <w:color w:val="000000"/>
              </w:rPr>
            </w:pPr>
            <w:r>
              <w:rPr>
                <w:b/>
                <w:bCs/>
                <w:color w:val="000000"/>
                <w:szCs w:val="20"/>
              </w:rPr>
              <w:t>Total</w:t>
            </w:r>
          </w:p>
        </w:tc>
        <w:tc>
          <w:tcPr>
            <w:tcW w:w="2680" w:type="dxa"/>
            <w:tcBorders>
              <w:top w:val="nil"/>
              <w:left w:val="nil"/>
              <w:bottom w:val="single" w:color="auto" w:sz="8" w:space="0"/>
              <w:right w:val="single" w:color="auto" w:sz="8" w:space="0"/>
            </w:tcBorders>
            <w:shd w:val="clear" w:color="auto" w:fill="auto"/>
            <w:vAlign w:val="center"/>
            <w:hideMark/>
          </w:tcPr>
          <w:p w:rsidRPr="00A77903" w:rsidR="004F1414" w:rsidP="009D6FC2" w:rsidRDefault="00A62F16">
            <w:pPr>
              <w:jc w:val="center"/>
              <w:rPr>
                <w:color w:val="000000"/>
              </w:rPr>
            </w:pPr>
            <w:r>
              <w:rPr>
                <w:color w:val="000000"/>
              </w:rPr>
              <w:t>1,032,004</w:t>
            </w:r>
          </w:p>
        </w:tc>
        <w:tc>
          <w:tcPr>
            <w:tcW w:w="2680" w:type="dxa"/>
            <w:tcBorders>
              <w:top w:val="nil"/>
              <w:left w:val="nil"/>
              <w:bottom w:val="single" w:color="auto" w:sz="8" w:space="0"/>
              <w:right w:val="single" w:color="auto" w:sz="8" w:space="0"/>
            </w:tcBorders>
            <w:shd w:val="clear" w:color="auto" w:fill="auto"/>
            <w:vAlign w:val="center"/>
            <w:hideMark/>
          </w:tcPr>
          <w:p w:rsidRPr="00A77903" w:rsidR="004F1414" w:rsidRDefault="004F1414">
            <w:pPr>
              <w:jc w:val="center"/>
              <w:rPr>
                <w:color w:val="000000"/>
              </w:rPr>
            </w:pPr>
            <w:r w:rsidRPr="00A77903">
              <w:rPr>
                <w:color w:val="000000"/>
              </w:rPr>
              <w:t>1</w:t>
            </w:r>
          </w:p>
        </w:tc>
        <w:tc>
          <w:tcPr>
            <w:tcW w:w="2680" w:type="dxa"/>
            <w:tcBorders>
              <w:top w:val="nil"/>
              <w:left w:val="nil"/>
              <w:bottom w:val="single" w:color="auto" w:sz="8" w:space="0"/>
              <w:right w:val="single" w:color="auto" w:sz="8" w:space="0"/>
            </w:tcBorders>
            <w:shd w:val="clear" w:color="auto" w:fill="auto"/>
            <w:vAlign w:val="center"/>
            <w:hideMark/>
          </w:tcPr>
          <w:p w:rsidRPr="00A77903" w:rsidR="004F1414" w:rsidRDefault="004F1414">
            <w:pPr>
              <w:jc w:val="center"/>
              <w:rPr>
                <w:color w:val="000000"/>
              </w:rPr>
            </w:pPr>
            <w:r w:rsidRPr="00A77903">
              <w:rPr>
                <w:color w:val="000000"/>
              </w:rPr>
              <w:t>0.17</w:t>
            </w:r>
            <w:r w:rsidRPr="00A77903" w:rsidR="0077694B">
              <w:rPr>
                <w:color w:val="000000"/>
              </w:rPr>
              <w:t>4</w:t>
            </w:r>
          </w:p>
        </w:tc>
        <w:tc>
          <w:tcPr>
            <w:tcW w:w="2680" w:type="dxa"/>
            <w:tcBorders>
              <w:top w:val="nil"/>
              <w:left w:val="nil"/>
              <w:bottom w:val="single" w:color="auto" w:sz="8" w:space="0"/>
              <w:right w:val="single" w:color="auto" w:sz="8" w:space="0"/>
            </w:tcBorders>
            <w:shd w:val="clear" w:color="auto" w:fill="auto"/>
            <w:vAlign w:val="center"/>
            <w:hideMark/>
          </w:tcPr>
          <w:p w:rsidRPr="00A77903" w:rsidR="004F1414" w:rsidRDefault="00A62F16">
            <w:pPr>
              <w:jc w:val="center"/>
              <w:rPr>
                <w:color w:val="000000"/>
              </w:rPr>
            </w:pPr>
            <w:r>
              <w:rPr>
                <w:color w:val="000000"/>
              </w:rPr>
              <w:t>180,004.43</w:t>
            </w:r>
          </w:p>
        </w:tc>
      </w:tr>
    </w:tbl>
    <w:p w:rsidR="00F422C9" w:rsidP="00A67DE5" w:rsidRDefault="00F422C9">
      <w:pPr>
        <w:rPr>
          <w:color w:val="000000"/>
        </w:rPr>
      </w:pPr>
    </w:p>
    <w:p w:rsidRPr="00607C67" w:rsidR="00E77D8B" w:rsidP="00F43712" w:rsidRDefault="00E77D8B">
      <w:pPr>
        <w:rPr>
          <w:bCs/>
          <w:color w:val="000000"/>
        </w:rPr>
      </w:pPr>
      <w:r w:rsidRPr="00607C67">
        <w:rPr>
          <w:bCs/>
          <w:color w:val="000000"/>
        </w:rPr>
        <w:t xml:space="preserve">Table </w:t>
      </w:r>
      <w:r>
        <w:rPr>
          <w:bCs/>
          <w:color w:val="000000"/>
        </w:rPr>
        <w:t>2</w:t>
      </w:r>
      <w:r w:rsidRPr="00607C67">
        <w:rPr>
          <w:bCs/>
          <w:color w:val="000000"/>
        </w:rPr>
        <w:t xml:space="preserve"> shows the cost burden to respondents associated with their time to complete a survey as part of national implementation. </w:t>
      </w:r>
      <w:r>
        <w:rPr>
          <w:bCs/>
          <w:color w:val="000000"/>
        </w:rPr>
        <w:t xml:space="preserve"> </w:t>
      </w:r>
      <w:r w:rsidRPr="00607C67">
        <w:rPr>
          <w:bCs/>
          <w:color w:val="000000"/>
        </w:rPr>
        <w:t xml:space="preserve">The annual total cost burden is estimated to be </w:t>
      </w:r>
      <w:r w:rsidRPr="00A77903">
        <w:rPr>
          <w:color w:val="000000"/>
        </w:rPr>
        <w:t>$</w:t>
      </w:r>
      <w:r w:rsidR="00A62F16">
        <w:rPr>
          <w:color w:val="000000"/>
        </w:rPr>
        <w:t>10,145,049.73</w:t>
      </w:r>
      <w:r w:rsidRPr="00A77903">
        <w:rPr>
          <w:color w:val="000000"/>
        </w:rPr>
        <w:t>.</w:t>
      </w:r>
      <w:r w:rsidRPr="00607C67">
        <w:rPr>
          <w:color w:val="000000"/>
        </w:rPr>
        <w:t xml:space="preserve">  This estimate is higher than the </w:t>
      </w:r>
      <w:r w:rsidRPr="00607C67">
        <w:rPr>
          <w:bCs/>
          <w:color w:val="000000"/>
        </w:rPr>
        <w:t>$</w:t>
      </w:r>
      <w:r w:rsidRPr="00A77903" w:rsidR="00A62F16">
        <w:rPr>
          <w:color w:val="000000"/>
        </w:rPr>
        <w:t>7,710,481.60</w:t>
      </w:r>
      <w:r w:rsidRPr="00607C67">
        <w:rPr>
          <w:bCs/>
          <w:color w:val="000000"/>
        </w:rPr>
        <w:t>estimated in the prior OMB filing, due to the increased number of hospices participating (and corresponding</w:t>
      </w:r>
      <w:r>
        <w:rPr>
          <w:bCs/>
          <w:color w:val="000000"/>
        </w:rPr>
        <w:t>ly</w:t>
      </w:r>
      <w:r w:rsidRPr="00607C67">
        <w:rPr>
          <w:bCs/>
          <w:color w:val="000000"/>
        </w:rPr>
        <w:t xml:space="preserve">, the increased number of respondents), as well as an increase in the average hourly rate.  </w:t>
      </w:r>
    </w:p>
    <w:p w:rsidRPr="00607C67" w:rsidR="00E77D8B" w:rsidP="00E77D8B" w:rsidRDefault="00E77D8B">
      <w:pPr>
        <w:rPr>
          <w:bCs/>
          <w:color w:val="000000"/>
        </w:rPr>
      </w:pPr>
    </w:p>
    <w:p w:rsidRPr="00607C67" w:rsidR="00E77D8B" w:rsidP="00E77D8B" w:rsidRDefault="00E77D8B">
      <w:pPr>
        <w:keepNext/>
        <w:rPr>
          <w:b/>
          <w:color w:val="000000"/>
        </w:rPr>
      </w:pPr>
      <w:r w:rsidRPr="00607C67">
        <w:rPr>
          <w:b/>
          <w:color w:val="000000"/>
        </w:rPr>
        <w:t xml:space="preserve">Table </w:t>
      </w:r>
      <w:r>
        <w:rPr>
          <w:b/>
          <w:color w:val="000000"/>
        </w:rPr>
        <w:t>2</w:t>
      </w:r>
      <w:r w:rsidRPr="00607C67">
        <w:rPr>
          <w:b/>
          <w:color w:val="000000"/>
        </w:rPr>
        <w:t xml:space="preserve">. Estimated Annualized Cost Burden </w:t>
      </w:r>
      <w:r w:rsidRPr="00607C67">
        <w:rPr>
          <w:b/>
          <w:bCs/>
          <w:color w:val="000000"/>
        </w:rPr>
        <w:t>for Respondents</w:t>
      </w:r>
      <w:r w:rsidRPr="00607C67">
        <w:rPr>
          <w:b/>
          <w:color w:val="000000"/>
        </w:rPr>
        <w:t>: National Implementation</w:t>
      </w:r>
    </w:p>
    <w:tbl>
      <w:tblPr>
        <w:tblW w:w="8550" w:type="dxa"/>
        <w:tblInd w:w="108" w:type="dxa"/>
        <w:tblLayout w:type="fixed"/>
        <w:tblLook w:val="04A0" w:firstRow="1" w:lastRow="0" w:firstColumn="1" w:lastColumn="0" w:noHBand="0" w:noVBand="1"/>
      </w:tblPr>
      <w:tblGrid>
        <w:gridCol w:w="1260"/>
        <w:gridCol w:w="1776"/>
        <w:gridCol w:w="1824"/>
        <w:gridCol w:w="1530"/>
        <w:gridCol w:w="2160"/>
      </w:tblGrid>
      <w:tr w:rsidRPr="00607C67" w:rsidR="00E77D8B" w:rsidTr="00AE74F0">
        <w:trPr>
          <w:trHeight w:val="1572"/>
        </w:trPr>
        <w:tc>
          <w:tcPr>
            <w:tcW w:w="12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07C67" w:rsidR="00E77D8B" w:rsidP="00AE74F0" w:rsidRDefault="00E77D8B">
            <w:pPr>
              <w:jc w:val="center"/>
              <w:rPr>
                <w:b/>
                <w:bCs/>
                <w:color w:val="000000"/>
              </w:rPr>
            </w:pPr>
            <w:r w:rsidRPr="00607C67">
              <w:rPr>
                <w:b/>
                <w:bCs/>
                <w:color w:val="000000"/>
              </w:rPr>
              <w:t>Form Name</w:t>
            </w:r>
          </w:p>
        </w:tc>
        <w:tc>
          <w:tcPr>
            <w:tcW w:w="1776" w:type="dxa"/>
            <w:tcBorders>
              <w:top w:val="single" w:color="auto" w:sz="8" w:space="0"/>
              <w:left w:val="nil"/>
              <w:bottom w:val="single" w:color="auto" w:sz="8" w:space="0"/>
              <w:right w:val="single" w:color="auto" w:sz="8" w:space="0"/>
            </w:tcBorders>
            <w:shd w:val="clear" w:color="auto" w:fill="auto"/>
            <w:vAlign w:val="center"/>
            <w:hideMark/>
          </w:tcPr>
          <w:p w:rsidRPr="00607C67" w:rsidR="00E77D8B" w:rsidP="00AE74F0" w:rsidRDefault="00E77D8B">
            <w:pPr>
              <w:jc w:val="center"/>
              <w:rPr>
                <w:b/>
                <w:bCs/>
                <w:color w:val="000000"/>
              </w:rPr>
            </w:pPr>
            <w:r w:rsidRPr="00607C67">
              <w:rPr>
                <w:b/>
                <w:bCs/>
                <w:color w:val="000000"/>
              </w:rPr>
              <w:t>Number of Respondents</w:t>
            </w:r>
          </w:p>
        </w:tc>
        <w:tc>
          <w:tcPr>
            <w:tcW w:w="1824" w:type="dxa"/>
            <w:tcBorders>
              <w:top w:val="single" w:color="auto" w:sz="8" w:space="0"/>
              <w:left w:val="nil"/>
              <w:bottom w:val="single" w:color="auto" w:sz="8" w:space="0"/>
              <w:right w:val="single" w:color="auto" w:sz="8" w:space="0"/>
            </w:tcBorders>
            <w:shd w:val="clear" w:color="auto" w:fill="auto"/>
            <w:vAlign w:val="center"/>
            <w:hideMark/>
          </w:tcPr>
          <w:p w:rsidRPr="00607C67" w:rsidR="00E77D8B" w:rsidP="00AE74F0" w:rsidRDefault="00E77D8B">
            <w:pPr>
              <w:jc w:val="center"/>
              <w:rPr>
                <w:b/>
                <w:bCs/>
                <w:color w:val="000000"/>
              </w:rPr>
            </w:pPr>
            <w:r w:rsidRPr="00607C67">
              <w:rPr>
                <w:b/>
                <w:bCs/>
                <w:color w:val="000000"/>
              </w:rPr>
              <w:t>Total Burden Hours</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607C67" w:rsidR="00E77D8B" w:rsidP="00AE74F0" w:rsidRDefault="00E77D8B">
            <w:pPr>
              <w:jc w:val="center"/>
              <w:rPr>
                <w:b/>
                <w:bCs/>
                <w:color w:val="000000"/>
              </w:rPr>
            </w:pPr>
            <w:r w:rsidRPr="00607C67">
              <w:rPr>
                <w:b/>
                <w:bCs/>
                <w:color w:val="000000"/>
              </w:rPr>
              <w:t>Average Hourly Wage Rate*</w:t>
            </w:r>
          </w:p>
        </w:tc>
        <w:tc>
          <w:tcPr>
            <w:tcW w:w="2160" w:type="dxa"/>
            <w:tcBorders>
              <w:top w:val="single" w:color="auto" w:sz="8" w:space="0"/>
              <w:left w:val="nil"/>
              <w:bottom w:val="single" w:color="auto" w:sz="8" w:space="0"/>
              <w:right w:val="single" w:color="auto" w:sz="8" w:space="0"/>
            </w:tcBorders>
            <w:shd w:val="clear" w:color="auto" w:fill="auto"/>
            <w:vAlign w:val="center"/>
            <w:hideMark/>
          </w:tcPr>
          <w:p w:rsidRPr="00607C67" w:rsidR="00E77D8B" w:rsidP="00AE74F0" w:rsidRDefault="00E77D8B">
            <w:pPr>
              <w:jc w:val="center"/>
              <w:rPr>
                <w:b/>
                <w:bCs/>
                <w:color w:val="000000"/>
              </w:rPr>
            </w:pPr>
            <w:r w:rsidRPr="00607C67">
              <w:rPr>
                <w:b/>
                <w:bCs/>
                <w:color w:val="000000"/>
              </w:rPr>
              <w:t>Total Cost Burden</w:t>
            </w:r>
          </w:p>
        </w:tc>
      </w:tr>
      <w:tr w:rsidRPr="00607C67" w:rsidR="00E77D8B" w:rsidTr="00AE74F0">
        <w:trPr>
          <w:trHeight w:val="1320"/>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607C67" w:rsidR="00E77D8B" w:rsidP="00AE74F0" w:rsidRDefault="00E77D8B">
            <w:pPr>
              <w:jc w:val="center"/>
              <w:rPr>
                <w:color w:val="000000"/>
              </w:rPr>
            </w:pPr>
            <w:r w:rsidRPr="00607C67">
              <w:rPr>
                <w:color w:val="000000"/>
              </w:rPr>
              <w:t>CAHPS</w:t>
            </w:r>
            <w:r w:rsidRPr="00607C67">
              <w:rPr>
                <w:color w:val="000000"/>
                <w:vertAlign w:val="superscript"/>
              </w:rPr>
              <w:t>®</w:t>
            </w:r>
            <w:r w:rsidRPr="00607C67">
              <w:rPr>
                <w:color w:val="000000"/>
              </w:rPr>
              <w:t xml:space="preserve"> Hospice Survey</w:t>
            </w:r>
          </w:p>
        </w:tc>
        <w:tc>
          <w:tcPr>
            <w:tcW w:w="1776" w:type="dxa"/>
            <w:tcBorders>
              <w:top w:val="nil"/>
              <w:left w:val="nil"/>
              <w:bottom w:val="single" w:color="auto" w:sz="8" w:space="0"/>
              <w:right w:val="single" w:color="auto" w:sz="8" w:space="0"/>
            </w:tcBorders>
            <w:shd w:val="clear" w:color="auto" w:fill="auto"/>
            <w:vAlign w:val="center"/>
            <w:hideMark/>
          </w:tcPr>
          <w:p w:rsidRPr="00A77903" w:rsidR="00E77D8B" w:rsidP="00AE74F0" w:rsidRDefault="00A62F16">
            <w:pPr>
              <w:jc w:val="center"/>
              <w:rPr>
                <w:color w:val="000000"/>
              </w:rPr>
            </w:pPr>
            <w:r>
              <w:rPr>
                <w:color w:val="000000"/>
              </w:rPr>
              <w:t>1,032,004</w:t>
            </w:r>
          </w:p>
        </w:tc>
        <w:tc>
          <w:tcPr>
            <w:tcW w:w="1824" w:type="dxa"/>
            <w:tcBorders>
              <w:top w:val="nil"/>
              <w:left w:val="nil"/>
              <w:bottom w:val="single" w:color="auto" w:sz="8" w:space="0"/>
              <w:right w:val="single" w:color="auto" w:sz="8" w:space="0"/>
            </w:tcBorders>
            <w:shd w:val="clear" w:color="auto" w:fill="auto"/>
            <w:noWrap/>
            <w:vAlign w:val="center"/>
            <w:hideMark/>
          </w:tcPr>
          <w:p w:rsidRPr="00A77903" w:rsidR="00E77D8B" w:rsidP="00AE74F0" w:rsidRDefault="00A62F16">
            <w:pPr>
              <w:jc w:val="center"/>
              <w:rPr>
                <w:color w:val="000000"/>
              </w:rPr>
            </w:pPr>
            <w:r>
              <w:rPr>
                <w:color w:val="000000"/>
              </w:rPr>
              <w:t>180,004.43</w:t>
            </w:r>
          </w:p>
        </w:tc>
        <w:tc>
          <w:tcPr>
            <w:tcW w:w="1530" w:type="dxa"/>
            <w:tcBorders>
              <w:top w:val="nil"/>
              <w:left w:val="nil"/>
              <w:bottom w:val="single" w:color="auto" w:sz="8" w:space="0"/>
              <w:right w:val="single" w:color="auto" w:sz="8" w:space="0"/>
            </w:tcBorders>
            <w:shd w:val="clear" w:color="auto" w:fill="auto"/>
            <w:vAlign w:val="center"/>
            <w:hideMark/>
          </w:tcPr>
          <w:p w:rsidRPr="00A77903" w:rsidR="00E77D8B" w:rsidP="000B5EF7" w:rsidRDefault="00E77D8B">
            <w:pPr>
              <w:jc w:val="center"/>
              <w:rPr>
                <w:color w:val="000000"/>
              </w:rPr>
            </w:pPr>
            <w:r w:rsidRPr="00A77903">
              <w:rPr>
                <w:color w:val="000000"/>
              </w:rPr>
              <w:t>$</w:t>
            </w:r>
            <w:r w:rsidRPr="00A77903" w:rsidR="000B5EF7">
              <w:rPr>
                <w:color w:val="000000"/>
              </w:rPr>
              <w:t>56.36</w:t>
            </w:r>
            <w:r w:rsidRPr="00A77903">
              <w:rPr>
                <w:color w:val="000000"/>
              </w:rPr>
              <w:t>*</w:t>
            </w:r>
          </w:p>
        </w:tc>
        <w:tc>
          <w:tcPr>
            <w:tcW w:w="2160" w:type="dxa"/>
            <w:tcBorders>
              <w:top w:val="nil"/>
              <w:left w:val="nil"/>
              <w:bottom w:val="single" w:color="auto" w:sz="8" w:space="0"/>
              <w:right w:val="single" w:color="auto" w:sz="8" w:space="0"/>
            </w:tcBorders>
            <w:shd w:val="clear" w:color="auto" w:fill="auto"/>
            <w:vAlign w:val="center"/>
            <w:hideMark/>
          </w:tcPr>
          <w:p w:rsidRPr="00A77903" w:rsidR="00E77D8B" w:rsidP="00A97DF6" w:rsidRDefault="00E77D8B">
            <w:pPr>
              <w:jc w:val="center"/>
              <w:rPr>
                <w:color w:val="000000"/>
              </w:rPr>
            </w:pPr>
            <w:r w:rsidRPr="00A77903">
              <w:rPr>
                <w:color w:val="000000"/>
              </w:rPr>
              <w:t>$</w:t>
            </w:r>
            <w:r w:rsidR="00A62F16">
              <w:rPr>
                <w:color w:val="000000"/>
              </w:rPr>
              <w:t>10,145,049.73</w:t>
            </w:r>
          </w:p>
        </w:tc>
      </w:tr>
      <w:tr w:rsidRPr="00607C67" w:rsidR="00E77D8B" w:rsidTr="00AE74F0">
        <w:trPr>
          <w:trHeight w:val="324"/>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607C67" w:rsidR="00E77D8B" w:rsidP="00AE74F0" w:rsidRDefault="00E77D8B">
            <w:pPr>
              <w:jc w:val="center"/>
              <w:rPr>
                <w:b/>
                <w:bCs/>
                <w:color w:val="000000"/>
              </w:rPr>
            </w:pPr>
            <w:r w:rsidRPr="00607C67">
              <w:rPr>
                <w:b/>
                <w:bCs/>
                <w:color w:val="000000"/>
              </w:rPr>
              <w:lastRenderedPageBreak/>
              <w:t>Total</w:t>
            </w:r>
          </w:p>
        </w:tc>
        <w:tc>
          <w:tcPr>
            <w:tcW w:w="1776" w:type="dxa"/>
            <w:tcBorders>
              <w:top w:val="nil"/>
              <w:left w:val="nil"/>
              <w:bottom w:val="single" w:color="auto" w:sz="8" w:space="0"/>
              <w:right w:val="single" w:color="auto" w:sz="8" w:space="0"/>
            </w:tcBorders>
            <w:shd w:val="clear" w:color="auto" w:fill="auto"/>
            <w:vAlign w:val="center"/>
            <w:hideMark/>
          </w:tcPr>
          <w:p w:rsidRPr="00A77903" w:rsidR="00E77D8B" w:rsidP="00AE74F0" w:rsidRDefault="00A62F16">
            <w:pPr>
              <w:jc w:val="center"/>
              <w:rPr>
                <w:color w:val="000000"/>
              </w:rPr>
            </w:pPr>
            <w:r>
              <w:rPr>
                <w:color w:val="000000"/>
              </w:rPr>
              <w:t>1,032,004</w:t>
            </w:r>
          </w:p>
        </w:tc>
        <w:tc>
          <w:tcPr>
            <w:tcW w:w="1824" w:type="dxa"/>
            <w:tcBorders>
              <w:top w:val="nil"/>
              <w:left w:val="nil"/>
              <w:bottom w:val="single" w:color="auto" w:sz="8" w:space="0"/>
              <w:right w:val="single" w:color="auto" w:sz="8" w:space="0"/>
            </w:tcBorders>
            <w:shd w:val="clear" w:color="auto" w:fill="auto"/>
            <w:noWrap/>
            <w:vAlign w:val="center"/>
            <w:hideMark/>
          </w:tcPr>
          <w:p w:rsidRPr="00A77903" w:rsidR="00E77D8B" w:rsidP="00AE74F0" w:rsidRDefault="00A62F16">
            <w:pPr>
              <w:jc w:val="center"/>
              <w:rPr>
                <w:color w:val="000000"/>
              </w:rPr>
            </w:pPr>
            <w:r>
              <w:rPr>
                <w:color w:val="000000"/>
              </w:rPr>
              <w:t>180,004.43</w:t>
            </w:r>
          </w:p>
        </w:tc>
        <w:tc>
          <w:tcPr>
            <w:tcW w:w="1530" w:type="dxa"/>
            <w:tcBorders>
              <w:top w:val="nil"/>
              <w:left w:val="nil"/>
              <w:bottom w:val="single" w:color="auto" w:sz="8" w:space="0"/>
              <w:right w:val="single" w:color="auto" w:sz="8" w:space="0"/>
            </w:tcBorders>
            <w:shd w:val="clear" w:color="auto" w:fill="auto"/>
            <w:vAlign w:val="center"/>
            <w:hideMark/>
          </w:tcPr>
          <w:p w:rsidRPr="00A77903" w:rsidR="00E77D8B" w:rsidP="000B5EF7" w:rsidRDefault="00E77D8B">
            <w:pPr>
              <w:jc w:val="center"/>
              <w:rPr>
                <w:color w:val="000000"/>
              </w:rPr>
            </w:pPr>
            <w:r w:rsidRPr="00A77903">
              <w:rPr>
                <w:color w:val="000000"/>
              </w:rPr>
              <w:t>$</w:t>
            </w:r>
            <w:r w:rsidRPr="00A77903" w:rsidR="000B5EF7">
              <w:rPr>
                <w:color w:val="000000"/>
              </w:rPr>
              <w:t>56.36</w:t>
            </w:r>
            <w:r w:rsidRPr="00A77903">
              <w:rPr>
                <w:color w:val="000000"/>
              </w:rPr>
              <w:t>*</w:t>
            </w:r>
          </w:p>
        </w:tc>
        <w:tc>
          <w:tcPr>
            <w:tcW w:w="2160" w:type="dxa"/>
            <w:tcBorders>
              <w:top w:val="nil"/>
              <w:left w:val="nil"/>
              <w:bottom w:val="single" w:color="auto" w:sz="8" w:space="0"/>
              <w:right w:val="single" w:color="auto" w:sz="8" w:space="0"/>
            </w:tcBorders>
            <w:shd w:val="clear" w:color="auto" w:fill="auto"/>
            <w:vAlign w:val="center"/>
            <w:hideMark/>
          </w:tcPr>
          <w:p w:rsidRPr="00A77903" w:rsidR="00E77D8B" w:rsidP="00A97DF6" w:rsidRDefault="00E77D8B">
            <w:pPr>
              <w:jc w:val="center"/>
              <w:rPr>
                <w:color w:val="000000"/>
              </w:rPr>
            </w:pPr>
            <w:r w:rsidRPr="00A77903">
              <w:rPr>
                <w:color w:val="000000"/>
              </w:rPr>
              <w:t>$</w:t>
            </w:r>
            <w:r w:rsidR="00A62F16">
              <w:rPr>
                <w:color w:val="000000"/>
              </w:rPr>
              <w:t>10,145,049.73</w:t>
            </w:r>
          </w:p>
        </w:tc>
      </w:tr>
    </w:tbl>
    <w:p w:rsidR="00E77D8B" w:rsidP="00E77D8B" w:rsidRDefault="00E77D8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18"/>
          <w:szCs w:val="18"/>
        </w:rPr>
      </w:pPr>
      <w:r w:rsidRPr="007407CA">
        <w:rPr>
          <w:color w:val="000000"/>
          <w:sz w:val="18"/>
          <w:szCs w:val="18"/>
        </w:rPr>
        <w:t>*</w:t>
      </w:r>
      <w:r w:rsidRPr="007407CA">
        <w:rPr>
          <w:sz w:val="18"/>
          <w:szCs w:val="18"/>
        </w:rPr>
        <w:t xml:space="preserve"> </w:t>
      </w:r>
      <w:r>
        <w:rPr>
          <w:sz w:val="18"/>
          <w:szCs w:val="18"/>
        </w:rPr>
        <w:t>Source:  D</w:t>
      </w:r>
      <w:r w:rsidRPr="00A75DFF">
        <w:rPr>
          <w:sz w:val="18"/>
          <w:szCs w:val="18"/>
        </w:rPr>
        <w:t xml:space="preserve">ata from the U.S. Bureau of Labor Statistics’ </w:t>
      </w:r>
      <w:r w:rsidR="000B5EF7">
        <w:rPr>
          <w:sz w:val="18"/>
          <w:szCs w:val="18"/>
        </w:rPr>
        <w:t>November 2019</w:t>
      </w:r>
      <w:r w:rsidRPr="00A75DFF">
        <w:rPr>
          <w:sz w:val="18"/>
          <w:szCs w:val="18"/>
        </w:rPr>
        <w:t xml:space="preserve"> National Occupational Employment and Wage Estimates for all salary estimates</w:t>
      </w:r>
      <w:r w:rsidR="00211422">
        <w:rPr>
          <w:sz w:val="18"/>
          <w:szCs w:val="18"/>
        </w:rPr>
        <w:t>.</w:t>
      </w:r>
      <w:r>
        <w:rPr>
          <w:sz w:val="18"/>
          <w:szCs w:val="18"/>
        </w:rPr>
        <w:t xml:space="preserve">  This figure includes a 100% fringe benefit on an average wage of </w:t>
      </w:r>
      <w:r w:rsidRPr="000B5EF7" w:rsidR="000B5EF7">
        <w:rPr>
          <w:sz w:val="18"/>
          <w:szCs w:val="18"/>
        </w:rPr>
        <w:t>$28.18</w:t>
      </w:r>
      <w:r>
        <w:rPr>
          <w:sz w:val="18"/>
          <w:szCs w:val="18"/>
        </w:rPr>
        <w:t>.</w:t>
      </w:r>
    </w:p>
    <w:p w:rsidRPr="00211422" w:rsidR="00E77D8B" w:rsidP="00E77D8B" w:rsidRDefault="0021142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eastAsia="Calibri"/>
          <w:sz w:val="18"/>
          <w:szCs w:val="18"/>
        </w:rPr>
      </w:pPr>
      <w:r>
        <w:rPr>
          <w:sz w:val="18"/>
          <w:szCs w:val="18"/>
        </w:rPr>
        <w:t xml:space="preserve">Retrieved from </w:t>
      </w:r>
      <w:hyperlink w:history="1" r:id="rId8">
        <w:r w:rsidRPr="007D70E9" w:rsidR="000B5EF7">
          <w:rPr>
            <w:rStyle w:val="Hyperlink"/>
            <w:rFonts w:eastAsia="Calibri"/>
            <w:bCs/>
            <w:sz w:val="18"/>
            <w:szCs w:val="18"/>
          </w:rPr>
          <w:t>https://www.bls.gov/news.release/em</w:t>
        </w:r>
        <w:r w:rsidRPr="007D70E9" w:rsidR="000B5EF7">
          <w:rPr>
            <w:rStyle w:val="Hyperlink"/>
            <w:rFonts w:eastAsia="Calibri"/>
            <w:bCs/>
            <w:sz w:val="18"/>
            <w:szCs w:val="18"/>
          </w:rPr>
          <w:t>p</w:t>
        </w:r>
        <w:r w:rsidRPr="007D70E9" w:rsidR="000B5EF7">
          <w:rPr>
            <w:rStyle w:val="Hyperlink"/>
            <w:rFonts w:eastAsia="Calibri"/>
            <w:bCs/>
            <w:sz w:val="18"/>
            <w:szCs w:val="18"/>
          </w:rPr>
          <w:t>sit.t19.htm</w:t>
        </w:r>
        <w:r w:rsidRPr="00562088" w:rsidR="000B5EF7">
          <w:rPr>
            <w:rStyle w:val="Hyperlink"/>
            <w:bCs/>
            <w:color w:val="000000"/>
            <w:sz w:val="18"/>
            <w:szCs w:val="18"/>
            <w:u w:val="none"/>
          </w:rPr>
          <w:t xml:space="preserve"> on November 1</w:t>
        </w:r>
      </w:hyperlink>
      <w:r w:rsidR="000B5EF7">
        <w:rPr>
          <w:bCs/>
          <w:color w:val="000000"/>
          <w:sz w:val="18"/>
          <w:szCs w:val="18"/>
        </w:rPr>
        <w:t>, 2019</w:t>
      </w:r>
    </w:p>
    <w:p w:rsidR="00A27D3E" w:rsidP="00BF6932" w:rsidRDefault="00A27D3E">
      <w:pPr>
        <w:autoSpaceDE w:val="0"/>
        <w:autoSpaceDN w:val="0"/>
        <w:adjustRightInd w:val="0"/>
        <w:rPr>
          <w:rFonts w:eastAsia="MS Mincho"/>
          <w:color w:val="000000"/>
        </w:rPr>
      </w:pPr>
      <w:bookmarkStart w:name="_Toc383511904" w:id="15"/>
    </w:p>
    <w:p w:rsidR="0085101C" w:rsidP="00BF6932" w:rsidRDefault="00F1053E">
      <w:pPr>
        <w:autoSpaceDE w:val="0"/>
        <w:autoSpaceDN w:val="0"/>
        <w:adjustRightInd w:val="0"/>
        <w:rPr>
          <w:rFonts w:eastAsia="MS Mincho"/>
          <w:color w:val="000000"/>
        </w:rPr>
      </w:pPr>
      <w:r>
        <w:rPr>
          <w:rFonts w:eastAsia="MS Mincho"/>
          <w:color w:val="000000"/>
        </w:rPr>
        <w:t xml:space="preserve">In addition to respondent burden, </w:t>
      </w:r>
      <w:r w:rsidR="0085101C">
        <w:rPr>
          <w:rFonts w:eastAsia="MS Mincho"/>
          <w:color w:val="000000"/>
        </w:rPr>
        <w:t xml:space="preserve">both </w:t>
      </w:r>
      <w:r>
        <w:rPr>
          <w:rFonts w:eastAsia="MS Mincho"/>
          <w:color w:val="000000"/>
        </w:rPr>
        <w:t xml:space="preserve">hospices </w:t>
      </w:r>
      <w:r w:rsidR="00BF6932">
        <w:rPr>
          <w:rFonts w:eastAsia="MS Mincho"/>
          <w:color w:val="000000"/>
        </w:rPr>
        <w:t>required to participate in national implementation of the survey</w:t>
      </w:r>
      <w:r w:rsidR="0085101C">
        <w:rPr>
          <w:rFonts w:eastAsia="MS Mincho"/>
          <w:color w:val="000000"/>
        </w:rPr>
        <w:t>, and those exempted from participation,</w:t>
      </w:r>
      <w:r w:rsidR="00BF6932">
        <w:rPr>
          <w:rFonts w:eastAsia="MS Mincho"/>
          <w:color w:val="000000"/>
        </w:rPr>
        <w:t xml:space="preserve"> </w:t>
      </w:r>
      <w:r>
        <w:rPr>
          <w:rFonts w:eastAsia="MS Mincho"/>
          <w:color w:val="000000"/>
        </w:rPr>
        <w:t xml:space="preserve">will face a burden.  </w:t>
      </w:r>
    </w:p>
    <w:p w:rsidR="0085101C" w:rsidP="00BF6932" w:rsidRDefault="0085101C">
      <w:pPr>
        <w:autoSpaceDE w:val="0"/>
        <w:autoSpaceDN w:val="0"/>
        <w:adjustRightInd w:val="0"/>
        <w:rPr>
          <w:rFonts w:eastAsia="MS Mincho"/>
          <w:color w:val="000000"/>
        </w:rPr>
      </w:pPr>
    </w:p>
    <w:p w:rsidR="00BF6932" w:rsidP="00BF6932" w:rsidRDefault="00F1053E">
      <w:pPr>
        <w:autoSpaceDE w:val="0"/>
        <w:autoSpaceDN w:val="0"/>
        <w:adjustRightInd w:val="0"/>
        <w:rPr>
          <w:rFonts w:eastAsia="MS Mincho"/>
          <w:color w:val="000000"/>
        </w:rPr>
      </w:pPr>
      <w:r>
        <w:t xml:space="preserve">Per CMS’ final rule in </w:t>
      </w:r>
      <w:r w:rsidRPr="00A42DE0">
        <w:t>FY 2014 Hospice Wage Index and Payment Rate Update; Hospice Quality Reporting Requirements; and Updates on Payment Reform</w:t>
      </w:r>
      <w:r w:rsidRPr="00A42DE0" w:rsidR="00E159C9">
        <w:t xml:space="preserve"> and in subsequent</w:t>
      </w:r>
      <w:r w:rsidR="00E159C9">
        <w:t xml:space="preserve"> rules</w:t>
      </w:r>
      <w:r>
        <w:t xml:space="preserve">, hospices with 50 decedents or more in a year </w:t>
      </w:r>
      <w:r w:rsidR="009D6FC2">
        <w:t>are</w:t>
      </w:r>
      <w:r w:rsidR="00BF6932">
        <w:t xml:space="preserve"> required</w:t>
      </w:r>
      <w:r>
        <w:t xml:space="preserve"> </w:t>
      </w:r>
      <w:r w:rsidR="007B0B6A">
        <w:t xml:space="preserve">to </w:t>
      </w:r>
      <w:r>
        <w:t>administ</w:t>
      </w:r>
      <w:r w:rsidR="007B0B6A">
        <w:t>e</w:t>
      </w:r>
      <w:r>
        <w:t>r the CAHPS</w:t>
      </w:r>
      <w:r w:rsidRPr="00EA4C90" w:rsidR="00E203E4">
        <w:rPr>
          <w:vertAlign w:val="superscript"/>
        </w:rPr>
        <w:t>®</w:t>
      </w:r>
      <w:r>
        <w:t xml:space="preserve"> Hospice Survey.  </w:t>
      </w:r>
      <w:r w:rsidR="00BF6932">
        <w:t>The burden to these h</w:t>
      </w:r>
      <w:r>
        <w:rPr>
          <w:rFonts w:eastAsia="MS Mincho"/>
          <w:color w:val="000000"/>
        </w:rPr>
        <w:t xml:space="preserve">ospices </w:t>
      </w:r>
      <w:r w:rsidR="00BF6932">
        <w:rPr>
          <w:rFonts w:eastAsia="MS Mincho"/>
          <w:color w:val="000000"/>
        </w:rPr>
        <w:t>consist</w:t>
      </w:r>
      <w:r w:rsidR="00115537">
        <w:rPr>
          <w:rFonts w:eastAsia="MS Mincho"/>
          <w:color w:val="000000"/>
        </w:rPr>
        <w:t>s</w:t>
      </w:r>
      <w:r w:rsidR="00BF6932">
        <w:rPr>
          <w:rFonts w:eastAsia="MS Mincho"/>
          <w:color w:val="000000"/>
        </w:rPr>
        <w:t xml:space="preserve"> of their </w:t>
      </w:r>
      <w:r w:rsidR="00071379">
        <w:rPr>
          <w:rFonts w:eastAsia="MS Mincho"/>
          <w:color w:val="000000"/>
        </w:rPr>
        <w:t xml:space="preserve">time and effort </w:t>
      </w:r>
      <w:r>
        <w:rPr>
          <w:rFonts w:eastAsia="MS Mincho"/>
          <w:color w:val="000000"/>
        </w:rPr>
        <w:t xml:space="preserve">to </w:t>
      </w:r>
      <w:r w:rsidR="00BF6932">
        <w:rPr>
          <w:rFonts w:eastAsia="MS Mincho"/>
          <w:color w:val="000000"/>
        </w:rPr>
        <w:t xml:space="preserve">prepare and </w:t>
      </w:r>
      <w:r>
        <w:rPr>
          <w:rFonts w:eastAsia="MS Mincho"/>
          <w:color w:val="000000"/>
        </w:rPr>
        <w:t>submit decedent data</w:t>
      </w:r>
      <w:r w:rsidR="00071379">
        <w:rPr>
          <w:rFonts w:eastAsia="MS Mincho"/>
          <w:color w:val="000000"/>
        </w:rPr>
        <w:t xml:space="preserve"> files to their approved </w:t>
      </w:r>
      <w:r>
        <w:rPr>
          <w:rFonts w:eastAsia="MS Mincho"/>
          <w:color w:val="000000"/>
        </w:rPr>
        <w:t>CAHPS</w:t>
      </w:r>
      <w:r w:rsidRPr="00EA4C90" w:rsidR="00E203E4">
        <w:rPr>
          <w:vertAlign w:val="superscript"/>
        </w:rPr>
        <w:t>®</w:t>
      </w:r>
      <w:r>
        <w:rPr>
          <w:rFonts w:eastAsia="MS Mincho"/>
          <w:color w:val="000000"/>
        </w:rPr>
        <w:t xml:space="preserve"> Hospice Survey</w:t>
      </w:r>
      <w:r w:rsidR="00071379">
        <w:rPr>
          <w:rFonts w:eastAsia="MS Mincho"/>
          <w:color w:val="000000"/>
        </w:rPr>
        <w:t xml:space="preserve"> vendor. </w:t>
      </w:r>
      <w:r w:rsidR="00BF6932">
        <w:rPr>
          <w:rFonts w:eastAsia="MS Mincho"/>
          <w:color w:val="000000"/>
        </w:rPr>
        <w:t xml:space="preserve">The data files contain data on patients who died in the hospice’s care in the prior month, and </w:t>
      </w:r>
      <w:r w:rsidR="00115537">
        <w:rPr>
          <w:rFonts w:eastAsia="MS Mincho"/>
          <w:color w:val="000000"/>
        </w:rPr>
        <w:t>are</w:t>
      </w:r>
      <w:r w:rsidR="00BF6932">
        <w:rPr>
          <w:rFonts w:eastAsia="MS Mincho"/>
          <w:color w:val="000000"/>
        </w:rPr>
        <w:t xml:space="preserve"> used by the survey vendor </w:t>
      </w:r>
      <w:r w:rsidR="00071379">
        <w:rPr>
          <w:rFonts w:eastAsia="MS Mincho"/>
          <w:color w:val="000000"/>
        </w:rPr>
        <w:t xml:space="preserve">to select the sample and field the survey. </w:t>
      </w:r>
      <w:r w:rsidR="00BF6932">
        <w:rPr>
          <w:rFonts w:eastAsia="MS Mincho"/>
          <w:color w:val="000000"/>
        </w:rPr>
        <w:t xml:space="preserve">  Hospices use existing databases to generate these files, and </w:t>
      </w:r>
      <w:r w:rsidR="00115537">
        <w:rPr>
          <w:rFonts w:eastAsia="MS Mincho"/>
          <w:color w:val="000000"/>
        </w:rPr>
        <w:t xml:space="preserve">are generally </w:t>
      </w:r>
      <w:r w:rsidR="00BF6932">
        <w:rPr>
          <w:rFonts w:eastAsia="MS Mincho"/>
          <w:color w:val="000000"/>
        </w:rPr>
        <w:t xml:space="preserve">able to do so with minimal effort.   To keep the burden to hospices as low as possible, the list of required data elements for the file </w:t>
      </w:r>
      <w:r w:rsidR="00115537">
        <w:rPr>
          <w:rFonts w:eastAsia="MS Mincho"/>
          <w:color w:val="000000"/>
        </w:rPr>
        <w:t>is</w:t>
      </w:r>
      <w:r w:rsidR="00486BCA">
        <w:rPr>
          <w:rFonts w:eastAsia="MS Mincho"/>
          <w:color w:val="000000"/>
        </w:rPr>
        <w:t xml:space="preserve"> </w:t>
      </w:r>
      <w:r w:rsidR="00BF6932">
        <w:rPr>
          <w:rFonts w:eastAsia="MS Mincho"/>
          <w:color w:val="000000"/>
        </w:rPr>
        <w:t xml:space="preserve">as parsimonious as possible.  </w:t>
      </w:r>
    </w:p>
    <w:p w:rsidR="00BF6932" w:rsidP="00071379" w:rsidRDefault="00BF6932">
      <w:pPr>
        <w:autoSpaceDE w:val="0"/>
        <w:autoSpaceDN w:val="0"/>
        <w:adjustRightInd w:val="0"/>
        <w:rPr>
          <w:rFonts w:eastAsia="MS Mincho"/>
          <w:color w:val="000000"/>
        </w:rPr>
      </w:pPr>
    </w:p>
    <w:p w:rsidR="00F422C9" w:rsidP="00F422C9" w:rsidRDefault="00F422C9">
      <w:pPr>
        <w:autoSpaceDE w:val="0"/>
        <w:autoSpaceDN w:val="0"/>
        <w:adjustRightInd w:val="0"/>
        <w:rPr>
          <w:rFonts w:eastAsia="MS Mincho"/>
          <w:color w:val="000000"/>
        </w:rPr>
      </w:pPr>
      <w:r>
        <w:t>Table 3 shows the estimated annualized cost burden for the provision of the monthly data file by hospices required to participate in national implementation.  W</w:t>
      </w:r>
      <w:r>
        <w:rPr>
          <w:rFonts w:eastAsia="MS Mincho"/>
          <w:color w:val="000000"/>
        </w:rPr>
        <w:t>e estimate that preparation and submission of the monthly file will take 24.0 hours annually for each hospice. Assuming</w:t>
      </w:r>
      <w:r w:rsidR="00115537">
        <w:rPr>
          <w:rFonts w:eastAsia="MS Mincho"/>
          <w:color w:val="000000"/>
        </w:rPr>
        <w:t xml:space="preserve"> that as </w:t>
      </w:r>
      <w:r w:rsidRPr="00A77903" w:rsidR="00115537">
        <w:rPr>
          <w:rFonts w:eastAsia="MS Mincho"/>
          <w:color w:val="000000"/>
        </w:rPr>
        <w:t xml:space="preserve">in Quarter </w:t>
      </w:r>
      <w:r w:rsidR="000D3DAD">
        <w:rPr>
          <w:rFonts w:eastAsia="MS Mincho"/>
          <w:color w:val="000000"/>
        </w:rPr>
        <w:t>3</w:t>
      </w:r>
      <w:r w:rsidRPr="00A77903" w:rsidR="00115537">
        <w:rPr>
          <w:rFonts w:eastAsia="MS Mincho"/>
          <w:color w:val="000000"/>
        </w:rPr>
        <w:t xml:space="preserve"> </w:t>
      </w:r>
      <w:r w:rsidRPr="00A77903" w:rsidR="000D3DAD">
        <w:rPr>
          <w:rFonts w:eastAsia="MS Mincho"/>
          <w:color w:val="000000"/>
        </w:rPr>
        <w:t>201</w:t>
      </w:r>
      <w:r w:rsidR="000D3DAD">
        <w:rPr>
          <w:rFonts w:eastAsia="MS Mincho"/>
          <w:color w:val="000000"/>
        </w:rPr>
        <w:t>6</w:t>
      </w:r>
      <w:r w:rsidRPr="00A77903" w:rsidR="000D3DAD">
        <w:rPr>
          <w:rFonts w:eastAsia="MS Mincho"/>
          <w:color w:val="000000"/>
        </w:rPr>
        <w:t xml:space="preserve"> </w:t>
      </w:r>
      <w:r w:rsidRPr="00A77903" w:rsidR="00115537">
        <w:rPr>
          <w:rFonts w:eastAsia="MS Mincho"/>
          <w:color w:val="000000"/>
        </w:rPr>
        <w:t xml:space="preserve">through Quarter </w:t>
      </w:r>
      <w:r w:rsidR="000D3DAD">
        <w:rPr>
          <w:rFonts w:eastAsia="MS Mincho"/>
          <w:color w:val="000000"/>
        </w:rPr>
        <w:t>2</w:t>
      </w:r>
      <w:r w:rsidRPr="00A77903" w:rsidR="000D3DAD">
        <w:rPr>
          <w:rFonts w:eastAsia="MS Mincho"/>
          <w:color w:val="000000"/>
        </w:rPr>
        <w:t xml:space="preserve"> 201</w:t>
      </w:r>
      <w:r w:rsidR="000D3DAD">
        <w:rPr>
          <w:rFonts w:eastAsia="MS Mincho"/>
          <w:color w:val="000000"/>
        </w:rPr>
        <w:t>8</w:t>
      </w:r>
      <w:r w:rsidRPr="00A77903" w:rsidR="00115537">
        <w:rPr>
          <w:rFonts w:eastAsia="MS Mincho"/>
          <w:color w:val="000000"/>
        </w:rPr>
        <w:t>,</w:t>
      </w:r>
      <w:r w:rsidRPr="00A77903">
        <w:rPr>
          <w:rFonts w:eastAsia="MS Mincho"/>
          <w:color w:val="000000"/>
        </w:rPr>
        <w:t xml:space="preserve"> </w:t>
      </w:r>
      <w:r w:rsidRPr="00A77903" w:rsidR="00115537">
        <w:rPr>
          <w:rFonts w:eastAsia="MS Mincho"/>
          <w:color w:val="000000"/>
        </w:rPr>
        <w:t>3,</w:t>
      </w:r>
      <w:r w:rsidR="000D3DAD">
        <w:rPr>
          <w:rFonts w:eastAsia="MS Mincho"/>
          <w:color w:val="000000"/>
        </w:rPr>
        <w:t>670</w:t>
      </w:r>
      <w:r w:rsidRPr="00A77903">
        <w:rPr>
          <w:rFonts w:eastAsia="MS Mincho"/>
          <w:color w:val="000000"/>
        </w:rPr>
        <w:t xml:space="preserve"> hospices conduct the CAHPS</w:t>
      </w:r>
      <w:r w:rsidRPr="00A77903">
        <w:rPr>
          <w:vertAlign w:val="superscript"/>
        </w:rPr>
        <w:t>®</w:t>
      </w:r>
      <w:r w:rsidRPr="00A77903">
        <w:rPr>
          <w:rFonts w:eastAsia="MS Mincho"/>
          <w:color w:val="000000"/>
        </w:rPr>
        <w:t xml:space="preserve"> Hospice Survey, the burden would be </w:t>
      </w:r>
      <w:r w:rsidR="000D3DAD">
        <w:rPr>
          <w:rFonts w:eastAsia="MS Mincho"/>
          <w:color w:val="000000"/>
        </w:rPr>
        <w:t>88,080</w:t>
      </w:r>
      <w:r w:rsidRPr="00A77903">
        <w:rPr>
          <w:rFonts w:eastAsia="MS Mincho"/>
          <w:color w:val="000000"/>
        </w:rPr>
        <w:t xml:space="preserve"> hours (</w:t>
      </w:r>
      <w:r w:rsidRPr="00A77903" w:rsidR="00115537">
        <w:rPr>
          <w:rFonts w:eastAsia="MS Mincho"/>
          <w:color w:val="000000"/>
        </w:rPr>
        <w:t>3,</w:t>
      </w:r>
      <w:r w:rsidR="000D3DAD">
        <w:rPr>
          <w:rFonts w:eastAsia="MS Mincho"/>
          <w:color w:val="000000"/>
        </w:rPr>
        <w:t>670</w:t>
      </w:r>
      <w:r w:rsidRPr="00A77903" w:rsidR="000D3DAD">
        <w:rPr>
          <w:rFonts w:eastAsia="MS Mincho"/>
          <w:color w:val="000000"/>
        </w:rPr>
        <w:t xml:space="preserve"> </w:t>
      </w:r>
      <w:r w:rsidRPr="00A77903">
        <w:rPr>
          <w:rFonts w:eastAsia="MS Mincho"/>
          <w:color w:val="000000"/>
        </w:rPr>
        <w:t xml:space="preserve">hospices * 24 hours).  CMS believes that this labor can be conducted by a Medical Records Reviewer. The U.S. Bureau of Labor Statistics estimates that the </w:t>
      </w:r>
      <w:r w:rsidRPr="00A77903" w:rsidR="0031725E">
        <w:rPr>
          <w:rFonts w:eastAsia="MS Mincho"/>
          <w:color w:val="000000"/>
        </w:rPr>
        <w:t xml:space="preserve">2018 median </w:t>
      </w:r>
      <w:r w:rsidRPr="00A77903">
        <w:rPr>
          <w:rFonts w:eastAsia="MS Mincho"/>
          <w:color w:val="000000"/>
        </w:rPr>
        <w:t xml:space="preserve">hourly wage of Medical Records and Health Information Technicians is </w:t>
      </w:r>
      <w:r w:rsidRPr="00A77903">
        <w:t>$</w:t>
      </w:r>
      <w:r w:rsidRPr="00A77903" w:rsidR="007F4E03">
        <w:t>1</w:t>
      </w:r>
      <w:r w:rsidRPr="00A77903" w:rsidR="00EC5074">
        <w:t>9.4</w:t>
      </w:r>
      <w:r w:rsidRPr="00A77903" w:rsidR="0031725E">
        <w:t>0</w:t>
      </w:r>
      <w:r w:rsidRPr="00A77903">
        <w:rPr>
          <w:rFonts w:eastAsia="MS Mincho"/>
          <w:color w:val="000000"/>
        </w:rPr>
        <w:t>.</w:t>
      </w:r>
      <w:r w:rsidRPr="00A77903">
        <w:rPr>
          <w:rStyle w:val="FootnoteReference"/>
          <w:rFonts w:eastAsia="MS Mincho"/>
          <w:color w:val="000000"/>
        </w:rPr>
        <w:footnoteReference w:id="1"/>
      </w:r>
      <w:r w:rsidRPr="00A77903">
        <w:rPr>
          <w:rFonts w:eastAsia="MS Mincho"/>
          <w:color w:val="000000"/>
        </w:rPr>
        <w:t xml:space="preserve"> Therefore, the annual cost of the wage labor would be $</w:t>
      </w:r>
      <w:r w:rsidRPr="00A77903" w:rsidR="000D3DAD">
        <w:rPr>
          <w:rFonts w:eastAsia="MS Mincho"/>
          <w:color w:val="000000"/>
        </w:rPr>
        <w:t>46</w:t>
      </w:r>
      <w:r w:rsidR="000D3DAD">
        <w:rPr>
          <w:rFonts w:eastAsia="MS Mincho"/>
          <w:color w:val="000000"/>
        </w:rPr>
        <w:t>5</w:t>
      </w:r>
      <w:r w:rsidRPr="00A77903" w:rsidR="00EC5074">
        <w:rPr>
          <w:rFonts w:eastAsia="MS Mincho"/>
          <w:color w:val="000000"/>
        </w:rPr>
        <w:t>.</w:t>
      </w:r>
      <w:r w:rsidR="000D3DAD">
        <w:rPr>
          <w:rFonts w:eastAsia="MS Mincho"/>
          <w:color w:val="000000"/>
        </w:rPr>
        <w:t>60</w:t>
      </w:r>
      <w:r w:rsidRPr="00A77903" w:rsidR="000D3DAD">
        <w:rPr>
          <w:rFonts w:eastAsia="MS Mincho"/>
          <w:color w:val="000000"/>
        </w:rPr>
        <w:t xml:space="preserve"> </w:t>
      </w:r>
      <w:r w:rsidRPr="00A77903">
        <w:rPr>
          <w:rFonts w:eastAsia="MS Mincho"/>
          <w:color w:val="000000"/>
        </w:rPr>
        <w:t>for each hospice (24 hours * $</w:t>
      </w:r>
      <w:r w:rsidRPr="00A77903" w:rsidR="00EC5074">
        <w:rPr>
          <w:rFonts w:eastAsia="MS Mincho"/>
          <w:color w:val="000000"/>
        </w:rPr>
        <w:t>19.4</w:t>
      </w:r>
      <w:r w:rsidR="000D3DAD">
        <w:rPr>
          <w:rFonts w:eastAsia="MS Mincho"/>
          <w:color w:val="000000"/>
        </w:rPr>
        <w:t>0</w:t>
      </w:r>
      <w:r w:rsidRPr="00A77903">
        <w:rPr>
          <w:rFonts w:eastAsia="MS Mincho"/>
          <w:color w:val="000000"/>
        </w:rPr>
        <w:t>) for a total of $</w:t>
      </w:r>
      <w:r w:rsidRPr="00A77903" w:rsidR="00EC5074">
        <w:rPr>
          <w:rFonts w:eastAsia="MS Mincho"/>
          <w:color w:val="000000"/>
        </w:rPr>
        <w:t>1,</w:t>
      </w:r>
      <w:r w:rsidR="000D3DAD">
        <w:rPr>
          <w:rFonts w:eastAsia="MS Mincho"/>
          <w:color w:val="000000"/>
        </w:rPr>
        <w:t>708,752</w:t>
      </w:r>
      <w:r w:rsidRPr="00A77903" w:rsidR="00EC5074">
        <w:rPr>
          <w:rFonts w:eastAsia="MS Mincho"/>
          <w:color w:val="000000"/>
        </w:rPr>
        <w:t xml:space="preserve"> </w:t>
      </w:r>
      <w:r w:rsidRPr="00A77903">
        <w:rPr>
          <w:rFonts w:eastAsia="MS Mincho"/>
          <w:color w:val="000000"/>
        </w:rPr>
        <w:t>for all hospices participating in national implementation</w:t>
      </w:r>
      <w:r w:rsidRPr="00A77903" w:rsidR="00115537">
        <w:rPr>
          <w:rFonts w:eastAsia="MS Mincho"/>
          <w:color w:val="000000"/>
        </w:rPr>
        <w:t xml:space="preserve"> ($</w:t>
      </w:r>
      <w:r w:rsidRPr="00A77903" w:rsidR="000D3DAD">
        <w:rPr>
          <w:rFonts w:eastAsia="MS Mincho"/>
          <w:color w:val="000000"/>
        </w:rPr>
        <w:t>46</w:t>
      </w:r>
      <w:r w:rsidR="000D3DAD">
        <w:rPr>
          <w:rFonts w:eastAsia="MS Mincho"/>
          <w:color w:val="000000"/>
        </w:rPr>
        <w:t>5</w:t>
      </w:r>
      <w:r w:rsidRPr="00A77903" w:rsidR="00EC5074">
        <w:rPr>
          <w:rFonts w:eastAsia="MS Mincho"/>
          <w:color w:val="000000"/>
        </w:rPr>
        <w:t>.</w:t>
      </w:r>
      <w:r w:rsidR="000D3DAD">
        <w:rPr>
          <w:rFonts w:eastAsia="MS Mincho"/>
          <w:color w:val="000000"/>
        </w:rPr>
        <w:t>60</w:t>
      </w:r>
      <w:r w:rsidRPr="00A77903" w:rsidR="000D3DAD">
        <w:rPr>
          <w:rFonts w:eastAsia="MS Mincho"/>
          <w:color w:val="000000"/>
        </w:rPr>
        <w:t xml:space="preserve"> </w:t>
      </w:r>
      <w:r w:rsidRPr="00A77903" w:rsidR="00115537">
        <w:rPr>
          <w:rFonts w:eastAsia="MS Mincho"/>
          <w:color w:val="000000"/>
        </w:rPr>
        <w:t>per hospice for 3,</w:t>
      </w:r>
      <w:r w:rsidR="000D3DAD">
        <w:rPr>
          <w:rFonts w:eastAsia="MS Mincho"/>
          <w:color w:val="000000"/>
        </w:rPr>
        <w:t>670</w:t>
      </w:r>
      <w:r w:rsidRPr="00A77903" w:rsidR="000D3DAD">
        <w:rPr>
          <w:rFonts w:eastAsia="MS Mincho"/>
          <w:color w:val="000000"/>
        </w:rPr>
        <w:t xml:space="preserve"> </w:t>
      </w:r>
      <w:r w:rsidRPr="00A77903" w:rsidR="00115537">
        <w:rPr>
          <w:rFonts w:eastAsia="MS Mincho"/>
          <w:color w:val="000000"/>
        </w:rPr>
        <w:t>hospices)</w:t>
      </w:r>
      <w:r>
        <w:rPr>
          <w:rFonts w:eastAsia="MS Mincho"/>
          <w:color w:val="000000"/>
        </w:rPr>
        <w:t xml:space="preserve">.  </w:t>
      </w:r>
    </w:p>
    <w:p w:rsidR="00F422C9" w:rsidP="00F422C9" w:rsidRDefault="00211422">
      <w:pPr>
        <w:keepNext/>
        <w:rPr>
          <w:b/>
          <w:color w:val="000000"/>
        </w:rPr>
      </w:pPr>
      <w:r w:rsidRPr="00695509">
        <w:rPr>
          <w:b/>
          <w:color w:val="000000"/>
        </w:rPr>
        <w:br w:type="page"/>
      </w:r>
    </w:p>
    <w:tbl>
      <w:tblPr>
        <w:tblW w:w="9847" w:type="dxa"/>
        <w:tblInd w:w="93" w:type="dxa"/>
        <w:tblLayout w:type="fixed"/>
        <w:tblLook w:val="04A0" w:firstRow="1" w:lastRow="0" w:firstColumn="1" w:lastColumn="0" w:noHBand="0" w:noVBand="1"/>
      </w:tblPr>
      <w:tblGrid>
        <w:gridCol w:w="1969"/>
        <w:gridCol w:w="1969"/>
        <w:gridCol w:w="1970"/>
        <w:gridCol w:w="1969"/>
        <w:gridCol w:w="1970"/>
      </w:tblGrid>
      <w:tr w:rsidRPr="007B09CB" w:rsidR="00EC5074" w:rsidTr="00C13D51">
        <w:trPr>
          <w:trHeight w:val="330"/>
        </w:trPr>
        <w:tc>
          <w:tcPr>
            <w:tcW w:w="9847" w:type="dxa"/>
            <w:gridSpan w:val="5"/>
            <w:tcBorders>
              <w:top w:val="nil"/>
              <w:left w:val="nil"/>
              <w:bottom w:val="nil"/>
              <w:right w:val="nil"/>
            </w:tcBorders>
            <w:shd w:val="clear" w:color="auto" w:fill="auto"/>
            <w:noWrap/>
            <w:vAlign w:val="center"/>
            <w:hideMark/>
          </w:tcPr>
          <w:p w:rsidRPr="007B09CB" w:rsidR="00F422C9" w:rsidP="006D731F" w:rsidRDefault="00F422C9">
            <w:pPr>
              <w:rPr>
                <w:b/>
                <w:bCs/>
                <w:color w:val="000000"/>
              </w:rPr>
            </w:pPr>
            <w:r w:rsidRPr="007B09CB">
              <w:rPr>
                <w:b/>
                <w:bCs/>
                <w:color w:val="000000"/>
              </w:rPr>
              <w:t>Table 3. Estimated Annualized Cost Burden to Hospices Eligible to Participate in National Implementation</w:t>
            </w:r>
          </w:p>
        </w:tc>
      </w:tr>
      <w:tr w:rsidRPr="007B09CB" w:rsidR="00EC5074" w:rsidTr="00C13D51">
        <w:trPr>
          <w:trHeight w:val="645"/>
        </w:trPr>
        <w:tc>
          <w:tcPr>
            <w:tcW w:w="196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B09CB" w:rsidR="00F422C9" w:rsidP="006D731F" w:rsidRDefault="00F422C9">
            <w:pPr>
              <w:rPr>
                <w:b/>
                <w:bCs/>
                <w:color w:val="000000"/>
              </w:rPr>
            </w:pPr>
            <w:r w:rsidRPr="007B09CB">
              <w:rPr>
                <w:b/>
                <w:bCs/>
                <w:color w:val="000000"/>
                <w:szCs w:val="20"/>
              </w:rPr>
              <w:t>Form Name</w:t>
            </w:r>
          </w:p>
        </w:tc>
        <w:tc>
          <w:tcPr>
            <w:tcW w:w="1969" w:type="dxa"/>
            <w:tcBorders>
              <w:top w:val="single" w:color="auto" w:sz="8" w:space="0"/>
              <w:left w:val="nil"/>
              <w:bottom w:val="single" w:color="auto" w:sz="8" w:space="0"/>
              <w:right w:val="single" w:color="auto" w:sz="8" w:space="0"/>
            </w:tcBorders>
            <w:shd w:val="clear" w:color="auto" w:fill="auto"/>
            <w:vAlign w:val="center"/>
            <w:hideMark/>
          </w:tcPr>
          <w:p w:rsidRPr="007B09CB" w:rsidR="00F422C9" w:rsidP="006D731F" w:rsidRDefault="00F422C9">
            <w:pPr>
              <w:jc w:val="center"/>
              <w:rPr>
                <w:b/>
                <w:bCs/>
                <w:color w:val="000000"/>
              </w:rPr>
            </w:pPr>
            <w:r w:rsidRPr="007B09CB">
              <w:rPr>
                <w:b/>
                <w:bCs/>
                <w:color w:val="000000"/>
                <w:szCs w:val="20"/>
              </w:rPr>
              <w:t>Number of Hospices</w:t>
            </w:r>
          </w:p>
        </w:tc>
        <w:tc>
          <w:tcPr>
            <w:tcW w:w="1970" w:type="dxa"/>
            <w:tcBorders>
              <w:top w:val="single" w:color="auto" w:sz="8" w:space="0"/>
              <w:left w:val="nil"/>
              <w:bottom w:val="single" w:color="auto" w:sz="8" w:space="0"/>
              <w:right w:val="single" w:color="auto" w:sz="8" w:space="0"/>
            </w:tcBorders>
            <w:shd w:val="clear" w:color="auto" w:fill="auto"/>
            <w:vAlign w:val="center"/>
            <w:hideMark/>
          </w:tcPr>
          <w:p w:rsidRPr="007B09CB" w:rsidR="00F422C9" w:rsidP="006D731F" w:rsidRDefault="00F422C9">
            <w:pPr>
              <w:jc w:val="center"/>
              <w:rPr>
                <w:b/>
                <w:bCs/>
                <w:color w:val="000000"/>
              </w:rPr>
            </w:pPr>
            <w:r w:rsidRPr="007B09CB">
              <w:rPr>
                <w:b/>
                <w:bCs/>
                <w:color w:val="000000"/>
                <w:szCs w:val="20"/>
              </w:rPr>
              <w:t>Total Burden Hours per Hospice</w:t>
            </w:r>
          </w:p>
        </w:tc>
        <w:tc>
          <w:tcPr>
            <w:tcW w:w="1969" w:type="dxa"/>
            <w:tcBorders>
              <w:top w:val="single" w:color="auto" w:sz="8" w:space="0"/>
              <w:left w:val="nil"/>
              <w:bottom w:val="single" w:color="auto" w:sz="8" w:space="0"/>
              <w:right w:val="single" w:color="auto" w:sz="8" w:space="0"/>
            </w:tcBorders>
            <w:shd w:val="clear" w:color="auto" w:fill="auto"/>
            <w:vAlign w:val="center"/>
            <w:hideMark/>
          </w:tcPr>
          <w:p w:rsidRPr="007B09CB" w:rsidR="00F422C9" w:rsidP="006D731F" w:rsidRDefault="00F422C9">
            <w:pPr>
              <w:jc w:val="center"/>
              <w:rPr>
                <w:b/>
                <w:bCs/>
                <w:color w:val="000000"/>
              </w:rPr>
            </w:pPr>
            <w:r w:rsidRPr="007B09CB">
              <w:rPr>
                <w:b/>
                <w:bCs/>
                <w:color w:val="000000"/>
                <w:szCs w:val="20"/>
              </w:rPr>
              <w:t>Average Hourly Wage Rate*</w:t>
            </w:r>
          </w:p>
        </w:tc>
        <w:tc>
          <w:tcPr>
            <w:tcW w:w="1970" w:type="dxa"/>
            <w:tcBorders>
              <w:top w:val="single" w:color="auto" w:sz="8" w:space="0"/>
              <w:left w:val="nil"/>
              <w:bottom w:val="single" w:color="auto" w:sz="8" w:space="0"/>
              <w:right w:val="single" w:color="auto" w:sz="8" w:space="0"/>
            </w:tcBorders>
            <w:shd w:val="clear" w:color="auto" w:fill="auto"/>
            <w:vAlign w:val="center"/>
            <w:hideMark/>
          </w:tcPr>
          <w:p w:rsidRPr="007B09CB" w:rsidR="00F422C9" w:rsidP="006D731F" w:rsidRDefault="00F422C9">
            <w:pPr>
              <w:jc w:val="center"/>
              <w:rPr>
                <w:b/>
                <w:bCs/>
                <w:color w:val="000000"/>
              </w:rPr>
            </w:pPr>
            <w:r w:rsidRPr="007B09CB">
              <w:rPr>
                <w:b/>
                <w:bCs/>
                <w:color w:val="000000"/>
                <w:szCs w:val="20"/>
              </w:rPr>
              <w:t>Total Cost Burden</w:t>
            </w:r>
          </w:p>
        </w:tc>
      </w:tr>
      <w:tr w:rsidRPr="00A77903" w:rsidR="00EC5074" w:rsidTr="00C13D51">
        <w:trPr>
          <w:trHeight w:val="1020"/>
        </w:trPr>
        <w:tc>
          <w:tcPr>
            <w:tcW w:w="1969" w:type="dxa"/>
            <w:tcBorders>
              <w:top w:val="nil"/>
              <w:left w:val="single" w:color="auto" w:sz="8" w:space="0"/>
              <w:bottom w:val="single" w:color="auto" w:sz="8" w:space="0"/>
              <w:right w:val="single" w:color="auto" w:sz="8" w:space="0"/>
            </w:tcBorders>
            <w:shd w:val="clear" w:color="auto" w:fill="auto"/>
            <w:vAlign w:val="center"/>
            <w:hideMark/>
          </w:tcPr>
          <w:p w:rsidRPr="00A77903" w:rsidR="00F422C9" w:rsidP="006D731F" w:rsidRDefault="00F422C9">
            <w:pPr>
              <w:rPr>
                <w:color w:val="000000"/>
              </w:rPr>
            </w:pPr>
            <w:r w:rsidRPr="00A77903">
              <w:rPr>
                <w:color w:val="000000"/>
              </w:rPr>
              <w:t>Data File for CAHPS</w:t>
            </w:r>
            <w:r w:rsidRPr="00A77903">
              <w:rPr>
                <w:color w:val="000000"/>
                <w:vertAlign w:val="superscript"/>
              </w:rPr>
              <w:t>®</w:t>
            </w:r>
            <w:r w:rsidRPr="00A77903">
              <w:rPr>
                <w:color w:val="000000"/>
              </w:rPr>
              <w:t xml:space="preserve"> Hospice Survey</w:t>
            </w:r>
          </w:p>
        </w:tc>
        <w:tc>
          <w:tcPr>
            <w:tcW w:w="1969" w:type="dxa"/>
            <w:tcBorders>
              <w:top w:val="nil"/>
              <w:left w:val="nil"/>
              <w:bottom w:val="single" w:color="auto" w:sz="8" w:space="0"/>
              <w:right w:val="single" w:color="auto" w:sz="8" w:space="0"/>
            </w:tcBorders>
            <w:shd w:val="clear" w:color="auto" w:fill="auto"/>
            <w:vAlign w:val="center"/>
            <w:hideMark/>
          </w:tcPr>
          <w:p w:rsidRPr="00A77903" w:rsidR="00F422C9" w:rsidP="007F4E03" w:rsidRDefault="00115537">
            <w:pPr>
              <w:jc w:val="center"/>
              <w:rPr>
                <w:color w:val="000000"/>
              </w:rPr>
            </w:pPr>
            <w:r w:rsidRPr="00A77903">
              <w:rPr>
                <w:rFonts w:eastAsia="MS Mincho"/>
                <w:color w:val="000000"/>
              </w:rPr>
              <w:t>3,</w:t>
            </w:r>
            <w:r w:rsidR="000D3DAD">
              <w:rPr>
                <w:rFonts w:eastAsia="MS Mincho"/>
                <w:color w:val="000000"/>
              </w:rPr>
              <w:t>670</w:t>
            </w:r>
          </w:p>
        </w:tc>
        <w:tc>
          <w:tcPr>
            <w:tcW w:w="1970" w:type="dxa"/>
            <w:tcBorders>
              <w:top w:val="nil"/>
              <w:left w:val="nil"/>
              <w:bottom w:val="single" w:color="auto" w:sz="8" w:space="0"/>
              <w:right w:val="single" w:color="auto" w:sz="8" w:space="0"/>
            </w:tcBorders>
            <w:shd w:val="clear" w:color="auto" w:fill="auto"/>
            <w:vAlign w:val="center"/>
            <w:hideMark/>
          </w:tcPr>
          <w:p w:rsidRPr="00A77903" w:rsidR="00F422C9" w:rsidP="006D731F" w:rsidRDefault="00F422C9">
            <w:pPr>
              <w:jc w:val="center"/>
              <w:rPr>
                <w:color w:val="000000"/>
              </w:rPr>
            </w:pPr>
            <w:r w:rsidRPr="00A77903">
              <w:rPr>
                <w:color w:val="000000"/>
              </w:rPr>
              <w:t>24</w:t>
            </w:r>
          </w:p>
        </w:tc>
        <w:tc>
          <w:tcPr>
            <w:tcW w:w="1969" w:type="dxa"/>
            <w:tcBorders>
              <w:top w:val="nil"/>
              <w:left w:val="nil"/>
              <w:bottom w:val="single" w:color="auto" w:sz="8" w:space="0"/>
              <w:right w:val="single" w:color="auto" w:sz="8" w:space="0"/>
            </w:tcBorders>
            <w:shd w:val="clear" w:color="auto" w:fill="auto"/>
            <w:vAlign w:val="center"/>
            <w:hideMark/>
          </w:tcPr>
          <w:p w:rsidRPr="00A77903" w:rsidR="00F422C9" w:rsidP="00A67873" w:rsidRDefault="00F422C9">
            <w:pPr>
              <w:jc w:val="center"/>
              <w:rPr>
                <w:color w:val="000000"/>
              </w:rPr>
            </w:pPr>
            <w:r w:rsidRPr="00A77903">
              <w:rPr>
                <w:bCs/>
                <w:color w:val="000000"/>
              </w:rPr>
              <w:t>$</w:t>
            </w:r>
            <w:r w:rsidRPr="00A77903" w:rsidR="00EC5074">
              <w:rPr>
                <w:bCs/>
                <w:color w:val="000000"/>
              </w:rPr>
              <w:t>19.4</w:t>
            </w:r>
            <w:r w:rsidRPr="00A77903" w:rsidR="00A67873">
              <w:rPr>
                <w:bCs/>
                <w:color w:val="000000"/>
              </w:rPr>
              <w:t>0</w:t>
            </w:r>
            <w:r w:rsidRPr="00A77903">
              <w:rPr>
                <w:bCs/>
                <w:color w:val="000000"/>
              </w:rPr>
              <w:t xml:space="preserve"> </w:t>
            </w:r>
          </w:p>
        </w:tc>
        <w:tc>
          <w:tcPr>
            <w:tcW w:w="1970" w:type="dxa"/>
            <w:tcBorders>
              <w:top w:val="nil"/>
              <w:left w:val="nil"/>
              <w:bottom w:val="single" w:color="auto" w:sz="8" w:space="0"/>
              <w:right w:val="single" w:color="auto" w:sz="8" w:space="0"/>
            </w:tcBorders>
            <w:shd w:val="clear" w:color="auto" w:fill="auto"/>
            <w:vAlign w:val="center"/>
            <w:hideMark/>
          </w:tcPr>
          <w:p w:rsidRPr="00A77903" w:rsidR="00F422C9" w:rsidP="00115537" w:rsidRDefault="00F422C9">
            <w:pPr>
              <w:jc w:val="right"/>
              <w:rPr>
                <w:color w:val="000000"/>
              </w:rPr>
            </w:pPr>
            <w:r w:rsidRPr="00A77903">
              <w:rPr>
                <w:color w:val="000000"/>
              </w:rPr>
              <w:t>$</w:t>
            </w:r>
            <w:r w:rsidRPr="00A77903" w:rsidR="00EC5074">
              <w:rPr>
                <w:color w:val="000000"/>
              </w:rPr>
              <w:t>1,</w:t>
            </w:r>
            <w:r w:rsidR="000D3DAD">
              <w:rPr>
                <w:color w:val="000000"/>
              </w:rPr>
              <w:t>708,752.00</w:t>
            </w:r>
          </w:p>
        </w:tc>
      </w:tr>
      <w:tr w:rsidRPr="00A77903" w:rsidR="00EC5074" w:rsidTr="00C13D51">
        <w:trPr>
          <w:trHeight w:val="330"/>
        </w:trPr>
        <w:tc>
          <w:tcPr>
            <w:tcW w:w="1969" w:type="dxa"/>
            <w:tcBorders>
              <w:top w:val="nil"/>
              <w:left w:val="single" w:color="auto" w:sz="8" w:space="0"/>
              <w:bottom w:val="single" w:color="auto" w:sz="8" w:space="0"/>
              <w:right w:val="single" w:color="auto" w:sz="8" w:space="0"/>
            </w:tcBorders>
            <w:shd w:val="clear" w:color="auto" w:fill="auto"/>
            <w:vAlign w:val="center"/>
            <w:hideMark/>
          </w:tcPr>
          <w:p w:rsidRPr="00A77903" w:rsidR="007F4E03" w:rsidP="007F4E03" w:rsidRDefault="007F4E03">
            <w:pPr>
              <w:jc w:val="right"/>
              <w:rPr>
                <w:b/>
                <w:bCs/>
                <w:color w:val="000000"/>
              </w:rPr>
            </w:pPr>
            <w:r w:rsidRPr="00A77903">
              <w:rPr>
                <w:b/>
                <w:bCs/>
                <w:color w:val="000000"/>
                <w:szCs w:val="20"/>
              </w:rPr>
              <w:t>Total</w:t>
            </w:r>
          </w:p>
        </w:tc>
        <w:tc>
          <w:tcPr>
            <w:tcW w:w="1969" w:type="dxa"/>
            <w:tcBorders>
              <w:top w:val="nil"/>
              <w:left w:val="nil"/>
              <w:bottom w:val="single" w:color="auto" w:sz="8" w:space="0"/>
              <w:right w:val="single" w:color="auto" w:sz="8" w:space="0"/>
            </w:tcBorders>
            <w:shd w:val="clear" w:color="auto" w:fill="auto"/>
            <w:vAlign w:val="center"/>
            <w:hideMark/>
          </w:tcPr>
          <w:p w:rsidRPr="00A77903" w:rsidR="007F4E03" w:rsidP="007F4E03" w:rsidRDefault="00115537">
            <w:pPr>
              <w:jc w:val="center"/>
              <w:rPr>
                <w:color w:val="000000"/>
              </w:rPr>
            </w:pPr>
            <w:r w:rsidRPr="00A77903">
              <w:rPr>
                <w:rFonts w:eastAsia="MS Mincho"/>
                <w:color w:val="000000"/>
              </w:rPr>
              <w:t>3,</w:t>
            </w:r>
            <w:r w:rsidR="000D3DAD">
              <w:rPr>
                <w:rFonts w:eastAsia="MS Mincho"/>
                <w:color w:val="000000"/>
              </w:rPr>
              <w:t>670</w:t>
            </w:r>
          </w:p>
        </w:tc>
        <w:tc>
          <w:tcPr>
            <w:tcW w:w="1970" w:type="dxa"/>
            <w:tcBorders>
              <w:top w:val="nil"/>
              <w:left w:val="nil"/>
              <w:bottom w:val="single" w:color="auto" w:sz="8" w:space="0"/>
              <w:right w:val="single" w:color="auto" w:sz="8" w:space="0"/>
            </w:tcBorders>
            <w:shd w:val="clear" w:color="auto" w:fill="auto"/>
            <w:vAlign w:val="center"/>
            <w:hideMark/>
          </w:tcPr>
          <w:p w:rsidRPr="00A77903" w:rsidR="007F4E03" w:rsidP="007F4E03" w:rsidRDefault="007F4E03">
            <w:pPr>
              <w:jc w:val="center"/>
              <w:rPr>
                <w:color w:val="000000"/>
              </w:rPr>
            </w:pPr>
            <w:r w:rsidRPr="00A77903">
              <w:rPr>
                <w:color w:val="000000"/>
              </w:rPr>
              <w:t>24</w:t>
            </w:r>
          </w:p>
        </w:tc>
        <w:tc>
          <w:tcPr>
            <w:tcW w:w="1969" w:type="dxa"/>
            <w:tcBorders>
              <w:top w:val="nil"/>
              <w:left w:val="nil"/>
              <w:bottom w:val="single" w:color="auto" w:sz="8" w:space="0"/>
              <w:right w:val="single" w:color="auto" w:sz="8" w:space="0"/>
            </w:tcBorders>
            <w:shd w:val="clear" w:color="auto" w:fill="auto"/>
            <w:vAlign w:val="center"/>
            <w:hideMark/>
          </w:tcPr>
          <w:p w:rsidRPr="00A77903" w:rsidR="007F4E03" w:rsidP="00A67873" w:rsidRDefault="007F4E03">
            <w:pPr>
              <w:jc w:val="center"/>
              <w:rPr>
                <w:color w:val="000000"/>
              </w:rPr>
            </w:pPr>
            <w:r w:rsidRPr="00A77903">
              <w:rPr>
                <w:bCs/>
                <w:color w:val="000000"/>
              </w:rPr>
              <w:t>$</w:t>
            </w:r>
            <w:r w:rsidRPr="00A77903" w:rsidR="00EC5074">
              <w:rPr>
                <w:bCs/>
                <w:color w:val="000000"/>
              </w:rPr>
              <w:t>19.4</w:t>
            </w:r>
            <w:r w:rsidRPr="00A77903" w:rsidR="00A67873">
              <w:rPr>
                <w:bCs/>
                <w:color w:val="000000"/>
              </w:rPr>
              <w:t>0</w:t>
            </w:r>
            <w:r w:rsidRPr="00A77903">
              <w:rPr>
                <w:bCs/>
                <w:color w:val="000000"/>
              </w:rPr>
              <w:t xml:space="preserve"> </w:t>
            </w:r>
          </w:p>
        </w:tc>
        <w:tc>
          <w:tcPr>
            <w:tcW w:w="1970" w:type="dxa"/>
            <w:tcBorders>
              <w:top w:val="nil"/>
              <w:left w:val="nil"/>
              <w:bottom w:val="single" w:color="auto" w:sz="8" w:space="0"/>
              <w:right w:val="single" w:color="auto" w:sz="8" w:space="0"/>
            </w:tcBorders>
            <w:shd w:val="clear" w:color="auto" w:fill="auto"/>
            <w:vAlign w:val="center"/>
            <w:hideMark/>
          </w:tcPr>
          <w:p w:rsidRPr="00A77903" w:rsidR="007F4E03" w:rsidP="00115537" w:rsidRDefault="00EC5074">
            <w:pPr>
              <w:jc w:val="right"/>
              <w:rPr>
                <w:color w:val="000000"/>
              </w:rPr>
            </w:pPr>
            <w:r w:rsidRPr="00A77903">
              <w:rPr>
                <w:color w:val="000000"/>
              </w:rPr>
              <w:t>$1,</w:t>
            </w:r>
            <w:r w:rsidR="000D3DAD">
              <w:rPr>
                <w:color w:val="000000"/>
              </w:rPr>
              <w:t>708,752.00</w:t>
            </w:r>
          </w:p>
        </w:tc>
      </w:tr>
      <w:tr w:rsidRPr="00A77903" w:rsidR="00EC5074" w:rsidTr="00C13D51">
        <w:trPr>
          <w:trHeight w:val="300"/>
        </w:trPr>
        <w:tc>
          <w:tcPr>
            <w:tcW w:w="9847" w:type="dxa"/>
            <w:gridSpan w:val="5"/>
            <w:tcBorders>
              <w:top w:val="nil"/>
              <w:left w:val="nil"/>
              <w:bottom w:val="nil"/>
              <w:right w:val="nil"/>
            </w:tcBorders>
            <w:shd w:val="clear" w:color="auto" w:fill="auto"/>
            <w:noWrap/>
            <w:vAlign w:val="center"/>
            <w:hideMark/>
          </w:tcPr>
          <w:p w:rsidRPr="00A77903" w:rsidR="00F422C9" w:rsidP="00EB7818" w:rsidRDefault="00562088">
            <w:pPr>
              <w:rPr>
                <w:color w:val="0000FF"/>
                <w:sz w:val="20"/>
                <w:szCs w:val="20"/>
                <w:u w:val="single"/>
              </w:rPr>
            </w:pPr>
            <w:r>
              <w:rPr>
                <w:sz w:val="20"/>
                <w:szCs w:val="20"/>
              </w:rPr>
              <w:t>*</w:t>
            </w:r>
            <w:r w:rsidRPr="00A77903" w:rsidR="00EB7818">
              <w:rPr>
                <w:sz w:val="20"/>
                <w:szCs w:val="20"/>
              </w:rPr>
              <w:t xml:space="preserve">Retrieved from </w:t>
            </w:r>
            <w:hyperlink w:history="1" r:id="rId9">
              <w:r w:rsidRPr="00A77903" w:rsidR="00EB7818">
                <w:rPr>
                  <w:rStyle w:val="Hyperlink"/>
                  <w:sz w:val="20"/>
                  <w:szCs w:val="20"/>
                </w:rPr>
                <w:t>https://www.bls.gov/ooh/healthcare/medical-records-and-health-information-technicians.htm</w:t>
              </w:r>
            </w:hyperlink>
            <w:r w:rsidRPr="00A77903" w:rsidR="00EB7818">
              <w:rPr>
                <w:sz w:val="20"/>
                <w:szCs w:val="20"/>
              </w:rPr>
              <w:t xml:space="preserve"> on </w:t>
            </w:r>
            <w:r w:rsidRPr="00A77903" w:rsidR="00EB7818">
              <w:rPr>
                <w:bCs/>
                <w:color w:val="000000"/>
                <w:sz w:val="20"/>
                <w:szCs w:val="20"/>
              </w:rPr>
              <w:t>November 1, 2019</w:t>
            </w:r>
            <w:r w:rsidRPr="00A77903" w:rsidR="00EB7818">
              <w:rPr>
                <w:sz w:val="20"/>
                <w:szCs w:val="20"/>
              </w:rPr>
              <w:t>.</w:t>
            </w:r>
          </w:p>
        </w:tc>
      </w:tr>
    </w:tbl>
    <w:p w:rsidRPr="00A77903" w:rsidR="00F422C9" w:rsidP="00F422C9" w:rsidRDefault="00F422C9">
      <w:pPr>
        <w:autoSpaceDE w:val="0"/>
        <w:autoSpaceDN w:val="0"/>
        <w:adjustRightInd w:val="0"/>
      </w:pPr>
    </w:p>
    <w:p w:rsidR="00F422C9" w:rsidP="00F422C9" w:rsidRDefault="00F422C9">
      <w:pPr>
        <w:autoSpaceDE w:val="0"/>
        <w:autoSpaceDN w:val="0"/>
        <w:adjustRightInd w:val="0"/>
        <w:rPr>
          <w:rFonts w:eastAsia="MS Mincho"/>
          <w:color w:val="000000"/>
        </w:rPr>
      </w:pPr>
      <w:r w:rsidRPr="00A77903">
        <w:t>Table 4 shows the estimated annualized cost burden for hospices a</w:t>
      </w:r>
      <w:r w:rsidRPr="00A77903">
        <w:rPr>
          <w:color w:val="000000"/>
        </w:rPr>
        <w:t xml:space="preserve">pplying for </w:t>
      </w:r>
      <w:r w:rsidRPr="00A77903" w:rsidR="00192F69">
        <w:rPr>
          <w:color w:val="000000"/>
        </w:rPr>
        <w:t xml:space="preserve">the size </w:t>
      </w:r>
      <w:r w:rsidRPr="00A77903">
        <w:rPr>
          <w:color w:val="000000"/>
        </w:rPr>
        <w:t>exemption from participation in national implementation</w:t>
      </w:r>
      <w:r w:rsidRPr="00A77903">
        <w:t xml:space="preserve">.  </w:t>
      </w:r>
      <w:r w:rsidRPr="00A77903" w:rsidR="00192F69">
        <w:t xml:space="preserve">In </w:t>
      </w:r>
      <w:r w:rsidR="00977DFE">
        <w:t>2017</w:t>
      </w:r>
      <w:r w:rsidRPr="00A77903" w:rsidR="00977DFE">
        <w:t xml:space="preserve"> </w:t>
      </w:r>
      <w:r w:rsidRPr="00A77903" w:rsidR="00192F69">
        <w:t xml:space="preserve">and </w:t>
      </w:r>
      <w:r w:rsidR="00977DFE">
        <w:t>2018</w:t>
      </w:r>
      <w:r w:rsidRPr="00A77903" w:rsidR="00192F69">
        <w:t xml:space="preserve">, </w:t>
      </w:r>
      <w:r w:rsidR="00977DFE">
        <w:t>623</w:t>
      </w:r>
      <w:r w:rsidRPr="00A77903" w:rsidR="00977DFE">
        <w:t xml:space="preserve"> </w:t>
      </w:r>
      <w:r w:rsidRPr="00A77903" w:rsidR="00192F69">
        <w:t xml:space="preserve">and </w:t>
      </w:r>
      <w:r w:rsidR="00977DFE">
        <w:t>627</w:t>
      </w:r>
      <w:r w:rsidRPr="00A77903" w:rsidR="00977DFE">
        <w:t xml:space="preserve"> </w:t>
      </w:r>
      <w:r w:rsidRPr="00A77903" w:rsidR="00192F69">
        <w:t>hospices applied for this exemption</w:t>
      </w:r>
      <w:r w:rsidRPr="00A77903" w:rsidR="002C714E">
        <w:t>, respectively</w:t>
      </w:r>
      <w:r w:rsidRPr="00A77903">
        <w:rPr>
          <w:rFonts w:eastAsia="MS Mincho"/>
          <w:color w:val="000000"/>
        </w:rPr>
        <w:t>.  We estimate that preparation of the annual decedent count and completion of the form take</w:t>
      </w:r>
      <w:r w:rsidRPr="00A77903" w:rsidR="00192F69">
        <w:rPr>
          <w:rFonts w:eastAsia="MS Mincho"/>
          <w:color w:val="000000"/>
        </w:rPr>
        <w:t>s</w:t>
      </w:r>
      <w:r w:rsidRPr="00A77903">
        <w:rPr>
          <w:rFonts w:eastAsia="MS Mincho"/>
          <w:color w:val="000000"/>
        </w:rPr>
        <w:t xml:space="preserve"> 20 minutes (0.333 hours).  Assuming that </w:t>
      </w:r>
      <w:r w:rsidR="00977DFE">
        <w:rPr>
          <w:rFonts w:eastAsia="MS Mincho"/>
          <w:color w:val="000000"/>
        </w:rPr>
        <w:t>627</w:t>
      </w:r>
      <w:r w:rsidRPr="00A77903" w:rsidR="00977DFE">
        <w:rPr>
          <w:rFonts w:eastAsia="MS Mincho"/>
          <w:color w:val="000000"/>
        </w:rPr>
        <w:t xml:space="preserve"> </w:t>
      </w:r>
      <w:r w:rsidRPr="00A77903" w:rsidR="00192F69">
        <w:rPr>
          <w:rFonts w:eastAsia="MS Mincho"/>
          <w:color w:val="000000"/>
        </w:rPr>
        <w:t>hospices apply for the exemption in a given year</w:t>
      </w:r>
      <w:r w:rsidRPr="00A77903">
        <w:rPr>
          <w:rFonts w:eastAsia="MS Mincho"/>
          <w:color w:val="000000"/>
        </w:rPr>
        <w:t xml:space="preserve">, the burden would be </w:t>
      </w:r>
      <w:r w:rsidR="00977DFE">
        <w:rPr>
          <w:rFonts w:eastAsia="MS Mincho"/>
          <w:color w:val="000000"/>
        </w:rPr>
        <w:t>20</w:t>
      </w:r>
      <w:r w:rsidR="000D3DAD">
        <w:rPr>
          <w:rFonts w:eastAsia="MS Mincho"/>
          <w:color w:val="000000"/>
        </w:rPr>
        <w:t>8.79</w:t>
      </w:r>
      <w:r w:rsidRPr="00A77903">
        <w:rPr>
          <w:rFonts w:eastAsia="MS Mincho"/>
          <w:color w:val="000000"/>
        </w:rPr>
        <w:t xml:space="preserve"> hours (</w:t>
      </w:r>
      <w:r w:rsidR="00977DFE">
        <w:rPr>
          <w:rFonts w:eastAsia="MS Mincho"/>
          <w:color w:val="000000"/>
        </w:rPr>
        <w:t>627</w:t>
      </w:r>
      <w:r w:rsidRPr="00A77903" w:rsidR="00977DFE">
        <w:rPr>
          <w:rFonts w:eastAsia="MS Mincho"/>
          <w:color w:val="000000"/>
        </w:rPr>
        <w:t xml:space="preserve"> </w:t>
      </w:r>
      <w:r w:rsidRPr="00A77903">
        <w:rPr>
          <w:rFonts w:eastAsia="MS Mincho"/>
          <w:color w:val="000000"/>
        </w:rPr>
        <w:t>hospices * 0.333 hours).  CMS believes that this labor can be conducted by a Medical Records Reviewer. The annual cost of the wage labor would be $</w:t>
      </w:r>
      <w:r w:rsidRPr="00A77903" w:rsidR="00EC5074">
        <w:rPr>
          <w:rFonts w:eastAsia="MS Mincho"/>
          <w:color w:val="000000"/>
        </w:rPr>
        <w:t>6.4</w:t>
      </w:r>
      <w:r w:rsidR="00EC259F">
        <w:rPr>
          <w:rFonts w:eastAsia="MS Mincho"/>
          <w:color w:val="000000"/>
        </w:rPr>
        <w:t>6</w:t>
      </w:r>
      <w:r w:rsidRPr="00A77903">
        <w:rPr>
          <w:rFonts w:eastAsia="MS Mincho"/>
          <w:color w:val="000000"/>
        </w:rPr>
        <w:t xml:space="preserve"> for each hospice (0.33</w:t>
      </w:r>
      <w:r w:rsidRPr="00A77903" w:rsidR="00192F69">
        <w:rPr>
          <w:rFonts w:eastAsia="MS Mincho"/>
          <w:color w:val="000000"/>
        </w:rPr>
        <w:t>3</w:t>
      </w:r>
      <w:r w:rsidRPr="00A77903">
        <w:rPr>
          <w:rFonts w:eastAsia="MS Mincho"/>
          <w:color w:val="000000"/>
        </w:rPr>
        <w:t xml:space="preserve"> hours * $</w:t>
      </w:r>
      <w:r w:rsidRPr="00A77903" w:rsidR="00EC5074">
        <w:rPr>
          <w:rFonts w:eastAsia="MS Mincho"/>
          <w:color w:val="000000"/>
        </w:rPr>
        <w:t>19.4</w:t>
      </w:r>
      <w:r w:rsidR="000D3DAD">
        <w:rPr>
          <w:rFonts w:eastAsia="MS Mincho"/>
          <w:color w:val="000000"/>
        </w:rPr>
        <w:t>0</w:t>
      </w:r>
      <w:r w:rsidRPr="00A77903">
        <w:rPr>
          <w:rFonts w:eastAsia="MS Mincho"/>
          <w:color w:val="000000"/>
        </w:rPr>
        <w:t>) for a total of $</w:t>
      </w:r>
      <w:r w:rsidR="00977DFE">
        <w:rPr>
          <w:rFonts w:eastAsia="MS Mincho"/>
          <w:color w:val="000000"/>
        </w:rPr>
        <w:t>4,0</w:t>
      </w:r>
      <w:r w:rsidR="000D3DAD">
        <w:rPr>
          <w:rFonts w:eastAsia="MS Mincho"/>
          <w:color w:val="000000"/>
        </w:rPr>
        <w:t>5</w:t>
      </w:r>
      <w:r w:rsidR="00EC259F">
        <w:rPr>
          <w:rFonts w:eastAsia="MS Mincho"/>
          <w:color w:val="000000"/>
        </w:rPr>
        <w:t>0</w:t>
      </w:r>
      <w:r w:rsidR="00977DFE">
        <w:rPr>
          <w:rFonts w:eastAsia="MS Mincho"/>
          <w:color w:val="000000"/>
        </w:rPr>
        <w:t>.</w:t>
      </w:r>
      <w:r w:rsidR="00EC259F">
        <w:rPr>
          <w:rFonts w:eastAsia="MS Mincho"/>
          <w:color w:val="000000"/>
        </w:rPr>
        <w:t>55</w:t>
      </w:r>
      <w:r w:rsidR="00977DFE">
        <w:rPr>
          <w:rFonts w:eastAsia="MS Mincho"/>
          <w:color w:val="000000"/>
        </w:rPr>
        <w:t xml:space="preserve"> </w:t>
      </w:r>
      <w:r w:rsidRPr="00A77903">
        <w:rPr>
          <w:rFonts w:eastAsia="MS Mincho"/>
          <w:color w:val="000000"/>
        </w:rPr>
        <w:t>for all hospices completing the exemption form</w:t>
      </w:r>
      <w:r w:rsidRPr="00A77903" w:rsidR="00192F69">
        <w:rPr>
          <w:rFonts w:eastAsia="MS Mincho"/>
          <w:color w:val="000000"/>
        </w:rPr>
        <w:t xml:space="preserve"> ($</w:t>
      </w:r>
      <w:r w:rsidRPr="00A77903" w:rsidR="00846EFC">
        <w:rPr>
          <w:rFonts w:eastAsia="MS Mincho"/>
          <w:color w:val="000000"/>
        </w:rPr>
        <w:t>6.4</w:t>
      </w:r>
      <w:r w:rsidR="00EC259F">
        <w:rPr>
          <w:rFonts w:eastAsia="MS Mincho"/>
          <w:color w:val="000000"/>
        </w:rPr>
        <w:t>6</w:t>
      </w:r>
      <w:r w:rsidRPr="00A77903" w:rsidR="00EC5074">
        <w:rPr>
          <w:rFonts w:eastAsia="MS Mincho"/>
          <w:color w:val="000000"/>
        </w:rPr>
        <w:t xml:space="preserve"> </w:t>
      </w:r>
      <w:r w:rsidRPr="00A77903" w:rsidR="00192F69">
        <w:rPr>
          <w:rFonts w:eastAsia="MS Mincho"/>
          <w:color w:val="000000"/>
        </w:rPr>
        <w:t xml:space="preserve">per hospice for </w:t>
      </w:r>
      <w:r w:rsidR="00977DFE">
        <w:rPr>
          <w:rFonts w:eastAsia="MS Mincho"/>
          <w:color w:val="000000"/>
        </w:rPr>
        <w:t>627</w:t>
      </w:r>
      <w:r w:rsidRPr="00A77903" w:rsidR="00977DFE">
        <w:rPr>
          <w:rFonts w:eastAsia="MS Mincho"/>
          <w:color w:val="000000"/>
        </w:rPr>
        <w:t xml:space="preserve"> </w:t>
      </w:r>
      <w:r w:rsidRPr="00A77903" w:rsidR="00192F69">
        <w:rPr>
          <w:rFonts w:eastAsia="MS Mincho"/>
          <w:color w:val="000000"/>
        </w:rPr>
        <w:t>hospices)</w:t>
      </w:r>
      <w:r w:rsidRPr="00A77903">
        <w:rPr>
          <w:rFonts w:eastAsia="MS Mincho"/>
          <w:color w:val="000000"/>
        </w:rPr>
        <w:t>.</w:t>
      </w:r>
      <w:r>
        <w:rPr>
          <w:rFonts w:eastAsia="MS Mincho"/>
          <w:color w:val="000000"/>
        </w:rPr>
        <w:t xml:space="preserve"> </w:t>
      </w:r>
    </w:p>
    <w:p w:rsidR="00F422C9" w:rsidP="00F422C9" w:rsidRDefault="00F422C9">
      <w:pPr>
        <w:autoSpaceDE w:val="0"/>
        <w:autoSpaceDN w:val="0"/>
        <w:adjustRightInd w:val="0"/>
        <w:rPr>
          <w:rFonts w:eastAsia="MS Mincho"/>
          <w:color w:val="000000"/>
        </w:rPr>
      </w:pPr>
    </w:p>
    <w:p w:rsidRPr="007E49C6" w:rsidR="001F6136" w:rsidP="001F6136" w:rsidRDefault="001F6136">
      <w:pPr>
        <w:keepNext/>
        <w:rPr>
          <w:b/>
          <w:color w:val="000000"/>
        </w:rPr>
      </w:pPr>
      <w:r>
        <w:rPr>
          <w:b/>
          <w:color w:val="000000"/>
        </w:rPr>
        <w:t>Table 4. Estimated An</w:t>
      </w:r>
      <w:r w:rsidRPr="007E49C6">
        <w:rPr>
          <w:b/>
          <w:color w:val="000000"/>
        </w:rPr>
        <w:t xml:space="preserve">nualized </w:t>
      </w:r>
      <w:r>
        <w:rPr>
          <w:b/>
          <w:color w:val="000000"/>
        </w:rPr>
        <w:t>C</w:t>
      </w:r>
      <w:r w:rsidRPr="007E49C6">
        <w:rPr>
          <w:b/>
          <w:color w:val="000000"/>
        </w:rPr>
        <w:t xml:space="preserve">ost </w:t>
      </w:r>
      <w:r>
        <w:rPr>
          <w:b/>
          <w:color w:val="000000"/>
        </w:rPr>
        <w:t>B</w:t>
      </w:r>
      <w:r w:rsidRPr="007E49C6">
        <w:rPr>
          <w:b/>
          <w:color w:val="000000"/>
        </w:rPr>
        <w:t>urden</w:t>
      </w:r>
      <w:r>
        <w:rPr>
          <w:b/>
          <w:color w:val="000000"/>
        </w:rPr>
        <w:t xml:space="preserve"> to Hospices Applying for Exemption from Participation in National Implementation</w:t>
      </w:r>
    </w:p>
    <w:tbl>
      <w:tblPr>
        <w:tblW w:w="0" w:type="auto"/>
        <w:tblInd w:w="93" w:type="dxa"/>
        <w:tblLayout w:type="fixed"/>
        <w:tblLook w:val="04A0" w:firstRow="1" w:lastRow="0" w:firstColumn="1" w:lastColumn="0" w:noHBand="0" w:noVBand="1"/>
      </w:tblPr>
      <w:tblGrid>
        <w:gridCol w:w="1752"/>
        <w:gridCol w:w="1753"/>
        <w:gridCol w:w="1752"/>
        <w:gridCol w:w="1753"/>
        <w:gridCol w:w="1753"/>
      </w:tblGrid>
      <w:tr w:rsidRPr="00580DF3" w:rsidR="001F6136" w:rsidTr="00A42DE0">
        <w:trPr>
          <w:trHeight w:val="645"/>
        </w:trPr>
        <w:tc>
          <w:tcPr>
            <w:tcW w:w="175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80DF3" w:rsidR="001F6136" w:rsidP="006D731F" w:rsidRDefault="001F6136">
            <w:pPr>
              <w:rPr>
                <w:b/>
                <w:bCs/>
                <w:color w:val="000000"/>
              </w:rPr>
            </w:pPr>
            <w:r w:rsidRPr="00580DF3">
              <w:rPr>
                <w:b/>
                <w:bCs/>
                <w:color w:val="000000"/>
                <w:szCs w:val="20"/>
              </w:rPr>
              <w:t>Form Name</w:t>
            </w:r>
          </w:p>
        </w:tc>
        <w:tc>
          <w:tcPr>
            <w:tcW w:w="1753" w:type="dxa"/>
            <w:tcBorders>
              <w:top w:val="single" w:color="auto" w:sz="8" w:space="0"/>
              <w:left w:val="nil"/>
              <w:bottom w:val="single" w:color="auto" w:sz="8" w:space="0"/>
              <w:right w:val="single" w:color="auto" w:sz="8" w:space="0"/>
            </w:tcBorders>
            <w:shd w:val="clear" w:color="auto" w:fill="auto"/>
            <w:vAlign w:val="center"/>
            <w:hideMark/>
          </w:tcPr>
          <w:p w:rsidRPr="00580DF3" w:rsidR="001F6136" w:rsidP="006D731F" w:rsidRDefault="001F6136">
            <w:pPr>
              <w:jc w:val="center"/>
              <w:rPr>
                <w:b/>
                <w:bCs/>
                <w:color w:val="000000"/>
              </w:rPr>
            </w:pPr>
            <w:r w:rsidRPr="00580DF3">
              <w:rPr>
                <w:b/>
                <w:bCs/>
                <w:color w:val="000000"/>
                <w:szCs w:val="20"/>
              </w:rPr>
              <w:t>Number of Hospices</w:t>
            </w:r>
          </w:p>
        </w:tc>
        <w:tc>
          <w:tcPr>
            <w:tcW w:w="1752" w:type="dxa"/>
            <w:tcBorders>
              <w:top w:val="single" w:color="auto" w:sz="8" w:space="0"/>
              <w:left w:val="nil"/>
              <w:bottom w:val="single" w:color="auto" w:sz="8" w:space="0"/>
              <w:right w:val="single" w:color="auto" w:sz="8" w:space="0"/>
            </w:tcBorders>
            <w:shd w:val="clear" w:color="auto" w:fill="auto"/>
            <w:vAlign w:val="center"/>
            <w:hideMark/>
          </w:tcPr>
          <w:p w:rsidRPr="00580DF3" w:rsidR="001F6136" w:rsidP="006D731F" w:rsidRDefault="001F6136">
            <w:pPr>
              <w:jc w:val="center"/>
              <w:rPr>
                <w:b/>
                <w:bCs/>
                <w:color w:val="000000"/>
              </w:rPr>
            </w:pPr>
            <w:r w:rsidRPr="00580DF3">
              <w:rPr>
                <w:b/>
                <w:bCs/>
                <w:color w:val="000000"/>
                <w:szCs w:val="20"/>
              </w:rPr>
              <w:t>Total Burden Hours per Hospice</w:t>
            </w:r>
          </w:p>
        </w:tc>
        <w:tc>
          <w:tcPr>
            <w:tcW w:w="1753" w:type="dxa"/>
            <w:tcBorders>
              <w:top w:val="single" w:color="auto" w:sz="8" w:space="0"/>
              <w:left w:val="nil"/>
              <w:bottom w:val="single" w:color="auto" w:sz="8" w:space="0"/>
              <w:right w:val="single" w:color="auto" w:sz="8" w:space="0"/>
            </w:tcBorders>
            <w:shd w:val="clear" w:color="auto" w:fill="auto"/>
            <w:vAlign w:val="center"/>
            <w:hideMark/>
          </w:tcPr>
          <w:p w:rsidRPr="00580DF3" w:rsidR="001F6136" w:rsidP="006D731F" w:rsidRDefault="001F6136">
            <w:pPr>
              <w:jc w:val="center"/>
              <w:rPr>
                <w:b/>
                <w:bCs/>
                <w:color w:val="000000"/>
              </w:rPr>
            </w:pPr>
            <w:r w:rsidRPr="00580DF3">
              <w:rPr>
                <w:b/>
                <w:bCs/>
                <w:color w:val="000000"/>
                <w:szCs w:val="20"/>
              </w:rPr>
              <w:t>Average Hourly Wage Rate*</w:t>
            </w:r>
          </w:p>
        </w:tc>
        <w:tc>
          <w:tcPr>
            <w:tcW w:w="1753" w:type="dxa"/>
            <w:tcBorders>
              <w:top w:val="single" w:color="auto" w:sz="8" w:space="0"/>
              <w:left w:val="nil"/>
              <w:bottom w:val="single" w:color="auto" w:sz="8" w:space="0"/>
              <w:right w:val="single" w:color="auto" w:sz="8" w:space="0"/>
            </w:tcBorders>
            <w:shd w:val="clear" w:color="auto" w:fill="auto"/>
            <w:vAlign w:val="center"/>
            <w:hideMark/>
          </w:tcPr>
          <w:p w:rsidRPr="00580DF3" w:rsidR="001F6136" w:rsidP="006D731F" w:rsidRDefault="001F6136">
            <w:pPr>
              <w:jc w:val="center"/>
              <w:rPr>
                <w:b/>
                <w:bCs/>
                <w:color w:val="000000"/>
              </w:rPr>
            </w:pPr>
            <w:r w:rsidRPr="00580DF3">
              <w:rPr>
                <w:b/>
                <w:bCs/>
                <w:color w:val="000000"/>
                <w:szCs w:val="20"/>
              </w:rPr>
              <w:t>Total Cost Burden</w:t>
            </w:r>
          </w:p>
        </w:tc>
      </w:tr>
      <w:tr w:rsidRPr="00A77903" w:rsidR="001F6136" w:rsidTr="00A42DE0">
        <w:trPr>
          <w:trHeight w:val="1020"/>
        </w:trPr>
        <w:tc>
          <w:tcPr>
            <w:tcW w:w="1752" w:type="dxa"/>
            <w:tcBorders>
              <w:top w:val="nil"/>
              <w:left w:val="single" w:color="auto" w:sz="8" w:space="0"/>
              <w:bottom w:val="single" w:color="auto" w:sz="8" w:space="0"/>
              <w:right w:val="single" w:color="auto" w:sz="8" w:space="0"/>
            </w:tcBorders>
            <w:shd w:val="clear" w:color="auto" w:fill="auto"/>
            <w:vAlign w:val="center"/>
            <w:hideMark/>
          </w:tcPr>
          <w:p w:rsidRPr="00580DF3" w:rsidR="001F6136" w:rsidP="00192F69" w:rsidRDefault="001F6136">
            <w:pPr>
              <w:rPr>
                <w:color w:val="000000"/>
              </w:rPr>
            </w:pPr>
            <w:r w:rsidRPr="00580DF3">
              <w:rPr>
                <w:color w:val="000000"/>
              </w:rPr>
              <w:t>CAHPS</w:t>
            </w:r>
            <w:r w:rsidRPr="00580DF3">
              <w:rPr>
                <w:color w:val="000000"/>
                <w:vertAlign w:val="superscript"/>
              </w:rPr>
              <w:t>®</w:t>
            </w:r>
            <w:r w:rsidRPr="00580DF3">
              <w:rPr>
                <w:color w:val="000000"/>
              </w:rPr>
              <w:t xml:space="preserve"> Hospice Survey</w:t>
            </w:r>
            <w:r w:rsidR="00192F69">
              <w:rPr>
                <w:color w:val="000000"/>
              </w:rPr>
              <w:t xml:space="preserve"> </w:t>
            </w:r>
            <w:r w:rsidRPr="00580DF3" w:rsidR="00192F69">
              <w:rPr>
                <w:color w:val="000000"/>
              </w:rPr>
              <w:t xml:space="preserve">Exemption </w:t>
            </w:r>
            <w:r w:rsidR="00192F69">
              <w:rPr>
                <w:color w:val="000000"/>
              </w:rPr>
              <w:t>for Size Form</w:t>
            </w:r>
          </w:p>
        </w:tc>
        <w:tc>
          <w:tcPr>
            <w:tcW w:w="1753" w:type="dxa"/>
            <w:tcBorders>
              <w:top w:val="nil"/>
              <w:left w:val="nil"/>
              <w:bottom w:val="single" w:color="auto" w:sz="8" w:space="0"/>
              <w:right w:val="single" w:color="auto" w:sz="8" w:space="0"/>
            </w:tcBorders>
            <w:shd w:val="clear" w:color="auto" w:fill="auto"/>
            <w:vAlign w:val="center"/>
            <w:hideMark/>
          </w:tcPr>
          <w:p w:rsidRPr="00A77903" w:rsidR="001F6136" w:rsidP="00C9208F" w:rsidRDefault="00977DFE">
            <w:pPr>
              <w:jc w:val="center"/>
              <w:rPr>
                <w:color w:val="000000"/>
              </w:rPr>
            </w:pPr>
            <w:r>
              <w:rPr>
                <w:color w:val="000000"/>
              </w:rPr>
              <w:t>627</w:t>
            </w:r>
          </w:p>
        </w:tc>
        <w:tc>
          <w:tcPr>
            <w:tcW w:w="1752" w:type="dxa"/>
            <w:tcBorders>
              <w:top w:val="nil"/>
              <w:left w:val="nil"/>
              <w:bottom w:val="single" w:color="auto" w:sz="8" w:space="0"/>
              <w:right w:val="single" w:color="auto" w:sz="8" w:space="0"/>
            </w:tcBorders>
            <w:shd w:val="clear" w:color="auto" w:fill="auto"/>
            <w:vAlign w:val="center"/>
            <w:hideMark/>
          </w:tcPr>
          <w:p w:rsidRPr="00A77903" w:rsidR="001F6136" w:rsidP="006D731F" w:rsidRDefault="001F6136">
            <w:pPr>
              <w:jc w:val="center"/>
              <w:rPr>
                <w:color w:val="000000"/>
              </w:rPr>
            </w:pPr>
            <w:r w:rsidRPr="00A77903">
              <w:rPr>
                <w:color w:val="000000"/>
              </w:rPr>
              <w:t>0.33</w:t>
            </w:r>
            <w:r w:rsidRPr="00A77903" w:rsidR="00192F69">
              <w:rPr>
                <w:color w:val="000000"/>
              </w:rPr>
              <w:t>3</w:t>
            </w:r>
          </w:p>
        </w:tc>
        <w:tc>
          <w:tcPr>
            <w:tcW w:w="1753" w:type="dxa"/>
            <w:tcBorders>
              <w:top w:val="nil"/>
              <w:left w:val="nil"/>
              <w:bottom w:val="single" w:color="auto" w:sz="8" w:space="0"/>
              <w:right w:val="single" w:color="auto" w:sz="8" w:space="0"/>
            </w:tcBorders>
            <w:shd w:val="clear" w:color="auto" w:fill="auto"/>
            <w:vAlign w:val="center"/>
            <w:hideMark/>
          </w:tcPr>
          <w:p w:rsidRPr="00A77903" w:rsidR="001F6136" w:rsidP="00EB7818" w:rsidRDefault="001F6136">
            <w:pPr>
              <w:jc w:val="center"/>
              <w:rPr>
                <w:color w:val="000000"/>
              </w:rPr>
            </w:pPr>
            <w:r w:rsidRPr="00A77903">
              <w:rPr>
                <w:bCs/>
                <w:color w:val="000000"/>
              </w:rPr>
              <w:t>$</w:t>
            </w:r>
            <w:r w:rsidRPr="00A77903" w:rsidR="00EC5074">
              <w:rPr>
                <w:bCs/>
                <w:color w:val="000000"/>
              </w:rPr>
              <w:t>19.4</w:t>
            </w:r>
            <w:r w:rsidRPr="00A77903" w:rsidR="00EB7818">
              <w:rPr>
                <w:bCs/>
                <w:color w:val="000000"/>
              </w:rPr>
              <w:t>0</w:t>
            </w:r>
            <w:r w:rsidRPr="00A77903">
              <w:rPr>
                <w:bCs/>
                <w:color w:val="000000"/>
              </w:rPr>
              <w:t xml:space="preserve"> </w:t>
            </w:r>
          </w:p>
        </w:tc>
        <w:tc>
          <w:tcPr>
            <w:tcW w:w="1753" w:type="dxa"/>
            <w:tcBorders>
              <w:top w:val="nil"/>
              <w:left w:val="nil"/>
              <w:bottom w:val="single" w:color="auto" w:sz="8" w:space="0"/>
              <w:right w:val="single" w:color="auto" w:sz="8" w:space="0"/>
            </w:tcBorders>
            <w:shd w:val="clear" w:color="auto" w:fill="auto"/>
            <w:vAlign w:val="center"/>
            <w:hideMark/>
          </w:tcPr>
          <w:p w:rsidRPr="00A77903" w:rsidR="001F6136" w:rsidP="00846EFC" w:rsidRDefault="001F6136">
            <w:pPr>
              <w:jc w:val="right"/>
              <w:rPr>
                <w:color w:val="000000"/>
              </w:rPr>
            </w:pPr>
            <w:r w:rsidRPr="00A77903">
              <w:rPr>
                <w:rFonts w:eastAsia="MS Mincho"/>
                <w:color w:val="000000"/>
              </w:rPr>
              <w:t>$</w:t>
            </w:r>
            <w:r w:rsidR="00977DFE">
              <w:rPr>
                <w:rFonts w:eastAsia="MS Mincho"/>
                <w:color w:val="000000"/>
              </w:rPr>
              <w:t>4,0</w:t>
            </w:r>
            <w:r w:rsidR="000D3DAD">
              <w:rPr>
                <w:rFonts w:eastAsia="MS Mincho"/>
                <w:color w:val="000000"/>
              </w:rPr>
              <w:t>5</w:t>
            </w:r>
            <w:r w:rsidR="00EC259F">
              <w:rPr>
                <w:rFonts w:eastAsia="MS Mincho"/>
                <w:color w:val="000000"/>
              </w:rPr>
              <w:t>0.55</w:t>
            </w:r>
            <w:r w:rsidRPr="00A77903">
              <w:rPr>
                <w:rFonts w:eastAsia="MS Mincho"/>
                <w:color w:val="000000"/>
              </w:rPr>
              <w:t xml:space="preserve"> </w:t>
            </w:r>
          </w:p>
        </w:tc>
      </w:tr>
      <w:tr w:rsidRPr="00A77903" w:rsidR="00C9208F" w:rsidTr="00A42DE0">
        <w:trPr>
          <w:trHeight w:val="330"/>
        </w:trPr>
        <w:tc>
          <w:tcPr>
            <w:tcW w:w="1752" w:type="dxa"/>
            <w:tcBorders>
              <w:top w:val="nil"/>
              <w:left w:val="single" w:color="auto" w:sz="8" w:space="0"/>
              <w:bottom w:val="single" w:color="auto" w:sz="8" w:space="0"/>
              <w:right w:val="single" w:color="auto" w:sz="8" w:space="0"/>
            </w:tcBorders>
            <w:shd w:val="clear" w:color="auto" w:fill="auto"/>
            <w:vAlign w:val="center"/>
            <w:hideMark/>
          </w:tcPr>
          <w:p w:rsidRPr="00580DF3" w:rsidR="00C9208F" w:rsidP="00C9208F" w:rsidRDefault="00C9208F">
            <w:pPr>
              <w:jc w:val="right"/>
              <w:rPr>
                <w:b/>
                <w:bCs/>
                <w:color w:val="000000"/>
              </w:rPr>
            </w:pPr>
            <w:r w:rsidRPr="00580DF3">
              <w:rPr>
                <w:b/>
                <w:bCs/>
                <w:color w:val="000000"/>
                <w:szCs w:val="20"/>
              </w:rPr>
              <w:t>Total</w:t>
            </w:r>
          </w:p>
        </w:tc>
        <w:tc>
          <w:tcPr>
            <w:tcW w:w="1753" w:type="dxa"/>
            <w:tcBorders>
              <w:top w:val="nil"/>
              <w:left w:val="nil"/>
              <w:bottom w:val="single" w:color="auto" w:sz="8" w:space="0"/>
              <w:right w:val="single" w:color="auto" w:sz="8" w:space="0"/>
            </w:tcBorders>
            <w:shd w:val="clear" w:color="auto" w:fill="auto"/>
            <w:vAlign w:val="center"/>
            <w:hideMark/>
          </w:tcPr>
          <w:p w:rsidRPr="00A77903" w:rsidR="00C9208F" w:rsidP="00C9208F" w:rsidRDefault="00977DFE">
            <w:pPr>
              <w:jc w:val="center"/>
              <w:rPr>
                <w:color w:val="000000"/>
              </w:rPr>
            </w:pPr>
            <w:r>
              <w:rPr>
                <w:color w:val="000000"/>
              </w:rPr>
              <w:t>627</w:t>
            </w:r>
          </w:p>
        </w:tc>
        <w:tc>
          <w:tcPr>
            <w:tcW w:w="1752" w:type="dxa"/>
            <w:tcBorders>
              <w:top w:val="nil"/>
              <w:left w:val="nil"/>
              <w:bottom w:val="single" w:color="auto" w:sz="8" w:space="0"/>
              <w:right w:val="single" w:color="auto" w:sz="8" w:space="0"/>
            </w:tcBorders>
            <w:shd w:val="clear" w:color="auto" w:fill="auto"/>
            <w:vAlign w:val="center"/>
            <w:hideMark/>
          </w:tcPr>
          <w:p w:rsidRPr="00A77903" w:rsidR="00C9208F" w:rsidP="00C9208F" w:rsidRDefault="00C9208F">
            <w:pPr>
              <w:jc w:val="center"/>
              <w:rPr>
                <w:color w:val="000000"/>
              </w:rPr>
            </w:pPr>
            <w:r w:rsidRPr="00A77903">
              <w:rPr>
                <w:color w:val="000000"/>
              </w:rPr>
              <w:t>0.33</w:t>
            </w:r>
            <w:r w:rsidRPr="00A77903" w:rsidR="00192F69">
              <w:rPr>
                <w:color w:val="000000"/>
              </w:rPr>
              <w:t>3</w:t>
            </w:r>
          </w:p>
        </w:tc>
        <w:tc>
          <w:tcPr>
            <w:tcW w:w="1753" w:type="dxa"/>
            <w:tcBorders>
              <w:top w:val="nil"/>
              <w:left w:val="nil"/>
              <w:bottom w:val="single" w:color="auto" w:sz="8" w:space="0"/>
              <w:right w:val="single" w:color="auto" w:sz="8" w:space="0"/>
            </w:tcBorders>
            <w:shd w:val="clear" w:color="auto" w:fill="auto"/>
            <w:vAlign w:val="center"/>
            <w:hideMark/>
          </w:tcPr>
          <w:p w:rsidRPr="00A77903" w:rsidR="00C9208F" w:rsidP="00EB7818" w:rsidRDefault="00C9208F">
            <w:pPr>
              <w:jc w:val="center"/>
              <w:rPr>
                <w:color w:val="000000"/>
              </w:rPr>
            </w:pPr>
            <w:r w:rsidRPr="00A77903">
              <w:rPr>
                <w:bCs/>
                <w:color w:val="000000"/>
              </w:rPr>
              <w:t>$</w:t>
            </w:r>
            <w:r w:rsidRPr="00A77903" w:rsidR="00EC5074">
              <w:rPr>
                <w:bCs/>
                <w:color w:val="000000"/>
              </w:rPr>
              <w:t>19.4</w:t>
            </w:r>
            <w:r w:rsidRPr="00A77903" w:rsidR="00EB7818">
              <w:rPr>
                <w:bCs/>
                <w:color w:val="000000"/>
              </w:rPr>
              <w:t>0</w:t>
            </w:r>
            <w:r w:rsidRPr="00A77903">
              <w:rPr>
                <w:bCs/>
                <w:color w:val="000000"/>
              </w:rPr>
              <w:t xml:space="preserve"> </w:t>
            </w:r>
          </w:p>
        </w:tc>
        <w:tc>
          <w:tcPr>
            <w:tcW w:w="1753" w:type="dxa"/>
            <w:tcBorders>
              <w:top w:val="nil"/>
              <w:left w:val="nil"/>
              <w:bottom w:val="single" w:color="auto" w:sz="8" w:space="0"/>
              <w:right w:val="single" w:color="auto" w:sz="8" w:space="0"/>
            </w:tcBorders>
            <w:shd w:val="clear" w:color="auto" w:fill="auto"/>
            <w:vAlign w:val="center"/>
            <w:hideMark/>
          </w:tcPr>
          <w:p w:rsidRPr="00A77903" w:rsidR="00C9208F" w:rsidP="00846EFC" w:rsidRDefault="00C9208F">
            <w:pPr>
              <w:jc w:val="right"/>
              <w:rPr>
                <w:color w:val="000000"/>
              </w:rPr>
            </w:pPr>
            <w:r w:rsidRPr="00A77903">
              <w:rPr>
                <w:rFonts w:eastAsia="MS Mincho"/>
                <w:color w:val="000000"/>
              </w:rPr>
              <w:t>$</w:t>
            </w:r>
            <w:r w:rsidR="00977DFE">
              <w:rPr>
                <w:rFonts w:eastAsia="MS Mincho"/>
                <w:color w:val="000000"/>
              </w:rPr>
              <w:t>4,0</w:t>
            </w:r>
            <w:r w:rsidR="00EC259F">
              <w:rPr>
                <w:rFonts w:eastAsia="MS Mincho"/>
                <w:color w:val="000000"/>
              </w:rPr>
              <w:t>50</w:t>
            </w:r>
            <w:r w:rsidR="00977DFE">
              <w:rPr>
                <w:rFonts w:eastAsia="MS Mincho"/>
                <w:color w:val="000000"/>
              </w:rPr>
              <w:t>.</w:t>
            </w:r>
            <w:r w:rsidR="00EC259F">
              <w:rPr>
                <w:rFonts w:eastAsia="MS Mincho"/>
                <w:color w:val="000000"/>
              </w:rPr>
              <w:t>55</w:t>
            </w:r>
            <w:r w:rsidR="00977DFE">
              <w:rPr>
                <w:rFonts w:eastAsia="MS Mincho"/>
                <w:color w:val="000000"/>
              </w:rPr>
              <w:t xml:space="preserve"> </w:t>
            </w:r>
            <w:r w:rsidRPr="00A77903">
              <w:rPr>
                <w:rFonts w:eastAsia="MS Mincho"/>
                <w:color w:val="000000"/>
              </w:rPr>
              <w:t xml:space="preserve"> </w:t>
            </w:r>
          </w:p>
        </w:tc>
      </w:tr>
    </w:tbl>
    <w:p w:rsidR="001F6136" w:rsidP="00C9208F" w:rsidRDefault="00A67873">
      <w:pPr>
        <w:rPr>
          <w:rFonts w:eastAsia="MS Mincho"/>
          <w:color w:val="000000"/>
        </w:rPr>
      </w:pPr>
      <w:r>
        <w:rPr>
          <w:sz w:val="20"/>
          <w:szCs w:val="20"/>
        </w:rPr>
        <w:t>*</w:t>
      </w:r>
      <w:r w:rsidRPr="00EB7818">
        <w:rPr>
          <w:sz w:val="20"/>
          <w:szCs w:val="20"/>
        </w:rPr>
        <w:t xml:space="preserve">Retrieved from </w:t>
      </w:r>
      <w:hyperlink w:history="1" r:id="rId10">
        <w:r w:rsidRPr="008E3795">
          <w:rPr>
            <w:rStyle w:val="Hyperlink"/>
            <w:sz w:val="20"/>
            <w:szCs w:val="20"/>
          </w:rPr>
          <w:t>https://www.bls.gov/ooh/healthcare/medical-records-and-health-information-technicians.htm</w:t>
        </w:r>
      </w:hyperlink>
      <w:r>
        <w:rPr>
          <w:sz w:val="20"/>
          <w:szCs w:val="20"/>
        </w:rPr>
        <w:t xml:space="preserve"> on </w:t>
      </w:r>
      <w:r>
        <w:rPr>
          <w:bCs/>
          <w:color w:val="000000"/>
          <w:sz w:val="20"/>
          <w:szCs w:val="20"/>
        </w:rPr>
        <w:t xml:space="preserve">November 1, </w:t>
      </w:r>
      <w:r w:rsidRPr="00EB7818">
        <w:rPr>
          <w:bCs/>
          <w:color w:val="000000"/>
          <w:sz w:val="20"/>
          <w:szCs w:val="20"/>
        </w:rPr>
        <w:t>2019</w:t>
      </w:r>
      <w:r w:rsidRPr="00EB7818">
        <w:rPr>
          <w:sz w:val="20"/>
          <w:szCs w:val="20"/>
        </w:rPr>
        <w:t>.</w:t>
      </w:r>
    </w:p>
    <w:p w:rsidR="00C9208F" w:rsidP="008A4D94" w:rsidRDefault="00C9208F">
      <w:pPr>
        <w:rPr>
          <w:b/>
          <w:color w:val="000000"/>
        </w:rPr>
      </w:pPr>
    </w:p>
    <w:p w:rsidR="00C9208F" w:rsidP="008A4D94" w:rsidRDefault="00C9208F">
      <w:pPr>
        <w:rPr>
          <w:b/>
          <w:color w:val="000000"/>
        </w:rPr>
      </w:pPr>
    </w:p>
    <w:p w:rsidRPr="00F621BA" w:rsidR="008A4D94" w:rsidP="008A4D94" w:rsidRDefault="008A4D94">
      <w:pPr>
        <w:rPr>
          <w:b/>
          <w:color w:val="000000"/>
        </w:rPr>
      </w:pPr>
      <w:r w:rsidRPr="00F621BA">
        <w:rPr>
          <w:b/>
          <w:color w:val="000000"/>
        </w:rPr>
        <w:t>A13. Capital Costs</w:t>
      </w:r>
    </w:p>
    <w:p w:rsidRPr="005E2EAF" w:rsidR="008A4D94" w:rsidP="008A4D94" w:rsidRDefault="008A4D94">
      <w:pPr>
        <w:tabs>
          <w:tab w:val="left" w:pos="540"/>
        </w:tabs>
        <w:rPr>
          <w:color w:val="000000"/>
        </w:rPr>
      </w:pPr>
    </w:p>
    <w:p w:rsidR="008A4D94" w:rsidP="008A4D94" w:rsidRDefault="008A4D94">
      <w:pPr>
        <w:tabs>
          <w:tab w:val="left" w:pos="540"/>
        </w:tabs>
        <w:rPr>
          <w:color w:val="000000"/>
        </w:rPr>
      </w:pPr>
      <w:r w:rsidRPr="005E2EAF">
        <w:rPr>
          <w:color w:val="000000"/>
        </w:rPr>
        <w:t>Survey participants will incur no capital costs as a result of participation.</w:t>
      </w:r>
      <w:r>
        <w:rPr>
          <w:color w:val="000000"/>
        </w:rPr>
        <w:t xml:space="preserve">  Hospices participating in national implementation will bear an annual cost to secure the services of an approved CAHPS</w:t>
      </w:r>
      <w:r w:rsidRPr="00EA4C90">
        <w:rPr>
          <w:vertAlign w:val="superscript"/>
        </w:rPr>
        <w:t>®</w:t>
      </w:r>
      <w:r>
        <w:rPr>
          <w:color w:val="000000"/>
        </w:rPr>
        <w:t xml:space="preserve"> Hospice Survey vendor to conduct the survey on their behalf.  Table 5 summarizes the estimated annual cost burden to hospices of paying the survey vendor.  We estimate that the average annual survey vendor cost will be </w:t>
      </w:r>
      <w:r w:rsidRPr="00562088">
        <w:rPr>
          <w:color w:val="000000"/>
        </w:rPr>
        <w:t>$</w:t>
      </w:r>
      <w:r w:rsidRPr="00562088" w:rsidR="000C7196">
        <w:rPr>
          <w:color w:val="000000"/>
        </w:rPr>
        <w:t>4,0</w:t>
      </w:r>
      <w:r w:rsidRPr="00562088">
        <w:rPr>
          <w:color w:val="000000"/>
        </w:rPr>
        <w:t>00</w:t>
      </w:r>
      <w:r>
        <w:rPr>
          <w:color w:val="000000"/>
        </w:rPr>
        <w:t xml:space="preserve"> for each </w:t>
      </w:r>
      <w:r>
        <w:rPr>
          <w:color w:val="000000"/>
        </w:rPr>
        <w:lastRenderedPageBreak/>
        <w:t xml:space="preserve">of </w:t>
      </w:r>
      <w:r w:rsidRPr="00562088">
        <w:rPr>
          <w:color w:val="000000"/>
        </w:rPr>
        <w:t>the 3,</w:t>
      </w:r>
      <w:r w:rsidRPr="00562088" w:rsidR="00EC259F">
        <w:rPr>
          <w:color w:val="000000"/>
        </w:rPr>
        <w:t xml:space="preserve">670 </w:t>
      </w:r>
      <w:r w:rsidRPr="00562088">
        <w:rPr>
          <w:color w:val="000000"/>
        </w:rPr>
        <w:t>hospices participating in national implementation of the CAHPS</w:t>
      </w:r>
      <w:r w:rsidRPr="00562088">
        <w:rPr>
          <w:vertAlign w:val="superscript"/>
        </w:rPr>
        <w:t>®</w:t>
      </w:r>
      <w:r w:rsidRPr="00562088">
        <w:rPr>
          <w:color w:val="000000"/>
        </w:rPr>
        <w:t xml:space="preserve"> Hospice Survey, for a total of $1</w:t>
      </w:r>
      <w:r w:rsidRPr="00562088" w:rsidR="00EC259F">
        <w:rPr>
          <w:color w:val="000000"/>
        </w:rPr>
        <w:t>4,680</w:t>
      </w:r>
      <w:r w:rsidRPr="00562088">
        <w:rPr>
          <w:color w:val="000000"/>
        </w:rPr>
        <w:t>,</w:t>
      </w:r>
      <w:r w:rsidRPr="00562088" w:rsidR="000C7196">
        <w:rPr>
          <w:color w:val="000000"/>
        </w:rPr>
        <w:t>0</w:t>
      </w:r>
      <w:r w:rsidRPr="00562088">
        <w:rPr>
          <w:color w:val="000000"/>
        </w:rPr>
        <w:t>00 (3,</w:t>
      </w:r>
      <w:r w:rsidRPr="00562088" w:rsidR="00EC259F">
        <w:rPr>
          <w:color w:val="000000"/>
        </w:rPr>
        <w:t xml:space="preserve">670 </w:t>
      </w:r>
      <w:r w:rsidRPr="00562088">
        <w:rPr>
          <w:color w:val="000000"/>
        </w:rPr>
        <w:t>* $</w:t>
      </w:r>
      <w:r w:rsidRPr="00562088" w:rsidR="000C7196">
        <w:rPr>
          <w:color w:val="000000"/>
        </w:rPr>
        <w:t>4</w:t>
      </w:r>
      <w:r w:rsidRPr="00562088">
        <w:rPr>
          <w:color w:val="000000"/>
        </w:rPr>
        <w:t>,</w:t>
      </w:r>
      <w:r w:rsidRPr="00562088" w:rsidR="000C7196">
        <w:rPr>
          <w:color w:val="000000"/>
        </w:rPr>
        <w:t>0</w:t>
      </w:r>
      <w:r w:rsidRPr="00562088">
        <w:rPr>
          <w:color w:val="000000"/>
        </w:rPr>
        <w:t>00).</w:t>
      </w:r>
      <w:r w:rsidRPr="00726868">
        <w:rPr>
          <w:color w:val="000000"/>
        </w:rPr>
        <w:t xml:space="preserve"> </w:t>
      </w:r>
    </w:p>
    <w:p w:rsidR="008A4D94" w:rsidP="008A4D94" w:rsidRDefault="008A4D94">
      <w:pPr>
        <w:pStyle w:val="Heading2"/>
        <w:rPr>
          <w:rFonts w:ascii="Times New Roman" w:hAnsi="Times New Roman"/>
          <w:color w:val="000000"/>
        </w:rPr>
      </w:pPr>
    </w:p>
    <w:p w:rsidR="008A4D94" w:rsidP="008A4D94" w:rsidRDefault="008A4D94">
      <w:pPr>
        <w:keepNext/>
        <w:rPr>
          <w:b/>
          <w:color w:val="000000"/>
        </w:rPr>
      </w:pPr>
      <w:r>
        <w:rPr>
          <w:b/>
          <w:color w:val="000000"/>
        </w:rPr>
        <w:t>Table 5. Estimated An</w:t>
      </w:r>
      <w:r w:rsidRPr="007E49C6">
        <w:rPr>
          <w:b/>
          <w:color w:val="000000"/>
        </w:rPr>
        <w:t xml:space="preserve">nualized </w:t>
      </w:r>
      <w:r>
        <w:rPr>
          <w:b/>
          <w:color w:val="000000"/>
        </w:rPr>
        <w:t>C</w:t>
      </w:r>
      <w:r w:rsidRPr="007E49C6">
        <w:rPr>
          <w:b/>
          <w:color w:val="000000"/>
        </w:rPr>
        <w:t xml:space="preserve">ost </w:t>
      </w:r>
      <w:r>
        <w:rPr>
          <w:b/>
          <w:color w:val="000000"/>
        </w:rPr>
        <w:t>B</w:t>
      </w:r>
      <w:r w:rsidRPr="007E49C6">
        <w:rPr>
          <w:b/>
          <w:color w:val="000000"/>
        </w:rPr>
        <w:t>urden</w:t>
      </w:r>
      <w:r>
        <w:rPr>
          <w:b/>
          <w:color w:val="000000"/>
        </w:rPr>
        <w:t xml:space="preserve"> to Hospices for Contracting a Survey Vendor for National Implementation of the CAHPS Hospice Survey</w:t>
      </w:r>
    </w:p>
    <w:tbl>
      <w:tblPr>
        <w:tblW w:w="8600" w:type="dxa"/>
        <w:tblInd w:w="93" w:type="dxa"/>
        <w:tblLook w:val="04A0" w:firstRow="1" w:lastRow="0" w:firstColumn="1" w:lastColumn="0" w:noHBand="0" w:noVBand="1"/>
      </w:tblPr>
      <w:tblGrid>
        <w:gridCol w:w="2160"/>
        <w:gridCol w:w="2020"/>
        <w:gridCol w:w="2440"/>
        <w:gridCol w:w="1980"/>
      </w:tblGrid>
      <w:tr w:rsidR="008A4D94" w:rsidTr="006D731F">
        <w:trPr>
          <w:cantSplit/>
          <w:trHeight w:val="960"/>
        </w:trPr>
        <w:tc>
          <w:tcPr>
            <w:tcW w:w="21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8A4D94" w:rsidP="006D731F" w:rsidRDefault="008A4D94">
            <w:pPr>
              <w:rPr>
                <w:b/>
                <w:bCs/>
                <w:color w:val="000000"/>
              </w:rPr>
            </w:pPr>
            <w:r>
              <w:rPr>
                <w:b/>
                <w:bCs/>
                <w:color w:val="000000"/>
                <w:szCs w:val="20"/>
              </w:rPr>
              <w:t>Form Name</w:t>
            </w:r>
          </w:p>
        </w:tc>
        <w:tc>
          <w:tcPr>
            <w:tcW w:w="2020" w:type="dxa"/>
            <w:tcBorders>
              <w:top w:val="single" w:color="auto" w:sz="8" w:space="0"/>
              <w:left w:val="nil"/>
              <w:bottom w:val="single" w:color="auto" w:sz="8" w:space="0"/>
              <w:right w:val="single" w:color="auto" w:sz="8" w:space="0"/>
            </w:tcBorders>
            <w:shd w:val="clear" w:color="auto" w:fill="auto"/>
            <w:vAlign w:val="center"/>
            <w:hideMark/>
          </w:tcPr>
          <w:p w:rsidR="008A4D94" w:rsidP="006D731F" w:rsidRDefault="008A4D94">
            <w:pPr>
              <w:jc w:val="center"/>
              <w:rPr>
                <w:b/>
                <w:bCs/>
                <w:color w:val="000000"/>
              </w:rPr>
            </w:pPr>
            <w:r>
              <w:rPr>
                <w:b/>
                <w:bCs/>
                <w:color w:val="000000"/>
                <w:szCs w:val="20"/>
              </w:rPr>
              <w:t>Number of Hospices</w:t>
            </w:r>
          </w:p>
        </w:tc>
        <w:tc>
          <w:tcPr>
            <w:tcW w:w="2440" w:type="dxa"/>
            <w:tcBorders>
              <w:top w:val="single" w:color="auto" w:sz="8" w:space="0"/>
              <w:left w:val="nil"/>
              <w:bottom w:val="single" w:color="auto" w:sz="8" w:space="0"/>
              <w:right w:val="single" w:color="auto" w:sz="8" w:space="0"/>
            </w:tcBorders>
            <w:shd w:val="clear" w:color="auto" w:fill="auto"/>
            <w:vAlign w:val="center"/>
            <w:hideMark/>
          </w:tcPr>
          <w:p w:rsidR="008A4D94" w:rsidP="006D731F" w:rsidRDefault="008A4D94">
            <w:pPr>
              <w:jc w:val="center"/>
              <w:rPr>
                <w:b/>
                <w:bCs/>
                <w:color w:val="000000"/>
              </w:rPr>
            </w:pPr>
            <w:r>
              <w:rPr>
                <w:b/>
                <w:bCs/>
                <w:color w:val="000000"/>
                <w:szCs w:val="20"/>
              </w:rPr>
              <w:t>Average Cost to Contract a Survey Vendor</w:t>
            </w:r>
          </w:p>
        </w:tc>
        <w:tc>
          <w:tcPr>
            <w:tcW w:w="1980" w:type="dxa"/>
            <w:tcBorders>
              <w:top w:val="single" w:color="auto" w:sz="8" w:space="0"/>
              <w:left w:val="nil"/>
              <w:bottom w:val="single" w:color="auto" w:sz="8" w:space="0"/>
              <w:right w:val="single" w:color="auto" w:sz="8" w:space="0"/>
            </w:tcBorders>
            <w:shd w:val="clear" w:color="auto" w:fill="auto"/>
            <w:vAlign w:val="center"/>
            <w:hideMark/>
          </w:tcPr>
          <w:p w:rsidR="008A4D94" w:rsidP="006D731F" w:rsidRDefault="008A4D94">
            <w:pPr>
              <w:jc w:val="center"/>
              <w:rPr>
                <w:b/>
                <w:bCs/>
                <w:color w:val="000000"/>
              </w:rPr>
            </w:pPr>
            <w:r>
              <w:rPr>
                <w:b/>
                <w:bCs/>
                <w:color w:val="000000"/>
                <w:szCs w:val="20"/>
              </w:rPr>
              <w:t>Total Cost Burden</w:t>
            </w:r>
          </w:p>
        </w:tc>
      </w:tr>
      <w:tr w:rsidR="008A4D94" w:rsidTr="006D731F">
        <w:trPr>
          <w:cantSplit/>
          <w:trHeight w:val="705"/>
        </w:trPr>
        <w:tc>
          <w:tcPr>
            <w:tcW w:w="2160" w:type="dxa"/>
            <w:tcBorders>
              <w:top w:val="nil"/>
              <w:left w:val="single" w:color="auto" w:sz="8" w:space="0"/>
              <w:bottom w:val="single" w:color="auto" w:sz="8" w:space="0"/>
              <w:right w:val="single" w:color="auto" w:sz="8" w:space="0"/>
            </w:tcBorders>
            <w:shd w:val="clear" w:color="auto" w:fill="auto"/>
            <w:vAlign w:val="center"/>
            <w:hideMark/>
          </w:tcPr>
          <w:p w:rsidR="008A4D94" w:rsidP="006D731F" w:rsidRDefault="008A4D94">
            <w:pPr>
              <w:rPr>
                <w:color w:val="000000"/>
              </w:rPr>
            </w:pPr>
            <w:r>
              <w:rPr>
                <w:color w:val="000000"/>
              </w:rPr>
              <w:t>CAHPS</w:t>
            </w:r>
            <w:r>
              <w:rPr>
                <w:color w:val="000000"/>
                <w:vertAlign w:val="superscript"/>
              </w:rPr>
              <w:t>®</w:t>
            </w:r>
            <w:r>
              <w:rPr>
                <w:color w:val="000000"/>
              </w:rPr>
              <w:t xml:space="preserve"> Hospice Survey</w:t>
            </w:r>
          </w:p>
        </w:tc>
        <w:tc>
          <w:tcPr>
            <w:tcW w:w="2020" w:type="dxa"/>
            <w:tcBorders>
              <w:top w:val="nil"/>
              <w:left w:val="nil"/>
              <w:bottom w:val="single" w:color="auto" w:sz="8" w:space="0"/>
              <w:right w:val="single" w:color="auto" w:sz="8" w:space="0"/>
            </w:tcBorders>
            <w:shd w:val="clear" w:color="auto" w:fill="auto"/>
            <w:vAlign w:val="center"/>
            <w:hideMark/>
          </w:tcPr>
          <w:p w:rsidRPr="00A77903" w:rsidR="008A4D94" w:rsidP="006D731F" w:rsidRDefault="008A4D94">
            <w:pPr>
              <w:jc w:val="center"/>
              <w:rPr>
                <w:color w:val="000000"/>
              </w:rPr>
            </w:pPr>
            <w:r w:rsidRPr="00A77903">
              <w:rPr>
                <w:color w:val="000000"/>
              </w:rPr>
              <w:t>3,</w:t>
            </w:r>
            <w:r w:rsidR="00EC259F">
              <w:rPr>
                <w:color w:val="000000"/>
              </w:rPr>
              <w:t>670</w:t>
            </w:r>
          </w:p>
        </w:tc>
        <w:tc>
          <w:tcPr>
            <w:tcW w:w="2440" w:type="dxa"/>
            <w:tcBorders>
              <w:top w:val="nil"/>
              <w:left w:val="nil"/>
              <w:bottom w:val="single" w:color="auto" w:sz="8" w:space="0"/>
              <w:right w:val="single" w:color="auto" w:sz="8" w:space="0"/>
            </w:tcBorders>
            <w:shd w:val="clear" w:color="auto" w:fill="auto"/>
            <w:vAlign w:val="center"/>
            <w:hideMark/>
          </w:tcPr>
          <w:p w:rsidRPr="00A77903" w:rsidR="008A4D94" w:rsidP="000C7196" w:rsidRDefault="008A4D94">
            <w:pPr>
              <w:jc w:val="center"/>
              <w:rPr>
                <w:color w:val="000000"/>
              </w:rPr>
            </w:pPr>
            <w:r w:rsidRPr="00A77903">
              <w:rPr>
                <w:bCs/>
                <w:color w:val="000000"/>
              </w:rPr>
              <w:t>$</w:t>
            </w:r>
            <w:r w:rsidRPr="00A77903" w:rsidR="000C7196">
              <w:rPr>
                <w:bCs/>
                <w:color w:val="000000"/>
              </w:rPr>
              <w:t>4</w:t>
            </w:r>
            <w:r w:rsidRPr="00A77903">
              <w:rPr>
                <w:bCs/>
                <w:color w:val="000000"/>
              </w:rPr>
              <w:t>,</w:t>
            </w:r>
            <w:r w:rsidRPr="00A77903" w:rsidR="000C7196">
              <w:rPr>
                <w:bCs/>
                <w:color w:val="000000"/>
              </w:rPr>
              <w:t>0</w:t>
            </w:r>
            <w:r w:rsidRPr="00A77903">
              <w:rPr>
                <w:bCs/>
                <w:color w:val="000000"/>
              </w:rPr>
              <w:t xml:space="preserve">00 </w:t>
            </w:r>
          </w:p>
        </w:tc>
        <w:tc>
          <w:tcPr>
            <w:tcW w:w="1980" w:type="dxa"/>
            <w:tcBorders>
              <w:top w:val="nil"/>
              <w:left w:val="nil"/>
              <w:bottom w:val="single" w:color="auto" w:sz="8" w:space="0"/>
              <w:right w:val="single" w:color="auto" w:sz="8" w:space="0"/>
            </w:tcBorders>
            <w:shd w:val="clear" w:color="auto" w:fill="auto"/>
            <w:vAlign w:val="center"/>
            <w:hideMark/>
          </w:tcPr>
          <w:p w:rsidRPr="00A77903" w:rsidR="008A4D94" w:rsidP="000C7196" w:rsidRDefault="008A4D94">
            <w:pPr>
              <w:jc w:val="right"/>
              <w:rPr>
                <w:color w:val="000000"/>
              </w:rPr>
            </w:pPr>
            <w:r w:rsidRPr="00A77903">
              <w:rPr>
                <w:color w:val="000000"/>
              </w:rPr>
              <w:t>$1</w:t>
            </w:r>
            <w:r w:rsidR="00EC259F">
              <w:rPr>
                <w:color w:val="000000"/>
              </w:rPr>
              <w:t>4,680</w:t>
            </w:r>
            <w:r w:rsidRPr="00A77903" w:rsidR="00435D08">
              <w:rPr>
                <w:color w:val="000000"/>
              </w:rPr>
              <w:t>,</w:t>
            </w:r>
            <w:r w:rsidRPr="00A77903" w:rsidR="000C7196">
              <w:rPr>
                <w:color w:val="000000"/>
              </w:rPr>
              <w:t>0</w:t>
            </w:r>
            <w:r w:rsidRPr="00A77903" w:rsidR="00435D08">
              <w:rPr>
                <w:color w:val="000000"/>
              </w:rPr>
              <w:t>00</w:t>
            </w:r>
            <w:r w:rsidRPr="00A77903">
              <w:rPr>
                <w:color w:val="000000"/>
              </w:rPr>
              <w:t xml:space="preserve"> </w:t>
            </w:r>
          </w:p>
        </w:tc>
      </w:tr>
      <w:tr w:rsidR="008A4D94" w:rsidTr="006D731F">
        <w:trPr>
          <w:cantSplit/>
          <w:trHeight w:val="330"/>
        </w:trPr>
        <w:tc>
          <w:tcPr>
            <w:tcW w:w="2160" w:type="dxa"/>
            <w:tcBorders>
              <w:top w:val="nil"/>
              <w:left w:val="single" w:color="auto" w:sz="8" w:space="0"/>
              <w:bottom w:val="single" w:color="auto" w:sz="8" w:space="0"/>
              <w:right w:val="single" w:color="auto" w:sz="8" w:space="0"/>
            </w:tcBorders>
            <w:shd w:val="clear" w:color="auto" w:fill="auto"/>
            <w:vAlign w:val="center"/>
            <w:hideMark/>
          </w:tcPr>
          <w:p w:rsidR="008A4D94" w:rsidP="006D731F" w:rsidRDefault="008A4D94">
            <w:pPr>
              <w:jc w:val="right"/>
              <w:rPr>
                <w:b/>
                <w:bCs/>
                <w:color w:val="000000"/>
              </w:rPr>
            </w:pPr>
            <w:r>
              <w:rPr>
                <w:b/>
                <w:bCs/>
                <w:color w:val="000000"/>
                <w:szCs w:val="20"/>
              </w:rPr>
              <w:t>Total</w:t>
            </w:r>
          </w:p>
        </w:tc>
        <w:tc>
          <w:tcPr>
            <w:tcW w:w="2020" w:type="dxa"/>
            <w:tcBorders>
              <w:top w:val="nil"/>
              <w:left w:val="nil"/>
              <w:bottom w:val="single" w:color="auto" w:sz="8" w:space="0"/>
              <w:right w:val="single" w:color="auto" w:sz="8" w:space="0"/>
            </w:tcBorders>
            <w:shd w:val="clear" w:color="auto" w:fill="auto"/>
            <w:vAlign w:val="center"/>
            <w:hideMark/>
          </w:tcPr>
          <w:p w:rsidRPr="00A77903" w:rsidR="008A4D94" w:rsidP="00435D08" w:rsidRDefault="008A4D94">
            <w:pPr>
              <w:jc w:val="center"/>
              <w:rPr>
                <w:color w:val="000000"/>
              </w:rPr>
            </w:pPr>
            <w:r w:rsidRPr="00A77903">
              <w:rPr>
                <w:color w:val="000000"/>
              </w:rPr>
              <w:t>3,</w:t>
            </w:r>
            <w:r w:rsidR="00EC259F">
              <w:rPr>
                <w:color w:val="000000"/>
              </w:rPr>
              <w:t>670</w:t>
            </w:r>
          </w:p>
        </w:tc>
        <w:tc>
          <w:tcPr>
            <w:tcW w:w="2440" w:type="dxa"/>
            <w:tcBorders>
              <w:top w:val="nil"/>
              <w:left w:val="nil"/>
              <w:bottom w:val="single" w:color="auto" w:sz="8" w:space="0"/>
              <w:right w:val="single" w:color="auto" w:sz="8" w:space="0"/>
            </w:tcBorders>
            <w:shd w:val="clear" w:color="auto" w:fill="auto"/>
            <w:vAlign w:val="center"/>
            <w:hideMark/>
          </w:tcPr>
          <w:p w:rsidRPr="00A77903" w:rsidR="008A4D94" w:rsidP="000C7196" w:rsidRDefault="008A4D94">
            <w:pPr>
              <w:jc w:val="center"/>
              <w:rPr>
                <w:color w:val="000000"/>
              </w:rPr>
            </w:pPr>
            <w:r w:rsidRPr="00A77903">
              <w:rPr>
                <w:bCs/>
                <w:color w:val="000000"/>
              </w:rPr>
              <w:t>$</w:t>
            </w:r>
            <w:r w:rsidRPr="00A77903" w:rsidR="000C7196">
              <w:rPr>
                <w:bCs/>
                <w:color w:val="000000"/>
              </w:rPr>
              <w:t>4</w:t>
            </w:r>
            <w:r w:rsidRPr="00A77903">
              <w:rPr>
                <w:bCs/>
                <w:color w:val="000000"/>
              </w:rPr>
              <w:t>,</w:t>
            </w:r>
            <w:r w:rsidRPr="00A77903" w:rsidR="000C7196">
              <w:rPr>
                <w:bCs/>
                <w:color w:val="000000"/>
              </w:rPr>
              <w:t>0</w:t>
            </w:r>
            <w:r w:rsidRPr="00A77903">
              <w:rPr>
                <w:bCs/>
                <w:color w:val="000000"/>
              </w:rPr>
              <w:t xml:space="preserve">00 </w:t>
            </w:r>
          </w:p>
        </w:tc>
        <w:tc>
          <w:tcPr>
            <w:tcW w:w="1980" w:type="dxa"/>
            <w:tcBorders>
              <w:top w:val="nil"/>
              <w:left w:val="nil"/>
              <w:bottom w:val="single" w:color="auto" w:sz="8" w:space="0"/>
              <w:right w:val="single" w:color="auto" w:sz="8" w:space="0"/>
            </w:tcBorders>
            <w:shd w:val="clear" w:color="auto" w:fill="auto"/>
            <w:vAlign w:val="center"/>
            <w:hideMark/>
          </w:tcPr>
          <w:p w:rsidRPr="00A77903" w:rsidR="008A4D94" w:rsidP="000C7196" w:rsidRDefault="008A4D94">
            <w:pPr>
              <w:jc w:val="right"/>
              <w:rPr>
                <w:color w:val="000000"/>
              </w:rPr>
            </w:pPr>
            <w:r w:rsidRPr="00A77903">
              <w:rPr>
                <w:color w:val="000000"/>
              </w:rPr>
              <w:t>$1</w:t>
            </w:r>
            <w:r w:rsidR="00EC259F">
              <w:rPr>
                <w:color w:val="000000"/>
              </w:rPr>
              <w:t>4,680</w:t>
            </w:r>
            <w:r w:rsidRPr="00A77903" w:rsidR="00435D08">
              <w:rPr>
                <w:color w:val="000000"/>
              </w:rPr>
              <w:t>,</w:t>
            </w:r>
            <w:r w:rsidRPr="00A77903" w:rsidR="000C7196">
              <w:rPr>
                <w:color w:val="000000"/>
              </w:rPr>
              <w:t>0</w:t>
            </w:r>
            <w:r w:rsidRPr="00A77903" w:rsidR="00435D08">
              <w:rPr>
                <w:color w:val="000000"/>
              </w:rPr>
              <w:t>00</w:t>
            </w:r>
            <w:r w:rsidRPr="00A77903">
              <w:rPr>
                <w:color w:val="000000"/>
              </w:rPr>
              <w:t xml:space="preserve"> </w:t>
            </w:r>
          </w:p>
        </w:tc>
      </w:tr>
    </w:tbl>
    <w:p w:rsidR="008A4D94" w:rsidP="008A4D94" w:rsidRDefault="008A4D94">
      <w:pPr>
        <w:keepNext/>
        <w:rPr>
          <w:b/>
          <w:color w:val="000000"/>
        </w:rPr>
      </w:pPr>
    </w:p>
    <w:p w:rsidRPr="00726868" w:rsidR="00726868" w:rsidP="00726868" w:rsidRDefault="00726868">
      <w:bookmarkStart w:name="_Toc383511905" w:id="16"/>
      <w:bookmarkEnd w:id="15"/>
    </w:p>
    <w:p w:rsidRPr="007E49C6" w:rsidR="00A67DE5" w:rsidP="00A67DE5" w:rsidRDefault="007452B3">
      <w:pPr>
        <w:pStyle w:val="Heading2"/>
        <w:rPr>
          <w:rFonts w:ascii="Times New Roman" w:hAnsi="Times New Roman"/>
          <w:color w:val="000000"/>
        </w:rPr>
      </w:pPr>
      <w:r>
        <w:rPr>
          <w:rFonts w:ascii="Times New Roman" w:hAnsi="Times New Roman"/>
          <w:color w:val="000000"/>
        </w:rPr>
        <w:t xml:space="preserve">A14. </w:t>
      </w:r>
      <w:r w:rsidRPr="007E49C6" w:rsidR="00A67DE5">
        <w:rPr>
          <w:rFonts w:ascii="Times New Roman" w:hAnsi="Times New Roman"/>
          <w:color w:val="000000"/>
        </w:rPr>
        <w:t>Cost to the Federal Government</w:t>
      </w:r>
      <w:bookmarkEnd w:id="16"/>
    </w:p>
    <w:p w:rsidRPr="007E49C6" w:rsidR="00A67DE5" w:rsidP="00A67DE5" w:rsidRDefault="00A67DE5">
      <w:pPr>
        <w:tabs>
          <w:tab w:val="left" w:pos="540"/>
        </w:tabs>
        <w:rPr>
          <w:color w:val="000000"/>
        </w:rPr>
      </w:pPr>
    </w:p>
    <w:p w:rsidR="00A67DE5" w:rsidP="00A67DE5" w:rsidRDefault="00A67DE5">
      <w:pPr>
        <w:tabs>
          <w:tab w:val="left" w:pos="540"/>
        </w:tabs>
        <w:rPr>
          <w:color w:val="000000"/>
        </w:rPr>
      </w:pPr>
      <w:r w:rsidRPr="007E49C6">
        <w:rPr>
          <w:color w:val="000000"/>
        </w:rPr>
        <w:t xml:space="preserve">The </w:t>
      </w:r>
      <w:r w:rsidR="005E2EAF">
        <w:rPr>
          <w:color w:val="000000"/>
        </w:rPr>
        <w:t>annua</w:t>
      </w:r>
      <w:r w:rsidRPr="007E49C6" w:rsidR="00191F3A">
        <w:rPr>
          <w:color w:val="000000"/>
        </w:rPr>
        <w:t>l</w:t>
      </w:r>
      <w:r w:rsidRPr="007E49C6">
        <w:rPr>
          <w:color w:val="000000"/>
        </w:rPr>
        <w:t xml:space="preserve"> cost </w:t>
      </w:r>
      <w:r w:rsidRPr="007E49C6" w:rsidR="00B13589">
        <w:rPr>
          <w:color w:val="000000"/>
        </w:rPr>
        <w:t>to the Federal Government</w:t>
      </w:r>
      <w:r w:rsidRPr="007E49C6">
        <w:rPr>
          <w:color w:val="000000"/>
        </w:rPr>
        <w:t xml:space="preserve"> </w:t>
      </w:r>
      <w:r w:rsidR="005E2EAF">
        <w:rPr>
          <w:color w:val="000000"/>
        </w:rPr>
        <w:t xml:space="preserve">for sampling, data collection, analysis and reporting of scores is </w:t>
      </w:r>
      <w:r w:rsidRPr="00E73D1A" w:rsidR="00E73D1A">
        <w:rPr>
          <w:b/>
        </w:rPr>
        <w:t>$1,757,306</w:t>
      </w:r>
      <w:r w:rsidRPr="00A42DE0" w:rsidR="00053C3C">
        <w:t>.</w:t>
      </w:r>
    </w:p>
    <w:p w:rsidR="004D2916" w:rsidP="00A67DE5" w:rsidRDefault="004D2916">
      <w:pPr>
        <w:pStyle w:val="Heading2"/>
        <w:rPr>
          <w:rFonts w:ascii="Times New Roman" w:hAnsi="Times New Roman"/>
        </w:rPr>
      </w:pPr>
      <w:bookmarkStart w:name="_Toc383511906" w:id="17"/>
    </w:p>
    <w:p w:rsidR="00A67DE5" w:rsidP="00A67DE5" w:rsidRDefault="007452B3">
      <w:pPr>
        <w:pStyle w:val="Heading2"/>
      </w:pPr>
      <w:r>
        <w:rPr>
          <w:rFonts w:ascii="Times New Roman" w:hAnsi="Times New Roman"/>
        </w:rPr>
        <w:t xml:space="preserve">A15. </w:t>
      </w:r>
      <w:r w:rsidRPr="00EF52AE" w:rsidR="00A67DE5">
        <w:rPr>
          <w:rFonts w:ascii="Times New Roman" w:hAnsi="Times New Roman"/>
        </w:rPr>
        <w:t>Program Changes or Adjustments to Annual Burden</w:t>
      </w:r>
      <w:bookmarkEnd w:id="17"/>
    </w:p>
    <w:p w:rsidRPr="00EF52AE" w:rsidR="00A67DE5" w:rsidP="00A67DE5" w:rsidRDefault="00A67DE5"/>
    <w:p w:rsidR="00A67DE5" w:rsidP="00A67DE5" w:rsidRDefault="007E7869">
      <w:pPr>
        <w:tabs>
          <w:tab w:val="left" w:pos="540"/>
        </w:tabs>
      </w:pPr>
      <w:r>
        <w:t>No program changes</w:t>
      </w:r>
      <w:r w:rsidR="00D82017">
        <w:t xml:space="preserve">.  We do, however, note a 7.5% increase in the number of hospices participating in the survey </w:t>
      </w:r>
      <w:r w:rsidR="003A03FF">
        <w:t xml:space="preserve">from 2017 through 2019 </w:t>
      </w:r>
      <w:r w:rsidR="00D82017">
        <w:t>(from 3,414 to 3,670</w:t>
      </w:r>
      <w:r w:rsidR="00A47FBF">
        <w:t>), We</w:t>
      </w:r>
      <w:r w:rsidR="00D82017">
        <w:t xml:space="preserve"> believe this increase is due to more hospices becoming aware of the requirement as well as some hospices growing in size to the point that they must participate in the survey.</w:t>
      </w:r>
      <w:r w:rsidR="00A47FBF">
        <w:t xml:space="preserve"> </w:t>
      </w:r>
      <w:r w:rsidR="003F5EEF">
        <w:t>B</w:t>
      </w:r>
      <w:r w:rsidRPr="003F5EEF" w:rsidR="003F5EEF">
        <w:t>urden estimates do not include any estimates for the Mode Experiment</w:t>
      </w:r>
      <w:r w:rsidR="003F5EEF">
        <w:t>, which was previously included in the packages last iteration</w:t>
      </w:r>
      <w:r w:rsidRPr="003F5EEF" w:rsidR="003F5EEF">
        <w:t xml:space="preserve">.  The reason for this is that the Mode Experiment was a one-time study conducted in 2015.  We have not conducted any subsequent mode experiments.  </w:t>
      </w:r>
    </w:p>
    <w:p w:rsidR="003F5EEF" w:rsidP="00A67DE5" w:rsidRDefault="003F5EEF">
      <w:pPr>
        <w:tabs>
          <w:tab w:val="left" w:pos="540"/>
        </w:tabs>
      </w:pPr>
    </w:p>
    <w:p w:rsidRPr="00EF52AE" w:rsidR="00A67DE5" w:rsidP="00A67DE5" w:rsidRDefault="007452B3">
      <w:pPr>
        <w:pStyle w:val="Heading2"/>
        <w:rPr>
          <w:rFonts w:ascii="Times New Roman" w:hAnsi="Times New Roman"/>
        </w:rPr>
      </w:pPr>
      <w:bookmarkStart w:name="_Toc383511907" w:id="18"/>
      <w:r>
        <w:rPr>
          <w:rFonts w:ascii="Times New Roman" w:hAnsi="Times New Roman"/>
        </w:rPr>
        <w:t xml:space="preserve">A16. </w:t>
      </w:r>
      <w:r w:rsidRPr="00EF52AE" w:rsidR="00A67DE5">
        <w:rPr>
          <w:rFonts w:ascii="Times New Roman" w:hAnsi="Times New Roman"/>
        </w:rPr>
        <w:t>Tabulation and Publication of Results</w:t>
      </w:r>
      <w:bookmarkEnd w:id="18"/>
    </w:p>
    <w:p w:rsidR="00A67DE5" w:rsidP="00A67DE5" w:rsidRDefault="00A67DE5">
      <w:pPr>
        <w:tabs>
          <w:tab w:val="left" w:pos="540"/>
        </w:tabs>
      </w:pPr>
    </w:p>
    <w:p w:rsidRPr="000C7196" w:rsidR="009B0BDF" w:rsidP="000C7196" w:rsidRDefault="00E73D1A">
      <w:r>
        <w:t>In February 2018</w:t>
      </w:r>
      <w:r w:rsidR="00EC259F">
        <w:t>,</w:t>
      </w:r>
      <w:r>
        <w:t xml:space="preserve"> CMS started</w:t>
      </w:r>
      <w:r w:rsidR="000C7196">
        <w:t xml:space="preserve"> publicly report</w:t>
      </w:r>
      <w:r>
        <w:t xml:space="preserve">ing </w:t>
      </w:r>
      <w:r w:rsidR="00F43712">
        <w:t>patient</w:t>
      </w:r>
      <w:r>
        <w:t>-mix</w:t>
      </w:r>
      <w:r w:rsidR="000C7196">
        <w:t xml:space="preserve"> adjusted “top-box” scores for each of the eight CAHPS Hospice Survey measure</w:t>
      </w:r>
      <w:r w:rsidR="00B301EA">
        <w:t>s</w:t>
      </w:r>
      <w:r w:rsidR="000C7196">
        <w:t xml:space="preserve"> endorsed by the National Quality Forum. These include six composite measures (composed of multiple survey questions; </w:t>
      </w:r>
      <w:r w:rsidR="00E56F05">
        <w:t xml:space="preserve">Communication with family; Getting timely help; Treating patient with respect; Emotional and spiritual support; Help for pain and symptoms; Training family to care for patient </w:t>
      </w:r>
      <w:r w:rsidR="000C7196">
        <w:t xml:space="preserve">and two global measures (each composed of one survey question; </w:t>
      </w:r>
      <w:r w:rsidR="00E56F05">
        <w:t>Rating of this hospice Willing to recommend this</w:t>
      </w:r>
      <w:r w:rsidR="009B0BDF">
        <w:t xml:space="preserve"> hospice). </w:t>
      </w:r>
      <w:r w:rsidR="000C7196">
        <w:t>)</w:t>
      </w:r>
      <w:r w:rsidR="009B0BDF">
        <w:t xml:space="preserve"> </w:t>
      </w:r>
      <w:r w:rsidR="000C7196">
        <w:t>Top-box scores reflect the proportion of respondents that selected the most positive response category(ies) for the questions within the measure.  Top-box scores are adjusted for both mode of survey administration and case mix</w:t>
      </w:r>
      <w:r w:rsidR="00B85469">
        <w:t>.</w:t>
      </w:r>
      <w:r w:rsidR="001B4D45">
        <w:t xml:space="preserve"> </w:t>
      </w:r>
    </w:p>
    <w:p w:rsidRPr="000C7196" w:rsidR="000C7196" w:rsidP="000C7196" w:rsidRDefault="000C7196">
      <w:pPr>
        <w:pStyle w:val="CommentText"/>
        <w:rPr>
          <w:sz w:val="24"/>
          <w:szCs w:val="24"/>
        </w:rPr>
      </w:pPr>
      <w:r w:rsidRPr="000C7196">
        <w:rPr>
          <w:sz w:val="24"/>
          <w:szCs w:val="24"/>
        </w:rPr>
        <w:t xml:space="preserve">To adjust responses for the effect of mode of survey administration, which can affect scores but is not related to the quality of hospice care, CMS applies survey mode adjustments derived from a 2015 CAHPS Hospice Survey mode experiment.  Survey data collected using Mail Only or Mixed Mode are adjusted according to the difference in </w:t>
      </w:r>
      <w:r w:rsidRPr="000C7196">
        <w:rPr>
          <w:sz w:val="24"/>
          <w:szCs w:val="24"/>
        </w:rPr>
        <w:lastRenderedPageBreak/>
        <w:t xml:space="preserve">mode effects between that mode and the Telephone Only mode, as estimated through linear regression in the CAHPS Hospice Survey mode experiment. For Mixed mode, there is a single adjustment regardless of whether an individual responded by mail or phone (i.e., the adjustment is for the overall administration mode, not the mode in which the individual responds). </w:t>
      </w:r>
    </w:p>
    <w:p w:rsidR="000C7196" w:rsidP="000C7196" w:rsidRDefault="000C7196">
      <w:pPr>
        <w:pStyle w:val="CommentText"/>
        <w:rPr>
          <w:sz w:val="24"/>
          <w:szCs w:val="24"/>
        </w:rPr>
      </w:pPr>
    </w:p>
    <w:p w:rsidR="001B4D45" w:rsidP="001B4D45" w:rsidRDefault="001B4D45">
      <w:r>
        <w:t>We solicited feedback on patient mix adjustment and mode adjustment</w:t>
      </w:r>
      <w:r w:rsidR="003A03FF">
        <w:t xml:space="preserve"> in the Federal </w:t>
      </w:r>
      <w:r w:rsidR="009E1E09">
        <w:t>Re</w:t>
      </w:r>
      <w:r w:rsidR="003A03FF">
        <w:t>gister</w:t>
      </w:r>
      <w:r w:rsidR="009E1E09">
        <w:t xml:space="preserve"> </w:t>
      </w:r>
      <w:r w:rsidR="003A03FF">
        <w:t>(</w:t>
      </w:r>
      <w:r w:rsidR="00D85023">
        <w:t xml:space="preserve">82 </w:t>
      </w:r>
      <w:r w:rsidR="00323414">
        <w:t>FR</w:t>
      </w:r>
      <w:r w:rsidRPr="003A03FF" w:rsidR="003A03FF">
        <w:t xml:space="preserve"> </w:t>
      </w:r>
      <w:r w:rsidR="003A03FF">
        <w:t>36675</w:t>
      </w:r>
      <w:r w:rsidR="00D85023">
        <w:t>)</w:t>
      </w:r>
      <w:r w:rsidR="009E1E09">
        <w:t>.</w:t>
      </w:r>
      <w:r>
        <w:t xml:space="preserve">  Updated information on the coefficient</w:t>
      </w:r>
      <w:r w:rsidR="00D7536E">
        <w:t>s</w:t>
      </w:r>
      <w:r>
        <w:t xml:space="preserve"> we use to make these adjustments can be found at the </w:t>
      </w:r>
      <w:hyperlink w:history="1" r:id="rId11">
        <w:r w:rsidRPr="001B4D45">
          <w:rPr>
            <w:rStyle w:val="Hyperlink"/>
          </w:rPr>
          <w:t>CAHPS Hospice Surv</w:t>
        </w:r>
        <w:r w:rsidRPr="001B4D45">
          <w:rPr>
            <w:rStyle w:val="Hyperlink"/>
          </w:rPr>
          <w:t>e</w:t>
        </w:r>
        <w:r w:rsidRPr="001B4D45">
          <w:rPr>
            <w:rStyle w:val="Hyperlink"/>
          </w:rPr>
          <w:t>y technical website</w:t>
        </w:r>
      </w:hyperlink>
      <w:r>
        <w:t>.</w:t>
      </w:r>
    </w:p>
    <w:p w:rsidRPr="000C7196" w:rsidR="001B4D45" w:rsidP="000C7196" w:rsidRDefault="001B4D45">
      <w:pPr>
        <w:pStyle w:val="CommentText"/>
        <w:rPr>
          <w:sz w:val="24"/>
          <w:szCs w:val="24"/>
        </w:rPr>
      </w:pPr>
    </w:p>
    <w:p w:rsidR="000C7196" w:rsidP="000C7196" w:rsidRDefault="000C7196">
      <w:pPr>
        <w:rPr>
          <w:sz w:val="22"/>
          <w:szCs w:val="22"/>
        </w:rPr>
      </w:pPr>
      <w:r>
        <w:t xml:space="preserve">To ensure that comparisons between hospices reflect differences in performance rather than differences in patient and/or caregiver characteristics, CMS adjusts responses for case mix (i.e., variations of such characteristics across hospices). The case-mix adjustment model includes the following variables: </w:t>
      </w:r>
    </w:p>
    <w:p w:rsidRPr="000C7196" w:rsidR="000C7196" w:rsidP="00A42DE0" w:rsidRDefault="000C7196">
      <w:pPr>
        <w:pStyle w:val="Bullet"/>
        <w:numPr>
          <w:ilvl w:val="0"/>
          <w:numId w:val="7"/>
        </w:numPr>
      </w:pPr>
      <w:r w:rsidRPr="000C7196">
        <w:t xml:space="preserve">response percentile (calculated by ranking lag time—that is, days between death and survey response—among respondents for each hospice in each </w:t>
      </w:r>
      <w:r w:rsidR="00EC259F">
        <w:t>quarter</w:t>
      </w:r>
      <w:r w:rsidRPr="000C7196">
        <w:t xml:space="preserve">, then dividing by total sample size) </w:t>
      </w:r>
    </w:p>
    <w:p w:rsidRPr="000C7196" w:rsidR="000C7196" w:rsidP="00A42DE0" w:rsidRDefault="000C7196">
      <w:pPr>
        <w:pStyle w:val="Bullet"/>
        <w:numPr>
          <w:ilvl w:val="0"/>
          <w:numId w:val="7"/>
        </w:numPr>
      </w:pPr>
      <w:r w:rsidRPr="000C7196">
        <w:t xml:space="preserve">decedent age </w:t>
      </w:r>
    </w:p>
    <w:p w:rsidRPr="000C7196" w:rsidR="000C7196" w:rsidP="00A42DE0" w:rsidRDefault="000C7196">
      <w:pPr>
        <w:pStyle w:val="Bullet"/>
        <w:numPr>
          <w:ilvl w:val="0"/>
          <w:numId w:val="7"/>
        </w:numPr>
      </w:pPr>
      <w:r w:rsidRPr="000C7196">
        <w:t>payer for hospice care</w:t>
      </w:r>
    </w:p>
    <w:p w:rsidRPr="000C7196" w:rsidR="000C7196" w:rsidP="00A42DE0" w:rsidRDefault="000C7196">
      <w:pPr>
        <w:pStyle w:val="Bullet"/>
        <w:numPr>
          <w:ilvl w:val="0"/>
          <w:numId w:val="7"/>
        </w:numPr>
      </w:pPr>
      <w:r w:rsidRPr="000C7196">
        <w:t>primary diagnosis</w:t>
      </w:r>
    </w:p>
    <w:p w:rsidRPr="000C7196" w:rsidR="000C7196" w:rsidP="00A42DE0" w:rsidRDefault="000C7196">
      <w:pPr>
        <w:pStyle w:val="Bullet"/>
        <w:numPr>
          <w:ilvl w:val="0"/>
          <w:numId w:val="7"/>
        </w:numPr>
      </w:pPr>
      <w:r w:rsidRPr="000C7196">
        <w:t>length of final episode of hospice care</w:t>
      </w:r>
    </w:p>
    <w:p w:rsidRPr="000C7196" w:rsidR="000C7196" w:rsidP="00A42DE0" w:rsidRDefault="000C7196">
      <w:pPr>
        <w:pStyle w:val="Bullet"/>
        <w:numPr>
          <w:ilvl w:val="0"/>
          <w:numId w:val="7"/>
        </w:numPr>
      </w:pPr>
      <w:r w:rsidRPr="000C7196">
        <w:t>respondent age</w:t>
      </w:r>
    </w:p>
    <w:p w:rsidRPr="000C7196" w:rsidR="000C7196" w:rsidP="00A42DE0" w:rsidRDefault="000C7196">
      <w:pPr>
        <w:pStyle w:val="Bullet"/>
        <w:numPr>
          <w:ilvl w:val="0"/>
          <w:numId w:val="7"/>
        </w:numPr>
      </w:pPr>
      <w:r w:rsidRPr="000C7196">
        <w:t xml:space="preserve">respondent education </w:t>
      </w:r>
    </w:p>
    <w:p w:rsidRPr="000C7196" w:rsidR="000C7196" w:rsidP="00A42DE0" w:rsidRDefault="000C7196">
      <w:pPr>
        <w:pStyle w:val="Bullet"/>
        <w:numPr>
          <w:ilvl w:val="0"/>
          <w:numId w:val="7"/>
        </w:numPr>
      </w:pPr>
      <w:r w:rsidRPr="000C7196">
        <w:t xml:space="preserve">relationship of decedent to caregiver </w:t>
      </w:r>
    </w:p>
    <w:p w:rsidRPr="000C7196" w:rsidR="000C7196" w:rsidP="00A42DE0" w:rsidRDefault="000C7196">
      <w:pPr>
        <w:pStyle w:val="Bullet"/>
        <w:numPr>
          <w:ilvl w:val="0"/>
          <w:numId w:val="7"/>
        </w:numPr>
      </w:pPr>
      <w:r w:rsidRPr="000C7196">
        <w:t xml:space="preserve">language </w:t>
      </w:r>
    </w:p>
    <w:p w:rsidRPr="000C7196" w:rsidR="000C7196" w:rsidP="000C7196" w:rsidRDefault="000C7196">
      <w:pPr>
        <w:pStyle w:val="CommentText"/>
        <w:rPr>
          <w:sz w:val="24"/>
          <w:szCs w:val="24"/>
        </w:rPr>
      </w:pPr>
      <w:r w:rsidRPr="000C7196">
        <w:rPr>
          <w:sz w:val="24"/>
          <w:szCs w:val="24"/>
        </w:rPr>
        <w:t xml:space="preserve">Details regarding scoring and adjustment of the CAHPS Hospice Survey measures are available at the official survey website, www.hospicecahpssurvey.org.   </w:t>
      </w:r>
    </w:p>
    <w:p w:rsidR="000C7196" w:rsidP="00B209F0" w:rsidRDefault="000C7196"/>
    <w:p w:rsidR="007E7869" w:rsidP="00B209F0" w:rsidRDefault="00E73D1A">
      <w:r>
        <w:t>We are currently conducting</w:t>
      </w:r>
      <w:r w:rsidR="007E7869">
        <w:t xml:space="preserve"> ad hoc analysis of the survey data already collected</w:t>
      </w:r>
      <w:r>
        <w:t xml:space="preserve"> to begin preparation for </w:t>
      </w:r>
      <w:r w:rsidR="007E7869">
        <w:t>star ratings</w:t>
      </w:r>
      <w:r>
        <w:t>.  We expect that star ratings will be include</w:t>
      </w:r>
      <w:r w:rsidR="00EC259F">
        <w:t>d</w:t>
      </w:r>
      <w:r>
        <w:t xml:space="preserve"> in future public reporting, but we do not have a timeframe</w:t>
      </w:r>
      <w:r w:rsidR="007E7869">
        <w:t>.</w:t>
      </w:r>
    </w:p>
    <w:p w:rsidR="007E7869" w:rsidP="00B209F0" w:rsidRDefault="007E7869"/>
    <w:p w:rsidR="000A3AC7" w:rsidP="000A3AC7" w:rsidRDefault="000A3AC7">
      <w:r>
        <w:t>We also solicited comments regarding suggested changes, additions or deletions to the questionnaire that would improve its value to hospices.  (84 FR 38525) for quality improvement and consumers for selecting a hospice.</w:t>
      </w:r>
    </w:p>
    <w:p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383511908" w:id="19"/>
      <w:r>
        <w:rPr>
          <w:rFonts w:ascii="Times New Roman" w:hAnsi="Times New Roman"/>
        </w:rPr>
        <w:t xml:space="preserve">A17. </w:t>
      </w:r>
      <w:r w:rsidRPr="00EF52AE" w:rsidR="00A67DE5">
        <w:rPr>
          <w:rFonts w:ascii="Times New Roman" w:hAnsi="Times New Roman"/>
        </w:rPr>
        <w:t>Display of OMB Expiration Date</w:t>
      </w:r>
      <w:bookmarkEnd w:id="19"/>
    </w:p>
    <w:p w:rsidR="00A67DE5" w:rsidP="00A67DE5" w:rsidRDefault="00A67DE5">
      <w:pPr>
        <w:tabs>
          <w:tab w:val="left" w:pos="540"/>
        </w:tabs>
      </w:pPr>
    </w:p>
    <w:p w:rsidR="00A67DE5" w:rsidP="00A67DE5" w:rsidRDefault="00A67DE5">
      <w:pPr>
        <w:tabs>
          <w:tab w:val="left" w:pos="540"/>
        </w:tabs>
      </w:pPr>
      <w:r>
        <w:t xml:space="preserve">The </w:t>
      </w:r>
      <w:r w:rsidR="00A42DE0">
        <w:t xml:space="preserve">OMB number and required language will </w:t>
      </w:r>
      <w:r>
        <w:t>be displayed on the survey.</w:t>
      </w:r>
    </w:p>
    <w:p w:rsidR="00A67DE5" w:rsidP="00A67DE5" w:rsidRDefault="00A67DE5">
      <w:pPr>
        <w:tabs>
          <w:tab w:val="left" w:pos="540"/>
        </w:tabs>
      </w:pPr>
    </w:p>
    <w:p w:rsidR="0046661C" w:rsidP="00A67DE5" w:rsidRDefault="0046661C">
      <w:pPr>
        <w:tabs>
          <w:tab w:val="left" w:pos="540"/>
        </w:tabs>
      </w:pPr>
    </w:p>
    <w:p w:rsidR="0046661C" w:rsidP="00A67DE5" w:rsidRDefault="0046661C">
      <w:pPr>
        <w:tabs>
          <w:tab w:val="left" w:pos="540"/>
        </w:tabs>
      </w:pPr>
    </w:p>
    <w:p w:rsidRPr="00EF52AE" w:rsidR="00A67DE5" w:rsidP="00A67DE5" w:rsidRDefault="007452B3">
      <w:pPr>
        <w:pStyle w:val="Heading2"/>
        <w:rPr>
          <w:rFonts w:ascii="Times New Roman" w:hAnsi="Times New Roman"/>
        </w:rPr>
      </w:pPr>
      <w:bookmarkStart w:name="_Toc383511909" w:id="20"/>
      <w:r>
        <w:rPr>
          <w:rFonts w:ascii="Times New Roman" w:hAnsi="Times New Roman"/>
        </w:rPr>
        <w:lastRenderedPageBreak/>
        <w:t xml:space="preserve">A18. </w:t>
      </w:r>
      <w:r w:rsidRPr="00EF52AE" w:rsidR="00A67DE5">
        <w:rPr>
          <w:rFonts w:ascii="Times New Roman" w:hAnsi="Times New Roman"/>
        </w:rPr>
        <w:t>Exceptions to the Certification Statement</w:t>
      </w:r>
      <w:bookmarkEnd w:id="20"/>
    </w:p>
    <w:p w:rsidR="00A67DE5" w:rsidP="00A67DE5" w:rsidRDefault="00A67DE5">
      <w:pPr>
        <w:tabs>
          <w:tab w:val="left" w:pos="540"/>
        </w:tabs>
      </w:pPr>
    </w:p>
    <w:p w:rsidR="00A67DE5" w:rsidP="00A67DE5" w:rsidRDefault="00A67DE5">
      <w:pPr>
        <w:tabs>
          <w:tab w:val="left" w:pos="540"/>
        </w:tabs>
      </w:pPr>
      <w:r>
        <w:t>There are no exceptions to the certification statement identified in item 19 of OMB Form 83-I associated with this data collection effort.</w:t>
      </w:r>
    </w:p>
    <w:p w:rsidR="00A67DE5" w:rsidP="00A67DE5" w:rsidRDefault="00A67DE5">
      <w:pPr>
        <w:tabs>
          <w:tab w:val="left" w:pos="540"/>
        </w:tabs>
      </w:pPr>
    </w:p>
    <w:sectPr w:rsidR="00A67DE5" w:rsidSect="00D10660">
      <w:footerReference w:type="default" r:id="rId12"/>
      <w:footerReference w:type="firs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F39" w:rsidRDefault="006A3F39">
      <w:r>
        <w:separator/>
      </w:r>
    </w:p>
  </w:endnote>
  <w:endnote w:type="continuationSeparator" w:id="0">
    <w:p w:rsidR="006A3F39" w:rsidRDefault="006A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swiss"/>
    <w:pitch w:val="variable"/>
    <w:sig w:usb0="00000000" w:usb1="5000A1FF" w:usb2="00000000" w:usb3="00000000" w:csb0="000001BF" w:csb1="00000000"/>
  </w:font>
  <w:font w:name="Futura Condensed">
    <w:charset w:val="00"/>
    <w:family w:val="auto"/>
    <w:pitch w:val="variable"/>
    <w:sig w:usb0="8000006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43" w:rsidRDefault="00DA4E43">
    <w:pPr>
      <w:pStyle w:val="Footer"/>
      <w:jc w:val="center"/>
    </w:pPr>
    <w:r>
      <w:fldChar w:fldCharType="begin"/>
    </w:r>
    <w:r>
      <w:instrText xml:space="preserve"> PAGE   \* MERGEFORMAT </w:instrText>
    </w:r>
    <w:r>
      <w:fldChar w:fldCharType="separate"/>
    </w:r>
    <w:r w:rsidR="00865BD1">
      <w:rPr>
        <w:noProof/>
      </w:rPr>
      <w:t>1</w:t>
    </w:r>
    <w:r>
      <w:rPr>
        <w:noProof/>
      </w:rPr>
      <w:fldChar w:fldCharType="end"/>
    </w:r>
  </w:p>
  <w:p w:rsidR="00DA4E43" w:rsidRDefault="00DA4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43" w:rsidRDefault="00DA4E43" w:rsidP="00BE6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DA4E43" w:rsidRDefault="00DA4E43" w:rsidP="00D10660">
    <w:pPr>
      <w:pStyle w:val="Footer"/>
      <w:tabs>
        <w:tab w:val="clear" w:pos="4320"/>
        <w:tab w:val="clear" w:pos="8640"/>
        <w:tab w:val="left" w:pos="63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F39" w:rsidRDefault="006A3F39">
      <w:r>
        <w:separator/>
      </w:r>
    </w:p>
  </w:footnote>
  <w:footnote w:type="continuationSeparator" w:id="0">
    <w:p w:rsidR="006A3F39" w:rsidRDefault="006A3F39">
      <w:r>
        <w:continuationSeparator/>
      </w:r>
    </w:p>
  </w:footnote>
  <w:footnote w:id="1">
    <w:p w:rsidR="00DA4E43" w:rsidRDefault="00DA4E43" w:rsidP="00F422C9">
      <w:pPr>
        <w:pStyle w:val="FootnoteText"/>
      </w:pPr>
      <w:r>
        <w:rPr>
          <w:rStyle w:val="FootnoteReference"/>
        </w:rPr>
        <w:footnoteRef/>
      </w:r>
      <w:r>
        <w:t xml:space="preserve"> Retrieved from </w:t>
      </w:r>
      <w:hyperlink r:id="rId1" w:history="1">
        <w:r w:rsidR="00EB7818" w:rsidRPr="008E3795">
          <w:rPr>
            <w:rStyle w:val="Hyperlink"/>
          </w:rPr>
          <w:t>https://www.bls.gov/ooh/h</w:t>
        </w:r>
        <w:r w:rsidR="00EB7818" w:rsidRPr="008E3795">
          <w:rPr>
            <w:rStyle w:val="Hyperlink"/>
          </w:rPr>
          <w:t>e</w:t>
        </w:r>
        <w:r w:rsidR="00EB7818" w:rsidRPr="008E3795">
          <w:rPr>
            <w:rStyle w:val="Hyperlink"/>
          </w:rPr>
          <w:t>althcare/medica</w:t>
        </w:r>
        <w:r w:rsidR="00EB7818" w:rsidRPr="008E3795">
          <w:rPr>
            <w:rStyle w:val="Hyperlink"/>
          </w:rPr>
          <w:t>l</w:t>
        </w:r>
        <w:r w:rsidR="00EB7818" w:rsidRPr="008E3795">
          <w:rPr>
            <w:rStyle w:val="Hyperlink"/>
          </w:rPr>
          <w:t>-records-and</w:t>
        </w:r>
        <w:r w:rsidR="00EB7818" w:rsidRPr="008E3795">
          <w:rPr>
            <w:rStyle w:val="Hyperlink"/>
          </w:rPr>
          <w:t>-</w:t>
        </w:r>
        <w:r w:rsidR="00EB7818" w:rsidRPr="008E3795">
          <w:rPr>
            <w:rStyle w:val="Hyperlink"/>
          </w:rPr>
          <w:t>health-information-technicians.htm</w:t>
        </w:r>
      </w:hyperlink>
      <w:r>
        <w:t>.</w:t>
      </w:r>
      <w:r w:rsidR="00EB7818">
        <w:t xml:space="preserve"> Retrieved November 1,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4E9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87B96"/>
    <w:multiLevelType w:val="hybridMultilevel"/>
    <w:tmpl w:val="F300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F4072"/>
    <w:multiLevelType w:val="hybridMultilevel"/>
    <w:tmpl w:val="17CC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318D8"/>
    <w:multiLevelType w:val="hybridMultilevel"/>
    <w:tmpl w:val="A5ECD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E5"/>
    <w:rsid w:val="00002D67"/>
    <w:rsid w:val="00003FA0"/>
    <w:rsid w:val="00011A1C"/>
    <w:rsid w:val="00012EDB"/>
    <w:rsid w:val="0001391C"/>
    <w:rsid w:val="00013A52"/>
    <w:rsid w:val="00015017"/>
    <w:rsid w:val="000311B3"/>
    <w:rsid w:val="000432E7"/>
    <w:rsid w:val="00051B87"/>
    <w:rsid w:val="00053870"/>
    <w:rsid w:val="00053C3C"/>
    <w:rsid w:val="000556A3"/>
    <w:rsid w:val="00061E59"/>
    <w:rsid w:val="00065106"/>
    <w:rsid w:val="00071379"/>
    <w:rsid w:val="00083EB1"/>
    <w:rsid w:val="00097010"/>
    <w:rsid w:val="000A1E31"/>
    <w:rsid w:val="000A243B"/>
    <w:rsid w:val="000A3AC7"/>
    <w:rsid w:val="000B5EF7"/>
    <w:rsid w:val="000C6EE6"/>
    <w:rsid w:val="000C7196"/>
    <w:rsid w:val="000D3DAD"/>
    <w:rsid w:val="000D492B"/>
    <w:rsid w:val="000E38BB"/>
    <w:rsid w:val="000E3946"/>
    <w:rsid w:val="000F123D"/>
    <w:rsid w:val="000F5522"/>
    <w:rsid w:val="00104053"/>
    <w:rsid w:val="00106398"/>
    <w:rsid w:val="00107082"/>
    <w:rsid w:val="00111DDA"/>
    <w:rsid w:val="001132E8"/>
    <w:rsid w:val="00115537"/>
    <w:rsid w:val="00126E54"/>
    <w:rsid w:val="001274AF"/>
    <w:rsid w:val="0013117A"/>
    <w:rsid w:val="001440DC"/>
    <w:rsid w:val="0014542A"/>
    <w:rsid w:val="0014644B"/>
    <w:rsid w:val="00156398"/>
    <w:rsid w:val="00156552"/>
    <w:rsid w:val="001663CE"/>
    <w:rsid w:val="0017351B"/>
    <w:rsid w:val="00183CF9"/>
    <w:rsid w:val="00187BBD"/>
    <w:rsid w:val="00191F3A"/>
    <w:rsid w:val="00192F69"/>
    <w:rsid w:val="001A4046"/>
    <w:rsid w:val="001B1819"/>
    <w:rsid w:val="001B4D45"/>
    <w:rsid w:val="001C2C97"/>
    <w:rsid w:val="001C2CFD"/>
    <w:rsid w:val="001C40DC"/>
    <w:rsid w:val="001D5C41"/>
    <w:rsid w:val="001D7CD0"/>
    <w:rsid w:val="001E21E3"/>
    <w:rsid w:val="001E24B1"/>
    <w:rsid w:val="001E3907"/>
    <w:rsid w:val="001F6136"/>
    <w:rsid w:val="00203892"/>
    <w:rsid w:val="002058BD"/>
    <w:rsid w:val="00211335"/>
    <w:rsid w:val="00211422"/>
    <w:rsid w:val="00216CDE"/>
    <w:rsid w:val="0022765C"/>
    <w:rsid w:val="0023059F"/>
    <w:rsid w:val="00230D6F"/>
    <w:rsid w:val="00231506"/>
    <w:rsid w:val="002434A2"/>
    <w:rsid w:val="00244677"/>
    <w:rsid w:val="00251887"/>
    <w:rsid w:val="00251A86"/>
    <w:rsid w:val="00253499"/>
    <w:rsid w:val="00265EB5"/>
    <w:rsid w:val="00270388"/>
    <w:rsid w:val="00273F5C"/>
    <w:rsid w:val="00292ACC"/>
    <w:rsid w:val="002A392C"/>
    <w:rsid w:val="002A46B1"/>
    <w:rsid w:val="002B676C"/>
    <w:rsid w:val="002B7233"/>
    <w:rsid w:val="002B774D"/>
    <w:rsid w:val="002B7C23"/>
    <w:rsid w:val="002C2FBC"/>
    <w:rsid w:val="002C6791"/>
    <w:rsid w:val="002C714E"/>
    <w:rsid w:val="002E1548"/>
    <w:rsid w:val="002E2B87"/>
    <w:rsid w:val="002E3281"/>
    <w:rsid w:val="002E35AD"/>
    <w:rsid w:val="002F109C"/>
    <w:rsid w:val="002F53C9"/>
    <w:rsid w:val="002F7727"/>
    <w:rsid w:val="003018E4"/>
    <w:rsid w:val="00301E29"/>
    <w:rsid w:val="00302FE7"/>
    <w:rsid w:val="00314A85"/>
    <w:rsid w:val="00316B42"/>
    <w:rsid w:val="0031725E"/>
    <w:rsid w:val="00323414"/>
    <w:rsid w:val="00333118"/>
    <w:rsid w:val="003334B8"/>
    <w:rsid w:val="00337679"/>
    <w:rsid w:val="00356D84"/>
    <w:rsid w:val="00363D01"/>
    <w:rsid w:val="003A03FF"/>
    <w:rsid w:val="003A1BA1"/>
    <w:rsid w:val="003A3622"/>
    <w:rsid w:val="003B717B"/>
    <w:rsid w:val="003C0CDE"/>
    <w:rsid w:val="003C6950"/>
    <w:rsid w:val="003D42ED"/>
    <w:rsid w:val="003D7854"/>
    <w:rsid w:val="003E05D8"/>
    <w:rsid w:val="003E4E8F"/>
    <w:rsid w:val="003F4B26"/>
    <w:rsid w:val="003F5EEF"/>
    <w:rsid w:val="00402E98"/>
    <w:rsid w:val="004131D6"/>
    <w:rsid w:val="004136C6"/>
    <w:rsid w:val="00415BFD"/>
    <w:rsid w:val="00421689"/>
    <w:rsid w:val="0042473C"/>
    <w:rsid w:val="0042599F"/>
    <w:rsid w:val="00435D08"/>
    <w:rsid w:val="00440194"/>
    <w:rsid w:val="00440B8F"/>
    <w:rsid w:val="00441AEA"/>
    <w:rsid w:val="00460B03"/>
    <w:rsid w:val="00461752"/>
    <w:rsid w:val="0046659C"/>
    <w:rsid w:val="0046661C"/>
    <w:rsid w:val="00472CC4"/>
    <w:rsid w:val="00477BB5"/>
    <w:rsid w:val="00481689"/>
    <w:rsid w:val="00484F47"/>
    <w:rsid w:val="00485603"/>
    <w:rsid w:val="00486BCA"/>
    <w:rsid w:val="004918AA"/>
    <w:rsid w:val="00491A36"/>
    <w:rsid w:val="00492675"/>
    <w:rsid w:val="004976C3"/>
    <w:rsid w:val="00497BD6"/>
    <w:rsid w:val="004A0EC7"/>
    <w:rsid w:val="004B6487"/>
    <w:rsid w:val="004C1BE0"/>
    <w:rsid w:val="004D2916"/>
    <w:rsid w:val="004D3B14"/>
    <w:rsid w:val="004E0AE0"/>
    <w:rsid w:val="004E64F8"/>
    <w:rsid w:val="004E7D70"/>
    <w:rsid w:val="004F1414"/>
    <w:rsid w:val="00503C35"/>
    <w:rsid w:val="005062E5"/>
    <w:rsid w:val="00510221"/>
    <w:rsid w:val="00510B52"/>
    <w:rsid w:val="0051769B"/>
    <w:rsid w:val="005268C3"/>
    <w:rsid w:val="00533A11"/>
    <w:rsid w:val="00534E34"/>
    <w:rsid w:val="00537715"/>
    <w:rsid w:val="00550834"/>
    <w:rsid w:val="0055320B"/>
    <w:rsid w:val="00562088"/>
    <w:rsid w:val="00562B3A"/>
    <w:rsid w:val="005655B5"/>
    <w:rsid w:val="005766C7"/>
    <w:rsid w:val="00577B0A"/>
    <w:rsid w:val="00585877"/>
    <w:rsid w:val="00590C17"/>
    <w:rsid w:val="00594225"/>
    <w:rsid w:val="00597864"/>
    <w:rsid w:val="005A7CE6"/>
    <w:rsid w:val="005B4E7E"/>
    <w:rsid w:val="005D3156"/>
    <w:rsid w:val="005E03F7"/>
    <w:rsid w:val="005E20CB"/>
    <w:rsid w:val="005E2EAF"/>
    <w:rsid w:val="005E7AF5"/>
    <w:rsid w:val="005E7DA1"/>
    <w:rsid w:val="005F4237"/>
    <w:rsid w:val="00611B13"/>
    <w:rsid w:val="006125E3"/>
    <w:rsid w:val="00626F55"/>
    <w:rsid w:val="00631720"/>
    <w:rsid w:val="00637B9D"/>
    <w:rsid w:val="00641862"/>
    <w:rsid w:val="00643BE3"/>
    <w:rsid w:val="006448F7"/>
    <w:rsid w:val="00651FF6"/>
    <w:rsid w:val="00652568"/>
    <w:rsid w:val="00661698"/>
    <w:rsid w:val="006620B6"/>
    <w:rsid w:val="00670F8B"/>
    <w:rsid w:val="0067705E"/>
    <w:rsid w:val="00681D38"/>
    <w:rsid w:val="00695509"/>
    <w:rsid w:val="00696DA9"/>
    <w:rsid w:val="006A3F39"/>
    <w:rsid w:val="006C4517"/>
    <w:rsid w:val="006C4C5C"/>
    <w:rsid w:val="006C4E32"/>
    <w:rsid w:val="006C69A3"/>
    <w:rsid w:val="006D4383"/>
    <w:rsid w:val="006D5D30"/>
    <w:rsid w:val="006D731F"/>
    <w:rsid w:val="006D77E8"/>
    <w:rsid w:val="006E1902"/>
    <w:rsid w:val="006E7164"/>
    <w:rsid w:val="006F40BE"/>
    <w:rsid w:val="006F4286"/>
    <w:rsid w:val="006F68D2"/>
    <w:rsid w:val="00714853"/>
    <w:rsid w:val="00726868"/>
    <w:rsid w:val="00731B6A"/>
    <w:rsid w:val="00740333"/>
    <w:rsid w:val="007452B3"/>
    <w:rsid w:val="00755331"/>
    <w:rsid w:val="00763B81"/>
    <w:rsid w:val="0076495D"/>
    <w:rsid w:val="00774130"/>
    <w:rsid w:val="0077694B"/>
    <w:rsid w:val="00780235"/>
    <w:rsid w:val="00787C63"/>
    <w:rsid w:val="00796391"/>
    <w:rsid w:val="007A72ED"/>
    <w:rsid w:val="007B0B6A"/>
    <w:rsid w:val="007B5C6D"/>
    <w:rsid w:val="007B6D64"/>
    <w:rsid w:val="007C07E2"/>
    <w:rsid w:val="007C32E3"/>
    <w:rsid w:val="007C721C"/>
    <w:rsid w:val="007E00DC"/>
    <w:rsid w:val="007E489E"/>
    <w:rsid w:val="007E49C6"/>
    <w:rsid w:val="007E4E07"/>
    <w:rsid w:val="007E7869"/>
    <w:rsid w:val="007F19A7"/>
    <w:rsid w:val="007F4E03"/>
    <w:rsid w:val="007F7376"/>
    <w:rsid w:val="00805A53"/>
    <w:rsid w:val="008103E7"/>
    <w:rsid w:val="00814EA6"/>
    <w:rsid w:val="00815356"/>
    <w:rsid w:val="00821C6A"/>
    <w:rsid w:val="00831A86"/>
    <w:rsid w:val="008448C2"/>
    <w:rsid w:val="008456D6"/>
    <w:rsid w:val="00846CF7"/>
    <w:rsid w:val="00846EFC"/>
    <w:rsid w:val="00850114"/>
    <w:rsid w:val="0085024A"/>
    <w:rsid w:val="0085101C"/>
    <w:rsid w:val="00854B51"/>
    <w:rsid w:val="00855DF7"/>
    <w:rsid w:val="00865BD1"/>
    <w:rsid w:val="00866915"/>
    <w:rsid w:val="0087003F"/>
    <w:rsid w:val="00870302"/>
    <w:rsid w:val="00870D8C"/>
    <w:rsid w:val="00875BF2"/>
    <w:rsid w:val="00890144"/>
    <w:rsid w:val="008952C0"/>
    <w:rsid w:val="008A4D94"/>
    <w:rsid w:val="008A55B7"/>
    <w:rsid w:val="008D07FD"/>
    <w:rsid w:val="008D38F4"/>
    <w:rsid w:val="008D4A5C"/>
    <w:rsid w:val="008E0016"/>
    <w:rsid w:val="008E0F2B"/>
    <w:rsid w:val="00906F4F"/>
    <w:rsid w:val="00912C4C"/>
    <w:rsid w:val="009179F4"/>
    <w:rsid w:val="00952C6D"/>
    <w:rsid w:val="00967552"/>
    <w:rsid w:val="00977DFE"/>
    <w:rsid w:val="00982A44"/>
    <w:rsid w:val="0098485B"/>
    <w:rsid w:val="00997BDC"/>
    <w:rsid w:val="009A026A"/>
    <w:rsid w:val="009A29CB"/>
    <w:rsid w:val="009B0BDF"/>
    <w:rsid w:val="009B3A4C"/>
    <w:rsid w:val="009B710C"/>
    <w:rsid w:val="009C1E80"/>
    <w:rsid w:val="009D2C9F"/>
    <w:rsid w:val="009D6FC2"/>
    <w:rsid w:val="009E1277"/>
    <w:rsid w:val="009E1E09"/>
    <w:rsid w:val="009E300A"/>
    <w:rsid w:val="009F5DC0"/>
    <w:rsid w:val="00A03A30"/>
    <w:rsid w:val="00A14379"/>
    <w:rsid w:val="00A22B5D"/>
    <w:rsid w:val="00A27D3E"/>
    <w:rsid w:val="00A30D7B"/>
    <w:rsid w:val="00A40E81"/>
    <w:rsid w:val="00A42DE0"/>
    <w:rsid w:val="00A42F4D"/>
    <w:rsid w:val="00A43044"/>
    <w:rsid w:val="00A461F0"/>
    <w:rsid w:val="00A47FBF"/>
    <w:rsid w:val="00A57AD8"/>
    <w:rsid w:val="00A61132"/>
    <w:rsid w:val="00A6242B"/>
    <w:rsid w:val="00A62F16"/>
    <w:rsid w:val="00A67873"/>
    <w:rsid w:val="00A67A69"/>
    <w:rsid w:val="00A67DE5"/>
    <w:rsid w:val="00A72081"/>
    <w:rsid w:val="00A7371A"/>
    <w:rsid w:val="00A76445"/>
    <w:rsid w:val="00A77903"/>
    <w:rsid w:val="00A845AC"/>
    <w:rsid w:val="00A84A6B"/>
    <w:rsid w:val="00A8599E"/>
    <w:rsid w:val="00A87B87"/>
    <w:rsid w:val="00A92B2D"/>
    <w:rsid w:val="00A97DF6"/>
    <w:rsid w:val="00AA0F38"/>
    <w:rsid w:val="00AA2EA4"/>
    <w:rsid w:val="00AA4097"/>
    <w:rsid w:val="00AA4E57"/>
    <w:rsid w:val="00AA6E57"/>
    <w:rsid w:val="00AB38E0"/>
    <w:rsid w:val="00AB7E13"/>
    <w:rsid w:val="00AC101B"/>
    <w:rsid w:val="00AC5338"/>
    <w:rsid w:val="00AC691C"/>
    <w:rsid w:val="00AE1285"/>
    <w:rsid w:val="00AE66BD"/>
    <w:rsid w:val="00AE74F0"/>
    <w:rsid w:val="00AE7D67"/>
    <w:rsid w:val="00AF0F18"/>
    <w:rsid w:val="00B0254E"/>
    <w:rsid w:val="00B05D85"/>
    <w:rsid w:val="00B13589"/>
    <w:rsid w:val="00B209F0"/>
    <w:rsid w:val="00B2344B"/>
    <w:rsid w:val="00B301EA"/>
    <w:rsid w:val="00B356C7"/>
    <w:rsid w:val="00B42221"/>
    <w:rsid w:val="00B56D03"/>
    <w:rsid w:val="00B579A6"/>
    <w:rsid w:val="00B70C21"/>
    <w:rsid w:val="00B74156"/>
    <w:rsid w:val="00B750C7"/>
    <w:rsid w:val="00B813A4"/>
    <w:rsid w:val="00B825D8"/>
    <w:rsid w:val="00B8369C"/>
    <w:rsid w:val="00B85469"/>
    <w:rsid w:val="00BA3B02"/>
    <w:rsid w:val="00BB3003"/>
    <w:rsid w:val="00BB3608"/>
    <w:rsid w:val="00BD1CFD"/>
    <w:rsid w:val="00BE56DE"/>
    <w:rsid w:val="00BE67F0"/>
    <w:rsid w:val="00BF0AE3"/>
    <w:rsid w:val="00BF2327"/>
    <w:rsid w:val="00BF6932"/>
    <w:rsid w:val="00C062F0"/>
    <w:rsid w:val="00C11E2E"/>
    <w:rsid w:val="00C13D51"/>
    <w:rsid w:val="00C16F00"/>
    <w:rsid w:val="00C20E7C"/>
    <w:rsid w:val="00C24123"/>
    <w:rsid w:val="00C3559D"/>
    <w:rsid w:val="00C35769"/>
    <w:rsid w:val="00C37C7C"/>
    <w:rsid w:val="00C41EF8"/>
    <w:rsid w:val="00C64785"/>
    <w:rsid w:val="00C65641"/>
    <w:rsid w:val="00C720C2"/>
    <w:rsid w:val="00C76835"/>
    <w:rsid w:val="00C83F69"/>
    <w:rsid w:val="00C90E08"/>
    <w:rsid w:val="00C9208F"/>
    <w:rsid w:val="00CA164C"/>
    <w:rsid w:val="00CA53C6"/>
    <w:rsid w:val="00CA7BA3"/>
    <w:rsid w:val="00CB3259"/>
    <w:rsid w:val="00CC4CA2"/>
    <w:rsid w:val="00CD2A52"/>
    <w:rsid w:val="00CD3E0D"/>
    <w:rsid w:val="00CD5660"/>
    <w:rsid w:val="00CE0F51"/>
    <w:rsid w:val="00CE5320"/>
    <w:rsid w:val="00CE5AAB"/>
    <w:rsid w:val="00CF72E5"/>
    <w:rsid w:val="00D10525"/>
    <w:rsid w:val="00D10660"/>
    <w:rsid w:val="00D207F5"/>
    <w:rsid w:val="00D21524"/>
    <w:rsid w:val="00D268C7"/>
    <w:rsid w:val="00D37A48"/>
    <w:rsid w:val="00D44C95"/>
    <w:rsid w:val="00D4597F"/>
    <w:rsid w:val="00D462F9"/>
    <w:rsid w:val="00D516BC"/>
    <w:rsid w:val="00D5175B"/>
    <w:rsid w:val="00D54256"/>
    <w:rsid w:val="00D74475"/>
    <w:rsid w:val="00D7536E"/>
    <w:rsid w:val="00D759CA"/>
    <w:rsid w:val="00D82017"/>
    <w:rsid w:val="00D85023"/>
    <w:rsid w:val="00D92265"/>
    <w:rsid w:val="00D96EF0"/>
    <w:rsid w:val="00D97445"/>
    <w:rsid w:val="00DA0D65"/>
    <w:rsid w:val="00DA1D20"/>
    <w:rsid w:val="00DA4E43"/>
    <w:rsid w:val="00DA649C"/>
    <w:rsid w:val="00DB41C1"/>
    <w:rsid w:val="00DD2A42"/>
    <w:rsid w:val="00DE1E12"/>
    <w:rsid w:val="00DE2857"/>
    <w:rsid w:val="00DE4EEB"/>
    <w:rsid w:val="00E02B02"/>
    <w:rsid w:val="00E07375"/>
    <w:rsid w:val="00E108AA"/>
    <w:rsid w:val="00E159C9"/>
    <w:rsid w:val="00E203E4"/>
    <w:rsid w:val="00E2047A"/>
    <w:rsid w:val="00E31C01"/>
    <w:rsid w:val="00E44D5E"/>
    <w:rsid w:val="00E56F05"/>
    <w:rsid w:val="00E6117D"/>
    <w:rsid w:val="00E615B4"/>
    <w:rsid w:val="00E717A3"/>
    <w:rsid w:val="00E73D1A"/>
    <w:rsid w:val="00E77D8B"/>
    <w:rsid w:val="00E82D0B"/>
    <w:rsid w:val="00E87695"/>
    <w:rsid w:val="00E932AB"/>
    <w:rsid w:val="00E95814"/>
    <w:rsid w:val="00E967C2"/>
    <w:rsid w:val="00E972FC"/>
    <w:rsid w:val="00EA39C2"/>
    <w:rsid w:val="00EA4C90"/>
    <w:rsid w:val="00EB3BF6"/>
    <w:rsid w:val="00EB7818"/>
    <w:rsid w:val="00EB7F7F"/>
    <w:rsid w:val="00EC259F"/>
    <w:rsid w:val="00EC5074"/>
    <w:rsid w:val="00EC5FFB"/>
    <w:rsid w:val="00ED295E"/>
    <w:rsid w:val="00ED7225"/>
    <w:rsid w:val="00ED7F47"/>
    <w:rsid w:val="00EE04DD"/>
    <w:rsid w:val="00EE1C57"/>
    <w:rsid w:val="00EE7D60"/>
    <w:rsid w:val="00EF006F"/>
    <w:rsid w:val="00F02899"/>
    <w:rsid w:val="00F05AD7"/>
    <w:rsid w:val="00F07631"/>
    <w:rsid w:val="00F1053E"/>
    <w:rsid w:val="00F11CE2"/>
    <w:rsid w:val="00F14695"/>
    <w:rsid w:val="00F16281"/>
    <w:rsid w:val="00F2497A"/>
    <w:rsid w:val="00F308EC"/>
    <w:rsid w:val="00F33299"/>
    <w:rsid w:val="00F33620"/>
    <w:rsid w:val="00F4100F"/>
    <w:rsid w:val="00F422C9"/>
    <w:rsid w:val="00F43712"/>
    <w:rsid w:val="00F44E33"/>
    <w:rsid w:val="00F47EB7"/>
    <w:rsid w:val="00F5059A"/>
    <w:rsid w:val="00F560A8"/>
    <w:rsid w:val="00F621BA"/>
    <w:rsid w:val="00F63407"/>
    <w:rsid w:val="00F80F0A"/>
    <w:rsid w:val="00F81E76"/>
    <w:rsid w:val="00F90D2F"/>
    <w:rsid w:val="00FA7A54"/>
    <w:rsid w:val="00FB0091"/>
    <w:rsid w:val="00FB296C"/>
    <w:rsid w:val="00FB540E"/>
    <w:rsid w:val="00FC3F5F"/>
    <w:rsid w:val="00FC690B"/>
    <w:rsid w:val="00FD4B78"/>
    <w:rsid w:val="00FE079D"/>
    <w:rsid w:val="00FE36D3"/>
    <w:rsid w:val="00FF2534"/>
    <w:rsid w:val="00FF4054"/>
    <w:rsid w:val="00FF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efaultImageDpi w14:val="300"/>
  <w15:chartTrackingRefBased/>
  <w15:docId w15:val="{E8F46154-39E0-49A7-ABD9-A2143241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DE5"/>
    <w:rPr>
      <w:rFonts w:eastAsia="Times New Roman"/>
      <w:sz w:val="24"/>
      <w:szCs w:val="24"/>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link w:val="Heading1"/>
    <w:uiPriority w:val="99"/>
    <w:rsid w:val="00A67DE5"/>
    <w:rPr>
      <w:rFonts w:eastAsia="Times New Roman" w:cs="Times New Roman"/>
      <w:b/>
      <w:bCs/>
    </w:rPr>
  </w:style>
  <w:style w:type="character" w:customStyle="1" w:styleId="Heading2Char">
    <w:name w:val="Heading 2 Char"/>
    <w:aliases w:val="H2-Sec. Head Char"/>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BodyText3">
    <w:name w:val="Body Text 3"/>
    <w:basedOn w:val="Normal"/>
    <w:link w:val="BodyText3Char"/>
    <w:rsid w:val="00FF25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link w:val="BodyText3"/>
    <w:rsid w:val="00FF2534"/>
    <w:rPr>
      <w:rFonts w:eastAsia="Times New Roman" w:cs="Times New Roman"/>
      <w:b/>
      <w:sz w:val="20"/>
      <w:szCs w:val="20"/>
    </w:rPr>
  </w:style>
  <w:style w:type="paragraph" w:customStyle="1" w:styleId="LightGrid-Accent31">
    <w:name w:val="Light Grid - Accent 31"/>
    <w:basedOn w:val="Normal"/>
    <w:uiPriority w:val="34"/>
    <w:qFormat/>
    <w:rsid w:val="00C76835"/>
    <w:pPr>
      <w:ind w:left="720"/>
      <w:contextualSpacing/>
    </w:pPr>
  </w:style>
  <w:style w:type="paragraph" w:customStyle="1" w:styleId="AUTHOR">
    <w:name w:val="AUTHOR"/>
    <w:basedOn w:val="Title1"/>
    <w:next w:val="INFO"/>
    <w:rsid w:val="00A42F4D"/>
    <w:pPr>
      <w:spacing w:line="300" w:lineRule="exact"/>
    </w:pPr>
    <w:rPr>
      <w:caps/>
      <w:sz w:val="24"/>
    </w:rPr>
  </w:style>
  <w:style w:type="paragraph" w:styleId="BodyTextIndent">
    <w:name w:val="Body Text Indent"/>
    <w:basedOn w:val="Normal"/>
    <w:link w:val="BodyTextIndentChar"/>
    <w:uiPriority w:val="99"/>
    <w:semiHidden/>
    <w:unhideWhenUsed/>
    <w:rsid w:val="00597864"/>
    <w:pPr>
      <w:spacing w:after="120"/>
      <w:ind w:left="360"/>
    </w:pPr>
  </w:style>
  <w:style w:type="character" w:customStyle="1" w:styleId="BodyTextIndentChar">
    <w:name w:val="Body Text Indent Char"/>
    <w:link w:val="BodyTextIndent"/>
    <w:uiPriority w:val="99"/>
    <w:semiHidden/>
    <w:rsid w:val="00597864"/>
    <w:rPr>
      <w:rFonts w:eastAsia="Times New Roman" w:cs="Times New Roman"/>
    </w:rPr>
  </w:style>
  <w:style w:type="paragraph" w:customStyle="1" w:styleId="BibEntry">
    <w:name w:val="Bib Entry"/>
    <w:basedOn w:val="Normal"/>
    <w:qFormat/>
    <w:rsid w:val="00815356"/>
    <w:pPr>
      <w:spacing w:after="120" w:line="288" w:lineRule="auto"/>
      <w:ind w:left="360" w:hanging="360"/>
    </w:pPr>
    <w:rPr>
      <w:szCs w:val="20"/>
    </w:rPr>
  </w:style>
  <w:style w:type="paragraph" w:customStyle="1" w:styleId="Cover-DocumentType">
    <w:name w:val="Cover - Document Type"/>
    <w:basedOn w:val="Cover-Title"/>
    <w:next w:val="Cover-Title"/>
    <w:rsid w:val="00815356"/>
    <w:pPr>
      <w:pBdr>
        <w:bottom w:val="single" w:sz="4" w:space="1" w:color="auto"/>
      </w:pBdr>
      <w:spacing w:before="0" w:after="1680"/>
      <w:ind w:left="0" w:firstLine="0"/>
      <w:jc w:val="right"/>
    </w:pPr>
    <w:rPr>
      <w:rFonts w:cs="Arial"/>
      <w:sz w:val="28"/>
      <w:szCs w:val="28"/>
    </w:rPr>
  </w:style>
  <w:style w:type="paragraph" w:customStyle="1" w:styleId="Cover-AuthorList">
    <w:name w:val="Cover - Author List"/>
    <w:basedOn w:val="Cover-Title"/>
    <w:next w:val="Normal"/>
    <w:rsid w:val="00815356"/>
    <w:pPr>
      <w:spacing w:before="960" w:after="2040"/>
      <w:ind w:left="0" w:firstLine="0"/>
    </w:pPr>
    <w:rPr>
      <w:rFonts w:cs="Arial"/>
      <w:sz w:val="24"/>
    </w:rPr>
  </w:style>
  <w:style w:type="paragraph" w:customStyle="1" w:styleId="Cover-Title">
    <w:name w:val="Cover - Title"/>
    <w:basedOn w:val="Normal"/>
    <w:next w:val="Cover-Subtitle"/>
    <w:rsid w:val="00815356"/>
    <w:pPr>
      <w:spacing w:before="1680" w:after="360"/>
      <w:ind w:left="360" w:hanging="360"/>
    </w:pPr>
    <w:rPr>
      <w:rFonts w:ascii="Arial" w:hAnsi="Arial"/>
      <w:sz w:val="48"/>
    </w:rPr>
  </w:style>
  <w:style w:type="paragraph" w:customStyle="1" w:styleId="Cover-Subtitle">
    <w:name w:val="Cover - Subtitle"/>
    <w:basedOn w:val="Cover-Title"/>
    <w:next w:val="Cover-AuthorList"/>
    <w:rsid w:val="00815356"/>
    <w:pPr>
      <w:spacing w:before="360" w:after="960"/>
    </w:pPr>
    <w:rPr>
      <w:sz w:val="36"/>
    </w:rPr>
  </w:style>
  <w:style w:type="paragraph" w:styleId="TOC3">
    <w:name w:val="toc 3"/>
    <w:basedOn w:val="Normal"/>
    <w:next w:val="Normal"/>
    <w:autoRedefine/>
    <w:uiPriority w:val="39"/>
    <w:unhideWhenUsed/>
    <w:rsid w:val="00F81E76"/>
    <w:pPr>
      <w:ind w:left="480"/>
    </w:pPr>
  </w:style>
  <w:style w:type="paragraph" w:styleId="BodyText">
    <w:name w:val="Body Text"/>
    <w:basedOn w:val="Normal"/>
    <w:link w:val="BodyTextChar"/>
    <w:uiPriority w:val="99"/>
    <w:semiHidden/>
    <w:unhideWhenUsed/>
    <w:rsid w:val="00D10525"/>
    <w:pPr>
      <w:spacing w:after="120"/>
    </w:pPr>
  </w:style>
  <w:style w:type="character" w:customStyle="1" w:styleId="BodyTextChar">
    <w:name w:val="Body Text Char"/>
    <w:link w:val="BodyText"/>
    <w:uiPriority w:val="99"/>
    <w:semiHidden/>
    <w:rsid w:val="00D10525"/>
    <w:rPr>
      <w:rFonts w:eastAsia="Times New Roman"/>
      <w:sz w:val="24"/>
      <w:szCs w:val="24"/>
    </w:rPr>
  </w:style>
  <w:style w:type="paragraph" w:styleId="FootnoteText">
    <w:name w:val="footnote text"/>
    <w:basedOn w:val="Normal"/>
    <w:link w:val="FootnoteTextChar"/>
    <w:uiPriority w:val="99"/>
    <w:semiHidden/>
    <w:unhideWhenUsed/>
    <w:rsid w:val="00F422C9"/>
    <w:rPr>
      <w:sz w:val="20"/>
      <w:szCs w:val="20"/>
    </w:rPr>
  </w:style>
  <w:style w:type="character" w:customStyle="1" w:styleId="FootnoteTextChar">
    <w:name w:val="Footnote Text Char"/>
    <w:link w:val="FootnoteText"/>
    <w:uiPriority w:val="99"/>
    <w:semiHidden/>
    <w:rsid w:val="00F422C9"/>
    <w:rPr>
      <w:rFonts w:eastAsia="Times New Roman"/>
    </w:rPr>
  </w:style>
  <w:style w:type="character" w:styleId="FootnoteReference">
    <w:name w:val="footnote reference"/>
    <w:uiPriority w:val="99"/>
    <w:semiHidden/>
    <w:unhideWhenUsed/>
    <w:rsid w:val="00F422C9"/>
    <w:rPr>
      <w:vertAlign w:val="superscript"/>
    </w:rPr>
  </w:style>
  <w:style w:type="paragraph" w:customStyle="1" w:styleId="Bullet">
    <w:name w:val="Bullet"/>
    <w:basedOn w:val="Normal"/>
    <w:uiPriority w:val="99"/>
    <w:rsid w:val="006D4383"/>
    <w:pPr>
      <w:spacing w:before="120" w:after="120" w:line="288" w:lineRule="auto"/>
      <w:ind w:left="720" w:hanging="360"/>
      <w:contextualSpacing/>
    </w:pPr>
    <w:rPr>
      <w:rFonts w:eastAsia="Calibri"/>
    </w:rPr>
  </w:style>
  <w:style w:type="paragraph" w:styleId="ColorfulShading-Accent1">
    <w:name w:val="Colorful Shading Accent 1"/>
    <w:hidden/>
    <w:uiPriority w:val="71"/>
    <w:rsid w:val="006D4383"/>
    <w:rPr>
      <w:rFonts w:eastAsia="Times New Roman"/>
      <w:sz w:val="24"/>
      <w:szCs w:val="24"/>
    </w:rPr>
  </w:style>
  <w:style w:type="character" w:styleId="FollowedHyperlink">
    <w:name w:val="FollowedHyperlink"/>
    <w:uiPriority w:val="99"/>
    <w:semiHidden/>
    <w:unhideWhenUsed/>
    <w:rsid w:val="00EC5074"/>
    <w:rPr>
      <w:color w:val="800080"/>
      <w:u w:val="single"/>
    </w:rPr>
  </w:style>
  <w:style w:type="paragraph" w:styleId="Revision">
    <w:name w:val="Revision"/>
    <w:hidden/>
    <w:uiPriority w:val="71"/>
    <w:rsid w:val="000C719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4824">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794522187">
      <w:bodyDiv w:val="1"/>
      <w:marLeft w:val="0"/>
      <w:marRight w:val="0"/>
      <w:marTop w:val="0"/>
      <w:marBottom w:val="0"/>
      <w:divBdr>
        <w:top w:val="none" w:sz="0" w:space="0" w:color="auto"/>
        <w:left w:val="none" w:sz="0" w:space="0" w:color="auto"/>
        <w:bottom w:val="none" w:sz="0" w:space="0" w:color="auto"/>
        <w:right w:val="none" w:sz="0" w:space="0" w:color="auto"/>
      </w:divBdr>
    </w:div>
    <w:div w:id="925113836">
      <w:bodyDiv w:val="1"/>
      <w:marLeft w:val="0"/>
      <w:marRight w:val="0"/>
      <w:marTop w:val="0"/>
      <w:marBottom w:val="0"/>
      <w:divBdr>
        <w:top w:val="none" w:sz="0" w:space="0" w:color="auto"/>
        <w:left w:val="none" w:sz="0" w:space="0" w:color="auto"/>
        <w:bottom w:val="none" w:sz="0" w:space="0" w:color="auto"/>
        <w:right w:val="none" w:sz="0" w:space="0" w:color="auto"/>
      </w:divBdr>
    </w:div>
    <w:div w:id="953176807">
      <w:bodyDiv w:val="1"/>
      <w:marLeft w:val="0"/>
      <w:marRight w:val="0"/>
      <w:marTop w:val="0"/>
      <w:marBottom w:val="0"/>
      <w:divBdr>
        <w:top w:val="none" w:sz="0" w:space="0" w:color="auto"/>
        <w:left w:val="none" w:sz="0" w:space="0" w:color="auto"/>
        <w:bottom w:val="none" w:sz="0" w:space="0" w:color="auto"/>
        <w:right w:val="none" w:sz="0" w:space="0" w:color="auto"/>
      </w:divBdr>
    </w:div>
    <w:div w:id="1030186814">
      <w:bodyDiv w:val="1"/>
      <w:marLeft w:val="0"/>
      <w:marRight w:val="0"/>
      <w:marTop w:val="0"/>
      <w:marBottom w:val="0"/>
      <w:divBdr>
        <w:top w:val="none" w:sz="0" w:space="0" w:color="auto"/>
        <w:left w:val="none" w:sz="0" w:space="0" w:color="auto"/>
        <w:bottom w:val="none" w:sz="0" w:space="0" w:color="auto"/>
        <w:right w:val="none" w:sz="0" w:space="0" w:color="auto"/>
      </w:divBdr>
    </w:div>
    <w:div w:id="1298029352">
      <w:bodyDiv w:val="1"/>
      <w:marLeft w:val="0"/>
      <w:marRight w:val="0"/>
      <w:marTop w:val="0"/>
      <w:marBottom w:val="0"/>
      <w:divBdr>
        <w:top w:val="none" w:sz="0" w:space="0" w:color="auto"/>
        <w:left w:val="none" w:sz="0" w:space="0" w:color="auto"/>
        <w:bottom w:val="none" w:sz="0" w:space="0" w:color="auto"/>
        <w:right w:val="none" w:sz="0" w:space="0" w:color="auto"/>
      </w:divBdr>
    </w:div>
    <w:div w:id="1321538434">
      <w:bodyDiv w:val="1"/>
      <w:marLeft w:val="0"/>
      <w:marRight w:val="0"/>
      <w:marTop w:val="0"/>
      <w:marBottom w:val="0"/>
      <w:divBdr>
        <w:top w:val="none" w:sz="0" w:space="0" w:color="auto"/>
        <w:left w:val="none" w:sz="0" w:space="0" w:color="auto"/>
        <w:bottom w:val="none" w:sz="0" w:space="0" w:color="auto"/>
        <w:right w:val="none" w:sz="0" w:space="0" w:color="auto"/>
      </w:divBdr>
    </w:div>
    <w:div w:id="1335835483">
      <w:bodyDiv w:val="1"/>
      <w:marLeft w:val="0"/>
      <w:marRight w:val="0"/>
      <w:marTop w:val="0"/>
      <w:marBottom w:val="0"/>
      <w:divBdr>
        <w:top w:val="none" w:sz="0" w:space="0" w:color="auto"/>
        <w:left w:val="none" w:sz="0" w:space="0" w:color="auto"/>
        <w:bottom w:val="none" w:sz="0" w:space="0" w:color="auto"/>
        <w:right w:val="none" w:sz="0" w:space="0" w:color="auto"/>
      </w:divBdr>
    </w:div>
    <w:div w:id="1553417998">
      <w:bodyDiv w:val="1"/>
      <w:marLeft w:val="0"/>
      <w:marRight w:val="0"/>
      <w:marTop w:val="0"/>
      <w:marBottom w:val="0"/>
      <w:divBdr>
        <w:top w:val="none" w:sz="0" w:space="0" w:color="auto"/>
        <w:left w:val="none" w:sz="0" w:space="0" w:color="auto"/>
        <w:bottom w:val="none" w:sz="0" w:space="0" w:color="auto"/>
        <w:right w:val="none" w:sz="0" w:space="0" w:color="auto"/>
      </w:divBdr>
    </w:div>
    <w:div w:id="2002389901">
      <w:bodyDiv w:val="1"/>
      <w:marLeft w:val="0"/>
      <w:marRight w:val="0"/>
      <w:marTop w:val="0"/>
      <w:marBottom w:val="0"/>
      <w:divBdr>
        <w:top w:val="none" w:sz="0" w:space="0" w:color="auto"/>
        <w:left w:val="none" w:sz="0" w:space="0" w:color="auto"/>
        <w:bottom w:val="none" w:sz="0" w:space="0" w:color="auto"/>
        <w:right w:val="none" w:sz="0" w:space="0" w:color="auto"/>
      </w:divBdr>
    </w:div>
    <w:div w:id="2027318849">
      <w:bodyDiv w:val="1"/>
      <w:marLeft w:val="0"/>
      <w:marRight w:val="0"/>
      <w:marTop w:val="0"/>
      <w:marBottom w:val="0"/>
      <w:divBdr>
        <w:top w:val="none" w:sz="0" w:space="0" w:color="auto"/>
        <w:left w:val="none" w:sz="0" w:space="0" w:color="auto"/>
        <w:bottom w:val="none" w:sz="0" w:space="0" w:color="auto"/>
        <w:right w:val="none" w:sz="0" w:space="0" w:color="auto"/>
      </w:divBdr>
    </w:div>
    <w:div w:id="20591640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empsit.t19.htm%20on%20November%2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spicecahpssurve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oh/healthcare/medical-records-and-health-information-technicians.htm" TargetMode="External"/><Relationship Id="rId4" Type="http://schemas.openxmlformats.org/officeDocument/2006/relationships/settings" Target="settings.xml"/><Relationship Id="rId9" Type="http://schemas.openxmlformats.org/officeDocument/2006/relationships/hyperlink" Target="https://www.bls.gov/ooh/healthcare/medical-records-and-health-information-technicians.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3195-55E5-4B96-9BD8-231A4CAF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DRAFT Supporting Statement A for Hospice Experience of Care Survey</vt:lpstr>
    </vt:vector>
  </TitlesOfParts>
  <Company>The RAND Corporation</Company>
  <LinksUpToDate>false</LinksUpToDate>
  <CharactersWithSpaces>22011</CharactersWithSpaces>
  <SharedDoc>false</SharedDoc>
  <HyperlinkBase/>
  <HLinks>
    <vt:vector size="30" baseType="variant">
      <vt:variant>
        <vt:i4>3801126</vt:i4>
      </vt:variant>
      <vt:variant>
        <vt:i4>9</vt:i4>
      </vt:variant>
      <vt:variant>
        <vt:i4>0</vt:i4>
      </vt:variant>
      <vt:variant>
        <vt:i4>5</vt:i4>
      </vt:variant>
      <vt:variant>
        <vt:lpwstr>http://www.hospicecahpssurvey.org/</vt:lpwstr>
      </vt:variant>
      <vt:variant>
        <vt:lpwstr/>
      </vt:variant>
      <vt:variant>
        <vt:i4>5177438</vt:i4>
      </vt:variant>
      <vt:variant>
        <vt:i4>6</vt:i4>
      </vt:variant>
      <vt:variant>
        <vt:i4>0</vt:i4>
      </vt:variant>
      <vt:variant>
        <vt:i4>5</vt:i4>
      </vt:variant>
      <vt:variant>
        <vt:lpwstr>https://www.bls.gov/ooh/healthcare/medical-records-and-health-information-technicians.htm</vt:lpwstr>
      </vt:variant>
      <vt:variant>
        <vt:lpwstr/>
      </vt:variant>
      <vt:variant>
        <vt:i4>5177438</vt:i4>
      </vt:variant>
      <vt:variant>
        <vt:i4>3</vt:i4>
      </vt:variant>
      <vt:variant>
        <vt:i4>0</vt:i4>
      </vt:variant>
      <vt:variant>
        <vt:i4>5</vt:i4>
      </vt:variant>
      <vt:variant>
        <vt:lpwstr>https://www.bls.gov/ooh/healthcare/medical-records-and-health-information-technicians.htm</vt:lpwstr>
      </vt:variant>
      <vt:variant>
        <vt:lpwstr/>
      </vt:variant>
      <vt:variant>
        <vt:i4>65628</vt:i4>
      </vt:variant>
      <vt:variant>
        <vt:i4>0</vt:i4>
      </vt:variant>
      <vt:variant>
        <vt:i4>0</vt:i4>
      </vt:variant>
      <vt:variant>
        <vt:i4>5</vt:i4>
      </vt:variant>
      <vt:variant>
        <vt:lpwstr>https://www.bls.gov/news.release/empsit.t19.htm on November 1</vt:lpwstr>
      </vt:variant>
      <vt:variant>
        <vt:lpwstr/>
      </vt:variant>
      <vt:variant>
        <vt:i4>5177438</vt:i4>
      </vt:variant>
      <vt:variant>
        <vt:i4>0</vt:i4>
      </vt:variant>
      <vt:variant>
        <vt:i4>0</vt:i4>
      </vt:variant>
      <vt:variant>
        <vt:i4>5</vt:i4>
      </vt:variant>
      <vt:variant>
        <vt:lpwstr>https://www.bls.gov/ooh/healthcare/medical-records-and-health-information-technicians.htm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A for Hospice Experience of Care Survey</dc:title>
  <dc:subject>Supporting Statement A for Hospice Experience of Care Survey</dc:subject>
  <dc:creator>The RAND Corporation</dc:creator>
  <cp:keywords>Hospice Experience of Care Survey</cp:keywords>
  <cp:lastModifiedBy>Stephan McKenzie</cp:lastModifiedBy>
  <cp:revision>2</cp:revision>
  <cp:lastPrinted>2014-04-14T15:41:00Z</cp:lastPrinted>
  <dcterms:created xsi:type="dcterms:W3CDTF">2020-07-01T21:15:00Z</dcterms:created>
  <dcterms:modified xsi:type="dcterms:W3CDTF">2020-07-01T21:15:00Z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