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14076" w:rsidR="000D0EFB" w:rsidP="00135E1D" w:rsidRDefault="001D7AE8" w14:paraId="5DF94514" w14:textId="6BA145BB">
      <w:pPr>
        <w:pStyle w:val="ExhibitTitle"/>
      </w:pPr>
      <w:r w:rsidRPr="001D7AE8">
        <w:t xml:space="preserve">Health Insurance Exchange </w:t>
      </w:r>
      <w:r w:rsidRPr="00514076" w:rsidR="000D0EFB">
        <w:t xml:space="preserve"> </w:t>
      </w:r>
      <w:r w:rsidR="00F923D4">
        <w:t>Consumer Experience</w:t>
      </w:r>
      <w:r w:rsidRPr="00514076" w:rsidR="000D0EFB">
        <w:t xml:space="preserve"> Surveys</w:t>
      </w:r>
      <w:r w:rsidR="00F923D4">
        <w:t xml:space="preserve">: </w:t>
      </w:r>
      <w:r w:rsidR="00D84A89">
        <w:t xml:space="preserve">Qualified Health Plan Enrollee Experience </w:t>
      </w:r>
      <w:r w:rsidR="00F923D4">
        <w:t>Survey</w:t>
      </w:r>
      <w:r w:rsidRPr="00514076" w:rsidR="000D0EFB">
        <w:t xml:space="preserve"> </w:t>
      </w:r>
    </w:p>
    <w:p w:rsidR="00553524" w:rsidP="00135E1D" w:rsidRDefault="001E78AE" w14:paraId="17856A67" w14:textId="1EDE1BF0">
      <w:pPr>
        <w:pStyle w:val="TitleCover2"/>
      </w:pPr>
      <w:r>
        <w:t>Supporting Statement—Part B</w:t>
      </w:r>
      <w:r>
        <w:br/>
        <w:t>Collections of Information Employing Statistical Methods</w:t>
      </w:r>
      <w:bookmarkStart w:name="_GoBack" w:id="0"/>
      <w:bookmarkEnd w:id="0"/>
    </w:p>
    <w:p w:rsidRPr="002E6E23" w:rsidR="000D0EFB" w:rsidP="000D0EFB" w:rsidRDefault="000D0EFB" w14:paraId="744FB740" w14:textId="77777777">
      <w:pPr>
        <w:pStyle w:val="TitleCover2"/>
      </w:pPr>
      <w:r w:rsidRPr="002E6E23">
        <w:t xml:space="preserve">Centers for Medicare </w:t>
      </w:r>
      <w:r w:rsidR="00C87C4B">
        <w:t>&amp;</w:t>
      </w:r>
      <w:r w:rsidRPr="002E6E23" w:rsidR="00C87C4B">
        <w:t xml:space="preserve"> </w:t>
      </w:r>
      <w:r w:rsidRPr="002E6E23">
        <w:t>Medicaid Services</w:t>
      </w:r>
    </w:p>
    <w:p w:rsidR="000D0EFB" w:rsidP="000D0EFB" w:rsidRDefault="000D0EFB" w14:paraId="3135F72E" w14:textId="77777777">
      <w:pPr>
        <w:jc w:val="center"/>
        <w:sectPr w:rsidR="000D0EFB" w:rsidSect="00D543A7">
          <w:headerReference w:type="default" r:id="rId12"/>
          <w:footerReference w:type="default" r:id="rId13"/>
          <w:endnotePr>
            <w:numFmt w:val="decimal"/>
          </w:endnotePr>
          <w:pgSz w:w="12240" w:h="15840" w:code="1"/>
          <w:pgMar w:top="1440" w:right="1526" w:bottom="1440" w:left="1440" w:header="720" w:footer="720" w:gutter="0"/>
          <w:pgNumType w:fmt="lowerRoman" w:start="1"/>
          <w:cols w:space="720"/>
          <w:noEndnote/>
          <w:titlePg/>
          <w:docGrid w:linePitch="272"/>
        </w:sectPr>
      </w:pPr>
    </w:p>
    <w:p w:rsidRPr="00A5606F" w:rsidR="00311EF9" w:rsidP="00883F00" w:rsidRDefault="00311EF9" w14:paraId="7E586CF5" w14:textId="77777777">
      <w:pPr>
        <w:pStyle w:val="ContentsTitleNOTOC"/>
        <w:spacing w:after="240"/>
      </w:pPr>
      <w:r w:rsidRPr="00A5606F">
        <w:lastRenderedPageBreak/>
        <w:t>TABLE OF CONTENTS</w:t>
      </w:r>
    </w:p>
    <w:p w:rsidRPr="00A5606F" w:rsidR="00311EF9" w:rsidP="00514076" w:rsidRDefault="00311EF9" w14:paraId="2158FDA0" w14:textId="77777777">
      <w:pPr>
        <w:pStyle w:val="ContentsSubtitle"/>
      </w:pPr>
      <w:r w:rsidRPr="00A5606F">
        <w:t>Section</w:t>
      </w:r>
      <w:r w:rsidRPr="00A5606F">
        <w:tab/>
        <w:t>Page</w:t>
      </w:r>
    </w:p>
    <w:p w:rsidR="006A057A" w:rsidRDefault="00883F00" w14:paraId="6E069819" w14:textId="77777777">
      <w:pPr>
        <w:pStyle w:val="TOC1"/>
        <w:rPr>
          <w:rFonts w:asciiTheme="minorHAnsi" w:hAnsiTheme="minorHAnsi" w:eastAsiaTheme="minorEastAsia" w:cstheme="minorBidi"/>
          <w:b w:val="0"/>
          <w:bCs w:val="0"/>
          <w:noProof/>
          <w:sz w:val="22"/>
          <w:szCs w:val="22"/>
        </w:rPr>
      </w:pPr>
      <w:r>
        <w:rPr>
          <w:caps/>
        </w:rPr>
        <w:fldChar w:fldCharType="begin"/>
      </w:r>
      <w:r>
        <w:rPr>
          <w:caps/>
        </w:rPr>
        <w:instrText xml:space="preserve"> TOC \o "2-3" \h \z \t "Heading 1,1" </w:instrText>
      </w:r>
      <w:r>
        <w:rPr>
          <w:caps/>
        </w:rPr>
        <w:fldChar w:fldCharType="separate"/>
      </w:r>
      <w:hyperlink w:history="1" w:anchor="_Toc461456455">
        <w:r w:rsidRPr="00E76456" w:rsidR="006A057A">
          <w:rPr>
            <w:rStyle w:val="Hyperlink"/>
            <w:noProof/>
          </w:rPr>
          <w:t>1.</w:t>
        </w:r>
        <w:r w:rsidR="006A057A">
          <w:rPr>
            <w:rFonts w:asciiTheme="minorHAnsi" w:hAnsiTheme="minorHAnsi" w:eastAsiaTheme="minorEastAsia" w:cstheme="minorBidi"/>
            <w:b w:val="0"/>
            <w:bCs w:val="0"/>
            <w:noProof/>
            <w:sz w:val="22"/>
            <w:szCs w:val="22"/>
          </w:rPr>
          <w:tab/>
        </w:r>
        <w:r w:rsidRPr="00E76456" w:rsidR="006A057A">
          <w:rPr>
            <w:rStyle w:val="Hyperlink"/>
            <w:noProof/>
          </w:rPr>
          <w:t>Potential Respondent Universe and Sampling Methods</w:t>
        </w:r>
        <w:r w:rsidR="006A057A">
          <w:rPr>
            <w:noProof/>
            <w:webHidden/>
          </w:rPr>
          <w:tab/>
        </w:r>
        <w:r w:rsidR="006A057A">
          <w:rPr>
            <w:noProof/>
            <w:webHidden/>
          </w:rPr>
          <w:fldChar w:fldCharType="begin"/>
        </w:r>
        <w:r w:rsidR="006A057A">
          <w:rPr>
            <w:noProof/>
            <w:webHidden/>
          </w:rPr>
          <w:instrText xml:space="preserve"> PAGEREF _Toc461456455 \h </w:instrText>
        </w:r>
        <w:r w:rsidR="006A057A">
          <w:rPr>
            <w:noProof/>
            <w:webHidden/>
          </w:rPr>
        </w:r>
        <w:r w:rsidR="006A057A">
          <w:rPr>
            <w:noProof/>
            <w:webHidden/>
          </w:rPr>
          <w:fldChar w:fldCharType="separate"/>
        </w:r>
        <w:r w:rsidR="00A070CA">
          <w:rPr>
            <w:noProof/>
            <w:webHidden/>
          </w:rPr>
          <w:t>1</w:t>
        </w:r>
        <w:r w:rsidR="006A057A">
          <w:rPr>
            <w:noProof/>
            <w:webHidden/>
          </w:rPr>
          <w:fldChar w:fldCharType="end"/>
        </w:r>
      </w:hyperlink>
    </w:p>
    <w:p w:rsidR="006A057A" w:rsidRDefault="008E68AF" w14:paraId="0E05E109" w14:textId="77777777">
      <w:pPr>
        <w:pStyle w:val="TOC2"/>
        <w:rPr>
          <w:rFonts w:asciiTheme="minorHAnsi" w:hAnsiTheme="minorHAnsi" w:eastAsiaTheme="minorEastAsia" w:cstheme="minorBidi"/>
          <w:noProof/>
          <w:sz w:val="22"/>
          <w:szCs w:val="22"/>
        </w:rPr>
      </w:pPr>
      <w:hyperlink w:history="1" w:anchor="_Toc461456456">
        <w:r w:rsidRPr="00E76456" w:rsidR="006A057A">
          <w:rPr>
            <w:rStyle w:val="Hyperlink"/>
            <w:noProof/>
          </w:rPr>
          <w:t>1.1 Sampling Units</w:t>
        </w:r>
        <w:r w:rsidR="006A057A">
          <w:rPr>
            <w:noProof/>
            <w:webHidden/>
          </w:rPr>
          <w:tab/>
        </w:r>
        <w:r w:rsidR="006A057A">
          <w:rPr>
            <w:noProof/>
            <w:webHidden/>
          </w:rPr>
          <w:fldChar w:fldCharType="begin"/>
        </w:r>
        <w:r w:rsidR="006A057A">
          <w:rPr>
            <w:noProof/>
            <w:webHidden/>
          </w:rPr>
          <w:instrText xml:space="preserve"> PAGEREF _Toc461456456 \h </w:instrText>
        </w:r>
        <w:r w:rsidR="006A057A">
          <w:rPr>
            <w:noProof/>
            <w:webHidden/>
          </w:rPr>
        </w:r>
        <w:r w:rsidR="006A057A">
          <w:rPr>
            <w:noProof/>
            <w:webHidden/>
          </w:rPr>
          <w:fldChar w:fldCharType="separate"/>
        </w:r>
        <w:r w:rsidR="00A070CA">
          <w:rPr>
            <w:noProof/>
            <w:webHidden/>
          </w:rPr>
          <w:t>1</w:t>
        </w:r>
        <w:r w:rsidR="006A057A">
          <w:rPr>
            <w:noProof/>
            <w:webHidden/>
          </w:rPr>
          <w:fldChar w:fldCharType="end"/>
        </w:r>
      </w:hyperlink>
    </w:p>
    <w:p w:rsidR="006A057A" w:rsidRDefault="008E68AF" w14:paraId="1296C3C1" w14:textId="1AB87F1F">
      <w:pPr>
        <w:pStyle w:val="TOC2"/>
        <w:rPr>
          <w:rFonts w:asciiTheme="minorHAnsi" w:hAnsiTheme="minorHAnsi" w:eastAsiaTheme="minorEastAsia" w:cstheme="minorBidi"/>
          <w:noProof/>
          <w:sz w:val="22"/>
          <w:szCs w:val="22"/>
        </w:rPr>
      </w:pPr>
      <w:hyperlink w:history="1" w:anchor="_Toc461456457">
        <w:r w:rsidRPr="00E76456" w:rsidR="006A057A">
          <w:rPr>
            <w:rStyle w:val="Hyperlink"/>
            <w:noProof/>
          </w:rPr>
          <w:t>1.3 Sample Size</w:t>
        </w:r>
        <w:r w:rsidR="006A057A">
          <w:rPr>
            <w:noProof/>
            <w:webHidden/>
          </w:rPr>
          <w:tab/>
        </w:r>
        <w:r w:rsidR="006A057A">
          <w:rPr>
            <w:noProof/>
            <w:webHidden/>
          </w:rPr>
          <w:fldChar w:fldCharType="begin"/>
        </w:r>
        <w:r w:rsidR="006A057A">
          <w:rPr>
            <w:noProof/>
            <w:webHidden/>
          </w:rPr>
          <w:instrText xml:space="preserve"> PAGEREF _Toc461456457 \h </w:instrText>
        </w:r>
        <w:r w:rsidR="006A057A">
          <w:rPr>
            <w:noProof/>
            <w:webHidden/>
          </w:rPr>
        </w:r>
        <w:r w:rsidR="006A057A">
          <w:rPr>
            <w:noProof/>
            <w:webHidden/>
          </w:rPr>
          <w:fldChar w:fldCharType="separate"/>
        </w:r>
        <w:r w:rsidR="00A070CA">
          <w:rPr>
            <w:noProof/>
            <w:webHidden/>
          </w:rPr>
          <w:t>2</w:t>
        </w:r>
        <w:r w:rsidR="006A057A">
          <w:rPr>
            <w:noProof/>
            <w:webHidden/>
          </w:rPr>
          <w:fldChar w:fldCharType="end"/>
        </w:r>
      </w:hyperlink>
    </w:p>
    <w:p w:rsidR="006A057A" w:rsidRDefault="008E68AF" w14:paraId="3CE08068" w14:textId="32F18ED8">
      <w:pPr>
        <w:pStyle w:val="TOC1"/>
        <w:rPr>
          <w:rFonts w:asciiTheme="minorHAnsi" w:hAnsiTheme="minorHAnsi" w:eastAsiaTheme="minorEastAsia" w:cstheme="minorBidi"/>
          <w:b w:val="0"/>
          <w:bCs w:val="0"/>
          <w:noProof/>
          <w:sz w:val="22"/>
          <w:szCs w:val="22"/>
        </w:rPr>
      </w:pPr>
      <w:hyperlink w:history="1" w:anchor="_Toc461456458">
        <w:r w:rsidRPr="00E76456" w:rsidR="006A057A">
          <w:rPr>
            <w:rStyle w:val="Hyperlink"/>
            <w:noProof/>
          </w:rPr>
          <w:t>2.</w:t>
        </w:r>
        <w:r w:rsidR="006A057A">
          <w:rPr>
            <w:rFonts w:asciiTheme="minorHAnsi" w:hAnsiTheme="minorHAnsi" w:eastAsiaTheme="minorEastAsia" w:cstheme="minorBidi"/>
            <w:b w:val="0"/>
            <w:bCs w:val="0"/>
            <w:noProof/>
            <w:sz w:val="22"/>
            <w:szCs w:val="22"/>
          </w:rPr>
          <w:tab/>
        </w:r>
        <w:r w:rsidRPr="00E76456" w:rsidR="006A057A">
          <w:rPr>
            <w:rStyle w:val="Hyperlink"/>
            <w:noProof/>
          </w:rPr>
          <w:t>Information Collection Procedures</w:t>
        </w:r>
        <w:r w:rsidR="006A057A">
          <w:rPr>
            <w:noProof/>
            <w:webHidden/>
          </w:rPr>
          <w:tab/>
        </w:r>
        <w:r w:rsidR="006A057A">
          <w:rPr>
            <w:noProof/>
            <w:webHidden/>
          </w:rPr>
          <w:fldChar w:fldCharType="begin"/>
        </w:r>
        <w:r w:rsidR="006A057A">
          <w:rPr>
            <w:noProof/>
            <w:webHidden/>
          </w:rPr>
          <w:instrText xml:space="preserve"> PAGEREF _Toc461456458 \h </w:instrText>
        </w:r>
        <w:r w:rsidR="006A057A">
          <w:rPr>
            <w:noProof/>
            <w:webHidden/>
          </w:rPr>
        </w:r>
        <w:r w:rsidR="006A057A">
          <w:rPr>
            <w:noProof/>
            <w:webHidden/>
          </w:rPr>
          <w:fldChar w:fldCharType="separate"/>
        </w:r>
        <w:r w:rsidR="00A070CA">
          <w:rPr>
            <w:noProof/>
            <w:webHidden/>
          </w:rPr>
          <w:t>3</w:t>
        </w:r>
        <w:r w:rsidR="006A057A">
          <w:rPr>
            <w:noProof/>
            <w:webHidden/>
          </w:rPr>
          <w:fldChar w:fldCharType="end"/>
        </w:r>
      </w:hyperlink>
    </w:p>
    <w:p w:rsidR="006A057A" w:rsidRDefault="008E68AF" w14:paraId="0BAADF97" w14:textId="7801D25A">
      <w:pPr>
        <w:pStyle w:val="TOC2"/>
        <w:rPr>
          <w:rFonts w:asciiTheme="minorHAnsi" w:hAnsiTheme="minorHAnsi" w:eastAsiaTheme="minorEastAsia" w:cstheme="minorBidi"/>
          <w:noProof/>
          <w:sz w:val="22"/>
          <w:szCs w:val="22"/>
        </w:rPr>
      </w:pPr>
      <w:hyperlink w:history="1" w:anchor="_Toc461456459">
        <w:r w:rsidRPr="00E76456" w:rsidR="006A057A">
          <w:rPr>
            <w:rStyle w:val="Hyperlink"/>
            <w:noProof/>
          </w:rPr>
          <w:t>Exhibit B-1. Data Collection Protocol for 2017 QHP Enrollee Survey</w:t>
        </w:r>
        <w:r w:rsidR="006A057A">
          <w:rPr>
            <w:noProof/>
            <w:webHidden/>
          </w:rPr>
          <w:tab/>
        </w:r>
        <w:r w:rsidR="006A057A">
          <w:rPr>
            <w:noProof/>
            <w:webHidden/>
          </w:rPr>
          <w:fldChar w:fldCharType="begin"/>
        </w:r>
        <w:r w:rsidR="006A057A">
          <w:rPr>
            <w:noProof/>
            <w:webHidden/>
          </w:rPr>
          <w:instrText xml:space="preserve"> PAGEREF _Toc461456459 \h </w:instrText>
        </w:r>
        <w:r w:rsidR="006A057A">
          <w:rPr>
            <w:noProof/>
            <w:webHidden/>
          </w:rPr>
        </w:r>
        <w:r w:rsidR="006A057A">
          <w:rPr>
            <w:noProof/>
            <w:webHidden/>
          </w:rPr>
          <w:fldChar w:fldCharType="separate"/>
        </w:r>
        <w:r w:rsidR="00A070CA">
          <w:rPr>
            <w:noProof/>
            <w:webHidden/>
          </w:rPr>
          <w:t>3</w:t>
        </w:r>
        <w:r w:rsidR="006A057A">
          <w:rPr>
            <w:noProof/>
            <w:webHidden/>
          </w:rPr>
          <w:fldChar w:fldCharType="end"/>
        </w:r>
      </w:hyperlink>
    </w:p>
    <w:p w:rsidR="006A057A" w:rsidRDefault="008E68AF" w14:paraId="3550541C" w14:textId="78EFB762">
      <w:pPr>
        <w:pStyle w:val="TOC1"/>
        <w:rPr>
          <w:rFonts w:asciiTheme="minorHAnsi" w:hAnsiTheme="minorHAnsi" w:eastAsiaTheme="minorEastAsia" w:cstheme="minorBidi"/>
          <w:b w:val="0"/>
          <w:bCs w:val="0"/>
          <w:noProof/>
          <w:sz w:val="22"/>
          <w:szCs w:val="22"/>
        </w:rPr>
      </w:pPr>
      <w:hyperlink w:history="1" w:anchor="_Toc461456460">
        <w:r w:rsidRPr="00E76456" w:rsidR="006A057A">
          <w:rPr>
            <w:rStyle w:val="Hyperlink"/>
            <w:noProof/>
          </w:rPr>
          <w:t>3.</w:t>
        </w:r>
        <w:r w:rsidR="006A057A">
          <w:rPr>
            <w:rFonts w:asciiTheme="minorHAnsi" w:hAnsiTheme="minorHAnsi" w:eastAsiaTheme="minorEastAsia" w:cstheme="minorBidi"/>
            <w:b w:val="0"/>
            <w:bCs w:val="0"/>
            <w:noProof/>
            <w:sz w:val="22"/>
            <w:szCs w:val="22"/>
          </w:rPr>
          <w:tab/>
        </w:r>
        <w:r w:rsidRPr="00E76456" w:rsidR="006A057A">
          <w:rPr>
            <w:rStyle w:val="Hyperlink"/>
            <w:noProof/>
          </w:rPr>
          <w:t>Methods to Maximize Response Rates and Address Non-Response Bias</w:t>
        </w:r>
        <w:r w:rsidR="006A057A">
          <w:rPr>
            <w:noProof/>
            <w:webHidden/>
          </w:rPr>
          <w:tab/>
        </w:r>
        <w:r w:rsidR="006A057A">
          <w:rPr>
            <w:noProof/>
            <w:webHidden/>
          </w:rPr>
          <w:fldChar w:fldCharType="begin"/>
        </w:r>
        <w:r w:rsidR="006A057A">
          <w:rPr>
            <w:noProof/>
            <w:webHidden/>
          </w:rPr>
          <w:instrText xml:space="preserve"> PAGEREF _Toc461456460 \h </w:instrText>
        </w:r>
        <w:r w:rsidR="006A057A">
          <w:rPr>
            <w:noProof/>
            <w:webHidden/>
          </w:rPr>
        </w:r>
        <w:r w:rsidR="006A057A">
          <w:rPr>
            <w:noProof/>
            <w:webHidden/>
          </w:rPr>
          <w:fldChar w:fldCharType="separate"/>
        </w:r>
        <w:r w:rsidR="00A070CA">
          <w:rPr>
            <w:noProof/>
            <w:webHidden/>
          </w:rPr>
          <w:t>4</w:t>
        </w:r>
        <w:r w:rsidR="006A057A">
          <w:rPr>
            <w:noProof/>
            <w:webHidden/>
          </w:rPr>
          <w:fldChar w:fldCharType="end"/>
        </w:r>
      </w:hyperlink>
    </w:p>
    <w:p w:rsidR="006A057A" w:rsidRDefault="008E68AF" w14:paraId="65B78F1C" w14:textId="77777777">
      <w:pPr>
        <w:pStyle w:val="TOC2"/>
        <w:rPr>
          <w:rFonts w:asciiTheme="minorHAnsi" w:hAnsiTheme="minorHAnsi" w:eastAsiaTheme="minorEastAsia" w:cstheme="minorBidi"/>
          <w:noProof/>
          <w:sz w:val="22"/>
          <w:szCs w:val="22"/>
        </w:rPr>
      </w:pPr>
      <w:hyperlink w:history="1" w:anchor="_Toc461456461">
        <w:r w:rsidRPr="00E76456" w:rsidR="006A057A">
          <w:rPr>
            <w:rStyle w:val="Hyperlink"/>
            <w:noProof/>
          </w:rPr>
          <w:t>3.1 Evaluating Non-Response Bias</w:t>
        </w:r>
        <w:r w:rsidR="006A057A">
          <w:rPr>
            <w:noProof/>
            <w:webHidden/>
          </w:rPr>
          <w:tab/>
        </w:r>
        <w:r w:rsidR="006A057A">
          <w:rPr>
            <w:noProof/>
            <w:webHidden/>
          </w:rPr>
          <w:fldChar w:fldCharType="begin"/>
        </w:r>
        <w:r w:rsidR="006A057A">
          <w:rPr>
            <w:noProof/>
            <w:webHidden/>
          </w:rPr>
          <w:instrText xml:space="preserve"> PAGEREF _Toc461456461 \h </w:instrText>
        </w:r>
        <w:r w:rsidR="006A057A">
          <w:rPr>
            <w:noProof/>
            <w:webHidden/>
          </w:rPr>
        </w:r>
        <w:r w:rsidR="006A057A">
          <w:rPr>
            <w:noProof/>
            <w:webHidden/>
          </w:rPr>
          <w:fldChar w:fldCharType="separate"/>
        </w:r>
        <w:r w:rsidR="00A070CA">
          <w:rPr>
            <w:noProof/>
            <w:webHidden/>
          </w:rPr>
          <w:t>5</w:t>
        </w:r>
        <w:r w:rsidR="006A057A">
          <w:rPr>
            <w:noProof/>
            <w:webHidden/>
          </w:rPr>
          <w:fldChar w:fldCharType="end"/>
        </w:r>
      </w:hyperlink>
    </w:p>
    <w:p w:rsidR="006A057A" w:rsidRDefault="008E68AF" w14:paraId="4DFA1650" w14:textId="3C834639">
      <w:pPr>
        <w:pStyle w:val="TOC1"/>
        <w:rPr>
          <w:rFonts w:asciiTheme="minorHAnsi" w:hAnsiTheme="minorHAnsi" w:eastAsiaTheme="minorEastAsia" w:cstheme="minorBidi"/>
          <w:b w:val="0"/>
          <w:bCs w:val="0"/>
          <w:noProof/>
          <w:sz w:val="22"/>
          <w:szCs w:val="22"/>
        </w:rPr>
      </w:pPr>
      <w:hyperlink w:history="1" w:anchor="_Toc461456462">
        <w:r w:rsidRPr="00E76456" w:rsidR="006A057A">
          <w:rPr>
            <w:rStyle w:val="Hyperlink"/>
            <w:noProof/>
          </w:rPr>
          <w:t>4.</w:t>
        </w:r>
        <w:r w:rsidR="006A057A">
          <w:rPr>
            <w:rFonts w:asciiTheme="minorHAnsi" w:hAnsiTheme="minorHAnsi" w:eastAsiaTheme="minorEastAsia" w:cstheme="minorBidi"/>
            <w:b w:val="0"/>
            <w:bCs w:val="0"/>
            <w:noProof/>
            <w:sz w:val="22"/>
            <w:szCs w:val="22"/>
          </w:rPr>
          <w:tab/>
        </w:r>
        <w:r w:rsidRPr="00E76456" w:rsidR="006A057A">
          <w:rPr>
            <w:rStyle w:val="Hyperlink"/>
            <w:noProof/>
          </w:rPr>
          <w:t>Tests of Procedures</w:t>
        </w:r>
        <w:r w:rsidR="006A057A">
          <w:rPr>
            <w:noProof/>
            <w:webHidden/>
          </w:rPr>
          <w:tab/>
        </w:r>
        <w:r w:rsidR="006A057A">
          <w:rPr>
            <w:noProof/>
            <w:webHidden/>
          </w:rPr>
          <w:fldChar w:fldCharType="begin"/>
        </w:r>
        <w:r w:rsidR="006A057A">
          <w:rPr>
            <w:noProof/>
            <w:webHidden/>
          </w:rPr>
          <w:instrText xml:space="preserve"> PAGEREF _Toc461456462 \h </w:instrText>
        </w:r>
        <w:r w:rsidR="006A057A">
          <w:rPr>
            <w:noProof/>
            <w:webHidden/>
          </w:rPr>
        </w:r>
        <w:r w:rsidR="006A057A">
          <w:rPr>
            <w:noProof/>
            <w:webHidden/>
          </w:rPr>
          <w:fldChar w:fldCharType="separate"/>
        </w:r>
        <w:r w:rsidR="00A070CA">
          <w:rPr>
            <w:noProof/>
            <w:webHidden/>
          </w:rPr>
          <w:t>5</w:t>
        </w:r>
        <w:r w:rsidR="006A057A">
          <w:rPr>
            <w:noProof/>
            <w:webHidden/>
          </w:rPr>
          <w:fldChar w:fldCharType="end"/>
        </w:r>
      </w:hyperlink>
    </w:p>
    <w:p w:rsidR="006A057A" w:rsidRDefault="008E68AF" w14:paraId="0E36DF8B" w14:textId="77777777">
      <w:pPr>
        <w:pStyle w:val="TOC1"/>
        <w:rPr>
          <w:rFonts w:asciiTheme="minorHAnsi" w:hAnsiTheme="minorHAnsi" w:eastAsiaTheme="minorEastAsia" w:cstheme="minorBidi"/>
          <w:b w:val="0"/>
          <w:bCs w:val="0"/>
          <w:noProof/>
          <w:sz w:val="22"/>
          <w:szCs w:val="22"/>
        </w:rPr>
      </w:pPr>
      <w:hyperlink w:history="1" w:anchor="_Toc461456463">
        <w:r w:rsidRPr="00E76456" w:rsidR="006A057A">
          <w:rPr>
            <w:rStyle w:val="Hyperlink"/>
            <w:noProof/>
          </w:rPr>
          <w:t>5.</w:t>
        </w:r>
        <w:r w:rsidR="006A057A">
          <w:rPr>
            <w:rFonts w:asciiTheme="minorHAnsi" w:hAnsiTheme="minorHAnsi" w:eastAsiaTheme="minorEastAsia" w:cstheme="minorBidi"/>
            <w:b w:val="0"/>
            <w:bCs w:val="0"/>
            <w:noProof/>
            <w:sz w:val="22"/>
            <w:szCs w:val="22"/>
          </w:rPr>
          <w:tab/>
        </w:r>
        <w:r w:rsidRPr="00E76456" w:rsidR="006A057A">
          <w:rPr>
            <w:rStyle w:val="Hyperlink"/>
            <w:noProof/>
          </w:rPr>
          <w:t>Statistical Consultants</w:t>
        </w:r>
        <w:r w:rsidR="006A057A">
          <w:rPr>
            <w:noProof/>
            <w:webHidden/>
          </w:rPr>
          <w:tab/>
        </w:r>
        <w:r w:rsidR="006A057A">
          <w:rPr>
            <w:noProof/>
            <w:webHidden/>
          </w:rPr>
          <w:fldChar w:fldCharType="begin"/>
        </w:r>
        <w:r w:rsidR="006A057A">
          <w:rPr>
            <w:noProof/>
            <w:webHidden/>
          </w:rPr>
          <w:instrText xml:space="preserve"> PAGEREF _Toc461456463 \h </w:instrText>
        </w:r>
        <w:r w:rsidR="006A057A">
          <w:rPr>
            <w:noProof/>
            <w:webHidden/>
          </w:rPr>
        </w:r>
        <w:r w:rsidR="006A057A">
          <w:rPr>
            <w:noProof/>
            <w:webHidden/>
          </w:rPr>
          <w:fldChar w:fldCharType="separate"/>
        </w:r>
        <w:r w:rsidR="00A070CA">
          <w:rPr>
            <w:noProof/>
            <w:webHidden/>
          </w:rPr>
          <w:t>7</w:t>
        </w:r>
        <w:r w:rsidR="006A057A">
          <w:rPr>
            <w:noProof/>
            <w:webHidden/>
          </w:rPr>
          <w:fldChar w:fldCharType="end"/>
        </w:r>
      </w:hyperlink>
    </w:p>
    <w:p w:rsidR="006A057A" w:rsidRDefault="008E68AF" w14:paraId="6A2AA139" w14:textId="77777777">
      <w:pPr>
        <w:pStyle w:val="TOC1"/>
        <w:rPr>
          <w:rFonts w:asciiTheme="minorHAnsi" w:hAnsiTheme="minorHAnsi" w:eastAsiaTheme="minorEastAsia" w:cstheme="minorBidi"/>
          <w:b w:val="0"/>
          <w:bCs w:val="0"/>
          <w:noProof/>
          <w:sz w:val="22"/>
          <w:szCs w:val="22"/>
        </w:rPr>
      </w:pPr>
      <w:hyperlink w:history="1" w:anchor="_Toc461456464">
        <w:r w:rsidRPr="00E76456" w:rsidR="006A057A">
          <w:rPr>
            <w:rStyle w:val="Hyperlink"/>
            <w:noProof/>
          </w:rPr>
          <w:t>Appendix A: Detailed Findings from Nonresponse Bias Analysis of the 2016 QHP Enrollee Survey</w:t>
        </w:r>
        <w:r w:rsidR="006A057A">
          <w:rPr>
            <w:noProof/>
            <w:webHidden/>
          </w:rPr>
          <w:tab/>
        </w:r>
        <w:r w:rsidR="006A057A">
          <w:rPr>
            <w:noProof/>
            <w:webHidden/>
          </w:rPr>
          <w:fldChar w:fldCharType="begin"/>
        </w:r>
        <w:r w:rsidR="006A057A">
          <w:rPr>
            <w:noProof/>
            <w:webHidden/>
          </w:rPr>
          <w:instrText xml:space="preserve"> PAGEREF _Toc461456464 \h </w:instrText>
        </w:r>
        <w:r w:rsidR="006A057A">
          <w:rPr>
            <w:noProof/>
            <w:webHidden/>
          </w:rPr>
        </w:r>
        <w:r w:rsidR="006A057A">
          <w:rPr>
            <w:noProof/>
            <w:webHidden/>
          </w:rPr>
          <w:fldChar w:fldCharType="separate"/>
        </w:r>
        <w:r w:rsidR="00A070CA">
          <w:rPr>
            <w:noProof/>
            <w:webHidden/>
          </w:rPr>
          <w:t>8</w:t>
        </w:r>
        <w:r w:rsidR="006A057A">
          <w:rPr>
            <w:noProof/>
            <w:webHidden/>
          </w:rPr>
          <w:fldChar w:fldCharType="end"/>
        </w:r>
      </w:hyperlink>
    </w:p>
    <w:p w:rsidR="00311EF9" w:rsidP="000D0EFB" w:rsidRDefault="00883F00" w14:paraId="0077FDB9" w14:textId="77777777">
      <w:pPr>
        <w:pStyle w:val="TOC2"/>
      </w:pPr>
      <w:r>
        <w:rPr>
          <w:caps/>
        </w:rPr>
        <w:fldChar w:fldCharType="end"/>
      </w:r>
    </w:p>
    <w:p w:rsidR="00311EF9" w:rsidP="00311EF9" w:rsidRDefault="00311EF9" w14:paraId="164D58E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sectPr w:rsidR="00311EF9" w:rsidSect="00AA1D08">
          <w:headerReference w:type="default" r:id="rId14"/>
          <w:footerReference w:type="default" r:id="rId15"/>
          <w:headerReference w:type="first" r:id="rId16"/>
          <w:footerReference w:type="first" r:id="rId17"/>
          <w:endnotePr>
            <w:numFmt w:val="decimal"/>
          </w:endnotePr>
          <w:pgSz w:w="12240" w:h="15840" w:code="1"/>
          <w:pgMar w:top="1440" w:right="1440" w:bottom="1440" w:left="1440" w:header="720" w:footer="720" w:gutter="0"/>
          <w:pgNumType w:fmt="lowerRoman" w:start="1"/>
          <w:cols w:space="720"/>
          <w:noEndnote/>
          <w:titlePg/>
          <w:docGrid w:linePitch="272"/>
        </w:sectPr>
      </w:pPr>
    </w:p>
    <w:p w:rsidRPr="00101D3E" w:rsidR="00101D3E" w:rsidP="00101D3E" w:rsidRDefault="00101D3E" w14:paraId="305886B0" w14:textId="77777777">
      <w:pPr>
        <w:pStyle w:val="Heading1"/>
      </w:pPr>
      <w:bookmarkStart w:name="_Toc375154517" w:id="1"/>
      <w:bookmarkStart w:name="_Toc461456455" w:id="2"/>
      <w:r w:rsidRPr="00101D3E">
        <w:lastRenderedPageBreak/>
        <w:t>1.</w:t>
      </w:r>
      <w:r w:rsidRPr="00101D3E">
        <w:tab/>
        <w:t>Potential Respondent Universe and Sampling Methods</w:t>
      </w:r>
      <w:bookmarkEnd w:id="1"/>
      <w:bookmarkEnd w:id="2"/>
    </w:p>
    <w:p w:rsidR="006A4ACC" w:rsidP="004543A6" w:rsidRDefault="00101D3E" w14:paraId="4F33DB13" w14:textId="77777777">
      <w:pPr>
        <w:spacing w:after="120"/>
      </w:pPr>
      <w:r>
        <w:t>This supporting statement inc</w:t>
      </w:r>
      <w:r w:rsidR="00C7103F">
        <w:t>ludes information in support of the</w:t>
      </w:r>
      <w:r w:rsidR="001D3336">
        <w:t xml:space="preserve"> </w:t>
      </w:r>
      <w:r w:rsidR="006A31B4">
        <w:t>Q</w:t>
      </w:r>
      <w:r w:rsidR="00425862">
        <w:t xml:space="preserve">ualified Health Plan Enrollee Experience </w:t>
      </w:r>
      <w:r w:rsidR="006A31B4">
        <w:t>Survey</w:t>
      </w:r>
      <w:r w:rsidR="00425862">
        <w:t xml:space="preserve"> (</w:t>
      </w:r>
      <w:r w:rsidR="00D20E83">
        <w:t>“</w:t>
      </w:r>
      <w:r w:rsidR="00425862">
        <w:t>QHP Enrollee Survey</w:t>
      </w:r>
      <w:r w:rsidR="00D20E83">
        <w:t>”</w:t>
      </w:r>
      <w:r w:rsidR="00425862">
        <w:t>)</w:t>
      </w:r>
      <w:r w:rsidR="00C7103F">
        <w:t>.</w:t>
      </w:r>
      <w:r w:rsidR="00D8110A">
        <w:t xml:space="preserve"> CMS developed the QHP Enrollee Survey, </w:t>
      </w:r>
      <w:r w:rsidR="00B17108">
        <w:t>which contributes a</w:t>
      </w:r>
      <w:r w:rsidR="00D8110A">
        <w:t xml:space="preserve"> subset of survey measures </w:t>
      </w:r>
      <w:r w:rsidR="00B17108">
        <w:t>to</w:t>
      </w:r>
      <w:r w:rsidR="00D8110A">
        <w:t xml:space="preserve"> the Quality Rating System (QRS)</w:t>
      </w:r>
      <w:r w:rsidR="00E8567F">
        <w:t xml:space="preserve">. </w:t>
      </w:r>
    </w:p>
    <w:p w:rsidR="006A31B4" w:rsidP="006A4ACC" w:rsidRDefault="00E8567F" w14:paraId="136854E3" w14:textId="22551C9D">
      <w:pPr>
        <w:spacing w:after="120"/>
      </w:pPr>
      <w:r>
        <w:t>CMS designed the QRS to provide comparable and useful information to consumers about</w:t>
      </w:r>
      <w:r w:rsidR="006A4ACC">
        <w:t xml:space="preserve"> the </w:t>
      </w:r>
      <w:r>
        <w:t>quality of health care servi</w:t>
      </w:r>
      <w:r w:rsidR="002D6DB8">
        <w:t>ces</w:t>
      </w:r>
      <w:r>
        <w:t xml:space="preserve"> and enrollee experience with QHPs offered through the </w:t>
      </w:r>
      <w:r w:rsidRPr="001D7AE8" w:rsidR="001D7AE8">
        <w:t>Health Insurance Exchange</w:t>
      </w:r>
      <w:r w:rsidR="008B560F">
        <w:t xml:space="preserve"> (Exchange)</w:t>
      </w:r>
      <w:r w:rsidRPr="001D7AE8" w:rsidR="001D7AE8">
        <w:t xml:space="preserve"> (also known as Marketplace)</w:t>
      </w:r>
      <w:r>
        <w:t>.</w:t>
      </w:r>
      <w:r w:rsidRPr="000A5D0E" w:rsidR="000A5D0E">
        <w:rPr>
          <w:rStyle w:val="FootnoteReference"/>
        </w:rPr>
        <w:t xml:space="preserve"> </w:t>
      </w:r>
      <w:r w:rsidR="000A5D0E">
        <w:rPr>
          <w:rStyle w:val="FootnoteReference"/>
        </w:rPr>
        <w:footnoteReference w:id="2"/>
      </w:r>
      <w:r>
        <w:t xml:space="preserve"> </w:t>
      </w:r>
    </w:p>
    <w:p w:rsidR="00124FA0" w:rsidP="00AF75CB" w:rsidRDefault="00124FA0" w14:paraId="248D56B1" w14:textId="77777777">
      <w:pPr>
        <w:pStyle w:val="Heading2"/>
      </w:pPr>
      <w:bookmarkStart w:name="_Toc461456456" w:id="3"/>
      <w:r>
        <w:t>1.1 Sampling Units</w:t>
      </w:r>
      <w:bookmarkEnd w:id="3"/>
    </w:p>
    <w:p w:rsidR="006A4ACC" w:rsidP="00AF75CB" w:rsidRDefault="00D63939" w14:paraId="5D43900D" w14:textId="77777777">
      <w:pPr>
        <w:pStyle w:val="PBodyText"/>
      </w:pPr>
      <w:r>
        <w:t>As outlined in 45 CFR § 156.1125(b)</w:t>
      </w:r>
      <w:r w:rsidR="00597847">
        <w:t>,</w:t>
      </w:r>
      <w:r>
        <w:t xml:space="preserve"> Q</w:t>
      </w:r>
      <w:r w:rsidR="00FF73C3">
        <w:t xml:space="preserve">ualified </w:t>
      </w:r>
      <w:r>
        <w:t>H</w:t>
      </w:r>
      <w:r w:rsidR="00FF73C3">
        <w:t xml:space="preserve">ealth </w:t>
      </w:r>
      <w:r>
        <w:t>P</w:t>
      </w:r>
      <w:r w:rsidR="00FF73C3">
        <w:t>lan (QHP)</w:t>
      </w:r>
      <w:r>
        <w:t xml:space="preserve"> issuers are required to conduct the QHP Enrollee Survey at the level specified by HHS for all QHPs that had more than 500 enrollees as of the previous year. </w:t>
      </w:r>
      <w:r w:rsidR="006A4ACC">
        <w:t xml:space="preserve">Beginning with the 2017 QHP Enrollee Survey, CMS also required that reporting units have more than 500 </w:t>
      </w:r>
      <w:r w:rsidR="00043982">
        <w:t>enrollees as of January 1 in order to be required to administer the survey. The goal of this requirement was to reduce the burden on QHP issuers who may have had more than 500 enrollees during the previous year, but saw a reduced number of enrollees</w:t>
      </w:r>
      <w:r w:rsidRPr="00B17108" w:rsidR="00B17108">
        <w:t xml:space="preserve"> </w:t>
      </w:r>
      <w:r w:rsidR="00B17108">
        <w:t>for the new year</w:t>
      </w:r>
      <w:r w:rsidR="00043982">
        <w:t xml:space="preserve">. </w:t>
      </w:r>
    </w:p>
    <w:p w:rsidR="00D63939" w:rsidP="00AF75CB" w:rsidRDefault="00D63939" w14:paraId="03FA3511" w14:textId="6986E84F">
      <w:pPr>
        <w:pStyle w:val="PBodyText"/>
      </w:pPr>
      <w:r>
        <w:t xml:space="preserve">CMS has </w:t>
      </w:r>
      <w:r w:rsidR="009158EF">
        <w:t xml:space="preserve">established the </w:t>
      </w:r>
      <w:r>
        <w:t>reporting unit a</w:t>
      </w:r>
      <w:r w:rsidR="00BB0BBC">
        <w:t>s</w:t>
      </w:r>
      <w:r>
        <w:t xml:space="preserve"> the product type (i.e., Exclusive Provider Organization [EPO], Health Maintenance Organization [HMO], Preferred Provider Organization [PPO], Point of Service [POS]) offered by a QHP issuer through the </w:t>
      </w:r>
      <w:r w:rsidR="00A31932">
        <w:t>Exchange</w:t>
      </w:r>
      <w:r>
        <w:t xml:space="preserve"> in a particular state. For example, XYZ issuer’s HMOs offered through the </w:t>
      </w:r>
      <w:r w:rsidR="00A31932">
        <w:t>Exchange</w:t>
      </w:r>
      <w:r>
        <w:t xml:space="preserve"> in Florida would be considered a single </w:t>
      </w:r>
      <w:r w:rsidR="00B17108">
        <w:t xml:space="preserve">reporting </w:t>
      </w:r>
      <w:r>
        <w:t xml:space="preserve">unit. Depending on the way a QHP issuer packages its plan offerings, the </w:t>
      </w:r>
      <w:r w:rsidR="00B17108">
        <w:t xml:space="preserve">reporting </w:t>
      </w:r>
      <w:r>
        <w:t xml:space="preserve">unit might include anywhere from a single QHP to many QHPs spanning all categories of coverage (i.e., bronze, silver, gold, platinum, catastrophic). QHP issuers will create a sample frame for </w:t>
      </w:r>
      <w:r w:rsidRPr="00B32C29">
        <w:rPr>
          <w:i/>
        </w:rPr>
        <w:t>each</w:t>
      </w:r>
      <w:r>
        <w:t xml:space="preserve"> </w:t>
      </w:r>
      <w:r w:rsidRPr="00B32C29">
        <w:rPr>
          <w:i/>
        </w:rPr>
        <w:t>product</w:t>
      </w:r>
      <w:r>
        <w:t xml:space="preserve"> </w:t>
      </w:r>
      <w:r w:rsidRPr="00901741">
        <w:rPr>
          <w:i/>
        </w:rPr>
        <w:t>type</w:t>
      </w:r>
      <w:r>
        <w:t xml:space="preserve"> they offer through the </w:t>
      </w:r>
      <w:r w:rsidR="00A31932">
        <w:t>Exchange</w:t>
      </w:r>
      <w:r w:rsidR="00853325">
        <w:t xml:space="preserve"> </w:t>
      </w:r>
      <w:r>
        <w:t>within a particular state</w:t>
      </w:r>
      <w:r w:rsidR="00B17108">
        <w:t>, or reporting unit</w:t>
      </w:r>
      <w:r>
        <w:t>.</w:t>
      </w:r>
      <w:r w:rsidR="00C35550">
        <w:t xml:space="preserve"> Child-only QHPs as well as Standalone Dental Plans (SADPs) are excluded from the QHP Enrollee </w:t>
      </w:r>
      <w:r w:rsidR="00E97200">
        <w:t>Survey</w:t>
      </w:r>
      <w:r w:rsidR="00FF5EE7">
        <w:t xml:space="preserve"> at this time</w:t>
      </w:r>
      <w:r w:rsidR="00C35550">
        <w:t>.</w:t>
      </w:r>
    </w:p>
    <w:p w:rsidR="002D6DB8" w:rsidP="002D6DB8" w:rsidRDefault="00EA45DE" w14:paraId="30D287B2" w14:textId="77777777">
      <w:pPr>
        <w:pStyle w:val="PBodyText"/>
      </w:pPr>
      <w:r>
        <w:t xml:space="preserve">For the </w:t>
      </w:r>
      <w:r w:rsidR="006A4ACC">
        <w:t xml:space="preserve">2018 </w:t>
      </w:r>
      <w:r>
        <w:t xml:space="preserve">survey, CMS estimates that no more than </w:t>
      </w:r>
      <w:r w:rsidR="00364B7C">
        <w:t>300</w:t>
      </w:r>
      <w:r w:rsidR="006A4ACC">
        <w:t xml:space="preserve"> </w:t>
      </w:r>
      <w:r>
        <w:t xml:space="preserve">reporting units will be required to field the QHP Enrollee Survey. </w:t>
      </w:r>
      <w:r w:rsidR="006A4ACC">
        <w:t xml:space="preserve">This estimate is primarily based on the fact that </w:t>
      </w:r>
      <w:r w:rsidR="00364B7C">
        <w:t>262</w:t>
      </w:r>
      <w:r w:rsidR="006A4ACC">
        <w:t xml:space="preserve"> reporting units are currently administering the 2017 QHP Enrollee Survey. </w:t>
      </w:r>
      <w:r w:rsidR="00B17108">
        <w:t>In comparison, there were 298 reporting units in 2015 and 311 reporting units in 2016.</w:t>
      </w:r>
    </w:p>
    <w:p w:rsidRPr="006A057A" w:rsidR="00124FA0" w:rsidP="002D6DB8" w:rsidRDefault="00124FA0" w14:paraId="17AC8C30" w14:textId="77777777">
      <w:pPr>
        <w:pStyle w:val="PBodyText"/>
        <w:rPr>
          <w:rFonts w:ascii="Arial" w:hAnsi="Arial" w:cs="Arial"/>
          <w:b/>
          <w:i/>
        </w:rPr>
      </w:pPr>
      <w:r w:rsidRPr="006A057A">
        <w:rPr>
          <w:rFonts w:ascii="Arial" w:hAnsi="Arial" w:cs="Arial"/>
          <w:b/>
          <w:i/>
        </w:rPr>
        <w:t>1.2 Sample Frame &amp; Respondent Universe</w:t>
      </w:r>
    </w:p>
    <w:p w:rsidR="00444A4E" w:rsidP="00171D28" w:rsidRDefault="00D63939" w14:paraId="518ABCB7" w14:textId="77777777">
      <w:pPr>
        <w:spacing w:after="120" w:line="276" w:lineRule="auto"/>
      </w:pPr>
      <w:r>
        <w:t xml:space="preserve">The sample frame for </w:t>
      </w:r>
      <w:r w:rsidR="00D5159B">
        <w:t xml:space="preserve">each </w:t>
      </w:r>
      <w:r w:rsidR="00B17108">
        <w:t xml:space="preserve">reporting </w:t>
      </w:r>
      <w:r w:rsidR="00D5159B">
        <w:t>unit</w:t>
      </w:r>
      <w:r>
        <w:t xml:space="preserve"> is generated by </w:t>
      </w:r>
      <w:r w:rsidR="00D5159B">
        <w:t xml:space="preserve">the </w:t>
      </w:r>
      <w:r>
        <w:t xml:space="preserve">QHP issuer and then provided to the issuer’s CMS-approved survey vendor who is responsible for drawing a simple random sample. </w:t>
      </w:r>
      <w:r w:rsidR="00444A4E">
        <w:t xml:space="preserve">Eligible </w:t>
      </w:r>
      <w:r w:rsidR="00B17108">
        <w:t xml:space="preserve">reporting </w:t>
      </w:r>
      <w:r w:rsidR="00444A4E">
        <w:t xml:space="preserve">units for </w:t>
      </w:r>
      <w:r w:rsidR="00D5159B">
        <w:t xml:space="preserve">the </w:t>
      </w:r>
      <w:r w:rsidR="00043982">
        <w:t xml:space="preserve">2018 </w:t>
      </w:r>
      <w:r w:rsidR="00D5159B">
        <w:t xml:space="preserve">QHP Enrollee Survey </w:t>
      </w:r>
      <w:r w:rsidR="00444A4E">
        <w:t xml:space="preserve">are those that meet </w:t>
      </w:r>
      <w:r w:rsidR="00F63B42">
        <w:t>both</w:t>
      </w:r>
      <w:r w:rsidR="00444A4E">
        <w:t xml:space="preserve"> of the following criteria:</w:t>
      </w:r>
    </w:p>
    <w:p w:rsidRPr="009D5F1C" w:rsidR="00B17108" w:rsidP="00210529" w:rsidRDefault="00444A4E" w14:paraId="5276A9EC" w14:textId="53845568">
      <w:pPr>
        <w:pStyle w:val="HIMNumberedList"/>
        <w:ind w:left="900"/>
        <w:rPr>
          <w:b/>
          <w:i/>
          <w:color w:val="000000"/>
          <w:szCs w:val="24"/>
        </w:rPr>
      </w:pPr>
      <w:r>
        <w:rPr>
          <w:color w:val="000000"/>
          <w:szCs w:val="24"/>
        </w:rPr>
        <w:t xml:space="preserve">The </w:t>
      </w:r>
      <w:r w:rsidR="00B17108">
        <w:rPr>
          <w:color w:val="000000"/>
          <w:szCs w:val="24"/>
        </w:rPr>
        <w:t xml:space="preserve">reporting </w:t>
      </w:r>
      <w:r>
        <w:rPr>
          <w:color w:val="000000"/>
          <w:szCs w:val="24"/>
        </w:rPr>
        <w:t xml:space="preserve">unit </w:t>
      </w:r>
      <w:r w:rsidRPr="00210529" w:rsidR="00D5159B">
        <w:rPr>
          <w:color w:val="000000"/>
          <w:szCs w:val="24"/>
        </w:rPr>
        <w:t xml:space="preserve">was </w:t>
      </w:r>
      <w:r w:rsidRPr="00210529" w:rsidR="00171D28">
        <w:rPr>
          <w:color w:val="000000"/>
          <w:szCs w:val="24"/>
        </w:rPr>
        <w:t>offered through a</w:t>
      </w:r>
      <w:r w:rsidR="008B560F">
        <w:rPr>
          <w:color w:val="000000"/>
          <w:szCs w:val="24"/>
        </w:rPr>
        <w:t>n</w:t>
      </w:r>
      <w:r w:rsidRPr="00210529" w:rsidR="00171D28">
        <w:rPr>
          <w:color w:val="000000"/>
          <w:szCs w:val="24"/>
        </w:rPr>
        <w:t xml:space="preserve"> </w:t>
      </w:r>
      <w:r w:rsidR="00A31932">
        <w:rPr>
          <w:color w:val="000000"/>
          <w:szCs w:val="24"/>
        </w:rPr>
        <w:t>Exchange</w:t>
      </w:r>
      <w:r w:rsidRPr="00210529" w:rsidR="00171D28">
        <w:rPr>
          <w:color w:val="000000"/>
          <w:szCs w:val="24"/>
        </w:rPr>
        <w:t xml:space="preserve"> in 201</w:t>
      </w:r>
      <w:r w:rsidR="00853325">
        <w:rPr>
          <w:color w:val="000000"/>
          <w:szCs w:val="24"/>
        </w:rPr>
        <w:t>7</w:t>
      </w:r>
      <w:r w:rsidR="00B17108">
        <w:rPr>
          <w:color w:val="000000"/>
          <w:szCs w:val="24"/>
        </w:rPr>
        <w:t>;</w:t>
      </w:r>
    </w:p>
    <w:p w:rsidRPr="00210529" w:rsidR="00444A4E" w:rsidP="00210529" w:rsidRDefault="00B17108" w14:paraId="2D619CBA" w14:textId="489AAB97">
      <w:pPr>
        <w:pStyle w:val="HIMNumberedList"/>
        <w:ind w:left="900"/>
        <w:rPr>
          <w:b/>
          <w:i/>
          <w:color w:val="000000"/>
          <w:szCs w:val="24"/>
        </w:rPr>
      </w:pPr>
      <w:r>
        <w:rPr>
          <w:color w:val="000000"/>
          <w:szCs w:val="24"/>
        </w:rPr>
        <w:lastRenderedPageBreak/>
        <w:t>The reporting unit will be offered through a</w:t>
      </w:r>
      <w:r w:rsidR="008B560F">
        <w:rPr>
          <w:color w:val="000000"/>
          <w:szCs w:val="24"/>
        </w:rPr>
        <w:t>n</w:t>
      </w:r>
      <w:r>
        <w:rPr>
          <w:color w:val="000000"/>
          <w:szCs w:val="24"/>
        </w:rPr>
        <w:t xml:space="preserve"> </w:t>
      </w:r>
      <w:r w:rsidR="00A31932">
        <w:rPr>
          <w:color w:val="000000"/>
          <w:szCs w:val="24"/>
        </w:rPr>
        <w:t>Exchange</w:t>
      </w:r>
      <w:r>
        <w:rPr>
          <w:color w:val="000000"/>
          <w:szCs w:val="24"/>
        </w:rPr>
        <w:t xml:space="preserve"> in 2018;</w:t>
      </w:r>
      <w:r w:rsidRPr="00210529" w:rsidR="00D5159B">
        <w:rPr>
          <w:color w:val="000000"/>
          <w:szCs w:val="24"/>
        </w:rPr>
        <w:t xml:space="preserve"> </w:t>
      </w:r>
      <w:r w:rsidRPr="00210529" w:rsidR="00AF0629">
        <w:rPr>
          <w:b/>
          <w:i/>
          <w:color w:val="000000"/>
          <w:szCs w:val="24"/>
        </w:rPr>
        <w:t>and</w:t>
      </w:r>
    </w:p>
    <w:p w:rsidRPr="00AF0629" w:rsidR="00444A4E" w:rsidP="00210529" w:rsidRDefault="00444A4E" w14:paraId="14C644D2" w14:textId="77777777">
      <w:pPr>
        <w:pStyle w:val="HIMNumberedList"/>
        <w:tabs>
          <w:tab w:val="left" w:pos="630"/>
        </w:tabs>
        <w:ind w:left="900"/>
        <w:rPr>
          <w:color w:val="000000"/>
          <w:szCs w:val="24"/>
        </w:rPr>
      </w:pPr>
      <w:r>
        <w:t xml:space="preserve">The </w:t>
      </w:r>
      <w:r w:rsidR="00B17108">
        <w:t xml:space="preserve">reporting </w:t>
      </w:r>
      <w:r>
        <w:t xml:space="preserve">unit </w:t>
      </w:r>
      <w:r w:rsidRPr="00AF0629" w:rsidR="00D5159B">
        <w:t>had</w:t>
      </w:r>
      <w:r w:rsidRPr="00AF0629" w:rsidR="00171D28">
        <w:t xml:space="preserve"> more than 500 enrollees</w:t>
      </w:r>
      <w:r w:rsidR="00BF234C">
        <w:t>,</w:t>
      </w:r>
      <w:r w:rsidRPr="00AF0629" w:rsidR="00171D28">
        <w:t xml:space="preserve"> </w:t>
      </w:r>
      <w:r w:rsidRPr="00AF0629" w:rsidR="00D5159B">
        <w:t>regardless of age</w:t>
      </w:r>
      <w:r w:rsidR="00BF234C">
        <w:t>,</w:t>
      </w:r>
      <w:r w:rsidRPr="00AF0629" w:rsidR="00D5159B">
        <w:t xml:space="preserve"> on</w:t>
      </w:r>
      <w:r w:rsidRPr="00AF0629" w:rsidR="00171D28">
        <w:t xml:space="preserve"> July 1, </w:t>
      </w:r>
      <w:r w:rsidRPr="00AF0629" w:rsidR="00043982">
        <w:t>201</w:t>
      </w:r>
      <w:r w:rsidR="00043982">
        <w:t xml:space="preserve">7 </w:t>
      </w:r>
      <w:r w:rsidR="00BF27A0">
        <w:t xml:space="preserve">and January 1, </w:t>
      </w:r>
      <w:r w:rsidR="00043982">
        <w:t>2018</w:t>
      </w:r>
      <w:r w:rsidR="00F63B42">
        <w:t>.</w:t>
      </w:r>
    </w:p>
    <w:p w:rsidR="00444A4E" w:rsidP="00210529" w:rsidRDefault="00444A4E" w14:paraId="154AD713" w14:textId="77777777">
      <w:pPr>
        <w:pStyle w:val="HIMNumberedList"/>
        <w:numPr>
          <w:ilvl w:val="0"/>
          <w:numId w:val="0"/>
        </w:numPr>
        <w:rPr>
          <w:color w:val="000000"/>
          <w:szCs w:val="24"/>
        </w:rPr>
      </w:pPr>
      <w:r>
        <w:rPr>
          <w:color w:val="000000"/>
          <w:szCs w:val="24"/>
        </w:rPr>
        <w:t xml:space="preserve">Issuers must collect and report survey data for all eligible </w:t>
      </w:r>
      <w:r w:rsidR="00B17108">
        <w:rPr>
          <w:color w:val="000000"/>
          <w:szCs w:val="24"/>
        </w:rPr>
        <w:t xml:space="preserve">reporting </w:t>
      </w:r>
      <w:r>
        <w:rPr>
          <w:color w:val="000000"/>
          <w:szCs w:val="24"/>
        </w:rPr>
        <w:t>units to comply with the regulation.</w:t>
      </w:r>
    </w:p>
    <w:p w:rsidR="00171D28" w:rsidP="00171D28" w:rsidRDefault="003B39CA" w14:paraId="7329C2E0" w14:textId="77777777">
      <w:pPr>
        <w:pStyle w:val="PBodyText"/>
      </w:pPr>
      <w:r>
        <w:rPr>
          <w:color w:val="000000"/>
          <w:szCs w:val="24"/>
        </w:rPr>
        <w:t xml:space="preserve">The sample frame for the survey </w:t>
      </w:r>
      <w:r w:rsidR="002559B7">
        <w:rPr>
          <w:color w:val="000000"/>
          <w:szCs w:val="24"/>
        </w:rPr>
        <w:t>includes</w:t>
      </w:r>
      <w:r>
        <w:rPr>
          <w:color w:val="000000"/>
          <w:szCs w:val="24"/>
        </w:rPr>
        <w:t xml:space="preserve"> all enrollees of each eligible </w:t>
      </w:r>
      <w:r w:rsidR="00B17108">
        <w:rPr>
          <w:color w:val="000000"/>
          <w:szCs w:val="24"/>
        </w:rPr>
        <w:t xml:space="preserve">reporting </w:t>
      </w:r>
      <w:r>
        <w:rPr>
          <w:color w:val="000000"/>
          <w:szCs w:val="24"/>
        </w:rPr>
        <w:t>unit who meet the following three criteria:</w:t>
      </w:r>
    </w:p>
    <w:p w:rsidRPr="00210529" w:rsidR="003B39CA" w:rsidP="00210529" w:rsidRDefault="003B39CA" w14:paraId="2425F673" w14:textId="77777777">
      <w:pPr>
        <w:pStyle w:val="PBodyText"/>
        <w:numPr>
          <w:ilvl w:val="0"/>
          <w:numId w:val="12"/>
        </w:numPr>
      </w:pPr>
      <w:r>
        <w:t xml:space="preserve">Eligible sample frame members must be </w:t>
      </w:r>
      <w:r w:rsidRPr="001659EB" w:rsidR="001659EB">
        <w:t xml:space="preserve">18 years or older </w:t>
      </w:r>
      <w:r>
        <w:t xml:space="preserve">on December </w:t>
      </w:r>
      <w:r w:rsidR="00AB2F07">
        <w:t>3</w:t>
      </w:r>
      <w:r>
        <w:t xml:space="preserve">1, </w:t>
      </w:r>
      <w:r w:rsidR="00043982">
        <w:t>2017</w:t>
      </w:r>
      <w:r>
        <w:t xml:space="preserve">, </w:t>
      </w:r>
      <w:r>
        <w:rPr>
          <w:b/>
          <w:i/>
        </w:rPr>
        <w:t xml:space="preserve">and </w:t>
      </w:r>
    </w:p>
    <w:p w:rsidR="003B39CA" w:rsidP="00210529" w:rsidRDefault="003B39CA" w14:paraId="5F6C62FB" w14:textId="77777777">
      <w:pPr>
        <w:pStyle w:val="PBodyText"/>
        <w:numPr>
          <w:ilvl w:val="0"/>
          <w:numId w:val="12"/>
        </w:numPr>
      </w:pPr>
      <w:r>
        <w:t xml:space="preserve">Eligible sample frame members must have </w:t>
      </w:r>
      <w:r w:rsidRPr="001659EB" w:rsidR="001659EB">
        <w:t xml:space="preserve">been enrolled in </w:t>
      </w:r>
      <w:r>
        <w:t>the</w:t>
      </w:r>
      <w:r w:rsidRPr="001659EB" w:rsidR="001659EB">
        <w:t xml:space="preserve"> eligible QHP </w:t>
      </w:r>
      <w:r>
        <w:t xml:space="preserve">from July 1, </w:t>
      </w:r>
      <w:r w:rsidR="00043982">
        <w:t xml:space="preserve">2017 </w:t>
      </w:r>
      <w:r>
        <w:t xml:space="preserve">through </w:t>
      </w:r>
      <w:r w:rsidR="009779FB">
        <w:t>December</w:t>
      </w:r>
      <w:r>
        <w:t xml:space="preserve"> 31, </w:t>
      </w:r>
      <w:r w:rsidR="00043982">
        <w:t>2017</w:t>
      </w:r>
      <w:r w:rsidRPr="001659EB" w:rsidR="00043982">
        <w:t xml:space="preserve"> </w:t>
      </w:r>
      <w:r w:rsidRPr="001659EB" w:rsidR="001659EB">
        <w:t xml:space="preserve">with no more </w:t>
      </w:r>
      <w:r w:rsidRPr="001659EB" w:rsidR="00E97200">
        <w:t>than</w:t>
      </w:r>
      <w:r w:rsidRPr="001659EB" w:rsidR="001659EB">
        <w:t xml:space="preserve"> one </w:t>
      </w:r>
      <w:r w:rsidRPr="001659EB" w:rsidR="00171D28">
        <w:t>3</w:t>
      </w:r>
      <w:r w:rsidR="00171D28">
        <w:t>1</w:t>
      </w:r>
      <w:r w:rsidRPr="001659EB" w:rsidR="001659EB">
        <w:t>-day break in enrollment during th</w:t>
      </w:r>
      <w:r>
        <w:t>ose</w:t>
      </w:r>
      <w:r w:rsidRPr="001659EB" w:rsidR="001659EB">
        <w:t xml:space="preserve"> 6 months</w:t>
      </w:r>
      <w:r>
        <w:t xml:space="preserve">, </w:t>
      </w:r>
      <w:r w:rsidRPr="00210529">
        <w:rPr>
          <w:b/>
          <w:i/>
        </w:rPr>
        <w:t>and</w:t>
      </w:r>
      <w:r>
        <w:t xml:space="preserve"> </w:t>
      </w:r>
    </w:p>
    <w:p w:rsidR="00C26A52" w:rsidP="00210529" w:rsidRDefault="003B39CA" w14:paraId="5C1E22C7" w14:textId="77777777">
      <w:pPr>
        <w:pStyle w:val="PBodyText"/>
        <w:numPr>
          <w:ilvl w:val="0"/>
          <w:numId w:val="12"/>
        </w:numPr>
      </w:pPr>
      <w:r>
        <w:t xml:space="preserve">Eligible sample frame members must have coverage for </w:t>
      </w:r>
      <w:r w:rsidR="00C26A52">
        <w:t xml:space="preserve">primary health </w:t>
      </w:r>
      <w:r>
        <w:t xml:space="preserve">care through the eligible QHP. </w:t>
      </w:r>
    </w:p>
    <w:p w:rsidR="00F63B42" w:rsidP="00AF75CB" w:rsidRDefault="00341084" w14:paraId="0B292634" w14:textId="77777777">
      <w:pPr>
        <w:pStyle w:val="PBodyText"/>
      </w:pPr>
      <w:r>
        <w:t xml:space="preserve">Issuers are to exclude individuals who discontinue their coverage through the QHP for plan year </w:t>
      </w:r>
      <w:r w:rsidR="00043982">
        <w:t xml:space="preserve">2018 </w:t>
      </w:r>
      <w:r>
        <w:t xml:space="preserve">and those who are deceased as of January 1, </w:t>
      </w:r>
      <w:r w:rsidR="00043982">
        <w:t>2018</w:t>
      </w:r>
      <w:r>
        <w:t xml:space="preserve">. </w:t>
      </w:r>
      <w:r w:rsidR="00597847">
        <w:t xml:space="preserve">The sample frame is audited by a </w:t>
      </w:r>
      <w:r w:rsidRPr="00597847" w:rsidR="00597847">
        <w:t>NCQA</w:t>
      </w:r>
      <w:r w:rsidR="00B17108">
        <w:t>-</w:t>
      </w:r>
      <w:r w:rsidRPr="00597847" w:rsidR="00597847">
        <w:t>Licensed HEDIS®</w:t>
      </w:r>
      <w:r w:rsidR="00597847">
        <w:rPr>
          <w:rStyle w:val="FootnoteReference"/>
        </w:rPr>
        <w:footnoteReference w:id="3"/>
      </w:r>
      <w:r w:rsidRPr="00597847" w:rsidR="00597847">
        <w:t xml:space="preserve"> Compliance Organization (NCQA</w:t>
      </w:r>
      <w:r w:rsidR="00B17108">
        <w:t>-</w:t>
      </w:r>
      <w:r w:rsidRPr="00597847" w:rsidR="00597847">
        <w:t>Certified HEDIS</w:t>
      </w:r>
      <w:r w:rsidRPr="00597847" w:rsidR="000F39BF">
        <w:t>®</w:t>
      </w:r>
      <w:r w:rsidRPr="00597847" w:rsidR="00597847">
        <w:t xml:space="preserve"> Compliance Auditor) to </w:t>
      </w:r>
      <w:r w:rsidR="00597847">
        <w:t>ensure that the sample frame conforms to all established specifications.</w:t>
      </w:r>
      <w:r w:rsidR="00F63B42">
        <w:t xml:space="preserve"> </w:t>
      </w:r>
      <w:r w:rsidR="003B39CA">
        <w:t xml:space="preserve">A random sample is drawn from each </w:t>
      </w:r>
      <w:r w:rsidR="00011A63">
        <w:t xml:space="preserve">audited </w:t>
      </w:r>
      <w:r w:rsidR="003B39CA">
        <w:t xml:space="preserve">eligible sample frame by the issuer’s survey vendor and inferences are made </w:t>
      </w:r>
      <w:r w:rsidR="00011A63">
        <w:t xml:space="preserve">to the </w:t>
      </w:r>
      <w:r w:rsidR="00B17108">
        <w:t>reporting unit</w:t>
      </w:r>
      <w:r w:rsidR="00F63B42">
        <w:t>.</w:t>
      </w:r>
    </w:p>
    <w:p w:rsidR="00124FA0" w:rsidP="00AF75CB" w:rsidRDefault="00124FA0" w14:paraId="44AB60AC" w14:textId="77777777">
      <w:pPr>
        <w:pStyle w:val="Heading2"/>
      </w:pPr>
      <w:bookmarkStart w:name="_Toc461456457" w:id="4"/>
      <w:r>
        <w:t>1.3 Sample Size</w:t>
      </w:r>
      <w:bookmarkEnd w:id="4"/>
    </w:p>
    <w:p w:rsidR="003C1949" w:rsidP="003C1949" w:rsidRDefault="003C1949" w14:paraId="7DA880C5" w14:textId="77777777">
      <w:r>
        <w:t xml:space="preserve">For the </w:t>
      </w:r>
      <w:r w:rsidR="00043982">
        <w:t xml:space="preserve">2018 </w:t>
      </w:r>
      <w:r>
        <w:t xml:space="preserve">QHP Enrollee Survey, CMS </w:t>
      </w:r>
      <w:r w:rsidR="000B6421">
        <w:t xml:space="preserve">proposes to continue utilizing a sample size of 1,300 enrollees per reporting unit </w:t>
      </w:r>
      <w:r>
        <w:t xml:space="preserve">and </w:t>
      </w:r>
      <w:r w:rsidR="000B6421">
        <w:t>allow</w:t>
      </w:r>
      <w:r w:rsidR="00C07F74">
        <w:t>ing</w:t>
      </w:r>
      <w:r w:rsidR="000B6421">
        <w:t xml:space="preserve"> QHP issuers</w:t>
      </w:r>
      <w:r>
        <w:t xml:space="preserve"> to select a larger sample for reporting units (i.e., oversampling) upon approval from the Project Team. </w:t>
      </w:r>
      <w:r w:rsidR="00BF27A0">
        <w:t>In the 2016 administration of the QHP Enrollee Survey, reporting</w:t>
      </w:r>
      <w:r w:rsidDel="00BF27A0" w:rsidR="00BF27A0">
        <w:t xml:space="preserve"> </w:t>
      </w:r>
      <w:r w:rsidR="000B6421">
        <w:t xml:space="preserve">units that had sufficient enrollment to produce the </w:t>
      </w:r>
      <w:r w:rsidR="00746279">
        <w:t>full</w:t>
      </w:r>
      <w:r w:rsidR="000B6421">
        <w:t xml:space="preserve"> sample of</w:t>
      </w:r>
      <w:r w:rsidR="006A1733">
        <w:t xml:space="preserve"> 1,300 enrollees received an average of 277 responses. </w:t>
      </w:r>
      <w:r w:rsidR="00BF27A0">
        <w:t xml:space="preserve">An ongoing </w:t>
      </w:r>
      <w:r w:rsidR="006A1733">
        <w:t xml:space="preserve">challenge </w:t>
      </w:r>
      <w:r w:rsidR="0043122B">
        <w:t xml:space="preserve">for the survey </w:t>
      </w:r>
      <w:r w:rsidR="006A1733">
        <w:t xml:space="preserve">is the poor quality of the contact information provided on the sample frame, </w:t>
      </w:r>
      <w:r w:rsidR="00BF27A0">
        <w:t>which results</w:t>
      </w:r>
      <w:r w:rsidR="006A1733">
        <w:t xml:space="preserve"> in higher than anticipated noncontact rates. CMS and its contractors have implemented a number of changes to the survey administration procedures in order to attempt to rectify this problem. Additionally, in its technical assistance to QHP issuers, CMS will emphasize the importance of QHP issuers providing up-to-date contact information for all enrollees in order to avoid future increases in the sample size for the survey.</w:t>
      </w:r>
    </w:p>
    <w:p w:rsidRPr="002C4F6B" w:rsidR="0043122B" w:rsidP="002C4F6B" w:rsidRDefault="003C1949" w14:paraId="4461010C" w14:textId="77777777">
      <w:pPr>
        <w:pStyle w:val="BodyText"/>
        <w:spacing w:line="240" w:lineRule="auto"/>
        <w:ind w:firstLine="0"/>
        <w:rPr>
          <w:rFonts w:cs="Times New Roman"/>
          <w:szCs w:val="24"/>
        </w:rPr>
      </w:pPr>
      <w:r>
        <w:rPr>
          <w:rFonts w:cs="Times New Roman"/>
        </w:rPr>
        <w:t xml:space="preserve">Oversampling </w:t>
      </w:r>
      <w:r w:rsidR="000C76A3">
        <w:rPr>
          <w:rFonts w:cs="Times New Roman"/>
        </w:rPr>
        <w:t xml:space="preserve">in increments of 5 percent and up to 30 percent </w:t>
      </w:r>
      <w:r w:rsidR="00BF27A0">
        <w:rPr>
          <w:rFonts w:cs="Times New Roman"/>
        </w:rPr>
        <w:t>are</w:t>
      </w:r>
      <w:r>
        <w:rPr>
          <w:rFonts w:cs="Times New Roman"/>
        </w:rPr>
        <w:t xml:space="preserve"> permitted for the QHP Enrollee Survey</w:t>
      </w:r>
      <w:r w:rsidR="000C76A3">
        <w:rPr>
          <w:rFonts w:cs="Times New Roman"/>
        </w:rPr>
        <w:t xml:space="preserve"> to assist </w:t>
      </w:r>
      <w:r>
        <w:t xml:space="preserve">issuers and vendors </w:t>
      </w:r>
      <w:r w:rsidR="000C76A3">
        <w:t>who</w:t>
      </w:r>
      <w:r>
        <w:t xml:space="preserve"> anticipate achieving a lower number of completes per reporting unit. The primary implication is that</w:t>
      </w:r>
      <w:r w:rsidR="000C76A3">
        <w:t>, if response rates are low,</w:t>
      </w:r>
      <w:r>
        <w:t xml:space="preserve"> some measures may not have denominators large enough to permit QRS scoring. If issuers do not </w:t>
      </w:r>
      <w:r>
        <w:lastRenderedPageBreak/>
        <w:t>obtain scores for particular measures, then they will not be able to evaluate how well they are performing on that measure.</w:t>
      </w:r>
      <w:r w:rsidDel="0008028D">
        <w:t xml:space="preserve"> </w:t>
      </w:r>
      <w:r>
        <w:t>Issuers who are willing to incur the additional costs of collecting data from a larger sample may do so if they wish.</w:t>
      </w:r>
      <w:r w:rsidR="00BF234C">
        <w:t xml:space="preserve"> </w:t>
      </w:r>
      <w:r w:rsidRPr="00BF27A0">
        <w:rPr>
          <w:rFonts w:cs="Times New Roman"/>
          <w:szCs w:val="24"/>
        </w:rPr>
        <w:t xml:space="preserve">Oversampling does have precedence </w:t>
      </w:r>
      <w:r w:rsidRPr="00BF27A0" w:rsidR="006A1733">
        <w:rPr>
          <w:rFonts w:cs="Times New Roman"/>
          <w:szCs w:val="24"/>
        </w:rPr>
        <w:t xml:space="preserve">among other CMS </w:t>
      </w:r>
      <w:r w:rsidRPr="00BF27A0">
        <w:rPr>
          <w:rFonts w:cs="Times New Roman"/>
          <w:szCs w:val="24"/>
        </w:rPr>
        <w:t>CAHPS</w:t>
      </w:r>
      <w:r w:rsidRPr="000A5D0E" w:rsidR="000F39BF">
        <w:rPr>
          <w:rFonts w:cs="Times New Roman"/>
          <w:szCs w:val="24"/>
          <w:vertAlign w:val="superscript"/>
        </w:rPr>
        <w:t>®</w:t>
      </w:r>
      <w:r w:rsidRPr="00BF27A0" w:rsidR="006A1733">
        <w:rPr>
          <w:rFonts w:cs="Times New Roman"/>
          <w:szCs w:val="24"/>
        </w:rPr>
        <w:t xml:space="preserve"> surveys, such as MA &amp; PDP CAHPS</w:t>
      </w:r>
      <w:r w:rsidRPr="000A5D0E" w:rsidR="006A1733">
        <w:rPr>
          <w:rFonts w:cs="Times New Roman"/>
          <w:szCs w:val="24"/>
          <w:vertAlign w:val="superscript"/>
        </w:rPr>
        <w:t>®</w:t>
      </w:r>
      <w:r w:rsidRPr="00BF27A0" w:rsidR="006A1733">
        <w:rPr>
          <w:rFonts w:cs="Times New Roman"/>
          <w:szCs w:val="24"/>
        </w:rPr>
        <w:t>, which permits oversampling at the contract level upon request to CMS</w:t>
      </w:r>
      <w:r w:rsidRPr="00BF27A0">
        <w:rPr>
          <w:rFonts w:cs="Times New Roman"/>
          <w:szCs w:val="24"/>
        </w:rPr>
        <w:t xml:space="preserve">. </w:t>
      </w:r>
    </w:p>
    <w:p w:rsidRPr="00A639DF" w:rsidR="00101D3E" w:rsidP="00A639DF" w:rsidRDefault="00101D3E" w14:paraId="58721062" w14:textId="77777777">
      <w:pPr>
        <w:pStyle w:val="Heading1"/>
      </w:pPr>
      <w:bookmarkStart w:name="_Toc151782200" w:id="5"/>
      <w:bookmarkStart w:name="_Toc158526236" w:id="6"/>
      <w:bookmarkStart w:name="_Toc302543541" w:id="7"/>
      <w:bookmarkStart w:name="_Toc252178318" w:id="8"/>
      <w:bookmarkStart w:name="_Toc375154525" w:id="9"/>
      <w:bookmarkStart w:name="_Toc461456458" w:id="10"/>
      <w:r w:rsidRPr="00A639DF">
        <w:t>2.</w:t>
      </w:r>
      <w:r w:rsidRPr="00A639DF" w:rsidR="00A639DF">
        <w:tab/>
      </w:r>
      <w:r w:rsidRPr="00A639DF">
        <w:t>Information Collection Procedures</w:t>
      </w:r>
      <w:bookmarkEnd w:id="5"/>
      <w:bookmarkEnd w:id="6"/>
      <w:bookmarkEnd w:id="7"/>
      <w:bookmarkEnd w:id="8"/>
      <w:bookmarkEnd w:id="9"/>
      <w:bookmarkEnd w:id="10"/>
    </w:p>
    <w:p w:rsidRPr="00440363" w:rsidR="003C02F9" w:rsidP="003C02F9" w:rsidRDefault="003C02F9" w14:paraId="2AEB7670" w14:textId="77777777">
      <w:pPr>
        <w:spacing w:after="120"/>
      </w:pPr>
      <w:r>
        <w:rPr>
          <w:rFonts w:eastAsiaTheme="minorEastAsia"/>
        </w:rPr>
        <w:t xml:space="preserve">The QHP Enrollee Survey will be conducted by </w:t>
      </w:r>
      <w:r w:rsidR="00BC60FD">
        <w:rPr>
          <w:rFonts w:eastAsiaTheme="minorEastAsia"/>
        </w:rPr>
        <w:t>HHS</w:t>
      </w:r>
      <w:r>
        <w:rPr>
          <w:rFonts w:eastAsiaTheme="minorEastAsia"/>
        </w:rPr>
        <w:t xml:space="preserve">-approved survey vendors </w:t>
      </w:r>
      <w:r w:rsidR="008A5BA3">
        <w:rPr>
          <w:rFonts w:eastAsiaTheme="minorEastAsia"/>
        </w:rPr>
        <w:t xml:space="preserve">that </w:t>
      </w:r>
      <w:r>
        <w:rPr>
          <w:rFonts w:eastAsiaTheme="minorEastAsia"/>
        </w:rPr>
        <w:t>meet minimum business requirements. A similar system is currently u</w:t>
      </w:r>
      <w:r w:rsidR="00011A63">
        <w:rPr>
          <w:rFonts w:eastAsiaTheme="minorEastAsia"/>
        </w:rPr>
        <w:t>sed</w:t>
      </w:r>
      <w:r>
        <w:rPr>
          <w:rFonts w:eastAsiaTheme="minorEastAsia"/>
        </w:rPr>
        <w:t xml:space="preserve"> for other CMS surveys, including Medicare CAHPS, Hospital CAHPS</w:t>
      </w:r>
      <w:r w:rsidRPr="00597847" w:rsidR="000F39BF">
        <w:t>®</w:t>
      </w:r>
      <w:r>
        <w:rPr>
          <w:rFonts w:eastAsiaTheme="minorEastAsia"/>
        </w:rPr>
        <w:t xml:space="preserve"> (H-CAHPS), Home Health CAHPS</w:t>
      </w:r>
      <w:r w:rsidRPr="00597847" w:rsidR="000F39BF">
        <w:t>®</w:t>
      </w:r>
      <w:r>
        <w:rPr>
          <w:rFonts w:eastAsiaTheme="minorEastAsia"/>
        </w:rPr>
        <w:t xml:space="preserve"> (HH-CAHPS), the CAHPS Survey for Accountable Care Organizations, and the Health Outcomes Survey. Under this model, all </w:t>
      </w:r>
      <w:r w:rsidR="00011A63">
        <w:rPr>
          <w:rFonts w:eastAsiaTheme="minorEastAsia"/>
        </w:rPr>
        <w:t>issuers</w:t>
      </w:r>
      <w:r>
        <w:rPr>
          <w:rFonts w:eastAsiaTheme="minorEastAsia"/>
        </w:rPr>
        <w:t xml:space="preserve"> that are required to conduct the QHP Enrollee Survey must contract with a </w:t>
      </w:r>
      <w:r w:rsidR="000B2A1F">
        <w:rPr>
          <w:rFonts w:eastAsiaTheme="minorEastAsia"/>
        </w:rPr>
        <w:t>HHS</w:t>
      </w:r>
      <w:r>
        <w:rPr>
          <w:rFonts w:eastAsiaTheme="minorEastAsia"/>
        </w:rPr>
        <w:t>-approved survey vendor to collect the data and submit it to CMS on their behalf (</w:t>
      </w:r>
      <w:r>
        <w:t xml:space="preserve">45 CFR § 156.1125(a) ).  CMS is responsible for </w:t>
      </w:r>
      <w:r w:rsidRPr="00BE4E24">
        <w:t xml:space="preserve">approving and training vendors, providing technical assistance to vendors, </w:t>
      </w:r>
      <w:r>
        <w:t xml:space="preserve">and </w:t>
      </w:r>
      <w:r w:rsidRPr="00BE4E24">
        <w:t>overseeing vendors to ensure that they are following the data collection protocols</w:t>
      </w:r>
      <w:r>
        <w:t xml:space="preserve">. </w:t>
      </w:r>
    </w:p>
    <w:p w:rsidR="00101D3E" w:rsidP="00AF75CB" w:rsidRDefault="003C02F9" w14:paraId="262B83AD" w14:textId="77777777">
      <w:pPr>
        <w:pStyle w:val="PBulletLast"/>
        <w:numPr>
          <w:ilvl w:val="0"/>
          <w:numId w:val="0"/>
        </w:numPr>
      </w:pPr>
      <w:r>
        <w:t xml:space="preserve">The data collection protocol for the </w:t>
      </w:r>
      <w:r w:rsidR="00043982">
        <w:t xml:space="preserve">2018 </w:t>
      </w:r>
      <w:r>
        <w:t xml:space="preserve">QHP Enrollee Survey </w:t>
      </w:r>
      <w:r w:rsidR="00011A63">
        <w:t xml:space="preserve">will </w:t>
      </w:r>
      <w:r w:rsidR="00043982">
        <w:t xml:space="preserve">continue to utilize the same data collection protocol, using </w:t>
      </w:r>
      <w:r>
        <w:t>a mixed-mode methodology that combines web, mail, and telephon</w:t>
      </w:r>
      <w:r w:rsidR="00C80577">
        <w:t xml:space="preserve">e surveys. First, all sampled enrollees </w:t>
      </w:r>
      <w:r w:rsidR="002E4EC5">
        <w:t xml:space="preserve">will </w:t>
      </w:r>
      <w:r w:rsidR="00C80577">
        <w:t>receive a pre-notifi</w:t>
      </w:r>
      <w:r w:rsidR="00BA3F15">
        <w:t>cation letter informing them th</w:t>
      </w:r>
      <w:r w:rsidR="00C80577">
        <w:t xml:space="preserve">at they have been sampled for the survey and providing them with information about the survey and how the data collected will be used. </w:t>
      </w:r>
      <w:r w:rsidR="00C622AA">
        <w:t xml:space="preserve">The pre-notification letter also </w:t>
      </w:r>
      <w:r w:rsidR="002E4EC5">
        <w:t>provides</w:t>
      </w:r>
      <w:r w:rsidR="00C622AA">
        <w:t xml:space="preserve"> </w:t>
      </w:r>
      <w:r w:rsidR="00C80577">
        <w:t>information on completing the survey online</w:t>
      </w:r>
      <w:r w:rsidR="002E4EC5">
        <w:t xml:space="preserve">, including the website </w:t>
      </w:r>
      <w:r w:rsidR="00AB2F07">
        <w:t>URL</w:t>
      </w:r>
      <w:r w:rsidR="002E4EC5">
        <w:t xml:space="preserve"> and the sample member’s user ID and password, which are unique to each sample member.</w:t>
      </w:r>
      <w:r w:rsidR="00C80577">
        <w:t xml:space="preserve"> </w:t>
      </w:r>
      <w:r w:rsidR="002A709D">
        <w:t>Three days</w:t>
      </w:r>
      <w:r w:rsidR="00C80577">
        <w:t xml:space="preserve"> after the pre-notification letter, individuals </w:t>
      </w:r>
      <w:r w:rsidR="002E4EC5">
        <w:t xml:space="preserve">will </w:t>
      </w:r>
      <w:r w:rsidR="00C80577">
        <w:t xml:space="preserve">receive a mail </w:t>
      </w:r>
      <w:r w:rsidR="002E4EC5">
        <w:t>questionnaire</w:t>
      </w:r>
      <w:r w:rsidR="00C80577">
        <w:t xml:space="preserve">, which is then followed-up by a reminder </w:t>
      </w:r>
      <w:r w:rsidR="002E4EC5">
        <w:t>letter</w:t>
      </w:r>
      <w:r w:rsidR="00C80577">
        <w:t xml:space="preserve"> </w:t>
      </w:r>
      <w:r w:rsidR="002A709D">
        <w:t xml:space="preserve">14 </w:t>
      </w:r>
      <w:r w:rsidR="00F74085">
        <w:t>days</w:t>
      </w:r>
      <w:r w:rsidR="00C80577">
        <w:t xml:space="preserve"> after the </w:t>
      </w:r>
      <w:r w:rsidR="002E4EC5">
        <w:t>questionnaire is mailed</w:t>
      </w:r>
      <w:r w:rsidR="00F74085">
        <w:t xml:space="preserve"> and includes the web survey information again</w:t>
      </w:r>
      <w:r w:rsidR="00C80577">
        <w:t xml:space="preserve">. </w:t>
      </w:r>
      <w:r w:rsidR="002A709D">
        <w:t xml:space="preserve">Four </w:t>
      </w:r>
      <w:r w:rsidR="00C80577">
        <w:t xml:space="preserve">weeks after the first questionnaire </w:t>
      </w:r>
      <w:r w:rsidR="00BA3F15">
        <w:t>is</w:t>
      </w:r>
      <w:r w:rsidR="00C80577">
        <w:t xml:space="preserve"> mailed, nonrespondents </w:t>
      </w:r>
      <w:r w:rsidR="002E4EC5">
        <w:t xml:space="preserve">will </w:t>
      </w:r>
      <w:r w:rsidR="00C80577">
        <w:t xml:space="preserve">receive a second questionnaire. Finally, three weeks after the second questionnaire is mailed, survey vendors </w:t>
      </w:r>
      <w:r w:rsidR="002E4EC5">
        <w:t xml:space="preserve">will </w:t>
      </w:r>
      <w:r w:rsidR="00C80577">
        <w:t xml:space="preserve">initiate telephone follow-up calls making </w:t>
      </w:r>
      <w:r w:rsidR="00F74085">
        <w:t xml:space="preserve">no more than </w:t>
      </w:r>
      <w:r w:rsidR="00C80577">
        <w:t>six attempts on varying days of the week and at differing times of the day</w:t>
      </w:r>
      <w:r w:rsidR="00F74085">
        <w:t xml:space="preserve"> over a minimum of two weeks</w:t>
      </w:r>
      <w:r w:rsidR="00C80577">
        <w:t xml:space="preserve">.  </w:t>
      </w:r>
    </w:p>
    <w:p w:rsidRPr="00210529" w:rsidR="009326AF" w:rsidP="00210529" w:rsidRDefault="009326AF" w14:paraId="6E674748" w14:textId="77777777">
      <w:pPr>
        <w:pStyle w:val="Heading2"/>
        <w:rPr>
          <w:rFonts w:eastAsiaTheme="minorEastAsia"/>
          <w:sz w:val="20"/>
        </w:rPr>
      </w:pPr>
      <w:bookmarkStart w:name="_Toc461456459" w:id="11"/>
      <w:r w:rsidRPr="00210529">
        <w:rPr>
          <w:rFonts w:eastAsiaTheme="minorEastAsia"/>
          <w:i w:val="0"/>
          <w:sz w:val="20"/>
        </w:rPr>
        <w:t xml:space="preserve">Exhibit </w:t>
      </w:r>
      <w:r>
        <w:rPr>
          <w:rFonts w:eastAsiaTheme="minorEastAsia"/>
          <w:i w:val="0"/>
          <w:sz w:val="20"/>
        </w:rPr>
        <w:t>B</w:t>
      </w:r>
      <w:r w:rsidRPr="00210529">
        <w:rPr>
          <w:rFonts w:eastAsiaTheme="minorEastAsia"/>
          <w:i w:val="0"/>
          <w:sz w:val="20"/>
        </w:rPr>
        <w:t>-</w:t>
      </w:r>
      <w:r>
        <w:rPr>
          <w:rFonts w:eastAsiaTheme="minorEastAsia"/>
          <w:i w:val="0"/>
          <w:sz w:val="20"/>
        </w:rPr>
        <w:t>1</w:t>
      </w:r>
      <w:r w:rsidRPr="00210529">
        <w:rPr>
          <w:rFonts w:eastAsiaTheme="minorEastAsia"/>
          <w:i w:val="0"/>
          <w:sz w:val="20"/>
        </w:rPr>
        <w:t xml:space="preserve">. </w:t>
      </w:r>
      <w:r>
        <w:rPr>
          <w:rFonts w:eastAsiaTheme="minorEastAsia"/>
          <w:i w:val="0"/>
          <w:sz w:val="20"/>
        </w:rPr>
        <w:t xml:space="preserve">Data Collection Protocol for </w:t>
      </w:r>
      <w:r w:rsidR="00043982">
        <w:rPr>
          <w:rFonts w:eastAsiaTheme="minorEastAsia"/>
          <w:i w:val="0"/>
          <w:sz w:val="20"/>
        </w:rPr>
        <w:t xml:space="preserve">2018 </w:t>
      </w:r>
      <w:r>
        <w:rPr>
          <w:rFonts w:eastAsiaTheme="minorEastAsia"/>
          <w:i w:val="0"/>
          <w:sz w:val="20"/>
        </w:rPr>
        <w:t>QHP Enrollee Survey</w:t>
      </w:r>
      <w:bookmarkEnd w:id="11"/>
    </w:p>
    <w:tbl>
      <w:tblPr>
        <w:tblStyle w:val="HIMTableStyle1"/>
        <w:tblW w:w="0" w:type="auto"/>
        <w:tblLook w:val="01E0" w:firstRow="1" w:lastRow="1" w:firstColumn="1" w:lastColumn="1" w:noHBand="0" w:noVBand="0"/>
        <w:tblCaption w:val="Table 5-2. 2015 Beta Test Survey Administration Schedule"/>
      </w:tblPr>
      <w:tblGrid>
        <w:gridCol w:w="8103"/>
        <w:gridCol w:w="1473"/>
      </w:tblGrid>
      <w:tr w:rsidRPr="00AF75CB" w:rsidR="003C02F9" w:rsidTr="00F278BC" w14:paraId="5D54C348" w14:textId="77777777">
        <w:trPr>
          <w:cnfStyle w:val="100000000000" w:firstRow="1" w:lastRow="0" w:firstColumn="0" w:lastColumn="0" w:oddVBand="0" w:evenVBand="0" w:oddHBand="0" w:evenHBand="0" w:firstRowFirstColumn="0" w:firstRowLastColumn="0" w:lastRowFirstColumn="0" w:lastRowLastColumn="0"/>
        </w:trPr>
        <w:tc>
          <w:tcPr>
            <w:tcW w:w="0" w:type="auto"/>
            <w:vAlign w:val="bottom"/>
          </w:tcPr>
          <w:p w:rsidRPr="00AF75CB" w:rsidR="003C02F9" w:rsidP="00DE2CFE" w:rsidRDefault="003C02F9" w14:paraId="0B268148" w14:textId="77777777">
            <w:pPr>
              <w:pStyle w:val="HIMTableColumnHeadLeft"/>
              <w:rPr>
                <w:rFonts w:ascii="Times New Roman" w:hAnsi="Times New Roman" w:cs="Times New Roman"/>
              </w:rPr>
            </w:pPr>
            <w:bookmarkStart w:name="_Toc392499242" w:id="12"/>
            <w:bookmarkStart w:name="_Toc392668078" w:id="13"/>
            <w:r w:rsidRPr="00AF75CB">
              <w:rPr>
                <w:rFonts w:ascii="Times New Roman" w:hAnsi="Times New Roman" w:cs="Times New Roman"/>
              </w:rPr>
              <w:t>Task</w:t>
            </w:r>
            <w:bookmarkEnd w:id="12"/>
            <w:bookmarkEnd w:id="13"/>
          </w:p>
        </w:tc>
        <w:tc>
          <w:tcPr>
            <w:cnfStyle w:val="000100000000" w:firstRow="0" w:lastRow="0" w:firstColumn="0" w:lastColumn="1" w:oddVBand="0" w:evenVBand="0" w:oddHBand="0" w:evenHBand="0" w:firstRowFirstColumn="0" w:firstRowLastColumn="0" w:lastRowFirstColumn="0" w:lastRowLastColumn="0"/>
            <w:tcW w:w="0" w:type="auto"/>
            <w:vAlign w:val="bottom"/>
          </w:tcPr>
          <w:p w:rsidRPr="00AF75CB" w:rsidR="003C02F9" w:rsidP="00DE2CFE" w:rsidRDefault="003C02F9" w14:paraId="5F3A5ED4" w14:textId="77777777">
            <w:pPr>
              <w:pStyle w:val="HIMTableColumnHeadLeft"/>
              <w:rPr>
                <w:rFonts w:ascii="Times New Roman" w:hAnsi="Times New Roman" w:cs="Times New Roman"/>
              </w:rPr>
            </w:pPr>
            <w:r w:rsidRPr="00AF75CB">
              <w:rPr>
                <w:rFonts w:ascii="Times New Roman" w:hAnsi="Times New Roman" w:cs="Times New Roman"/>
              </w:rPr>
              <w:t>Date</w:t>
            </w:r>
          </w:p>
        </w:tc>
      </w:tr>
      <w:tr w:rsidRPr="00AF75CB" w:rsidR="003C02F9" w:rsidTr="00F278BC" w14:paraId="21DE979F" w14:textId="77777777">
        <w:tc>
          <w:tcPr>
            <w:tcW w:w="0" w:type="auto"/>
            <w:vAlign w:val="top"/>
          </w:tcPr>
          <w:p w:rsidRPr="00AF75CB" w:rsidR="003C02F9" w:rsidP="00DE2CFE" w:rsidRDefault="003C02F9" w14:paraId="17D479F3" w14:textId="77777777">
            <w:pPr>
              <w:pStyle w:val="HIMTableTextLeft"/>
              <w:rPr>
                <w:rFonts w:ascii="Times New Roman" w:hAnsi="Times New Roman" w:cs="Times New Roman"/>
              </w:rPr>
            </w:pPr>
            <w:r w:rsidRPr="00AF75CB">
              <w:rPr>
                <w:rFonts w:ascii="Times New Roman" w:hAnsi="Times New Roman" w:cs="Times New Roman"/>
              </w:rPr>
              <w:t>Survey vendors sample enrollees according to sampling protocols.</w:t>
            </w:r>
          </w:p>
        </w:tc>
        <w:tc>
          <w:tcPr>
            <w:cnfStyle w:val="000100000000" w:firstRow="0" w:lastRow="0" w:firstColumn="0" w:lastColumn="1" w:oddVBand="0" w:evenVBand="0" w:oddHBand="0" w:evenHBand="0" w:firstRowFirstColumn="0" w:firstRowLastColumn="0" w:lastRowFirstColumn="0" w:lastRowLastColumn="0"/>
            <w:tcW w:w="0" w:type="auto"/>
            <w:vAlign w:val="top"/>
          </w:tcPr>
          <w:p w:rsidRPr="00AF75CB" w:rsidR="003C02F9" w:rsidP="00043982" w:rsidRDefault="003C02F9" w14:paraId="4D571C1E" w14:textId="77777777">
            <w:pPr>
              <w:pStyle w:val="HIMTableTextLeft"/>
              <w:rPr>
                <w:rFonts w:ascii="Times New Roman" w:hAnsi="Times New Roman" w:cs="Times New Roman"/>
              </w:rPr>
            </w:pPr>
            <w:r w:rsidRPr="00AF75CB">
              <w:rPr>
                <w:rFonts w:ascii="Times New Roman" w:hAnsi="Times New Roman" w:cs="Times New Roman"/>
              </w:rPr>
              <w:t xml:space="preserve">January </w:t>
            </w:r>
            <w:r w:rsidRPr="00AF75CB" w:rsidR="00043982">
              <w:rPr>
                <w:rFonts w:ascii="Times New Roman" w:hAnsi="Times New Roman" w:cs="Times New Roman"/>
              </w:rPr>
              <w:t>201</w:t>
            </w:r>
            <w:r w:rsidR="00043982">
              <w:rPr>
                <w:rFonts w:ascii="Times New Roman" w:hAnsi="Times New Roman" w:cs="Times New Roman"/>
              </w:rPr>
              <w:t xml:space="preserve">8 </w:t>
            </w:r>
            <w:r w:rsidRPr="00AF75CB">
              <w:rPr>
                <w:rFonts w:ascii="Times New Roman" w:hAnsi="Times New Roman" w:cs="Times New Roman"/>
              </w:rPr>
              <w:t xml:space="preserve">–February </w:t>
            </w:r>
            <w:r w:rsidRPr="00AF75CB" w:rsidR="00043982">
              <w:rPr>
                <w:rFonts w:ascii="Times New Roman" w:hAnsi="Times New Roman" w:cs="Times New Roman"/>
              </w:rPr>
              <w:t>201</w:t>
            </w:r>
            <w:r w:rsidR="00043982">
              <w:rPr>
                <w:rFonts w:ascii="Times New Roman" w:hAnsi="Times New Roman" w:cs="Times New Roman"/>
              </w:rPr>
              <w:t>8</w:t>
            </w:r>
          </w:p>
        </w:tc>
      </w:tr>
      <w:tr w:rsidRPr="00AF75CB" w:rsidR="00CE28F8" w:rsidTr="00F278BC" w14:paraId="02DD98EF" w14:textId="77777777">
        <w:tc>
          <w:tcPr>
            <w:tcW w:w="0" w:type="auto"/>
            <w:vAlign w:val="top"/>
          </w:tcPr>
          <w:p w:rsidRPr="00AF75CB" w:rsidR="00CE28F8" w:rsidP="00CE28F8" w:rsidRDefault="00CE28F8" w14:paraId="736B77BD" w14:textId="77777777">
            <w:pPr>
              <w:pStyle w:val="HIMTableTextLeft"/>
              <w:rPr>
                <w:rFonts w:ascii="Times New Roman" w:hAnsi="Times New Roman" w:cs="Times New Roman"/>
              </w:rPr>
            </w:pPr>
            <w:r w:rsidRPr="00AF75CB">
              <w:rPr>
                <w:rFonts w:ascii="Times New Roman" w:hAnsi="Times New Roman" w:cs="Times New Roman"/>
              </w:rPr>
              <w:t xml:space="preserve">Mail prenotification letter to sampled enrollees. </w:t>
            </w:r>
          </w:p>
          <w:p w:rsidRPr="00AF75CB" w:rsidR="00CE28F8" w:rsidP="00CE28F8" w:rsidRDefault="00CE28F8" w14:paraId="7CDD8AB6" w14:textId="77777777">
            <w:pPr>
              <w:pStyle w:val="HIMTableTextLeft"/>
              <w:numPr>
                <w:ilvl w:val="0"/>
                <w:numId w:val="8"/>
              </w:numPr>
              <w:rPr>
                <w:rFonts w:ascii="Times New Roman" w:hAnsi="Times New Roman" w:cs="Times New Roman"/>
              </w:rPr>
            </w:pPr>
            <w:r>
              <w:rPr>
                <w:rFonts w:ascii="Times New Roman" w:hAnsi="Times New Roman" w:cs="Times New Roman"/>
              </w:rPr>
              <w:t>I</w:t>
            </w:r>
            <w:r w:rsidRPr="00AF75CB">
              <w:rPr>
                <w:rFonts w:ascii="Times New Roman" w:hAnsi="Times New Roman" w:cs="Times New Roman"/>
              </w:rPr>
              <w:t xml:space="preserve">nclude URL </w:t>
            </w:r>
            <w:r>
              <w:rPr>
                <w:rFonts w:ascii="Times New Roman" w:hAnsi="Times New Roman" w:cs="Times New Roman"/>
              </w:rPr>
              <w:t xml:space="preserve">and login credentials </w:t>
            </w:r>
            <w:r w:rsidRPr="00AF75CB">
              <w:rPr>
                <w:rFonts w:ascii="Times New Roman" w:hAnsi="Times New Roman" w:cs="Times New Roman"/>
              </w:rPr>
              <w:t xml:space="preserve">that offers the option to complete by Internet. </w:t>
            </w:r>
          </w:p>
        </w:tc>
        <w:tc>
          <w:tcPr>
            <w:cnfStyle w:val="000100000000" w:firstRow="0" w:lastRow="0" w:firstColumn="0" w:lastColumn="1" w:oddVBand="0" w:evenVBand="0" w:oddHBand="0" w:evenHBand="0" w:firstRowFirstColumn="0" w:firstRowLastColumn="0" w:lastRowFirstColumn="0" w:lastRowLastColumn="0"/>
            <w:tcW w:w="0" w:type="auto"/>
            <w:vAlign w:val="top"/>
          </w:tcPr>
          <w:p w:rsidRPr="00CE28F8" w:rsidR="00CE28F8" w:rsidP="00CE28F8" w:rsidRDefault="00CE28F8" w14:paraId="5A1F6E76" w14:textId="77777777">
            <w:pPr>
              <w:pStyle w:val="HIMTableTextLeft"/>
              <w:rPr>
                <w:rFonts w:ascii="Times New Roman" w:hAnsi="Times New Roman" w:cs="Times New Roman"/>
              </w:rPr>
            </w:pPr>
            <w:r w:rsidRPr="002C4F6B">
              <w:rPr>
                <w:rFonts w:ascii="Times New Roman" w:hAnsi="Times New Roman" w:cs="Times New Roman"/>
                <w:szCs w:val="20"/>
              </w:rPr>
              <w:t xml:space="preserve">Day 0 </w:t>
            </w:r>
          </w:p>
        </w:tc>
      </w:tr>
      <w:tr w:rsidRPr="00AF75CB" w:rsidR="00CE28F8" w:rsidTr="00F278BC" w14:paraId="5D02DB19" w14:textId="77777777">
        <w:tc>
          <w:tcPr>
            <w:tcW w:w="0" w:type="auto"/>
            <w:vAlign w:val="top"/>
          </w:tcPr>
          <w:p w:rsidRPr="00AF75CB" w:rsidR="00CE28F8" w:rsidP="00CE28F8" w:rsidRDefault="00CE28F8" w14:paraId="0A40CA2A" w14:textId="77777777">
            <w:pPr>
              <w:pStyle w:val="HIMTableTextLeft"/>
              <w:rPr>
                <w:rFonts w:ascii="Times New Roman" w:hAnsi="Times New Roman" w:cs="Times New Roman"/>
              </w:rPr>
            </w:pPr>
            <w:r>
              <w:rPr>
                <w:rFonts w:ascii="Times New Roman" w:hAnsi="Times New Roman" w:cs="Times New Roman"/>
              </w:rPr>
              <w:t>Customer support phone center opens (toll-free phone number required).</w:t>
            </w:r>
          </w:p>
        </w:tc>
        <w:tc>
          <w:tcPr>
            <w:cnfStyle w:val="000100000000" w:firstRow="0" w:lastRow="0" w:firstColumn="0" w:lastColumn="1" w:oddVBand="0" w:evenVBand="0" w:oddHBand="0" w:evenHBand="0" w:firstRowFirstColumn="0" w:firstRowLastColumn="0" w:lastRowFirstColumn="0" w:lastRowLastColumn="0"/>
            <w:tcW w:w="0" w:type="auto"/>
            <w:vAlign w:val="top"/>
          </w:tcPr>
          <w:p w:rsidRPr="00CE28F8" w:rsidR="00CE28F8" w:rsidP="00CE28F8" w:rsidRDefault="00CE28F8" w14:paraId="72986FB8" w14:textId="77777777">
            <w:pPr>
              <w:pStyle w:val="HIMTableTextLeft"/>
              <w:rPr>
                <w:rFonts w:ascii="Times New Roman" w:hAnsi="Times New Roman" w:cs="Times New Roman"/>
              </w:rPr>
            </w:pPr>
            <w:r w:rsidRPr="002C4F6B">
              <w:rPr>
                <w:rFonts w:ascii="Times New Roman" w:hAnsi="Times New Roman" w:cs="Times New Roman"/>
                <w:szCs w:val="20"/>
              </w:rPr>
              <w:t xml:space="preserve">Day 1 </w:t>
            </w:r>
          </w:p>
        </w:tc>
      </w:tr>
      <w:tr w:rsidRPr="00AF75CB" w:rsidR="00CE28F8" w:rsidTr="00F278BC" w14:paraId="29D5D463" w14:textId="77777777">
        <w:tc>
          <w:tcPr>
            <w:tcW w:w="0" w:type="auto"/>
            <w:vAlign w:val="top"/>
          </w:tcPr>
          <w:p w:rsidRPr="00AF75CB" w:rsidR="00CE28F8" w:rsidP="00CE28F8" w:rsidRDefault="00CE28F8" w14:paraId="519C22FA" w14:textId="77777777">
            <w:pPr>
              <w:pStyle w:val="HIMTableTextLeft"/>
              <w:rPr>
                <w:rFonts w:ascii="Times New Roman" w:hAnsi="Times New Roman" w:cs="Times New Roman"/>
              </w:rPr>
            </w:pPr>
            <w:r w:rsidRPr="00AF75CB">
              <w:rPr>
                <w:rFonts w:ascii="Times New Roman" w:hAnsi="Times New Roman" w:cs="Times New Roman"/>
              </w:rPr>
              <w:t xml:space="preserve">Mail first questionnaire with survey cover letter to nonrespondents </w:t>
            </w:r>
            <w:r>
              <w:rPr>
                <w:rFonts w:ascii="Times New Roman" w:hAnsi="Times New Roman" w:cs="Times New Roman"/>
              </w:rPr>
              <w:t>3</w:t>
            </w:r>
            <w:r w:rsidRPr="00AF75CB">
              <w:rPr>
                <w:rFonts w:ascii="Times New Roman" w:hAnsi="Times New Roman" w:cs="Times New Roman"/>
              </w:rPr>
              <w:t xml:space="preserve"> calendar days after the prenotification letter is mailed. </w:t>
            </w:r>
          </w:p>
        </w:tc>
        <w:tc>
          <w:tcPr>
            <w:cnfStyle w:val="000100000000" w:firstRow="0" w:lastRow="0" w:firstColumn="0" w:lastColumn="1" w:oddVBand="0" w:evenVBand="0" w:oddHBand="0" w:evenHBand="0" w:firstRowFirstColumn="0" w:firstRowLastColumn="0" w:lastRowFirstColumn="0" w:lastRowLastColumn="0"/>
            <w:tcW w:w="0" w:type="auto"/>
            <w:vAlign w:val="top"/>
          </w:tcPr>
          <w:p w:rsidRPr="00CE28F8" w:rsidR="00CE28F8" w:rsidP="00CE28F8" w:rsidRDefault="00CE28F8" w14:paraId="6DF6A2F0" w14:textId="77777777">
            <w:pPr>
              <w:pStyle w:val="HIMTableTextLeft"/>
              <w:rPr>
                <w:rFonts w:ascii="Times New Roman" w:hAnsi="Times New Roman" w:cs="Times New Roman"/>
              </w:rPr>
            </w:pPr>
            <w:r w:rsidRPr="002C4F6B">
              <w:rPr>
                <w:rFonts w:ascii="Times New Roman" w:hAnsi="Times New Roman" w:cs="Times New Roman"/>
                <w:szCs w:val="20"/>
              </w:rPr>
              <w:t>Day 3</w:t>
            </w:r>
          </w:p>
        </w:tc>
      </w:tr>
      <w:tr w:rsidRPr="00AF75CB" w:rsidR="00CE28F8" w:rsidTr="00F278BC" w14:paraId="6A8F648D" w14:textId="77777777">
        <w:tc>
          <w:tcPr>
            <w:tcW w:w="0" w:type="auto"/>
            <w:vAlign w:val="top"/>
          </w:tcPr>
          <w:p w:rsidRPr="00AF75CB" w:rsidR="00CE28F8" w:rsidP="00CE28F8" w:rsidRDefault="00CE28F8" w14:paraId="0B41B5E8" w14:textId="77777777">
            <w:pPr>
              <w:pStyle w:val="HIMTableTextLeft"/>
              <w:rPr>
                <w:rFonts w:ascii="Times New Roman" w:hAnsi="Times New Roman" w:cs="Times New Roman"/>
              </w:rPr>
            </w:pPr>
            <w:r w:rsidRPr="00171D28">
              <w:rPr>
                <w:rFonts w:ascii="Times New Roman" w:hAnsi="Times New Roman" w:cs="Times New Roman"/>
              </w:rPr>
              <w:lastRenderedPageBreak/>
              <w:t>Mail reminder letter to nonrespondents 1</w:t>
            </w:r>
            <w:r>
              <w:rPr>
                <w:rFonts w:ascii="Times New Roman" w:hAnsi="Times New Roman" w:cs="Times New Roman"/>
              </w:rPr>
              <w:t>4</w:t>
            </w:r>
            <w:r w:rsidRPr="00171D28">
              <w:rPr>
                <w:rFonts w:ascii="Times New Roman" w:hAnsi="Times New Roman" w:cs="Times New Roman"/>
              </w:rPr>
              <w:t xml:space="preserve"> calendar days after the first questionnaire is mailed. If the 1</w:t>
            </w:r>
            <w:r>
              <w:rPr>
                <w:rFonts w:ascii="Times New Roman" w:hAnsi="Times New Roman" w:cs="Times New Roman"/>
              </w:rPr>
              <w:t>4</w:t>
            </w:r>
            <w:r w:rsidRPr="00171D28">
              <w:rPr>
                <w:rFonts w:ascii="Times New Roman" w:hAnsi="Times New Roman" w:cs="Times New Roman"/>
              </w:rPr>
              <w:t xml:space="preserve">th calendar day after the first questionnaire mailing date falls on a weekend, then survey vendors mail the reminder letter the preceding </w:t>
            </w:r>
            <w:r w:rsidRPr="00171D28" w:rsidR="009779FB">
              <w:rPr>
                <w:rFonts w:ascii="Times New Roman" w:hAnsi="Times New Roman" w:cs="Times New Roman"/>
              </w:rPr>
              <w:t>Friday.</w:t>
            </w:r>
            <w:r w:rsidR="009779FB">
              <w:rPr>
                <w:rFonts w:ascii="Times New Roman" w:hAnsi="Times New Roman" w:cs="Times New Roman"/>
              </w:rPr>
              <w:t xml:space="preserve"> </w:t>
            </w:r>
            <w:r w:rsidRPr="00AF75CB" w:rsidR="009779FB">
              <w:rPr>
                <w:rFonts w:ascii="Times New Roman" w:hAnsi="Times New Roman" w:cs="Times New Roman"/>
              </w:rPr>
              <w:t>Include</w:t>
            </w:r>
            <w:r w:rsidRPr="00AF75CB">
              <w:rPr>
                <w:rFonts w:ascii="Times New Roman" w:hAnsi="Times New Roman" w:cs="Times New Roman"/>
              </w:rPr>
              <w:t xml:space="preserve"> URL </w:t>
            </w:r>
            <w:r>
              <w:rPr>
                <w:rFonts w:ascii="Times New Roman" w:hAnsi="Times New Roman" w:cs="Times New Roman"/>
              </w:rPr>
              <w:t xml:space="preserve">and login credentials </w:t>
            </w:r>
            <w:r w:rsidRPr="00AF75CB">
              <w:rPr>
                <w:rFonts w:ascii="Times New Roman" w:hAnsi="Times New Roman" w:cs="Times New Roman"/>
              </w:rPr>
              <w:t>that offers the option to complete by Internet.</w:t>
            </w:r>
          </w:p>
        </w:tc>
        <w:tc>
          <w:tcPr>
            <w:cnfStyle w:val="000100000000" w:firstRow="0" w:lastRow="0" w:firstColumn="0" w:lastColumn="1" w:oddVBand="0" w:evenVBand="0" w:oddHBand="0" w:evenHBand="0" w:firstRowFirstColumn="0" w:firstRowLastColumn="0" w:lastRowFirstColumn="0" w:lastRowLastColumn="0"/>
            <w:tcW w:w="0" w:type="auto"/>
            <w:vAlign w:val="top"/>
          </w:tcPr>
          <w:p w:rsidRPr="00CE28F8" w:rsidR="00CE28F8" w:rsidP="00CE28F8" w:rsidRDefault="00CE28F8" w14:paraId="72EC33E2" w14:textId="77777777">
            <w:pPr>
              <w:pStyle w:val="HIMTableTextLeft"/>
              <w:rPr>
                <w:rFonts w:ascii="Times New Roman" w:hAnsi="Times New Roman" w:cs="Times New Roman"/>
              </w:rPr>
            </w:pPr>
            <w:r w:rsidRPr="002C4F6B">
              <w:rPr>
                <w:rFonts w:ascii="Times New Roman" w:hAnsi="Times New Roman" w:cs="Times New Roman"/>
                <w:szCs w:val="20"/>
              </w:rPr>
              <w:t xml:space="preserve">Day 17 </w:t>
            </w:r>
          </w:p>
        </w:tc>
      </w:tr>
      <w:tr w:rsidRPr="00AF75CB" w:rsidR="00CE28F8" w:rsidTr="00F278BC" w14:paraId="66B46DFC" w14:textId="77777777">
        <w:tc>
          <w:tcPr>
            <w:tcW w:w="0" w:type="auto"/>
            <w:vAlign w:val="top"/>
          </w:tcPr>
          <w:p w:rsidRPr="00AF75CB" w:rsidR="00CE28F8" w:rsidP="00CE28F8" w:rsidRDefault="00CE28F8" w14:paraId="1A117461" w14:textId="77777777">
            <w:pPr>
              <w:pStyle w:val="HIMTableTextLeft"/>
              <w:rPr>
                <w:rFonts w:ascii="Times New Roman" w:hAnsi="Times New Roman" w:cs="Times New Roman"/>
              </w:rPr>
            </w:pPr>
            <w:r w:rsidRPr="00AF75CB">
              <w:rPr>
                <w:rFonts w:ascii="Times New Roman" w:hAnsi="Times New Roman" w:cs="Times New Roman"/>
              </w:rPr>
              <w:t xml:space="preserve">Mail second questionnaire with survey cover letter to nonrespondents </w:t>
            </w:r>
            <w:r>
              <w:rPr>
                <w:rFonts w:ascii="Times New Roman" w:hAnsi="Times New Roman" w:cs="Times New Roman"/>
              </w:rPr>
              <w:t>4</w:t>
            </w:r>
            <w:r w:rsidRPr="00AF75CB">
              <w:rPr>
                <w:rFonts w:ascii="Times New Roman" w:hAnsi="Times New Roman" w:cs="Times New Roman"/>
              </w:rPr>
              <w:t xml:space="preserve"> weeks (2</w:t>
            </w:r>
            <w:r>
              <w:rPr>
                <w:rFonts w:ascii="Times New Roman" w:hAnsi="Times New Roman" w:cs="Times New Roman"/>
              </w:rPr>
              <w:t>8</w:t>
            </w:r>
            <w:r w:rsidRPr="00AF75CB">
              <w:rPr>
                <w:rFonts w:ascii="Times New Roman" w:hAnsi="Times New Roman" w:cs="Times New Roman"/>
              </w:rPr>
              <w:t xml:space="preserve"> calendar days) after the first questionnaire is mailed.</w:t>
            </w:r>
          </w:p>
        </w:tc>
        <w:tc>
          <w:tcPr>
            <w:cnfStyle w:val="000100000000" w:firstRow="0" w:lastRow="0" w:firstColumn="0" w:lastColumn="1" w:oddVBand="0" w:evenVBand="0" w:oddHBand="0" w:evenHBand="0" w:firstRowFirstColumn="0" w:firstRowLastColumn="0" w:lastRowFirstColumn="0" w:lastRowLastColumn="0"/>
            <w:tcW w:w="0" w:type="auto"/>
            <w:vAlign w:val="top"/>
          </w:tcPr>
          <w:p w:rsidRPr="00CE28F8" w:rsidR="00CE28F8" w:rsidP="00CE28F8" w:rsidRDefault="00CE28F8" w14:paraId="2AAA6A15" w14:textId="77777777">
            <w:pPr>
              <w:pStyle w:val="HIMTableTextLeft"/>
              <w:rPr>
                <w:rFonts w:ascii="Times New Roman" w:hAnsi="Times New Roman" w:cs="Times New Roman"/>
              </w:rPr>
            </w:pPr>
            <w:r w:rsidRPr="002C4F6B">
              <w:rPr>
                <w:rFonts w:ascii="Times New Roman" w:hAnsi="Times New Roman" w:cs="Times New Roman"/>
                <w:szCs w:val="20"/>
              </w:rPr>
              <w:t xml:space="preserve">Day 31 </w:t>
            </w:r>
          </w:p>
        </w:tc>
      </w:tr>
      <w:tr w:rsidRPr="00AF75CB" w:rsidR="00CE28F8" w:rsidTr="00F278BC" w14:paraId="3EEA04CE" w14:textId="77777777">
        <w:tc>
          <w:tcPr>
            <w:tcW w:w="0" w:type="auto"/>
            <w:vAlign w:val="top"/>
          </w:tcPr>
          <w:p w:rsidRPr="00AF75CB" w:rsidR="00CE28F8" w:rsidP="00CE28F8" w:rsidRDefault="00CE28F8" w14:paraId="32EC4BE4" w14:textId="77777777">
            <w:pPr>
              <w:pStyle w:val="HIMTableTextLeft"/>
              <w:rPr>
                <w:rFonts w:ascii="Times New Roman" w:hAnsi="Times New Roman" w:cs="Times New Roman"/>
              </w:rPr>
            </w:pPr>
            <w:r w:rsidRPr="00AF75CB">
              <w:rPr>
                <w:rFonts w:ascii="Times New Roman" w:hAnsi="Times New Roman" w:cs="Times New Roman"/>
              </w:rPr>
              <w:t>Initiate telephone follow-up contact for nonrespondents 3 weeks (21</w:t>
            </w:r>
            <w:r>
              <w:rPr>
                <w:rFonts w:ascii="Times New Roman" w:hAnsi="Times New Roman" w:cs="Times New Roman"/>
              </w:rPr>
              <w:t xml:space="preserve"> </w:t>
            </w:r>
            <w:r w:rsidRPr="00AF75CB">
              <w:rPr>
                <w:rFonts w:ascii="Times New Roman" w:hAnsi="Times New Roman" w:cs="Times New Roman"/>
              </w:rPr>
              <w:t>calendar days) after the second questionnaire is mailed.</w:t>
            </w:r>
          </w:p>
          <w:p w:rsidRPr="00AF75CB" w:rsidR="00CE28F8" w:rsidP="00CE28F8" w:rsidRDefault="00CE28F8" w14:paraId="2E284086" w14:textId="77777777">
            <w:pPr>
              <w:pStyle w:val="HIMTableTextLeft"/>
              <w:numPr>
                <w:ilvl w:val="0"/>
                <w:numId w:val="7"/>
              </w:numPr>
              <w:rPr>
                <w:rFonts w:ascii="Times New Roman" w:hAnsi="Times New Roman" w:cs="Times New Roman"/>
              </w:rPr>
            </w:pPr>
            <w:r w:rsidRPr="00AF75CB">
              <w:rPr>
                <w:rFonts w:ascii="Times New Roman" w:hAnsi="Times New Roman" w:cs="Times New Roman"/>
              </w:rPr>
              <w:t>Make no more than 6 call attempts.</w:t>
            </w:r>
          </w:p>
          <w:p w:rsidRPr="00AF75CB" w:rsidR="00CE28F8" w:rsidP="00CE28F8" w:rsidRDefault="00CE28F8" w14:paraId="59400E39" w14:textId="77777777">
            <w:pPr>
              <w:pStyle w:val="HIMTableTextLeft"/>
              <w:numPr>
                <w:ilvl w:val="0"/>
                <w:numId w:val="7"/>
              </w:numPr>
              <w:rPr>
                <w:rFonts w:ascii="Times New Roman" w:hAnsi="Times New Roman" w:cs="Times New Roman"/>
              </w:rPr>
            </w:pPr>
            <w:r w:rsidRPr="00AF75CB">
              <w:rPr>
                <w:rFonts w:ascii="Times New Roman" w:hAnsi="Times New Roman" w:cs="Times New Roman"/>
              </w:rPr>
              <w:t>Call attempts must occur over a minimum of 2 different calendar weeks.</w:t>
            </w:r>
          </w:p>
          <w:p w:rsidRPr="00AF75CB" w:rsidR="00CE28F8" w:rsidP="00CE28F8" w:rsidRDefault="00CE28F8" w14:paraId="096E8DBB" w14:textId="77777777">
            <w:pPr>
              <w:pStyle w:val="HIMTableTextLeft"/>
              <w:numPr>
                <w:ilvl w:val="0"/>
                <w:numId w:val="7"/>
              </w:numPr>
              <w:rPr>
                <w:rFonts w:ascii="Times New Roman" w:hAnsi="Times New Roman" w:cs="Times New Roman"/>
              </w:rPr>
            </w:pPr>
            <w:r w:rsidRPr="00AF75CB">
              <w:rPr>
                <w:rFonts w:ascii="Times New Roman" w:hAnsi="Times New Roman" w:cs="Times New Roman"/>
              </w:rPr>
              <w:t>Call attempts must be scheduled at different times of the day on different days of the week.</w:t>
            </w:r>
          </w:p>
        </w:tc>
        <w:tc>
          <w:tcPr>
            <w:cnfStyle w:val="000100000000" w:firstRow="0" w:lastRow="0" w:firstColumn="0" w:lastColumn="1" w:oddVBand="0" w:evenVBand="0" w:oddHBand="0" w:evenHBand="0" w:firstRowFirstColumn="0" w:firstRowLastColumn="0" w:lastRowFirstColumn="0" w:lastRowLastColumn="0"/>
            <w:tcW w:w="0" w:type="auto"/>
            <w:vAlign w:val="top"/>
          </w:tcPr>
          <w:p w:rsidRPr="00CE28F8" w:rsidR="00CE28F8" w:rsidP="00CE28F8" w:rsidRDefault="00CE28F8" w14:paraId="713FFD6C" w14:textId="77777777">
            <w:pPr>
              <w:pStyle w:val="HIMTableTextLeft"/>
              <w:rPr>
                <w:rFonts w:ascii="Times New Roman" w:hAnsi="Times New Roman" w:cs="Times New Roman"/>
              </w:rPr>
            </w:pPr>
            <w:r w:rsidRPr="002C4F6B">
              <w:rPr>
                <w:rFonts w:ascii="Times New Roman" w:hAnsi="Times New Roman" w:cs="Times New Roman"/>
                <w:szCs w:val="20"/>
              </w:rPr>
              <w:t xml:space="preserve">Days 52–70 </w:t>
            </w:r>
          </w:p>
        </w:tc>
      </w:tr>
      <w:tr w:rsidRPr="00AF75CB" w:rsidR="00CE28F8" w:rsidTr="00F278BC" w14:paraId="66538A8D" w14:textId="77777777">
        <w:trPr>
          <w:cnfStyle w:val="010000000000" w:firstRow="0" w:lastRow="1" w:firstColumn="0" w:lastColumn="0" w:oddVBand="0" w:evenVBand="0" w:oddHBand="0" w:evenHBand="0" w:firstRowFirstColumn="0" w:firstRowLastColumn="0" w:lastRowFirstColumn="0" w:lastRowLastColumn="0"/>
        </w:trPr>
        <w:tc>
          <w:tcPr>
            <w:tcW w:w="0" w:type="auto"/>
            <w:vAlign w:val="top"/>
          </w:tcPr>
          <w:p w:rsidRPr="00AF75CB" w:rsidR="00CE28F8" w:rsidP="00CE28F8" w:rsidRDefault="00CE28F8" w14:paraId="32C73452" w14:textId="77777777">
            <w:pPr>
              <w:pStyle w:val="HIMTableTextLeft"/>
              <w:rPr>
                <w:rFonts w:ascii="Times New Roman" w:hAnsi="Times New Roman" w:cs="Times New Roman"/>
              </w:rPr>
            </w:pPr>
            <w:r w:rsidRPr="00AF75CB">
              <w:rPr>
                <w:rFonts w:ascii="Times New Roman" w:hAnsi="Times New Roman" w:cs="Times New Roman"/>
              </w:rPr>
              <w:t xml:space="preserve">End data collection activities. </w:t>
            </w:r>
          </w:p>
        </w:tc>
        <w:tc>
          <w:tcPr>
            <w:cnfStyle w:val="000100000000" w:firstRow="0" w:lastRow="0" w:firstColumn="0" w:lastColumn="1" w:oddVBand="0" w:evenVBand="0" w:oddHBand="0" w:evenHBand="0" w:firstRowFirstColumn="0" w:firstRowLastColumn="0" w:lastRowFirstColumn="0" w:lastRowLastColumn="0"/>
            <w:tcW w:w="0" w:type="auto"/>
            <w:vAlign w:val="top"/>
          </w:tcPr>
          <w:p w:rsidRPr="00CE28F8" w:rsidR="00CE28F8" w:rsidP="00CE28F8" w:rsidRDefault="00CE28F8" w14:paraId="1F2EED55" w14:textId="77777777">
            <w:pPr>
              <w:pStyle w:val="HIMTableTextLeft"/>
              <w:rPr>
                <w:rFonts w:ascii="Times New Roman" w:hAnsi="Times New Roman" w:cs="Times New Roman"/>
              </w:rPr>
            </w:pPr>
            <w:r w:rsidRPr="002C4F6B">
              <w:rPr>
                <w:rFonts w:ascii="Times New Roman" w:hAnsi="Times New Roman" w:cs="Times New Roman"/>
                <w:szCs w:val="20"/>
              </w:rPr>
              <w:t xml:space="preserve">Day 71 </w:t>
            </w:r>
          </w:p>
        </w:tc>
      </w:tr>
    </w:tbl>
    <w:p w:rsidR="003C02F9" w:rsidP="00AF75CB" w:rsidRDefault="003C02F9" w14:paraId="2DF737AA" w14:textId="77777777">
      <w:pPr>
        <w:pStyle w:val="PBulletLast"/>
        <w:numPr>
          <w:ilvl w:val="0"/>
          <w:numId w:val="0"/>
        </w:numPr>
      </w:pPr>
    </w:p>
    <w:p w:rsidR="00124FA0" w:rsidP="00AF75CB" w:rsidRDefault="00124FA0" w14:paraId="001F3294" w14:textId="77777777">
      <w:pPr>
        <w:pStyle w:val="PBullet"/>
        <w:numPr>
          <w:ilvl w:val="0"/>
          <w:numId w:val="0"/>
        </w:numPr>
      </w:pPr>
      <w:r>
        <w:t>All survey estimates generated from the QHP Enrollee Survey are weighted to adjust for the unequal probability of selection</w:t>
      </w:r>
      <w:r w:rsidR="00B20099">
        <w:t xml:space="preserve"> across </w:t>
      </w:r>
      <w:r w:rsidR="00E26218">
        <w:t>reporting</w:t>
      </w:r>
      <w:r w:rsidR="00B20099">
        <w:t xml:space="preserve"> units</w:t>
      </w:r>
      <w:r>
        <w:t xml:space="preserve">. Weights are generated for each case by multiplying the inverse of the enrollee’s probability of selection by the enrollee’s probability of response. </w:t>
      </w:r>
    </w:p>
    <w:p w:rsidR="00124FA0" w:rsidP="00BA3F15" w:rsidRDefault="00124FA0" w14:paraId="47E4059F" w14:textId="77777777">
      <w:pPr>
        <w:pStyle w:val="PBullet"/>
        <w:numPr>
          <w:ilvl w:val="0"/>
          <w:numId w:val="0"/>
        </w:numPr>
      </w:pPr>
      <w:r>
        <w:t>Additionally, case-mix adjustment</w:t>
      </w:r>
      <w:r w:rsidR="00B20099">
        <w:t xml:space="preserve"> is used when comparing </w:t>
      </w:r>
      <w:r w:rsidR="00E26218">
        <w:t xml:space="preserve">reporting </w:t>
      </w:r>
      <w:r w:rsidR="00B20099">
        <w:t>units to the overall national benchmark scores</w:t>
      </w:r>
      <w:r>
        <w:t xml:space="preserve">. Case-mix adjustment accounts for the </w:t>
      </w:r>
      <w:r w:rsidR="00BF234C">
        <w:t xml:space="preserve">variation in </w:t>
      </w:r>
      <w:r>
        <w:t xml:space="preserve">demographics of a particular </w:t>
      </w:r>
      <w:r w:rsidR="00E26218">
        <w:t xml:space="preserve">reporting </w:t>
      </w:r>
      <w:r>
        <w:t>unit. Case-mix variables include education, age, self-reported health status</w:t>
      </w:r>
      <w:r w:rsidR="004D09DA">
        <w:t xml:space="preserve">, mental health rating, receiving help completing the survey, </w:t>
      </w:r>
      <w:r w:rsidR="00AB2F07">
        <w:t xml:space="preserve">having a chronic condition, </w:t>
      </w:r>
      <w:r w:rsidR="004D09DA">
        <w:t>the language in which the survey is completed, and survey mode.</w:t>
      </w:r>
      <w:r>
        <w:t xml:space="preserve"> </w:t>
      </w:r>
      <w:r w:rsidR="00892489">
        <w:t xml:space="preserve">Additionally, the </w:t>
      </w:r>
      <w:r w:rsidR="0084786F">
        <w:t xml:space="preserve">four-item </w:t>
      </w:r>
      <w:r w:rsidR="00892489">
        <w:t>composit</w:t>
      </w:r>
      <w:r w:rsidR="0018576F">
        <w:t>e</w:t>
      </w:r>
      <w:r w:rsidR="00892489">
        <w:t xml:space="preserve"> assessing experience with cost will be reported in the quality improvement reports with the list of adjusters above and also with metal level as an additional case-mix adjuster. This composite will not be publicly reported through the Quality Rating System. CMS will continue to</w:t>
      </w:r>
      <w:r w:rsidR="00EA45DE">
        <w:t xml:space="preserve"> </w:t>
      </w:r>
      <w:r w:rsidR="009779FB">
        <w:t>monitor the</w:t>
      </w:r>
      <w:r w:rsidR="00892489">
        <w:t xml:space="preserve"> appropriateness of metal level as a case-mix adjuster. </w:t>
      </w:r>
    </w:p>
    <w:p w:rsidRPr="00FF580C" w:rsidR="00101D3E" w:rsidP="00A639DF" w:rsidRDefault="00101D3E" w14:paraId="11B884E6" w14:textId="77777777">
      <w:pPr>
        <w:pStyle w:val="Heading1"/>
      </w:pPr>
      <w:bookmarkStart w:name="_Toc151782201" w:id="14"/>
      <w:bookmarkStart w:name="_Toc158526237" w:id="15"/>
      <w:bookmarkStart w:name="_Toc302543542" w:id="16"/>
      <w:bookmarkStart w:name="_Toc252178319" w:id="17"/>
      <w:bookmarkStart w:name="_Toc375154526" w:id="18"/>
      <w:bookmarkStart w:name="_Toc461456460" w:id="19"/>
      <w:r w:rsidRPr="00FF580C">
        <w:t>3.</w:t>
      </w:r>
      <w:r w:rsidR="00A639DF">
        <w:tab/>
      </w:r>
      <w:r w:rsidRPr="00FF580C">
        <w:t>Methods to Maximize Response Rates</w:t>
      </w:r>
      <w:bookmarkEnd w:id="14"/>
      <w:bookmarkEnd w:id="15"/>
      <w:bookmarkEnd w:id="16"/>
      <w:bookmarkEnd w:id="17"/>
      <w:bookmarkEnd w:id="18"/>
      <w:r w:rsidR="00BD4495">
        <w:t xml:space="preserve"> and Address Non-Response Bias</w:t>
      </w:r>
      <w:bookmarkEnd w:id="19"/>
    </w:p>
    <w:p w:rsidR="005A2AA4" w:rsidP="00AF75CB" w:rsidRDefault="00101D3E" w14:paraId="6ECF2F23" w14:textId="77777777">
      <w:pPr>
        <w:pStyle w:val="PBodyTextPreBullet"/>
        <w:rPr>
          <w:rFonts w:cs="Times New Roman"/>
          <w:szCs w:val="24"/>
        </w:rPr>
      </w:pPr>
      <w:r w:rsidRPr="00A52C2D">
        <w:t xml:space="preserve">Every effort will be made to maximize the response rate, while retaining the voluntary nature of the effort.  </w:t>
      </w:r>
      <w:bookmarkStart w:name="_Toc151782202" w:id="20"/>
      <w:bookmarkStart w:name="_Toc158526238" w:id="21"/>
      <w:bookmarkStart w:name="_Toc302543543" w:id="22"/>
      <w:bookmarkStart w:name="_Toc252178320" w:id="23"/>
      <w:r w:rsidR="00A03C84">
        <w:rPr>
          <w:rFonts w:cs="Times New Roman"/>
          <w:szCs w:val="24"/>
        </w:rPr>
        <w:t>The mixed-mode methodology of the QHP Enrollee Survey provides sampled individuals with numerous methods for completing the survey across a 7</w:t>
      </w:r>
      <w:r w:rsidR="00466782">
        <w:rPr>
          <w:rFonts w:cs="Times New Roman"/>
          <w:szCs w:val="24"/>
        </w:rPr>
        <w:t>1</w:t>
      </w:r>
      <w:r w:rsidR="00AF75CB">
        <w:rPr>
          <w:rFonts w:cs="Times New Roman"/>
          <w:szCs w:val="24"/>
        </w:rPr>
        <w:t xml:space="preserve"> day</w:t>
      </w:r>
      <w:r w:rsidR="00A03C84">
        <w:rPr>
          <w:rFonts w:cs="Times New Roman"/>
          <w:szCs w:val="24"/>
        </w:rPr>
        <w:t xml:space="preserve"> time period. This methodology has been developed u</w:t>
      </w:r>
      <w:r w:rsidR="00466782">
        <w:rPr>
          <w:rFonts w:cs="Times New Roman"/>
          <w:szCs w:val="24"/>
        </w:rPr>
        <w:t>sing</w:t>
      </w:r>
      <w:r w:rsidR="00A03C84">
        <w:rPr>
          <w:rFonts w:cs="Times New Roman"/>
          <w:szCs w:val="24"/>
        </w:rPr>
        <w:t xml:space="preserve"> best practices within the survey research </w:t>
      </w:r>
      <w:r w:rsidR="00DE2CFE">
        <w:rPr>
          <w:rFonts w:cs="Times New Roman"/>
          <w:szCs w:val="24"/>
        </w:rPr>
        <w:t xml:space="preserve">field, </w:t>
      </w:r>
      <w:r w:rsidR="00466782">
        <w:rPr>
          <w:rFonts w:cs="Times New Roman"/>
          <w:szCs w:val="24"/>
        </w:rPr>
        <w:t>including</w:t>
      </w:r>
      <w:r w:rsidR="00DE2CFE">
        <w:rPr>
          <w:rFonts w:cs="Times New Roman"/>
          <w:szCs w:val="24"/>
        </w:rPr>
        <w:t xml:space="preserve"> the Tailored Design Method</w:t>
      </w:r>
      <w:r w:rsidR="00466782">
        <w:rPr>
          <w:rFonts w:cs="Times New Roman"/>
          <w:szCs w:val="24"/>
        </w:rPr>
        <w:t>.</w:t>
      </w:r>
      <w:r w:rsidR="00DE2CFE">
        <w:rPr>
          <w:rStyle w:val="FootnoteReference"/>
          <w:rFonts w:cs="Times New Roman"/>
          <w:szCs w:val="24"/>
        </w:rPr>
        <w:footnoteReference w:id="4"/>
      </w:r>
      <w:r w:rsidR="00AF75CB">
        <w:rPr>
          <w:rFonts w:cs="Times New Roman"/>
          <w:szCs w:val="24"/>
        </w:rPr>
        <w:t xml:space="preserve">  </w:t>
      </w:r>
    </w:p>
    <w:p w:rsidR="00F329C2" w:rsidP="00AF75CB" w:rsidRDefault="00BB0D9D" w14:paraId="1D504BC7" w14:textId="77777777">
      <w:pPr>
        <w:pStyle w:val="Heading2"/>
      </w:pPr>
      <w:bookmarkStart w:name="_Toc461456461" w:id="24"/>
      <w:r>
        <w:lastRenderedPageBreak/>
        <w:t>3.</w:t>
      </w:r>
      <w:r w:rsidR="00EA45DE">
        <w:t>1</w:t>
      </w:r>
      <w:r>
        <w:t xml:space="preserve"> Evaluating Non-Response Bias</w:t>
      </w:r>
      <w:bookmarkEnd w:id="24"/>
    </w:p>
    <w:p w:rsidRPr="00C35550" w:rsidR="00FF73C3" w:rsidP="007868E2" w:rsidRDefault="00FA32EA" w14:paraId="2C77C0B9" w14:textId="0DF5EF84">
      <w:pPr>
        <w:pStyle w:val="PBullet2"/>
        <w:numPr>
          <w:ilvl w:val="0"/>
          <w:numId w:val="0"/>
        </w:numPr>
        <w:rPr>
          <w:rFonts w:cs="Times New Roman"/>
        </w:rPr>
      </w:pPr>
      <w:r>
        <w:rPr>
          <w:rFonts w:cs="Times New Roman"/>
        </w:rPr>
        <w:t>T</w:t>
      </w:r>
      <w:r w:rsidR="004D09DA">
        <w:rPr>
          <w:rFonts w:cs="Times New Roman"/>
        </w:rPr>
        <w:t xml:space="preserve">he 2014 </w:t>
      </w:r>
      <w:r w:rsidR="00E26218">
        <w:rPr>
          <w:rFonts w:cs="Times New Roman"/>
        </w:rPr>
        <w:t>p</w:t>
      </w:r>
      <w:r w:rsidR="004D09DA">
        <w:rPr>
          <w:rFonts w:cs="Times New Roman"/>
        </w:rPr>
        <w:t xml:space="preserve">sychometric </w:t>
      </w:r>
      <w:r w:rsidR="00E26218">
        <w:rPr>
          <w:rFonts w:cs="Times New Roman"/>
        </w:rPr>
        <w:t>t</w:t>
      </w:r>
      <w:r w:rsidR="004D09DA">
        <w:rPr>
          <w:rFonts w:cs="Times New Roman"/>
        </w:rPr>
        <w:t>est of the</w:t>
      </w:r>
      <w:r w:rsidR="00F329C2">
        <w:rPr>
          <w:rFonts w:cs="Times New Roman"/>
        </w:rPr>
        <w:t xml:space="preserve"> QHP Enrollee Survey achieved a 37.2 percent response rate</w:t>
      </w:r>
      <w:r w:rsidR="00EB5AD7">
        <w:rPr>
          <w:rFonts w:cs="Times New Roman"/>
        </w:rPr>
        <w:t>,</w:t>
      </w:r>
      <w:r w:rsidR="004D09DA">
        <w:rPr>
          <w:rFonts w:cs="Times New Roman"/>
        </w:rPr>
        <w:t xml:space="preserve">the 2015 </w:t>
      </w:r>
      <w:r w:rsidR="00E26218">
        <w:rPr>
          <w:rFonts w:cs="Times New Roman"/>
        </w:rPr>
        <w:t>b</w:t>
      </w:r>
      <w:r w:rsidR="004D09DA">
        <w:rPr>
          <w:rFonts w:cs="Times New Roman"/>
        </w:rPr>
        <w:t xml:space="preserve">eta </w:t>
      </w:r>
      <w:r w:rsidR="00E26218">
        <w:rPr>
          <w:rFonts w:cs="Times New Roman"/>
        </w:rPr>
        <w:t>t</w:t>
      </w:r>
      <w:r w:rsidR="004D09DA">
        <w:rPr>
          <w:rFonts w:cs="Times New Roman"/>
        </w:rPr>
        <w:t>est achieved a response rate of 30.9 percent</w:t>
      </w:r>
      <w:r w:rsidR="00EB5AD7">
        <w:rPr>
          <w:rFonts w:cs="Times New Roman"/>
        </w:rPr>
        <w:t>,</w:t>
      </w:r>
      <w:r w:rsidR="00CE28F8">
        <w:rPr>
          <w:rFonts w:cs="Times New Roman"/>
        </w:rPr>
        <w:t xml:space="preserve"> the 2016 survey achieved a response rate of 30.0 percent</w:t>
      </w:r>
      <w:r w:rsidR="00EB5AD7">
        <w:rPr>
          <w:rFonts w:cs="Times New Roman"/>
        </w:rPr>
        <w:t>, and the 2017</w:t>
      </w:r>
      <w:r w:rsidRPr="00EB5AD7" w:rsidR="00EB5AD7">
        <w:rPr>
          <w:rFonts w:cs="Times New Roman"/>
        </w:rPr>
        <w:t xml:space="preserve"> survey achieved a response rate of </w:t>
      </w:r>
      <w:r w:rsidRPr="00045D80" w:rsidR="00045D80">
        <w:rPr>
          <w:rFonts w:cs="Times New Roman"/>
        </w:rPr>
        <w:t>26.7 percent</w:t>
      </w:r>
      <w:r w:rsidR="00F329C2">
        <w:rPr>
          <w:rFonts w:cs="Times New Roman"/>
        </w:rPr>
        <w:t xml:space="preserve">. </w:t>
      </w:r>
      <w:r w:rsidR="00FF73C3">
        <w:rPr>
          <w:rFonts w:cs="Times New Roman"/>
        </w:rPr>
        <w:t xml:space="preserve">Response rates for the QHP Enrollee Survey are calculated using </w:t>
      </w:r>
      <w:r w:rsidR="006101B8">
        <w:rPr>
          <w:rFonts w:cs="Times New Roman"/>
        </w:rPr>
        <w:t xml:space="preserve">the </w:t>
      </w:r>
      <w:r w:rsidR="00FF73C3">
        <w:rPr>
          <w:rFonts w:cs="Times New Roman"/>
        </w:rPr>
        <w:t xml:space="preserve">Response Rate 3 (RR3) </w:t>
      </w:r>
      <w:r w:rsidR="006101B8">
        <w:rPr>
          <w:rFonts w:cs="Times New Roman"/>
        </w:rPr>
        <w:t xml:space="preserve">formula </w:t>
      </w:r>
      <w:r w:rsidR="00FF73C3">
        <w:rPr>
          <w:rFonts w:cs="Times New Roman"/>
        </w:rPr>
        <w:t>established by the American Association for Public Opinion Research (AAPOR).</w:t>
      </w:r>
      <w:r w:rsidR="00C35550">
        <w:rPr>
          <w:rFonts w:cs="Times New Roman"/>
        </w:rPr>
        <w:t xml:space="preserve"> A response is counted as a completed interview if the respondent completes 50 percent of the questions that are applicable to all respondents, excluding the questions included in the </w:t>
      </w:r>
      <w:r w:rsidR="00C35550">
        <w:rPr>
          <w:rFonts w:cs="Times New Roman"/>
          <w:i/>
        </w:rPr>
        <w:t>“About You”</w:t>
      </w:r>
      <w:r w:rsidR="00C35550">
        <w:rPr>
          <w:rFonts w:cs="Times New Roman"/>
        </w:rPr>
        <w:t xml:space="preserve"> section of the survey.</w:t>
      </w:r>
    </w:p>
    <w:p w:rsidRPr="006A057A" w:rsidR="00EA45DE" w:rsidP="006A057A" w:rsidRDefault="00F329C2" w14:paraId="0929523A" w14:textId="1960F470">
      <w:pPr>
        <w:pStyle w:val="PBullet2"/>
        <w:numPr>
          <w:ilvl w:val="0"/>
          <w:numId w:val="0"/>
        </w:numPr>
        <w:tabs>
          <w:tab w:val="left" w:pos="0"/>
        </w:tabs>
        <w:rPr>
          <w:color w:val="1F497D"/>
          <w:sz w:val="22"/>
        </w:rPr>
      </w:pPr>
      <w:r>
        <w:rPr>
          <w:rFonts w:cs="Times New Roman"/>
        </w:rPr>
        <w:t xml:space="preserve">Given </w:t>
      </w:r>
      <w:r w:rsidR="00C35550">
        <w:rPr>
          <w:rFonts w:cs="Times New Roman"/>
        </w:rPr>
        <w:t xml:space="preserve">that </w:t>
      </w:r>
      <w:r w:rsidR="009F4B87">
        <w:rPr>
          <w:rFonts w:cs="Times New Roman"/>
        </w:rPr>
        <w:t>CMS</w:t>
      </w:r>
      <w:r w:rsidR="00C35550">
        <w:rPr>
          <w:rFonts w:cs="Times New Roman"/>
        </w:rPr>
        <w:t xml:space="preserve"> the response rate </w:t>
      </w:r>
      <w:r w:rsidR="002F34EA">
        <w:rPr>
          <w:rFonts w:cs="Times New Roman"/>
        </w:rPr>
        <w:t>was</w:t>
      </w:r>
      <w:r w:rsidR="00C35550">
        <w:rPr>
          <w:rFonts w:cs="Times New Roman"/>
        </w:rPr>
        <w:t xml:space="preserve"> below 80 percent, CMS</w:t>
      </w:r>
      <w:r w:rsidR="009F4B87">
        <w:rPr>
          <w:rFonts w:cs="Times New Roman"/>
        </w:rPr>
        <w:t xml:space="preserve">  conduct</w:t>
      </w:r>
      <w:r w:rsidR="002F34EA">
        <w:rPr>
          <w:rFonts w:cs="Times New Roman"/>
        </w:rPr>
        <w:t>ed</w:t>
      </w:r>
      <w:r w:rsidR="009F4B87">
        <w:rPr>
          <w:rFonts w:cs="Times New Roman"/>
        </w:rPr>
        <w:t xml:space="preserve"> a nonresponse bias analysis to determine whether nonrespondents systematically differ from respondents based on their experience with their health plan.</w:t>
      </w:r>
      <w:r w:rsidR="00EA45DE">
        <w:rPr>
          <w:rFonts w:cs="Times New Roman"/>
        </w:rPr>
        <w:t xml:space="preserve"> </w:t>
      </w:r>
      <w:r w:rsidR="00CE28F8">
        <w:rPr>
          <w:rFonts w:cs="Times New Roman"/>
        </w:rPr>
        <w:t xml:space="preserve">In the nonresponse bias analysis of the </w:t>
      </w:r>
      <w:r w:rsidR="002F34EA">
        <w:rPr>
          <w:rFonts w:cs="Times New Roman"/>
        </w:rPr>
        <w:t>2017</w:t>
      </w:r>
      <w:r w:rsidR="00CE28F8">
        <w:rPr>
          <w:rFonts w:cs="Times New Roman"/>
        </w:rPr>
        <w:t xml:space="preserve"> QHP Enrollee Survey, CMS found that older enrollees (those over the age of 55) continued to be significantly more likely to respond compared to younger </w:t>
      </w:r>
      <w:r w:rsidR="009779FB">
        <w:rPr>
          <w:rFonts w:cs="Times New Roman"/>
        </w:rPr>
        <w:t>enrollees</w:t>
      </w:r>
      <w:r w:rsidR="00CE28F8">
        <w:rPr>
          <w:rFonts w:cs="Times New Roman"/>
        </w:rPr>
        <w:t xml:space="preserve">. </w:t>
      </w:r>
      <w:r w:rsidR="00EA45DE">
        <w:rPr>
          <w:rFonts w:cs="Times New Roman"/>
        </w:rPr>
        <w:t>This pattern was observed in the 2014 psychometric test</w:t>
      </w:r>
      <w:r w:rsidR="002F34EA">
        <w:rPr>
          <w:rFonts w:cs="Times New Roman"/>
        </w:rPr>
        <w:t>,</w:t>
      </w:r>
      <w:r w:rsidR="00EA45DE">
        <w:rPr>
          <w:rFonts w:cs="Times New Roman"/>
        </w:rPr>
        <w:t>the 2015 beta test</w:t>
      </w:r>
      <w:r w:rsidR="002F34EA">
        <w:rPr>
          <w:rFonts w:cs="Times New Roman"/>
        </w:rPr>
        <w:t>, and the 2016 Administration</w:t>
      </w:r>
      <w:r w:rsidR="00EA45DE">
        <w:rPr>
          <w:rFonts w:cs="Times New Roman"/>
        </w:rPr>
        <w:t xml:space="preserve">. </w:t>
      </w:r>
      <w:r w:rsidRPr="001213EF" w:rsidR="00EA45DE">
        <w:t xml:space="preserve">More detailed findings from the </w:t>
      </w:r>
      <w:r w:rsidR="002F34EA">
        <w:t xml:space="preserve">2017 </w:t>
      </w:r>
      <w:r w:rsidRPr="001213EF" w:rsidR="00EA45DE">
        <w:t>nonresponse bias evaluation have been included in Appendix A of this document.</w:t>
      </w:r>
      <w:r w:rsidRPr="001213EF" w:rsidR="001213EF">
        <w:t xml:space="preserve"> </w:t>
      </w:r>
      <w:r w:rsidRPr="00043982" w:rsidR="001213EF">
        <w:rPr>
          <w:rFonts w:cs="Times New Roman"/>
        </w:rPr>
        <w:t>CMS intends to summarize this information in a consumer friendly way once we begin national public reporting.</w:t>
      </w:r>
    </w:p>
    <w:p w:rsidR="000A157C" w:rsidP="007868E2" w:rsidRDefault="000A157C" w14:paraId="11442675" w14:textId="77777777">
      <w:pPr>
        <w:pStyle w:val="PBullet2"/>
        <w:numPr>
          <w:ilvl w:val="0"/>
          <w:numId w:val="0"/>
        </w:numPr>
        <w:rPr>
          <w:rFonts w:cs="Times New Roman"/>
        </w:rPr>
      </w:pPr>
      <w:r>
        <w:rPr>
          <w:rFonts w:cs="Times New Roman"/>
        </w:rPr>
        <w:t xml:space="preserve">Thus far, the response rates discussed have been at the unit level, where </w:t>
      </w:r>
      <w:r w:rsidR="009B5BEC">
        <w:rPr>
          <w:rFonts w:cs="Times New Roman"/>
        </w:rPr>
        <w:t>respondents</w:t>
      </w:r>
      <w:r>
        <w:rPr>
          <w:rFonts w:cs="Times New Roman"/>
        </w:rPr>
        <w:t xml:space="preserve"> either </w:t>
      </w:r>
      <w:r w:rsidR="009B5BEC">
        <w:rPr>
          <w:rFonts w:cs="Times New Roman"/>
        </w:rPr>
        <w:t>completed</w:t>
      </w:r>
      <w:r>
        <w:rPr>
          <w:rFonts w:cs="Times New Roman"/>
        </w:rPr>
        <w:t xml:space="preserve"> or did not </w:t>
      </w:r>
      <w:r w:rsidR="009B5BEC">
        <w:rPr>
          <w:rFonts w:cs="Times New Roman"/>
        </w:rPr>
        <w:t>complete</w:t>
      </w:r>
      <w:r>
        <w:rPr>
          <w:rFonts w:cs="Times New Roman"/>
        </w:rPr>
        <w:t xml:space="preserve"> the survey. There is also item-level </w:t>
      </w:r>
      <w:r w:rsidR="003A4D97">
        <w:rPr>
          <w:rFonts w:cs="Times New Roman"/>
        </w:rPr>
        <w:t>non</w:t>
      </w:r>
      <w:r>
        <w:rPr>
          <w:rFonts w:cs="Times New Roman"/>
        </w:rPr>
        <w:t xml:space="preserve">response where a respondent answers some, but not all of the questions </w:t>
      </w:r>
      <w:r w:rsidR="003A4D97">
        <w:rPr>
          <w:rFonts w:cs="Times New Roman"/>
        </w:rPr>
        <w:t xml:space="preserve">they are eligible </w:t>
      </w:r>
      <w:r w:rsidR="00BA3F15">
        <w:rPr>
          <w:rFonts w:cs="Times New Roman"/>
        </w:rPr>
        <w:t>to answer</w:t>
      </w:r>
      <w:r w:rsidR="003A4D97">
        <w:rPr>
          <w:rFonts w:cs="Times New Roman"/>
        </w:rPr>
        <w:t xml:space="preserve"> </w:t>
      </w:r>
      <w:r>
        <w:rPr>
          <w:rFonts w:cs="Times New Roman"/>
        </w:rPr>
        <w:t xml:space="preserve">in the survey. </w:t>
      </w:r>
      <w:r w:rsidR="00D3038D">
        <w:rPr>
          <w:rFonts w:cs="Times New Roman"/>
        </w:rPr>
        <w:t>Although highly unlikely, i</w:t>
      </w:r>
      <w:r w:rsidR="003A4D97">
        <w:rPr>
          <w:rFonts w:cs="Times New Roman"/>
        </w:rPr>
        <w:t>f the item response rate is less than 70%</w:t>
      </w:r>
      <w:r w:rsidR="00D3038D">
        <w:rPr>
          <w:rFonts w:cs="Times New Roman"/>
        </w:rPr>
        <w:t xml:space="preserve"> for any survey questions</w:t>
      </w:r>
      <w:r w:rsidR="003A4D97">
        <w:rPr>
          <w:rFonts w:cs="Times New Roman"/>
        </w:rPr>
        <w:t>, CMS will conduct an item nonresponse analysis similar to that discussed above for unit nonresponse</w:t>
      </w:r>
      <w:r w:rsidR="009B5BEC">
        <w:rPr>
          <w:rFonts w:cs="Times New Roman"/>
        </w:rPr>
        <w:t xml:space="preserve"> as required by Guideline 3.2.10 of the Office of Management and Budget’s Standards and Guideline for Statistical Surveys</w:t>
      </w:r>
      <w:r w:rsidR="003A4D97">
        <w:rPr>
          <w:rFonts w:cs="Times New Roman"/>
        </w:rPr>
        <w:t>.</w:t>
      </w:r>
      <w:r w:rsidR="00D3038D">
        <w:rPr>
          <w:rFonts w:cs="Times New Roman"/>
        </w:rPr>
        <w:t xml:space="preserve"> </w:t>
      </w:r>
    </w:p>
    <w:p w:rsidR="00434BEE" w:rsidP="00434BEE" w:rsidRDefault="00434BEE" w14:paraId="7E84107F" w14:textId="378E38D1">
      <w:r>
        <w:t xml:space="preserve">All reporting websites under CMS’ control will provide </w:t>
      </w:r>
      <w:r w:rsidR="00A31932">
        <w:t>Exchange</w:t>
      </w:r>
      <w:r>
        <w:t xml:space="preserve"> consumers with the overall response rate and the minimum and maximum response rates obtained by reporting units nationwide. This information will also include a statement of findings from the nonresponse bias analysis and CMS’ assessment of the potential implications of those findings for use of the response rates by consumers in choosing a QHP. </w:t>
      </w:r>
      <w:r w:rsidR="00991173">
        <w:rPr>
          <w:rFonts w:cs="Times New Roman"/>
        </w:rPr>
        <w:t>CMS is assessing information obtained regarding the display of QRS ratings during the pilot and will consider the timeframes for public reporting of quality rating information.</w:t>
      </w:r>
    </w:p>
    <w:p w:rsidR="005A30EF" w:rsidP="007868E2" w:rsidRDefault="005A30EF" w14:paraId="2B79C89B" w14:textId="77777777">
      <w:pPr>
        <w:pStyle w:val="PBullet2"/>
        <w:numPr>
          <w:ilvl w:val="0"/>
          <w:numId w:val="0"/>
        </w:numPr>
        <w:rPr>
          <w:rFonts w:cs="Times New Roman"/>
        </w:rPr>
      </w:pPr>
    </w:p>
    <w:p w:rsidRPr="00A639DF" w:rsidR="00101D3E" w:rsidP="00A639DF" w:rsidRDefault="00101D3E" w14:paraId="7A11AE82" w14:textId="77777777">
      <w:pPr>
        <w:pStyle w:val="Heading1"/>
      </w:pPr>
      <w:bookmarkStart w:name="_Toc375154527" w:id="25"/>
      <w:bookmarkStart w:name="_Toc461456462" w:id="26"/>
      <w:r w:rsidRPr="00A639DF">
        <w:t>4.</w:t>
      </w:r>
      <w:r w:rsidRPr="00A639DF" w:rsidR="00A639DF">
        <w:tab/>
      </w:r>
      <w:r w:rsidRPr="00A639DF">
        <w:t>Tests of Procedures</w:t>
      </w:r>
      <w:bookmarkEnd w:id="20"/>
      <w:bookmarkEnd w:id="21"/>
      <w:bookmarkEnd w:id="22"/>
      <w:bookmarkEnd w:id="23"/>
      <w:bookmarkEnd w:id="25"/>
      <w:bookmarkEnd w:id="26"/>
    </w:p>
    <w:p w:rsidR="005002B6" w:rsidP="00A639DF" w:rsidRDefault="001777A9" w14:paraId="1360A704" w14:textId="56830BD9">
      <w:pPr>
        <w:pStyle w:val="PBodyText"/>
        <w:rPr>
          <w:rFonts w:cstheme="minorHAnsi"/>
          <w:bCs/>
        </w:rPr>
      </w:pPr>
      <w:r>
        <w:t>The QHP Enrollee Survey u</w:t>
      </w:r>
      <w:r w:rsidR="006101B8">
        <w:t>se</w:t>
      </w:r>
      <w:r>
        <w:t>s the CAHPS</w:t>
      </w:r>
      <w:r w:rsidRPr="00346358">
        <w:t>®</w:t>
      </w:r>
      <w:r>
        <w:t xml:space="preserve"> Health Plan 5.0 Survey, which was developed and </w:t>
      </w:r>
      <w:r w:rsidR="006101B8">
        <w:t xml:space="preserve">is </w:t>
      </w:r>
      <w:r>
        <w:t>maintained by the Agency for Healthcare Research &amp; Quality (AHRQ)</w:t>
      </w:r>
      <w:r w:rsidR="00A03C84">
        <w:t>,</w:t>
      </w:r>
      <w:r>
        <w:t xml:space="preserve"> as the core of the </w:t>
      </w:r>
      <w:r w:rsidR="00A03C84">
        <w:t>QHP Enrollee S</w:t>
      </w:r>
      <w:r>
        <w:t>urvey. Additional items included in the survey are from other CAHPS</w:t>
      </w:r>
      <w:r w:rsidRPr="00346358" w:rsidR="000F39BF">
        <w:t>®</w:t>
      </w:r>
      <w:r>
        <w:t xml:space="preserve"> surveys and supplemental item sets.</w:t>
      </w:r>
      <w:r w:rsidR="00A03C84">
        <w:t xml:space="preserve"> </w:t>
      </w:r>
      <w:r w:rsidR="006101B8">
        <w:t xml:space="preserve">These items have undergone extensive testing and practical use by AHRQ, CMS, NCQA, and other users since they were first developed nearly 20 years ago. </w:t>
      </w:r>
      <w:r w:rsidR="00A03C84">
        <w:t xml:space="preserve">In 2014, CMS conducted a </w:t>
      </w:r>
      <w:r w:rsidR="00E26218">
        <w:t>p</w:t>
      </w:r>
      <w:r w:rsidR="00A03C84">
        <w:t xml:space="preserve">sychometric </w:t>
      </w:r>
      <w:r w:rsidR="00E26218">
        <w:t>t</w:t>
      </w:r>
      <w:r w:rsidR="00A03C84">
        <w:t>est to evaluate the psychometric properties of the QHP Enrollee Survey</w:t>
      </w:r>
      <w:r w:rsidR="006101B8">
        <w:t xml:space="preserve"> in the </w:t>
      </w:r>
      <w:r w:rsidR="00A31932">
        <w:t>Exchange</w:t>
      </w:r>
      <w:r w:rsidR="006101B8">
        <w:t xml:space="preserve"> population</w:t>
      </w:r>
      <w:r w:rsidR="00A03C84">
        <w:t>. This test resulted in numerous question</w:t>
      </w:r>
      <w:r w:rsidR="006372CA">
        <w:t>s</w:t>
      </w:r>
      <w:r w:rsidR="00B855D0">
        <w:t xml:space="preserve"> </w:t>
      </w:r>
      <w:r w:rsidR="00A03C84">
        <w:t xml:space="preserve">being dropped from </w:t>
      </w:r>
      <w:r w:rsidR="006372CA">
        <w:t xml:space="preserve">and revised for </w:t>
      </w:r>
      <w:r w:rsidR="00A03C84">
        <w:t>the questionnaire</w:t>
      </w:r>
      <w:r w:rsidR="006101B8">
        <w:t xml:space="preserve"> for the 2015 </w:t>
      </w:r>
      <w:r w:rsidR="00E26218">
        <w:t>b</w:t>
      </w:r>
      <w:r w:rsidR="006101B8">
        <w:t xml:space="preserve">eta </w:t>
      </w:r>
      <w:r w:rsidR="00E26218">
        <w:t>t</w:t>
      </w:r>
      <w:r w:rsidR="006101B8">
        <w:t>est</w:t>
      </w:r>
      <w:r w:rsidR="00CA7542">
        <w:t>. More specifically, i</w:t>
      </w:r>
      <w:r w:rsidR="00CA7542">
        <w:rPr>
          <w:rFonts w:cstheme="minorHAnsi"/>
          <w:bCs/>
        </w:rPr>
        <w:t xml:space="preserve">n 2014, CMS conducted the </w:t>
      </w:r>
      <w:r w:rsidR="009D5F1C">
        <w:rPr>
          <w:rFonts w:cstheme="minorHAnsi"/>
          <w:bCs/>
        </w:rPr>
        <w:t>p</w:t>
      </w:r>
      <w:r w:rsidR="00CA7542">
        <w:rPr>
          <w:rFonts w:cstheme="minorHAnsi"/>
          <w:bCs/>
        </w:rPr>
        <w:t xml:space="preserve">sychometric </w:t>
      </w:r>
      <w:r w:rsidR="009D5F1C">
        <w:rPr>
          <w:rFonts w:cstheme="minorHAnsi"/>
          <w:bCs/>
        </w:rPr>
        <w:t>t</w:t>
      </w:r>
      <w:r w:rsidR="00CA7542">
        <w:rPr>
          <w:rFonts w:cstheme="minorHAnsi"/>
          <w:bCs/>
        </w:rPr>
        <w:t xml:space="preserve">est of the QHP Enrollee Survey with 30 sampling units </w:t>
      </w:r>
      <w:r w:rsidR="00CA7542">
        <w:rPr>
          <w:rFonts w:cstheme="minorHAnsi"/>
          <w:bCs/>
        </w:rPr>
        <w:lastRenderedPageBreak/>
        <w:t>(defined by state, issuer, and product type (i.e., HMO, PPO, POS, or EPO)). The sample unit definition matches the reporting unit definition CMS developed for the Quality R</w:t>
      </w:r>
      <w:r w:rsidR="005002B6">
        <w:rPr>
          <w:rFonts w:cstheme="minorHAnsi"/>
          <w:bCs/>
        </w:rPr>
        <w:t>ating</w:t>
      </w:r>
      <w:r w:rsidR="00CA7542">
        <w:rPr>
          <w:rFonts w:cstheme="minorHAnsi"/>
          <w:bCs/>
        </w:rPr>
        <w:t xml:space="preserve"> System (QRS). Because the Psychometric Test took place in the second half of 2014, the results were not available in time to influence the content of the questionnaire for the 2015 Beta Test, which had to be finalized for distribution to the Beta Test survey vendors by November 2014. As a result, CMS, in consultation with OMB, reduced the </w:t>
      </w:r>
      <w:r w:rsidR="005002B6">
        <w:rPr>
          <w:rFonts w:cstheme="minorHAnsi"/>
          <w:bCs/>
        </w:rPr>
        <w:t xml:space="preserve">beta test </w:t>
      </w:r>
      <w:r w:rsidR="00CA7542">
        <w:rPr>
          <w:rFonts w:cstheme="minorHAnsi"/>
          <w:bCs/>
        </w:rPr>
        <w:t>questionnaire to include only the survey items that were part of the CAHPS</w:t>
      </w:r>
      <w:r w:rsidRPr="00597847" w:rsidR="000F39BF">
        <w:t>®</w:t>
      </w:r>
      <w:r w:rsidR="00CA7542">
        <w:rPr>
          <w:rFonts w:cstheme="minorHAnsi"/>
          <w:bCs/>
        </w:rPr>
        <w:t xml:space="preserve"> Health Plan 5.0 core items and the items that were needed for the QRS. Thus, the Beta Test questionnaire contained 31 fewer items than the Psychometric Test questionnaire. </w:t>
      </w:r>
    </w:p>
    <w:p w:rsidR="00CA7542" w:rsidP="00A639DF" w:rsidRDefault="005002B6" w14:paraId="7DF40C9B" w14:textId="77777777">
      <w:pPr>
        <w:pStyle w:val="PBodyText"/>
        <w:rPr>
          <w:rFonts w:eastAsiaTheme="minorEastAsia"/>
        </w:rPr>
      </w:pPr>
      <w:r>
        <w:t>The 2015 Beta Test was mainly intended to test the survey vendor system but also provided additional information about the questionnaire items and data collection procedures. As a result of the Psychometric and Beta Tests, CMS identified changes in the questionnaire items, the data collection procedures, and the sampling specifications that we obtained approval for the</w:t>
      </w:r>
      <w:r w:rsidR="00BB017B">
        <w:t xml:space="preserve"> </w:t>
      </w:r>
      <w:r>
        <w:t>2016 implementation of the survey</w:t>
      </w:r>
      <w:r w:rsidR="00B54A2D">
        <w:t>.</w:t>
      </w:r>
      <w:r>
        <w:t xml:space="preserve"> </w:t>
      </w:r>
      <w:r w:rsidR="00CA7542">
        <w:rPr>
          <w:rFonts w:cstheme="minorHAnsi"/>
          <w:bCs/>
        </w:rPr>
        <w:t xml:space="preserve">When the results of the Psychometric Test became available in early 2015, CMS determined that nine of the questions that had been removed for the Beta Test were vital for understanding enrollee experiences with their QHPs. </w:t>
      </w:r>
      <w:r w:rsidR="00CA7542">
        <w:rPr>
          <w:rFonts w:eastAsiaTheme="minorEastAsia"/>
        </w:rPr>
        <w:t xml:space="preserve">These questions </w:t>
      </w:r>
      <w:r w:rsidR="00BD12BB">
        <w:rPr>
          <w:rFonts w:eastAsiaTheme="minorEastAsia"/>
        </w:rPr>
        <w:t xml:space="preserve">were approved to be </w:t>
      </w:r>
      <w:r w:rsidR="00CA7542">
        <w:rPr>
          <w:rFonts w:eastAsiaTheme="minorEastAsia"/>
        </w:rPr>
        <w:t>returned to the questionnaire for the 2016 National Implementation</w:t>
      </w:r>
      <w:r w:rsidR="00BD12BB">
        <w:rPr>
          <w:rFonts w:eastAsiaTheme="minorEastAsia"/>
        </w:rPr>
        <w:t>.</w:t>
      </w:r>
      <w:r w:rsidR="00CA7542">
        <w:rPr>
          <w:rFonts w:eastAsiaTheme="minorEastAsia"/>
        </w:rPr>
        <w:t xml:space="preserve"> These restored items address enrollees’ experiences with out-of-pocket costs for covered services, health insurance literacy, and health insurance coverage during the previous year, and whether respondents would recommend their QHPs to their friends and family.</w:t>
      </w:r>
      <w:r w:rsidR="0041202A">
        <w:rPr>
          <w:rFonts w:eastAsiaTheme="minorEastAsia"/>
        </w:rPr>
        <w:t xml:space="preserve"> For the 2017 implementation and beyond, CMS has added</w:t>
      </w:r>
      <w:r w:rsidRPr="0041202A" w:rsidR="0041202A">
        <w:rPr>
          <w:rFonts w:eastAsiaTheme="minorEastAsia"/>
        </w:rPr>
        <w:t xml:space="preserve"> six disability status items </w:t>
      </w:r>
      <w:r>
        <w:rPr>
          <w:rFonts w:eastAsiaTheme="minorEastAsia"/>
        </w:rPr>
        <w:t xml:space="preserve">to address requirements of </w:t>
      </w:r>
      <w:r w:rsidRPr="0041202A">
        <w:rPr>
          <w:rFonts w:eastAsiaTheme="minorEastAsia"/>
        </w:rPr>
        <w:t>section 4302 data collection standards</w:t>
      </w:r>
      <w:r>
        <w:rPr>
          <w:rFonts w:eastAsiaTheme="minorEastAsia"/>
        </w:rPr>
        <w:t xml:space="preserve"> of</w:t>
      </w:r>
      <w:r w:rsidRPr="0041202A" w:rsidR="0041202A">
        <w:rPr>
          <w:rFonts w:eastAsiaTheme="minorEastAsia"/>
        </w:rPr>
        <w:t xml:space="preserve"> the ACA</w:t>
      </w:r>
      <w:r w:rsidR="00B54A2D">
        <w:rPr>
          <w:rFonts w:eastAsiaTheme="minorEastAsia"/>
        </w:rPr>
        <w:t xml:space="preserve"> and removed the question to assess health insurance coverage during the previous year</w:t>
      </w:r>
      <w:r w:rsidRPr="0041202A" w:rsidR="0041202A">
        <w:rPr>
          <w:rFonts w:eastAsiaTheme="minorEastAsia"/>
        </w:rPr>
        <w:t>. The</w:t>
      </w:r>
      <w:r w:rsidR="00B54A2D">
        <w:rPr>
          <w:rFonts w:eastAsiaTheme="minorEastAsia"/>
        </w:rPr>
        <w:t xml:space="preserve"> disability status </w:t>
      </w:r>
      <w:r w:rsidRPr="0041202A" w:rsidR="0041202A">
        <w:rPr>
          <w:rFonts w:eastAsiaTheme="minorEastAsia"/>
        </w:rPr>
        <w:t xml:space="preserve">items were tested in the 2014 </w:t>
      </w:r>
      <w:r w:rsidR="00BD12BB">
        <w:rPr>
          <w:rFonts w:eastAsiaTheme="minorEastAsia"/>
        </w:rPr>
        <w:t>Psychometric</w:t>
      </w:r>
      <w:r w:rsidRPr="0041202A" w:rsidR="0041202A">
        <w:rPr>
          <w:rFonts w:eastAsiaTheme="minorEastAsia"/>
        </w:rPr>
        <w:t xml:space="preserve"> Test</w:t>
      </w:r>
      <w:r w:rsidR="00A6211E">
        <w:rPr>
          <w:rFonts w:eastAsiaTheme="minorEastAsia"/>
        </w:rPr>
        <w:t xml:space="preserve"> and have been extensively tested by the US Census Bureau for administration in the American Community Survey.</w:t>
      </w:r>
    </w:p>
    <w:p w:rsidR="00EA45DE" w:rsidP="00EA45DE" w:rsidRDefault="00EA45DE" w14:paraId="16949371" w14:textId="77777777">
      <w:pPr>
        <w:pStyle w:val="PBodyText"/>
        <w:rPr>
          <w:rFonts w:eastAsiaTheme="minorEastAsia"/>
        </w:rPr>
      </w:pPr>
      <w:r>
        <w:rPr>
          <w:rFonts w:eastAsiaTheme="minorEastAsia"/>
        </w:rPr>
        <w:t xml:space="preserve">In consultation with the project’s Technical Expert Panel (TEP), CMS has continued to review the survey to review the impact of the questionnaire length and </w:t>
      </w:r>
      <w:r w:rsidR="002364D8">
        <w:rPr>
          <w:rFonts w:eastAsiaTheme="minorEastAsia"/>
        </w:rPr>
        <w:t>possibility</w:t>
      </w:r>
      <w:r>
        <w:rPr>
          <w:rFonts w:eastAsiaTheme="minorEastAsia"/>
        </w:rPr>
        <w:t xml:space="preserve"> for reducing the response burden. As part of our analysis, we plan to examine 2015 and 2016 data on partial completes to better understand where in the survey they broke off to determine if there’s a particularly problematic question or a length of time that suggests respondent fatigue has set in.  We can also model the propensity for breakoffs to investigate if they have unique characteristics compared to those who completed the survey. We can stratify the analysis by survey mode to see if results differ for telephone or Web respondents. Breakoffs are not a common </w:t>
      </w:r>
      <w:r w:rsidR="002364D8">
        <w:rPr>
          <w:rFonts w:eastAsiaTheme="minorEastAsia"/>
        </w:rPr>
        <w:t>occurrence</w:t>
      </w:r>
      <w:r>
        <w:rPr>
          <w:rFonts w:eastAsiaTheme="minorEastAsia"/>
        </w:rPr>
        <w:t xml:space="preserve"> since less than 1 % of the total sample in the 2016 QHP Enrollee Survey were partially completed. CMS previously analyzed the 2014 psychometric test data which was the longest version of the survey at 107 questions and did not find evidence of any particularly problematic questions or time points in the survey that produced a large number of breakoffs. </w:t>
      </w:r>
    </w:p>
    <w:p w:rsidRPr="000A5D0E" w:rsidR="00364B7C" w:rsidP="00A639DF" w:rsidRDefault="00364B7C" w14:paraId="5CE916B6" w14:textId="77777777">
      <w:pPr>
        <w:pStyle w:val="PBodyText"/>
        <w:rPr>
          <w:rFonts w:eastAsiaTheme="minorEastAsia"/>
        </w:rPr>
      </w:pPr>
      <w:r>
        <w:rPr>
          <w:rFonts w:eastAsiaTheme="minorEastAsia"/>
        </w:rPr>
        <w:t xml:space="preserve">Based on analysis of the 2016 QHP Enrollee Survey data, CMS is proposing to eliminate two survey questions on after-hours care because </w:t>
      </w:r>
      <w:r w:rsidR="000A5D0E">
        <w:rPr>
          <w:rFonts w:eastAsiaTheme="minorEastAsia"/>
        </w:rPr>
        <w:t xml:space="preserve"> these questions are no longer used in the QRS Access to Care measure and have </w:t>
      </w:r>
      <w:r>
        <w:rPr>
          <w:rFonts w:eastAsiaTheme="minorEastAsia"/>
        </w:rPr>
        <w:t>consistently</w:t>
      </w:r>
      <w:r w:rsidR="000A5D0E">
        <w:rPr>
          <w:rFonts w:eastAsiaTheme="minorEastAsia"/>
        </w:rPr>
        <w:t xml:space="preserve"> had</w:t>
      </w:r>
      <w:r>
        <w:rPr>
          <w:rFonts w:eastAsiaTheme="minorEastAsia"/>
        </w:rPr>
        <w:t xml:space="preserve"> low screen-in rates for these questions. CMS is also proposing to eliminate one survey question about the likelihood of respondents recommending their health plan to friends and family. While this question was included as a result of </w:t>
      </w:r>
      <w:r w:rsidR="000A5D0E">
        <w:rPr>
          <w:rFonts w:eastAsiaTheme="minorEastAsia"/>
        </w:rPr>
        <w:t xml:space="preserve">public comment, analysis of the 2016 QHP Enrollee Survey showed that this item was very highly correlated with the enrollee rating of their health plan item. Finally, CMS is </w:t>
      </w:r>
      <w:r w:rsidR="000A5D0E">
        <w:rPr>
          <w:rFonts w:eastAsiaTheme="minorEastAsia"/>
        </w:rPr>
        <w:lastRenderedPageBreak/>
        <w:t>proposing to eliminate all five survey questions related to the QRS Aspirin Use and Discussion given that this measure has been retired from the QRS because of revised guidelines by the US Preventive Services Task Force (USPSTF).</w:t>
      </w:r>
    </w:p>
    <w:p w:rsidRPr="006A057A" w:rsidR="00EA45DE" w:rsidP="00A639DF" w:rsidRDefault="00EA45DE" w14:paraId="75193AF3" w14:textId="77777777">
      <w:pPr>
        <w:pStyle w:val="PBodyText"/>
        <w:rPr>
          <w:rFonts w:eastAsiaTheme="minorEastAsia"/>
        </w:rPr>
      </w:pPr>
      <w:r>
        <w:rPr>
          <w:rFonts w:eastAsiaTheme="minorEastAsia"/>
        </w:rPr>
        <w:t xml:space="preserve">CMS will continue to examine methods for reducing the current QHP Enrollee Survey questionnaire length and will provide opportunities for public comment before these changes are implemented. </w:t>
      </w:r>
    </w:p>
    <w:p w:rsidRPr="00A639DF" w:rsidR="00101D3E" w:rsidP="00A639DF" w:rsidRDefault="00101D3E" w14:paraId="63F77FA0" w14:textId="77777777">
      <w:pPr>
        <w:pStyle w:val="Heading1"/>
      </w:pPr>
      <w:bookmarkStart w:name="_Toc302543544" w:id="27"/>
      <w:bookmarkStart w:name="_Toc252178321" w:id="28"/>
      <w:bookmarkStart w:name="_Toc375154528" w:id="29"/>
      <w:bookmarkStart w:name="_Toc461456463" w:id="30"/>
      <w:r w:rsidRPr="00A639DF">
        <w:t>5.</w:t>
      </w:r>
      <w:r w:rsidRPr="00A639DF" w:rsidR="00A639DF">
        <w:tab/>
      </w:r>
      <w:r w:rsidRPr="00A639DF">
        <w:t>Statistical Consultants</w:t>
      </w:r>
      <w:bookmarkEnd w:id="27"/>
      <w:bookmarkEnd w:id="28"/>
      <w:bookmarkEnd w:id="29"/>
      <w:bookmarkEnd w:id="30"/>
    </w:p>
    <w:p w:rsidR="00101D3E" w:rsidP="00BC60FD" w:rsidRDefault="00101D3E" w14:paraId="28E80700" w14:textId="77777777">
      <w:pPr>
        <w:pStyle w:val="PBodyText"/>
      </w:pPr>
      <w:r w:rsidRPr="00B476D3">
        <w:t xml:space="preserve">This sampling and statistical plan was prepared and reviewed </w:t>
      </w:r>
      <w:r w:rsidRPr="0080753D">
        <w:t xml:space="preserve">by staff of CMS and by the American Institutes </w:t>
      </w:r>
      <w:r w:rsidR="0002329D">
        <w:t>for</w:t>
      </w:r>
      <w:r w:rsidRPr="0080753D">
        <w:t xml:space="preserve"> Research. The primary statistical design was provided by Chris Evensen, MS, of the American Institutes for Research</w:t>
      </w:r>
      <w:r w:rsidR="00C158BB">
        <w:t xml:space="preserve"> (AIR)</w:t>
      </w:r>
      <w:r w:rsidRPr="0080753D">
        <w:t xml:space="preserve"> at (919) 918-2310</w:t>
      </w:r>
      <w:r>
        <w:t xml:space="preserve">; </w:t>
      </w:r>
      <w:r w:rsidR="00C158BB">
        <w:t xml:space="preserve">Lee Hargraves, PhD of AIR at (781) 373-7031; </w:t>
      </w:r>
      <w:r>
        <w:t xml:space="preserve">and HarmoniJoie Noel, PhD, of </w:t>
      </w:r>
      <w:r w:rsidR="00C158BB">
        <w:t>AIR</w:t>
      </w:r>
      <w:r>
        <w:t xml:space="preserve"> at (202) 403-5779.</w:t>
      </w:r>
    </w:p>
    <w:p w:rsidR="000A5D0E" w:rsidRDefault="000A5D0E" w14:paraId="686157B9" w14:textId="77777777">
      <w:pPr>
        <w:rPr>
          <w:rFonts w:ascii="Arial" w:hAnsi="Arial" w:cs="Arial"/>
          <w:sz w:val="28"/>
          <w:szCs w:val="28"/>
        </w:rPr>
      </w:pPr>
      <w:bookmarkStart w:name="_Toc461200783" w:id="31"/>
      <w:bookmarkStart w:name="_Toc461456464" w:id="32"/>
      <w:r>
        <w:rPr>
          <w:b/>
          <w:bCs/>
        </w:rPr>
        <w:br w:type="page"/>
      </w:r>
    </w:p>
    <w:p w:rsidR="00D6610E" w:rsidP="00D6610E" w:rsidRDefault="00D6610E" w14:paraId="796F5468" w14:textId="0C44124F">
      <w:pPr>
        <w:pStyle w:val="Heading1"/>
      </w:pPr>
      <w:r>
        <w:rPr>
          <w:b w:val="0"/>
          <w:bCs w:val="0"/>
        </w:rPr>
        <w:lastRenderedPageBreak/>
        <w:t>Appendix A: Detailed Findings from Nonresponse Bias Analysis of the 201</w:t>
      </w:r>
      <w:r w:rsidR="00A72C6D">
        <w:rPr>
          <w:b w:val="0"/>
          <w:bCs w:val="0"/>
        </w:rPr>
        <w:t>7</w:t>
      </w:r>
      <w:r>
        <w:rPr>
          <w:b w:val="0"/>
          <w:bCs w:val="0"/>
        </w:rPr>
        <w:t xml:space="preserve"> QHP Enrollee Survey</w:t>
      </w:r>
      <w:bookmarkEnd w:id="31"/>
      <w:bookmarkEnd w:id="32"/>
    </w:p>
    <w:p w:rsidR="00D6610E" w:rsidP="00D6610E" w:rsidRDefault="00D6610E" w14:paraId="3F0611D1" w14:textId="2697D730">
      <w:pPr>
        <w:spacing w:after="240"/>
        <w:rPr>
          <w:rFonts w:cs="Times New Roman"/>
          <w:szCs w:val="24"/>
        </w:rPr>
      </w:pPr>
      <w:r>
        <w:rPr>
          <w:rFonts w:cs="Times New Roman"/>
          <w:szCs w:val="24"/>
        </w:rPr>
        <w:t>Unit nonresponse, which is typically referred to as simply nonresponse, occurs when a sampled individual fails to complete the survey. While nonresponse alone is not problematic, if the topic being measured in the survey is directly related to the reason for nonresponse it can result in biased survey estimates. For example, if individuals who had poor experiences with their QHPs were less likely to complete the QHP Enrollee Survey, then the survey results may overestimate the percentage of QHP enrollees who had a positive experience.</w:t>
      </w:r>
      <w:r w:rsidR="00553524">
        <w:rPr>
          <w:rFonts w:cs="Times New Roman"/>
          <w:szCs w:val="24"/>
        </w:rPr>
        <w:t xml:space="preserve"> </w:t>
      </w:r>
      <w:r w:rsidRPr="00553524" w:rsidR="00553524">
        <w:t xml:space="preserve">The mean </w:t>
      </w:r>
      <w:r w:rsidR="007626FF">
        <w:t xml:space="preserve">unit-level </w:t>
      </w:r>
      <w:r w:rsidRPr="00553524" w:rsidR="00553524">
        <w:t xml:space="preserve">response rate across all reporting units that participated in the </w:t>
      </w:r>
      <w:r w:rsidRPr="00553524" w:rsidR="00D818CC">
        <w:t>201</w:t>
      </w:r>
      <w:r w:rsidR="00D818CC">
        <w:t>7</w:t>
      </w:r>
      <w:r w:rsidRPr="00553524" w:rsidR="00D818CC">
        <w:t xml:space="preserve"> </w:t>
      </w:r>
      <w:r w:rsidRPr="00553524" w:rsidR="00553524">
        <w:t xml:space="preserve">QHP Enrollee Survey was </w:t>
      </w:r>
      <w:r w:rsidR="00D818CC">
        <w:t>25.9</w:t>
      </w:r>
      <w:r w:rsidRPr="00553524" w:rsidR="00553524">
        <w:t xml:space="preserve"> percent with a minimum of </w:t>
      </w:r>
      <w:r w:rsidR="00D818CC">
        <w:t>7.7</w:t>
      </w:r>
      <w:r w:rsidRPr="00553524" w:rsidR="00553524">
        <w:t xml:space="preserve"> percent and a maximum of </w:t>
      </w:r>
      <w:r w:rsidR="00D818CC">
        <w:t>38.6</w:t>
      </w:r>
      <w:r w:rsidRPr="00553524" w:rsidR="00553524">
        <w:t xml:space="preserve"> percent. This variation is consistent with the variation in response rates across reporting units that CMS saw in the 2015 QHP Enrollee Survey.</w:t>
      </w:r>
    </w:p>
    <w:p w:rsidR="00D6610E" w:rsidP="00D6610E" w:rsidRDefault="00D6610E" w14:paraId="66E65877" w14:textId="77777777">
      <w:pPr>
        <w:rPr>
          <w:rFonts w:cs="Times New Roman"/>
        </w:rPr>
      </w:pPr>
      <w:r>
        <w:rPr>
          <w:rFonts w:cs="Times New Roman"/>
        </w:rPr>
        <w:t>Given the potential detrimental impact that nonresponse bias can have on survey estimates, the Office of Management and Budget (OMB) requires that all federal surveys that achieve a response rate below 80 percent perform a nonresponse bias analysis (Office of Management and Budget, 2006). This nonresponse bias analysis utilized information that QHP issuers included on the sample frame about all individuals, such as age, sex, and Census division.</w:t>
      </w:r>
    </w:p>
    <w:p w:rsidR="00D6610E" w:rsidP="00D6610E" w:rsidRDefault="00D6610E" w14:paraId="2DDCA965" w14:textId="77777777">
      <w:pPr>
        <w:spacing w:before="240" w:after="240"/>
        <w:rPr>
          <w:rFonts w:cs="Times New Roman"/>
          <w:szCs w:val="24"/>
        </w:rPr>
      </w:pPr>
      <w:r>
        <w:rPr>
          <w:rFonts w:cs="Times New Roman"/>
          <w:szCs w:val="24"/>
        </w:rPr>
        <w:t>First, the research team examined cross-tabulated frequencies of the frame variables between respondents and nonrespondents to determine if significant differences existed. The results of this analysis is shown in Exhibit B2.</w:t>
      </w:r>
    </w:p>
    <w:p w:rsidR="00D6610E" w:rsidP="00D6610E" w:rsidRDefault="00D6610E" w14:paraId="055B4B35" w14:textId="77777777">
      <w:pPr>
        <w:keepNext/>
        <w:spacing w:before="240"/>
        <w:rPr>
          <w:rFonts w:ascii="Arial" w:hAnsi="Arial" w:cs="Times New Roman"/>
          <w:b/>
          <w:color w:val="005295"/>
          <w:sz w:val="20"/>
          <w:szCs w:val="20"/>
          <w:lang w:eastAsia="en-GB"/>
        </w:rPr>
      </w:pPr>
      <w:r>
        <w:rPr>
          <w:rFonts w:ascii="Arial" w:hAnsi="Arial" w:cs="Times New Roman"/>
          <w:b/>
          <w:color w:val="005295"/>
          <w:sz w:val="20"/>
          <w:szCs w:val="20"/>
          <w:lang w:eastAsia="en-GB"/>
        </w:rPr>
        <w:t>Exhibit B2. Comparison of Selected Demographics between Sample Frame and Survey Respondents</w:t>
      </w:r>
    </w:p>
    <w:tbl>
      <w:tblPr>
        <w:tblStyle w:val="QHPTable1"/>
        <w:tblW w:w="0" w:type="auto"/>
        <w:tblInd w:w="115" w:type="dxa"/>
        <w:tblLook w:val="0620" w:firstRow="1" w:lastRow="0" w:firstColumn="0" w:lastColumn="0" w:noHBand="1" w:noVBand="1"/>
        <w:tblCaption w:val="Exhibit 13. Comparison of Selected Demographics between Sample Frame and Survey Respondents"/>
      </w:tblPr>
      <w:tblGrid>
        <w:gridCol w:w="4260"/>
        <w:gridCol w:w="2032"/>
        <w:gridCol w:w="1786"/>
        <w:gridCol w:w="1151"/>
      </w:tblGrid>
      <w:tr w:rsidR="00D6610E" w:rsidTr="00D6610E" w14:paraId="79FB3DCA" w14:textId="77777777">
        <w:trPr>
          <w:cnfStyle w:val="100000000000" w:firstRow="1" w:lastRow="0" w:firstColumn="0" w:lastColumn="0" w:oddVBand="0" w:evenVBand="0" w:oddHBand="0" w:evenHBand="0" w:firstRowFirstColumn="0" w:firstRowLastColumn="0" w:lastRowFirstColumn="0" w:lastRowLastColumn="0"/>
          <w:cantSplit/>
          <w:tblHeader/>
        </w:trPr>
        <w:tc>
          <w:tcPr>
            <w:tcW w:w="4260" w:type="dxa"/>
            <w:hideMark/>
          </w:tcPr>
          <w:p w:rsidR="00D6610E" w:rsidRDefault="00D6610E" w14:paraId="1A60D69F" w14:textId="77777777">
            <w:pPr>
              <w:spacing w:before="40" w:after="40"/>
              <w:rPr>
                <w:rFonts w:ascii="Arial" w:hAnsi="Arial" w:cs="Arial"/>
                <w:b/>
                <w:bCs/>
                <w:color w:val="FFFFFF"/>
                <w:sz w:val="20"/>
                <w:szCs w:val="20"/>
              </w:rPr>
            </w:pPr>
            <w:r>
              <w:rPr>
                <w:rFonts w:ascii="Arial" w:hAnsi="Arial" w:cs="Arial"/>
                <w:b/>
                <w:bCs/>
                <w:color w:val="FFFFFF"/>
                <w:sz w:val="20"/>
                <w:szCs w:val="20"/>
              </w:rPr>
              <w:t>Demographic</w:t>
            </w:r>
          </w:p>
        </w:tc>
        <w:tc>
          <w:tcPr>
            <w:tcW w:w="2032" w:type="dxa"/>
            <w:hideMark/>
          </w:tcPr>
          <w:p w:rsidR="00D6610E" w:rsidRDefault="00D6610E" w14:paraId="1016453E" w14:textId="77777777">
            <w:pPr>
              <w:spacing w:before="40" w:after="40"/>
              <w:rPr>
                <w:rFonts w:ascii="Arial" w:hAnsi="Arial" w:cs="Arial"/>
                <w:b/>
                <w:bCs/>
                <w:color w:val="FFFFFF"/>
                <w:sz w:val="20"/>
                <w:szCs w:val="20"/>
              </w:rPr>
            </w:pPr>
            <w:r>
              <w:rPr>
                <w:rFonts w:ascii="Arial" w:hAnsi="Arial" w:cs="Arial"/>
                <w:b/>
                <w:bCs/>
                <w:color w:val="FFFFFF"/>
                <w:sz w:val="20"/>
                <w:szCs w:val="20"/>
              </w:rPr>
              <w:t>Weighted Percent of Sample Frame</w:t>
            </w:r>
          </w:p>
        </w:tc>
        <w:tc>
          <w:tcPr>
            <w:tcW w:w="1786" w:type="dxa"/>
            <w:hideMark/>
          </w:tcPr>
          <w:p w:rsidR="00D6610E" w:rsidRDefault="00D6610E" w14:paraId="416B06D5" w14:textId="77777777">
            <w:pPr>
              <w:spacing w:before="40" w:after="40"/>
              <w:rPr>
                <w:rFonts w:ascii="Arial" w:hAnsi="Arial" w:cs="Arial"/>
                <w:b/>
                <w:bCs/>
                <w:color w:val="FFFFFF"/>
                <w:sz w:val="20"/>
                <w:szCs w:val="20"/>
              </w:rPr>
            </w:pPr>
            <w:r>
              <w:rPr>
                <w:rFonts w:ascii="Arial" w:hAnsi="Arial" w:cs="Arial"/>
                <w:b/>
                <w:bCs/>
                <w:color w:val="FFFFFF"/>
                <w:sz w:val="20"/>
                <w:szCs w:val="20"/>
              </w:rPr>
              <w:t>Weighted Percent of Survey Respondents</w:t>
            </w:r>
          </w:p>
        </w:tc>
        <w:tc>
          <w:tcPr>
            <w:tcW w:w="1151" w:type="dxa"/>
            <w:hideMark/>
          </w:tcPr>
          <w:p w:rsidR="00D6610E" w:rsidRDefault="00D6610E" w14:paraId="41F1F2C5" w14:textId="77777777">
            <w:pPr>
              <w:spacing w:before="40" w:after="40"/>
              <w:rPr>
                <w:rFonts w:ascii="Arial" w:hAnsi="Arial" w:cs="Arial"/>
                <w:b/>
                <w:bCs/>
                <w:color w:val="FFFFFF"/>
                <w:sz w:val="20"/>
                <w:szCs w:val="20"/>
              </w:rPr>
            </w:pPr>
            <w:r>
              <w:rPr>
                <w:rFonts w:ascii="Arial" w:hAnsi="Arial" w:cs="Arial"/>
                <w:b/>
                <w:bCs/>
                <w:color w:val="FFFFFF"/>
                <w:sz w:val="20"/>
                <w:szCs w:val="20"/>
              </w:rPr>
              <w:t>Difference</w:t>
            </w:r>
          </w:p>
        </w:tc>
      </w:tr>
      <w:tr w:rsidR="00D6610E" w:rsidTr="00D6610E" w14:paraId="4EF91811" w14:textId="77777777">
        <w:trPr>
          <w:cantSplit/>
        </w:trPr>
        <w:tc>
          <w:tcPr>
            <w:tcW w:w="4260" w:type="dxa"/>
            <w:tcBorders>
              <w:top w:val="single" w:color="003D6F" w:sz="6" w:space="0"/>
              <w:left w:val="single" w:color="003D6F" w:sz="6" w:space="0"/>
              <w:bottom w:val="single" w:color="003D6F" w:sz="6" w:space="0"/>
              <w:right w:val="single" w:color="003D6F" w:sz="6" w:space="0"/>
            </w:tcBorders>
            <w:shd w:val="clear" w:color="auto" w:fill="D9E3ED"/>
            <w:hideMark/>
          </w:tcPr>
          <w:p w:rsidR="00D6610E" w:rsidRDefault="00D6610E" w14:paraId="367E6080" w14:textId="77777777">
            <w:pPr>
              <w:spacing w:before="40" w:after="40" w:line="200" w:lineRule="exact"/>
              <w:rPr>
                <w:rFonts w:ascii="Arial" w:hAnsi="Arial" w:eastAsia="MS Mincho" w:cs="Arial"/>
                <w:b/>
                <w:sz w:val="20"/>
                <w:szCs w:val="20"/>
              </w:rPr>
            </w:pPr>
            <w:r>
              <w:rPr>
                <w:rFonts w:ascii="Arial" w:hAnsi="Arial" w:eastAsia="MS Mincho" w:cs="Arial"/>
                <w:b/>
                <w:sz w:val="20"/>
                <w:szCs w:val="20"/>
              </w:rPr>
              <w:t>Sex</w:t>
            </w:r>
          </w:p>
        </w:tc>
        <w:tc>
          <w:tcPr>
            <w:tcW w:w="2032" w:type="dxa"/>
            <w:tcBorders>
              <w:top w:val="single" w:color="003D6F" w:sz="6" w:space="0"/>
              <w:left w:val="single" w:color="003D6F" w:sz="6" w:space="0"/>
              <w:bottom w:val="single" w:color="003D6F" w:sz="6" w:space="0"/>
              <w:right w:val="single" w:color="003D6F" w:sz="6" w:space="0"/>
            </w:tcBorders>
            <w:shd w:val="clear" w:color="auto" w:fill="D9E3ED"/>
          </w:tcPr>
          <w:p w:rsidR="00D6610E" w:rsidRDefault="00D6610E" w14:paraId="2948DA8E" w14:textId="77777777">
            <w:pPr>
              <w:spacing w:before="40" w:after="40" w:line="200" w:lineRule="exact"/>
              <w:jc w:val="center"/>
              <w:rPr>
                <w:rFonts w:ascii="Arial" w:hAnsi="Arial" w:eastAsia="MS Mincho" w:cs="Arial"/>
                <w:b/>
                <w:sz w:val="20"/>
                <w:szCs w:val="20"/>
              </w:rPr>
            </w:pPr>
          </w:p>
        </w:tc>
        <w:tc>
          <w:tcPr>
            <w:tcW w:w="1786" w:type="dxa"/>
            <w:tcBorders>
              <w:top w:val="single" w:color="003D6F" w:sz="6" w:space="0"/>
              <w:left w:val="single" w:color="003D6F" w:sz="6" w:space="0"/>
              <w:bottom w:val="single" w:color="003D6F" w:sz="6" w:space="0"/>
              <w:right w:val="single" w:color="003D6F" w:sz="6" w:space="0"/>
            </w:tcBorders>
            <w:shd w:val="clear" w:color="auto" w:fill="D9E3ED"/>
          </w:tcPr>
          <w:p w:rsidR="00D6610E" w:rsidRDefault="00D6610E" w14:paraId="6AF53B12" w14:textId="77777777">
            <w:pPr>
              <w:spacing w:before="40" w:after="40" w:line="200" w:lineRule="exact"/>
              <w:jc w:val="center"/>
              <w:rPr>
                <w:rFonts w:ascii="Arial" w:hAnsi="Arial" w:eastAsia="MS Mincho" w:cs="Arial"/>
                <w:b/>
                <w:sz w:val="20"/>
                <w:szCs w:val="20"/>
              </w:rPr>
            </w:pPr>
          </w:p>
        </w:tc>
        <w:tc>
          <w:tcPr>
            <w:tcW w:w="1151" w:type="dxa"/>
            <w:tcBorders>
              <w:top w:val="single" w:color="003D6F" w:sz="6" w:space="0"/>
              <w:left w:val="single" w:color="003D6F" w:sz="6" w:space="0"/>
              <w:bottom w:val="single" w:color="003D6F" w:sz="6" w:space="0"/>
              <w:right w:val="single" w:color="003D6F" w:sz="6" w:space="0"/>
            </w:tcBorders>
            <w:shd w:val="clear" w:color="auto" w:fill="D9E3ED"/>
          </w:tcPr>
          <w:p w:rsidR="00D6610E" w:rsidRDefault="00D6610E" w14:paraId="5CE8184D" w14:textId="77777777">
            <w:pPr>
              <w:spacing w:before="40" w:after="40" w:line="200" w:lineRule="exact"/>
              <w:jc w:val="center"/>
              <w:rPr>
                <w:rFonts w:ascii="Arial" w:hAnsi="Arial" w:eastAsia="MS Mincho" w:cs="Arial"/>
                <w:b/>
                <w:sz w:val="20"/>
                <w:szCs w:val="20"/>
              </w:rPr>
            </w:pPr>
          </w:p>
        </w:tc>
      </w:tr>
      <w:tr w:rsidR="00D818CC" w:rsidTr="00D6610E" w14:paraId="7DCE633E" w14:textId="77777777">
        <w:trPr>
          <w:cantSplit/>
        </w:trPr>
        <w:tc>
          <w:tcPr>
            <w:tcW w:w="4260" w:type="dxa"/>
            <w:tcBorders>
              <w:top w:val="single" w:color="003D6F" w:sz="6" w:space="0"/>
              <w:left w:val="single" w:color="003D6F" w:sz="6" w:space="0"/>
              <w:bottom w:val="single" w:color="003D6F" w:sz="6" w:space="0"/>
              <w:right w:val="single" w:color="003D6F" w:sz="6" w:space="0"/>
            </w:tcBorders>
            <w:hideMark/>
          </w:tcPr>
          <w:p w:rsidR="00D818CC" w:rsidP="00D818CC" w:rsidRDefault="00D818CC" w14:paraId="451D12B3" w14:textId="77777777">
            <w:pPr>
              <w:spacing w:before="40" w:after="40" w:line="200" w:lineRule="exact"/>
              <w:ind w:left="216"/>
              <w:rPr>
                <w:rFonts w:ascii="Arial" w:hAnsi="Arial" w:eastAsia="MS Mincho" w:cs="Arial"/>
                <w:sz w:val="20"/>
                <w:szCs w:val="20"/>
              </w:rPr>
            </w:pPr>
            <w:r>
              <w:rPr>
                <w:rFonts w:ascii="Arial" w:hAnsi="Arial" w:cs="Arial"/>
                <w:sz w:val="20"/>
                <w:szCs w:val="20"/>
              </w:rPr>
              <w:t>Male</w:t>
            </w:r>
          </w:p>
        </w:tc>
        <w:tc>
          <w:tcPr>
            <w:tcW w:w="2032"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076344A8" w14:textId="2A2711BF">
            <w:pPr>
              <w:spacing w:before="40" w:after="40" w:line="200" w:lineRule="exact"/>
              <w:jc w:val="center"/>
              <w:rPr>
                <w:rFonts w:ascii="Arial" w:hAnsi="Arial" w:cs="Arial"/>
                <w:sz w:val="20"/>
                <w:szCs w:val="20"/>
              </w:rPr>
            </w:pPr>
            <w:r w:rsidRPr="00D818CC">
              <w:rPr>
                <w:rFonts w:ascii="Arial" w:hAnsi="Arial" w:cs="Arial"/>
                <w:sz w:val="20"/>
                <w:szCs w:val="20"/>
              </w:rPr>
              <w:t>45.4</w:t>
            </w:r>
          </w:p>
        </w:tc>
        <w:tc>
          <w:tcPr>
            <w:tcW w:w="1786"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064D9C87" w14:textId="37E0A6E7">
            <w:pPr>
              <w:spacing w:before="40" w:after="40" w:line="200" w:lineRule="exact"/>
              <w:jc w:val="center"/>
              <w:rPr>
                <w:rFonts w:ascii="Arial" w:hAnsi="Arial" w:cs="Arial"/>
                <w:sz w:val="20"/>
                <w:szCs w:val="20"/>
              </w:rPr>
            </w:pPr>
            <w:r w:rsidRPr="00D818CC">
              <w:rPr>
                <w:rFonts w:ascii="Arial" w:hAnsi="Arial" w:cs="Arial"/>
                <w:sz w:val="20"/>
                <w:szCs w:val="20"/>
              </w:rPr>
              <w:t>41.5</w:t>
            </w:r>
          </w:p>
        </w:tc>
        <w:tc>
          <w:tcPr>
            <w:tcW w:w="1151"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6A7AA30F" w14:textId="406FAF94">
            <w:pPr>
              <w:spacing w:before="40" w:after="40" w:line="200" w:lineRule="exact"/>
              <w:jc w:val="center"/>
              <w:rPr>
                <w:rFonts w:ascii="Arial" w:hAnsi="Arial" w:cs="Arial"/>
                <w:sz w:val="20"/>
                <w:szCs w:val="20"/>
              </w:rPr>
            </w:pPr>
            <w:r w:rsidRPr="00D818CC">
              <w:rPr>
                <w:rFonts w:ascii="Arial" w:hAnsi="Arial" w:cs="Arial"/>
                <w:sz w:val="20"/>
                <w:szCs w:val="20"/>
              </w:rPr>
              <w:t>-3.9</w:t>
            </w:r>
          </w:p>
        </w:tc>
      </w:tr>
      <w:tr w:rsidR="00D818CC" w:rsidTr="00D6610E" w14:paraId="33417AF0" w14:textId="77777777">
        <w:trPr>
          <w:cantSplit/>
        </w:trPr>
        <w:tc>
          <w:tcPr>
            <w:tcW w:w="4260" w:type="dxa"/>
            <w:tcBorders>
              <w:top w:val="single" w:color="003D6F" w:sz="6" w:space="0"/>
              <w:left w:val="single" w:color="003D6F" w:sz="6" w:space="0"/>
              <w:bottom w:val="single" w:color="003D6F" w:sz="6" w:space="0"/>
              <w:right w:val="single" w:color="003D6F" w:sz="6" w:space="0"/>
            </w:tcBorders>
            <w:hideMark/>
          </w:tcPr>
          <w:p w:rsidR="00D818CC" w:rsidP="00D818CC" w:rsidRDefault="00D818CC" w14:paraId="71C237D5" w14:textId="77777777">
            <w:pPr>
              <w:spacing w:before="40" w:after="40" w:line="200" w:lineRule="exact"/>
              <w:ind w:left="216"/>
              <w:rPr>
                <w:rFonts w:ascii="Arial" w:hAnsi="Arial" w:cs="Arial"/>
                <w:sz w:val="20"/>
                <w:szCs w:val="20"/>
              </w:rPr>
            </w:pPr>
            <w:r>
              <w:rPr>
                <w:rFonts w:ascii="Arial" w:hAnsi="Arial" w:cs="Arial"/>
                <w:sz w:val="20"/>
                <w:szCs w:val="20"/>
              </w:rPr>
              <w:t>Female</w:t>
            </w:r>
          </w:p>
        </w:tc>
        <w:tc>
          <w:tcPr>
            <w:tcW w:w="2032"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42E4DF63" w14:textId="17AF9B6F">
            <w:pPr>
              <w:spacing w:before="40" w:after="40" w:line="200" w:lineRule="exact"/>
              <w:jc w:val="center"/>
              <w:rPr>
                <w:rFonts w:ascii="Arial" w:hAnsi="Arial" w:cs="Arial"/>
                <w:sz w:val="20"/>
                <w:szCs w:val="20"/>
              </w:rPr>
            </w:pPr>
            <w:r w:rsidRPr="000621C4">
              <w:rPr>
                <w:rFonts w:ascii="Arial" w:hAnsi="Arial" w:cs="Arial"/>
                <w:sz w:val="20"/>
                <w:szCs w:val="20"/>
              </w:rPr>
              <w:t>54.6</w:t>
            </w:r>
          </w:p>
        </w:tc>
        <w:tc>
          <w:tcPr>
            <w:tcW w:w="1786"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615AC04A" w14:textId="46EA9C8F">
            <w:pPr>
              <w:spacing w:before="40" w:after="40" w:line="200" w:lineRule="exact"/>
              <w:jc w:val="center"/>
              <w:rPr>
                <w:rFonts w:ascii="Arial" w:hAnsi="Arial" w:cs="Arial"/>
                <w:sz w:val="20"/>
                <w:szCs w:val="20"/>
              </w:rPr>
            </w:pPr>
            <w:r w:rsidRPr="00D818CC">
              <w:rPr>
                <w:rFonts w:ascii="Arial" w:hAnsi="Arial" w:cs="Arial"/>
                <w:sz w:val="20"/>
                <w:szCs w:val="20"/>
              </w:rPr>
              <w:t>58.5</w:t>
            </w:r>
          </w:p>
        </w:tc>
        <w:tc>
          <w:tcPr>
            <w:tcW w:w="1151"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718FC33A" w14:textId="3184EC5F">
            <w:pPr>
              <w:spacing w:before="40" w:after="40" w:line="200" w:lineRule="exact"/>
              <w:jc w:val="center"/>
              <w:rPr>
                <w:rFonts w:ascii="Arial" w:hAnsi="Arial" w:cs="Arial"/>
                <w:sz w:val="20"/>
                <w:szCs w:val="20"/>
              </w:rPr>
            </w:pPr>
            <w:r w:rsidRPr="00D818CC">
              <w:rPr>
                <w:rFonts w:ascii="Arial" w:hAnsi="Arial" w:cs="Arial"/>
                <w:sz w:val="20"/>
                <w:szCs w:val="20"/>
              </w:rPr>
              <w:t>+3.9</w:t>
            </w:r>
          </w:p>
        </w:tc>
      </w:tr>
      <w:tr w:rsidR="00D818CC" w:rsidTr="00D6610E" w14:paraId="0634D7D6" w14:textId="77777777">
        <w:trPr>
          <w:cantSplit/>
        </w:trPr>
        <w:tc>
          <w:tcPr>
            <w:tcW w:w="4260" w:type="dxa"/>
            <w:tcBorders>
              <w:top w:val="single" w:color="003D6F" w:sz="6" w:space="0"/>
              <w:left w:val="single" w:color="003D6F" w:sz="6" w:space="0"/>
              <w:bottom w:val="single" w:color="003D6F" w:sz="6" w:space="0"/>
              <w:right w:val="single" w:color="003D6F" w:sz="6" w:space="0"/>
            </w:tcBorders>
            <w:shd w:val="clear" w:color="auto" w:fill="D9E3ED"/>
            <w:hideMark/>
          </w:tcPr>
          <w:p w:rsidR="00D818CC" w:rsidP="00D818CC" w:rsidRDefault="00D818CC" w14:paraId="72160E32" w14:textId="77777777">
            <w:pPr>
              <w:spacing w:before="40" w:after="40" w:line="200" w:lineRule="exact"/>
              <w:rPr>
                <w:rFonts w:ascii="Arial" w:hAnsi="Arial" w:cs="Arial"/>
                <w:b/>
                <w:sz w:val="20"/>
                <w:szCs w:val="20"/>
              </w:rPr>
            </w:pPr>
            <w:r>
              <w:rPr>
                <w:rFonts w:ascii="Arial" w:hAnsi="Arial" w:eastAsia="MS Mincho" w:cs="Arial"/>
                <w:b/>
                <w:sz w:val="20"/>
                <w:szCs w:val="20"/>
              </w:rPr>
              <w:t>Age</w:t>
            </w:r>
          </w:p>
        </w:tc>
        <w:tc>
          <w:tcPr>
            <w:tcW w:w="2032" w:type="dxa"/>
            <w:tcBorders>
              <w:top w:val="single" w:color="003D6F" w:sz="6" w:space="0"/>
              <w:left w:val="single" w:color="003D6F" w:sz="6" w:space="0"/>
              <w:bottom w:val="single" w:color="003D6F" w:sz="6" w:space="0"/>
              <w:right w:val="single" w:color="003D6F" w:sz="6" w:space="0"/>
            </w:tcBorders>
            <w:shd w:val="clear" w:color="auto" w:fill="D9E3ED"/>
          </w:tcPr>
          <w:p w:rsidRPr="00D818CC" w:rsidR="00D818CC" w:rsidP="00D818CC" w:rsidRDefault="00D818CC" w14:paraId="532B792B" w14:textId="77777777">
            <w:pPr>
              <w:spacing w:before="40" w:after="40" w:line="200" w:lineRule="exact"/>
              <w:jc w:val="center"/>
              <w:rPr>
                <w:rFonts w:ascii="Arial" w:hAnsi="Arial" w:cs="Arial"/>
                <w:sz w:val="20"/>
                <w:szCs w:val="20"/>
              </w:rPr>
            </w:pPr>
          </w:p>
        </w:tc>
        <w:tc>
          <w:tcPr>
            <w:tcW w:w="1786" w:type="dxa"/>
            <w:tcBorders>
              <w:top w:val="single" w:color="003D6F" w:sz="6" w:space="0"/>
              <w:left w:val="single" w:color="003D6F" w:sz="6" w:space="0"/>
              <w:bottom w:val="single" w:color="003D6F" w:sz="6" w:space="0"/>
              <w:right w:val="single" w:color="003D6F" w:sz="6" w:space="0"/>
            </w:tcBorders>
            <w:shd w:val="clear" w:color="auto" w:fill="D9E3ED"/>
          </w:tcPr>
          <w:p w:rsidRPr="000959DE" w:rsidR="00D818CC" w:rsidP="00D818CC" w:rsidRDefault="00D818CC" w14:paraId="45D43AC4" w14:textId="77777777">
            <w:pPr>
              <w:spacing w:before="40" w:after="40" w:line="200" w:lineRule="exact"/>
              <w:jc w:val="center"/>
              <w:rPr>
                <w:rFonts w:ascii="Arial" w:hAnsi="Arial" w:cs="Arial"/>
                <w:sz w:val="20"/>
                <w:szCs w:val="20"/>
              </w:rPr>
            </w:pPr>
          </w:p>
        </w:tc>
        <w:tc>
          <w:tcPr>
            <w:tcW w:w="1151" w:type="dxa"/>
            <w:tcBorders>
              <w:top w:val="single" w:color="003D6F" w:sz="6" w:space="0"/>
              <w:left w:val="single" w:color="003D6F" w:sz="6" w:space="0"/>
              <w:bottom w:val="single" w:color="003D6F" w:sz="6" w:space="0"/>
              <w:right w:val="single" w:color="003D6F" w:sz="6" w:space="0"/>
            </w:tcBorders>
            <w:shd w:val="clear" w:color="auto" w:fill="D9E3ED"/>
          </w:tcPr>
          <w:p w:rsidRPr="000959DE" w:rsidR="00D818CC" w:rsidP="00D818CC" w:rsidRDefault="00D818CC" w14:paraId="79DF4A5D" w14:textId="77777777">
            <w:pPr>
              <w:spacing w:before="40" w:after="40" w:line="200" w:lineRule="exact"/>
              <w:jc w:val="center"/>
              <w:rPr>
                <w:rFonts w:ascii="Arial" w:hAnsi="Arial" w:cs="Arial"/>
                <w:sz w:val="20"/>
                <w:szCs w:val="20"/>
              </w:rPr>
            </w:pPr>
          </w:p>
        </w:tc>
      </w:tr>
      <w:tr w:rsidR="00D818CC" w:rsidTr="00D6610E" w14:paraId="7337624C" w14:textId="77777777">
        <w:trPr>
          <w:cantSplit/>
        </w:trPr>
        <w:tc>
          <w:tcPr>
            <w:tcW w:w="4260" w:type="dxa"/>
            <w:tcBorders>
              <w:top w:val="single" w:color="003D6F" w:sz="6" w:space="0"/>
              <w:left w:val="single" w:color="003D6F" w:sz="6" w:space="0"/>
              <w:bottom w:val="single" w:color="003D6F" w:sz="6" w:space="0"/>
              <w:right w:val="single" w:color="003D6F" w:sz="6" w:space="0"/>
            </w:tcBorders>
            <w:hideMark/>
          </w:tcPr>
          <w:p w:rsidR="00D818CC" w:rsidP="00D818CC" w:rsidRDefault="00D818CC" w14:paraId="3448DE92" w14:textId="77777777">
            <w:pPr>
              <w:spacing w:before="40" w:after="40" w:line="200" w:lineRule="exact"/>
              <w:ind w:left="216"/>
              <w:rPr>
                <w:rFonts w:ascii="Arial" w:hAnsi="Arial" w:cs="Arial"/>
                <w:sz w:val="20"/>
                <w:szCs w:val="20"/>
              </w:rPr>
            </w:pPr>
            <w:r>
              <w:rPr>
                <w:rFonts w:ascii="Arial" w:hAnsi="Arial" w:cs="Arial"/>
                <w:sz w:val="20"/>
                <w:szCs w:val="20"/>
              </w:rPr>
              <w:t>18-24</w:t>
            </w:r>
          </w:p>
        </w:tc>
        <w:tc>
          <w:tcPr>
            <w:tcW w:w="2032"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6A8F58DC" w14:textId="536CCADB">
            <w:pPr>
              <w:spacing w:before="40" w:after="40" w:line="200" w:lineRule="exact"/>
              <w:jc w:val="center"/>
              <w:rPr>
                <w:rFonts w:ascii="Arial" w:hAnsi="Arial" w:cs="Arial"/>
                <w:sz w:val="20"/>
                <w:szCs w:val="20"/>
              </w:rPr>
            </w:pPr>
            <w:r w:rsidRPr="00D818CC">
              <w:rPr>
                <w:rFonts w:ascii="Arial" w:hAnsi="Arial" w:cs="Arial"/>
                <w:sz w:val="20"/>
                <w:szCs w:val="20"/>
              </w:rPr>
              <w:t>9.1</w:t>
            </w:r>
          </w:p>
        </w:tc>
        <w:tc>
          <w:tcPr>
            <w:tcW w:w="1786"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1850D740" w14:textId="0FAF254E">
            <w:pPr>
              <w:spacing w:before="40" w:after="40" w:line="200" w:lineRule="exact"/>
              <w:jc w:val="center"/>
              <w:rPr>
                <w:rFonts w:ascii="Arial" w:hAnsi="Arial" w:cs="Arial"/>
                <w:sz w:val="20"/>
                <w:szCs w:val="20"/>
              </w:rPr>
            </w:pPr>
            <w:r w:rsidRPr="00D818CC">
              <w:rPr>
                <w:rFonts w:ascii="Arial" w:hAnsi="Arial" w:cs="Arial"/>
                <w:sz w:val="20"/>
                <w:szCs w:val="20"/>
              </w:rPr>
              <w:t>4.3</w:t>
            </w:r>
          </w:p>
        </w:tc>
        <w:tc>
          <w:tcPr>
            <w:tcW w:w="1151"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705E783B" w14:textId="4D36CA79">
            <w:pPr>
              <w:spacing w:before="40" w:after="40" w:line="200" w:lineRule="exact"/>
              <w:jc w:val="center"/>
              <w:rPr>
                <w:rFonts w:ascii="Arial" w:hAnsi="Arial" w:cs="Arial"/>
                <w:sz w:val="20"/>
                <w:szCs w:val="20"/>
              </w:rPr>
            </w:pPr>
            <w:r w:rsidRPr="000621C4">
              <w:rPr>
                <w:rFonts w:ascii="Arial" w:hAnsi="Arial" w:cs="Arial"/>
                <w:sz w:val="20"/>
                <w:szCs w:val="20"/>
              </w:rPr>
              <w:t>-4.8</w:t>
            </w:r>
          </w:p>
        </w:tc>
      </w:tr>
      <w:tr w:rsidR="00D818CC" w:rsidTr="00D6610E" w14:paraId="3446A522" w14:textId="77777777">
        <w:trPr>
          <w:cantSplit/>
        </w:trPr>
        <w:tc>
          <w:tcPr>
            <w:tcW w:w="4260" w:type="dxa"/>
            <w:tcBorders>
              <w:top w:val="single" w:color="003D6F" w:sz="6" w:space="0"/>
              <w:left w:val="single" w:color="003D6F" w:sz="6" w:space="0"/>
              <w:bottom w:val="single" w:color="003D6F" w:sz="6" w:space="0"/>
              <w:right w:val="single" w:color="003D6F" w:sz="6" w:space="0"/>
            </w:tcBorders>
            <w:hideMark/>
          </w:tcPr>
          <w:p w:rsidR="00D818CC" w:rsidP="00D818CC" w:rsidRDefault="00D818CC" w14:paraId="2EC2E8FC" w14:textId="77777777">
            <w:pPr>
              <w:spacing w:before="40" w:after="40" w:line="200" w:lineRule="exact"/>
              <w:ind w:left="216"/>
              <w:rPr>
                <w:rFonts w:ascii="Arial" w:hAnsi="Arial" w:cs="Arial"/>
                <w:sz w:val="20"/>
                <w:szCs w:val="20"/>
              </w:rPr>
            </w:pPr>
            <w:r>
              <w:rPr>
                <w:rFonts w:ascii="Arial" w:hAnsi="Arial" w:cs="Arial"/>
                <w:sz w:val="20"/>
                <w:szCs w:val="20"/>
              </w:rPr>
              <w:t>25-34</w:t>
            </w:r>
          </w:p>
        </w:tc>
        <w:tc>
          <w:tcPr>
            <w:tcW w:w="2032"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0670CA44" w14:textId="4A025315">
            <w:pPr>
              <w:spacing w:before="40" w:after="40" w:line="200" w:lineRule="exact"/>
              <w:jc w:val="center"/>
              <w:rPr>
                <w:rFonts w:ascii="Arial" w:hAnsi="Arial" w:cs="Arial"/>
                <w:sz w:val="20"/>
                <w:szCs w:val="20"/>
              </w:rPr>
            </w:pPr>
            <w:r w:rsidRPr="00D818CC">
              <w:rPr>
                <w:rFonts w:ascii="Arial" w:hAnsi="Arial" w:cs="Arial"/>
                <w:sz w:val="20"/>
                <w:szCs w:val="20"/>
              </w:rPr>
              <w:t>18.3</w:t>
            </w:r>
          </w:p>
        </w:tc>
        <w:tc>
          <w:tcPr>
            <w:tcW w:w="1786"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300C4774" w14:textId="563A1F46">
            <w:pPr>
              <w:spacing w:before="40" w:after="40" w:line="200" w:lineRule="exact"/>
              <w:jc w:val="center"/>
              <w:rPr>
                <w:rFonts w:ascii="Arial" w:hAnsi="Arial" w:cs="Arial"/>
                <w:sz w:val="20"/>
                <w:szCs w:val="20"/>
              </w:rPr>
            </w:pPr>
            <w:r w:rsidRPr="00D818CC">
              <w:rPr>
                <w:rFonts w:ascii="Arial" w:hAnsi="Arial" w:cs="Arial"/>
                <w:sz w:val="20"/>
                <w:szCs w:val="20"/>
              </w:rPr>
              <w:t>10.6</w:t>
            </w:r>
          </w:p>
        </w:tc>
        <w:tc>
          <w:tcPr>
            <w:tcW w:w="1151"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621E022F" w14:textId="0ECEA7AF">
            <w:pPr>
              <w:spacing w:before="40" w:after="40" w:line="200" w:lineRule="exact"/>
              <w:jc w:val="center"/>
              <w:rPr>
                <w:rFonts w:ascii="Arial" w:hAnsi="Arial" w:cs="Arial"/>
                <w:sz w:val="20"/>
                <w:szCs w:val="20"/>
              </w:rPr>
            </w:pPr>
            <w:r w:rsidRPr="00D818CC">
              <w:rPr>
                <w:rFonts w:ascii="Arial" w:hAnsi="Arial" w:cs="Arial"/>
                <w:sz w:val="20"/>
                <w:szCs w:val="20"/>
              </w:rPr>
              <w:t>-7.7</w:t>
            </w:r>
          </w:p>
        </w:tc>
      </w:tr>
      <w:tr w:rsidR="00D818CC" w:rsidTr="00D6610E" w14:paraId="05A49CE0" w14:textId="77777777">
        <w:trPr>
          <w:cantSplit/>
        </w:trPr>
        <w:tc>
          <w:tcPr>
            <w:tcW w:w="4260" w:type="dxa"/>
            <w:tcBorders>
              <w:top w:val="single" w:color="003D6F" w:sz="6" w:space="0"/>
              <w:left w:val="single" w:color="003D6F" w:sz="6" w:space="0"/>
              <w:bottom w:val="single" w:color="003D6F" w:sz="6" w:space="0"/>
              <w:right w:val="single" w:color="003D6F" w:sz="6" w:space="0"/>
            </w:tcBorders>
            <w:hideMark/>
          </w:tcPr>
          <w:p w:rsidR="00D818CC" w:rsidP="00D818CC" w:rsidRDefault="00D818CC" w14:paraId="1539DDF3" w14:textId="77777777">
            <w:pPr>
              <w:spacing w:before="40" w:after="40" w:line="200" w:lineRule="exact"/>
              <w:ind w:left="216"/>
              <w:rPr>
                <w:rFonts w:ascii="Arial" w:hAnsi="Arial" w:cs="Arial"/>
                <w:sz w:val="20"/>
                <w:szCs w:val="20"/>
              </w:rPr>
            </w:pPr>
            <w:r>
              <w:rPr>
                <w:rFonts w:ascii="Arial" w:hAnsi="Arial" w:cs="Arial"/>
                <w:sz w:val="20"/>
                <w:szCs w:val="20"/>
              </w:rPr>
              <w:t>35-44</w:t>
            </w:r>
          </w:p>
        </w:tc>
        <w:tc>
          <w:tcPr>
            <w:tcW w:w="2032"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68046986" w14:textId="2903A397">
            <w:pPr>
              <w:spacing w:before="40" w:after="40" w:line="200" w:lineRule="exact"/>
              <w:jc w:val="center"/>
              <w:rPr>
                <w:rFonts w:ascii="Arial" w:hAnsi="Arial" w:cs="Arial"/>
                <w:sz w:val="20"/>
                <w:szCs w:val="20"/>
              </w:rPr>
            </w:pPr>
            <w:r w:rsidRPr="000621C4">
              <w:rPr>
                <w:rFonts w:ascii="Arial" w:hAnsi="Arial" w:cs="Arial"/>
                <w:sz w:val="20"/>
                <w:szCs w:val="20"/>
              </w:rPr>
              <w:t>16.8</w:t>
            </w:r>
          </w:p>
        </w:tc>
        <w:tc>
          <w:tcPr>
            <w:tcW w:w="1786"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0C512701" w14:textId="0BA7A87B">
            <w:pPr>
              <w:spacing w:before="40" w:after="40" w:line="200" w:lineRule="exact"/>
              <w:jc w:val="center"/>
              <w:rPr>
                <w:rFonts w:ascii="Arial" w:hAnsi="Arial" w:cs="Arial"/>
                <w:sz w:val="20"/>
                <w:szCs w:val="20"/>
              </w:rPr>
            </w:pPr>
            <w:r w:rsidRPr="00D818CC">
              <w:rPr>
                <w:rFonts w:ascii="Arial" w:hAnsi="Arial" w:cs="Arial"/>
                <w:sz w:val="20"/>
                <w:szCs w:val="20"/>
              </w:rPr>
              <w:t>12.3</w:t>
            </w:r>
          </w:p>
        </w:tc>
        <w:tc>
          <w:tcPr>
            <w:tcW w:w="1151"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2052055E" w14:textId="39F73B3E">
            <w:pPr>
              <w:spacing w:before="40" w:after="40" w:line="200" w:lineRule="exact"/>
              <w:jc w:val="center"/>
              <w:rPr>
                <w:rFonts w:ascii="Arial" w:hAnsi="Arial" w:cs="Arial"/>
                <w:sz w:val="20"/>
                <w:szCs w:val="20"/>
              </w:rPr>
            </w:pPr>
            <w:r w:rsidRPr="00D818CC">
              <w:rPr>
                <w:rFonts w:ascii="Arial" w:hAnsi="Arial" w:cs="Arial"/>
                <w:sz w:val="20"/>
                <w:szCs w:val="20"/>
              </w:rPr>
              <w:t>-4.5</w:t>
            </w:r>
          </w:p>
        </w:tc>
      </w:tr>
      <w:tr w:rsidR="00D818CC" w:rsidTr="00D6610E" w14:paraId="2D087253" w14:textId="77777777">
        <w:trPr>
          <w:cantSplit/>
        </w:trPr>
        <w:tc>
          <w:tcPr>
            <w:tcW w:w="4260" w:type="dxa"/>
            <w:tcBorders>
              <w:top w:val="single" w:color="003D6F" w:sz="6" w:space="0"/>
              <w:left w:val="single" w:color="003D6F" w:sz="6" w:space="0"/>
              <w:bottom w:val="single" w:color="003D6F" w:sz="6" w:space="0"/>
              <w:right w:val="single" w:color="003D6F" w:sz="6" w:space="0"/>
            </w:tcBorders>
            <w:hideMark/>
          </w:tcPr>
          <w:p w:rsidR="00D818CC" w:rsidP="00D818CC" w:rsidRDefault="00D818CC" w14:paraId="1722F9EB" w14:textId="77777777">
            <w:pPr>
              <w:spacing w:before="40" w:after="40" w:line="200" w:lineRule="exact"/>
              <w:ind w:left="216"/>
              <w:rPr>
                <w:rFonts w:ascii="Arial" w:hAnsi="Arial" w:cs="Arial"/>
                <w:sz w:val="20"/>
                <w:szCs w:val="20"/>
              </w:rPr>
            </w:pPr>
            <w:r>
              <w:rPr>
                <w:rFonts w:ascii="Arial" w:hAnsi="Arial" w:cs="Arial"/>
                <w:sz w:val="20"/>
                <w:szCs w:val="20"/>
              </w:rPr>
              <w:t>45-54</w:t>
            </w:r>
          </w:p>
        </w:tc>
        <w:tc>
          <w:tcPr>
            <w:tcW w:w="2032"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33DA7D38" w14:textId="5CA89B14">
            <w:pPr>
              <w:spacing w:before="40" w:after="40" w:line="200" w:lineRule="exact"/>
              <w:jc w:val="center"/>
              <w:rPr>
                <w:rFonts w:ascii="Arial" w:hAnsi="Arial" w:cs="Arial"/>
                <w:sz w:val="20"/>
                <w:szCs w:val="20"/>
              </w:rPr>
            </w:pPr>
            <w:r w:rsidRPr="00D818CC">
              <w:rPr>
                <w:rFonts w:ascii="Arial" w:hAnsi="Arial" w:cs="Arial"/>
                <w:sz w:val="20"/>
                <w:szCs w:val="20"/>
              </w:rPr>
              <w:t>23.0</w:t>
            </w:r>
          </w:p>
        </w:tc>
        <w:tc>
          <w:tcPr>
            <w:tcW w:w="1786"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6002A6CE" w14:textId="4B523B23">
            <w:pPr>
              <w:spacing w:before="40" w:after="40" w:line="200" w:lineRule="exact"/>
              <w:jc w:val="center"/>
              <w:rPr>
                <w:rFonts w:ascii="Arial" w:hAnsi="Arial" w:cs="Arial"/>
                <w:sz w:val="20"/>
                <w:szCs w:val="20"/>
              </w:rPr>
            </w:pPr>
            <w:r w:rsidRPr="00D818CC">
              <w:rPr>
                <w:rFonts w:ascii="Arial" w:hAnsi="Arial" w:cs="Arial"/>
                <w:sz w:val="20"/>
                <w:szCs w:val="20"/>
              </w:rPr>
              <w:t>22.6</w:t>
            </w:r>
          </w:p>
        </w:tc>
        <w:tc>
          <w:tcPr>
            <w:tcW w:w="1151"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60C62864" w14:textId="2CB384A2">
            <w:pPr>
              <w:spacing w:before="40" w:after="40" w:line="200" w:lineRule="exact"/>
              <w:jc w:val="center"/>
              <w:rPr>
                <w:rFonts w:ascii="Arial" w:hAnsi="Arial" w:cs="Arial"/>
                <w:sz w:val="20"/>
                <w:szCs w:val="20"/>
              </w:rPr>
            </w:pPr>
            <w:r w:rsidRPr="00D818CC">
              <w:rPr>
                <w:rFonts w:ascii="Arial" w:hAnsi="Arial" w:cs="Arial"/>
                <w:sz w:val="20"/>
                <w:szCs w:val="20"/>
              </w:rPr>
              <w:t>-0.4</w:t>
            </w:r>
          </w:p>
        </w:tc>
      </w:tr>
      <w:tr w:rsidR="00D818CC" w:rsidTr="00D6610E" w14:paraId="32F104A6" w14:textId="77777777">
        <w:trPr>
          <w:cantSplit/>
        </w:trPr>
        <w:tc>
          <w:tcPr>
            <w:tcW w:w="4260" w:type="dxa"/>
            <w:tcBorders>
              <w:top w:val="single" w:color="003D6F" w:sz="6" w:space="0"/>
              <w:left w:val="single" w:color="003D6F" w:sz="6" w:space="0"/>
              <w:bottom w:val="single" w:color="003D6F" w:sz="6" w:space="0"/>
              <w:right w:val="single" w:color="003D6F" w:sz="6" w:space="0"/>
            </w:tcBorders>
            <w:hideMark/>
          </w:tcPr>
          <w:p w:rsidR="00D818CC" w:rsidP="00D818CC" w:rsidRDefault="00D818CC" w14:paraId="3816A681" w14:textId="77777777">
            <w:pPr>
              <w:spacing w:before="40" w:after="40" w:line="200" w:lineRule="exact"/>
              <w:ind w:left="216"/>
              <w:rPr>
                <w:rFonts w:ascii="Arial" w:hAnsi="Arial" w:cs="Arial"/>
                <w:sz w:val="20"/>
                <w:szCs w:val="20"/>
              </w:rPr>
            </w:pPr>
            <w:r>
              <w:rPr>
                <w:rFonts w:ascii="Arial" w:hAnsi="Arial" w:cs="Arial"/>
                <w:sz w:val="20"/>
                <w:szCs w:val="20"/>
              </w:rPr>
              <w:t>55-64</w:t>
            </w:r>
          </w:p>
        </w:tc>
        <w:tc>
          <w:tcPr>
            <w:tcW w:w="2032"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57FE8039" w14:textId="7DF4094C">
            <w:pPr>
              <w:spacing w:before="40" w:after="40" w:line="200" w:lineRule="exact"/>
              <w:jc w:val="center"/>
              <w:rPr>
                <w:rFonts w:ascii="Arial" w:hAnsi="Arial" w:cs="Arial"/>
                <w:sz w:val="20"/>
                <w:szCs w:val="20"/>
              </w:rPr>
            </w:pPr>
            <w:r w:rsidRPr="00D818CC">
              <w:rPr>
                <w:rFonts w:ascii="Arial" w:hAnsi="Arial" w:cs="Arial"/>
                <w:sz w:val="20"/>
                <w:szCs w:val="20"/>
              </w:rPr>
              <w:t>31.7</w:t>
            </w:r>
          </w:p>
        </w:tc>
        <w:tc>
          <w:tcPr>
            <w:tcW w:w="1786"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5989F0FC" w14:textId="1615AFA2">
            <w:pPr>
              <w:spacing w:before="40" w:after="40" w:line="200" w:lineRule="exact"/>
              <w:jc w:val="center"/>
              <w:rPr>
                <w:rFonts w:ascii="Arial" w:hAnsi="Arial" w:cs="Arial"/>
                <w:sz w:val="20"/>
                <w:szCs w:val="20"/>
              </w:rPr>
            </w:pPr>
            <w:r w:rsidRPr="00D818CC">
              <w:rPr>
                <w:rFonts w:ascii="Arial" w:hAnsi="Arial" w:cs="Arial"/>
                <w:sz w:val="20"/>
                <w:szCs w:val="20"/>
              </w:rPr>
              <w:t>48.9</w:t>
            </w:r>
          </w:p>
        </w:tc>
        <w:tc>
          <w:tcPr>
            <w:tcW w:w="1151"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1BEECB11" w14:textId="58FF999D">
            <w:pPr>
              <w:spacing w:before="40" w:after="40" w:line="200" w:lineRule="exact"/>
              <w:jc w:val="center"/>
              <w:rPr>
                <w:rFonts w:ascii="Arial" w:hAnsi="Arial" w:cs="Arial"/>
                <w:sz w:val="20"/>
                <w:szCs w:val="20"/>
              </w:rPr>
            </w:pPr>
            <w:r w:rsidRPr="00D818CC">
              <w:rPr>
                <w:rFonts w:ascii="Arial" w:hAnsi="Arial" w:cs="Arial"/>
                <w:sz w:val="20"/>
                <w:szCs w:val="20"/>
              </w:rPr>
              <w:t>+17.2</w:t>
            </w:r>
          </w:p>
        </w:tc>
      </w:tr>
      <w:tr w:rsidR="00D818CC" w:rsidTr="00D6610E" w14:paraId="1DF14221" w14:textId="77777777">
        <w:trPr>
          <w:cantSplit/>
        </w:trPr>
        <w:tc>
          <w:tcPr>
            <w:tcW w:w="4260" w:type="dxa"/>
            <w:tcBorders>
              <w:top w:val="single" w:color="003D6F" w:sz="6" w:space="0"/>
              <w:left w:val="single" w:color="003D6F" w:sz="6" w:space="0"/>
              <w:bottom w:val="single" w:color="003D6F" w:sz="6" w:space="0"/>
              <w:right w:val="single" w:color="003D6F" w:sz="6" w:space="0"/>
            </w:tcBorders>
            <w:hideMark/>
          </w:tcPr>
          <w:p w:rsidR="00D818CC" w:rsidP="00D818CC" w:rsidRDefault="00D818CC" w14:paraId="634C13FE" w14:textId="77777777">
            <w:pPr>
              <w:spacing w:before="40" w:after="40" w:line="200" w:lineRule="exact"/>
              <w:ind w:left="216"/>
              <w:rPr>
                <w:rFonts w:ascii="Arial" w:hAnsi="Arial" w:cs="Arial"/>
                <w:sz w:val="20"/>
                <w:szCs w:val="20"/>
              </w:rPr>
            </w:pPr>
            <w:r>
              <w:rPr>
                <w:rFonts w:ascii="Arial" w:hAnsi="Arial" w:cs="Arial"/>
                <w:sz w:val="20"/>
                <w:szCs w:val="20"/>
              </w:rPr>
              <w:t>65 or older</w:t>
            </w:r>
          </w:p>
        </w:tc>
        <w:tc>
          <w:tcPr>
            <w:tcW w:w="2032"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78A7E03F" w14:textId="60B50BFA">
            <w:pPr>
              <w:spacing w:before="40" w:after="40" w:line="200" w:lineRule="exact"/>
              <w:jc w:val="center"/>
              <w:rPr>
                <w:rFonts w:ascii="Arial" w:hAnsi="Arial" w:cs="Arial"/>
                <w:sz w:val="20"/>
                <w:szCs w:val="20"/>
              </w:rPr>
            </w:pPr>
            <w:r w:rsidRPr="00D818CC">
              <w:rPr>
                <w:rFonts w:ascii="Arial" w:hAnsi="Arial" w:cs="Arial"/>
                <w:sz w:val="20"/>
                <w:szCs w:val="20"/>
              </w:rPr>
              <w:t>1.1</w:t>
            </w:r>
          </w:p>
        </w:tc>
        <w:tc>
          <w:tcPr>
            <w:tcW w:w="1786"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5B52BD15" w14:textId="1C995DE6">
            <w:pPr>
              <w:spacing w:before="40" w:after="40" w:line="200" w:lineRule="exact"/>
              <w:jc w:val="center"/>
              <w:rPr>
                <w:rFonts w:ascii="Arial" w:hAnsi="Arial" w:cs="Arial"/>
                <w:sz w:val="20"/>
                <w:szCs w:val="20"/>
              </w:rPr>
            </w:pPr>
            <w:r w:rsidRPr="00D818CC">
              <w:rPr>
                <w:rFonts w:ascii="Arial" w:hAnsi="Arial" w:cs="Arial"/>
                <w:sz w:val="20"/>
                <w:szCs w:val="20"/>
              </w:rPr>
              <w:t>1.4</w:t>
            </w:r>
          </w:p>
        </w:tc>
        <w:tc>
          <w:tcPr>
            <w:tcW w:w="1151"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102CB390" w14:textId="42B3FF7F">
            <w:pPr>
              <w:spacing w:before="40" w:after="40" w:line="200" w:lineRule="exact"/>
              <w:jc w:val="center"/>
              <w:rPr>
                <w:rFonts w:ascii="Arial" w:hAnsi="Arial" w:cs="Arial"/>
                <w:sz w:val="20"/>
                <w:szCs w:val="20"/>
              </w:rPr>
            </w:pPr>
            <w:r w:rsidRPr="00D818CC">
              <w:rPr>
                <w:rFonts w:ascii="Arial" w:hAnsi="Arial" w:cs="Arial"/>
                <w:sz w:val="20"/>
                <w:szCs w:val="20"/>
              </w:rPr>
              <w:t>+0.3</w:t>
            </w:r>
          </w:p>
        </w:tc>
      </w:tr>
      <w:tr w:rsidR="00D818CC" w:rsidTr="00D6610E" w14:paraId="576AF2B2" w14:textId="77777777">
        <w:trPr>
          <w:cantSplit/>
        </w:trPr>
        <w:tc>
          <w:tcPr>
            <w:tcW w:w="4260" w:type="dxa"/>
            <w:tcBorders>
              <w:top w:val="single" w:color="003D6F" w:sz="6" w:space="0"/>
              <w:left w:val="single" w:color="003D6F" w:sz="6" w:space="0"/>
              <w:bottom w:val="single" w:color="003D6F" w:sz="6" w:space="0"/>
              <w:right w:val="single" w:color="003D6F" w:sz="6" w:space="0"/>
            </w:tcBorders>
            <w:shd w:val="clear" w:color="auto" w:fill="D9E3ED"/>
            <w:hideMark/>
          </w:tcPr>
          <w:p w:rsidR="00D818CC" w:rsidP="00D818CC" w:rsidRDefault="00D818CC" w14:paraId="4B82A2E9" w14:textId="77777777">
            <w:pPr>
              <w:spacing w:before="40" w:after="40" w:line="200" w:lineRule="exact"/>
              <w:rPr>
                <w:rFonts w:ascii="Arial" w:hAnsi="Arial" w:eastAsia="MS Mincho" w:cs="Arial"/>
                <w:b/>
                <w:sz w:val="20"/>
                <w:szCs w:val="20"/>
              </w:rPr>
            </w:pPr>
            <w:r>
              <w:rPr>
                <w:rFonts w:ascii="Arial" w:hAnsi="Arial" w:eastAsia="MS Mincho" w:cs="Arial"/>
                <w:b/>
                <w:sz w:val="20"/>
                <w:szCs w:val="20"/>
              </w:rPr>
              <w:t>Metal Level</w:t>
            </w:r>
          </w:p>
        </w:tc>
        <w:tc>
          <w:tcPr>
            <w:tcW w:w="2032" w:type="dxa"/>
            <w:tcBorders>
              <w:top w:val="single" w:color="003D6F" w:sz="6" w:space="0"/>
              <w:left w:val="single" w:color="003D6F" w:sz="6" w:space="0"/>
              <w:bottom w:val="single" w:color="003D6F" w:sz="6" w:space="0"/>
              <w:right w:val="single" w:color="003D6F" w:sz="6" w:space="0"/>
            </w:tcBorders>
            <w:shd w:val="clear" w:color="auto" w:fill="D9E3ED"/>
          </w:tcPr>
          <w:p w:rsidRPr="00D818CC" w:rsidR="00D818CC" w:rsidP="00D818CC" w:rsidRDefault="00D818CC" w14:paraId="6DB0A3F3" w14:textId="77777777">
            <w:pPr>
              <w:spacing w:before="40" w:after="40" w:line="200" w:lineRule="exact"/>
              <w:jc w:val="center"/>
              <w:rPr>
                <w:rFonts w:ascii="Arial" w:hAnsi="Arial" w:cs="Arial"/>
                <w:sz w:val="20"/>
                <w:szCs w:val="20"/>
              </w:rPr>
            </w:pPr>
          </w:p>
        </w:tc>
        <w:tc>
          <w:tcPr>
            <w:tcW w:w="1786" w:type="dxa"/>
            <w:tcBorders>
              <w:top w:val="single" w:color="003D6F" w:sz="6" w:space="0"/>
              <w:left w:val="single" w:color="003D6F" w:sz="6" w:space="0"/>
              <w:bottom w:val="single" w:color="003D6F" w:sz="6" w:space="0"/>
              <w:right w:val="single" w:color="003D6F" w:sz="6" w:space="0"/>
            </w:tcBorders>
            <w:shd w:val="clear" w:color="auto" w:fill="D9E3ED"/>
          </w:tcPr>
          <w:p w:rsidRPr="000959DE" w:rsidR="00D818CC" w:rsidP="00D818CC" w:rsidRDefault="00D818CC" w14:paraId="2C8EA348" w14:textId="77777777">
            <w:pPr>
              <w:spacing w:before="40" w:after="40" w:line="200" w:lineRule="exact"/>
              <w:jc w:val="center"/>
              <w:rPr>
                <w:rFonts w:ascii="Arial" w:hAnsi="Arial" w:cs="Arial"/>
                <w:sz w:val="20"/>
                <w:szCs w:val="20"/>
              </w:rPr>
            </w:pPr>
          </w:p>
        </w:tc>
        <w:tc>
          <w:tcPr>
            <w:tcW w:w="1151" w:type="dxa"/>
            <w:tcBorders>
              <w:top w:val="single" w:color="003D6F" w:sz="6" w:space="0"/>
              <w:left w:val="single" w:color="003D6F" w:sz="6" w:space="0"/>
              <w:bottom w:val="single" w:color="003D6F" w:sz="6" w:space="0"/>
              <w:right w:val="single" w:color="003D6F" w:sz="6" w:space="0"/>
            </w:tcBorders>
            <w:shd w:val="clear" w:color="auto" w:fill="D9E3ED"/>
          </w:tcPr>
          <w:p w:rsidRPr="000959DE" w:rsidR="00D818CC" w:rsidP="00D818CC" w:rsidRDefault="00D818CC" w14:paraId="771ABA53" w14:textId="77777777">
            <w:pPr>
              <w:spacing w:before="40" w:after="40" w:line="200" w:lineRule="exact"/>
              <w:jc w:val="center"/>
              <w:rPr>
                <w:rFonts w:ascii="Arial" w:hAnsi="Arial" w:cs="Arial"/>
                <w:sz w:val="20"/>
                <w:szCs w:val="20"/>
              </w:rPr>
            </w:pPr>
          </w:p>
        </w:tc>
      </w:tr>
      <w:tr w:rsidR="00D818CC" w:rsidTr="00D6610E" w14:paraId="07C9E66B" w14:textId="77777777">
        <w:trPr>
          <w:cantSplit/>
        </w:trPr>
        <w:tc>
          <w:tcPr>
            <w:tcW w:w="4260" w:type="dxa"/>
            <w:tcBorders>
              <w:top w:val="single" w:color="003D6F" w:sz="6" w:space="0"/>
              <w:left w:val="single" w:color="003D6F" w:sz="6" w:space="0"/>
              <w:bottom w:val="single" w:color="003D6F" w:sz="6" w:space="0"/>
              <w:right w:val="single" w:color="003D6F" w:sz="6" w:space="0"/>
            </w:tcBorders>
            <w:hideMark/>
          </w:tcPr>
          <w:p w:rsidR="00D818CC" w:rsidP="00D818CC" w:rsidRDefault="00D818CC" w14:paraId="3CED69E9" w14:textId="77777777">
            <w:pPr>
              <w:spacing w:before="40" w:after="40" w:line="200" w:lineRule="exact"/>
              <w:ind w:left="216"/>
              <w:rPr>
                <w:rFonts w:ascii="Arial" w:hAnsi="Arial" w:cs="Arial"/>
                <w:sz w:val="20"/>
                <w:szCs w:val="20"/>
              </w:rPr>
            </w:pPr>
            <w:r>
              <w:rPr>
                <w:rFonts w:ascii="Arial" w:hAnsi="Arial" w:cs="Arial"/>
                <w:sz w:val="20"/>
                <w:szCs w:val="20"/>
              </w:rPr>
              <w:t>Catastrophic</w:t>
            </w:r>
          </w:p>
        </w:tc>
        <w:tc>
          <w:tcPr>
            <w:tcW w:w="2032"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7B04E1EA" w14:textId="0E5D74CB">
            <w:pPr>
              <w:spacing w:before="40" w:after="40" w:line="200" w:lineRule="exact"/>
              <w:jc w:val="center"/>
              <w:rPr>
                <w:rFonts w:ascii="Arial" w:hAnsi="Arial" w:cs="Arial"/>
                <w:sz w:val="20"/>
                <w:szCs w:val="20"/>
              </w:rPr>
            </w:pPr>
            <w:r w:rsidRPr="00D818CC">
              <w:rPr>
                <w:rFonts w:ascii="Arial" w:hAnsi="Arial" w:cs="Arial"/>
                <w:sz w:val="20"/>
                <w:szCs w:val="20"/>
              </w:rPr>
              <w:t>2.3</w:t>
            </w:r>
          </w:p>
        </w:tc>
        <w:tc>
          <w:tcPr>
            <w:tcW w:w="1786"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055BB8C9" w14:textId="3256586D">
            <w:pPr>
              <w:spacing w:before="40" w:after="40" w:line="200" w:lineRule="exact"/>
              <w:jc w:val="center"/>
              <w:rPr>
                <w:rFonts w:ascii="Arial" w:hAnsi="Arial" w:cs="Arial"/>
                <w:sz w:val="20"/>
                <w:szCs w:val="20"/>
              </w:rPr>
            </w:pPr>
            <w:r w:rsidRPr="00D818CC">
              <w:rPr>
                <w:rFonts w:ascii="Arial" w:hAnsi="Arial" w:cs="Arial"/>
                <w:sz w:val="20"/>
                <w:szCs w:val="20"/>
              </w:rPr>
              <w:t>2.0</w:t>
            </w:r>
          </w:p>
        </w:tc>
        <w:tc>
          <w:tcPr>
            <w:tcW w:w="1151"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2ACCA45A" w14:textId="358B2EC8">
            <w:pPr>
              <w:spacing w:before="40" w:after="40" w:line="200" w:lineRule="exact"/>
              <w:jc w:val="center"/>
              <w:rPr>
                <w:rFonts w:ascii="Arial" w:hAnsi="Arial" w:cs="Arial"/>
                <w:sz w:val="20"/>
                <w:szCs w:val="20"/>
              </w:rPr>
            </w:pPr>
            <w:r w:rsidRPr="00D818CC">
              <w:rPr>
                <w:rFonts w:ascii="Arial" w:hAnsi="Arial" w:cs="Arial"/>
                <w:sz w:val="20"/>
                <w:szCs w:val="20"/>
              </w:rPr>
              <w:t>-0.3</w:t>
            </w:r>
          </w:p>
        </w:tc>
      </w:tr>
      <w:tr w:rsidR="00D818CC" w:rsidTr="00D6610E" w14:paraId="7FAF31D9" w14:textId="77777777">
        <w:trPr>
          <w:cantSplit/>
        </w:trPr>
        <w:tc>
          <w:tcPr>
            <w:tcW w:w="4260" w:type="dxa"/>
            <w:tcBorders>
              <w:top w:val="single" w:color="003D6F" w:sz="6" w:space="0"/>
              <w:left w:val="single" w:color="003D6F" w:sz="6" w:space="0"/>
              <w:bottom w:val="single" w:color="003D6F" w:sz="6" w:space="0"/>
              <w:right w:val="single" w:color="003D6F" w:sz="6" w:space="0"/>
            </w:tcBorders>
            <w:hideMark/>
          </w:tcPr>
          <w:p w:rsidR="00D818CC" w:rsidP="00D818CC" w:rsidRDefault="00D818CC" w14:paraId="6799428D" w14:textId="77777777">
            <w:pPr>
              <w:spacing w:before="40" w:after="40" w:line="200" w:lineRule="exact"/>
              <w:ind w:left="216"/>
              <w:rPr>
                <w:rFonts w:ascii="Arial" w:hAnsi="Arial" w:cs="Arial"/>
                <w:sz w:val="20"/>
                <w:szCs w:val="20"/>
              </w:rPr>
            </w:pPr>
            <w:r>
              <w:rPr>
                <w:rFonts w:ascii="Arial" w:hAnsi="Arial" w:cs="Arial"/>
                <w:sz w:val="20"/>
                <w:szCs w:val="20"/>
              </w:rPr>
              <w:t>Bronze</w:t>
            </w:r>
          </w:p>
        </w:tc>
        <w:tc>
          <w:tcPr>
            <w:tcW w:w="2032"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7D9B1773" w14:textId="378E78B0">
            <w:pPr>
              <w:spacing w:before="40" w:after="40" w:line="200" w:lineRule="exact"/>
              <w:jc w:val="center"/>
              <w:rPr>
                <w:rFonts w:ascii="Arial" w:hAnsi="Arial" w:cs="Arial"/>
                <w:sz w:val="20"/>
                <w:szCs w:val="20"/>
              </w:rPr>
            </w:pPr>
            <w:r w:rsidRPr="00D818CC">
              <w:rPr>
                <w:rFonts w:ascii="Arial" w:hAnsi="Arial" w:cs="Arial"/>
                <w:sz w:val="20"/>
                <w:szCs w:val="20"/>
              </w:rPr>
              <w:t>6.8</w:t>
            </w:r>
          </w:p>
        </w:tc>
        <w:tc>
          <w:tcPr>
            <w:tcW w:w="1786"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41DF9D20" w14:textId="6FB8BD18">
            <w:pPr>
              <w:spacing w:before="40" w:after="40" w:line="200" w:lineRule="exact"/>
              <w:jc w:val="center"/>
              <w:rPr>
                <w:rFonts w:ascii="Arial" w:hAnsi="Arial" w:cs="Arial"/>
                <w:sz w:val="20"/>
                <w:szCs w:val="20"/>
              </w:rPr>
            </w:pPr>
            <w:r w:rsidRPr="00D818CC">
              <w:rPr>
                <w:rFonts w:ascii="Arial" w:hAnsi="Arial" w:cs="Arial"/>
                <w:sz w:val="20"/>
                <w:szCs w:val="20"/>
              </w:rPr>
              <w:t>6.4</w:t>
            </w:r>
          </w:p>
        </w:tc>
        <w:tc>
          <w:tcPr>
            <w:tcW w:w="1151"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3A9BA254" w14:textId="1D3B34A9">
            <w:pPr>
              <w:spacing w:before="40" w:after="40" w:line="200" w:lineRule="exact"/>
              <w:jc w:val="center"/>
              <w:rPr>
                <w:rFonts w:ascii="Arial" w:hAnsi="Arial" w:cs="Arial"/>
                <w:sz w:val="20"/>
                <w:szCs w:val="20"/>
              </w:rPr>
            </w:pPr>
            <w:r w:rsidRPr="00D818CC">
              <w:rPr>
                <w:rFonts w:ascii="Arial" w:hAnsi="Arial" w:cs="Arial"/>
                <w:sz w:val="20"/>
                <w:szCs w:val="20"/>
              </w:rPr>
              <w:t>-0.4</w:t>
            </w:r>
          </w:p>
        </w:tc>
      </w:tr>
      <w:tr w:rsidR="00D818CC" w:rsidTr="00D6610E" w14:paraId="690BE2F0" w14:textId="77777777">
        <w:trPr>
          <w:cantSplit/>
        </w:trPr>
        <w:tc>
          <w:tcPr>
            <w:tcW w:w="4260" w:type="dxa"/>
            <w:tcBorders>
              <w:top w:val="single" w:color="003D6F" w:sz="6" w:space="0"/>
              <w:left w:val="single" w:color="003D6F" w:sz="6" w:space="0"/>
              <w:bottom w:val="single" w:color="003D6F" w:sz="6" w:space="0"/>
              <w:right w:val="single" w:color="003D6F" w:sz="6" w:space="0"/>
            </w:tcBorders>
            <w:hideMark/>
          </w:tcPr>
          <w:p w:rsidR="00D818CC" w:rsidP="00D818CC" w:rsidRDefault="00D818CC" w14:paraId="7F186104" w14:textId="77777777">
            <w:pPr>
              <w:spacing w:before="40" w:after="40" w:line="200" w:lineRule="exact"/>
              <w:ind w:left="216"/>
              <w:rPr>
                <w:rFonts w:ascii="Arial" w:hAnsi="Arial" w:cs="Arial"/>
                <w:sz w:val="20"/>
                <w:szCs w:val="20"/>
              </w:rPr>
            </w:pPr>
            <w:r>
              <w:rPr>
                <w:rFonts w:ascii="Arial" w:hAnsi="Arial" w:cs="Arial"/>
                <w:sz w:val="20"/>
                <w:szCs w:val="20"/>
              </w:rPr>
              <w:t>Silver</w:t>
            </w:r>
          </w:p>
        </w:tc>
        <w:tc>
          <w:tcPr>
            <w:tcW w:w="2032"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654EDB26" w14:textId="03600373">
            <w:pPr>
              <w:spacing w:before="40" w:after="40" w:line="200" w:lineRule="exact"/>
              <w:jc w:val="center"/>
              <w:rPr>
                <w:rFonts w:ascii="Arial" w:hAnsi="Arial" w:cs="Arial"/>
                <w:sz w:val="20"/>
                <w:szCs w:val="20"/>
              </w:rPr>
            </w:pPr>
            <w:r w:rsidRPr="00D818CC">
              <w:rPr>
                <w:rFonts w:ascii="Arial" w:hAnsi="Arial" w:cs="Arial"/>
                <w:sz w:val="20"/>
                <w:szCs w:val="20"/>
              </w:rPr>
              <w:t>71.0</w:t>
            </w:r>
          </w:p>
        </w:tc>
        <w:tc>
          <w:tcPr>
            <w:tcW w:w="1786"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1D3A3505" w14:textId="15711445">
            <w:pPr>
              <w:spacing w:before="40" w:after="40" w:line="200" w:lineRule="exact"/>
              <w:jc w:val="center"/>
              <w:rPr>
                <w:rFonts w:ascii="Arial" w:hAnsi="Arial" w:cs="Arial"/>
                <w:sz w:val="20"/>
                <w:szCs w:val="20"/>
              </w:rPr>
            </w:pPr>
            <w:r w:rsidRPr="00D818CC">
              <w:rPr>
                <w:rFonts w:ascii="Arial" w:hAnsi="Arial" w:cs="Arial"/>
                <w:sz w:val="20"/>
                <w:szCs w:val="20"/>
              </w:rPr>
              <w:t>73.2</w:t>
            </w:r>
          </w:p>
        </w:tc>
        <w:tc>
          <w:tcPr>
            <w:tcW w:w="1151"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5D10D017" w14:textId="2E23451A">
            <w:pPr>
              <w:spacing w:before="40" w:after="40" w:line="200" w:lineRule="exact"/>
              <w:jc w:val="center"/>
              <w:rPr>
                <w:rFonts w:ascii="Arial" w:hAnsi="Arial" w:cs="Arial"/>
                <w:sz w:val="20"/>
                <w:szCs w:val="20"/>
              </w:rPr>
            </w:pPr>
            <w:r w:rsidRPr="00D818CC">
              <w:rPr>
                <w:rFonts w:ascii="Arial" w:hAnsi="Arial" w:cs="Arial"/>
                <w:sz w:val="20"/>
                <w:szCs w:val="20"/>
              </w:rPr>
              <w:t>+2.2</w:t>
            </w:r>
          </w:p>
        </w:tc>
      </w:tr>
      <w:tr w:rsidR="00D818CC" w:rsidTr="00D6610E" w14:paraId="22FB0CE0" w14:textId="77777777">
        <w:trPr>
          <w:cantSplit/>
        </w:trPr>
        <w:tc>
          <w:tcPr>
            <w:tcW w:w="4260" w:type="dxa"/>
            <w:tcBorders>
              <w:top w:val="single" w:color="003D6F" w:sz="6" w:space="0"/>
              <w:left w:val="single" w:color="003D6F" w:sz="6" w:space="0"/>
              <w:bottom w:val="single" w:color="003D6F" w:sz="6" w:space="0"/>
              <w:right w:val="single" w:color="003D6F" w:sz="6" w:space="0"/>
            </w:tcBorders>
            <w:hideMark/>
          </w:tcPr>
          <w:p w:rsidR="00D818CC" w:rsidP="00D818CC" w:rsidRDefault="00D818CC" w14:paraId="080DF033" w14:textId="77777777">
            <w:pPr>
              <w:spacing w:before="40" w:after="40" w:line="200" w:lineRule="exact"/>
              <w:ind w:left="216"/>
              <w:rPr>
                <w:rFonts w:ascii="Arial" w:hAnsi="Arial" w:cs="Arial"/>
                <w:sz w:val="20"/>
                <w:szCs w:val="20"/>
              </w:rPr>
            </w:pPr>
            <w:r>
              <w:rPr>
                <w:rFonts w:ascii="Arial" w:hAnsi="Arial" w:cs="Arial"/>
                <w:sz w:val="20"/>
                <w:szCs w:val="20"/>
              </w:rPr>
              <w:t>Gold</w:t>
            </w:r>
          </w:p>
        </w:tc>
        <w:tc>
          <w:tcPr>
            <w:tcW w:w="2032"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19C4944B" w14:textId="1A1ECC77">
            <w:pPr>
              <w:spacing w:before="40" w:after="40" w:line="200" w:lineRule="exact"/>
              <w:jc w:val="center"/>
              <w:rPr>
                <w:rFonts w:ascii="Arial" w:hAnsi="Arial" w:cs="Arial"/>
                <w:sz w:val="20"/>
                <w:szCs w:val="20"/>
              </w:rPr>
            </w:pPr>
            <w:r w:rsidRPr="00D818CC">
              <w:rPr>
                <w:rFonts w:ascii="Arial" w:hAnsi="Arial" w:cs="Arial"/>
                <w:sz w:val="20"/>
                <w:szCs w:val="20"/>
              </w:rPr>
              <w:t>19.1</w:t>
            </w:r>
          </w:p>
        </w:tc>
        <w:tc>
          <w:tcPr>
            <w:tcW w:w="1786"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2579CAD4" w14:textId="2A96B8CA">
            <w:pPr>
              <w:spacing w:before="40" w:after="40" w:line="200" w:lineRule="exact"/>
              <w:jc w:val="center"/>
              <w:rPr>
                <w:rFonts w:ascii="Arial" w:hAnsi="Arial" w:cs="Arial"/>
                <w:sz w:val="20"/>
                <w:szCs w:val="20"/>
              </w:rPr>
            </w:pPr>
            <w:r w:rsidRPr="000621C4">
              <w:rPr>
                <w:rFonts w:ascii="Arial" w:hAnsi="Arial" w:cs="Arial"/>
                <w:sz w:val="20"/>
                <w:szCs w:val="20"/>
              </w:rPr>
              <w:t>17.9</w:t>
            </w:r>
          </w:p>
        </w:tc>
        <w:tc>
          <w:tcPr>
            <w:tcW w:w="1151"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4C66E8BA" w14:textId="733BE2C3">
            <w:pPr>
              <w:spacing w:before="40" w:after="40" w:line="200" w:lineRule="exact"/>
              <w:jc w:val="center"/>
              <w:rPr>
                <w:rFonts w:ascii="Arial" w:hAnsi="Arial" w:cs="Arial"/>
                <w:sz w:val="20"/>
                <w:szCs w:val="20"/>
              </w:rPr>
            </w:pPr>
            <w:r w:rsidRPr="00D818CC">
              <w:rPr>
                <w:rFonts w:ascii="Arial" w:hAnsi="Arial" w:cs="Arial"/>
                <w:sz w:val="20"/>
                <w:szCs w:val="20"/>
              </w:rPr>
              <w:t>-1.2</w:t>
            </w:r>
          </w:p>
        </w:tc>
      </w:tr>
      <w:tr w:rsidR="00D818CC" w:rsidTr="00D6610E" w14:paraId="78415BE5" w14:textId="77777777">
        <w:trPr>
          <w:cantSplit/>
        </w:trPr>
        <w:tc>
          <w:tcPr>
            <w:tcW w:w="4260" w:type="dxa"/>
            <w:tcBorders>
              <w:top w:val="single" w:color="003D6F" w:sz="6" w:space="0"/>
              <w:left w:val="single" w:color="003D6F" w:sz="6" w:space="0"/>
              <w:bottom w:val="single" w:color="003D6F" w:sz="6" w:space="0"/>
              <w:right w:val="single" w:color="003D6F" w:sz="6" w:space="0"/>
            </w:tcBorders>
            <w:hideMark/>
          </w:tcPr>
          <w:p w:rsidR="00D818CC" w:rsidP="00D818CC" w:rsidRDefault="00D818CC" w14:paraId="1429B708" w14:textId="77777777">
            <w:pPr>
              <w:spacing w:before="40" w:after="40" w:line="200" w:lineRule="exact"/>
              <w:ind w:left="216"/>
              <w:rPr>
                <w:rFonts w:ascii="Arial" w:hAnsi="Arial" w:cs="Arial"/>
                <w:sz w:val="20"/>
                <w:szCs w:val="20"/>
              </w:rPr>
            </w:pPr>
            <w:r>
              <w:rPr>
                <w:rFonts w:ascii="Arial" w:hAnsi="Arial" w:cs="Arial"/>
                <w:sz w:val="20"/>
                <w:szCs w:val="20"/>
              </w:rPr>
              <w:lastRenderedPageBreak/>
              <w:t>Platinum</w:t>
            </w:r>
          </w:p>
        </w:tc>
        <w:tc>
          <w:tcPr>
            <w:tcW w:w="2032"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1F5F7697" w14:textId="5B775AAF">
            <w:pPr>
              <w:spacing w:before="40" w:after="40" w:line="200" w:lineRule="exact"/>
              <w:jc w:val="center"/>
              <w:rPr>
                <w:rFonts w:ascii="Arial" w:hAnsi="Arial" w:cs="Arial"/>
                <w:sz w:val="20"/>
                <w:szCs w:val="20"/>
              </w:rPr>
            </w:pPr>
            <w:r w:rsidRPr="00D818CC">
              <w:rPr>
                <w:rFonts w:ascii="Arial" w:hAnsi="Arial" w:cs="Arial"/>
                <w:sz w:val="20"/>
                <w:szCs w:val="20"/>
              </w:rPr>
              <w:t>0.6</w:t>
            </w:r>
          </w:p>
        </w:tc>
        <w:tc>
          <w:tcPr>
            <w:tcW w:w="1786"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2C5539AD" w14:textId="0CDED18E">
            <w:pPr>
              <w:spacing w:before="40" w:after="40" w:line="200" w:lineRule="exact"/>
              <w:jc w:val="center"/>
              <w:rPr>
                <w:rFonts w:ascii="Arial" w:hAnsi="Arial" w:cs="Arial"/>
                <w:sz w:val="20"/>
                <w:szCs w:val="20"/>
              </w:rPr>
            </w:pPr>
            <w:r w:rsidRPr="00D818CC">
              <w:rPr>
                <w:rFonts w:ascii="Arial" w:hAnsi="Arial" w:cs="Arial"/>
                <w:sz w:val="20"/>
                <w:szCs w:val="20"/>
              </w:rPr>
              <w:t>0.3</w:t>
            </w:r>
          </w:p>
        </w:tc>
        <w:tc>
          <w:tcPr>
            <w:tcW w:w="1151"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5C926BE0" w14:textId="5B19F03A">
            <w:pPr>
              <w:spacing w:before="40" w:after="40" w:line="200" w:lineRule="exact"/>
              <w:jc w:val="center"/>
              <w:rPr>
                <w:rFonts w:ascii="Arial" w:hAnsi="Arial" w:cs="Arial"/>
                <w:sz w:val="20"/>
                <w:szCs w:val="20"/>
              </w:rPr>
            </w:pPr>
            <w:r w:rsidRPr="00D818CC">
              <w:rPr>
                <w:rFonts w:ascii="Arial" w:hAnsi="Arial" w:cs="Arial"/>
                <w:sz w:val="20"/>
                <w:szCs w:val="20"/>
              </w:rPr>
              <w:t>-0.3</w:t>
            </w:r>
          </w:p>
        </w:tc>
      </w:tr>
      <w:tr w:rsidR="00D818CC" w:rsidTr="00D6610E" w14:paraId="3FD4C64A" w14:textId="77777777">
        <w:trPr>
          <w:cantSplit/>
        </w:trPr>
        <w:tc>
          <w:tcPr>
            <w:tcW w:w="4260" w:type="dxa"/>
            <w:tcBorders>
              <w:top w:val="single" w:color="003D6F" w:sz="6" w:space="0"/>
              <w:left w:val="single" w:color="003D6F" w:sz="6" w:space="0"/>
              <w:bottom w:val="single" w:color="003D6F" w:sz="6" w:space="0"/>
              <w:right w:val="single" w:color="003D6F" w:sz="6" w:space="0"/>
            </w:tcBorders>
            <w:hideMark/>
          </w:tcPr>
          <w:p w:rsidR="00D818CC" w:rsidP="00D818CC" w:rsidRDefault="00D818CC" w14:paraId="7E6F5321" w14:textId="77777777">
            <w:pPr>
              <w:spacing w:before="40" w:after="40" w:line="200" w:lineRule="exact"/>
              <w:ind w:left="216"/>
              <w:rPr>
                <w:rFonts w:ascii="Arial" w:hAnsi="Arial" w:cs="Arial"/>
                <w:sz w:val="20"/>
                <w:szCs w:val="20"/>
              </w:rPr>
            </w:pPr>
            <w:r>
              <w:rPr>
                <w:rFonts w:ascii="Arial" w:hAnsi="Arial" w:cs="Arial"/>
                <w:sz w:val="20"/>
                <w:szCs w:val="20"/>
              </w:rPr>
              <w:t>Missing</w:t>
            </w:r>
          </w:p>
        </w:tc>
        <w:tc>
          <w:tcPr>
            <w:tcW w:w="2032"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0FD50B68" w14:textId="0D21D164">
            <w:pPr>
              <w:spacing w:before="40" w:after="40" w:line="200" w:lineRule="exact"/>
              <w:jc w:val="center"/>
              <w:rPr>
                <w:rFonts w:ascii="Arial" w:hAnsi="Arial" w:cs="Arial"/>
                <w:sz w:val="20"/>
                <w:szCs w:val="20"/>
              </w:rPr>
            </w:pPr>
            <w:r w:rsidRPr="00D818CC">
              <w:rPr>
                <w:rFonts w:ascii="Arial" w:hAnsi="Arial" w:cs="Arial"/>
                <w:sz w:val="20"/>
                <w:szCs w:val="20"/>
              </w:rPr>
              <w:t>0.2</w:t>
            </w:r>
          </w:p>
        </w:tc>
        <w:tc>
          <w:tcPr>
            <w:tcW w:w="1786"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7B235657" w14:textId="656AA784">
            <w:pPr>
              <w:spacing w:before="40" w:after="40" w:line="200" w:lineRule="exact"/>
              <w:jc w:val="center"/>
              <w:rPr>
                <w:rFonts w:ascii="Arial" w:hAnsi="Arial" w:cs="Arial"/>
                <w:sz w:val="20"/>
                <w:szCs w:val="20"/>
              </w:rPr>
            </w:pPr>
            <w:r w:rsidRPr="00D818CC">
              <w:rPr>
                <w:rFonts w:ascii="Arial" w:hAnsi="Arial" w:cs="Arial"/>
                <w:sz w:val="20"/>
                <w:szCs w:val="20"/>
              </w:rPr>
              <w:t>0.2</w:t>
            </w:r>
          </w:p>
        </w:tc>
        <w:tc>
          <w:tcPr>
            <w:tcW w:w="1151"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15B44557" w14:textId="47A96A04">
            <w:pPr>
              <w:spacing w:before="40" w:after="40" w:line="200" w:lineRule="exact"/>
              <w:jc w:val="center"/>
              <w:rPr>
                <w:rFonts w:ascii="Arial" w:hAnsi="Arial" w:cs="Arial"/>
                <w:sz w:val="20"/>
                <w:szCs w:val="20"/>
              </w:rPr>
            </w:pPr>
            <w:r w:rsidRPr="00D818CC">
              <w:rPr>
                <w:rFonts w:ascii="Arial" w:hAnsi="Arial" w:cs="Arial"/>
                <w:sz w:val="20"/>
                <w:szCs w:val="20"/>
              </w:rPr>
              <w:t>-</w:t>
            </w:r>
          </w:p>
        </w:tc>
      </w:tr>
      <w:tr w:rsidR="00D818CC" w:rsidTr="00D6610E" w14:paraId="3A70FC2D" w14:textId="77777777">
        <w:trPr>
          <w:cantSplit/>
        </w:trPr>
        <w:tc>
          <w:tcPr>
            <w:tcW w:w="4260" w:type="dxa"/>
            <w:tcBorders>
              <w:top w:val="single" w:color="003D6F" w:sz="6" w:space="0"/>
              <w:left w:val="single" w:color="003D6F" w:sz="6" w:space="0"/>
              <w:bottom w:val="single" w:color="003D6F" w:sz="6" w:space="0"/>
              <w:right w:val="single" w:color="003D6F" w:sz="6" w:space="0"/>
            </w:tcBorders>
            <w:shd w:val="clear" w:color="auto" w:fill="D9E3ED"/>
            <w:hideMark/>
          </w:tcPr>
          <w:p w:rsidR="00D818CC" w:rsidP="00D818CC" w:rsidRDefault="00D818CC" w14:paraId="60C7DAC0" w14:textId="77777777">
            <w:pPr>
              <w:spacing w:before="40" w:after="40" w:line="200" w:lineRule="exact"/>
              <w:rPr>
                <w:rFonts w:ascii="Arial" w:hAnsi="Arial" w:cs="Arial"/>
                <w:b/>
                <w:sz w:val="20"/>
                <w:szCs w:val="20"/>
              </w:rPr>
            </w:pPr>
            <w:r>
              <w:rPr>
                <w:rFonts w:ascii="Arial" w:hAnsi="Arial" w:cs="Arial"/>
                <w:b/>
                <w:sz w:val="20"/>
                <w:szCs w:val="20"/>
              </w:rPr>
              <w:t>Census Division</w:t>
            </w:r>
          </w:p>
        </w:tc>
        <w:tc>
          <w:tcPr>
            <w:tcW w:w="2032" w:type="dxa"/>
            <w:tcBorders>
              <w:top w:val="single" w:color="003D6F" w:sz="6" w:space="0"/>
              <w:left w:val="single" w:color="003D6F" w:sz="6" w:space="0"/>
              <w:bottom w:val="single" w:color="003D6F" w:sz="6" w:space="0"/>
              <w:right w:val="single" w:color="003D6F" w:sz="6" w:space="0"/>
            </w:tcBorders>
            <w:shd w:val="clear" w:color="auto" w:fill="D9E3ED"/>
          </w:tcPr>
          <w:p w:rsidRPr="00D818CC" w:rsidR="00D818CC" w:rsidP="00D818CC" w:rsidRDefault="00D818CC" w14:paraId="6E1FD7BB" w14:textId="77777777">
            <w:pPr>
              <w:spacing w:before="40" w:after="40" w:line="200" w:lineRule="exact"/>
              <w:jc w:val="center"/>
              <w:rPr>
                <w:rFonts w:ascii="Arial" w:hAnsi="Arial" w:cs="Arial"/>
                <w:sz w:val="20"/>
                <w:szCs w:val="20"/>
              </w:rPr>
            </w:pPr>
          </w:p>
        </w:tc>
        <w:tc>
          <w:tcPr>
            <w:tcW w:w="1786" w:type="dxa"/>
            <w:tcBorders>
              <w:top w:val="single" w:color="003D6F" w:sz="6" w:space="0"/>
              <w:left w:val="single" w:color="003D6F" w:sz="6" w:space="0"/>
              <w:bottom w:val="single" w:color="003D6F" w:sz="6" w:space="0"/>
              <w:right w:val="single" w:color="003D6F" w:sz="6" w:space="0"/>
            </w:tcBorders>
            <w:shd w:val="clear" w:color="auto" w:fill="D9E3ED"/>
          </w:tcPr>
          <w:p w:rsidRPr="000959DE" w:rsidR="00D818CC" w:rsidP="00D818CC" w:rsidRDefault="00D818CC" w14:paraId="56A414EC" w14:textId="77777777">
            <w:pPr>
              <w:spacing w:before="40" w:after="40" w:line="200" w:lineRule="exact"/>
              <w:jc w:val="center"/>
              <w:rPr>
                <w:rFonts w:ascii="Arial" w:hAnsi="Arial" w:cs="Arial"/>
                <w:sz w:val="20"/>
                <w:szCs w:val="20"/>
              </w:rPr>
            </w:pPr>
          </w:p>
        </w:tc>
        <w:tc>
          <w:tcPr>
            <w:tcW w:w="1151" w:type="dxa"/>
            <w:tcBorders>
              <w:top w:val="single" w:color="003D6F" w:sz="6" w:space="0"/>
              <w:left w:val="single" w:color="003D6F" w:sz="6" w:space="0"/>
              <w:bottom w:val="single" w:color="003D6F" w:sz="6" w:space="0"/>
              <w:right w:val="single" w:color="003D6F" w:sz="6" w:space="0"/>
            </w:tcBorders>
            <w:shd w:val="clear" w:color="auto" w:fill="D9E3ED"/>
          </w:tcPr>
          <w:p w:rsidRPr="000959DE" w:rsidR="00D818CC" w:rsidP="00D818CC" w:rsidRDefault="00D818CC" w14:paraId="6FC38277" w14:textId="77777777">
            <w:pPr>
              <w:spacing w:before="40" w:after="40" w:line="200" w:lineRule="exact"/>
              <w:jc w:val="center"/>
              <w:rPr>
                <w:rFonts w:ascii="Arial" w:hAnsi="Arial" w:cs="Arial"/>
                <w:sz w:val="20"/>
                <w:szCs w:val="20"/>
              </w:rPr>
            </w:pPr>
          </w:p>
        </w:tc>
      </w:tr>
      <w:tr w:rsidR="00D818CC" w:rsidTr="00D6610E" w14:paraId="0A67468D" w14:textId="77777777">
        <w:trPr>
          <w:cantSplit/>
        </w:trPr>
        <w:tc>
          <w:tcPr>
            <w:tcW w:w="4260" w:type="dxa"/>
            <w:tcBorders>
              <w:top w:val="single" w:color="003D6F" w:sz="6" w:space="0"/>
              <w:left w:val="single" w:color="003D6F" w:sz="6" w:space="0"/>
              <w:bottom w:val="single" w:color="003D6F" w:sz="6" w:space="0"/>
              <w:right w:val="single" w:color="003D6F" w:sz="6" w:space="0"/>
            </w:tcBorders>
            <w:hideMark/>
          </w:tcPr>
          <w:p w:rsidR="00D818CC" w:rsidP="00D818CC" w:rsidRDefault="00D818CC" w14:paraId="1B872863" w14:textId="77777777">
            <w:pPr>
              <w:spacing w:before="40" w:after="40" w:line="200" w:lineRule="exact"/>
              <w:ind w:left="216"/>
              <w:rPr>
                <w:rFonts w:ascii="Arial" w:hAnsi="Arial" w:cs="Arial"/>
                <w:sz w:val="20"/>
                <w:szCs w:val="20"/>
              </w:rPr>
            </w:pPr>
            <w:r>
              <w:rPr>
                <w:rFonts w:ascii="Arial" w:hAnsi="Arial" w:cs="Arial"/>
                <w:sz w:val="20"/>
                <w:szCs w:val="20"/>
              </w:rPr>
              <w:t>East North Central (IL, IN, MI, OH, WI)</w:t>
            </w:r>
          </w:p>
        </w:tc>
        <w:tc>
          <w:tcPr>
            <w:tcW w:w="2032"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2B250FDE" w14:textId="4954E6FB">
            <w:pPr>
              <w:spacing w:before="40" w:after="40" w:line="200" w:lineRule="exact"/>
              <w:jc w:val="center"/>
              <w:rPr>
                <w:rFonts w:ascii="Arial" w:hAnsi="Arial" w:cs="Arial"/>
                <w:sz w:val="20"/>
                <w:szCs w:val="20"/>
              </w:rPr>
            </w:pPr>
            <w:r w:rsidRPr="00D818CC">
              <w:rPr>
                <w:rFonts w:ascii="Arial" w:hAnsi="Arial" w:cs="Arial"/>
                <w:sz w:val="20"/>
                <w:szCs w:val="20"/>
              </w:rPr>
              <w:t>10.0</w:t>
            </w:r>
          </w:p>
        </w:tc>
        <w:tc>
          <w:tcPr>
            <w:tcW w:w="1786"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47DE9070" w14:textId="592E089E">
            <w:pPr>
              <w:spacing w:before="40" w:after="40" w:line="200" w:lineRule="exact"/>
              <w:jc w:val="center"/>
              <w:rPr>
                <w:rFonts w:ascii="Arial" w:hAnsi="Arial" w:cs="Arial"/>
                <w:sz w:val="20"/>
                <w:szCs w:val="20"/>
              </w:rPr>
            </w:pPr>
            <w:r w:rsidRPr="00D818CC">
              <w:rPr>
                <w:rFonts w:ascii="Arial" w:hAnsi="Arial" w:cs="Arial"/>
                <w:sz w:val="20"/>
                <w:szCs w:val="20"/>
              </w:rPr>
              <w:t>11.2</w:t>
            </w:r>
          </w:p>
        </w:tc>
        <w:tc>
          <w:tcPr>
            <w:tcW w:w="1151"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4057FBE5" w14:textId="560D82A5">
            <w:pPr>
              <w:spacing w:before="40" w:after="40" w:line="200" w:lineRule="exact"/>
              <w:jc w:val="center"/>
              <w:rPr>
                <w:rFonts w:ascii="Arial" w:hAnsi="Arial" w:cs="Arial"/>
                <w:sz w:val="20"/>
                <w:szCs w:val="20"/>
              </w:rPr>
            </w:pPr>
            <w:r w:rsidRPr="00D818CC">
              <w:rPr>
                <w:rFonts w:ascii="Arial" w:hAnsi="Arial" w:cs="Arial"/>
                <w:sz w:val="20"/>
                <w:szCs w:val="20"/>
              </w:rPr>
              <w:t>+1.2</w:t>
            </w:r>
          </w:p>
        </w:tc>
      </w:tr>
      <w:tr w:rsidR="00D818CC" w:rsidTr="00D6610E" w14:paraId="16BC3ABD" w14:textId="77777777">
        <w:trPr>
          <w:cantSplit/>
        </w:trPr>
        <w:tc>
          <w:tcPr>
            <w:tcW w:w="4260" w:type="dxa"/>
            <w:tcBorders>
              <w:top w:val="single" w:color="003D6F" w:sz="6" w:space="0"/>
              <w:left w:val="single" w:color="003D6F" w:sz="6" w:space="0"/>
              <w:bottom w:val="single" w:color="003D6F" w:sz="6" w:space="0"/>
              <w:right w:val="single" w:color="003D6F" w:sz="6" w:space="0"/>
            </w:tcBorders>
            <w:hideMark/>
          </w:tcPr>
          <w:p w:rsidR="00D818CC" w:rsidP="00D818CC" w:rsidRDefault="00D818CC" w14:paraId="370A5834" w14:textId="77777777">
            <w:pPr>
              <w:spacing w:before="40" w:after="40" w:line="200" w:lineRule="exact"/>
              <w:ind w:left="216"/>
              <w:rPr>
                <w:rFonts w:ascii="Arial" w:hAnsi="Arial" w:cs="Arial"/>
                <w:sz w:val="20"/>
                <w:szCs w:val="20"/>
              </w:rPr>
            </w:pPr>
            <w:r>
              <w:rPr>
                <w:rFonts w:ascii="Arial" w:hAnsi="Arial" w:cs="Arial"/>
                <w:sz w:val="20"/>
                <w:szCs w:val="20"/>
              </w:rPr>
              <w:t>East South Central (AL, KY, MS, TN)</w:t>
            </w:r>
          </w:p>
        </w:tc>
        <w:tc>
          <w:tcPr>
            <w:tcW w:w="2032"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22E69996" w14:textId="5F59C756">
            <w:pPr>
              <w:spacing w:before="40" w:after="40" w:line="200" w:lineRule="exact"/>
              <w:jc w:val="center"/>
              <w:rPr>
                <w:rFonts w:ascii="Arial" w:hAnsi="Arial" w:cs="Arial"/>
                <w:sz w:val="20"/>
                <w:szCs w:val="20"/>
              </w:rPr>
            </w:pPr>
            <w:r w:rsidRPr="00D818CC">
              <w:rPr>
                <w:rFonts w:ascii="Arial" w:hAnsi="Arial" w:cs="Arial"/>
                <w:sz w:val="20"/>
                <w:szCs w:val="20"/>
              </w:rPr>
              <w:t>3.8</w:t>
            </w:r>
          </w:p>
        </w:tc>
        <w:tc>
          <w:tcPr>
            <w:tcW w:w="1786"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039EC90B" w14:textId="12410E74">
            <w:pPr>
              <w:spacing w:before="40" w:after="40" w:line="200" w:lineRule="exact"/>
              <w:jc w:val="center"/>
              <w:rPr>
                <w:rFonts w:ascii="Arial" w:hAnsi="Arial" w:cs="Arial"/>
                <w:sz w:val="20"/>
                <w:szCs w:val="20"/>
              </w:rPr>
            </w:pPr>
            <w:r w:rsidRPr="00D818CC">
              <w:rPr>
                <w:rFonts w:ascii="Arial" w:hAnsi="Arial" w:cs="Arial"/>
                <w:sz w:val="20"/>
                <w:szCs w:val="20"/>
              </w:rPr>
              <w:t>4.1</w:t>
            </w:r>
          </w:p>
        </w:tc>
        <w:tc>
          <w:tcPr>
            <w:tcW w:w="1151"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7D934B49" w14:textId="64D4344E">
            <w:pPr>
              <w:spacing w:before="40" w:after="40" w:line="200" w:lineRule="exact"/>
              <w:jc w:val="center"/>
              <w:rPr>
                <w:rFonts w:ascii="Arial" w:hAnsi="Arial" w:cs="Arial"/>
                <w:sz w:val="20"/>
                <w:szCs w:val="20"/>
              </w:rPr>
            </w:pPr>
            <w:r w:rsidRPr="00D818CC">
              <w:rPr>
                <w:rFonts w:ascii="Arial" w:hAnsi="Arial" w:cs="Arial"/>
                <w:sz w:val="20"/>
                <w:szCs w:val="20"/>
              </w:rPr>
              <w:t>+0.3</w:t>
            </w:r>
          </w:p>
        </w:tc>
      </w:tr>
      <w:tr w:rsidR="00D818CC" w:rsidTr="00D6610E" w14:paraId="25581943" w14:textId="77777777">
        <w:trPr>
          <w:cantSplit/>
        </w:trPr>
        <w:tc>
          <w:tcPr>
            <w:tcW w:w="4260" w:type="dxa"/>
            <w:tcBorders>
              <w:top w:val="single" w:color="003D6F" w:sz="6" w:space="0"/>
              <w:left w:val="single" w:color="003D6F" w:sz="6" w:space="0"/>
              <w:bottom w:val="single" w:color="003D6F" w:sz="6" w:space="0"/>
              <w:right w:val="single" w:color="003D6F" w:sz="6" w:space="0"/>
            </w:tcBorders>
            <w:hideMark/>
          </w:tcPr>
          <w:p w:rsidR="00D818CC" w:rsidP="00D818CC" w:rsidRDefault="00D818CC" w14:paraId="4E262B04" w14:textId="77777777">
            <w:pPr>
              <w:spacing w:before="40" w:after="40" w:line="200" w:lineRule="exact"/>
              <w:ind w:left="216"/>
              <w:rPr>
                <w:rFonts w:ascii="Arial" w:hAnsi="Arial" w:cs="Arial"/>
                <w:sz w:val="20"/>
                <w:szCs w:val="20"/>
              </w:rPr>
            </w:pPr>
            <w:r>
              <w:rPr>
                <w:rFonts w:ascii="Arial" w:hAnsi="Arial" w:cs="Arial"/>
                <w:sz w:val="20"/>
                <w:szCs w:val="20"/>
              </w:rPr>
              <w:t>Middle Atlantic (NJ, NY, PA)</w:t>
            </w:r>
          </w:p>
        </w:tc>
        <w:tc>
          <w:tcPr>
            <w:tcW w:w="2032"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294D27CC" w14:textId="3BE78F12">
            <w:pPr>
              <w:spacing w:before="40" w:after="40" w:line="200" w:lineRule="exact"/>
              <w:jc w:val="center"/>
              <w:rPr>
                <w:rFonts w:ascii="Arial" w:hAnsi="Arial" w:cs="Arial"/>
                <w:sz w:val="20"/>
                <w:szCs w:val="20"/>
              </w:rPr>
            </w:pPr>
            <w:r w:rsidRPr="00D818CC">
              <w:rPr>
                <w:rFonts w:ascii="Arial" w:hAnsi="Arial" w:cs="Arial"/>
                <w:sz w:val="20"/>
                <w:szCs w:val="20"/>
              </w:rPr>
              <w:t>7.8</w:t>
            </w:r>
          </w:p>
        </w:tc>
        <w:tc>
          <w:tcPr>
            <w:tcW w:w="1786"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0FFC93CE" w14:textId="3D686D3F">
            <w:pPr>
              <w:spacing w:before="40" w:after="40" w:line="200" w:lineRule="exact"/>
              <w:jc w:val="center"/>
              <w:rPr>
                <w:rFonts w:ascii="Arial" w:hAnsi="Arial" w:cs="Arial"/>
                <w:sz w:val="20"/>
                <w:szCs w:val="20"/>
              </w:rPr>
            </w:pPr>
            <w:r w:rsidRPr="00D818CC">
              <w:rPr>
                <w:rFonts w:ascii="Arial" w:hAnsi="Arial" w:cs="Arial"/>
                <w:sz w:val="20"/>
                <w:szCs w:val="20"/>
              </w:rPr>
              <w:t>8.0</w:t>
            </w:r>
          </w:p>
        </w:tc>
        <w:tc>
          <w:tcPr>
            <w:tcW w:w="1151"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67BEFF61" w14:textId="6A33DD34">
            <w:pPr>
              <w:spacing w:before="40" w:after="40" w:line="200" w:lineRule="exact"/>
              <w:jc w:val="center"/>
              <w:rPr>
                <w:rFonts w:ascii="Arial" w:hAnsi="Arial" w:cs="Arial"/>
                <w:sz w:val="20"/>
                <w:szCs w:val="20"/>
              </w:rPr>
            </w:pPr>
            <w:r w:rsidRPr="00D818CC">
              <w:rPr>
                <w:rFonts w:ascii="Arial" w:hAnsi="Arial" w:cs="Arial"/>
                <w:sz w:val="20"/>
                <w:szCs w:val="20"/>
              </w:rPr>
              <w:t>+0.2</w:t>
            </w:r>
          </w:p>
        </w:tc>
      </w:tr>
      <w:tr w:rsidR="00D818CC" w:rsidTr="00D6610E" w14:paraId="302B2D92" w14:textId="77777777">
        <w:trPr>
          <w:cantSplit/>
        </w:trPr>
        <w:tc>
          <w:tcPr>
            <w:tcW w:w="4260" w:type="dxa"/>
            <w:tcBorders>
              <w:top w:val="single" w:color="003D6F" w:sz="6" w:space="0"/>
              <w:left w:val="single" w:color="003D6F" w:sz="6" w:space="0"/>
              <w:bottom w:val="single" w:color="003D6F" w:sz="6" w:space="0"/>
              <w:right w:val="single" w:color="003D6F" w:sz="6" w:space="0"/>
            </w:tcBorders>
            <w:hideMark/>
          </w:tcPr>
          <w:p w:rsidR="00D818CC" w:rsidP="00D818CC" w:rsidRDefault="00D818CC" w14:paraId="3FCDDDD5" w14:textId="77777777">
            <w:pPr>
              <w:spacing w:before="40" w:after="40" w:line="200" w:lineRule="exact"/>
              <w:ind w:left="216"/>
              <w:rPr>
                <w:rFonts w:ascii="Arial" w:hAnsi="Arial" w:cs="Arial"/>
                <w:sz w:val="20"/>
                <w:szCs w:val="20"/>
              </w:rPr>
            </w:pPr>
            <w:r>
              <w:rPr>
                <w:rFonts w:ascii="Arial" w:hAnsi="Arial" w:cs="Arial"/>
                <w:sz w:val="20"/>
                <w:szCs w:val="20"/>
              </w:rPr>
              <w:t>Mountain (AZ, CO, ID, MT, NV, NM, UT, WY)</w:t>
            </w:r>
          </w:p>
        </w:tc>
        <w:tc>
          <w:tcPr>
            <w:tcW w:w="2032"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57C3FA96" w14:textId="62BA137E">
            <w:pPr>
              <w:spacing w:before="40" w:after="40" w:line="200" w:lineRule="exact"/>
              <w:jc w:val="center"/>
              <w:rPr>
                <w:rFonts w:ascii="Arial" w:hAnsi="Arial" w:cs="Arial"/>
                <w:sz w:val="20"/>
                <w:szCs w:val="20"/>
              </w:rPr>
            </w:pPr>
            <w:r w:rsidRPr="00D818CC">
              <w:rPr>
                <w:rFonts w:ascii="Arial" w:hAnsi="Arial" w:cs="Arial"/>
                <w:sz w:val="20"/>
                <w:szCs w:val="20"/>
              </w:rPr>
              <w:t>5.7</w:t>
            </w:r>
          </w:p>
        </w:tc>
        <w:tc>
          <w:tcPr>
            <w:tcW w:w="1786"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14712DE7" w14:textId="178AAF6E">
            <w:pPr>
              <w:spacing w:before="40" w:after="40" w:line="200" w:lineRule="exact"/>
              <w:jc w:val="center"/>
              <w:rPr>
                <w:rFonts w:ascii="Arial" w:hAnsi="Arial" w:cs="Arial"/>
                <w:sz w:val="20"/>
                <w:szCs w:val="20"/>
              </w:rPr>
            </w:pPr>
            <w:r w:rsidRPr="00D818CC">
              <w:rPr>
                <w:rFonts w:ascii="Arial" w:hAnsi="Arial" w:cs="Arial"/>
                <w:sz w:val="20"/>
                <w:szCs w:val="20"/>
              </w:rPr>
              <w:t>6.4</w:t>
            </w:r>
          </w:p>
        </w:tc>
        <w:tc>
          <w:tcPr>
            <w:tcW w:w="1151"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54FAAF7D" w14:textId="3E78BC98">
            <w:pPr>
              <w:spacing w:before="40" w:after="40" w:line="200" w:lineRule="exact"/>
              <w:jc w:val="center"/>
              <w:rPr>
                <w:rFonts w:ascii="Arial" w:hAnsi="Arial" w:cs="Arial"/>
                <w:sz w:val="20"/>
                <w:szCs w:val="20"/>
              </w:rPr>
            </w:pPr>
            <w:r w:rsidRPr="00D818CC">
              <w:rPr>
                <w:rFonts w:ascii="Arial" w:hAnsi="Arial" w:cs="Arial"/>
                <w:sz w:val="20"/>
                <w:szCs w:val="20"/>
              </w:rPr>
              <w:t>-0.7</w:t>
            </w:r>
          </w:p>
        </w:tc>
      </w:tr>
      <w:tr w:rsidR="00D818CC" w:rsidTr="00D6610E" w14:paraId="56BBC69C" w14:textId="77777777">
        <w:trPr>
          <w:cantSplit/>
        </w:trPr>
        <w:tc>
          <w:tcPr>
            <w:tcW w:w="4260" w:type="dxa"/>
            <w:tcBorders>
              <w:top w:val="single" w:color="003D6F" w:sz="6" w:space="0"/>
              <w:left w:val="single" w:color="003D6F" w:sz="6" w:space="0"/>
              <w:bottom w:val="single" w:color="003D6F" w:sz="6" w:space="0"/>
              <w:right w:val="single" w:color="003D6F" w:sz="6" w:space="0"/>
            </w:tcBorders>
            <w:hideMark/>
          </w:tcPr>
          <w:p w:rsidR="00D818CC" w:rsidP="00D818CC" w:rsidRDefault="00D818CC" w14:paraId="038007BE" w14:textId="77777777">
            <w:pPr>
              <w:spacing w:before="40" w:after="40" w:line="200" w:lineRule="exact"/>
              <w:ind w:left="216"/>
              <w:rPr>
                <w:rFonts w:ascii="Arial" w:hAnsi="Arial" w:cs="Arial"/>
                <w:sz w:val="20"/>
                <w:szCs w:val="20"/>
              </w:rPr>
            </w:pPr>
            <w:r>
              <w:rPr>
                <w:rFonts w:ascii="Arial" w:hAnsi="Arial" w:cs="Arial"/>
                <w:sz w:val="20"/>
                <w:szCs w:val="20"/>
              </w:rPr>
              <w:t>New England (CT, ME, MA, NH, RI, VT)</w:t>
            </w:r>
          </w:p>
        </w:tc>
        <w:tc>
          <w:tcPr>
            <w:tcW w:w="2032"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61B5C55C" w14:textId="38E7DE73">
            <w:pPr>
              <w:spacing w:before="40" w:after="40" w:line="200" w:lineRule="exact"/>
              <w:jc w:val="center"/>
              <w:rPr>
                <w:rFonts w:ascii="Arial" w:hAnsi="Arial" w:cs="Arial"/>
                <w:sz w:val="20"/>
                <w:szCs w:val="20"/>
              </w:rPr>
            </w:pPr>
            <w:r w:rsidRPr="00D818CC">
              <w:rPr>
                <w:rFonts w:ascii="Arial" w:hAnsi="Arial" w:cs="Arial"/>
                <w:sz w:val="20"/>
                <w:szCs w:val="20"/>
              </w:rPr>
              <w:t>6.3</w:t>
            </w:r>
          </w:p>
        </w:tc>
        <w:tc>
          <w:tcPr>
            <w:tcW w:w="1786"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15614340" w14:textId="324DA357">
            <w:pPr>
              <w:spacing w:before="40" w:after="40" w:line="200" w:lineRule="exact"/>
              <w:jc w:val="center"/>
              <w:rPr>
                <w:rFonts w:ascii="Arial" w:hAnsi="Arial" w:cs="Arial"/>
                <w:sz w:val="20"/>
                <w:szCs w:val="20"/>
              </w:rPr>
            </w:pPr>
            <w:r w:rsidRPr="00D818CC">
              <w:rPr>
                <w:rFonts w:ascii="Arial" w:hAnsi="Arial" w:cs="Arial"/>
                <w:sz w:val="20"/>
                <w:szCs w:val="20"/>
              </w:rPr>
              <w:t>7.4</w:t>
            </w:r>
          </w:p>
        </w:tc>
        <w:tc>
          <w:tcPr>
            <w:tcW w:w="1151"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4F5DA625" w14:textId="678017F8">
            <w:pPr>
              <w:spacing w:before="40" w:after="40" w:line="200" w:lineRule="exact"/>
              <w:jc w:val="center"/>
              <w:rPr>
                <w:rFonts w:ascii="Arial" w:hAnsi="Arial" w:cs="Arial"/>
                <w:sz w:val="20"/>
                <w:szCs w:val="20"/>
              </w:rPr>
            </w:pPr>
            <w:r w:rsidRPr="00D818CC">
              <w:rPr>
                <w:rFonts w:ascii="Arial" w:hAnsi="Arial" w:cs="Arial"/>
                <w:sz w:val="20"/>
                <w:szCs w:val="20"/>
              </w:rPr>
              <w:t>+1.1</w:t>
            </w:r>
          </w:p>
        </w:tc>
      </w:tr>
      <w:tr w:rsidR="00D818CC" w:rsidTr="00D6610E" w14:paraId="090FA66B" w14:textId="77777777">
        <w:trPr>
          <w:cantSplit/>
        </w:trPr>
        <w:tc>
          <w:tcPr>
            <w:tcW w:w="4260" w:type="dxa"/>
            <w:tcBorders>
              <w:top w:val="single" w:color="003D6F" w:sz="6" w:space="0"/>
              <w:left w:val="single" w:color="003D6F" w:sz="6" w:space="0"/>
              <w:bottom w:val="single" w:color="003D6F" w:sz="6" w:space="0"/>
              <w:right w:val="single" w:color="003D6F" w:sz="6" w:space="0"/>
            </w:tcBorders>
            <w:hideMark/>
          </w:tcPr>
          <w:p w:rsidR="00D818CC" w:rsidP="00D818CC" w:rsidRDefault="00D818CC" w14:paraId="7CBF4175" w14:textId="77777777">
            <w:pPr>
              <w:spacing w:before="40" w:after="40" w:line="200" w:lineRule="exact"/>
              <w:ind w:left="216"/>
              <w:rPr>
                <w:rFonts w:ascii="Arial" w:hAnsi="Arial" w:cs="Arial"/>
                <w:sz w:val="20"/>
                <w:szCs w:val="20"/>
              </w:rPr>
            </w:pPr>
            <w:r>
              <w:rPr>
                <w:rFonts w:ascii="Arial" w:hAnsi="Arial" w:cs="Arial"/>
                <w:sz w:val="20"/>
                <w:szCs w:val="20"/>
              </w:rPr>
              <w:t>Pacific (AK, CA, HI, OR, WA)</w:t>
            </w:r>
          </w:p>
        </w:tc>
        <w:tc>
          <w:tcPr>
            <w:tcW w:w="2032"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503F3032" w14:textId="38247D5B">
            <w:pPr>
              <w:spacing w:before="40" w:after="40" w:line="200" w:lineRule="exact"/>
              <w:jc w:val="center"/>
              <w:rPr>
                <w:rFonts w:ascii="Arial" w:hAnsi="Arial" w:cs="Arial"/>
                <w:sz w:val="20"/>
                <w:szCs w:val="20"/>
              </w:rPr>
            </w:pPr>
            <w:r w:rsidRPr="00D818CC">
              <w:rPr>
                <w:rFonts w:ascii="Arial" w:hAnsi="Arial" w:cs="Arial"/>
                <w:sz w:val="20"/>
                <w:szCs w:val="20"/>
              </w:rPr>
              <w:t>19.7</w:t>
            </w:r>
          </w:p>
        </w:tc>
        <w:tc>
          <w:tcPr>
            <w:tcW w:w="1786"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2328D066" w14:textId="6AE9D3FD">
            <w:pPr>
              <w:spacing w:before="40" w:after="40" w:line="200" w:lineRule="exact"/>
              <w:jc w:val="center"/>
              <w:rPr>
                <w:rFonts w:ascii="Arial" w:hAnsi="Arial" w:cs="Arial"/>
                <w:sz w:val="20"/>
                <w:szCs w:val="20"/>
              </w:rPr>
            </w:pPr>
            <w:r w:rsidRPr="00D818CC">
              <w:rPr>
                <w:rFonts w:ascii="Arial" w:hAnsi="Arial" w:cs="Arial"/>
                <w:sz w:val="20"/>
                <w:szCs w:val="20"/>
              </w:rPr>
              <w:t>19.0</w:t>
            </w:r>
          </w:p>
        </w:tc>
        <w:tc>
          <w:tcPr>
            <w:tcW w:w="1151"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6FCF918C" w14:textId="27767923">
            <w:pPr>
              <w:spacing w:before="40" w:after="40" w:line="200" w:lineRule="exact"/>
              <w:jc w:val="center"/>
              <w:rPr>
                <w:rFonts w:ascii="Arial" w:hAnsi="Arial" w:cs="Arial"/>
                <w:sz w:val="20"/>
                <w:szCs w:val="20"/>
              </w:rPr>
            </w:pPr>
            <w:r w:rsidRPr="00D818CC">
              <w:rPr>
                <w:rFonts w:ascii="Arial" w:hAnsi="Arial" w:cs="Arial"/>
                <w:sz w:val="20"/>
                <w:szCs w:val="20"/>
              </w:rPr>
              <w:t>-0.7</w:t>
            </w:r>
          </w:p>
        </w:tc>
      </w:tr>
      <w:tr w:rsidR="00D818CC" w:rsidTr="00D6610E" w14:paraId="58FD633E" w14:textId="77777777">
        <w:trPr>
          <w:cantSplit/>
        </w:trPr>
        <w:tc>
          <w:tcPr>
            <w:tcW w:w="4260" w:type="dxa"/>
            <w:tcBorders>
              <w:top w:val="single" w:color="003D6F" w:sz="6" w:space="0"/>
              <w:left w:val="single" w:color="003D6F" w:sz="6" w:space="0"/>
              <w:bottom w:val="single" w:color="003D6F" w:sz="6" w:space="0"/>
              <w:right w:val="single" w:color="003D6F" w:sz="6" w:space="0"/>
            </w:tcBorders>
            <w:hideMark/>
          </w:tcPr>
          <w:p w:rsidR="00D818CC" w:rsidP="00D818CC" w:rsidRDefault="00D818CC" w14:paraId="38700268" w14:textId="77777777">
            <w:pPr>
              <w:spacing w:before="40" w:after="40" w:line="200" w:lineRule="exact"/>
              <w:ind w:left="216"/>
              <w:rPr>
                <w:rFonts w:ascii="Arial" w:hAnsi="Arial" w:cs="Arial"/>
                <w:sz w:val="20"/>
                <w:szCs w:val="20"/>
              </w:rPr>
            </w:pPr>
            <w:r>
              <w:rPr>
                <w:rFonts w:ascii="Arial" w:hAnsi="Arial" w:cs="Arial"/>
                <w:sz w:val="20"/>
                <w:szCs w:val="20"/>
              </w:rPr>
              <w:t>South Atlantic (DE, DC, FL, GA, MD, NC, SC, VA, WV)</w:t>
            </w:r>
          </w:p>
        </w:tc>
        <w:tc>
          <w:tcPr>
            <w:tcW w:w="2032"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3C1917B7" w14:textId="071200AC">
            <w:pPr>
              <w:spacing w:before="40" w:after="40" w:line="200" w:lineRule="exact"/>
              <w:jc w:val="center"/>
              <w:rPr>
                <w:rFonts w:ascii="Arial" w:hAnsi="Arial" w:cs="Arial"/>
                <w:sz w:val="20"/>
                <w:szCs w:val="20"/>
              </w:rPr>
            </w:pPr>
            <w:r w:rsidRPr="00D818CC">
              <w:rPr>
                <w:rFonts w:ascii="Arial" w:hAnsi="Arial" w:cs="Arial"/>
                <w:sz w:val="20"/>
                <w:szCs w:val="20"/>
              </w:rPr>
              <w:t>27.0</w:t>
            </w:r>
          </w:p>
        </w:tc>
        <w:tc>
          <w:tcPr>
            <w:tcW w:w="1786"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29AF8958" w14:textId="58B06880">
            <w:pPr>
              <w:spacing w:before="40" w:after="40" w:line="200" w:lineRule="exact"/>
              <w:jc w:val="center"/>
              <w:rPr>
                <w:rFonts w:ascii="Arial" w:hAnsi="Arial" w:cs="Arial"/>
                <w:sz w:val="20"/>
                <w:szCs w:val="20"/>
              </w:rPr>
            </w:pPr>
            <w:r w:rsidRPr="00D818CC">
              <w:rPr>
                <w:rFonts w:ascii="Arial" w:hAnsi="Arial" w:cs="Arial"/>
                <w:sz w:val="20"/>
                <w:szCs w:val="20"/>
              </w:rPr>
              <w:t>25.8</w:t>
            </w:r>
          </w:p>
        </w:tc>
        <w:tc>
          <w:tcPr>
            <w:tcW w:w="1151"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4E34C1D8" w14:textId="02A5E22D">
            <w:pPr>
              <w:spacing w:before="40" w:after="40" w:line="200" w:lineRule="exact"/>
              <w:jc w:val="center"/>
              <w:rPr>
                <w:rFonts w:ascii="Arial" w:hAnsi="Arial" w:cs="Arial"/>
                <w:sz w:val="20"/>
                <w:szCs w:val="20"/>
              </w:rPr>
            </w:pPr>
            <w:r w:rsidRPr="00D818CC">
              <w:rPr>
                <w:rFonts w:ascii="Arial" w:hAnsi="Arial" w:cs="Arial"/>
                <w:sz w:val="20"/>
                <w:szCs w:val="20"/>
              </w:rPr>
              <w:t>-1.2</w:t>
            </w:r>
          </w:p>
        </w:tc>
      </w:tr>
      <w:tr w:rsidR="00D818CC" w:rsidTr="00D6610E" w14:paraId="6F888FBD" w14:textId="77777777">
        <w:trPr>
          <w:cantSplit/>
        </w:trPr>
        <w:tc>
          <w:tcPr>
            <w:tcW w:w="4260" w:type="dxa"/>
            <w:tcBorders>
              <w:top w:val="single" w:color="003D6F" w:sz="6" w:space="0"/>
              <w:left w:val="single" w:color="003D6F" w:sz="6" w:space="0"/>
              <w:bottom w:val="single" w:color="003D6F" w:sz="6" w:space="0"/>
              <w:right w:val="single" w:color="003D6F" w:sz="6" w:space="0"/>
            </w:tcBorders>
            <w:hideMark/>
          </w:tcPr>
          <w:p w:rsidR="00D818CC" w:rsidP="00D818CC" w:rsidRDefault="00D818CC" w14:paraId="0BD53152" w14:textId="77777777">
            <w:pPr>
              <w:spacing w:before="40" w:after="40" w:line="200" w:lineRule="exact"/>
              <w:ind w:left="216"/>
              <w:rPr>
                <w:rFonts w:ascii="Arial" w:hAnsi="Arial" w:cs="Arial"/>
                <w:sz w:val="20"/>
                <w:szCs w:val="20"/>
              </w:rPr>
            </w:pPr>
            <w:r>
              <w:rPr>
                <w:rFonts w:ascii="Arial" w:hAnsi="Arial" w:cs="Arial"/>
                <w:sz w:val="20"/>
                <w:szCs w:val="20"/>
              </w:rPr>
              <w:t>West North Central (IA, KS, MN, MO, NE, ND, SD)</w:t>
            </w:r>
          </w:p>
        </w:tc>
        <w:tc>
          <w:tcPr>
            <w:tcW w:w="2032"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0CD1CA91" w14:textId="30E28C80">
            <w:pPr>
              <w:spacing w:before="40" w:after="40" w:line="200" w:lineRule="exact"/>
              <w:jc w:val="center"/>
              <w:rPr>
                <w:rFonts w:ascii="Arial" w:hAnsi="Arial" w:cs="Arial"/>
                <w:sz w:val="20"/>
                <w:szCs w:val="20"/>
              </w:rPr>
            </w:pPr>
            <w:r w:rsidRPr="00D818CC">
              <w:rPr>
                <w:rFonts w:ascii="Arial" w:hAnsi="Arial" w:cs="Arial"/>
                <w:sz w:val="20"/>
                <w:szCs w:val="20"/>
              </w:rPr>
              <w:t>3.9</w:t>
            </w:r>
          </w:p>
        </w:tc>
        <w:tc>
          <w:tcPr>
            <w:tcW w:w="1786"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6754E3DB" w14:textId="7E34CE29">
            <w:pPr>
              <w:spacing w:before="40" w:after="40" w:line="200" w:lineRule="exact"/>
              <w:jc w:val="center"/>
              <w:rPr>
                <w:rFonts w:ascii="Arial" w:hAnsi="Arial" w:cs="Arial"/>
                <w:sz w:val="20"/>
                <w:szCs w:val="20"/>
              </w:rPr>
            </w:pPr>
            <w:r w:rsidRPr="00D818CC">
              <w:rPr>
                <w:rFonts w:ascii="Arial" w:hAnsi="Arial" w:cs="Arial"/>
                <w:sz w:val="20"/>
                <w:szCs w:val="20"/>
              </w:rPr>
              <w:t>4.8</w:t>
            </w:r>
          </w:p>
        </w:tc>
        <w:tc>
          <w:tcPr>
            <w:tcW w:w="1151"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3EB637D4" w14:textId="4AD5EC8F">
            <w:pPr>
              <w:spacing w:before="40" w:after="40" w:line="200" w:lineRule="exact"/>
              <w:jc w:val="center"/>
              <w:rPr>
                <w:rFonts w:ascii="Arial" w:hAnsi="Arial" w:cs="Arial"/>
                <w:sz w:val="20"/>
                <w:szCs w:val="20"/>
              </w:rPr>
            </w:pPr>
            <w:r w:rsidRPr="00D818CC">
              <w:rPr>
                <w:rFonts w:ascii="Arial" w:hAnsi="Arial" w:cs="Arial"/>
                <w:sz w:val="20"/>
                <w:szCs w:val="20"/>
              </w:rPr>
              <w:t>+0.9</w:t>
            </w:r>
          </w:p>
        </w:tc>
      </w:tr>
      <w:tr w:rsidR="00D818CC" w:rsidTr="00D6610E" w14:paraId="73084095" w14:textId="77777777">
        <w:trPr>
          <w:cantSplit/>
        </w:trPr>
        <w:tc>
          <w:tcPr>
            <w:tcW w:w="4260" w:type="dxa"/>
            <w:tcBorders>
              <w:top w:val="single" w:color="003D6F" w:sz="6" w:space="0"/>
              <w:left w:val="single" w:color="003D6F" w:sz="6" w:space="0"/>
              <w:bottom w:val="single" w:color="003D6F" w:sz="6" w:space="0"/>
              <w:right w:val="single" w:color="003D6F" w:sz="6" w:space="0"/>
            </w:tcBorders>
            <w:hideMark/>
          </w:tcPr>
          <w:p w:rsidR="00D818CC" w:rsidP="00D818CC" w:rsidRDefault="00D818CC" w14:paraId="64FF29B0" w14:textId="77777777">
            <w:pPr>
              <w:spacing w:before="40" w:after="40" w:line="200" w:lineRule="exact"/>
              <w:ind w:left="216"/>
              <w:rPr>
                <w:rFonts w:ascii="Arial" w:hAnsi="Arial" w:cs="Arial"/>
                <w:sz w:val="20"/>
                <w:szCs w:val="20"/>
              </w:rPr>
            </w:pPr>
            <w:r>
              <w:rPr>
                <w:rFonts w:ascii="Arial" w:hAnsi="Arial" w:cs="Arial"/>
                <w:sz w:val="20"/>
                <w:szCs w:val="20"/>
              </w:rPr>
              <w:t>West South Central (AR, LA, OK, TX)</w:t>
            </w:r>
          </w:p>
        </w:tc>
        <w:tc>
          <w:tcPr>
            <w:tcW w:w="2032"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2BEF31A9" w14:textId="0BE118EC">
            <w:pPr>
              <w:spacing w:before="40" w:after="40" w:line="200" w:lineRule="exact"/>
              <w:jc w:val="center"/>
              <w:rPr>
                <w:rFonts w:ascii="Arial" w:hAnsi="Arial" w:cs="Arial"/>
                <w:sz w:val="20"/>
                <w:szCs w:val="20"/>
              </w:rPr>
            </w:pPr>
            <w:r w:rsidRPr="00D818CC">
              <w:rPr>
                <w:rFonts w:ascii="Arial" w:hAnsi="Arial" w:cs="Arial"/>
                <w:sz w:val="20"/>
                <w:szCs w:val="20"/>
              </w:rPr>
              <w:t>15.7</w:t>
            </w:r>
          </w:p>
        </w:tc>
        <w:tc>
          <w:tcPr>
            <w:tcW w:w="1786"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1250E961" w14:textId="5585C995">
            <w:pPr>
              <w:spacing w:before="40" w:after="40" w:line="200" w:lineRule="exact"/>
              <w:jc w:val="center"/>
              <w:rPr>
                <w:rFonts w:ascii="Arial" w:hAnsi="Arial" w:cs="Arial"/>
                <w:sz w:val="20"/>
                <w:szCs w:val="20"/>
              </w:rPr>
            </w:pPr>
            <w:r w:rsidRPr="00D818CC">
              <w:rPr>
                <w:rFonts w:ascii="Arial" w:hAnsi="Arial" w:cs="Arial"/>
                <w:sz w:val="20"/>
                <w:szCs w:val="20"/>
              </w:rPr>
              <w:t>13.2</w:t>
            </w:r>
          </w:p>
        </w:tc>
        <w:tc>
          <w:tcPr>
            <w:tcW w:w="1151" w:type="dxa"/>
            <w:tcBorders>
              <w:top w:val="single" w:color="003D6F" w:sz="6" w:space="0"/>
              <w:left w:val="single" w:color="003D6F" w:sz="6" w:space="0"/>
              <w:bottom w:val="single" w:color="003D6F" w:sz="6" w:space="0"/>
              <w:right w:val="single" w:color="003D6F" w:sz="6" w:space="0"/>
            </w:tcBorders>
            <w:hideMark/>
          </w:tcPr>
          <w:p w:rsidRPr="00D818CC" w:rsidR="00D818CC" w:rsidP="00D818CC" w:rsidRDefault="00D818CC" w14:paraId="4515DE91" w14:textId="08934DA5">
            <w:pPr>
              <w:spacing w:before="40" w:after="40" w:line="200" w:lineRule="exact"/>
              <w:jc w:val="center"/>
              <w:rPr>
                <w:rFonts w:ascii="Arial" w:hAnsi="Arial" w:cs="Arial"/>
                <w:sz w:val="20"/>
                <w:szCs w:val="20"/>
              </w:rPr>
            </w:pPr>
            <w:r w:rsidRPr="00D818CC">
              <w:rPr>
                <w:rFonts w:ascii="Arial" w:hAnsi="Arial" w:cs="Arial"/>
                <w:sz w:val="20"/>
                <w:szCs w:val="20"/>
              </w:rPr>
              <w:t>-2.5</w:t>
            </w:r>
          </w:p>
        </w:tc>
      </w:tr>
    </w:tbl>
    <w:p w:rsidR="00D6610E" w:rsidP="00D6610E" w:rsidRDefault="00D6610E" w14:paraId="1EA28127" w14:textId="76FBEAAA">
      <w:pPr>
        <w:spacing w:before="240" w:after="240"/>
        <w:rPr>
          <w:rFonts w:cs="Times New Roman"/>
          <w:szCs w:val="24"/>
        </w:rPr>
      </w:pPr>
      <w:r>
        <w:rPr>
          <w:rFonts w:cs="Times New Roman"/>
          <w:szCs w:val="24"/>
        </w:rPr>
        <w:t xml:space="preserve">In the </w:t>
      </w:r>
      <w:r w:rsidR="00D818CC">
        <w:rPr>
          <w:rFonts w:cs="Times New Roman"/>
          <w:szCs w:val="24"/>
        </w:rPr>
        <w:t xml:space="preserve">2017 </w:t>
      </w:r>
      <w:r>
        <w:rPr>
          <w:rFonts w:cs="Times New Roman"/>
          <w:szCs w:val="24"/>
        </w:rPr>
        <w:t xml:space="preserve">QHP Enrollee Survey, one variable with the </w:t>
      </w:r>
      <w:r w:rsidR="000959DE">
        <w:rPr>
          <w:rFonts w:cs="Times New Roman"/>
          <w:szCs w:val="24"/>
        </w:rPr>
        <w:t xml:space="preserve">largest </w:t>
      </w:r>
      <w:r>
        <w:rPr>
          <w:rFonts w:cs="Times New Roman"/>
          <w:szCs w:val="24"/>
        </w:rPr>
        <w:t>differences was enrollee age. These differences are not uncommon in surveys. As was the case in previous administrations, we found that younger enrollees (those under the age of 45) were less likely to respond, which resulted in overrepresentation of enrollees between the ages of 55 and 64 because they were more likely to respond to the survey.</w:t>
      </w:r>
    </w:p>
    <w:p w:rsidR="00D6610E" w:rsidP="00D6610E" w:rsidRDefault="00D6610E" w14:paraId="5B4173BB" w14:textId="396682A1">
      <w:pPr>
        <w:spacing w:after="240"/>
        <w:rPr>
          <w:rFonts w:cs="Times New Roman"/>
          <w:szCs w:val="24"/>
        </w:rPr>
      </w:pPr>
      <w:r>
        <w:rPr>
          <w:rFonts w:cs="Times New Roman"/>
          <w:szCs w:val="24"/>
        </w:rPr>
        <w:t xml:space="preserve">Given that the bivariate analysis indicated significant differences in response by consumer characteristics, AIR utilized multivariable logistic regression to determine which consumer characteristics were associated with returning the survey and to estimate the direction and size of the effect of these characteristics. The model estimated the propensity to respond (the dependent variable) based on these characteristics. A value of 1 for the dependent variable indicated that the sampled consumer was a respondent and a value of zero indicated that the sampled consumer was a non-respondent. </w:t>
      </w:r>
    </w:p>
    <w:p w:rsidR="00D6610E" w:rsidP="00D6610E" w:rsidRDefault="00D6610E" w14:paraId="7901C078" w14:textId="77777777">
      <w:pPr>
        <w:spacing w:after="240"/>
        <w:rPr>
          <w:rFonts w:cs="Times New Roman"/>
          <w:szCs w:val="24"/>
        </w:rPr>
      </w:pPr>
      <w:r>
        <w:rPr>
          <w:rFonts w:cs="Times New Roman"/>
          <w:szCs w:val="24"/>
        </w:rPr>
        <w:t xml:space="preserve">Exhibit B3 shows the marginal effect (odds ratio) of each variable on the propensity to respond as well as the 95% confidence interval associated with the odds ratio (OR) estimate. Estimates above 1.0 indicate that the variable was associated with an increased propensity to respond in comparison to the reference group, while estimates below 1.0 indicated that the variable was associated with a lower propensity to respond to the survey in comparison to the reference group. For example, male enrollees were slightly </w:t>
      </w:r>
      <w:r>
        <w:rPr>
          <w:rFonts w:cs="Times New Roman"/>
          <w:i/>
          <w:szCs w:val="24"/>
        </w:rPr>
        <w:t>less</w:t>
      </w:r>
      <w:r>
        <w:rPr>
          <w:rFonts w:cs="Times New Roman"/>
          <w:szCs w:val="24"/>
        </w:rPr>
        <w:t xml:space="preserve"> likely to return the survey compared to female enrollees (OR = 0.829). This analysis also shows that older enrollees were more likely to respond</w:t>
      </w:r>
      <w:r w:rsidR="002364D8">
        <w:rPr>
          <w:rFonts w:cs="Times New Roman"/>
          <w:szCs w:val="24"/>
        </w:rPr>
        <w:t>.</w:t>
      </w:r>
      <w:r>
        <w:rPr>
          <w:rFonts w:cs="Times New Roman"/>
          <w:szCs w:val="24"/>
        </w:rPr>
        <w:t xml:space="preserve"> In most surveys, older people and women are more likely to respond.</w:t>
      </w:r>
    </w:p>
    <w:p w:rsidR="00D6610E" w:rsidP="00D6610E" w:rsidRDefault="00D6610E" w14:paraId="5341BF3E" w14:textId="77777777">
      <w:pPr>
        <w:pStyle w:val="ExhibitTitle"/>
        <w:ind w:right="-144"/>
      </w:pPr>
      <w:r>
        <w:t>Exhibit B3. Odds Ratios from Variables included in Logistic Regression Modeling Survey Response</w:t>
      </w:r>
    </w:p>
    <w:tbl>
      <w:tblPr>
        <w:tblStyle w:val="QHPTable1"/>
        <w:tblW w:w="9235" w:type="dxa"/>
        <w:tblInd w:w="112" w:type="dxa"/>
        <w:tblCellMar>
          <w:top w:w="0" w:type="dxa"/>
          <w:bottom w:w="0" w:type="dxa"/>
        </w:tblCellMar>
        <w:tblLook w:val="0620" w:firstRow="1" w:lastRow="0" w:firstColumn="0" w:lastColumn="0" w:noHBand="1" w:noVBand="1"/>
        <w:tblCaption w:val="Exhibit 15. Odds Ratios from Variables included in Logistic Regression Modeling Survey Response"/>
      </w:tblPr>
      <w:tblGrid>
        <w:gridCol w:w="5248"/>
        <w:gridCol w:w="1414"/>
        <w:gridCol w:w="1292"/>
        <w:gridCol w:w="1281"/>
      </w:tblGrid>
      <w:tr w:rsidR="00D6610E" w:rsidTr="000959DE" w14:paraId="30C97DEE" w14:textId="77777777">
        <w:trPr>
          <w:cnfStyle w:val="100000000000" w:firstRow="1" w:lastRow="0" w:firstColumn="0" w:lastColumn="0" w:oddVBand="0" w:evenVBand="0" w:oddHBand="0" w:evenHBand="0" w:firstRowFirstColumn="0" w:firstRowLastColumn="0" w:lastRowFirstColumn="0" w:lastRowLastColumn="0"/>
          <w:cantSplit/>
          <w:tblHeader/>
        </w:trPr>
        <w:tc>
          <w:tcPr>
            <w:tcW w:w="0" w:type="auto"/>
            <w:hideMark/>
          </w:tcPr>
          <w:p w:rsidR="00D6610E" w:rsidRDefault="00D6610E" w14:paraId="1C528CE9" w14:textId="77777777">
            <w:pPr>
              <w:pStyle w:val="TableColHeadingCenter"/>
              <w:rPr>
                <w:rFonts w:ascii="Arial" w:hAnsi="Arial" w:cs="Arial"/>
              </w:rPr>
            </w:pPr>
            <w:r>
              <w:rPr>
                <w:rFonts w:ascii="Arial" w:hAnsi="Arial" w:cs="Arial"/>
              </w:rPr>
              <w:t>Demographic</w:t>
            </w:r>
          </w:p>
        </w:tc>
        <w:tc>
          <w:tcPr>
            <w:tcW w:w="0" w:type="auto"/>
            <w:hideMark/>
          </w:tcPr>
          <w:p w:rsidR="00D6610E" w:rsidRDefault="00D6610E" w14:paraId="25F482E4" w14:textId="77777777">
            <w:pPr>
              <w:pStyle w:val="TableColHeadingCenter"/>
              <w:rPr>
                <w:rFonts w:ascii="Arial" w:hAnsi="Arial" w:cs="Arial"/>
              </w:rPr>
            </w:pPr>
            <w:r>
              <w:rPr>
                <w:rFonts w:ascii="Arial" w:hAnsi="Arial" w:cs="Arial"/>
              </w:rPr>
              <w:t>Point Estimate</w:t>
            </w:r>
          </w:p>
        </w:tc>
        <w:tc>
          <w:tcPr>
            <w:tcW w:w="0" w:type="auto"/>
            <w:hideMark/>
          </w:tcPr>
          <w:p w:rsidR="00D6610E" w:rsidRDefault="00D6610E" w14:paraId="304E19CE" w14:textId="77777777">
            <w:pPr>
              <w:pStyle w:val="TableColHeadingCenter"/>
              <w:rPr>
                <w:rFonts w:ascii="Arial" w:hAnsi="Arial" w:cs="Arial"/>
              </w:rPr>
            </w:pPr>
            <w:r>
              <w:rPr>
                <w:rFonts w:ascii="Arial" w:hAnsi="Arial" w:cs="Arial"/>
              </w:rPr>
              <w:t>Lower 95% CI</w:t>
            </w:r>
          </w:p>
        </w:tc>
        <w:tc>
          <w:tcPr>
            <w:tcW w:w="0" w:type="auto"/>
            <w:hideMark/>
          </w:tcPr>
          <w:p w:rsidR="00D6610E" w:rsidRDefault="00D6610E" w14:paraId="3F40B76C" w14:textId="77777777">
            <w:pPr>
              <w:pStyle w:val="TableColHeadingCenter"/>
              <w:rPr>
                <w:rFonts w:ascii="Arial" w:hAnsi="Arial" w:cs="Arial"/>
              </w:rPr>
            </w:pPr>
            <w:r>
              <w:rPr>
                <w:rFonts w:ascii="Arial" w:hAnsi="Arial" w:cs="Arial"/>
              </w:rPr>
              <w:t>Upper 95% CI</w:t>
            </w:r>
          </w:p>
        </w:tc>
      </w:tr>
      <w:tr w:rsidR="00D6610E" w:rsidTr="000959DE" w14:paraId="6C11CBBA" w14:textId="77777777">
        <w:trPr>
          <w:cantSplit/>
        </w:trPr>
        <w:tc>
          <w:tcPr>
            <w:tcW w:w="0" w:type="auto"/>
            <w:tcBorders>
              <w:top w:val="single" w:color="003D6F" w:sz="6" w:space="0"/>
              <w:left w:val="single" w:color="003D6F" w:sz="6" w:space="0"/>
              <w:bottom w:val="single" w:color="003D6F" w:sz="6" w:space="0"/>
              <w:right w:val="single" w:color="003D6F" w:sz="6" w:space="0"/>
            </w:tcBorders>
            <w:shd w:val="clear" w:color="auto" w:fill="DBE5F1" w:themeFill="accent1" w:themeFillTint="33"/>
            <w:hideMark/>
          </w:tcPr>
          <w:p w:rsidR="00D6610E" w:rsidRDefault="00D6610E" w14:paraId="3CF0E92E" w14:textId="77777777">
            <w:pPr>
              <w:rPr>
                <w:rFonts w:ascii="Arial" w:hAnsi="Arial" w:eastAsia="MS Mincho" w:cs="Arial"/>
                <w:b/>
                <w:i/>
                <w:sz w:val="20"/>
                <w:szCs w:val="20"/>
              </w:rPr>
            </w:pPr>
            <w:r>
              <w:rPr>
                <w:rFonts w:ascii="Arial" w:hAnsi="Arial" w:eastAsia="MS Mincho" w:cs="Arial"/>
                <w:b/>
                <w:sz w:val="20"/>
                <w:szCs w:val="20"/>
              </w:rPr>
              <w:lastRenderedPageBreak/>
              <w:t xml:space="preserve">Sex </w:t>
            </w:r>
            <w:r>
              <w:rPr>
                <w:rFonts w:ascii="Arial" w:hAnsi="Arial" w:eastAsia="MS Mincho" w:cs="Arial"/>
                <w:i/>
                <w:sz w:val="20"/>
                <w:szCs w:val="20"/>
              </w:rPr>
              <w:t>(Ref: Female)</w:t>
            </w:r>
          </w:p>
        </w:tc>
        <w:tc>
          <w:tcPr>
            <w:tcW w:w="0" w:type="auto"/>
            <w:tcBorders>
              <w:top w:val="single" w:color="003D6F" w:sz="6" w:space="0"/>
              <w:left w:val="single" w:color="003D6F" w:sz="6" w:space="0"/>
              <w:bottom w:val="single" w:color="003D6F" w:sz="6" w:space="0"/>
              <w:right w:val="single" w:color="003D6F" w:sz="6" w:space="0"/>
            </w:tcBorders>
            <w:shd w:val="clear" w:color="auto" w:fill="DBE5F1" w:themeFill="accent1" w:themeFillTint="33"/>
          </w:tcPr>
          <w:p w:rsidR="00D6610E" w:rsidRDefault="00D6610E" w14:paraId="012E5BC3" w14:textId="77777777">
            <w:pPr>
              <w:jc w:val="center"/>
              <w:rPr>
                <w:rFonts w:ascii="Arial" w:hAnsi="Arial" w:eastAsia="MS Mincho" w:cs="Arial"/>
                <w:b/>
                <w:sz w:val="20"/>
                <w:szCs w:val="20"/>
              </w:rPr>
            </w:pPr>
          </w:p>
        </w:tc>
        <w:tc>
          <w:tcPr>
            <w:tcW w:w="0" w:type="auto"/>
            <w:tcBorders>
              <w:top w:val="single" w:color="003D6F" w:sz="6" w:space="0"/>
              <w:left w:val="single" w:color="003D6F" w:sz="6" w:space="0"/>
              <w:bottom w:val="single" w:color="003D6F" w:sz="6" w:space="0"/>
              <w:right w:val="single" w:color="003D6F" w:sz="6" w:space="0"/>
            </w:tcBorders>
            <w:shd w:val="clear" w:color="auto" w:fill="DBE5F1" w:themeFill="accent1" w:themeFillTint="33"/>
          </w:tcPr>
          <w:p w:rsidR="00D6610E" w:rsidRDefault="00D6610E" w14:paraId="6A82F758" w14:textId="77777777">
            <w:pPr>
              <w:jc w:val="center"/>
              <w:rPr>
                <w:rFonts w:ascii="Arial" w:hAnsi="Arial" w:eastAsia="MS Mincho" w:cs="Arial"/>
                <w:b/>
                <w:sz w:val="20"/>
                <w:szCs w:val="20"/>
              </w:rPr>
            </w:pPr>
          </w:p>
        </w:tc>
        <w:tc>
          <w:tcPr>
            <w:tcW w:w="0" w:type="auto"/>
            <w:tcBorders>
              <w:top w:val="single" w:color="003D6F" w:sz="6" w:space="0"/>
              <w:left w:val="single" w:color="003D6F" w:sz="6" w:space="0"/>
              <w:bottom w:val="single" w:color="003D6F" w:sz="6" w:space="0"/>
              <w:right w:val="single" w:color="003D6F" w:sz="6" w:space="0"/>
            </w:tcBorders>
            <w:shd w:val="clear" w:color="auto" w:fill="DBE5F1" w:themeFill="accent1" w:themeFillTint="33"/>
          </w:tcPr>
          <w:p w:rsidR="00D6610E" w:rsidRDefault="00D6610E" w14:paraId="3D57CAF4" w14:textId="77777777">
            <w:pPr>
              <w:jc w:val="center"/>
              <w:rPr>
                <w:rFonts w:ascii="Arial" w:hAnsi="Arial" w:eastAsia="MS Mincho" w:cs="Arial"/>
                <w:b/>
                <w:sz w:val="20"/>
                <w:szCs w:val="20"/>
              </w:rPr>
            </w:pPr>
          </w:p>
        </w:tc>
      </w:tr>
      <w:tr w:rsidR="000959DE" w:rsidTr="000959DE" w14:paraId="621151FA" w14:textId="77777777">
        <w:trPr>
          <w:cantSplit/>
        </w:trPr>
        <w:tc>
          <w:tcPr>
            <w:tcW w:w="0" w:type="auto"/>
            <w:tcBorders>
              <w:top w:val="single" w:color="003D6F" w:sz="6" w:space="0"/>
              <w:left w:val="single" w:color="003D6F" w:sz="6" w:space="0"/>
              <w:bottom w:val="single" w:color="003D6F" w:sz="6" w:space="0"/>
              <w:right w:val="single" w:color="003D6F" w:sz="6" w:space="0"/>
            </w:tcBorders>
            <w:hideMark/>
          </w:tcPr>
          <w:p w:rsidR="000959DE" w:rsidP="000959DE" w:rsidRDefault="000959DE" w14:paraId="01C19DA7" w14:textId="77777777">
            <w:pPr>
              <w:pStyle w:val="TableTextIndent"/>
              <w:rPr>
                <w:rFonts w:ascii="Arial" w:hAnsi="Arial" w:cs="Arial"/>
                <w:szCs w:val="20"/>
              </w:rPr>
            </w:pPr>
            <w:r>
              <w:rPr>
                <w:rFonts w:ascii="Arial" w:hAnsi="Arial" w:cs="Arial"/>
                <w:szCs w:val="20"/>
              </w:rPr>
              <w:t>Male*</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7BC9C58A" w14:textId="2CAE3288">
            <w:pPr>
              <w:pStyle w:val="TableTextCentered"/>
              <w:rPr>
                <w:rFonts w:ascii="Arial" w:hAnsi="Arial" w:cs="Arial"/>
                <w:szCs w:val="20"/>
              </w:rPr>
            </w:pPr>
            <w:r w:rsidRPr="000621C4">
              <w:rPr>
                <w:rFonts w:ascii="Arial" w:hAnsi="Arial" w:cs="Arial"/>
                <w:szCs w:val="20"/>
              </w:rPr>
              <w:t>0.802</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06AC2FFB" w14:textId="31D54F4B">
            <w:pPr>
              <w:pStyle w:val="TableTextCentered"/>
              <w:rPr>
                <w:rFonts w:ascii="Arial" w:hAnsi="Arial" w:cs="Arial"/>
                <w:szCs w:val="20"/>
              </w:rPr>
            </w:pPr>
            <w:r w:rsidRPr="000621C4">
              <w:rPr>
                <w:rFonts w:ascii="Arial" w:hAnsi="Arial" w:cs="Arial"/>
                <w:szCs w:val="20"/>
              </w:rPr>
              <w:t>0.799</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16B96982" w14:textId="5F4FB973">
            <w:pPr>
              <w:pStyle w:val="TableTextCentered"/>
              <w:rPr>
                <w:rFonts w:ascii="Arial" w:hAnsi="Arial" w:cs="Arial"/>
                <w:szCs w:val="20"/>
              </w:rPr>
            </w:pPr>
            <w:r w:rsidRPr="000621C4">
              <w:rPr>
                <w:rFonts w:ascii="Arial" w:hAnsi="Arial" w:cs="Arial"/>
                <w:szCs w:val="20"/>
              </w:rPr>
              <w:t>0.806</w:t>
            </w:r>
          </w:p>
        </w:tc>
      </w:tr>
      <w:tr w:rsidR="000959DE" w:rsidTr="000959DE" w14:paraId="78069FCB" w14:textId="77777777">
        <w:trPr>
          <w:cantSplit/>
        </w:trPr>
        <w:tc>
          <w:tcPr>
            <w:tcW w:w="0" w:type="auto"/>
            <w:tcBorders>
              <w:top w:val="single" w:color="003D6F" w:sz="6" w:space="0"/>
              <w:left w:val="single" w:color="003D6F" w:sz="6" w:space="0"/>
              <w:bottom w:val="single" w:color="003D6F" w:sz="6" w:space="0"/>
              <w:right w:val="single" w:color="003D6F" w:sz="6" w:space="0"/>
            </w:tcBorders>
            <w:shd w:val="clear" w:color="auto" w:fill="DBE5F1" w:themeFill="accent1" w:themeFillTint="33"/>
            <w:hideMark/>
          </w:tcPr>
          <w:p w:rsidR="000959DE" w:rsidP="000959DE" w:rsidRDefault="000959DE" w14:paraId="4D82D509" w14:textId="77777777">
            <w:pPr>
              <w:rPr>
                <w:rFonts w:ascii="Arial" w:hAnsi="Arial" w:cs="Arial"/>
                <w:sz w:val="20"/>
                <w:szCs w:val="20"/>
              </w:rPr>
            </w:pPr>
            <w:r>
              <w:rPr>
                <w:rFonts w:ascii="Arial" w:hAnsi="Arial" w:eastAsia="MS Mincho" w:cs="Arial"/>
                <w:b/>
                <w:sz w:val="20"/>
                <w:szCs w:val="20"/>
              </w:rPr>
              <w:t>Age</w:t>
            </w:r>
            <w:r>
              <w:rPr>
                <w:rFonts w:ascii="Arial" w:hAnsi="Arial" w:eastAsia="MS Mincho" w:cs="Arial"/>
                <w:sz w:val="20"/>
                <w:szCs w:val="20"/>
              </w:rPr>
              <w:t xml:space="preserve"> </w:t>
            </w:r>
            <w:r>
              <w:rPr>
                <w:rFonts w:ascii="Arial" w:hAnsi="Arial" w:eastAsia="MS Mincho" w:cs="Arial"/>
                <w:i/>
                <w:sz w:val="20"/>
                <w:szCs w:val="20"/>
              </w:rPr>
              <w:t>(Ref: 45-54)</w:t>
            </w:r>
          </w:p>
        </w:tc>
        <w:tc>
          <w:tcPr>
            <w:tcW w:w="0" w:type="auto"/>
            <w:tcBorders>
              <w:top w:val="single" w:color="003D6F" w:sz="6" w:space="0"/>
              <w:left w:val="single" w:color="003D6F" w:sz="6" w:space="0"/>
              <w:bottom w:val="single" w:color="003D6F" w:sz="6" w:space="0"/>
              <w:right w:val="single" w:color="003D6F" w:sz="6" w:space="0"/>
            </w:tcBorders>
            <w:shd w:val="clear" w:color="auto" w:fill="DBE5F1" w:themeFill="accent1" w:themeFillTint="33"/>
          </w:tcPr>
          <w:p w:rsidRPr="000959DE" w:rsidR="000959DE" w:rsidP="000959DE" w:rsidRDefault="000959DE" w14:paraId="2F33A5B8" w14:textId="77777777">
            <w:pPr>
              <w:jc w:val="center"/>
              <w:rPr>
                <w:rFonts w:ascii="Arial" w:hAnsi="Arial" w:cs="Arial"/>
                <w:sz w:val="20"/>
                <w:szCs w:val="20"/>
              </w:rPr>
            </w:pPr>
          </w:p>
        </w:tc>
        <w:tc>
          <w:tcPr>
            <w:tcW w:w="0" w:type="auto"/>
            <w:tcBorders>
              <w:top w:val="single" w:color="003D6F" w:sz="6" w:space="0"/>
              <w:left w:val="single" w:color="003D6F" w:sz="6" w:space="0"/>
              <w:bottom w:val="single" w:color="003D6F" w:sz="6" w:space="0"/>
              <w:right w:val="single" w:color="003D6F" w:sz="6" w:space="0"/>
            </w:tcBorders>
            <w:shd w:val="clear" w:color="auto" w:fill="DBE5F1" w:themeFill="accent1" w:themeFillTint="33"/>
          </w:tcPr>
          <w:p w:rsidRPr="000959DE" w:rsidR="000959DE" w:rsidP="000959DE" w:rsidRDefault="000959DE" w14:paraId="6B694973" w14:textId="77777777">
            <w:pPr>
              <w:jc w:val="center"/>
              <w:rPr>
                <w:rFonts w:ascii="Arial" w:hAnsi="Arial" w:cs="Arial"/>
                <w:sz w:val="20"/>
                <w:szCs w:val="20"/>
              </w:rPr>
            </w:pPr>
          </w:p>
        </w:tc>
        <w:tc>
          <w:tcPr>
            <w:tcW w:w="0" w:type="auto"/>
            <w:tcBorders>
              <w:top w:val="single" w:color="003D6F" w:sz="6" w:space="0"/>
              <w:left w:val="single" w:color="003D6F" w:sz="6" w:space="0"/>
              <w:bottom w:val="single" w:color="003D6F" w:sz="6" w:space="0"/>
              <w:right w:val="single" w:color="003D6F" w:sz="6" w:space="0"/>
            </w:tcBorders>
            <w:shd w:val="clear" w:color="auto" w:fill="DBE5F1" w:themeFill="accent1" w:themeFillTint="33"/>
          </w:tcPr>
          <w:p w:rsidRPr="000959DE" w:rsidR="000959DE" w:rsidP="000959DE" w:rsidRDefault="000959DE" w14:paraId="4133B72A" w14:textId="77777777">
            <w:pPr>
              <w:jc w:val="center"/>
              <w:rPr>
                <w:rFonts w:ascii="Arial" w:hAnsi="Arial" w:cs="Arial"/>
                <w:sz w:val="20"/>
                <w:szCs w:val="20"/>
              </w:rPr>
            </w:pPr>
          </w:p>
        </w:tc>
      </w:tr>
      <w:tr w:rsidR="000959DE" w:rsidTr="000959DE" w14:paraId="680E1D00" w14:textId="77777777">
        <w:trPr>
          <w:cantSplit/>
        </w:trPr>
        <w:tc>
          <w:tcPr>
            <w:tcW w:w="0" w:type="auto"/>
            <w:tcBorders>
              <w:top w:val="single" w:color="003D6F" w:sz="6" w:space="0"/>
              <w:left w:val="single" w:color="003D6F" w:sz="6" w:space="0"/>
              <w:bottom w:val="single" w:color="003D6F" w:sz="6" w:space="0"/>
              <w:right w:val="single" w:color="003D6F" w:sz="6" w:space="0"/>
            </w:tcBorders>
            <w:hideMark/>
          </w:tcPr>
          <w:p w:rsidR="000959DE" w:rsidP="000959DE" w:rsidRDefault="000959DE" w14:paraId="312D3146" w14:textId="77777777">
            <w:pPr>
              <w:pStyle w:val="TableTextIndent"/>
              <w:rPr>
                <w:rFonts w:ascii="Arial" w:hAnsi="Arial" w:cs="Arial"/>
                <w:szCs w:val="20"/>
              </w:rPr>
            </w:pPr>
            <w:r>
              <w:rPr>
                <w:rFonts w:ascii="Arial" w:hAnsi="Arial" w:cs="Arial"/>
                <w:szCs w:val="20"/>
              </w:rPr>
              <w:t>18-24*</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2DC80E17" w14:textId="108A5C61">
            <w:pPr>
              <w:pStyle w:val="TableTextCentered"/>
              <w:rPr>
                <w:rFonts w:ascii="Arial" w:hAnsi="Arial" w:cs="Arial"/>
                <w:szCs w:val="20"/>
              </w:rPr>
            </w:pPr>
            <w:r w:rsidRPr="00B06A68">
              <w:rPr>
                <w:rFonts w:ascii="Arial" w:hAnsi="Arial" w:cs="Arial"/>
                <w:szCs w:val="20"/>
              </w:rPr>
              <w:t>0.471</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6ED16304" w14:textId="2706A26C">
            <w:pPr>
              <w:pStyle w:val="TableTextCentered"/>
              <w:rPr>
                <w:rFonts w:ascii="Arial" w:hAnsi="Arial" w:cs="Arial"/>
                <w:szCs w:val="20"/>
              </w:rPr>
            </w:pPr>
            <w:r w:rsidRPr="00B06A68">
              <w:rPr>
                <w:rFonts w:ascii="Arial" w:hAnsi="Arial" w:cs="Arial"/>
                <w:szCs w:val="20"/>
              </w:rPr>
              <w:t>0.443</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71D08869" w14:textId="4491D104">
            <w:pPr>
              <w:pStyle w:val="TableTextCentered"/>
              <w:rPr>
                <w:rFonts w:ascii="Arial" w:hAnsi="Arial" w:cs="Arial"/>
                <w:szCs w:val="20"/>
              </w:rPr>
            </w:pPr>
            <w:r w:rsidRPr="000621C4">
              <w:rPr>
                <w:rFonts w:ascii="Arial" w:hAnsi="Arial" w:cs="Arial"/>
                <w:szCs w:val="20"/>
              </w:rPr>
              <w:t>0.501</w:t>
            </w:r>
          </w:p>
        </w:tc>
      </w:tr>
      <w:tr w:rsidR="000959DE" w:rsidTr="000959DE" w14:paraId="33D76E0D" w14:textId="77777777">
        <w:trPr>
          <w:cantSplit/>
        </w:trPr>
        <w:tc>
          <w:tcPr>
            <w:tcW w:w="0" w:type="auto"/>
            <w:tcBorders>
              <w:top w:val="single" w:color="003D6F" w:sz="6" w:space="0"/>
              <w:left w:val="single" w:color="003D6F" w:sz="6" w:space="0"/>
              <w:bottom w:val="single" w:color="003D6F" w:sz="6" w:space="0"/>
              <w:right w:val="single" w:color="003D6F" w:sz="6" w:space="0"/>
            </w:tcBorders>
            <w:hideMark/>
          </w:tcPr>
          <w:p w:rsidR="000959DE" w:rsidP="000959DE" w:rsidRDefault="000959DE" w14:paraId="007B88C2" w14:textId="77777777">
            <w:pPr>
              <w:pStyle w:val="TableTextIndent"/>
              <w:rPr>
                <w:rFonts w:ascii="Arial" w:hAnsi="Arial" w:cs="Arial"/>
                <w:szCs w:val="20"/>
              </w:rPr>
            </w:pPr>
            <w:r>
              <w:rPr>
                <w:rFonts w:ascii="Arial" w:hAnsi="Arial" w:cs="Arial"/>
                <w:szCs w:val="20"/>
              </w:rPr>
              <w:t>25-34*</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1E3A2257" w14:textId="290C60BE">
            <w:pPr>
              <w:pStyle w:val="TableTextCentered"/>
              <w:rPr>
                <w:rFonts w:ascii="Arial" w:hAnsi="Arial" w:cs="Arial"/>
                <w:szCs w:val="20"/>
              </w:rPr>
            </w:pPr>
            <w:r w:rsidRPr="00B06A68">
              <w:rPr>
                <w:rFonts w:ascii="Arial" w:hAnsi="Arial" w:cs="Arial"/>
                <w:szCs w:val="20"/>
              </w:rPr>
              <w:t>0.555</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37442F5C" w14:textId="5AE82E24">
            <w:pPr>
              <w:pStyle w:val="TableTextCentered"/>
              <w:rPr>
                <w:rFonts w:ascii="Arial" w:hAnsi="Arial" w:cs="Arial"/>
                <w:szCs w:val="20"/>
              </w:rPr>
            </w:pPr>
            <w:r w:rsidRPr="00B06A68">
              <w:rPr>
                <w:rFonts w:ascii="Arial" w:hAnsi="Arial" w:cs="Arial"/>
                <w:szCs w:val="20"/>
              </w:rPr>
              <w:t>0.523</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4DD9B3E6" w14:textId="183F021B">
            <w:pPr>
              <w:pStyle w:val="TableTextCentered"/>
              <w:rPr>
                <w:rFonts w:ascii="Arial" w:hAnsi="Arial" w:cs="Arial"/>
                <w:szCs w:val="20"/>
              </w:rPr>
            </w:pPr>
            <w:r w:rsidRPr="000621C4">
              <w:rPr>
                <w:rFonts w:ascii="Arial" w:hAnsi="Arial" w:cs="Arial"/>
                <w:szCs w:val="20"/>
              </w:rPr>
              <w:t>0.590</w:t>
            </w:r>
          </w:p>
        </w:tc>
      </w:tr>
      <w:tr w:rsidR="000959DE" w:rsidTr="000959DE" w14:paraId="75BD5E56" w14:textId="77777777">
        <w:trPr>
          <w:cantSplit/>
        </w:trPr>
        <w:tc>
          <w:tcPr>
            <w:tcW w:w="0" w:type="auto"/>
            <w:tcBorders>
              <w:top w:val="single" w:color="003D6F" w:sz="6" w:space="0"/>
              <w:left w:val="single" w:color="003D6F" w:sz="6" w:space="0"/>
              <w:bottom w:val="single" w:color="003D6F" w:sz="6" w:space="0"/>
              <w:right w:val="single" w:color="003D6F" w:sz="6" w:space="0"/>
            </w:tcBorders>
            <w:hideMark/>
          </w:tcPr>
          <w:p w:rsidR="000959DE" w:rsidP="000959DE" w:rsidRDefault="000959DE" w14:paraId="6AA5A6FC" w14:textId="77777777">
            <w:pPr>
              <w:pStyle w:val="TableTextIndent"/>
              <w:rPr>
                <w:rFonts w:ascii="Arial" w:hAnsi="Arial" w:cs="Arial"/>
                <w:szCs w:val="20"/>
              </w:rPr>
            </w:pPr>
            <w:r>
              <w:rPr>
                <w:rFonts w:ascii="Arial" w:hAnsi="Arial" w:cs="Arial"/>
                <w:szCs w:val="20"/>
              </w:rPr>
              <w:t>35-44*</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70040F93" w14:textId="44409648">
            <w:pPr>
              <w:pStyle w:val="TableTextCentered"/>
              <w:rPr>
                <w:rFonts w:ascii="Arial" w:hAnsi="Arial" w:cs="Arial"/>
                <w:szCs w:val="20"/>
              </w:rPr>
            </w:pPr>
            <w:r w:rsidRPr="00B06A68">
              <w:rPr>
                <w:rFonts w:ascii="Arial" w:hAnsi="Arial" w:cs="Arial"/>
                <w:szCs w:val="20"/>
              </w:rPr>
              <w:t>0.709</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66D6682C" w14:textId="7CD22524">
            <w:pPr>
              <w:pStyle w:val="TableTextCentered"/>
              <w:rPr>
                <w:rFonts w:ascii="Arial" w:hAnsi="Arial" w:cs="Arial"/>
                <w:szCs w:val="20"/>
              </w:rPr>
            </w:pPr>
            <w:r w:rsidRPr="00B06A68">
              <w:rPr>
                <w:rFonts w:ascii="Arial" w:hAnsi="Arial" w:cs="Arial"/>
                <w:szCs w:val="20"/>
              </w:rPr>
              <w:t>0.667</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4A673DDF" w14:textId="24E7BFE1">
            <w:pPr>
              <w:pStyle w:val="TableTextCentered"/>
              <w:rPr>
                <w:rFonts w:ascii="Arial" w:hAnsi="Arial" w:cs="Arial"/>
                <w:szCs w:val="20"/>
              </w:rPr>
            </w:pPr>
            <w:r w:rsidRPr="00B06A68">
              <w:rPr>
                <w:rFonts w:ascii="Arial" w:hAnsi="Arial" w:cs="Arial"/>
                <w:szCs w:val="20"/>
              </w:rPr>
              <w:t>0.753</w:t>
            </w:r>
          </w:p>
        </w:tc>
      </w:tr>
      <w:tr w:rsidR="000959DE" w:rsidTr="000959DE" w14:paraId="65756048" w14:textId="77777777">
        <w:trPr>
          <w:cantSplit/>
        </w:trPr>
        <w:tc>
          <w:tcPr>
            <w:tcW w:w="0" w:type="auto"/>
            <w:tcBorders>
              <w:top w:val="single" w:color="003D6F" w:sz="6" w:space="0"/>
              <w:left w:val="single" w:color="003D6F" w:sz="6" w:space="0"/>
              <w:bottom w:val="single" w:color="003D6F" w:sz="6" w:space="0"/>
              <w:right w:val="single" w:color="003D6F" w:sz="6" w:space="0"/>
            </w:tcBorders>
            <w:hideMark/>
          </w:tcPr>
          <w:p w:rsidR="000959DE" w:rsidP="000959DE" w:rsidRDefault="000959DE" w14:paraId="7CD910A2" w14:textId="77777777">
            <w:pPr>
              <w:pStyle w:val="TableTextIndent"/>
              <w:rPr>
                <w:rFonts w:ascii="Arial" w:hAnsi="Arial" w:cs="Arial"/>
                <w:szCs w:val="20"/>
              </w:rPr>
            </w:pPr>
            <w:r>
              <w:rPr>
                <w:rFonts w:ascii="Arial" w:hAnsi="Arial" w:cs="Arial"/>
                <w:szCs w:val="20"/>
              </w:rPr>
              <w:t>55-64*</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2E601FBF" w14:textId="69B8E07F">
            <w:pPr>
              <w:pStyle w:val="TableTextCentered"/>
              <w:rPr>
                <w:rFonts w:ascii="Arial" w:hAnsi="Arial" w:cs="Arial"/>
                <w:szCs w:val="20"/>
              </w:rPr>
            </w:pPr>
            <w:r w:rsidRPr="00B06A68">
              <w:rPr>
                <w:rFonts w:ascii="Arial" w:hAnsi="Arial" w:cs="Arial"/>
                <w:szCs w:val="20"/>
              </w:rPr>
              <w:t>1.715</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38AEB6D5" w14:textId="74894618">
            <w:pPr>
              <w:pStyle w:val="TableTextCentered"/>
              <w:rPr>
                <w:rFonts w:ascii="Arial" w:hAnsi="Arial" w:cs="Arial"/>
                <w:szCs w:val="20"/>
              </w:rPr>
            </w:pPr>
            <w:r w:rsidRPr="000621C4">
              <w:rPr>
                <w:rFonts w:ascii="Arial" w:hAnsi="Arial" w:cs="Arial"/>
                <w:szCs w:val="20"/>
              </w:rPr>
              <w:t>1.616</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21A8D80E" w14:textId="5152FE61">
            <w:pPr>
              <w:pStyle w:val="TableTextCentered"/>
              <w:rPr>
                <w:rFonts w:ascii="Arial" w:hAnsi="Arial" w:cs="Arial"/>
                <w:szCs w:val="20"/>
              </w:rPr>
            </w:pPr>
            <w:r w:rsidRPr="00B06A68">
              <w:rPr>
                <w:rFonts w:ascii="Arial" w:hAnsi="Arial" w:cs="Arial"/>
                <w:szCs w:val="20"/>
              </w:rPr>
              <w:t>1.821</w:t>
            </w:r>
          </w:p>
        </w:tc>
      </w:tr>
      <w:tr w:rsidR="000959DE" w:rsidTr="000959DE" w14:paraId="36F8A184" w14:textId="77777777">
        <w:trPr>
          <w:cantSplit/>
        </w:trPr>
        <w:tc>
          <w:tcPr>
            <w:tcW w:w="0" w:type="auto"/>
            <w:tcBorders>
              <w:top w:val="single" w:color="003D6F" w:sz="6" w:space="0"/>
              <w:left w:val="single" w:color="003D6F" w:sz="6" w:space="0"/>
              <w:bottom w:val="single" w:color="003D6F" w:sz="6" w:space="0"/>
              <w:right w:val="single" w:color="003D6F" w:sz="6" w:space="0"/>
            </w:tcBorders>
            <w:hideMark/>
          </w:tcPr>
          <w:p w:rsidR="000959DE" w:rsidP="000959DE" w:rsidRDefault="000959DE" w14:paraId="62FBAA22" w14:textId="77777777">
            <w:pPr>
              <w:pStyle w:val="TableTextIndent"/>
              <w:rPr>
                <w:rFonts w:ascii="Arial" w:hAnsi="Arial" w:cs="Arial"/>
                <w:szCs w:val="20"/>
              </w:rPr>
            </w:pPr>
            <w:r>
              <w:rPr>
                <w:rFonts w:ascii="Arial" w:hAnsi="Arial" w:cs="Arial"/>
                <w:szCs w:val="20"/>
              </w:rPr>
              <w:t>65 or older*</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6BBABD7B" w14:textId="77F5AC39">
            <w:pPr>
              <w:pStyle w:val="TableTextCentered"/>
              <w:rPr>
                <w:rFonts w:ascii="Arial" w:hAnsi="Arial" w:cs="Arial"/>
                <w:szCs w:val="20"/>
              </w:rPr>
            </w:pPr>
            <w:r w:rsidRPr="000621C4">
              <w:rPr>
                <w:rFonts w:ascii="Arial" w:hAnsi="Arial" w:cs="Arial"/>
                <w:szCs w:val="20"/>
              </w:rPr>
              <w:t>1.346</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7603FD6F" w14:textId="26DCF082">
            <w:pPr>
              <w:pStyle w:val="TableTextCentered"/>
              <w:rPr>
                <w:rFonts w:ascii="Arial" w:hAnsi="Arial" w:cs="Arial"/>
                <w:szCs w:val="20"/>
              </w:rPr>
            </w:pPr>
            <w:r w:rsidRPr="00B06A68">
              <w:rPr>
                <w:rFonts w:ascii="Arial" w:hAnsi="Arial" w:cs="Arial"/>
                <w:szCs w:val="20"/>
              </w:rPr>
              <w:t>1.249</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121E7EF1" w14:textId="050370FD">
            <w:pPr>
              <w:pStyle w:val="TableTextCentered"/>
              <w:rPr>
                <w:rFonts w:ascii="Arial" w:hAnsi="Arial" w:cs="Arial"/>
                <w:szCs w:val="20"/>
              </w:rPr>
            </w:pPr>
            <w:r w:rsidRPr="000621C4">
              <w:rPr>
                <w:rFonts w:ascii="Arial" w:hAnsi="Arial" w:cs="Arial"/>
                <w:szCs w:val="20"/>
              </w:rPr>
              <w:t>1.452</w:t>
            </w:r>
          </w:p>
        </w:tc>
      </w:tr>
      <w:tr w:rsidR="000959DE" w:rsidTr="000959DE" w14:paraId="445DEB47" w14:textId="77777777">
        <w:trPr>
          <w:cantSplit/>
        </w:trPr>
        <w:tc>
          <w:tcPr>
            <w:tcW w:w="0" w:type="auto"/>
            <w:tcBorders>
              <w:top w:val="single" w:color="003D6F" w:sz="6" w:space="0"/>
              <w:left w:val="single" w:color="003D6F" w:sz="6" w:space="0"/>
              <w:bottom w:val="single" w:color="003D6F" w:sz="6" w:space="0"/>
              <w:right w:val="single" w:color="003D6F" w:sz="6" w:space="0"/>
            </w:tcBorders>
            <w:shd w:val="clear" w:color="auto" w:fill="DBE5F1" w:themeFill="accent1" w:themeFillTint="33"/>
            <w:hideMark/>
          </w:tcPr>
          <w:p w:rsidR="000959DE" w:rsidP="000959DE" w:rsidRDefault="000959DE" w14:paraId="7B59271B" w14:textId="77777777">
            <w:pPr>
              <w:rPr>
                <w:rFonts w:ascii="Arial" w:hAnsi="Arial" w:eastAsia="MS Mincho" w:cs="Arial"/>
                <w:i/>
                <w:sz w:val="20"/>
                <w:szCs w:val="20"/>
              </w:rPr>
            </w:pPr>
            <w:r>
              <w:rPr>
                <w:rFonts w:ascii="Arial" w:hAnsi="Arial" w:eastAsia="MS Mincho" w:cs="Arial"/>
                <w:b/>
                <w:sz w:val="20"/>
                <w:szCs w:val="20"/>
              </w:rPr>
              <w:t>Metal Level</w:t>
            </w:r>
            <w:r>
              <w:rPr>
                <w:rFonts w:ascii="Arial" w:hAnsi="Arial" w:eastAsia="MS Mincho" w:cs="Arial"/>
                <w:i/>
                <w:sz w:val="20"/>
                <w:szCs w:val="20"/>
              </w:rPr>
              <w:t xml:space="preserve"> (Ref: Silver)</w:t>
            </w:r>
          </w:p>
        </w:tc>
        <w:tc>
          <w:tcPr>
            <w:tcW w:w="0" w:type="auto"/>
            <w:tcBorders>
              <w:top w:val="single" w:color="003D6F" w:sz="6" w:space="0"/>
              <w:left w:val="single" w:color="003D6F" w:sz="6" w:space="0"/>
              <w:bottom w:val="single" w:color="003D6F" w:sz="6" w:space="0"/>
              <w:right w:val="single" w:color="003D6F" w:sz="6" w:space="0"/>
            </w:tcBorders>
            <w:shd w:val="clear" w:color="auto" w:fill="DBE5F1" w:themeFill="accent1" w:themeFillTint="33"/>
          </w:tcPr>
          <w:p w:rsidRPr="000959DE" w:rsidR="000959DE" w:rsidP="000959DE" w:rsidRDefault="000959DE" w14:paraId="263E3511" w14:textId="77777777">
            <w:pPr>
              <w:jc w:val="center"/>
              <w:rPr>
                <w:rFonts w:ascii="Arial" w:hAnsi="Arial" w:cs="Arial"/>
                <w:sz w:val="20"/>
                <w:szCs w:val="20"/>
              </w:rPr>
            </w:pPr>
          </w:p>
        </w:tc>
        <w:tc>
          <w:tcPr>
            <w:tcW w:w="0" w:type="auto"/>
            <w:tcBorders>
              <w:top w:val="single" w:color="003D6F" w:sz="6" w:space="0"/>
              <w:left w:val="single" w:color="003D6F" w:sz="6" w:space="0"/>
              <w:bottom w:val="single" w:color="003D6F" w:sz="6" w:space="0"/>
              <w:right w:val="single" w:color="003D6F" w:sz="6" w:space="0"/>
            </w:tcBorders>
            <w:shd w:val="clear" w:color="auto" w:fill="DBE5F1" w:themeFill="accent1" w:themeFillTint="33"/>
          </w:tcPr>
          <w:p w:rsidRPr="000959DE" w:rsidR="000959DE" w:rsidP="000959DE" w:rsidRDefault="000959DE" w14:paraId="3B868333" w14:textId="77777777">
            <w:pPr>
              <w:jc w:val="center"/>
              <w:rPr>
                <w:rFonts w:ascii="Arial" w:hAnsi="Arial" w:cs="Arial"/>
                <w:sz w:val="20"/>
                <w:szCs w:val="20"/>
              </w:rPr>
            </w:pPr>
          </w:p>
        </w:tc>
        <w:tc>
          <w:tcPr>
            <w:tcW w:w="0" w:type="auto"/>
            <w:tcBorders>
              <w:top w:val="single" w:color="003D6F" w:sz="6" w:space="0"/>
              <w:left w:val="single" w:color="003D6F" w:sz="6" w:space="0"/>
              <w:bottom w:val="single" w:color="003D6F" w:sz="6" w:space="0"/>
              <w:right w:val="single" w:color="003D6F" w:sz="6" w:space="0"/>
            </w:tcBorders>
            <w:shd w:val="clear" w:color="auto" w:fill="DBE5F1" w:themeFill="accent1" w:themeFillTint="33"/>
          </w:tcPr>
          <w:p w:rsidRPr="000959DE" w:rsidR="000959DE" w:rsidP="000959DE" w:rsidRDefault="000959DE" w14:paraId="326413F2" w14:textId="77777777">
            <w:pPr>
              <w:jc w:val="center"/>
              <w:rPr>
                <w:rFonts w:ascii="Arial" w:hAnsi="Arial" w:cs="Arial"/>
                <w:sz w:val="20"/>
                <w:szCs w:val="20"/>
              </w:rPr>
            </w:pPr>
          </w:p>
        </w:tc>
      </w:tr>
      <w:tr w:rsidR="000959DE" w:rsidTr="000959DE" w14:paraId="48413B7E" w14:textId="77777777">
        <w:trPr>
          <w:cantSplit/>
        </w:trPr>
        <w:tc>
          <w:tcPr>
            <w:tcW w:w="0" w:type="auto"/>
            <w:tcBorders>
              <w:top w:val="single" w:color="003D6F" w:sz="6" w:space="0"/>
              <w:left w:val="single" w:color="003D6F" w:sz="6" w:space="0"/>
              <w:bottom w:val="single" w:color="003D6F" w:sz="6" w:space="0"/>
              <w:right w:val="single" w:color="003D6F" w:sz="6" w:space="0"/>
            </w:tcBorders>
            <w:hideMark/>
          </w:tcPr>
          <w:p w:rsidR="000959DE" w:rsidP="000959DE" w:rsidRDefault="000959DE" w14:paraId="6217DDC1" w14:textId="70125181">
            <w:pPr>
              <w:pStyle w:val="TableTextIndent"/>
              <w:rPr>
                <w:rFonts w:ascii="Arial" w:hAnsi="Arial" w:cs="Arial"/>
                <w:szCs w:val="20"/>
              </w:rPr>
            </w:pPr>
            <w:r>
              <w:rPr>
                <w:rFonts w:ascii="Arial" w:hAnsi="Arial" w:cs="Arial"/>
                <w:szCs w:val="20"/>
              </w:rPr>
              <w:t>Catastrophic</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48A32295" w14:textId="09CDB987">
            <w:pPr>
              <w:pStyle w:val="TableTextCentered"/>
              <w:rPr>
                <w:rFonts w:ascii="Arial" w:hAnsi="Arial" w:cs="Arial"/>
                <w:szCs w:val="20"/>
              </w:rPr>
            </w:pPr>
            <w:r w:rsidRPr="00B04F0A">
              <w:rPr>
                <w:rFonts w:ascii="Arial" w:hAnsi="Arial" w:cs="Arial"/>
                <w:szCs w:val="20"/>
              </w:rPr>
              <w:t>0.890</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3572966E" w14:textId="345326AB">
            <w:pPr>
              <w:pStyle w:val="TableTextCentered"/>
              <w:rPr>
                <w:rFonts w:ascii="Arial" w:hAnsi="Arial" w:cs="Arial"/>
                <w:szCs w:val="20"/>
              </w:rPr>
            </w:pPr>
            <w:r w:rsidRPr="00B06A68">
              <w:rPr>
                <w:rFonts w:ascii="Arial" w:hAnsi="Arial" w:cs="Arial"/>
                <w:szCs w:val="20"/>
              </w:rPr>
              <w:t>0.747</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0801CDCF" w14:textId="74FF318E">
            <w:pPr>
              <w:pStyle w:val="TableTextCentered"/>
              <w:rPr>
                <w:rFonts w:ascii="Arial" w:hAnsi="Arial" w:cs="Arial"/>
                <w:szCs w:val="20"/>
              </w:rPr>
            </w:pPr>
            <w:r w:rsidRPr="000621C4">
              <w:rPr>
                <w:rFonts w:ascii="Arial" w:hAnsi="Arial" w:cs="Arial"/>
                <w:szCs w:val="20"/>
              </w:rPr>
              <w:t>1.060</w:t>
            </w:r>
          </w:p>
        </w:tc>
      </w:tr>
      <w:tr w:rsidR="000959DE" w:rsidTr="000959DE" w14:paraId="5F1C3B0F" w14:textId="77777777">
        <w:trPr>
          <w:cantSplit/>
        </w:trPr>
        <w:tc>
          <w:tcPr>
            <w:tcW w:w="0" w:type="auto"/>
            <w:tcBorders>
              <w:top w:val="single" w:color="003D6F" w:sz="6" w:space="0"/>
              <w:left w:val="single" w:color="003D6F" w:sz="6" w:space="0"/>
              <w:bottom w:val="single" w:color="003D6F" w:sz="6" w:space="0"/>
              <w:right w:val="single" w:color="003D6F" w:sz="6" w:space="0"/>
            </w:tcBorders>
            <w:hideMark/>
          </w:tcPr>
          <w:p w:rsidR="000959DE" w:rsidP="000959DE" w:rsidRDefault="000959DE" w14:paraId="09941A95" w14:textId="7D1D00B4">
            <w:pPr>
              <w:pStyle w:val="TableTextIndent"/>
              <w:rPr>
                <w:rFonts w:ascii="Arial" w:hAnsi="Arial" w:cs="Arial"/>
                <w:szCs w:val="20"/>
              </w:rPr>
            </w:pPr>
            <w:r>
              <w:rPr>
                <w:rFonts w:ascii="Arial" w:hAnsi="Arial" w:cs="Arial"/>
                <w:szCs w:val="20"/>
              </w:rPr>
              <w:t>Bronze</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11CC7663" w14:textId="5CB0FDCA">
            <w:pPr>
              <w:pStyle w:val="TableTextCentered"/>
              <w:rPr>
                <w:rFonts w:ascii="Arial" w:hAnsi="Arial" w:cs="Arial"/>
                <w:szCs w:val="20"/>
              </w:rPr>
            </w:pPr>
            <w:r w:rsidRPr="00B06A68">
              <w:rPr>
                <w:rFonts w:ascii="Arial" w:hAnsi="Arial" w:cs="Arial"/>
                <w:szCs w:val="20"/>
              </w:rPr>
              <w:t>0.888</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6BE6668A" w14:textId="0D0506BA">
            <w:pPr>
              <w:pStyle w:val="TableTextCentered"/>
              <w:rPr>
                <w:rFonts w:ascii="Arial" w:hAnsi="Arial" w:cs="Arial"/>
                <w:szCs w:val="20"/>
              </w:rPr>
            </w:pPr>
            <w:r w:rsidRPr="000621C4">
              <w:rPr>
                <w:rFonts w:ascii="Arial" w:hAnsi="Arial" w:cs="Arial"/>
                <w:szCs w:val="20"/>
              </w:rPr>
              <w:t>0.746</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00F8AD47" w14:textId="14DFC6F8">
            <w:pPr>
              <w:pStyle w:val="TableTextCentered"/>
              <w:rPr>
                <w:rFonts w:ascii="Arial" w:hAnsi="Arial" w:cs="Arial"/>
                <w:szCs w:val="20"/>
              </w:rPr>
            </w:pPr>
            <w:r w:rsidRPr="000621C4">
              <w:rPr>
                <w:rFonts w:ascii="Arial" w:hAnsi="Arial" w:cs="Arial"/>
                <w:szCs w:val="20"/>
              </w:rPr>
              <w:t>1.057</w:t>
            </w:r>
          </w:p>
        </w:tc>
      </w:tr>
      <w:tr w:rsidR="000959DE" w:rsidTr="000959DE" w14:paraId="23EEE270" w14:textId="77777777">
        <w:trPr>
          <w:cantSplit/>
        </w:trPr>
        <w:tc>
          <w:tcPr>
            <w:tcW w:w="0" w:type="auto"/>
            <w:tcBorders>
              <w:top w:val="single" w:color="003D6F" w:sz="6" w:space="0"/>
              <w:left w:val="single" w:color="003D6F" w:sz="6" w:space="0"/>
              <w:bottom w:val="single" w:color="003D6F" w:sz="6" w:space="0"/>
              <w:right w:val="single" w:color="003D6F" w:sz="6" w:space="0"/>
            </w:tcBorders>
            <w:hideMark/>
          </w:tcPr>
          <w:p w:rsidR="000959DE" w:rsidP="000959DE" w:rsidRDefault="000959DE" w14:paraId="5912861E" w14:textId="77777777">
            <w:pPr>
              <w:pStyle w:val="TableTextIndent"/>
              <w:rPr>
                <w:rFonts w:ascii="Arial" w:hAnsi="Arial" w:cs="Arial"/>
                <w:szCs w:val="20"/>
              </w:rPr>
            </w:pPr>
            <w:r>
              <w:rPr>
                <w:rFonts w:ascii="Arial" w:hAnsi="Arial" w:cs="Arial"/>
                <w:szCs w:val="20"/>
              </w:rPr>
              <w:t>Gold*</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36AFFFC5" w14:textId="67E0D0D0">
            <w:pPr>
              <w:pStyle w:val="TableTextCentered"/>
              <w:rPr>
                <w:rFonts w:ascii="Arial" w:hAnsi="Arial" w:cs="Arial"/>
                <w:szCs w:val="20"/>
              </w:rPr>
            </w:pPr>
            <w:r w:rsidRPr="00B06A68">
              <w:rPr>
                <w:rFonts w:ascii="Arial" w:hAnsi="Arial" w:cs="Arial"/>
                <w:szCs w:val="20"/>
              </w:rPr>
              <w:t>0.840</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18F3FE5D" w14:textId="36B7A8A9">
            <w:pPr>
              <w:pStyle w:val="TableTextCentered"/>
              <w:rPr>
                <w:rFonts w:ascii="Arial" w:hAnsi="Arial" w:cs="Arial"/>
                <w:szCs w:val="20"/>
              </w:rPr>
            </w:pPr>
            <w:r w:rsidRPr="00B06A68">
              <w:rPr>
                <w:rFonts w:ascii="Arial" w:hAnsi="Arial" w:cs="Arial"/>
                <w:szCs w:val="20"/>
              </w:rPr>
              <w:t>0.706</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6371E86F" w14:textId="3ECE20DA">
            <w:pPr>
              <w:pStyle w:val="TableTextCentered"/>
              <w:rPr>
                <w:rFonts w:ascii="Arial" w:hAnsi="Arial" w:cs="Arial"/>
                <w:szCs w:val="20"/>
              </w:rPr>
            </w:pPr>
            <w:r w:rsidRPr="00B06A68">
              <w:rPr>
                <w:rFonts w:ascii="Arial" w:hAnsi="Arial" w:cs="Arial"/>
                <w:szCs w:val="20"/>
              </w:rPr>
              <w:t>0.999</w:t>
            </w:r>
          </w:p>
        </w:tc>
      </w:tr>
      <w:tr w:rsidR="000959DE" w:rsidTr="000959DE" w14:paraId="3963FE2A" w14:textId="77777777">
        <w:trPr>
          <w:cantSplit/>
        </w:trPr>
        <w:tc>
          <w:tcPr>
            <w:tcW w:w="0" w:type="auto"/>
            <w:tcBorders>
              <w:top w:val="single" w:color="003D6F" w:sz="6" w:space="0"/>
              <w:left w:val="single" w:color="003D6F" w:sz="6" w:space="0"/>
              <w:bottom w:val="single" w:color="003D6F" w:sz="6" w:space="0"/>
              <w:right w:val="single" w:color="003D6F" w:sz="6" w:space="0"/>
            </w:tcBorders>
            <w:hideMark/>
          </w:tcPr>
          <w:p w:rsidR="000959DE" w:rsidP="000959DE" w:rsidRDefault="000959DE" w14:paraId="1E719CAF" w14:textId="77777777">
            <w:pPr>
              <w:pStyle w:val="TableTextIndent"/>
              <w:rPr>
                <w:rFonts w:ascii="Arial" w:hAnsi="Arial" w:cs="Arial"/>
                <w:szCs w:val="20"/>
              </w:rPr>
            </w:pPr>
            <w:r>
              <w:rPr>
                <w:rFonts w:ascii="Arial" w:hAnsi="Arial" w:cs="Arial"/>
                <w:szCs w:val="20"/>
              </w:rPr>
              <w:t>Platinum*</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0794AFAF" w14:textId="04CF33A6">
            <w:pPr>
              <w:pStyle w:val="TableTextCentered"/>
              <w:rPr>
                <w:rFonts w:ascii="Arial" w:hAnsi="Arial" w:cs="Arial"/>
                <w:szCs w:val="20"/>
              </w:rPr>
            </w:pPr>
            <w:r w:rsidRPr="00B06A68">
              <w:rPr>
                <w:rFonts w:ascii="Arial" w:hAnsi="Arial" w:cs="Arial"/>
                <w:szCs w:val="20"/>
              </w:rPr>
              <w:t>0.796</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6E247256" w14:textId="1BFD22BA">
            <w:pPr>
              <w:pStyle w:val="TableTextCentered"/>
              <w:rPr>
                <w:rFonts w:ascii="Arial" w:hAnsi="Arial" w:cs="Arial"/>
                <w:szCs w:val="20"/>
              </w:rPr>
            </w:pPr>
            <w:r w:rsidRPr="00B06A68">
              <w:rPr>
                <w:rFonts w:ascii="Arial" w:hAnsi="Arial" w:cs="Arial"/>
                <w:szCs w:val="20"/>
              </w:rPr>
              <w:t>0.658</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07433C11" w14:textId="5929EE9E">
            <w:pPr>
              <w:pStyle w:val="TableTextCentered"/>
              <w:rPr>
                <w:rFonts w:ascii="Arial" w:hAnsi="Arial" w:cs="Arial"/>
                <w:szCs w:val="20"/>
              </w:rPr>
            </w:pPr>
            <w:r w:rsidRPr="00B06A68">
              <w:rPr>
                <w:rFonts w:ascii="Arial" w:hAnsi="Arial" w:cs="Arial"/>
                <w:szCs w:val="20"/>
              </w:rPr>
              <w:t>0.964</w:t>
            </w:r>
          </w:p>
        </w:tc>
      </w:tr>
      <w:tr w:rsidR="000959DE" w:rsidTr="000959DE" w14:paraId="62245773" w14:textId="77777777">
        <w:trPr>
          <w:cantSplit/>
        </w:trPr>
        <w:tc>
          <w:tcPr>
            <w:tcW w:w="0" w:type="auto"/>
            <w:tcBorders>
              <w:top w:val="single" w:color="003D6F" w:sz="6" w:space="0"/>
              <w:left w:val="single" w:color="003D6F" w:sz="6" w:space="0"/>
              <w:bottom w:val="single" w:color="003D6F" w:sz="6" w:space="0"/>
              <w:right w:val="single" w:color="003D6F" w:sz="6" w:space="0"/>
            </w:tcBorders>
            <w:hideMark/>
          </w:tcPr>
          <w:p w:rsidR="000959DE" w:rsidP="000959DE" w:rsidRDefault="000959DE" w14:paraId="4C1A6E9E" w14:textId="38B41451">
            <w:pPr>
              <w:pStyle w:val="TableTextIndent"/>
              <w:rPr>
                <w:rFonts w:ascii="Arial" w:hAnsi="Arial" w:cs="Arial"/>
                <w:szCs w:val="20"/>
              </w:rPr>
            </w:pPr>
            <w:r>
              <w:rPr>
                <w:rFonts w:ascii="Arial" w:hAnsi="Arial" w:cs="Arial"/>
                <w:szCs w:val="20"/>
              </w:rPr>
              <w:t>Missing</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2D1289AD" w14:textId="77777777">
            <w:pPr>
              <w:pStyle w:val="TableTextCentered"/>
              <w:rPr>
                <w:rFonts w:ascii="Arial" w:hAnsi="Arial" w:cs="Arial"/>
                <w:szCs w:val="20"/>
              </w:rPr>
            </w:pPr>
            <w:r w:rsidRPr="000959DE">
              <w:rPr>
                <w:rFonts w:ascii="Arial" w:hAnsi="Arial" w:cs="Arial"/>
                <w:szCs w:val="20"/>
              </w:rPr>
              <w:t>0.894</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3B38895D" w14:textId="77777777">
            <w:pPr>
              <w:pStyle w:val="TableTextCentered"/>
              <w:rPr>
                <w:rFonts w:ascii="Arial" w:hAnsi="Arial" w:cs="Arial"/>
                <w:szCs w:val="20"/>
              </w:rPr>
            </w:pPr>
            <w:r w:rsidRPr="000959DE">
              <w:rPr>
                <w:rFonts w:ascii="Arial" w:hAnsi="Arial" w:cs="Arial"/>
                <w:szCs w:val="20"/>
              </w:rPr>
              <w:t>0.727</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02FA949F" w14:textId="6F7C36FF">
            <w:pPr>
              <w:pStyle w:val="TableTextCentered"/>
              <w:rPr>
                <w:rFonts w:ascii="Arial" w:hAnsi="Arial" w:cs="Arial"/>
                <w:szCs w:val="20"/>
              </w:rPr>
            </w:pPr>
            <w:r w:rsidRPr="00B06A68">
              <w:rPr>
                <w:rFonts w:ascii="Arial" w:hAnsi="Arial" w:cs="Arial"/>
              </w:rPr>
              <w:t>1.098</w:t>
            </w:r>
          </w:p>
        </w:tc>
      </w:tr>
      <w:tr w:rsidR="000959DE" w:rsidTr="000959DE" w14:paraId="0E4D307B" w14:textId="77777777">
        <w:trPr>
          <w:cantSplit/>
        </w:trPr>
        <w:tc>
          <w:tcPr>
            <w:tcW w:w="0" w:type="auto"/>
            <w:tcBorders>
              <w:top w:val="single" w:color="003D6F" w:sz="6" w:space="0"/>
              <w:left w:val="single" w:color="003D6F" w:sz="6" w:space="0"/>
              <w:bottom w:val="single" w:color="003D6F" w:sz="6" w:space="0"/>
              <w:right w:val="single" w:color="003D6F" w:sz="6" w:space="0"/>
            </w:tcBorders>
            <w:shd w:val="clear" w:color="auto" w:fill="DBE5F1" w:themeFill="accent1" w:themeFillTint="33"/>
            <w:hideMark/>
          </w:tcPr>
          <w:p w:rsidR="000959DE" w:rsidP="000959DE" w:rsidRDefault="000959DE" w14:paraId="273BBFC2" w14:textId="77777777">
            <w:pPr>
              <w:rPr>
                <w:rFonts w:ascii="Arial" w:hAnsi="Arial" w:cs="Arial"/>
                <w:i/>
                <w:sz w:val="20"/>
                <w:szCs w:val="20"/>
              </w:rPr>
            </w:pPr>
            <w:r>
              <w:rPr>
                <w:rFonts w:ascii="Arial" w:hAnsi="Arial" w:eastAsia="MS Mincho" w:cs="Arial"/>
                <w:b/>
                <w:sz w:val="20"/>
                <w:szCs w:val="20"/>
              </w:rPr>
              <w:t>Census Division</w:t>
            </w:r>
            <w:r>
              <w:rPr>
                <w:rFonts w:ascii="Arial" w:hAnsi="Arial" w:eastAsia="MS Mincho" w:cs="Arial"/>
                <w:i/>
                <w:sz w:val="20"/>
                <w:szCs w:val="20"/>
              </w:rPr>
              <w:t xml:space="preserve"> (Ref: West South Central [AR, LA, OK, TX]</w:t>
            </w:r>
          </w:p>
        </w:tc>
        <w:tc>
          <w:tcPr>
            <w:tcW w:w="0" w:type="auto"/>
            <w:tcBorders>
              <w:top w:val="single" w:color="003D6F" w:sz="6" w:space="0"/>
              <w:left w:val="single" w:color="003D6F" w:sz="6" w:space="0"/>
              <w:bottom w:val="single" w:color="003D6F" w:sz="6" w:space="0"/>
              <w:right w:val="single" w:color="003D6F" w:sz="6" w:space="0"/>
            </w:tcBorders>
            <w:shd w:val="clear" w:color="auto" w:fill="DBE5F1" w:themeFill="accent1" w:themeFillTint="33"/>
          </w:tcPr>
          <w:p w:rsidRPr="000959DE" w:rsidR="000959DE" w:rsidP="000959DE" w:rsidRDefault="000959DE" w14:paraId="3A382BF3" w14:textId="77777777">
            <w:pPr>
              <w:jc w:val="center"/>
              <w:rPr>
                <w:rFonts w:ascii="Arial" w:hAnsi="Arial" w:cs="Arial"/>
                <w:sz w:val="20"/>
                <w:szCs w:val="20"/>
              </w:rPr>
            </w:pPr>
          </w:p>
        </w:tc>
        <w:tc>
          <w:tcPr>
            <w:tcW w:w="0" w:type="auto"/>
            <w:tcBorders>
              <w:top w:val="single" w:color="003D6F" w:sz="6" w:space="0"/>
              <w:left w:val="single" w:color="003D6F" w:sz="6" w:space="0"/>
              <w:bottom w:val="single" w:color="003D6F" w:sz="6" w:space="0"/>
              <w:right w:val="single" w:color="003D6F" w:sz="6" w:space="0"/>
            </w:tcBorders>
            <w:shd w:val="clear" w:color="auto" w:fill="DBE5F1" w:themeFill="accent1" w:themeFillTint="33"/>
          </w:tcPr>
          <w:p w:rsidRPr="000959DE" w:rsidR="000959DE" w:rsidP="000959DE" w:rsidRDefault="000959DE" w14:paraId="17FAE524" w14:textId="77777777">
            <w:pPr>
              <w:jc w:val="center"/>
              <w:rPr>
                <w:rFonts w:ascii="Arial" w:hAnsi="Arial" w:cs="Arial"/>
                <w:sz w:val="20"/>
                <w:szCs w:val="20"/>
              </w:rPr>
            </w:pPr>
          </w:p>
        </w:tc>
        <w:tc>
          <w:tcPr>
            <w:tcW w:w="0" w:type="auto"/>
            <w:tcBorders>
              <w:top w:val="single" w:color="003D6F" w:sz="6" w:space="0"/>
              <w:left w:val="single" w:color="003D6F" w:sz="6" w:space="0"/>
              <w:bottom w:val="single" w:color="003D6F" w:sz="6" w:space="0"/>
              <w:right w:val="single" w:color="003D6F" w:sz="6" w:space="0"/>
            </w:tcBorders>
            <w:shd w:val="clear" w:color="auto" w:fill="DBE5F1" w:themeFill="accent1" w:themeFillTint="33"/>
          </w:tcPr>
          <w:p w:rsidRPr="000959DE" w:rsidR="000959DE" w:rsidP="000959DE" w:rsidRDefault="000959DE" w14:paraId="0F356415" w14:textId="77777777">
            <w:pPr>
              <w:jc w:val="center"/>
              <w:rPr>
                <w:rFonts w:ascii="Arial" w:hAnsi="Arial" w:cs="Arial"/>
                <w:sz w:val="20"/>
                <w:szCs w:val="20"/>
              </w:rPr>
            </w:pPr>
          </w:p>
        </w:tc>
      </w:tr>
      <w:tr w:rsidR="000959DE" w:rsidTr="000959DE" w14:paraId="05424DCB" w14:textId="77777777">
        <w:trPr>
          <w:cantSplit/>
        </w:trPr>
        <w:tc>
          <w:tcPr>
            <w:tcW w:w="0" w:type="auto"/>
            <w:tcBorders>
              <w:top w:val="single" w:color="003D6F" w:sz="6" w:space="0"/>
              <w:left w:val="single" w:color="003D6F" w:sz="6" w:space="0"/>
              <w:bottom w:val="single" w:color="003D6F" w:sz="6" w:space="0"/>
              <w:right w:val="single" w:color="003D6F" w:sz="6" w:space="0"/>
            </w:tcBorders>
            <w:hideMark/>
          </w:tcPr>
          <w:p w:rsidR="000959DE" w:rsidP="000959DE" w:rsidRDefault="000959DE" w14:paraId="424990A9" w14:textId="77777777">
            <w:pPr>
              <w:pStyle w:val="TableTextIndent"/>
              <w:rPr>
                <w:rFonts w:ascii="Arial" w:hAnsi="Arial" w:cs="Arial"/>
                <w:szCs w:val="20"/>
              </w:rPr>
            </w:pPr>
            <w:r>
              <w:rPr>
                <w:rFonts w:ascii="Arial" w:hAnsi="Arial" w:cs="Arial"/>
                <w:szCs w:val="20"/>
              </w:rPr>
              <w:t>East North Central (IL, IN, MI, OH, WI)*</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1B3F8328" w14:textId="0B56D119">
            <w:pPr>
              <w:pStyle w:val="TableTextCentered"/>
              <w:rPr>
                <w:rFonts w:ascii="Arial" w:hAnsi="Arial" w:cs="Arial"/>
                <w:szCs w:val="20"/>
              </w:rPr>
            </w:pPr>
            <w:r w:rsidRPr="00B06A68">
              <w:rPr>
                <w:rFonts w:ascii="Arial" w:hAnsi="Arial" w:cs="Arial"/>
                <w:szCs w:val="20"/>
              </w:rPr>
              <w:t>1.121</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6E974E40" w14:textId="1CA05452">
            <w:pPr>
              <w:pStyle w:val="TableTextCentered"/>
              <w:rPr>
                <w:rFonts w:ascii="Arial" w:hAnsi="Arial" w:cs="Arial"/>
                <w:szCs w:val="20"/>
              </w:rPr>
            </w:pPr>
            <w:r w:rsidRPr="00B06A68">
              <w:rPr>
                <w:rFonts w:ascii="Arial" w:hAnsi="Arial" w:cs="Arial"/>
                <w:szCs w:val="20"/>
              </w:rPr>
              <w:t>1.049</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3DA1DA59" w14:textId="4DCF9605">
            <w:pPr>
              <w:pStyle w:val="TableTextCentered"/>
              <w:rPr>
                <w:rFonts w:ascii="Arial" w:hAnsi="Arial" w:cs="Arial"/>
                <w:szCs w:val="20"/>
              </w:rPr>
            </w:pPr>
            <w:r w:rsidRPr="00B06A68">
              <w:rPr>
                <w:rFonts w:ascii="Arial" w:hAnsi="Arial" w:cs="Arial"/>
                <w:szCs w:val="20"/>
              </w:rPr>
              <w:t>1.199</w:t>
            </w:r>
          </w:p>
        </w:tc>
      </w:tr>
      <w:tr w:rsidR="000959DE" w:rsidTr="000959DE" w14:paraId="752A112F" w14:textId="77777777">
        <w:trPr>
          <w:cantSplit/>
        </w:trPr>
        <w:tc>
          <w:tcPr>
            <w:tcW w:w="0" w:type="auto"/>
            <w:tcBorders>
              <w:top w:val="single" w:color="003D6F" w:sz="6" w:space="0"/>
              <w:left w:val="single" w:color="003D6F" w:sz="6" w:space="0"/>
              <w:bottom w:val="single" w:color="003D6F" w:sz="6" w:space="0"/>
              <w:right w:val="single" w:color="003D6F" w:sz="6" w:space="0"/>
            </w:tcBorders>
            <w:hideMark/>
          </w:tcPr>
          <w:p w:rsidR="000959DE" w:rsidP="000959DE" w:rsidRDefault="000959DE" w14:paraId="5BAF26D5" w14:textId="77777777">
            <w:pPr>
              <w:pStyle w:val="TableTextIndent"/>
              <w:rPr>
                <w:rFonts w:ascii="Arial" w:hAnsi="Arial" w:cs="Arial"/>
                <w:szCs w:val="20"/>
              </w:rPr>
            </w:pPr>
            <w:r>
              <w:rPr>
                <w:rFonts w:ascii="Arial" w:hAnsi="Arial" w:cs="Arial"/>
                <w:szCs w:val="20"/>
              </w:rPr>
              <w:t>East South Central (AL, KY, MS, TN)*</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69719B28" w14:textId="2FBB1B8E">
            <w:pPr>
              <w:pStyle w:val="TableTextCentered"/>
              <w:rPr>
                <w:rFonts w:ascii="Arial" w:hAnsi="Arial" w:cs="Arial"/>
                <w:szCs w:val="20"/>
              </w:rPr>
            </w:pPr>
            <w:r w:rsidRPr="00B06A68">
              <w:rPr>
                <w:rFonts w:ascii="Arial" w:hAnsi="Arial" w:cs="Arial"/>
                <w:szCs w:val="20"/>
              </w:rPr>
              <w:t>1.634</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465A4F4F" w14:textId="381CD2FB">
            <w:pPr>
              <w:pStyle w:val="TableTextCentered"/>
              <w:rPr>
                <w:rFonts w:ascii="Arial" w:hAnsi="Arial" w:cs="Arial"/>
                <w:szCs w:val="20"/>
              </w:rPr>
            </w:pPr>
            <w:r w:rsidRPr="00B06A68">
              <w:rPr>
                <w:rFonts w:ascii="Arial" w:hAnsi="Arial" w:cs="Arial"/>
                <w:szCs w:val="20"/>
              </w:rPr>
              <w:t>1.526</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11A15442" w14:textId="44D6AA18">
            <w:pPr>
              <w:pStyle w:val="TableTextCentered"/>
              <w:rPr>
                <w:rFonts w:ascii="Arial" w:hAnsi="Arial" w:cs="Arial"/>
                <w:szCs w:val="20"/>
              </w:rPr>
            </w:pPr>
            <w:r w:rsidRPr="00B06A68">
              <w:rPr>
                <w:rFonts w:ascii="Arial" w:hAnsi="Arial" w:cs="Arial"/>
                <w:szCs w:val="20"/>
              </w:rPr>
              <w:t>1.750</w:t>
            </w:r>
          </w:p>
        </w:tc>
      </w:tr>
      <w:tr w:rsidR="000959DE" w:rsidTr="000959DE" w14:paraId="22EB116B" w14:textId="77777777">
        <w:trPr>
          <w:cantSplit/>
        </w:trPr>
        <w:tc>
          <w:tcPr>
            <w:tcW w:w="0" w:type="auto"/>
            <w:tcBorders>
              <w:top w:val="single" w:color="003D6F" w:sz="6" w:space="0"/>
              <w:left w:val="single" w:color="003D6F" w:sz="6" w:space="0"/>
              <w:bottom w:val="single" w:color="003D6F" w:sz="6" w:space="0"/>
              <w:right w:val="single" w:color="003D6F" w:sz="6" w:space="0"/>
            </w:tcBorders>
            <w:hideMark/>
          </w:tcPr>
          <w:p w:rsidR="000959DE" w:rsidP="000959DE" w:rsidRDefault="000959DE" w14:paraId="69E23487" w14:textId="7A483C6C">
            <w:pPr>
              <w:pStyle w:val="TableTextIndent"/>
              <w:rPr>
                <w:rFonts w:ascii="Arial" w:hAnsi="Arial" w:cs="Arial"/>
                <w:szCs w:val="20"/>
              </w:rPr>
            </w:pPr>
            <w:r>
              <w:rPr>
                <w:rFonts w:ascii="Arial" w:hAnsi="Arial" w:cs="Arial"/>
                <w:szCs w:val="20"/>
              </w:rPr>
              <w:t>Middle Atlantic (NJ, NY, PA)</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26061402" w14:textId="4042F60B">
            <w:pPr>
              <w:pStyle w:val="TableTextCentered"/>
              <w:rPr>
                <w:rFonts w:ascii="Arial" w:hAnsi="Arial" w:cs="Arial"/>
                <w:szCs w:val="20"/>
              </w:rPr>
            </w:pPr>
            <w:r w:rsidRPr="00B06A68">
              <w:rPr>
                <w:rFonts w:ascii="Arial" w:hAnsi="Arial" w:cs="Arial"/>
                <w:szCs w:val="20"/>
              </w:rPr>
              <w:t>1.034</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523A58F5" w14:textId="63E5D2BE">
            <w:pPr>
              <w:pStyle w:val="TableTextCentered"/>
              <w:rPr>
                <w:rFonts w:ascii="Arial" w:hAnsi="Arial" w:cs="Arial"/>
                <w:szCs w:val="20"/>
              </w:rPr>
            </w:pPr>
            <w:r w:rsidRPr="00B06A68">
              <w:rPr>
                <w:rFonts w:ascii="Arial" w:hAnsi="Arial" w:cs="Arial"/>
                <w:szCs w:val="20"/>
              </w:rPr>
              <w:t>0.967</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23738CBE" w14:textId="02D2BF8F">
            <w:pPr>
              <w:pStyle w:val="TableTextCentered"/>
              <w:rPr>
                <w:rFonts w:ascii="Arial" w:hAnsi="Arial" w:cs="Arial"/>
                <w:szCs w:val="20"/>
              </w:rPr>
            </w:pPr>
            <w:r w:rsidRPr="00B06A68">
              <w:rPr>
                <w:rFonts w:ascii="Arial" w:hAnsi="Arial" w:cs="Arial"/>
                <w:szCs w:val="20"/>
              </w:rPr>
              <w:t>1.105</w:t>
            </w:r>
          </w:p>
        </w:tc>
      </w:tr>
      <w:tr w:rsidR="000959DE" w:rsidTr="000959DE" w14:paraId="39B9ED5F" w14:textId="77777777">
        <w:trPr>
          <w:cantSplit/>
        </w:trPr>
        <w:tc>
          <w:tcPr>
            <w:tcW w:w="0" w:type="auto"/>
            <w:tcBorders>
              <w:top w:val="single" w:color="003D6F" w:sz="6" w:space="0"/>
              <w:left w:val="single" w:color="003D6F" w:sz="6" w:space="0"/>
              <w:bottom w:val="single" w:color="003D6F" w:sz="6" w:space="0"/>
              <w:right w:val="single" w:color="003D6F" w:sz="6" w:space="0"/>
            </w:tcBorders>
            <w:hideMark/>
          </w:tcPr>
          <w:p w:rsidR="000959DE" w:rsidP="000959DE" w:rsidRDefault="000959DE" w14:paraId="2F07F8C9" w14:textId="77777777">
            <w:pPr>
              <w:pStyle w:val="TableTextIndent"/>
              <w:rPr>
                <w:rFonts w:ascii="Arial" w:hAnsi="Arial" w:cs="Arial"/>
                <w:szCs w:val="20"/>
              </w:rPr>
            </w:pPr>
            <w:r>
              <w:rPr>
                <w:rFonts w:ascii="Arial" w:hAnsi="Arial" w:cs="Arial"/>
                <w:szCs w:val="20"/>
              </w:rPr>
              <w:t>Mountain (AZ, CO, ID, MT, NV, NM, UT, WY)*</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5FDFF25C" w14:textId="6A0B8014">
            <w:pPr>
              <w:pStyle w:val="TableTextCentered"/>
              <w:rPr>
                <w:rFonts w:ascii="Arial" w:hAnsi="Arial" w:cs="Arial"/>
                <w:szCs w:val="20"/>
              </w:rPr>
            </w:pPr>
            <w:r w:rsidRPr="00B06A68">
              <w:rPr>
                <w:rFonts w:ascii="Arial" w:hAnsi="Arial" w:cs="Arial"/>
                <w:szCs w:val="20"/>
              </w:rPr>
              <w:t>1.287</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2D61AE3B" w14:textId="563D62C6">
            <w:pPr>
              <w:pStyle w:val="TableTextCentered"/>
              <w:rPr>
                <w:rFonts w:ascii="Arial" w:hAnsi="Arial" w:cs="Arial"/>
                <w:szCs w:val="20"/>
              </w:rPr>
            </w:pPr>
            <w:r w:rsidRPr="00B06A68">
              <w:rPr>
                <w:rFonts w:ascii="Arial" w:hAnsi="Arial" w:cs="Arial"/>
                <w:szCs w:val="20"/>
              </w:rPr>
              <w:t>1.203</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1765DC1C" w14:textId="0C0318CE">
            <w:pPr>
              <w:pStyle w:val="TableTextCentered"/>
              <w:rPr>
                <w:rFonts w:ascii="Arial" w:hAnsi="Arial" w:cs="Arial"/>
                <w:szCs w:val="20"/>
              </w:rPr>
            </w:pPr>
            <w:r w:rsidRPr="00B06A68">
              <w:rPr>
                <w:rFonts w:ascii="Arial" w:hAnsi="Arial" w:cs="Arial"/>
                <w:szCs w:val="20"/>
              </w:rPr>
              <w:t>1.376</w:t>
            </w:r>
          </w:p>
        </w:tc>
      </w:tr>
      <w:tr w:rsidR="000959DE" w:rsidTr="000959DE" w14:paraId="0CF9A725" w14:textId="77777777">
        <w:trPr>
          <w:cantSplit/>
        </w:trPr>
        <w:tc>
          <w:tcPr>
            <w:tcW w:w="0" w:type="auto"/>
            <w:tcBorders>
              <w:top w:val="single" w:color="003D6F" w:sz="6" w:space="0"/>
              <w:left w:val="single" w:color="003D6F" w:sz="6" w:space="0"/>
              <w:bottom w:val="single" w:color="003D6F" w:sz="6" w:space="0"/>
              <w:right w:val="single" w:color="003D6F" w:sz="6" w:space="0"/>
            </w:tcBorders>
            <w:hideMark/>
          </w:tcPr>
          <w:p w:rsidR="000959DE" w:rsidP="000959DE" w:rsidRDefault="000959DE" w14:paraId="2CD42F21" w14:textId="77777777">
            <w:pPr>
              <w:pStyle w:val="TableTextIndent"/>
              <w:rPr>
                <w:rFonts w:ascii="Arial" w:hAnsi="Arial" w:cs="Arial"/>
                <w:szCs w:val="20"/>
              </w:rPr>
            </w:pPr>
            <w:r>
              <w:rPr>
                <w:rFonts w:ascii="Arial" w:hAnsi="Arial" w:cs="Arial"/>
                <w:szCs w:val="20"/>
              </w:rPr>
              <w:t>New England (CT, ME, MA, NH, RI, VT)*</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6320C1C1" w14:textId="6DDB4643">
            <w:pPr>
              <w:pStyle w:val="TableTextCentered"/>
              <w:rPr>
                <w:rFonts w:ascii="Arial" w:hAnsi="Arial" w:cs="Arial"/>
                <w:szCs w:val="20"/>
              </w:rPr>
            </w:pPr>
            <w:r w:rsidRPr="00B06A68">
              <w:rPr>
                <w:rFonts w:ascii="Arial" w:hAnsi="Arial" w:cs="Arial"/>
                <w:szCs w:val="20"/>
              </w:rPr>
              <w:t>1.214</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7AB5EEDD" w14:textId="102377B9">
            <w:pPr>
              <w:pStyle w:val="TableTextCentered"/>
              <w:rPr>
                <w:rFonts w:ascii="Arial" w:hAnsi="Arial" w:cs="Arial"/>
                <w:szCs w:val="20"/>
              </w:rPr>
            </w:pPr>
            <w:r w:rsidRPr="00571741">
              <w:rPr>
                <w:rFonts w:ascii="Arial" w:hAnsi="Arial" w:cs="Arial"/>
                <w:szCs w:val="20"/>
              </w:rPr>
              <w:t>1.136</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309987C0" w14:textId="3BB49F97">
            <w:pPr>
              <w:pStyle w:val="TableTextCentered"/>
              <w:rPr>
                <w:rFonts w:ascii="Arial" w:hAnsi="Arial" w:cs="Arial"/>
                <w:szCs w:val="20"/>
              </w:rPr>
            </w:pPr>
            <w:r w:rsidRPr="00B06A68">
              <w:rPr>
                <w:rFonts w:ascii="Arial" w:hAnsi="Arial" w:cs="Arial"/>
                <w:szCs w:val="20"/>
              </w:rPr>
              <w:t>1.298</w:t>
            </w:r>
          </w:p>
        </w:tc>
      </w:tr>
      <w:tr w:rsidR="000959DE" w:rsidTr="000959DE" w14:paraId="0107C11B" w14:textId="77777777">
        <w:trPr>
          <w:cantSplit/>
        </w:trPr>
        <w:tc>
          <w:tcPr>
            <w:tcW w:w="0" w:type="auto"/>
            <w:tcBorders>
              <w:top w:val="single" w:color="003D6F" w:sz="6" w:space="0"/>
              <w:left w:val="single" w:color="003D6F" w:sz="6" w:space="0"/>
              <w:bottom w:val="single" w:color="003D6F" w:sz="6" w:space="0"/>
              <w:right w:val="single" w:color="003D6F" w:sz="6" w:space="0"/>
            </w:tcBorders>
            <w:hideMark/>
          </w:tcPr>
          <w:p w:rsidR="000959DE" w:rsidP="000959DE" w:rsidRDefault="000959DE" w14:paraId="608DFA7A" w14:textId="1B5B4437">
            <w:pPr>
              <w:pStyle w:val="TableTextIndent"/>
              <w:rPr>
                <w:rFonts w:ascii="Arial" w:hAnsi="Arial" w:cs="Arial"/>
                <w:szCs w:val="20"/>
              </w:rPr>
            </w:pPr>
            <w:r>
              <w:rPr>
                <w:rFonts w:ascii="Arial" w:hAnsi="Arial" w:cs="Arial"/>
                <w:szCs w:val="20"/>
              </w:rPr>
              <w:t>Pacific (AK, CA, HI, OR, WA)</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41CEF176" w14:textId="1754BC16">
            <w:pPr>
              <w:pStyle w:val="TableTextCentered"/>
              <w:rPr>
                <w:rFonts w:ascii="Arial" w:hAnsi="Arial" w:cs="Arial"/>
                <w:szCs w:val="20"/>
              </w:rPr>
            </w:pPr>
            <w:r w:rsidRPr="00B06A68">
              <w:rPr>
                <w:rFonts w:ascii="Arial" w:hAnsi="Arial" w:cs="Arial"/>
                <w:szCs w:val="20"/>
              </w:rPr>
              <w:t>1.015</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3B121F39" w14:textId="28C0641F">
            <w:pPr>
              <w:pStyle w:val="TableTextCentered"/>
              <w:rPr>
                <w:rFonts w:ascii="Arial" w:hAnsi="Arial" w:cs="Arial"/>
                <w:szCs w:val="20"/>
              </w:rPr>
            </w:pPr>
            <w:r w:rsidRPr="00571741">
              <w:rPr>
                <w:rFonts w:ascii="Arial" w:hAnsi="Arial" w:cs="Arial"/>
                <w:szCs w:val="20"/>
              </w:rPr>
              <w:t>0.953</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4144A200" w14:textId="77CDC1B7">
            <w:pPr>
              <w:pStyle w:val="TableTextCentered"/>
              <w:rPr>
                <w:rFonts w:ascii="Arial" w:hAnsi="Arial" w:cs="Arial"/>
                <w:szCs w:val="20"/>
              </w:rPr>
            </w:pPr>
            <w:r w:rsidRPr="00571741">
              <w:rPr>
                <w:rFonts w:ascii="Arial" w:hAnsi="Arial" w:cs="Arial"/>
                <w:szCs w:val="20"/>
              </w:rPr>
              <w:t>1.082</w:t>
            </w:r>
          </w:p>
        </w:tc>
      </w:tr>
      <w:tr w:rsidR="000959DE" w:rsidTr="000959DE" w14:paraId="7AA26795" w14:textId="77777777">
        <w:trPr>
          <w:cantSplit/>
        </w:trPr>
        <w:tc>
          <w:tcPr>
            <w:tcW w:w="0" w:type="auto"/>
            <w:tcBorders>
              <w:top w:val="single" w:color="003D6F" w:sz="6" w:space="0"/>
              <w:left w:val="single" w:color="003D6F" w:sz="6" w:space="0"/>
              <w:bottom w:val="single" w:color="003D6F" w:sz="6" w:space="0"/>
              <w:right w:val="single" w:color="003D6F" w:sz="6" w:space="0"/>
            </w:tcBorders>
            <w:hideMark/>
          </w:tcPr>
          <w:p w:rsidR="000959DE" w:rsidP="000959DE" w:rsidRDefault="000959DE" w14:paraId="2187D9E4" w14:textId="2B8D7C1F">
            <w:pPr>
              <w:pStyle w:val="TableTextIndent"/>
              <w:rPr>
                <w:rFonts w:ascii="Arial" w:hAnsi="Arial" w:cs="Arial"/>
                <w:szCs w:val="20"/>
              </w:rPr>
            </w:pPr>
            <w:r>
              <w:rPr>
                <w:rFonts w:ascii="Arial" w:hAnsi="Arial" w:cs="Arial"/>
                <w:szCs w:val="20"/>
              </w:rPr>
              <w:t>South Atlantic (DE, DC, FL, GA, MD, NC, SC, VA, WV)</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73BEB254" w14:textId="6DDF87CD">
            <w:pPr>
              <w:pStyle w:val="TableTextCentered"/>
              <w:rPr>
                <w:rFonts w:ascii="Arial" w:hAnsi="Arial" w:cs="Arial"/>
                <w:szCs w:val="20"/>
              </w:rPr>
            </w:pPr>
            <w:r w:rsidRPr="00B06A68">
              <w:rPr>
                <w:rFonts w:ascii="Arial" w:hAnsi="Arial" w:cs="Arial"/>
                <w:szCs w:val="20"/>
              </w:rPr>
              <w:t>1.047</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75CC3630" w14:textId="3369BBCF">
            <w:pPr>
              <w:pStyle w:val="TableTextCentered"/>
              <w:rPr>
                <w:rFonts w:ascii="Arial" w:hAnsi="Arial" w:cs="Arial"/>
                <w:szCs w:val="20"/>
              </w:rPr>
            </w:pPr>
            <w:r w:rsidRPr="00571741">
              <w:rPr>
                <w:rFonts w:ascii="Arial" w:hAnsi="Arial" w:cs="Arial"/>
                <w:szCs w:val="20"/>
              </w:rPr>
              <w:t>0.982</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3647C6CD" w14:textId="7A56C33F">
            <w:pPr>
              <w:pStyle w:val="TableTextCentered"/>
              <w:rPr>
                <w:rFonts w:ascii="Arial" w:hAnsi="Arial" w:cs="Arial"/>
                <w:szCs w:val="20"/>
              </w:rPr>
            </w:pPr>
            <w:r w:rsidRPr="00B06A68">
              <w:rPr>
                <w:rFonts w:ascii="Arial" w:hAnsi="Arial" w:cs="Arial"/>
                <w:szCs w:val="20"/>
              </w:rPr>
              <w:t>1.115</w:t>
            </w:r>
          </w:p>
        </w:tc>
      </w:tr>
      <w:tr w:rsidR="000959DE" w:rsidTr="000959DE" w14:paraId="6E954004" w14:textId="77777777">
        <w:trPr>
          <w:cantSplit/>
        </w:trPr>
        <w:tc>
          <w:tcPr>
            <w:tcW w:w="0" w:type="auto"/>
            <w:tcBorders>
              <w:top w:val="single" w:color="003D6F" w:sz="6" w:space="0"/>
              <w:left w:val="single" w:color="003D6F" w:sz="6" w:space="0"/>
              <w:bottom w:val="single" w:color="003D6F" w:sz="6" w:space="0"/>
              <w:right w:val="single" w:color="003D6F" w:sz="6" w:space="0"/>
            </w:tcBorders>
            <w:hideMark/>
          </w:tcPr>
          <w:p w:rsidR="000959DE" w:rsidP="000959DE" w:rsidRDefault="000959DE" w14:paraId="436CB969" w14:textId="77777777">
            <w:pPr>
              <w:pStyle w:val="TableTextIndent"/>
              <w:rPr>
                <w:rFonts w:ascii="Arial" w:hAnsi="Arial" w:cs="Arial"/>
                <w:szCs w:val="20"/>
              </w:rPr>
            </w:pPr>
            <w:r>
              <w:rPr>
                <w:rFonts w:ascii="Arial" w:hAnsi="Arial" w:cs="Arial"/>
                <w:szCs w:val="20"/>
              </w:rPr>
              <w:t>West North Central (IA, KS, MN, MO, NE, ND, SD)*</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3D11DBC5" w14:textId="6D8D39ED">
            <w:pPr>
              <w:pStyle w:val="TableTextCentered"/>
              <w:rPr>
                <w:rFonts w:ascii="Arial" w:hAnsi="Arial" w:cs="Arial"/>
                <w:szCs w:val="20"/>
              </w:rPr>
            </w:pPr>
            <w:r w:rsidRPr="00B06A68">
              <w:rPr>
                <w:rFonts w:ascii="Arial" w:hAnsi="Arial" w:cs="Arial"/>
                <w:szCs w:val="20"/>
              </w:rPr>
              <w:t>1.453</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7128DA3F" w14:textId="5DF4249E">
            <w:pPr>
              <w:pStyle w:val="TableTextCentered"/>
              <w:rPr>
                <w:rFonts w:ascii="Arial" w:hAnsi="Arial" w:cs="Arial"/>
                <w:szCs w:val="20"/>
              </w:rPr>
            </w:pPr>
            <w:r w:rsidRPr="00B06A68">
              <w:rPr>
                <w:rFonts w:ascii="Arial" w:hAnsi="Arial" w:cs="Arial"/>
                <w:szCs w:val="20"/>
              </w:rPr>
              <w:t>1.354</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4749A03E" w14:textId="7A2DB469">
            <w:pPr>
              <w:pStyle w:val="TableTextCentered"/>
              <w:rPr>
                <w:rFonts w:ascii="Arial" w:hAnsi="Arial" w:cs="Arial"/>
                <w:szCs w:val="20"/>
              </w:rPr>
            </w:pPr>
            <w:r w:rsidRPr="00B06A68">
              <w:rPr>
                <w:rFonts w:ascii="Arial" w:hAnsi="Arial" w:cs="Arial"/>
                <w:szCs w:val="20"/>
              </w:rPr>
              <w:t>1.560</w:t>
            </w:r>
          </w:p>
        </w:tc>
      </w:tr>
      <w:tr w:rsidR="000959DE" w:rsidTr="000959DE" w14:paraId="7711CC6B" w14:textId="77777777">
        <w:trPr>
          <w:cantSplit/>
          <w:trHeight w:val="224"/>
        </w:trPr>
        <w:tc>
          <w:tcPr>
            <w:tcW w:w="0" w:type="auto"/>
            <w:tcBorders>
              <w:top w:val="single" w:color="003D6F" w:sz="6" w:space="0"/>
              <w:left w:val="single" w:color="003D6F" w:sz="6" w:space="0"/>
              <w:bottom w:val="single" w:color="003D6F" w:sz="6" w:space="0"/>
              <w:right w:val="single" w:color="003D6F" w:sz="6" w:space="0"/>
            </w:tcBorders>
            <w:shd w:val="clear" w:color="auto" w:fill="DBE5F1" w:themeFill="accent1" w:themeFillTint="33"/>
            <w:hideMark/>
          </w:tcPr>
          <w:p w:rsidR="000959DE" w:rsidP="000959DE" w:rsidRDefault="000959DE" w14:paraId="6EC5BCF5" w14:textId="77777777">
            <w:pPr>
              <w:rPr>
                <w:rFonts w:ascii="Arial" w:hAnsi="Arial" w:eastAsia="MS Mincho" w:cs="Arial"/>
                <w:i/>
                <w:sz w:val="20"/>
                <w:szCs w:val="20"/>
              </w:rPr>
            </w:pPr>
            <w:r>
              <w:rPr>
                <w:rFonts w:ascii="Arial" w:hAnsi="Arial" w:eastAsia="MS Mincho" w:cs="Arial"/>
                <w:b/>
                <w:sz w:val="20"/>
                <w:szCs w:val="20"/>
              </w:rPr>
              <w:t>Nonworking Telephone Number</w:t>
            </w:r>
            <w:r>
              <w:rPr>
                <w:rFonts w:ascii="Arial" w:hAnsi="Arial" w:eastAsia="MS Mincho" w:cs="Arial"/>
                <w:sz w:val="20"/>
                <w:szCs w:val="20"/>
              </w:rPr>
              <w:t xml:space="preserve"> </w:t>
            </w:r>
            <w:r>
              <w:rPr>
                <w:rFonts w:ascii="Arial" w:hAnsi="Arial" w:eastAsia="MS Mincho" w:cs="Arial"/>
                <w:i/>
                <w:sz w:val="20"/>
                <w:szCs w:val="20"/>
              </w:rPr>
              <w:t>(Ref: Working Telephone Number)</w:t>
            </w:r>
          </w:p>
        </w:tc>
        <w:tc>
          <w:tcPr>
            <w:tcW w:w="0" w:type="auto"/>
            <w:tcBorders>
              <w:top w:val="single" w:color="003D6F" w:sz="6" w:space="0"/>
              <w:left w:val="single" w:color="003D6F" w:sz="6" w:space="0"/>
              <w:bottom w:val="single" w:color="003D6F" w:sz="6" w:space="0"/>
              <w:right w:val="single" w:color="003D6F" w:sz="6" w:space="0"/>
            </w:tcBorders>
            <w:shd w:val="clear" w:color="auto" w:fill="DBE5F1" w:themeFill="accent1" w:themeFillTint="33"/>
          </w:tcPr>
          <w:p w:rsidRPr="000959DE" w:rsidR="000959DE" w:rsidP="000959DE" w:rsidRDefault="000959DE" w14:paraId="32EEE53C" w14:textId="77777777">
            <w:pPr>
              <w:jc w:val="center"/>
              <w:rPr>
                <w:rFonts w:ascii="Arial" w:hAnsi="Arial" w:cs="Arial"/>
                <w:sz w:val="20"/>
                <w:szCs w:val="20"/>
              </w:rPr>
            </w:pPr>
          </w:p>
        </w:tc>
        <w:tc>
          <w:tcPr>
            <w:tcW w:w="0" w:type="auto"/>
            <w:tcBorders>
              <w:top w:val="single" w:color="003D6F" w:sz="6" w:space="0"/>
              <w:left w:val="single" w:color="003D6F" w:sz="6" w:space="0"/>
              <w:bottom w:val="single" w:color="003D6F" w:sz="6" w:space="0"/>
              <w:right w:val="single" w:color="003D6F" w:sz="6" w:space="0"/>
            </w:tcBorders>
            <w:shd w:val="clear" w:color="auto" w:fill="DBE5F1" w:themeFill="accent1" w:themeFillTint="33"/>
          </w:tcPr>
          <w:p w:rsidRPr="000959DE" w:rsidR="000959DE" w:rsidP="000959DE" w:rsidRDefault="000959DE" w14:paraId="11DD0DBC" w14:textId="77777777">
            <w:pPr>
              <w:jc w:val="center"/>
              <w:rPr>
                <w:rFonts w:ascii="Arial" w:hAnsi="Arial" w:cs="Arial"/>
                <w:sz w:val="20"/>
                <w:szCs w:val="20"/>
              </w:rPr>
            </w:pPr>
          </w:p>
        </w:tc>
        <w:tc>
          <w:tcPr>
            <w:tcW w:w="0" w:type="auto"/>
            <w:tcBorders>
              <w:top w:val="single" w:color="003D6F" w:sz="6" w:space="0"/>
              <w:left w:val="single" w:color="003D6F" w:sz="6" w:space="0"/>
              <w:bottom w:val="single" w:color="003D6F" w:sz="6" w:space="0"/>
              <w:right w:val="single" w:color="003D6F" w:sz="6" w:space="0"/>
            </w:tcBorders>
            <w:shd w:val="clear" w:color="auto" w:fill="DBE5F1" w:themeFill="accent1" w:themeFillTint="33"/>
          </w:tcPr>
          <w:p w:rsidRPr="000959DE" w:rsidR="000959DE" w:rsidP="000959DE" w:rsidRDefault="000959DE" w14:paraId="68649E17" w14:textId="77777777">
            <w:pPr>
              <w:jc w:val="center"/>
              <w:rPr>
                <w:rFonts w:ascii="Arial" w:hAnsi="Arial" w:cs="Arial"/>
                <w:sz w:val="20"/>
                <w:szCs w:val="20"/>
              </w:rPr>
            </w:pPr>
          </w:p>
        </w:tc>
      </w:tr>
      <w:tr w:rsidR="000959DE" w:rsidTr="000959DE" w14:paraId="651F5ABB" w14:textId="77777777">
        <w:trPr>
          <w:cantSplit/>
        </w:trPr>
        <w:tc>
          <w:tcPr>
            <w:tcW w:w="0" w:type="auto"/>
            <w:tcBorders>
              <w:top w:val="single" w:color="003D6F" w:sz="6" w:space="0"/>
              <w:left w:val="single" w:color="003D6F" w:sz="6" w:space="0"/>
              <w:bottom w:val="single" w:color="003D6F" w:sz="6" w:space="0"/>
              <w:right w:val="single" w:color="003D6F" w:sz="6" w:space="0"/>
            </w:tcBorders>
            <w:hideMark/>
          </w:tcPr>
          <w:p w:rsidR="000959DE" w:rsidP="000959DE" w:rsidRDefault="000959DE" w14:paraId="00DC0C93" w14:textId="77777777">
            <w:pPr>
              <w:pStyle w:val="TableTextIndent"/>
              <w:rPr>
                <w:rFonts w:ascii="Arial" w:hAnsi="Arial" w:eastAsia="MS Mincho" w:cs="Arial"/>
                <w:szCs w:val="20"/>
              </w:rPr>
            </w:pPr>
            <w:r>
              <w:rPr>
                <w:rFonts w:ascii="Arial" w:hAnsi="Arial" w:eastAsia="MS Mincho" w:cs="Arial"/>
                <w:szCs w:val="20"/>
              </w:rPr>
              <w:t>Nonworking or Unavailable Telephone Number*</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14DB25DE" w14:textId="466F1961">
            <w:pPr>
              <w:pStyle w:val="TableTextCentered"/>
              <w:rPr>
                <w:rFonts w:ascii="Arial" w:hAnsi="Arial" w:cs="Arial"/>
                <w:szCs w:val="20"/>
              </w:rPr>
            </w:pPr>
            <w:r w:rsidRPr="00B06A68">
              <w:rPr>
                <w:rFonts w:ascii="Arial" w:hAnsi="Arial" w:cs="Arial"/>
                <w:szCs w:val="20"/>
              </w:rPr>
              <w:t>0.269</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36486D8C" w14:textId="2F2D742F">
            <w:pPr>
              <w:pStyle w:val="TableTextCentered"/>
              <w:rPr>
                <w:rFonts w:ascii="Arial" w:hAnsi="Arial" w:cs="Arial"/>
                <w:szCs w:val="20"/>
              </w:rPr>
            </w:pPr>
            <w:r w:rsidRPr="00B06A68">
              <w:rPr>
                <w:rFonts w:ascii="Arial" w:hAnsi="Arial" w:cs="Arial"/>
                <w:szCs w:val="20"/>
              </w:rPr>
              <w:t>0.267</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139F662C" w14:textId="7DCEEFA9">
            <w:pPr>
              <w:pStyle w:val="TableTextCentered"/>
              <w:rPr>
                <w:rFonts w:ascii="Arial" w:hAnsi="Arial" w:cs="Arial"/>
                <w:szCs w:val="20"/>
              </w:rPr>
            </w:pPr>
            <w:r w:rsidRPr="00B06A68">
              <w:rPr>
                <w:rFonts w:ascii="Arial" w:hAnsi="Arial" w:cs="Arial"/>
                <w:szCs w:val="20"/>
              </w:rPr>
              <w:t>0.271</w:t>
            </w:r>
          </w:p>
        </w:tc>
      </w:tr>
      <w:tr w:rsidR="000959DE" w:rsidTr="000959DE" w14:paraId="709FB46F" w14:textId="77777777">
        <w:trPr>
          <w:cantSplit/>
        </w:trPr>
        <w:tc>
          <w:tcPr>
            <w:tcW w:w="0" w:type="auto"/>
            <w:tcBorders>
              <w:top w:val="single" w:color="003D6F" w:sz="6" w:space="0"/>
              <w:left w:val="single" w:color="003D6F" w:sz="6" w:space="0"/>
              <w:bottom w:val="single" w:color="003D6F" w:sz="6" w:space="0"/>
              <w:right w:val="single" w:color="003D6F" w:sz="6" w:space="0"/>
            </w:tcBorders>
            <w:shd w:val="clear" w:color="auto" w:fill="DBE5F1" w:themeFill="accent1" w:themeFillTint="33"/>
            <w:hideMark/>
          </w:tcPr>
          <w:p w:rsidR="000959DE" w:rsidP="000959DE" w:rsidRDefault="000959DE" w14:paraId="7EE8B356" w14:textId="77777777">
            <w:pPr>
              <w:rPr>
                <w:rFonts w:ascii="Arial" w:hAnsi="Arial" w:cs="Arial"/>
                <w:sz w:val="20"/>
                <w:szCs w:val="20"/>
              </w:rPr>
            </w:pPr>
            <w:r>
              <w:rPr>
                <w:rFonts w:ascii="Arial" w:hAnsi="Arial" w:eastAsia="MS Mincho" w:cs="Arial"/>
                <w:b/>
                <w:sz w:val="20"/>
                <w:szCs w:val="20"/>
              </w:rPr>
              <w:t xml:space="preserve">Invalid Address </w:t>
            </w:r>
            <w:r>
              <w:rPr>
                <w:rFonts w:ascii="Arial" w:hAnsi="Arial" w:eastAsia="MS Mincho" w:cs="Arial"/>
                <w:i/>
                <w:sz w:val="20"/>
                <w:szCs w:val="20"/>
              </w:rPr>
              <w:t>(Ref: Valid Address)</w:t>
            </w:r>
          </w:p>
        </w:tc>
        <w:tc>
          <w:tcPr>
            <w:tcW w:w="0" w:type="auto"/>
            <w:tcBorders>
              <w:top w:val="single" w:color="003D6F" w:sz="6" w:space="0"/>
              <w:left w:val="single" w:color="003D6F" w:sz="6" w:space="0"/>
              <w:bottom w:val="single" w:color="003D6F" w:sz="6" w:space="0"/>
              <w:right w:val="single" w:color="003D6F" w:sz="6" w:space="0"/>
            </w:tcBorders>
            <w:shd w:val="clear" w:color="auto" w:fill="DBE5F1" w:themeFill="accent1" w:themeFillTint="33"/>
          </w:tcPr>
          <w:p w:rsidRPr="000959DE" w:rsidR="000959DE" w:rsidP="000959DE" w:rsidRDefault="000959DE" w14:paraId="4034F0AA" w14:textId="77777777">
            <w:pPr>
              <w:jc w:val="center"/>
              <w:rPr>
                <w:rFonts w:ascii="Arial" w:hAnsi="Arial" w:cs="Arial"/>
                <w:sz w:val="20"/>
                <w:szCs w:val="20"/>
              </w:rPr>
            </w:pPr>
          </w:p>
        </w:tc>
        <w:tc>
          <w:tcPr>
            <w:tcW w:w="0" w:type="auto"/>
            <w:tcBorders>
              <w:top w:val="single" w:color="003D6F" w:sz="6" w:space="0"/>
              <w:left w:val="single" w:color="003D6F" w:sz="6" w:space="0"/>
              <w:bottom w:val="single" w:color="003D6F" w:sz="6" w:space="0"/>
              <w:right w:val="single" w:color="003D6F" w:sz="6" w:space="0"/>
            </w:tcBorders>
            <w:shd w:val="clear" w:color="auto" w:fill="DBE5F1" w:themeFill="accent1" w:themeFillTint="33"/>
          </w:tcPr>
          <w:p w:rsidRPr="000959DE" w:rsidR="000959DE" w:rsidP="000959DE" w:rsidRDefault="000959DE" w14:paraId="4A017E80" w14:textId="77777777">
            <w:pPr>
              <w:jc w:val="center"/>
              <w:rPr>
                <w:rFonts w:ascii="Arial" w:hAnsi="Arial" w:cs="Arial"/>
                <w:sz w:val="20"/>
                <w:szCs w:val="20"/>
              </w:rPr>
            </w:pPr>
          </w:p>
        </w:tc>
        <w:tc>
          <w:tcPr>
            <w:tcW w:w="0" w:type="auto"/>
            <w:tcBorders>
              <w:top w:val="single" w:color="003D6F" w:sz="6" w:space="0"/>
              <w:left w:val="single" w:color="003D6F" w:sz="6" w:space="0"/>
              <w:bottom w:val="single" w:color="003D6F" w:sz="6" w:space="0"/>
              <w:right w:val="single" w:color="003D6F" w:sz="6" w:space="0"/>
            </w:tcBorders>
            <w:shd w:val="clear" w:color="auto" w:fill="DBE5F1" w:themeFill="accent1" w:themeFillTint="33"/>
          </w:tcPr>
          <w:p w:rsidRPr="000959DE" w:rsidR="000959DE" w:rsidP="000959DE" w:rsidRDefault="000959DE" w14:paraId="365EDF0D" w14:textId="77777777">
            <w:pPr>
              <w:jc w:val="center"/>
              <w:rPr>
                <w:rFonts w:ascii="Arial" w:hAnsi="Arial" w:cs="Arial"/>
                <w:sz w:val="20"/>
                <w:szCs w:val="20"/>
              </w:rPr>
            </w:pPr>
          </w:p>
        </w:tc>
      </w:tr>
      <w:tr w:rsidR="000959DE" w:rsidTr="000959DE" w14:paraId="410800ED" w14:textId="77777777">
        <w:trPr>
          <w:cantSplit/>
        </w:trPr>
        <w:tc>
          <w:tcPr>
            <w:tcW w:w="0" w:type="auto"/>
            <w:tcBorders>
              <w:top w:val="single" w:color="003D6F" w:sz="6" w:space="0"/>
              <w:left w:val="single" w:color="003D6F" w:sz="6" w:space="0"/>
              <w:bottom w:val="single" w:color="003D6F" w:sz="6" w:space="0"/>
              <w:right w:val="single" w:color="003D6F" w:sz="6" w:space="0"/>
            </w:tcBorders>
            <w:hideMark/>
          </w:tcPr>
          <w:p w:rsidR="000959DE" w:rsidP="000959DE" w:rsidRDefault="000959DE" w14:paraId="39DA07CD" w14:textId="77777777">
            <w:pPr>
              <w:pStyle w:val="TableTextIndent"/>
              <w:rPr>
                <w:rFonts w:ascii="Arial" w:hAnsi="Arial" w:cs="Arial"/>
                <w:szCs w:val="20"/>
              </w:rPr>
            </w:pPr>
            <w:r>
              <w:rPr>
                <w:rFonts w:ascii="Arial" w:hAnsi="Arial" w:cs="Arial"/>
                <w:szCs w:val="20"/>
              </w:rPr>
              <w:t>Invalid Address*</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7C6A1883" w14:textId="06CD1644">
            <w:pPr>
              <w:pStyle w:val="TableTextCentered"/>
              <w:rPr>
                <w:rFonts w:ascii="Arial" w:hAnsi="Arial" w:cs="Arial"/>
                <w:szCs w:val="20"/>
              </w:rPr>
            </w:pPr>
            <w:r w:rsidRPr="00B06A68">
              <w:rPr>
                <w:rFonts w:ascii="Arial" w:hAnsi="Arial" w:cs="Arial"/>
                <w:szCs w:val="20"/>
              </w:rPr>
              <w:t>0.310</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0D3B6004" w14:textId="04DBE987">
            <w:pPr>
              <w:pStyle w:val="TableTextCentered"/>
              <w:rPr>
                <w:rFonts w:ascii="Arial" w:hAnsi="Arial" w:cs="Arial"/>
                <w:szCs w:val="20"/>
              </w:rPr>
            </w:pPr>
            <w:r w:rsidRPr="00B06A68">
              <w:rPr>
                <w:rFonts w:ascii="Arial" w:hAnsi="Arial" w:cs="Arial"/>
                <w:szCs w:val="20"/>
              </w:rPr>
              <w:t>0.304</w:t>
            </w:r>
          </w:p>
        </w:tc>
        <w:tc>
          <w:tcPr>
            <w:tcW w:w="0" w:type="auto"/>
            <w:tcBorders>
              <w:top w:val="single" w:color="003D6F" w:sz="6" w:space="0"/>
              <w:left w:val="single" w:color="003D6F" w:sz="6" w:space="0"/>
              <w:bottom w:val="single" w:color="003D6F" w:sz="6" w:space="0"/>
              <w:right w:val="single" w:color="003D6F" w:sz="6" w:space="0"/>
            </w:tcBorders>
            <w:hideMark/>
          </w:tcPr>
          <w:p w:rsidRPr="000959DE" w:rsidR="000959DE" w:rsidP="000959DE" w:rsidRDefault="000959DE" w14:paraId="39DF27D6" w14:textId="039A83B6">
            <w:pPr>
              <w:pStyle w:val="TableTextCentered"/>
              <w:rPr>
                <w:rFonts w:ascii="Arial" w:hAnsi="Arial" w:cs="Arial"/>
                <w:szCs w:val="20"/>
              </w:rPr>
            </w:pPr>
            <w:r w:rsidRPr="00B06A68">
              <w:rPr>
                <w:rFonts w:ascii="Arial" w:hAnsi="Arial" w:cs="Arial"/>
                <w:szCs w:val="20"/>
              </w:rPr>
              <w:t>0.316</w:t>
            </w:r>
          </w:p>
        </w:tc>
      </w:tr>
    </w:tbl>
    <w:p w:rsidR="00D6610E" w:rsidP="00D6610E" w:rsidRDefault="00D6610E" w14:paraId="6B18692C" w14:textId="77777777">
      <w:pPr>
        <w:pStyle w:val="TableNote"/>
        <w:rPr>
          <w:rFonts w:ascii="Arial" w:hAnsi="Arial" w:cs="Arial"/>
          <w:sz w:val="20"/>
          <w:szCs w:val="20"/>
        </w:rPr>
      </w:pPr>
      <w:r>
        <w:rPr>
          <w:rFonts w:ascii="Arial" w:hAnsi="Arial" w:cs="Arial"/>
          <w:sz w:val="20"/>
          <w:szCs w:val="20"/>
        </w:rPr>
        <w:t>* = Statistically significant at p&lt;.05</w:t>
      </w:r>
    </w:p>
    <w:p w:rsidR="00D6610E" w:rsidP="00D6610E" w:rsidRDefault="00D6610E" w14:paraId="2287BE76" w14:textId="77777777">
      <w:pPr>
        <w:spacing w:before="240"/>
      </w:pPr>
      <w:r>
        <w:t>As shown in Exhibit B3, despite controlling for a variety of demographic aspects, many of these variables remained statistically significantly associated with an individual’s response to the survey.</w:t>
      </w:r>
    </w:p>
    <w:p w:rsidRPr="009C7A4C" w:rsidR="00D6610E" w:rsidP="00BC60FD" w:rsidRDefault="00D6610E" w14:paraId="4CA289E9" w14:textId="77777777">
      <w:pPr>
        <w:pStyle w:val="PBodyText"/>
      </w:pPr>
    </w:p>
    <w:sectPr w:rsidRPr="009C7A4C" w:rsidR="00D6610E" w:rsidSect="007317E8">
      <w:footerReference w:type="default" r:id="rId18"/>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82923" w14:textId="77777777" w:rsidR="008E68AF" w:rsidRDefault="008E68AF">
      <w:r>
        <w:separator/>
      </w:r>
    </w:p>
  </w:endnote>
  <w:endnote w:type="continuationSeparator" w:id="0">
    <w:p w14:paraId="5EBE3E6F" w14:textId="77777777" w:rsidR="008E68AF" w:rsidRDefault="008E68AF">
      <w:r>
        <w:continuationSeparator/>
      </w:r>
    </w:p>
  </w:endnote>
  <w:endnote w:type="continuationNotice" w:id="1">
    <w:p w14:paraId="6FAEC768" w14:textId="77777777" w:rsidR="008E68AF" w:rsidRDefault="008E68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Calibri-Bold">
    <w:panose1 w:val="00000000000000000000"/>
    <w:charset w:val="4D"/>
    <w:family w:val="auto"/>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B6950" w14:textId="77777777" w:rsidR="006101B8" w:rsidRDefault="006101B8">
    <w:pPr>
      <w:spacing w:line="240" w:lineRule="exact"/>
    </w:pPr>
  </w:p>
  <w:p w14:paraId="092420FF" w14:textId="77777777" w:rsidR="006101B8" w:rsidRDefault="006101B8">
    <w:pPr>
      <w:framePr w:w="9505" w:wrap="notBeside" w:vAnchor="text" w:hAnchor="text" w:x="1" w:y="1"/>
      <w:jc w:val="center"/>
    </w:pPr>
    <w:r>
      <w:fldChar w:fldCharType="begin"/>
    </w:r>
    <w:r>
      <w:instrText xml:space="preserve">PAGE </w:instrText>
    </w:r>
    <w:r>
      <w:fldChar w:fldCharType="separate"/>
    </w:r>
    <w:r>
      <w:rPr>
        <w:noProof/>
      </w:rPr>
      <w:t>ii</w:t>
    </w:r>
    <w:r>
      <w:fldChar w:fldCharType="end"/>
    </w:r>
  </w:p>
  <w:p w14:paraId="4A127EB9" w14:textId="77777777" w:rsidR="006101B8" w:rsidRDefault="006101B8">
    <w:pPr>
      <w:ind w:right="14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8DB4A" w14:textId="77777777" w:rsidR="006101B8" w:rsidRDefault="006101B8">
    <w:pPr>
      <w:spacing w:line="240" w:lineRule="exact"/>
    </w:pPr>
  </w:p>
  <w:p w14:paraId="4DF16413" w14:textId="77777777" w:rsidR="006101B8" w:rsidRDefault="006101B8">
    <w:pPr>
      <w:framePr w:w="9505" w:wrap="notBeside" w:vAnchor="text" w:hAnchor="text" w:x="1" w:y="1"/>
      <w:jc w:val="center"/>
    </w:pPr>
    <w:r>
      <w:fldChar w:fldCharType="begin"/>
    </w:r>
    <w:r>
      <w:instrText xml:space="preserve">PAGE </w:instrText>
    </w:r>
    <w:r>
      <w:fldChar w:fldCharType="separate"/>
    </w:r>
    <w:r>
      <w:rPr>
        <w:noProof/>
      </w:rPr>
      <w:t>ii</w:t>
    </w:r>
    <w:r>
      <w:fldChar w:fldCharType="end"/>
    </w:r>
  </w:p>
  <w:p w14:paraId="4099091A" w14:textId="77777777" w:rsidR="006101B8" w:rsidRDefault="006101B8">
    <w:pPr>
      <w:ind w:right="14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9EA0B" w14:textId="2B19F5CE" w:rsidR="006101B8" w:rsidRPr="00123BBA" w:rsidRDefault="006101B8" w:rsidP="00D543A7">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sidR="00135E1D">
      <w:rPr>
        <w:noProof/>
      </w:rPr>
      <w:t>i</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8B6FE" w14:textId="4E53E2FA" w:rsidR="006101B8" w:rsidRPr="00123BBA" w:rsidRDefault="006101B8" w:rsidP="00123BBA">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sidR="00135E1D">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39D6F" w14:textId="77777777" w:rsidR="008E68AF" w:rsidRDefault="008E68AF">
      <w:r>
        <w:separator/>
      </w:r>
    </w:p>
  </w:footnote>
  <w:footnote w:type="continuationSeparator" w:id="0">
    <w:p w14:paraId="70CA4CC3" w14:textId="77777777" w:rsidR="008E68AF" w:rsidRDefault="008E68AF">
      <w:r>
        <w:continuationSeparator/>
      </w:r>
    </w:p>
  </w:footnote>
  <w:footnote w:type="continuationNotice" w:id="1">
    <w:p w14:paraId="5AEF5731" w14:textId="77777777" w:rsidR="008E68AF" w:rsidRDefault="008E68AF"/>
  </w:footnote>
  <w:footnote w:id="2">
    <w:p w14:paraId="77DC79B1" w14:textId="45FEB89E" w:rsidR="000A5D0E" w:rsidRDefault="000A5D0E" w:rsidP="000A5D0E">
      <w:pPr>
        <w:pStyle w:val="FootnoteText"/>
      </w:pPr>
      <w:r>
        <w:rPr>
          <w:rStyle w:val="FootnoteReference"/>
        </w:rPr>
        <w:footnoteRef/>
      </w:r>
      <w:r>
        <w:t xml:space="preserve"> Health Insurance </w:t>
      </w:r>
      <w:r w:rsidR="007B56F4">
        <w:t>Exchange</w:t>
      </w:r>
      <w:r w:rsidR="007B56F4">
        <w:rPr>
          <w:vertAlign w:val="superscript"/>
        </w:rPr>
        <w:t>SM</w:t>
      </w:r>
      <w:r w:rsidR="007B56F4">
        <w:t xml:space="preserve"> </w:t>
      </w:r>
      <w:r>
        <w:t xml:space="preserve">and </w:t>
      </w:r>
      <w:r w:rsidR="007B56F4">
        <w:t>Exchange</w:t>
      </w:r>
      <w:r w:rsidR="007B56F4">
        <w:rPr>
          <w:vertAlign w:val="superscript"/>
        </w:rPr>
        <w:t>SM</w:t>
      </w:r>
      <w:r w:rsidR="007B56F4">
        <w:t xml:space="preserve"> </w:t>
      </w:r>
      <w:r>
        <w:t>are service marks of the U.S. Department of Health &amp; Human Services.</w:t>
      </w:r>
    </w:p>
  </w:footnote>
  <w:footnote w:id="3">
    <w:p w14:paraId="60357DE6" w14:textId="77777777" w:rsidR="006101B8" w:rsidRDefault="006101B8">
      <w:pPr>
        <w:pStyle w:val="FootnoteText"/>
      </w:pPr>
      <w:r>
        <w:rPr>
          <w:rStyle w:val="FootnoteReference"/>
        </w:rPr>
        <w:footnoteRef/>
      </w:r>
      <w:r>
        <w:t xml:space="preserve"> </w:t>
      </w:r>
      <w:r w:rsidRPr="00597847">
        <w:t>Healthcare Effectiveness Data and Information Set (HEDIS®) is a registered trademark of the National Committee for Quality Assurance (NCQA).</w:t>
      </w:r>
    </w:p>
  </w:footnote>
  <w:footnote w:id="4">
    <w:p w14:paraId="7F2BD178" w14:textId="77777777" w:rsidR="006101B8" w:rsidRDefault="006101B8">
      <w:pPr>
        <w:pStyle w:val="FootnoteText"/>
      </w:pPr>
      <w:r>
        <w:rPr>
          <w:rStyle w:val="FootnoteReference"/>
        </w:rPr>
        <w:footnoteRef/>
      </w:r>
      <w:r>
        <w:t xml:space="preserve"> </w:t>
      </w:r>
      <w:r w:rsidRPr="00DE2CFE">
        <w:t>Dillman, D., Smyth, J., &amp; Christian, L. (2014). </w:t>
      </w:r>
      <w:r w:rsidRPr="00DE2CFE">
        <w:rPr>
          <w:i/>
          <w:iCs/>
        </w:rPr>
        <w:t>Internet, phone, mail, and mixed-mode surveys: The tailored design method</w:t>
      </w:r>
      <w:r w:rsidRPr="00DE2CFE">
        <w:t> (4th ed.). Wiley.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A9F25" w14:textId="77777777" w:rsidR="006101B8" w:rsidRDefault="006101B8" w:rsidP="005A2677">
    <w:pPr>
      <w:pStyle w:val="Header"/>
      <w:pBdr>
        <w:bottom w:val="single" w:sz="4" w:space="1" w:color="000000" w:themeColor="text1"/>
      </w:pBd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E8743" w14:textId="77777777" w:rsidR="006101B8" w:rsidRDefault="006101B8" w:rsidP="005A2677">
    <w:pPr>
      <w:pStyle w:val="Header"/>
      <w:pBdr>
        <w:bottom w:val="single" w:sz="4" w:space="1" w:color="000000" w:themeColor="text1"/>
      </w:pBd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2958B" w14:textId="77777777" w:rsidR="006101B8" w:rsidRDefault="006101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6DB9"/>
    <w:multiLevelType w:val="hybridMultilevel"/>
    <w:tmpl w:val="30FA5CE6"/>
    <w:lvl w:ilvl="0" w:tplc="74BE2A70">
      <w:start w:val="1"/>
      <w:numFmt w:val="bullet"/>
      <w:pStyle w:val="PBullet3"/>
      <w:lvlText w:val=""/>
      <w:lvlJc w:val="left"/>
      <w:pPr>
        <w:ind w:left="1080" w:hanging="360"/>
      </w:pPr>
      <w:rPr>
        <w:rFonts w:ascii="Wingdings" w:hAnsi="Wingdings" w:hint="default"/>
        <w:color w:val="002C5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3563C8"/>
    <w:multiLevelType w:val="hybridMultilevel"/>
    <w:tmpl w:val="400A3A1A"/>
    <w:lvl w:ilvl="0" w:tplc="532C3428">
      <w:start w:val="1"/>
      <w:numFmt w:val="decimal"/>
      <w:pStyle w:val="HIMNumberedList"/>
      <w:lvlText w:val="%1."/>
      <w:lvlJc w:val="left"/>
      <w:pPr>
        <w:ind w:left="2160" w:hanging="360"/>
      </w:pPr>
      <w:rPr>
        <w:rFonts w:hint="default"/>
        <w:b w:val="0"/>
        <w:i w:val="0"/>
      </w:rPr>
    </w:lvl>
    <w:lvl w:ilvl="1" w:tplc="023AC2F6">
      <w:start w:val="1"/>
      <w:numFmt w:val="lowerLetter"/>
      <w:lvlText w:val="%2."/>
      <w:lvlJc w:val="left"/>
      <w:pPr>
        <w:ind w:left="2880" w:hanging="360"/>
      </w:pPr>
    </w:lvl>
    <w:lvl w:ilvl="2" w:tplc="ECB444EC" w:tentative="1">
      <w:start w:val="1"/>
      <w:numFmt w:val="lowerRoman"/>
      <w:lvlText w:val="%3."/>
      <w:lvlJc w:val="right"/>
      <w:pPr>
        <w:ind w:left="3600" w:hanging="180"/>
      </w:pPr>
    </w:lvl>
    <w:lvl w:ilvl="3" w:tplc="6F30E19E" w:tentative="1">
      <w:start w:val="1"/>
      <w:numFmt w:val="decimal"/>
      <w:lvlText w:val="%4."/>
      <w:lvlJc w:val="left"/>
      <w:pPr>
        <w:ind w:left="4320" w:hanging="360"/>
      </w:pPr>
    </w:lvl>
    <w:lvl w:ilvl="4" w:tplc="1EB8E62A" w:tentative="1">
      <w:start w:val="1"/>
      <w:numFmt w:val="lowerLetter"/>
      <w:lvlText w:val="%5."/>
      <w:lvlJc w:val="left"/>
      <w:pPr>
        <w:ind w:left="5040" w:hanging="360"/>
      </w:pPr>
    </w:lvl>
    <w:lvl w:ilvl="5" w:tplc="910C17D6" w:tentative="1">
      <w:start w:val="1"/>
      <w:numFmt w:val="lowerRoman"/>
      <w:lvlText w:val="%6."/>
      <w:lvlJc w:val="right"/>
      <w:pPr>
        <w:ind w:left="5760" w:hanging="180"/>
      </w:pPr>
    </w:lvl>
    <w:lvl w:ilvl="6" w:tplc="BF163F9E" w:tentative="1">
      <w:start w:val="1"/>
      <w:numFmt w:val="decimal"/>
      <w:lvlText w:val="%7."/>
      <w:lvlJc w:val="left"/>
      <w:pPr>
        <w:ind w:left="6480" w:hanging="360"/>
      </w:pPr>
    </w:lvl>
    <w:lvl w:ilvl="7" w:tplc="24BCA720" w:tentative="1">
      <w:start w:val="1"/>
      <w:numFmt w:val="lowerLetter"/>
      <w:lvlText w:val="%8."/>
      <w:lvlJc w:val="left"/>
      <w:pPr>
        <w:ind w:left="7200" w:hanging="360"/>
      </w:pPr>
    </w:lvl>
    <w:lvl w:ilvl="8" w:tplc="1AE6742A" w:tentative="1">
      <w:start w:val="1"/>
      <w:numFmt w:val="lowerRoman"/>
      <w:lvlText w:val="%9."/>
      <w:lvlJc w:val="right"/>
      <w:pPr>
        <w:ind w:left="7920" w:hanging="180"/>
      </w:pPr>
    </w:lvl>
  </w:abstractNum>
  <w:abstractNum w:abstractNumId="2" w15:restartNumberingAfterBreak="0">
    <w:nsid w:val="044B697E"/>
    <w:multiLevelType w:val="hybridMultilevel"/>
    <w:tmpl w:val="D0C25F9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EF850D7"/>
    <w:multiLevelType w:val="hybridMultilevel"/>
    <w:tmpl w:val="5E3474F2"/>
    <w:lvl w:ilvl="0" w:tplc="FEB06892">
      <w:start w:val="1"/>
      <w:numFmt w:val="decimal"/>
      <w:pStyle w:val="PNumberingLast"/>
      <w:lvlText w:val="%1."/>
      <w:lvlJc w:val="left"/>
      <w:pPr>
        <w:tabs>
          <w:tab w:val="num" w:pos="360"/>
        </w:tabs>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3256E92"/>
    <w:multiLevelType w:val="hybridMultilevel"/>
    <w:tmpl w:val="449A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F582E"/>
    <w:multiLevelType w:val="hybridMultilevel"/>
    <w:tmpl w:val="7EAA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8D5CFD"/>
    <w:multiLevelType w:val="hybridMultilevel"/>
    <w:tmpl w:val="E73EDB62"/>
    <w:lvl w:ilvl="0" w:tplc="E174E27C">
      <w:start w:val="1"/>
      <w:numFmt w:val="decimal"/>
      <w:pStyle w:val="PNumbering"/>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80468A"/>
    <w:multiLevelType w:val="hybridMultilevel"/>
    <w:tmpl w:val="5666110E"/>
    <w:lvl w:ilvl="0" w:tplc="C05E7E94">
      <w:start w:val="1"/>
      <w:numFmt w:val="bullet"/>
      <w:pStyle w:val="PBullet2"/>
      <w:lvlText w:val="–"/>
      <w:lvlJc w:val="left"/>
      <w:pPr>
        <w:ind w:left="720" w:hanging="360"/>
      </w:pPr>
      <w:rPr>
        <w:rFonts w:ascii="Times New Roman" w:hAnsi="Times New Roman" w:cs="Times New Roman" w:hint="default"/>
        <w:color w:val="002C5F"/>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E4768D1"/>
    <w:multiLevelType w:val="hybridMultilevel"/>
    <w:tmpl w:val="F030258A"/>
    <w:lvl w:ilvl="0" w:tplc="C986A044">
      <w:start w:val="1"/>
      <w:numFmt w:val="bullet"/>
      <w:pStyle w:val="PTableBullet1"/>
      <w:lvlText w:val=""/>
      <w:lvlJc w:val="left"/>
      <w:pPr>
        <w:tabs>
          <w:tab w:val="num" w:pos="720"/>
        </w:tabs>
        <w:ind w:left="720" w:hanging="360"/>
      </w:pPr>
      <w:rPr>
        <w:rFonts w:ascii="Symbol" w:hAnsi="Symbol" w:cs="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6E7A0F3C"/>
    <w:multiLevelType w:val="singleLevel"/>
    <w:tmpl w:val="FFF64E38"/>
    <w:lvl w:ilvl="0">
      <w:start w:val="1"/>
      <w:numFmt w:val="bullet"/>
      <w:pStyle w:val="PBullet"/>
      <w:lvlText w:val=""/>
      <w:lvlJc w:val="left"/>
      <w:pPr>
        <w:ind w:left="360" w:hanging="360"/>
      </w:pPr>
      <w:rPr>
        <w:rFonts w:ascii="Symbol" w:hAnsi="Symbol" w:hint="default"/>
        <w:color w:val="002C5F"/>
        <w:sz w:val="22"/>
        <w:szCs w:val="20"/>
      </w:rPr>
    </w:lvl>
  </w:abstractNum>
  <w:abstractNum w:abstractNumId="10" w15:restartNumberingAfterBreak="0">
    <w:nsid w:val="75A477F2"/>
    <w:multiLevelType w:val="hybridMultilevel"/>
    <w:tmpl w:val="568EFB2C"/>
    <w:lvl w:ilvl="0" w:tplc="35D6C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4E25BF"/>
    <w:multiLevelType w:val="hybridMultilevel"/>
    <w:tmpl w:val="794A9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8"/>
  </w:num>
  <w:num w:numId="5">
    <w:abstractNumId w:val="3"/>
  </w:num>
  <w:num w:numId="6">
    <w:abstractNumId w:val="6"/>
  </w:num>
  <w:num w:numId="7">
    <w:abstractNumId w:val="4"/>
  </w:num>
  <w:num w:numId="8">
    <w:abstractNumId w:val="5"/>
  </w:num>
  <w:num w:numId="9">
    <w:abstractNumId w:val="1"/>
  </w:num>
  <w:num w:numId="10">
    <w:abstractNumId w:val="1"/>
  </w:num>
  <w:num w:numId="11">
    <w:abstractNumId w:val="1"/>
    <w:lvlOverride w:ilvl="0">
      <w:startOverride w:val="1"/>
    </w:lvlOverride>
  </w:num>
  <w:num w:numId="12">
    <w:abstractNumId w:val="10"/>
  </w:num>
  <w:num w:numId="13">
    <w:abstractNumId w:val="11"/>
  </w:num>
  <w:num w:numId="14">
    <w:abstractNumId w:val="7"/>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46339CF-E70D-45E8-A0D6-095E3C296225}"/>
    <w:docVar w:name="dgnword-eventsink" w:val="86329400"/>
  </w:docVars>
  <w:rsids>
    <w:rsidRoot w:val="000F3AF4"/>
    <w:rsid w:val="000062FD"/>
    <w:rsid w:val="000107C3"/>
    <w:rsid w:val="00011A63"/>
    <w:rsid w:val="00013863"/>
    <w:rsid w:val="00013902"/>
    <w:rsid w:val="0002081D"/>
    <w:rsid w:val="0002329D"/>
    <w:rsid w:val="000235BF"/>
    <w:rsid w:val="0002449A"/>
    <w:rsid w:val="00025491"/>
    <w:rsid w:val="000254BC"/>
    <w:rsid w:val="00026F42"/>
    <w:rsid w:val="00030635"/>
    <w:rsid w:val="00032024"/>
    <w:rsid w:val="00032167"/>
    <w:rsid w:val="00032536"/>
    <w:rsid w:val="00032D26"/>
    <w:rsid w:val="00033444"/>
    <w:rsid w:val="00036EC2"/>
    <w:rsid w:val="0004078A"/>
    <w:rsid w:val="00040E5F"/>
    <w:rsid w:val="00043982"/>
    <w:rsid w:val="000449E9"/>
    <w:rsid w:val="00045D80"/>
    <w:rsid w:val="000468FF"/>
    <w:rsid w:val="00047EC0"/>
    <w:rsid w:val="00050261"/>
    <w:rsid w:val="00050F30"/>
    <w:rsid w:val="000518F4"/>
    <w:rsid w:val="00053E33"/>
    <w:rsid w:val="000606EB"/>
    <w:rsid w:val="00061691"/>
    <w:rsid w:val="0006216A"/>
    <w:rsid w:val="000621C4"/>
    <w:rsid w:val="00062CF8"/>
    <w:rsid w:val="00064D0C"/>
    <w:rsid w:val="00066100"/>
    <w:rsid w:val="000675E5"/>
    <w:rsid w:val="00072C48"/>
    <w:rsid w:val="00073BA4"/>
    <w:rsid w:val="000761A2"/>
    <w:rsid w:val="0007786D"/>
    <w:rsid w:val="00082698"/>
    <w:rsid w:val="00082735"/>
    <w:rsid w:val="00082A7F"/>
    <w:rsid w:val="00084283"/>
    <w:rsid w:val="00087006"/>
    <w:rsid w:val="0008729D"/>
    <w:rsid w:val="00090BD3"/>
    <w:rsid w:val="00092676"/>
    <w:rsid w:val="000959DE"/>
    <w:rsid w:val="00096197"/>
    <w:rsid w:val="000A120F"/>
    <w:rsid w:val="000A157C"/>
    <w:rsid w:val="000A4F1B"/>
    <w:rsid w:val="000A5D0E"/>
    <w:rsid w:val="000B16C4"/>
    <w:rsid w:val="000B2A1F"/>
    <w:rsid w:val="000B3259"/>
    <w:rsid w:val="000B44B7"/>
    <w:rsid w:val="000B6421"/>
    <w:rsid w:val="000C15BE"/>
    <w:rsid w:val="000C2A7F"/>
    <w:rsid w:val="000C5C1C"/>
    <w:rsid w:val="000C606A"/>
    <w:rsid w:val="000C76A3"/>
    <w:rsid w:val="000C7C35"/>
    <w:rsid w:val="000D05FE"/>
    <w:rsid w:val="000D0EE0"/>
    <w:rsid w:val="000D0EFB"/>
    <w:rsid w:val="000D137E"/>
    <w:rsid w:val="000D2535"/>
    <w:rsid w:val="000D4EF2"/>
    <w:rsid w:val="000D628F"/>
    <w:rsid w:val="000D6E7E"/>
    <w:rsid w:val="000D725B"/>
    <w:rsid w:val="000E08DA"/>
    <w:rsid w:val="000E0A34"/>
    <w:rsid w:val="000E0B9F"/>
    <w:rsid w:val="000E0E09"/>
    <w:rsid w:val="000E48EA"/>
    <w:rsid w:val="000E5EBE"/>
    <w:rsid w:val="000F099B"/>
    <w:rsid w:val="000F1134"/>
    <w:rsid w:val="000F39BF"/>
    <w:rsid w:val="000F3AF4"/>
    <w:rsid w:val="000F3E7F"/>
    <w:rsid w:val="000F3F6B"/>
    <w:rsid w:val="000F55C1"/>
    <w:rsid w:val="000F6E6D"/>
    <w:rsid w:val="00101960"/>
    <w:rsid w:val="00101D3E"/>
    <w:rsid w:val="001042EF"/>
    <w:rsid w:val="00110CDD"/>
    <w:rsid w:val="0011228D"/>
    <w:rsid w:val="0011252B"/>
    <w:rsid w:val="001130BB"/>
    <w:rsid w:val="00114DEB"/>
    <w:rsid w:val="001150A0"/>
    <w:rsid w:val="00115A62"/>
    <w:rsid w:val="00117095"/>
    <w:rsid w:val="00120A98"/>
    <w:rsid w:val="001213EF"/>
    <w:rsid w:val="001237FE"/>
    <w:rsid w:val="00123BBA"/>
    <w:rsid w:val="00124FA0"/>
    <w:rsid w:val="001257F2"/>
    <w:rsid w:val="00126771"/>
    <w:rsid w:val="00130619"/>
    <w:rsid w:val="0013106A"/>
    <w:rsid w:val="00132414"/>
    <w:rsid w:val="001324F3"/>
    <w:rsid w:val="00132EB4"/>
    <w:rsid w:val="0013340D"/>
    <w:rsid w:val="00135E1D"/>
    <w:rsid w:val="00137349"/>
    <w:rsid w:val="00144044"/>
    <w:rsid w:val="0014491A"/>
    <w:rsid w:val="001449F4"/>
    <w:rsid w:val="00146343"/>
    <w:rsid w:val="0014657B"/>
    <w:rsid w:val="00146F67"/>
    <w:rsid w:val="001472B0"/>
    <w:rsid w:val="00147B7E"/>
    <w:rsid w:val="00147D04"/>
    <w:rsid w:val="00151FE0"/>
    <w:rsid w:val="00152E8F"/>
    <w:rsid w:val="00160A56"/>
    <w:rsid w:val="0016113E"/>
    <w:rsid w:val="00163A1F"/>
    <w:rsid w:val="001659EB"/>
    <w:rsid w:val="00165D39"/>
    <w:rsid w:val="0016702C"/>
    <w:rsid w:val="00171185"/>
    <w:rsid w:val="00171AB1"/>
    <w:rsid w:val="00171D28"/>
    <w:rsid w:val="00174215"/>
    <w:rsid w:val="001761E8"/>
    <w:rsid w:val="001777A9"/>
    <w:rsid w:val="0018576F"/>
    <w:rsid w:val="0019030E"/>
    <w:rsid w:val="001926BF"/>
    <w:rsid w:val="00196AB4"/>
    <w:rsid w:val="001976BF"/>
    <w:rsid w:val="00197D66"/>
    <w:rsid w:val="001A1169"/>
    <w:rsid w:val="001A1E57"/>
    <w:rsid w:val="001A53FC"/>
    <w:rsid w:val="001A5476"/>
    <w:rsid w:val="001B2255"/>
    <w:rsid w:val="001B5859"/>
    <w:rsid w:val="001B5D2A"/>
    <w:rsid w:val="001B679E"/>
    <w:rsid w:val="001B6FC9"/>
    <w:rsid w:val="001B7211"/>
    <w:rsid w:val="001C19D9"/>
    <w:rsid w:val="001C2075"/>
    <w:rsid w:val="001C2612"/>
    <w:rsid w:val="001C34AB"/>
    <w:rsid w:val="001C3CCC"/>
    <w:rsid w:val="001C5559"/>
    <w:rsid w:val="001C5BB4"/>
    <w:rsid w:val="001C5F44"/>
    <w:rsid w:val="001C600D"/>
    <w:rsid w:val="001C66D5"/>
    <w:rsid w:val="001D0C87"/>
    <w:rsid w:val="001D1910"/>
    <w:rsid w:val="001D3336"/>
    <w:rsid w:val="001D3763"/>
    <w:rsid w:val="001D476E"/>
    <w:rsid w:val="001D66D4"/>
    <w:rsid w:val="001D7407"/>
    <w:rsid w:val="001D7AE8"/>
    <w:rsid w:val="001E22D4"/>
    <w:rsid w:val="001E32A1"/>
    <w:rsid w:val="001E5746"/>
    <w:rsid w:val="001E6FCC"/>
    <w:rsid w:val="001E78AE"/>
    <w:rsid w:val="001F129E"/>
    <w:rsid w:val="001F1C86"/>
    <w:rsid w:val="001F2818"/>
    <w:rsid w:val="001F2AA9"/>
    <w:rsid w:val="001F2B28"/>
    <w:rsid w:val="0020027F"/>
    <w:rsid w:val="00200FA6"/>
    <w:rsid w:val="002018AD"/>
    <w:rsid w:val="00206D2D"/>
    <w:rsid w:val="00210529"/>
    <w:rsid w:val="0021149A"/>
    <w:rsid w:val="00212920"/>
    <w:rsid w:val="0021292F"/>
    <w:rsid w:val="00214005"/>
    <w:rsid w:val="00214A4E"/>
    <w:rsid w:val="00214C7C"/>
    <w:rsid w:val="00222374"/>
    <w:rsid w:val="00222794"/>
    <w:rsid w:val="00222A11"/>
    <w:rsid w:val="00223B0E"/>
    <w:rsid w:val="002255EA"/>
    <w:rsid w:val="002259C0"/>
    <w:rsid w:val="00225FB2"/>
    <w:rsid w:val="002263EF"/>
    <w:rsid w:val="00226859"/>
    <w:rsid w:val="002269D9"/>
    <w:rsid w:val="00233896"/>
    <w:rsid w:val="002340F9"/>
    <w:rsid w:val="00234EA1"/>
    <w:rsid w:val="002364D8"/>
    <w:rsid w:val="00241BBD"/>
    <w:rsid w:val="00242442"/>
    <w:rsid w:val="002441EB"/>
    <w:rsid w:val="00245EEA"/>
    <w:rsid w:val="0024764C"/>
    <w:rsid w:val="002509E7"/>
    <w:rsid w:val="002517E4"/>
    <w:rsid w:val="00252D33"/>
    <w:rsid w:val="0025316C"/>
    <w:rsid w:val="002550F1"/>
    <w:rsid w:val="002559B7"/>
    <w:rsid w:val="00263DC4"/>
    <w:rsid w:val="00264EE0"/>
    <w:rsid w:val="0027402A"/>
    <w:rsid w:val="002744C4"/>
    <w:rsid w:val="002747C5"/>
    <w:rsid w:val="00275356"/>
    <w:rsid w:val="002759D2"/>
    <w:rsid w:val="00275E92"/>
    <w:rsid w:val="00282843"/>
    <w:rsid w:val="00284719"/>
    <w:rsid w:val="00284EB5"/>
    <w:rsid w:val="00285CB0"/>
    <w:rsid w:val="00285D4F"/>
    <w:rsid w:val="00286484"/>
    <w:rsid w:val="00287369"/>
    <w:rsid w:val="0028798A"/>
    <w:rsid w:val="00290721"/>
    <w:rsid w:val="002909EC"/>
    <w:rsid w:val="0029758A"/>
    <w:rsid w:val="002A0948"/>
    <w:rsid w:val="002A0C86"/>
    <w:rsid w:val="002A301B"/>
    <w:rsid w:val="002A3614"/>
    <w:rsid w:val="002A3A0A"/>
    <w:rsid w:val="002A4A17"/>
    <w:rsid w:val="002A4BBD"/>
    <w:rsid w:val="002A5386"/>
    <w:rsid w:val="002A58FB"/>
    <w:rsid w:val="002A5D8C"/>
    <w:rsid w:val="002A702B"/>
    <w:rsid w:val="002A709D"/>
    <w:rsid w:val="002A7E04"/>
    <w:rsid w:val="002B14A0"/>
    <w:rsid w:val="002B3933"/>
    <w:rsid w:val="002B4130"/>
    <w:rsid w:val="002B52F1"/>
    <w:rsid w:val="002B699E"/>
    <w:rsid w:val="002C2A45"/>
    <w:rsid w:val="002C43BA"/>
    <w:rsid w:val="002C4F6B"/>
    <w:rsid w:val="002D0579"/>
    <w:rsid w:val="002D237A"/>
    <w:rsid w:val="002D27CF"/>
    <w:rsid w:val="002D4A14"/>
    <w:rsid w:val="002D4FA0"/>
    <w:rsid w:val="002D531C"/>
    <w:rsid w:val="002D6DB8"/>
    <w:rsid w:val="002D7AA3"/>
    <w:rsid w:val="002E0C79"/>
    <w:rsid w:val="002E2D40"/>
    <w:rsid w:val="002E3305"/>
    <w:rsid w:val="002E4EC5"/>
    <w:rsid w:val="002E6E09"/>
    <w:rsid w:val="002E6E23"/>
    <w:rsid w:val="002E7718"/>
    <w:rsid w:val="002E7BE2"/>
    <w:rsid w:val="002F0388"/>
    <w:rsid w:val="002F34EA"/>
    <w:rsid w:val="002F35EE"/>
    <w:rsid w:val="002F700B"/>
    <w:rsid w:val="002F73D0"/>
    <w:rsid w:val="002F7844"/>
    <w:rsid w:val="002F7A45"/>
    <w:rsid w:val="00301C79"/>
    <w:rsid w:val="00301F9D"/>
    <w:rsid w:val="00302D5A"/>
    <w:rsid w:val="003032B8"/>
    <w:rsid w:val="00304BCE"/>
    <w:rsid w:val="0030550A"/>
    <w:rsid w:val="003058EF"/>
    <w:rsid w:val="00305D96"/>
    <w:rsid w:val="00311EF9"/>
    <w:rsid w:val="003125FB"/>
    <w:rsid w:val="003165E9"/>
    <w:rsid w:val="00316D06"/>
    <w:rsid w:val="00322390"/>
    <w:rsid w:val="003238D7"/>
    <w:rsid w:val="00326673"/>
    <w:rsid w:val="00326BA3"/>
    <w:rsid w:val="00327D9B"/>
    <w:rsid w:val="003307CD"/>
    <w:rsid w:val="00331DE7"/>
    <w:rsid w:val="0033253D"/>
    <w:rsid w:val="00333A68"/>
    <w:rsid w:val="00335BE7"/>
    <w:rsid w:val="003362E5"/>
    <w:rsid w:val="00340CB8"/>
    <w:rsid w:val="00341084"/>
    <w:rsid w:val="00341CF4"/>
    <w:rsid w:val="00346358"/>
    <w:rsid w:val="00346AD5"/>
    <w:rsid w:val="00347573"/>
    <w:rsid w:val="00350B2F"/>
    <w:rsid w:val="003536FD"/>
    <w:rsid w:val="0035391B"/>
    <w:rsid w:val="00360859"/>
    <w:rsid w:val="00361D7E"/>
    <w:rsid w:val="00363B87"/>
    <w:rsid w:val="0036404E"/>
    <w:rsid w:val="00364B7C"/>
    <w:rsid w:val="0036541C"/>
    <w:rsid w:val="003659A4"/>
    <w:rsid w:val="003661B1"/>
    <w:rsid w:val="003666FB"/>
    <w:rsid w:val="00367189"/>
    <w:rsid w:val="00370801"/>
    <w:rsid w:val="00371FBE"/>
    <w:rsid w:val="003731A7"/>
    <w:rsid w:val="00374F0D"/>
    <w:rsid w:val="00375AA9"/>
    <w:rsid w:val="00376EF9"/>
    <w:rsid w:val="00381CA0"/>
    <w:rsid w:val="00382B29"/>
    <w:rsid w:val="00383116"/>
    <w:rsid w:val="003837AA"/>
    <w:rsid w:val="00384C34"/>
    <w:rsid w:val="00385493"/>
    <w:rsid w:val="003877B2"/>
    <w:rsid w:val="00390D08"/>
    <w:rsid w:val="00390ED9"/>
    <w:rsid w:val="0039173B"/>
    <w:rsid w:val="00392189"/>
    <w:rsid w:val="00394CB9"/>
    <w:rsid w:val="0039527F"/>
    <w:rsid w:val="00397A32"/>
    <w:rsid w:val="003A226D"/>
    <w:rsid w:val="003A308D"/>
    <w:rsid w:val="003A3A16"/>
    <w:rsid w:val="003A413A"/>
    <w:rsid w:val="003A4D97"/>
    <w:rsid w:val="003A6D86"/>
    <w:rsid w:val="003B03CC"/>
    <w:rsid w:val="003B14B1"/>
    <w:rsid w:val="003B1CDF"/>
    <w:rsid w:val="003B1DDB"/>
    <w:rsid w:val="003B1F6F"/>
    <w:rsid w:val="003B29AD"/>
    <w:rsid w:val="003B2E12"/>
    <w:rsid w:val="003B39CA"/>
    <w:rsid w:val="003B471B"/>
    <w:rsid w:val="003B5604"/>
    <w:rsid w:val="003B7DEA"/>
    <w:rsid w:val="003C02F9"/>
    <w:rsid w:val="003C0347"/>
    <w:rsid w:val="003C1457"/>
    <w:rsid w:val="003C1949"/>
    <w:rsid w:val="003C4CAC"/>
    <w:rsid w:val="003C5649"/>
    <w:rsid w:val="003C7DA6"/>
    <w:rsid w:val="003D0189"/>
    <w:rsid w:val="003D182F"/>
    <w:rsid w:val="003D1BCF"/>
    <w:rsid w:val="003D3CB8"/>
    <w:rsid w:val="003D477E"/>
    <w:rsid w:val="003D6B10"/>
    <w:rsid w:val="003D7549"/>
    <w:rsid w:val="003D75D5"/>
    <w:rsid w:val="003E0215"/>
    <w:rsid w:val="003E1E5B"/>
    <w:rsid w:val="003E1FED"/>
    <w:rsid w:val="003E209C"/>
    <w:rsid w:val="003E4E12"/>
    <w:rsid w:val="003E7704"/>
    <w:rsid w:val="003F0B08"/>
    <w:rsid w:val="003F4B64"/>
    <w:rsid w:val="003F5896"/>
    <w:rsid w:val="003F5CDF"/>
    <w:rsid w:val="004027BB"/>
    <w:rsid w:val="00404A77"/>
    <w:rsid w:val="004055B8"/>
    <w:rsid w:val="00407628"/>
    <w:rsid w:val="00407B46"/>
    <w:rsid w:val="004103D4"/>
    <w:rsid w:val="0041202A"/>
    <w:rsid w:val="00412546"/>
    <w:rsid w:val="00412675"/>
    <w:rsid w:val="00413AD8"/>
    <w:rsid w:val="00417583"/>
    <w:rsid w:val="0042012E"/>
    <w:rsid w:val="004209B0"/>
    <w:rsid w:val="004212FC"/>
    <w:rsid w:val="00421E4A"/>
    <w:rsid w:val="00425862"/>
    <w:rsid w:val="004265E7"/>
    <w:rsid w:val="00426FF5"/>
    <w:rsid w:val="00431038"/>
    <w:rsid w:val="0043122B"/>
    <w:rsid w:val="00432D59"/>
    <w:rsid w:val="004334EC"/>
    <w:rsid w:val="00434BEE"/>
    <w:rsid w:val="00441B89"/>
    <w:rsid w:val="004444CC"/>
    <w:rsid w:val="00444A4E"/>
    <w:rsid w:val="00445509"/>
    <w:rsid w:val="00446985"/>
    <w:rsid w:val="004471D6"/>
    <w:rsid w:val="004474F3"/>
    <w:rsid w:val="0045248F"/>
    <w:rsid w:val="004524CA"/>
    <w:rsid w:val="004543A6"/>
    <w:rsid w:val="00456508"/>
    <w:rsid w:val="00456FA5"/>
    <w:rsid w:val="00460867"/>
    <w:rsid w:val="00462D49"/>
    <w:rsid w:val="00463CF4"/>
    <w:rsid w:val="0046441E"/>
    <w:rsid w:val="00464A1E"/>
    <w:rsid w:val="00464DED"/>
    <w:rsid w:val="00465090"/>
    <w:rsid w:val="00465E69"/>
    <w:rsid w:val="00466782"/>
    <w:rsid w:val="0046760F"/>
    <w:rsid w:val="00470891"/>
    <w:rsid w:val="00470C2C"/>
    <w:rsid w:val="00472916"/>
    <w:rsid w:val="00473F16"/>
    <w:rsid w:val="0047568F"/>
    <w:rsid w:val="00480149"/>
    <w:rsid w:val="004802FE"/>
    <w:rsid w:val="004825F0"/>
    <w:rsid w:val="00482F89"/>
    <w:rsid w:val="00484D50"/>
    <w:rsid w:val="00486C37"/>
    <w:rsid w:val="00491C56"/>
    <w:rsid w:val="004926D2"/>
    <w:rsid w:val="0049501C"/>
    <w:rsid w:val="004962AD"/>
    <w:rsid w:val="00497A83"/>
    <w:rsid w:val="004A397D"/>
    <w:rsid w:val="004A5A0D"/>
    <w:rsid w:val="004A60F6"/>
    <w:rsid w:val="004A68BF"/>
    <w:rsid w:val="004B0149"/>
    <w:rsid w:val="004B17C7"/>
    <w:rsid w:val="004B29F3"/>
    <w:rsid w:val="004B2E29"/>
    <w:rsid w:val="004B2E43"/>
    <w:rsid w:val="004B41B8"/>
    <w:rsid w:val="004B44E8"/>
    <w:rsid w:val="004B5103"/>
    <w:rsid w:val="004B5376"/>
    <w:rsid w:val="004B6800"/>
    <w:rsid w:val="004C06CE"/>
    <w:rsid w:val="004C10CD"/>
    <w:rsid w:val="004C31C3"/>
    <w:rsid w:val="004D05E1"/>
    <w:rsid w:val="004D09DA"/>
    <w:rsid w:val="004D0CAE"/>
    <w:rsid w:val="004D2D4D"/>
    <w:rsid w:val="004D3C89"/>
    <w:rsid w:val="004D432C"/>
    <w:rsid w:val="004D4590"/>
    <w:rsid w:val="004E1B23"/>
    <w:rsid w:val="004E7FA9"/>
    <w:rsid w:val="004F0991"/>
    <w:rsid w:val="004F0FC1"/>
    <w:rsid w:val="004F156F"/>
    <w:rsid w:val="004F173F"/>
    <w:rsid w:val="004F2FB8"/>
    <w:rsid w:val="004F456F"/>
    <w:rsid w:val="004F5BB8"/>
    <w:rsid w:val="00500285"/>
    <w:rsid w:val="005002B6"/>
    <w:rsid w:val="005005C5"/>
    <w:rsid w:val="0050207B"/>
    <w:rsid w:val="00502A8D"/>
    <w:rsid w:val="00512655"/>
    <w:rsid w:val="0051276B"/>
    <w:rsid w:val="00514076"/>
    <w:rsid w:val="005202FB"/>
    <w:rsid w:val="0052092D"/>
    <w:rsid w:val="00520EC3"/>
    <w:rsid w:val="00521312"/>
    <w:rsid w:val="00521A81"/>
    <w:rsid w:val="00524389"/>
    <w:rsid w:val="0052594E"/>
    <w:rsid w:val="00525BB9"/>
    <w:rsid w:val="0052683B"/>
    <w:rsid w:val="00527603"/>
    <w:rsid w:val="0053176A"/>
    <w:rsid w:val="00532AAB"/>
    <w:rsid w:val="00535BD5"/>
    <w:rsid w:val="005362B1"/>
    <w:rsid w:val="00536A7F"/>
    <w:rsid w:val="00540F46"/>
    <w:rsid w:val="0054491C"/>
    <w:rsid w:val="00544F52"/>
    <w:rsid w:val="00544FE5"/>
    <w:rsid w:val="00546FED"/>
    <w:rsid w:val="005506B3"/>
    <w:rsid w:val="00550888"/>
    <w:rsid w:val="00553524"/>
    <w:rsid w:val="00553EDB"/>
    <w:rsid w:val="005540AA"/>
    <w:rsid w:val="00554219"/>
    <w:rsid w:val="0055527E"/>
    <w:rsid w:val="00557FF4"/>
    <w:rsid w:val="00563426"/>
    <w:rsid w:val="00563514"/>
    <w:rsid w:val="00563D78"/>
    <w:rsid w:val="00565B35"/>
    <w:rsid w:val="00566DE5"/>
    <w:rsid w:val="00571741"/>
    <w:rsid w:val="00572227"/>
    <w:rsid w:val="0057226B"/>
    <w:rsid w:val="005760A5"/>
    <w:rsid w:val="00581237"/>
    <w:rsid w:val="005818BC"/>
    <w:rsid w:val="005844E0"/>
    <w:rsid w:val="00590A73"/>
    <w:rsid w:val="00592AA3"/>
    <w:rsid w:val="0059320F"/>
    <w:rsid w:val="00593758"/>
    <w:rsid w:val="005950E9"/>
    <w:rsid w:val="00595860"/>
    <w:rsid w:val="00597847"/>
    <w:rsid w:val="005A03EA"/>
    <w:rsid w:val="005A1560"/>
    <w:rsid w:val="005A1B59"/>
    <w:rsid w:val="005A2677"/>
    <w:rsid w:val="005A2AA4"/>
    <w:rsid w:val="005A2BA0"/>
    <w:rsid w:val="005A2F03"/>
    <w:rsid w:val="005A30EF"/>
    <w:rsid w:val="005A32EC"/>
    <w:rsid w:val="005B077B"/>
    <w:rsid w:val="005B0AE9"/>
    <w:rsid w:val="005B196C"/>
    <w:rsid w:val="005B33FB"/>
    <w:rsid w:val="005B4659"/>
    <w:rsid w:val="005C15F9"/>
    <w:rsid w:val="005C1B9C"/>
    <w:rsid w:val="005C2852"/>
    <w:rsid w:val="005C4926"/>
    <w:rsid w:val="005C4E92"/>
    <w:rsid w:val="005C52BF"/>
    <w:rsid w:val="005C5494"/>
    <w:rsid w:val="005C636A"/>
    <w:rsid w:val="005C65C9"/>
    <w:rsid w:val="005D0610"/>
    <w:rsid w:val="005D078B"/>
    <w:rsid w:val="005D0B90"/>
    <w:rsid w:val="005D1682"/>
    <w:rsid w:val="005D25D6"/>
    <w:rsid w:val="005D3AE0"/>
    <w:rsid w:val="005E45F6"/>
    <w:rsid w:val="005E4B12"/>
    <w:rsid w:val="005E6CF0"/>
    <w:rsid w:val="005F1AFF"/>
    <w:rsid w:val="005F349C"/>
    <w:rsid w:val="005F4B2B"/>
    <w:rsid w:val="005F55F2"/>
    <w:rsid w:val="005F6DEF"/>
    <w:rsid w:val="00602705"/>
    <w:rsid w:val="006043C2"/>
    <w:rsid w:val="0060573B"/>
    <w:rsid w:val="006072D1"/>
    <w:rsid w:val="00607E1D"/>
    <w:rsid w:val="006101B8"/>
    <w:rsid w:val="00610779"/>
    <w:rsid w:val="00610DFA"/>
    <w:rsid w:val="006133D9"/>
    <w:rsid w:val="00613403"/>
    <w:rsid w:val="00614E9F"/>
    <w:rsid w:val="00615198"/>
    <w:rsid w:val="0061551F"/>
    <w:rsid w:val="00615E5F"/>
    <w:rsid w:val="006160D1"/>
    <w:rsid w:val="00617A8E"/>
    <w:rsid w:val="00620B8A"/>
    <w:rsid w:val="0062184D"/>
    <w:rsid w:val="006222B9"/>
    <w:rsid w:val="00624EFC"/>
    <w:rsid w:val="00625CD0"/>
    <w:rsid w:val="0062686A"/>
    <w:rsid w:val="00627F8A"/>
    <w:rsid w:val="006323A5"/>
    <w:rsid w:val="006337A5"/>
    <w:rsid w:val="006341E4"/>
    <w:rsid w:val="006348AF"/>
    <w:rsid w:val="00634E06"/>
    <w:rsid w:val="006358BA"/>
    <w:rsid w:val="00636911"/>
    <w:rsid w:val="006372CA"/>
    <w:rsid w:val="006373A0"/>
    <w:rsid w:val="0064210E"/>
    <w:rsid w:val="00643090"/>
    <w:rsid w:val="00645C47"/>
    <w:rsid w:val="006464F2"/>
    <w:rsid w:val="006469B7"/>
    <w:rsid w:val="00652D51"/>
    <w:rsid w:val="00652F15"/>
    <w:rsid w:val="006532E8"/>
    <w:rsid w:val="00653713"/>
    <w:rsid w:val="00654146"/>
    <w:rsid w:val="00656AB4"/>
    <w:rsid w:val="00661987"/>
    <w:rsid w:val="00670D99"/>
    <w:rsid w:val="0067323B"/>
    <w:rsid w:val="00673249"/>
    <w:rsid w:val="00673B9E"/>
    <w:rsid w:val="00676004"/>
    <w:rsid w:val="0067652C"/>
    <w:rsid w:val="00677731"/>
    <w:rsid w:val="00680C50"/>
    <w:rsid w:val="006824DD"/>
    <w:rsid w:val="00685781"/>
    <w:rsid w:val="00686622"/>
    <w:rsid w:val="00686D62"/>
    <w:rsid w:val="00695227"/>
    <w:rsid w:val="006A057A"/>
    <w:rsid w:val="006A1733"/>
    <w:rsid w:val="006A1D16"/>
    <w:rsid w:val="006A31B4"/>
    <w:rsid w:val="006A4ACC"/>
    <w:rsid w:val="006A632C"/>
    <w:rsid w:val="006A6E10"/>
    <w:rsid w:val="006A78FF"/>
    <w:rsid w:val="006B314D"/>
    <w:rsid w:val="006B42E5"/>
    <w:rsid w:val="006B47A2"/>
    <w:rsid w:val="006B6842"/>
    <w:rsid w:val="006C07C1"/>
    <w:rsid w:val="006C07E9"/>
    <w:rsid w:val="006C65F0"/>
    <w:rsid w:val="006C697F"/>
    <w:rsid w:val="006C7164"/>
    <w:rsid w:val="006C7FFA"/>
    <w:rsid w:val="006D0E00"/>
    <w:rsid w:val="006D113D"/>
    <w:rsid w:val="006D2B81"/>
    <w:rsid w:val="006D3247"/>
    <w:rsid w:val="006D4C87"/>
    <w:rsid w:val="006D4ED0"/>
    <w:rsid w:val="006D7CB4"/>
    <w:rsid w:val="006E13AB"/>
    <w:rsid w:val="006E4C37"/>
    <w:rsid w:val="006E53FC"/>
    <w:rsid w:val="006E6AEF"/>
    <w:rsid w:val="006F0EF0"/>
    <w:rsid w:val="006F1251"/>
    <w:rsid w:val="006F1CDF"/>
    <w:rsid w:val="006F4EB3"/>
    <w:rsid w:val="006F6CA7"/>
    <w:rsid w:val="00701AFA"/>
    <w:rsid w:val="00701DB4"/>
    <w:rsid w:val="007030CF"/>
    <w:rsid w:val="00703F5F"/>
    <w:rsid w:val="00704066"/>
    <w:rsid w:val="00706915"/>
    <w:rsid w:val="00710E1C"/>
    <w:rsid w:val="0071404B"/>
    <w:rsid w:val="00714E0C"/>
    <w:rsid w:val="007153B0"/>
    <w:rsid w:val="0071554A"/>
    <w:rsid w:val="00716BA4"/>
    <w:rsid w:val="00721800"/>
    <w:rsid w:val="00722178"/>
    <w:rsid w:val="00722BBF"/>
    <w:rsid w:val="007317E8"/>
    <w:rsid w:val="0073180D"/>
    <w:rsid w:val="0073257D"/>
    <w:rsid w:val="0073278A"/>
    <w:rsid w:val="00734005"/>
    <w:rsid w:val="007360E9"/>
    <w:rsid w:val="00737503"/>
    <w:rsid w:val="007426E3"/>
    <w:rsid w:val="00743E6A"/>
    <w:rsid w:val="00744F96"/>
    <w:rsid w:val="00744FA9"/>
    <w:rsid w:val="00746279"/>
    <w:rsid w:val="00747971"/>
    <w:rsid w:val="00747A64"/>
    <w:rsid w:val="00753246"/>
    <w:rsid w:val="00753C8E"/>
    <w:rsid w:val="00754416"/>
    <w:rsid w:val="00754548"/>
    <w:rsid w:val="0075476D"/>
    <w:rsid w:val="00755FE9"/>
    <w:rsid w:val="00760727"/>
    <w:rsid w:val="00761A04"/>
    <w:rsid w:val="00761F67"/>
    <w:rsid w:val="007626FF"/>
    <w:rsid w:val="0077006B"/>
    <w:rsid w:val="00772727"/>
    <w:rsid w:val="00773E92"/>
    <w:rsid w:val="007747B7"/>
    <w:rsid w:val="00776D7D"/>
    <w:rsid w:val="00777072"/>
    <w:rsid w:val="00777891"/>
    <w:rsid w:val="00780439"/>
    <w:rsid w:val="007807D9"/>
    <w:rsid w:val="007815A7"/>
    <w:rsid w:val="007821DA"/>
    <w:rsid w:val="00782263"/>
    <w:rsid w:val="00782BF3"/>
    <w:rsid w:val="0078452C"/>
    <w:rsid w:val="007868E2"/>
    <w:rsid w:val="00786A31"/>
    <w:rsid w:val="00787906"/>
    <w:rsid w:val="00787FA6"/>
    <w:rsid w:val="0079132F"/>
    <w:rsid w:val="00791649"/>
    <w:rsid w:val="00791F97"/>
    <w:rsid w:val="00793A3D"/>
    <w:rsid w:val="00795494"/>
    <w:rsid w:val="00797029"/>
    <w:rsid w:val="007975AB"/>
    <w:rsid w:val="007A1B6F"/>
    <w:rsid w:val="007A21C8"/>
    <w:rsid w:val="007A3C4B"/>
    <w:rsid w:val="007A5088"/>
    <w:rsid w:val="007A5296"/>
    <w:rsid w:val="007A6985"/>
    <w:rsid w:val="007A6DB6"/>
    <w:rsid w:val="007B40CB"/>
    <w:rsid w:val="007B56F4"/>
    <w:rsid w:val="007C023A"/>
    <w:rsid w:val="007C2217"/>
    <w:rsid w:val="007C4E99"/>
    <w:rsid w:val="007C6E11"/>
    <w:rsid w:val="007D0351"/>
    <w:rsid w:val="007D0E99"/>
    <w:rsid w:val="007D2493"/>
    <w:rsid w:val="007D3655"/>
    <w:rsid w:val="007D5014"/>
    <w:rsid w:val="007D53BC"/>
    <w:rsid w:val="007D5C93"/>
    <w:rsid w:val="007D682D"/>
    <w:rsid w:val="007D7471"/>
    <w:rsid w:val="007E1779"/>
    <w:rsid w:val="007E3C1E"/>
    <w:rsid w:val="007F3044"/>
    <w:rsid w:val="00800C2E"/>
    <w:rsid w:val="00801060"/>
    <w:rsid w:val="00801886"/>
    <w:rsid w:val="0080353F"/>
    <w:rsid w:val="00804563"/>
    <w:rsid w:val="00805254"/>
    <w:rsid w:val="00810D79"/>
    <w:rsid w:val="00811BEA"/>
    <w:rsid w:val="008151B4"/>
    <w:rsid w:val="0081695E"/>
    <w:rsid w:val="00821328"/>
    <w:rsid w:val="008221F9"/>
    <w:rsid w:val="00823303"/>
    <w:rsid w:val="008241F3"/>
    <w:rsid w:val="008262BF"/>
    <w:rsid w:val="008274A4"/>
    <w:rsid w:val="008279CD"/>
    <w:rsid w:val="00827AED"/>
    <w:rsid w:val="00827EDB"/>
    <w:rsid w:val="00830626"/>
    <w:rsid w:val="00831932"/>
    <w:rsid w:val="00832A39"/>
    <w:rsid w:val="00841AAB"/>
    <w:rsid w:val="008430F9"/>
    <w:rsid w:val="008436FD"/>
    <w:rsid w:val="00843C82"/>
    <w:rsid w:val="0084786F"/>
    <w:rsid w:val="008500A6"/>
    <w:rsid w:val="00850CD2"/>
    <w:rsid w:val="00850D05"/>
    <w:rsid w:val="00850FA3"/>
    <w:rsid w:val="008522D8"/>
    <w:rsid w:val="00853127"/>
    <w:rsid w:val="00853325"/>
    <w:rsid w:val="00853A3F"/>
    <w:rsid w:val="00853FD1"/>
    <w:rsid w:val="008564A8"/>
    <w:rsid w:val="008619E2"/>
    <w:rsid w:val="008624E7"/>
    <w:rsid w:val="008627AA"/>
    <w:rsid w:val="0086566B"/>
    <w:rsid w:val="008665A7"/>
    <w:rsid w:val="008669C2"/>
    <w:rsid w:val="00870D59"/>
    <w:rsid w:val="008735C4"/>
    <w:rsid w:val="0087510C"/>
    <w:rsid w:val="00876D63"/>
    <w:rsid w:val="008773E9"/>
    <w:rsid w:val="008808F6"/>
    <w:rsid w:val="008835C7"/>
    <w:rsid w:val="00883F00"/>
    <w:rsid w:val="00883FD9"/>
    <w:rsid w:val="0088481A"/>
    <w:rsid w:val="008858CB"/>
    <w:rsid w:val="00887DB7"/>
    <w:rsid w:val="00887DE6"/>
    <w:rsid w:val="00891F92"/>
    <w:rsid w:val="00892489"/>
    <w:rsid w:val="00892926"/>
    <w:rsid w:val="008936CB"/>
    <w:rsid w:val="00894B0F"/>
    <w:rsid w:val="0089556C"/>
    <w:rsid w:val="00897EDD"/>
    <w:rsid w:val="008A1BD5"/>
    <w:rsid w:val="008A1EF9"/>
    <w:rsid w:val="008A2E8B"/>
    <w:rsid w:val="008A4041"/>
    <w:rsid w:val="008A5A63"/>
    <w:rsid w:val="008A5BA3"/>
    <w:rsid w:val="008A6878"/>
    <w:rsid w:val="008A7652"/>
    <w:rsid w:val="008B13EA"/>
    <w:rsid w:val="008B1572"/>
    <w:rsid w:val="008B20A5"/>
    <w:rsid w:val="008B2B68"/>
    <w:rsid w:val="008B560F"/>
    <w:rsid w:val="008B58CB"/>
    <w:rsid w:val="008C140F"/>
    <w:rsid w:val="008C1823"/>
    <w:rsid w:val="008C2806"/>
    <w:rsid w:val="008C38D5"/>
    <w:rsid w:val="008C4191"/>
    <w:rsid w:val="008C70C5"/>
    <w:rsid w:val="008D0CE7"/>
    <w:rsid w:val="008D121A"/>
    <w:rsid w:val="008D1C5D"/>
    <w:rsid w:val="008D1CF1"/>
    <w:rsid w:val="008D340B"/>
    <w:rsid w:val="008D3FB7"/>
    <w:rsid w:val="008D490F"/>
    <w:rsid w:val="008D5636"/>
    <w:rsid w:val="008D6CA6"/>
    <w:rsid w:val="008D6F7B"/>
    <w:rsid w:val="008D72A1"/>
    <w:rsid w:val="008D782D"/>
    <w:rsid w:val="008D7A88"/>
    <w:rsid w:val="008E0364"/>
    <w:rsid w:val="008E2775"/>
    <w:rsid w:val="008E2E7B"/>
    <w:rsid w:val="008E308A"/>
    <w:rsid w:val="008E4E5A"/>
    <w:rsid w:val="008E53AF"/>
    <w:rsid w:val="008E5E7E"/>
    <w:rsid w:val="008E669D"/>
    <w:rsid w:val="008E68AF"/>
    <w:rsid w:val="008E7AC6"/>
    <w:rsid w:val="008F02E6"/>
    <w:rsid w:val="008F1500"/>
    <w:rsid w:val="008F1EB4"/>
    <w:rsid w:val="008F2D8B"/>
    <w:rsid w:val="008F3295"/>
    <w:rsid w:val="008F3B0E"/>
    <w:rsid w:val="008F4724"/>
    <w:rsid w:val="008F693D"/>
    <w:rsid w:val="009007F6"/>
    <w:rsid w:val="00900A5B"/>
    <w:rsid w:val="00904C81"/>
    <w:rsid w:val="00904D54"/>
    <w:rsid w:val="00907B74"/>
    <w:rsid w:val="00911481"/>
    <w:rsid w:val="009158E8"/>
    <w:rsid w:val="009158EF"/>
    <w:rsid w:val="00915ACC"/>
    <w:rsid w:val="00915C79"/>
    <w:rsid w:val="009164E6"/>
    <w:rsid w:val="00916E63"/>
    <w:rsid w:val="00917A48"/>
    <w:rsid w:val="00920667"/>
    <w:rsid w:val="00921CCF"/>
    <w:rsid w:val="00922051"/>
    <w:rsid w:val="00923733"/>
    <w:rsid w:val="00923905"/>
    <w:rsid w:val="00924175"/>
    <w:rsid w:val="0092451E"/>
    <w:rsid w:val="00925243"/>
    <w:rsid w:val="00926EC6"/>
    <w:rsid w:val="00927A25"/>
    <w:rsid w:val="00927F22"/>
    <w:rsid w:val="00927FF0"/>
    <w:rsid w:val="00930ACB"/>
    <w:rsid w:val="009326AF"/>
    <w:rsid w:val="009338FF"/>
    <w:rsid w:val="0094202C"/>
    <w:rsid w:val="0094457D"/>
    <w:rsid w:val="009450C1"/>
    <w:rsid w:val="00946681"/>
    <w:rsid w:val="00947401"/>
    <w:rsid w:val="009478AA"/>
    <w:rsid w:val="00951514"/>
    <w:rsid w:val="0095157C"/>
    <w:rsid w:val="009520FB"/>
    <w:rsid w:val="00952C00"/>
    <w:rsid w:val="0095428D"/>
    <w:rsid w:val="00954481"/>
    <w:rsid w:val="00956861"/>
    <w:rsid w:val="00957519"/>
    <w:rsid w:val="00961E2F"/>
    <w:rsid w:val="00962054"/>
    <w:rsid w:val="009623E1"/>
    <w:rsid w:val="0096652B"/>
    <w:rsid w:val="00967CC6"/>
    <w:rsid w:val="00967F17"/>
    <w:rsid w:val="00970DB3"/>
    <w:rsid w:val="00972DC1"/>
    <w:rsid w:val="00973736"/>
    <w:rsid w:val="009779FB"/>
    <w:rsid w:val="00980B3A"/>
    <w:rsid w:val="00981485"/>
    <w:rsid w:val="00981A07"/>
    <w:rsid w:val="009820D2"/>
    <w:rsid w:val="009844D9"/>
    <w:rsid w:val="00984573"/>
    <w:rsid w:val="0098465D"/>
    <w:rsid w:val="009904FB"/>
    <w:rsid w:val="009907D4"/>
    <w:rsid w:val="00991173"/>
    <w:rsid w:val="009920FD"/>
    <w:rsid w:val="00995FAA"/>
    <w:rsid w:val="0099654A"/>
    <w:rsid w:val="00996E31"/>
    <w:rsid w:val="009A1813"/>
    <w:rsid w:val="009A21C3"/>
    <w:rsid w:val="009A2EC8"/>
    <w:rsid w:val="009A6495"/>
    <w:rsid w:val="009B0031"/>
    <w:rsid w:val="009B0193"/>
    <w:rsid w:val="009B19D0"/>
    <w:rsid w:val="009B23BE"/>
    <w:rsid w:val="009B2B75"/>
    <w:rsid w:val="009B3BFA"/>
    <w:rsid w:val="009B4E4F"/>
    <w:rsid w:val="009B50A3"/>
    <w:rsid w:val="009B5BEC"/>
    <w:rsid w:val="009B5EDA"/>
    <w:rsid w:val="009C0613"/>
    <w:rsid w:val="009C21D8"/>
    <w:rsid w:val="009C5871"/>
    <w:rsid w:val="009D09F1"/>
    <w:rsid w:val="009D0DA9"/>
    <w:rsid w:val="009D28A5"/>
    <w:rsid w:val="009D46D8"/>
    <w:rsid w:val="009D4C9A"/>
    <w:rsid w:val="009D55AB"/>
    <w:rsid w:val="009D59F2"/>
    <w:rsid w:val="009D5F1C"/>
    <w:rsid w:val="009D6485"/>
    <w:rsid w:val="009D66A9"/>
    <w:rsid w:val="009E049B"/>
    <w:rsid w:val="009E08E3"/>
    <w:rsid w:val="009E3854"/>
    <w:rsid w:val="009E4BF4"/>
    <w:rsid w:val="009F0519"/>
    <w:rsid w:val="009F3040"/>
    <w:rsid w:val="009F4B87"/>
    <w:rsid w:val="009F567E"/>
    <w:rsid w:val="009F5F1B"/>
    <w:rsid w:val="009F73F4"/>
    <w:rsid w:val="009F7BA1"/>
    <w:rsid w:val="00A03C84"/>
    <w:rsid w:val="00A070CA"/>
    <w:rsid w:val="00A1127C"/>
    <w:rsid w:val="00A1158C"/>
    <w:rsid w:val="00A12651"/>
    <w:rsid w:val="00A12A65"/>
    <w:rsid w:val="00A1461C"/>
    <w:rsid w:val="00A14C33"/>
    <w:rsid w:val="00A150C6"/>
    <w:rsid w:val="00A1566D"/>
    <w:rsid w:val="00A158ED"/>
    <w:rsid w:val="00A220EB"/>
    <w:rsid w:val="00A225FE"/>
    <w:rsid w:val="00A25A30"/>
    <w:rsid w:val="00A267F5"/>
    <w:rsid w:val="00A2712D"/>
    <w:rsid w:val="00A31932"/>
    <w:rsid w:val="00A32CCE"/>
    <w:rsid w:val="00A4148B"/>
    <w:rsid w:val="00A41BFD"/>
    <w:rsid w:val="00A426BD"/>
    <w:rsid w:val="00A45D74"/>
    <w:rsid w:val="00A46C82"/>
    <w:rsid w:val="00A5071E"/>
    <w:rsid w:val="00A5236D"/>
    <w:rsid w:val="00A524DF"/>
    <w:rsid w:val="00A525F9"/>
    <w:rsid w:val="00A5632A"/>
    <w:rsid w:val="00A60E07"/>
    <w:rsid w:val="00A61E25"/>
    <w:rsid w:val="00A6211E"/>
    <w:rsid w:val="00A638A5"/>
    <w:rsid w:val="00A639DF"/>
    <w:rsid w:val="00A66139"/>
    <w:rsid w:val="00A677FF"/>
    <w:rsid w:val="00A67D6B"/>
    <w:rsid w:val="00A67EDE"/>
    <w:rsid w:val="00A70AB9"/>
    <w:rsid w:val="00A70B3F"/>
    <w:rsid w:val="00A72694"/>
    <w:rsid w:val="00A72C6D"/>
    <w:rsid w:val="00A77C24"/>
    <w:rsid w:val="00A8214B"/>
    <w:rsid w:val="00A832C0"/>
    <w:rsid w:val="00A91CE2"/>
    <w:rsid w:val="00A92590"/>
    <w:rsid w:val="00A92BAE"/>
    <w:rsid w:val="00A934E2"/>
    <w:rsid w:val="00A93891"/>
    <w:rsid w:val="00A948AB"/>
    <w:rsid w:val="00A9620D"/>
    <w:rsid w:val="00A97139"/>
    <w:rsid w:val="00AA165B"/>
    <w:rsid w:val="00AA1D08"/>
    <w:rsid w:val="00AA38D8"/>
    <w:rsid w:val="00AB20CB"/>
    <w:rsid w:val="00AB2F07"/>
    <w:rsid w:val="00AB2F1F"/>
    <w:rsid w:val="00AB35FB"/>
    <w:rsid w:val="00AB3844"/>
    <w:rsid w:val="00AB3893"/>
    <w:rsid w:val="00AB65D5"/>
    <w:rsid w:val="00AB6EDD"/>
    <w:rsid w:val="00AC016E"/>
    <w:rsid w:val="00AC090F"/>
    <w:rsid w:val="00AC1C7B"/>
    <w:rsid w:val="00AC4AC4"/>
    <w:rsid w:val="00AC509E"/>
    <w:rsid w:val="00AC5EA5"/>
    <w:rsid w:val="00AD022B"/>
    <w:rsid w:val="00AD2DD3"/>
    <w:rsid w:val="00AD360E"/>
    <w:rsid w:val="00AD3717"/>
    <w:rsid w:val="00AD49AE"/>
    <w:rsid w:val="00AE0200"/>
    <w:rsid w:val="00AE1F8F"/>
    <w:rsid w:val="00AE23C2"/>
    <w:rsid w:val="00AE333C"/>
    <w:rsid w:val="00AE35CE"/>
    <w:rsid w:val="00AE39B6"/>
    <w:rsid w:val="00AE5275"/>
    <w:rsid w:val="00AE58CD"/>
    <w:rsid w:val="00AE71D3"/>
    <w:rsid w:val="00AE722D"/>
    <w:rsid w:val="00AF0629"/>
    <w:rsid w:val="00AF0805"/>
    <w:rsid w:val="00AF67D4"/>
    <w:rsid w:val="00AF7081"/>
    <w:rsid w:val="00AF75CB"/>
    <w:rsid w:val="00B009DF"/>
    <w:rsid w:val="00B03A09"/>
    <w:rsid w:val="00B04F0A"/>
    <w:rsid w:val="00B06089"/>
    <w:rsid w:val="00B06A68"/>
    <w:rsid w:val="00B06BDF"/>
    <w:rsid w:val="00B07255"/>
    <w:rsid w:val="00B14A81"/>
    <w:rsid w:val="00B15470"/>
    <w:rsid w:val="00B15514"/>
    <w:rsid w:val="00B15ED7"/>
    <w:rsid w:val="00B16D4B"/>
    <w:rsid w:val="00B17108"/>
    <w:rsid w:val="00B17E16"/>
    <w:rsid w:val="00B20099"/>
    <w:rsid w:val="00B20FAB"/>
    <w:rsid w:val="00B2185F"/>
    <w:rsid w:val="00B22C8A"/>
    <w:rsid w:val="00B27BB0"/>
    <w:rsid w:val="00B31098"/>
    <w:rsid w:val="00B333A3"/>
    <w:rsid w:val="00B334D7"/>
    <w:rsid w:val="00B335C8"/>
    <w:rsid w:val="00B3367A"/>
    <w:rsid w:val="00B34033"/>
    <w:rsid w:val="00B35C4A"/>
    <w:rsid w:val="00B4055F"/>
    <w:rsid w:val="00B43133"/>
    <w:rsid w:val="00B473D1"/>
    <w:rsid w:val="00B476EA"/>
    <w:rsid w:val="00B47C3B"/>
    <w:rsid w:val="00B533BD"/>
    <w:rsid w:val="00B53D14"/>
    <w:rsid w:val="00B542D6"/>
    <w:rsid w:val="00B54A2D"/>
    <w:rsid w:val="00B565A9"/>
    <w:rsid w:val="00B5716C"/>
    <w:rsid w:val="00B63112"/>
    <w:rsid w:val="00B66436"/>
    <w:rsid w:val="00B66814"/>
    <w:rsid w:val="00B702A1"/>
    <w:rsid w:val="00B71CBA"/>
    <w:rsid w:val="00B7514A"/>
    <w:rsid w:val="00B77411"/>
    <w:rsid w:val="00B81CF1"/>
    <w:rsid w:val="00B84408"/>
    <w:rsid w:val="00B855D0"/>
    <w:rsid w:val="00B910E4"/>
    <w:rsid w:val="00B92AC4"/>
    <w:rsid w:val="00B92FC5"/>
    <w:rsid w:val="00BA074C"/>
    <w:rsid w:val="00BA0834"/>
    <w:rsid w:val="00BA3182"/>
    <w:rsid w:val="00BA38F4"/>
    <w:rsid w:val="00BA3F15"/>
    <w:rsid w:val="00BA5246"/>
    <w:rsid w:val="00BA7125"/>
    <w:rsid w:val="00BA76AE"/>
    <w:rsid w:val="00BB0173"/>
    <w:rsid w:val="00BB017B"/>
    <w:rsid w:val="00BB0BBC"/>
    <w:rsid w:val="00BB0D9D"/>
    <w:rsid w:val="00BB313B"/>
    <w:rsid w:val="00BB3E5B"/>
    <w:rsid w:val="00BB79DA"/>
    <w:rsid w:val="00BC3757"/>
    <w:rsid w:val="00BC50AD"/>
    <w:rsid w:val="00BC60FD"/>
    <w:rsid w:val="00BC6791"/>
    <w:rsid w:val="00BC69F4"/>
    <w:rsid w:val="00BD02FE"/>
    <w:rsid w:val="00BD1182"/>
    <w:rsid w:val="00BD12BB"/>
    <w:rsid w:val="00BD1509"/>
    <w:rsid w:val="00BD1C44"/>
    <w:rsid w:val="00BD29CD"/>
    <w:rsid w:val="00BD2FE7"/>
    <w:rsid w:val="00BD4495"/>
    <w:rsid w:val="00BD5664"/>
    <w:rsid w:val="00BD5983"/>
    <w:rsid w:val="00BD6AE0"/>
    <w:rsid w:val="00BD75FB"/>
    <w:rsid w:val="00BD7791"/>
    <w:rsid w:val="00BD79AD"/>
    <w:rsid w:val="00BE11C2"/>
    <w:rsid w:val="00BE4F5E"/>
    <w:rsid w:val="00BE50FE"/>
    <w:rsid w:val="00BE5DAA"/>
    <w:rsid w:val="00BE6EDA"/>
    <w:rsid w:val="00BE7E0C"/>
    <w:rsid w:val="00BF234C"/>
    <w:rsid w:val="00BF242C"/>
    <w:rsid w:val="00BF27A0"/>
    <w:rsid w:val="00BF28CF"/>
    <w:rsid w:val="00C020A4"/>
    <w:rsid w:val="00C02894"/>
    <w:rsid w:val="00C038FD"/>
    <w:rsid w:val="00C04F42"/>
    <w:rsid w:val="00C05EDC"/>
    <w:rsid w:val="00C072D5"/>
    <w:rsid w:val="00C07F74"/>
    <w:rsid w:val="00C1217C"/>
    <w:rsid w:val="00C12FC1"/>
    <w:rsid w:val="00C14020"/>
    <w:rsid w:val="00C1509F"/>
    <w:rsid w:val="00C158BB"/>
    <w:rsid w:val="00C15D7F"/>
    <w:rsid w:val="00C15DC8"/>
    <w:rsid w:val="00C17FBC"/>
    <w:rsid w:val="00C214A5"/>
    <w:rsid w:val="00C246B9"/>
    <w:rsid w:val="00C26A52"/>
    <w:rsid w:val="00C3126D"/>
    <w:rsid w:val="00C334CF"/>
    <w:rsid w:val="00C35550"/>
    <w:rsid w:val="00C37B13"/>
    <w:rsid w:val="00C40293"/>
    <w:rsid w:val="00C436A3"/>
    <w:rsid w:val="00C44F0A"/>
    <w:rsid w:val="00C45471"/>
    <w:rsid w:val="00C47E01"/>
    <w:rsid w:val="00C50721"/>
    <w:rsid w:val="00C531D1"/>
    <w:rsid w:val="00C539AF"/>
    <w:rsid w:val="00C540DC"/>
    <w:rsid w:val="00C54C6F"/>
    <w:rsid w:val="00C55BBB"/>
    <w:rsid w:val="00C57E55"/>
    <w:rsid w:val="00C61030"/>
    <w:rsid w:val="00C622AA"/>
    <w:rsid w:val="00C649E2"/>
    <w:rsid w:val="00C64C5B"/>
    <w:rsid w:val="00C653D0"/>
    <w:rsid w:val="00C66496"/>
    <w:rsid w:val="00C67B58"/>
    <w:rsid w:val="00C702B4"/>
    <w:rsid w:val="00C7037F"/>
    <w:rsid w:val="00C7103F"/>
    <w:rsid w:val="00C71F14"/>
    <w:rsid w:val="00C741E6"/>
    <w:rsid w:val="00C76274"/>
    <w:rsid w:val="00C77AD4"/>
    <w:rsid w:val="00C804AB"/>
    <w:rsid w:val="00C80577"/>
    <w:rsid w:val="00C84A38"/>
    <w:rsid w:val="00C85379"/>
    <w:rsid w:val="00C87930"/>
    <w:rsid w:val="00C87C4B"/>
    <w:rsid w:val="00C910F6"/>
    <w:rsid w:val="00C962B9"/>
    <w:rsid w:val="00C96FC8"/>
    <w:rsid w:val="00C9755A"/>
    <w:rsid w:val="00CA13DB"/>
    <w:rsid w:val="00CA296D"/>
    <w:rsid w:val="00CA3507"/>
    <w:rsid w:val="00CA4DEB"/>
    <w:rsid w:val="00CA4E98"/>
    <w:rsid w:val="00CA624D"/>
    <w:rsid w:val="00CA7232"/>
    <w:rsid w:val="00CA7542"/>
    <w:rsid w:val="00CB0A15"/>
    <w:rsid w:val="00CB25E1"/>
    <w:rsid w:val="00CB358C"/>
    <w:rsid w:val="00CB4D30"/>
    <w:rsid w:val="00CC079E"/>
    <w:rsid w:val="00CC1137"/>
    <w:rsid w:val="00CC506E"/>
    <w:rsid w:val="00CC6E9F"/>
    <w:rsid w:val="00CD1415"/>
    <w:rsid w:val="00CD3008"/>
    <w:rsid w:val="00CD4EDB"/>
    <w:rsid w:val="00CD5957"/>
    <w:rsid w:val="00CD6759"/>
    <w:rsid w:val="00CD6E8B"/>
    <w:rsid w:val="00CD776E"/>
    <w:rsid w:val="00CE00F1"/>
    <w:rsid w:val="00CE01F6"/>
    <w:rsid w:val="00CE1EF8"/>
    <w:rsid w:val="00CE28F8"/>
    <w:rsid w:val="00CE3F30"/>
    <w:rsid w:val="00CE7AEE"/>
    <w:rsid w:val="00CE7D5E"/>
    <w:rsid w:val="00CF0270"/>
    <w:rsid w:val="00CF0CF2"/>
    <w:rsid w:val="00CF1AE4"/>
    <w:rsid w:val="00CF2623"/>
    <w:rsid w:val="00CF3681"/>
    <w:rsid w:val="00D02189"/>
    <w:rsid w:val="00D02339"/>
    <w:rsid w:val="00D02A2B"/>
    <w:rsid w:val="00D02CB3"/>
    <w:rsid w:val="00D036A0"/>
    <w:rsid w:val="00D06455"/>
    <w:rsid w:val="00D06AEA"/>
    <w:rsid w:val="00D119ED"/>
    <w:rsid w:val="00D177D9"/>
    <w:rsid w:val="00D20E83"/>
    <w:rsid w:val="00D218C4"/>
    <w:rsid w:val="00D230BC"/>
    <w:rsid w:val="00D24089"/>
    <w:rsid w:val="00D2483D"/>
    <w:rsid w:val="00D2488F"/>
    <w:rsid w:val="00D26AD9"/>
    <w:rsid w:val="00D26E90"/>
    <w:rsid w:val="00D30389"/>
    <w:rsid w:val="00D3038D"/>
    <w:rsid w:val="00D30F6A"/>
    <w:rsid w:val="00D32464"/>
    <w:rsid w:val="00D32757"/>
    <w:rsid w:val="00D3293D"/>
    <w:rsid w:val="00D358E5"/>
    <w:rsid w:val="00D3731D"/>
    <w:rsid w:val="00D44287"/>
    <w:rsid w:val="00D45FD0"/>
    <w:rsid w:val="00D466CB"/>
    <w:rsid w:val="00D51018"/>
    <w:rsid w:val="00D5159B"/>
    <w:rsid w:val="00D52177"/>
    <w:rsid w:val="00D543A7"/>
    <w:rsid w:val="00D55174"/>
    <w:rsid w:val="00D61684"/>
    <w:rsid w:val="00D634F6"/>
    <w:rsid w:val="00D63939"/>
    <w:rsid w:val="00D6531F"/>
    <w:rsid w:val="00D6569C"/>
    <w:rsid w:val="00D6610E"/>
    <w:rsid w:val="00D66BD1"/>
    <w:rsid w:val="00D66EBF"/>
    <w:rsid w:val="00D705B1"/>
    <w:rsid w:val="00D74066"/>
    <w:rsid w:val="00D750ED"/>
    <w:rsid w:val="00D76767"/>
    <w:rsid w:val="00D8110A"/>
    <w:rsid w:val="00D818CC"/>
    <w:rsid w:val="00D8197F"/>
    <w:rsid w:val="00D8243B"/>
    <w:rsid w:val="00D824DF"/>
    <w:rsid w:val="00D82535"/>
    <w:rsid w:val="00D844D6"/>
    <w:rsid w:val="00D84A89"/>
    <w:rsid w:val="00D85BCB"/>
    <w:rsid w:val="00D87A83"/>
    <w:rsid w:val="00D908DB"/>
    <w:rsid w:val="00D933EB"/>
    <w:rsid w:val="00D9429A"/>
    <w:rsid w:val="00D94A6B"/>
    <w:rsid w:val="00D95179"/>
    <w:rsid w:val="00D95531"/>
    <w:rsid w:val="00D961F1"/>
    <w:rsid w:val="00D97C50"/>
    <w:rsid w:val="00DA1072"/>
    <w:rsid w:val="00DA42CC"/>
    <w:rsid w:val="00DA55D9"/>
    <w:rsid w:val="00DA5C3E"/>
    <w:rsid w:val="00DA6485"/>
    <w:rsid w:val="00DA7608"/>
    <w:rsid w:val="00DA77B6"/>
    <w:rsid w:val="00DA7D3E"/>
    <w:rsid w:val="00DB0FA4"/>
    <w:rsid w:val="00DB2074"/>
    <w:rsid w:val="00DB511B"/>
    <w:rsid w:val="00DB5840"/>
    <w:rsid w:val="00DB697E"/>
    <w:rsid w:val="00DC10C1"/>
    <w:rsid w:val="00DC1D46"/>
    <w:rsid w:val="00DC298A"/>
    <w:rsid w:val="00DC2D0F"/>
    <w:rsid w:val="00DC31CB"/>
    <w:rsid w:val="00DC388B"/>
    <w:rsid w:val="00DC4981"/>
    <w:rsid w:val="00DD29E2"/>
    <w:rsid w:val="00DD29E5"/>
    <w:rsid w:val="00DD3538"/>
    <w:rsid w:val="00DD3BCB"/>
    <w:rsid w:val="00DD5527"/>
    <w:rsid w:val="00DE204C"/>
    <w:rsid w:val="00DE2397"/>
    <w:rsid w:val="00DE2CFE"/>
    <w:rsid w:val="00DF0DFD"/>
    <w:rsid w:val="00DF1858"/>
    <w:rsid w:val="00DF3714"/>
    <w:rsid w:val="00DF37DA"/>
    <w:rsid w:val="00DF506E"/>
    <w:rsid w:val="00E01559"/>
    <w:rsid w:val="00E0238F"/>
    <w:rsid w:val="00E02A77"/>
    <w:rsid w:val="00E04747"/>
    <w:rsid w:val="00E04792"/>
    <w:rsid w:val="00E05AF6"/>
    <w:rsid w:val="00E1189C"/>
    <w:rsid w:val="00E136CA"/>
    <w:rsid w:val="00E13EE8"/>
    <w:rsid w:val="00E15095"/>
    <w:rsid w:val="00E15ED0"/>
    <w:rsid w:val="00E171D1"/>
    <w:rsid w:val="00E20B11"/>
    <w:rsid w:val="00E20D99"/>
    <w:rsid w:val="00E21663"/>
    <w:rsid w:val="00E22C65"/>
    <w:rsid w:val="00E26218"/>
    <w:rsid w:val="00E27AC9"/>
    <w:rsid w:val="00E30577"/>
    <w:rsid w:val="00E31CDC"/>
    <w:rsid w:val="00E32E84"/>
    <w:rsid w:val="00E331F3"/>
    <w:rsid w:val="00E351DA"/>
    <w:rsid w:val="00E378B9"/>
    <w:rsid w:val="00E37C40"/>
    <w:rsid w:val="00E418D8"/>
    <w:rsid w:val="00E428AF"/>
    <w:rsid w:val="00E51EB7"/>
    <w:rsid w:val="00E5534B"/>
    <w:rsid w:val="00E564A3"/>
    <w:rsid w:val="00E56A2D"/>
    <w:rsid w:val="00E56CEE"/>
    <w:rsid w:val="00E600C7"/>
    <w:rsid w:val="00E60108"/>
    <w:rsid w:val="00E62784"/>
    <w:rsid w:val="00E63323"/>
    <w:rsid w:val="00E637D6"/>
    <w:rsid w:val="00E63964"/>
    <w:rsid w:val="00E65D11"/>
    <w:rsid w:val="00E664D1"/>
    <w:rsid w:val="00E675A7"/>
    <w:rsid w:val="00E702E8"/>
    <w:rsid w:val="00E7328F"/>
    <w:rsid w:val="00E73CA0"/>
    <w:rsid w:val="00E74EA0"/>
    <w:rsid w:val="00E759DD"/>
    <w:rsid w:val="00E80058"/>
    <w:rsid w:val="00E854EE"/>
    <w:rsid w:val="00E8567F"/>
    <w:rsid w:val="00E879C6"/>
    <w:rsid w:val="00E929D7"/>
    <w:rsid w:val="00E93344"/>
    <w:rsid w:val="00E96488"/>
    <w:rsid w:val="00E97200"/>
    <w:rsid w:val="00EA0A7F"/>
    <w:rsid w:val="00EA136B"/>
    <w:rsid w:val="00EA160A"/>
    <w:rsid w:val="00EA2001"/>
    <w:rsid w:val="00EA2D57"/>
    <w:rsid w:val="00EA31A0"/>
    <w:rsid w:val="00EA3DC0"/>
    <w:rsid w:val="00EA45DE"/>
    <w:rsid w:val="00EA5837"/>
    <w:rsid w:val="00EA5FAF"/>
    <w:rsid w:val="00EB04E3"/>
    <w:rsid w:val="00EB1079"/>
    <w:rsid w:val="00EB5AD7"/>
    <w:rsid w:val="00EC44FA"/>
    <w:rsid w:val="00EC60DD"/>
    <w:rsid w:val="00EC616C"/>
    <w:rsid w:val="00EC6AED"/>
    <w:rsid w:val="00EC7126"/>
    <w:rsid w:val="00ED0598"/>
    <w:rsid w:val="00ED394C"/>
    <w:rsid w:val="00ED6430"/>
    <w:rsid w:val="00ED69CC"/>
    <w:rsid w:val="00ED6E21"/>
    <w:rsid w:val="00ED75AF"/>
    <w:rsid w:val="00EE017D"/>
    <w:rsid w:val="00EE1E8F"/>
    <w:rsid w:val="00EE2000"/>
    <w:rsid w:val="00EE65BD"/>
    <w:rsid w:val="00EE719A"/>
    <w:rsid w:val="00EF2C51"/>
    <w:rsid w:val="00EF2D4A"/>
    <w:rsid w:val="00EF2F83"/>
    <w:rsid w:val="00EF31CA"/>
    <w:rsid w:val="00F02938"/>
    <w:rsid w:val="00F065CD"/>
    <w:rsid w:val="00F06BE7"/>
    <w:rsid w:val="00F134C3"/>
    <w:rsid w:val="00F14435"/>
    <w:rsid w:val="00F15A4D"/>
    <w:rsid w:val="00F179F6"/>
    <w:rsid w:val="00F17E36"/>
    <w:rsid w:val="00F17F4F"/>
    <w:rsid w:val="00F22067"/>
    <w:rsid w:val="00F2339A"/>
    <w:rsid w:val="00F24501"/>
    <w:rsid w:val="00F272BF"/>
    <w:rsid w:val="00F278BC"/>
    <w:rsid w:val="00F279D0"/>
    <w:rsid w:val="00F329C2"/>
    <w:rsid w:val="00F3729A"/>
    <w:rsid w:val="00F4321B"/>
    <w:rsid w:val="00F505C5"/>
    <w:rsid w:val="00F507D7"/>
    <w:rsid w:val="00F51923"/>
    <w:rsid w:val="00F523A8"/>
    <w:rsid w:val="00F52599"/>
    <w:rsid w:val="00F52D7D"/>
    <w:rsid w:val="00F53ADA"/>
    <w:rsid w:val="00F55B94"/>
    <w:rsid w:val="00F55C35"/>
    <w:rsid w:val="00F5630D"/>
    <w:rsid w:val="00F56B99"/>
    <w:rsid w:val="00F57E14"/>
    <w:rsid w:val="00F63B42"/>
    <w:rsid w:val="00F65620"/>
    <w:rsid w:val="00F66BB3"/>
    <w:rsid w:val="00F673AD"/>
    <w:rsid w:val="00F709BD"/>
    <w:rsid w:val="00F71359"/>
    <w:rsid w:val="00F7186D"/>
    <w:rsid w:val="00F727CB"/>
    <w:rsid w:val="00F736A8"/>
    <w:rsid w:val="00F74085"/>
    <w:rsid w:val="00F8168B"/>
    <w:rsid w:val="00F82151"/>
    <w:rsid w:val="00F82C86"/>
    <w:rsid w:val="00F848A9"/>
    <w:rsid w:val="00F86B5F"/>
    <w:rsid w:val="00F86C9D"/>
    <w:rsid w:val="00F90533"/>
    <w:rsid w:val="00F907EC"/>
    <w:rsid w:val="00F91E8F"/>
    <w:rsid w:val="00F923D4"/>
    <w:rsid w:val="00F9478A"/>
    <w:rsid w:val="00F94B6B"/>
    <w:rsid w:val="00F94FBF"/>
    <w:rsid w:val="00F97A80"/>
    <w:rsid w:val="00FA0DCF"/>
    <w:rsid w:val="00FA183C"/>
    <w:rsid w:val="00FA186A"/>
    <w:rsid w:val="00FA1BE2"/>
    <w:rsid w:val="00FA2FCF"/>
    <w:rsid w:val="00FA32EA"/>
    <w:rsid w:val="00FA398C"/>
    <w:rsid w:val="00FA4EF0"/>
    <w:rsid w:val="00FA563C"/>
    <w:rsid w:val="00FA6CEE"/>
    <w:rsid w:val="00FB10E7"/>
    <w:rsid w:val="00FB1143"/>
    <w:rsid w:val="00FB2EF7"/>
    <w:rsid w:val="00FB3C3B"/>
    <w:rsid w:val="00FB4694"/>
    <w:rsid w:val="00FB4744"/>
    <w:rsid w:val="00FB4D60"/>
    <w:rsid w:val="00FB6FE7"/>
    <w:rsid w:val="00FC108A"/>
    <w:rsid w:val="00FC30A4"/>
    <w:rsid w:val="00FC4A1F"/>
    <w:rsid w:val="00FC54A6"/>
    <w:rsid w:val="00FC7FB9"/>
    <w:rsid w:val="00FD01CD"/>
    <w:rsid w:val="00FD1135"/>
    <w:rsid w:val="00FD1B34"/>
    <w:rsid w:val="00FD1D65"/>
    <w:rsid w:val="00FD6504"/>
    <w:rsid w:val="00FE5E2D"/>
    <w:rsid w:val="00FE6A15"/>
    <w:rsid w:val="00FE6F73"/>
    <w:rsid w:val="00FE7CAC"/>
    <w:rsid w:val="00FF0575"/>
    <w:rsid w:val="00FF32FB"/>
    <w:rsid w:val="00FF5526"/>
    <w:rsid w:val="00FF58F8"/>
    <w:rsid w:val="00FF5EE7"/>
    <w:rsid w:val="00FF7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BC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3A7"/>
    <w:rPr>
      <w:rFonts w:cs="Times"/>
      <w:sz w:val="24"/>
      <w:szCs w:val="22"/>
    </w:rPr>
  </w:style>
  <w:style w:type="paragraph" w:styleId="Heading1">
    <w:name w:val="heading 1"/>
    <w:aliases w:val="P.Heading 1"/>
    <w:basedOn w:val="Normal"/>
    <w:next w:val="Normal"/>
    <w:link w:val="Heading1Char"/>
    <w:qFormat/>
    <w:rsid w:val="00123BBA"/>
    <w:pPr>
      <w:keepNext/>
      <w:tabs>
        <w:tab w:val="left" w:pos="360"/>
      </w:tabs>
      <w:spacing w:before="240" w:after="120"/>
      <w:outlineLvl w:val="0"/>
    </w:pPr>
    <w:rPr>
      <w:rFonts w:ascii="Arial" w:hAnsi="Arial" w:cs="Arial"/>
      <w:b/>
      <w:bCs/>
      <w:sz w:val="28"/>
      <w:szCs w:val="28"/>
    </w:rPr>
  </w:style>
  <w:style w:type="paragraph" w:styleId="Heading2">
    <w:name w:val="heading 2"/>
    <w:aliases w:val="p.Heading 2"/>
    <w:basedOn w:val="Normal"/>
    <w:next w:val="Normal"/>
    <w:link w:val="Heading2Char"/>
    <w:uiPriority w:val="99"/>
    <w:qFormat/>
    <w:rsid w:val="005A2677"/>
    <w:pPr>
      <w:keepNext/>
      <w:tabs>
        <w:tab w:val="left" w:pos="720"/>
      </w:tabs>
      <w:spacing w:before="240" w:after="120"/>
      <w:outlineLvl w:val="1"/>
    </w:pPr>
    <w:rPr>
      <w:rFonts w:ascii="Arial" w:hAnsi="Arial" w:cs="Arial"/>
      <w:b/>
      <w:bCs/>
      <w:i/>
      <w:iCs/>
      <w:szCs w:val="20"/>
    </w:rPr>
  </w:style>
  <w:style w:type="paragraph" w:styleId="Heading3">
    <w:name w:val="heading 3"/>
    <w:aliases w:val="P.Heading 3"/>
    <w:basedOn w:val="Normal"/>
    <w:next w:val="Normal"/>
    <w:link w:val="Heading3Char"/>
    <w:uiPriority w:val="9"/>
    <w:qFormat/>
    <w:rsid w:val="00096197"/>
    <w:pPr>
      <w:keepNext/>
      <w:tabs>
        <w:tab w:val="left" w:pos="360"/>
      </w:tabs>
      <w:spacing w:after="120"/>
      <w:outlineLvl w:val="2"/>
    </w:pPr>
    <w:rPr>
      <w:rFonts w:ascii="Arial" w:hAnsi="Arial" w:cs="Arial"/>
      <w:b/>
      <w:bCs/>
      <w:color w:val="000000" w:themeColor="text1"/>
      <w:sz w:val="22"/>
    </w:rPr>
  </w:style>
  <w:style w:type="paragraph" w:styleId="Heading4">
    <w:name w:val="heading 4"/>
    <w:aliases w:val="P.Heading 4"/>
    <w:basedOn w:val="Normal"/>
    <w:next w:val="Normal"/>
    <w:link w:val="Heading4Char"/>
    <w:uiPriority w:val="99"/>
    <w:qFormat/>
    <w:rsid w:val="00D543A7"/>
    <w:pPr>
      <w:keepNext/>
      <w:outlineLvl w:val="3"/>
    </w:pPr>
    <w:rPr>
      <w:rFonts w:ascii="Arial" w:hAnsi="Arial"/>
      <w:b/>
      <w:bCs/>
      <w:i/>
      <w:iCs/>
      <w:color w:val="000000" w:themeColor="text1"/>
      <w:sz w:val="22"/>
      <w:szCs w:val="24"/>
    </w:rPr>
  </w:style>
  <w:style w:type="paragraph" w:styleId="Heading5">
    <w:name w:val="heading 5"/>
    <w:basedOn w:val="Normal"/>
    <w:next w:val="Normal"/>
    <w:link w:val="Heading5Char"/>
    <w:uiPriority w:val="99"/>
    <w:unhideWhenUsed/>
    <w:qFormat/>
    <w:rsid w:val="00D543A7"/>
    <w:pPr>
      <w:keepNext/>
      <w:tabs>
        <w:tab w:val="left" w:pos="1080"/>
      </w:tabs>
      <w:outlineLvl w:val="4"/>
    </w:pPr>
    <w:rPr>
      <w:bCs/>
      <w:i/>
      <w:szCs w:val="24"/>
    </w:rPr>
  </w:style>
  <w:style w:type="paragraph" w:styleId="Heading6">
    <w:name w:val="heading 6"/>
    <w:basedOn w:val="Normal"/>
    <w:next w:val="Normal"/>
    <w:link w:val="Heading6Char"/>
    <w:uiPriority w:val="99"/>
    <w:semiHidden/>
    <w:unhideWhenUsed/>
    <w:qFormat/>
    <w:rsid w:val="00514076"/>
    <w:pPr>
      <w:keepNext/>
      <w:outlineLvl w:val="5"/>
    </w:pPr>
    <w:rPr>
      <w:b/>
      <w:bCs/>
      <w:szCs w:val="24"/>
    </w:rPr>
  </w:style>
  <w:style w:type="paragraph" w:styleId="Heading7">
    <w:name w:val="heading 7"/>
    <w:basedOn w:val="Normal"/>
    <w:next w:val="Normal"/>
    <w:link w:val="Heading7Char"/>
    <w:uiPriority w:val="99"/>
    <w:semiHidden/>
    <w:unhideWhenUsed/>
    <w:qFormat/>
    <w:rsid w:val="00514076"/>
    <w:pPr>
      <w:keepNext/>
      <w:outlineLvl w:val="6"/>
    </w:pPr>
    <w:rPr>
      <w:b/>
      <w:bCs/>
      <w:szCs w:val="24"/>
    </w:rPr>
  </w:style>
  <w:style w:type="paragraph" w:styleId="Heading8">
    <w:name w:val="heading 8"/>
    <w:basedOn w:val="Normal"/>
    <w:next w:val="Normal"/>
    <w:link w:val="Heading8Char"/>
    <w:uiPriority w:val="99"/>
    <w:semiHidden/>
    <w:unhideWhenUsed/>
    <w:qFormat/>
    <w:rsid w:val="00514076"/>
    <w:pPr>
      <w:keepNext/>
      <w:outlineLvl w:val="7"/>
    </w:pPr>
    <w:rPr>
      <w:b/>
      <w:bCs/>
    </w:rPr>
  </w:style>
  <w:style w:type="paragraph" w:styleId="Heading9">
    <w:name w:val="heading 9"/>
    <w:basedOn w:val="Normal"/>
    <w:next w:val="Normal"/>
    <w:link w:val="Heading9Char"/>
    <w:uiPriority w:val="99"/>
    <w:semiHidden/>
    <w:unhideWhenUsed/>
    <w:qFormat/>
    <w:rsid w:val="00514076"/>
    <w:pPr>
      <w:keepNext/>
      <w:outlineLvl w:val="8"/>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qFormat/>
    <w:rsid w:val="00514076"/>
    <w:rPr>
      <w:vertAlign w:val="superscript"/>
    </w:rPr>
  </w:style>
  <w:style w:type="paragraph" w:styleId="Footer">
    <w:name w:val="footer"/>
    <w:basedOn w:val="Normal"/>
    <w:link w:val="FooterChar"/>
    <w:uiPriority w:val="99"/>
    <w:rsid w:val="00514076"/>
    <w:pPr>
      <w:pBdr>
        <w:top w:val="single" w:sz="4" w:space="1" w:color="002C5F"/>
      </w:pBdr>
      <w:tabs>
        <w:tab w:val="center" w:pos="4680"/>
        <w:tab w:val="right" w:pos="9360"/>
      </w:tabs>
    </w:pPr>
  </w:style>
  <w:style w:type="character" w:customStyle="1" w:styleId="FooterChar">
    <w:name w:val="Footer Char"/>
    <w:basedOn w:val="DefaultParagraphFont"/>
    <w:link w:val="Footer"/>
    <w:uiPriority w:val="99"/>
    <w:rsid w:val="00514076"/>
    <w:rPr>
      <w:rFonts w:ascii="Calibri" w:hAnsi="Calibri" w:cs="Times"/>
      <w:sz w:val="24"/>
      <w:szCs w:val="22"/>
    </w:rPr>
  </w:style>
  <w:style w:type="paragraph" w:styleId="Title">
    <w:name w:val="Title"/>
    <w:aliases w:val="Text"/>
    <w:basedOn w:val="Normal"/>
    <w:link w:val="TitleChar"/>
    <w:qFormat/>
    <w:rsid w:val="00123BBA"/>
    <w:pPr>
      <w:spacing w:before="4400" w:after="480"/>
      <w:jc w:val="center"/>
      <w:outlineLvl w:val="0"/>
    </w:pPr>
    <w:rPr>
      <w:rFonts w:ascii="Arial" w:hAnsi="Arial" w:cs="Arial"/>
      <w:b/>
      <w:bCs/>
      <w:color w:val="002C5F"/>
      <w:kern w:val="28"/>
      <w:sz w:val="56"/>
      <w:szCs w:val="72"/>
    </w:rPr>
  </w:style>
  <w:style w:type="character" w:customStyle="1" w:styleId="TitleChar">
    <w:name w:val="Title Char"/>
    <w:aliases w:val="Text Char"/>
    <w:basedOn w:val="DefaultParagraphFont"/>
    <w:link w:val="Title"/>
    <w:rsid w:val="00123BBA"/>
    <w:rPr>
      <w:rFonts w:ascii="Arial" w:hAnsi="Arial" w:cs="Arial"/>
      <w:b/>
      <w:bCs/>
      <w:color w:val="002C5F"/>
      <w:kern w:val="28"/>
      <w:sz w:val="56"/>
      <w:szCs w:val="72"/>
    </w:rPr>
  </w:style>
  <w:style w:type="character" w:styleId="Hyperlink">
    <w:name w:val="Hyperlink"/>
    <w:basedOn w:val="DefaultParagraphFont"/>
    <w:uiPriority w:val="99"/>
    <w:rsid w:val="00514076"/>
    <w:rPr>
      <w:color w:val="0000FF"/>
      <w:u w:val="single"/>
      <w:lang w:val="en-US"/>
    </w:rPr>
  </w:style>
  <w:style w:type="paragraph" w:styleId="TOC1">
    <w:name w:val="toc 1"/>
    <w:basedOn w:val="Normal"/>
    <w:autoRedefine/>
    <w:uiPriority w:val="39"/>
    <w:rsid w:val="00883F00"/>
    <w:pPr>
      <w:tabs>
        <w:tab w:val="left" w:pos="360"/>
        <w:tab w:val="right" w:leader="dot" w:pos="9360"/>
      </w:tabs>
      <w:spacing w:before="120"/>
    </w:pPr>
    <w:rPr>
      <w:b/>
      <w:bCs/>
      <w:szCs w:val="20"/>
    </w:rPr>
  </w:style>
  <w:style w:type="paragraph" w:styleId="TOC2">
    <w:name w:val="toc 2"/>
    <w:basedOn w:val="Normal"/>
    <w:autoRedefine/>
    <w:uiPriority w:val="39"/>
    <w:rsid w:val="00883F00"/>
    <w:pPr>
      <w:tabs>
        <w:tab w:val="left" w:pos="720"/>
        <w:tab w:val="right" w:leader="dot" w:pos="9360"/>
      </w:tabs>
      <w:spacing w:before="120"/>
      <w:ind w:left="360"/>
    </w:pPr>
    <w:rPr>
      <w:szCs w:val="20"/>
    </w:rPr>
  </w:style>
  <w:style w:type="paragraph" w:styleId="TOC4">
    <w:name w:val="toc 4"/>
    <w:basedOn w:val="Normal"/>
    <w:next w:val="Normal"/>
    <w:autoRedefine/>
    <w:uiPriority w:val="39"/>
    <w:rsid w:val="00514076"/>
    <w:pPr>
      <w:tabs>
        <w:tab w:val="right" w:leader="dot" w:pos="9350"/>
      </w:tabs>
      <w:ind w:left="1008"/>
    </w:pPr>
  </w:style>
  <w:style w:type="paragraph" w:styleId="TOC3">
    <w:name w:val="toc 3"/>
    <w:basedOn w:val="Normal"/>
    <w:autoRedefine/>
    <w:uiPriority w:val="39"/>
    <w:rsid w:val="00514076"/>
    <w:pPr>
      <w:tabs>
        <w:tab w:val="left" w:pos="1080"/>
        <w:tab w:val="right" w:leader="dot" w:pos="9360"/>
      </w:tabs>
      <w:ind w:left="720"/>
    </w:pPr>
    <w:rPr>
      <w:szCs w:val="24"/>
    </w:rPr>
  </w:style>
  <w:style w:type="paragraph" w:styleId="TOC5">
    <w:name w:val="toc 5"/>
    <w:basedOn w:val="Normal"/>
    <w:next w:val="Normal"/>
    <w:uiPriority w:val="39"/>
    <w:rsid w:val="00311EF9"/>
    <w:pPr>
      <w:tabs>
        <w:tab w:val="right" w:leader="dot" w:pos="9360"/>
      </w:tabs>
      <w:spacing w:before="40" w:after="40"/>
      <w:ind w:left="1080" w:right="720" w:hanging="1080"/>
    </w:pPr>
    <w:rPr>
      <w:noProof/>
      <w:szCs w:val="20"/>
    </w:rPr>
  </w:style>
  <w:style w:type="paragraph" w:customStyle="1" w:styleId="TOC0">
    <w:name w:val="TOC 0"/>
    <w:basedOn w:val="Normal"/>
    <w:rsid w:val="00311EF9"/>
    <w:pPr>
      <w:spacing w:after="240"/>
      <w:jc w:val="center"/>
    </w:pPr>
    <w:rPr>
      <w:b/>
      <w:caps/>
      <w:sz w:val="28"/>
      <w:szCs w:val="20"/>
    </w:rPr>
  </w:style>
  <w:style w:type="paragraph" w:styleId="Header">
    <w:name w:val="header"/>
    <w:basedOn w:val="Normal"/>
    <w:link w:val="HeaderChar"/>
    <w:uiPriority w:val="99"/>
    <w:rsid w:val="00514076"/>
    <w:pPr>
      <w:pBdr>
        <w:bottom w:val="single" w:sz="4" w:space="1" w:color="auto"/>
      </w:pBdr>
      <w:tabs>
        <w:tab w:val="right" w:pos="9360"/>
      </w:tabs>
    </w:pPr>
    <w:rPr>
      <w:rFonts w:cs="Arial"/>
      <w:i/>
      <w:iCs/>
      <w:color w:val="005295"/>
      <w:sz w:val="20"/>
      <w:szCs w:val="18"/>
    </w:rPr>
  </w:style>
  <w:style w:type="character" w:customStyle="1" w:styleId="HeaderChar">
    <w:name w:val="Header Char"/>
    <w:basedOn w:val="DefaultParagraphFont"/>
    <w:link w:val="Header"/>
    <w:uiPriority w:val="99"/>
    <w:rsid w:val="00514076"/>
    <w:rPr>
      <w:rFonts w:ascii="Calibri" w:hAnsi="Calibri" w:cs="Arial"/>
      <w:i/>
      <w:iCs/>
      <w:color w:val="005295"/>
      <w:szCs w:val="18"/>
    </w:rPr>
  </w:style>
  <w:style w:type="paragraph" w:styleId="BodyText">
    <w:name w:val="Body Text"/>
    <w:basedOn w:val="Normal"/>
    <w:link w:val="BodyTextChar"/>
    <w:uiPriority w:val="99"/>
    <w:rsid w:val="00311EF9"/>
    <w:pPr>
      <w:spacing w:before="240" w:after="120" w:line="360" w:lineRule="auto"/>
      <w:ind w:firstLine="720"/>
    </w:pPr>
    <w:rPr>
      <w:szCs w:val="20"/>
    </w:rPr>
  </w:style>
  <w:style w:type="character" w:customStyle="1" w:styleId="BodyTextChar">
    <w:name w:val="Body Text Char"/>
    <w:basedOn w:val="DefaultParagraphFont"/>
    <w:link w:val="BodyText"/>
    <w:uiPriority w:val="99"/>
    <w:rsid w:val="00311EF9"/>
    <w:rPr>
      <w:sz w:val="24"/>
    </w:rPr>
  </w:style>
  <w:style w:type="character" w:styleId="CommentReference">
    <w:name w:val="annotation reference"/>
    <w:basedOn w:val="DefaultParagraphFont"/>
    <w:uiPriority w:val="99"/>
    <w:rsid w:val="00514076"/>
    <w:rPr>
      <w:sz w:val="16"/>
      <w:szCs w:val="16"/>
    </w:rPr>
  </w:style>
  <w:style w:type="paragraph" w:styleId="CommentText">
    <w:name w:val="annotation text"/>
    <w:basedOn w:val="Normal"/>
    <w:link w:val="CommentTextChar"/>
    <w:uiPriority w:val="99"/>
    <w:rsid w:val="00514076"/>
    <w:rPr>
      <w:sz w:val="20"/>
      <w:szCs w:val="20"/>
    </w:rPr>
  </w:style>
  <w:style w:type="character" w:customStyle="1" w:styleId="CommentTextChar">
    <w:name w:val="Comment Text Char"/>
    <w:basedOn w:val="DefaultParagraphFont"/>
    <w:link w:val="CommentText"/>
    <w:uiPriority w:val="99"/>
    <w:rsid w:val="00514076"/>
    <w:rPr>
      <w:rFonts w:ascii="Calibri" w:hAnsi="Calibri" w:cs="Times"/>
    </w:rPr>
  </w:style>
  <w:style w:type="paragraph" w:styleId="CommentSubject">
    <w:name w:val="annotation subject"/>
    <w:basedOn w:val="CommentText"/>
    <w:next w:val="CommentText"/>
    <w:link w:val="CommentSubjectChar"/>
    <w:uiPriority w:val="99"/>
    <w:rsid w:val="00514076"/>
    <w:rPr>
      <w:b/>
      <w:bCs/>
    </w:rPr>
  </w:style>
  <w:style w:type="character" w:customStyle="1" w:styleId="CommentSubjectChar">
    <w:name w:val="Comment Subject Char"/>
    <w:basedOn w:val="CommentTextChar"/>
    <w:link w:val="CommentSubject"/>
    <w:uiPriority w:val="99"/>
    <w:rsid w:val="00514076"/>
    <w:rPr>
      <w:rFonts w:ascii="Calibri" w:hAnsi="Calibri" w:cs="Times"/>
      <w:b/>
      <w:bCs/>
    </w:rPr>
  </w:style>
  <w:style w:type="paragraph" w:styleId="BalloonText">
    <w:name w:val="Balloon Text"/>
    <w:basedOn w:val="Normal"/>
    <w:link w:val="BalloonTextChar"/>
    <w:uiPriority w:val="99"/>
    <w:rsid w:val="00514076"/>
    <w:rPr>
      <w:rFonts w:ascii="Tahoma" w:hAnsi="Tahoma" w:cs="Tahoma"/>
      <w:sz w:val="16"/>
      <w:szCs w:val="16"/>
    </w:rPr>
  </w:style>
  <w:style w:type="character" w:customStyle="1" w:styleId="BalloonTextChar">
    <w:name w:val="Balloon Text Char"/>
    <w:basedOn w:val="DefaultParagraphFont"/>
    <w:link w:val="BalloonText"/>
    <w:uiPriority w:val="99"/>
    <w:rsid w:val="00514076"/>
    <w:rPr>
      <w:rFonts w:ascii="Tahoma" w:hAnsi="Tahoma" w:cs="Tahoma"/>
      <w:sz w:val="16"/>
      <w:szCs w:val="16"/>
    </w:rPr>
  </w:style>
  <w:style w:type="character" w:customStyle="1" w:styleId="Heading3Char">
    <w:name w:val="Heading 3 Char"/>
    <w:aliases w:val="P.Heading 3 Char"/>
    <w:basedOn w:val="DefaultParagraphFont"/>
    <w:link w:val="Heading3"/>
    <w:uiPriority w:val="9"/>
    <w:rsid w:val="00096197"/>
    <w:rPr>
      <w:rFonts w:ascii="Arial" w:hAnsi="Arial" w:cs="Arial"/>
      <w:b/>
      <w:bCs/>
      <w:color w:val="000000" w:themeColor="text1"/>
      <w:sz w:val="22"/>
      <w:szCs w:val="22"/>
    </w:rPr>
  </w:style>
  <w:style w:type="character" w:customStyle="1" w:styleId="Heading4Char">
    <w:name w:val="Heading 4 Char"/>
    <w:aliases w:val="P.Heading 4 Char"/>
    <w:basedOn w:val="DefaultParagraphFont"/>
    <w:link w:val="Heading4"/>
    <w:uiPriority w:val="99"/>
    <w:rsid w:val="00D543A7"/>
    <w:rPr>
      <w:rFonts w:ascii="Arial" w:hAnsi="Arial" w:cs="Times"/>
      <w:b/>
      <w:bCs/>
      <w:i/>
      <w:iCs/>
      <w:color w:val="000000" w:themeColor="text1"/>
      <w:sz w:val="22"/>
      <w:szCs w:val="24"/>
    </w:rPr>
  </w:style>
  <w:style w:type="character" w:styleId="FollowedHyperlink">
    <w:name w:val="FollowedHyperlink"/>
    <w:basedOn w:val="DefaultParagraphFont"/>
    <w:uiPriority w:val="99"/>
    <w:rsid w:val="00514076"/>
    <w:rPr>
      <w:color w:val="800080"/>
      <w:u w:val="single"/>
    </w:rPr>
  </w:style>
  <w:style w:type="character" w:customStyle="1" w:styleId="Heading1Char">
    <w:name w:val="Heading 1 Char"/>
    <w:aliases w:val="P.Heading 1 Char"/>
    <w:basedOn w:val="DefaultParagraphFont"/>
    <w:link w:val="Heading1"/>
    <w:rsid w:val="00123BBA"/>
    <w:rPr>
      <w:rFonts w:ascii="Arial" w:hAnsi="Arial" w:cs="Arial"/>
      <w:b/>
      <w:bCs/>
      <w:sz w:val="28"/>
      <w:szCs w:val="28"/>
    </w:rPr>
  </w:style>
  <w:style w:type="character" w:customStyle="1" w:styleId="Heading2Char">
    <w:name w:val="Heading 2 Char"/>
    <w:aliases w:val="p.Heading 2 Char"/>
    <w:basedOn w:val="DefaultParagraphFont"/>
    <w:link w:val="Heading2"/>
    <w:uiPriority w:val="99"/>
    <w:rsid w:val="005A2677"/>
    <w:rPr>
      <w:rFonts w:ascii="Arial" w:hAnsi="Arial" w:cs="Arial"/>
      <w:b/>
      <w:bCs/>
      <w:i/>
      <w:iCs/>
      <w:sz w:val="24"/>
    </w:rPr>
  </w:style>
  <w:style w:type="paragraph" w:styleId="Caption">
    <w:name w:val="caption"/>
    <w:basedOn w:val="Normal"/>
    <w:next w:val="Normal"/>
    <w:uiPriority w:val="35"/>
    <w:unhideWhenUsed/>
    <w:qFormat/>
    <w:rsid w:val="00CD4EDB"/>
    <w:rPr>
      <w:b/>
      <w:bCs/>
      <w:szCs w:val="20"/>
    </w:rPr>
  </w:style>
  <w:style w:type="paragraph" w:styleId="TableofFigures">
    <w:name w:val="table of figures"/>
    <w:basedOn w:val="Normal"/>
    <w:next w:val="Normal"/>
    <w:uiPriority w:val="99"/>
    <w:rsid w:val="00CD4EDB"/>
  </w:style>
  <w:style w:type="paragraph" w:styleId="ListParagraph">
    <w:name w:val="List Paragraph"/>
    <w:basedOn w:val="Normal"/>
    <w:uiPriority w:val="34"/>
    <w:qFormat/>
    <w:rsid w:val="00514076"/>
    <w:pPr>
      <w:ind w:left="720"/>
      <w:contextualSpacing/>
    </w:pPr>
    <w:rPr>
      <w:rFonts w:asciiTheme="minorHAnsi" w:eastAsiaTheme="minorHAnsi" w:hAnsiTheme="minorHAnsi" w:cstheme="minorBidi"/>
      <w:sz w:val="22"/>
    </w:rPr>
  </w:style>
  <w:style w:type="paragraph" w:styleId="FootnoteText">
    <w:name w:val="footnote text"/>
    <w:basedOn w:val="Normal"/>
    <w:link w:val="FootnoteTextChar"/>
    <w:uiPriority w:val="99"/>
    <w:qFormat/>
    <w:rsid w:val="00514076"/>
    <w:rPr>
      <w:noProof/>
      <w:sz w:val="20"/>
      <w:szCs w:val="20"/>
    </w:rPr>
  </w:style>
  <w:style w:type="character" w:customStyle="1" w:styleId="FootnoteTextChar">
    <w:name w:val="Footnote Text Char"/>
    <w:basedOn w:val="DefaultParagraphFont"/>
    <w:link w:val="FootnoteText"/>
    <w:uiPriority w:val="99"/>
    <w:rsid w:val="00514076"/>
    <w:rPr>
      <w:rFonts w:cs="Times"/>
      <w:noProof/>
    </w:rPr>
  </w:style>
  <w:style w:type="table" w:styleId="TableGrid">
    <w:name w:val="Table Grid"/>
    <w:basedOn w:val="TableNormal"/>
    <w:uiPriority w:val="59"/>
    <w:rsid w:val="00514076"/>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74EA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over2">
    <w:name w:val="Title_Cover 2"/>
    <w:basedOn w:val="Normal"/>
    <w:qFormat/>
    <w:rsid w:val="00123BBA"/>
    <w:pPr>
      <w:spacing w:after="600"/>
      <w:jc w:val="center"/>
    </w:pPr>
    <w:rPr>
      <w:rFonts w:ascii="Arial" w:hAnsi="Arial"/>
      <w:b/>
      <w:sz w:val="32"/>
      <w:szCs w:val="32"/>
    </w:rPr>
  </w:style>
  <w:style w:type="paragraph" w:customStyle="1" w:styleId="ContentsTitleNOTOC">
    <w:name w:val="Contents Title_NO TOC"/>
    <w:qFormat/>
    <w:rsid w:val="00123BBA"/>
    <w:pPr>
      <w:spacing w:after="360"/>
      <w:jc w:val="center"/>
    </w:pPr>
    <w:rPr>
      <w:rFonts w:ascii="Arial" w:hAnsi="Arial"/>
      <w:b/>
      <w:bCs/>
      <w:kern w:val="32"/>
      <w:sz w:val="32"/>
      <w:szCs w:val="32"/>
    </w:rPr>
  </w:style>
  <w:style w:type="paragraph" w:customStyle="1" w:styleId="ContentsSubtitle">
    <w:name w:val="Contents_Subtitle"/>
    <w:basedOn w:val="Normal"/>
    <w:qFormat/>
    <w:rsid w:val="00123BBA"/>
    <w:pPr>
      <w:tabs>
        <w:tab w:val="right" w:pos="9360"/>
      </w:tabs>
    </w:pPr>
    <w:rPr>
      <w:rFonts w:ascii="Arial" w:hAnsi="Arial"/>
      <w:b/>
      <w:color w:val="000000"/>
    </w:rPr>
  </w:style>
  <w:style w:type="table" w:customStyle="1" w:styleId="AIRTable">
    <w:name w:val="AIR Table"/>
    <w:basedOn w:val="TableNormal"/>
    <w:uiPriority w:val="99"/>
    <w:qFormat/>
    <w:rsid w:val="00514076"/>
    <w:rPr>
      <w:rFonts w:ascii="Arial" w:hAnsi="Arial"/>
      <w:szCs w:val="22"/>
    </w:rPr>
    <w:tblPr>
      <w:tblInd w:w="86" w:type="dxa"/>
      <w:tblBorders>
        <w:top w:val="single" w:sz="4" w:space="0" w:color="002C5F"/>
        <w:left w:val="single" w:sz="4" w:space="0" w:color="002C5F"/>
        <w:bottom w:val="single" w:sz="4" w:space="0" w:color="002C5F"/>
        <w:right w:val="single" w:sz="4" w:space="0" w:color="002C5F"/>
        <w:insideH w:val="single" w:sz="4" w:space="0" w:color="002C5F"/>
        <w:insideV w:val="single" w:sz="4" w:space="0" w:color="002C5F"/>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nil"/>
          <w:insideV w:val="single" w:sz="4" w:space="0" w:color="FFFFFF" w:themeColor="background1"/>
          <w:tl2br w:val="nil"/>
          <w:tr2bl w:val="nil"/>
        </w:tcBorders>
        <w:shd w:val="clear" w:color="auto" w:fill="002C5F"/>
      </w:tcPr>
    </w:tblStylePr>
  </w:style>
  <w:style w:type="paragraph" w:customStyle="1" w:styleId="CoverNames">
    <w:name w:val="Cover_Names"/>
    <w:qFormat/>
    <w:rsid w:val="00514076"/>
    <w:rPr>
      <w:rFonts w:asciiTheme="minorHAnsi" w:eastAsiaTheme="minorHAnsi" w:hAnsiTheme="minorHAnsi" w:cstheme="minorHAnsi"/>
      <w:b/>
      <w:sz w:val="24"/>
      <w:szCs w:val="24"/>
    </w:rPr>
  </w:style>
  <w:style w:type="paragraph" w:customStyle="1" w:styleId="Default">
    <w:name w:val="Default"/>
    <w:rsid w:val="00514076"/>
    <w:pPr>
      <w:autoSpaceDE w:val="0"/>
      <w:autoSpaceDN w:val="0"/>
      <w:adjustRightInd w:val="0"/>
    </w:pPr>
    <w:rPr>
      <w:rFonts w:ascii="Calibri" w:hAnsi="Calibri" w:cs="Times"/>
      <w:color w:val="000000"/>
      <w:sz w:val="24"/>
      <w:szCs w:val="24"/>
    </w:rPr>
  </w:style>
  <w:style w:type="paragraph" w:styleId="EndnoteText">
    <w:name w:val="endnote text"/>
    <w:basedOn w:val="Normal"/>
    <w:link w:val="EndnoteTextChar"/>
    <w:uiPriority w:val="99"/>
    <w:unhideWhenUsed/>
    <w:rsid w:val="00514076"/>
    <w:rPr>
      <w:sz w:val="20"/>
      <w:szCs w:val="20"/>
    </w:rPr>
  </w:style>
  <w:style w:type="character" w:customStyle="1" w:styleId="EndnoteTextChar">
    <w:name w:val="Endnote Text Char"/>
    <w:basedOn w:val="DefaultParagraphFont"/>
    <w:link w:val="EndnoteText"/>
    <w:uiPriority w:val="99"/>
    <w:rsid w:val="00514076"/>
    <w:rPr>
      <w:rFonts w:cs="Times"/>
    </w:rPr>
  </w:style>
  <w:style w:type="paragraph" w:customStyle="1" w:styleId="FooterLetter">
    <w:name w:val="Footer Letter"/>
    <w:basedOn w:val="Normal"/>
    <w:qFormat/>
    <w:rsid w:val="00514076"/>
    <w:pPr>
      <w:pBdr>
        <w:top w:val="single" w:sz="4" w:space="1" w:color="002C5F"/>
      </w:pBdr>
      <w:tabs>
        <w:tab w:val="left" w:pos="216"/>
      </w:tabs>
      <w:jc w:val="center"/>
    </w:pPr>
    <w:rPr>
      <w:rFonts w:ascii="Franklin Gothic Book" w:hAnsi="Franklin Gothic Book" w:cs="Calibri"/>
      <w:color w:val="1F487C"/>
      <w:sz w:val="17"/>
      <w:szCs w:val="17"/>
    </w:rPr>
  </w:style>
  <w:style w:type="paragraph" w:customStyle="1" w:styleId="Footer2">
    <w:name w:val="Footer2"/>
    <w:basedOn w:val="Footer"/>
    <w:rsid w:val="00514076"/>
    <w:pPr>
      <w:tabs>
        <w:tab w:val="clear" w:pos="4680"/>
        <w:tab w:val="clear" w:pos="9360"/>
        <w:tab w:val="right" w:pos="10224"/>
      </w:tabs>
      <w:ind w:right="1800"/>
    </w:pPr>
    <w:rPr>
      <w:rFonts w:asciiTheme="minorHAnsi" w:hAnsiTheme="minorHAnsi" w:cs="Arial"/>
      <w:color w:val="000000" w:themeColor="text1"/>
      <w:sz w:val="16"/>
      <w:szCs w:val="10"/>
    </w:rPr>
  </w:style>
  <w:style w:type="character" w:customStyle="1" w:styleId="Heading5Char">
    <w:name w:val="Heading 5 Char"/>
    <w:basedOn w:val="DefaultParagraphFont"/>
    <w:link w:val="Heading5"/>
    <w:uiPriority w:val="99"/>
    <w:rsid w:val="00D543A7"/>
    <w:rPr>
      <w:rFonts w:cs="Times"/>
      <w:bCs/>
      <w:i/>
      <w:sz w:val="24"/>
      <w:szCs w:val="24"/>
    </w:rPr>
  </w:style>
  <w:style w:type="character" w:customStyle="1" w:styleId="Heading6Char">
    <w:name w:val="Heading 6 Char"/>
    <w:basedOn w:val="DefaultParagraphFont"/>
    <w:link w:val="Heading6"/>
    <w:uiPriority w:val="99"/>
    <w:semiHidden/>
    <w:rsid w:val="00514076"/>
    <w:rPr>
      <w:rFonts w:ascii="Calibri" w:hAnsi="Calibri" w:cs="Times"/>
      <w:b/>
      <w:bCs/>
      <w:sz w:val="24"/>
      <w:szCs w:val="24"/>
    </w:rPr>
  </w:style>
  <w:style w:type="character" w:customStyle="1" w:styleId="Heading7Char">
    <w:name w:val="Heading 7 Char"/>
    <w:basedOn w:val="DefaultParagraphFont"/>
    <w:link w:val="Heading7"/>
    <w:uiPriority w:val="99"/>
    <w:semiHidden/>
    <w:rsid w:val="00514076"/>
    <w:rPr>
      <w:rFonts w:ascii="Calibri" w:hAnsi="Calibri" w:cs="Times"/>
      <w:b/>
      <w:bCs/>
      <w:sz w:val="24"/>
      <w:szCs w:val="24"/>
    </w:rPr>
  </w:style>
  <w:style w:type="character" w:customStyle="1" w:styleId="Heading8Char">
    <w:name w:val="Heading 8 Char"/>
    <w:basedOn w:val="DefaultParagraphFont"/>
    <w:link w:val="Heading8"/>
    <w:uiPriority w:val="99"/>
    <w:semiHidden/>
    <w:rsid w:val="00514076"/>
    <w:rPr>
      <w:rFonts w:ascii="Calibri" w:hAnsi="Calibri" w:cs="Times"/>
      <w:b/>
      <w:bCs/>
      <w:sz w:val="24"/>
      <w:szCs w:val="22"/>
    </w:rPr>
  </w:style>
  <w:style w:type="character" w:customStyle="1" w:styleId="Heading9Char">
    <w:name w:val="Heading 9 Char"/>
    <w:basedOn w:val="DefaultParagraphFont"/>
    <w:link w:val="Heading9"/>
    <w:uiPriority w:val="99"/>
    <w:semiHidden/>
    <w:rsid w:val="00514076"/>
    <w:rPr>
      <w:rFonts w:ascii="Arial" w:hAnsi="Arial" w:cs="Arial"/>
      <w:b/>
      <w:bCs/>
      <w:sz w:val="24"/>
      <w:szCs w:val="24"/>
    </w:rPr>
  </w:style>
  <w:style w:type="paragraph" w:customStyle="1" w:styleId="ListLevel1">
    <w:name w:val="List_Level 1"/>
    <w:qFormat/>
    <w:rsid w:val="00514076"/>
    <w:pPr>
      <w:widowControl w:val="0"/>
      <w:tabs>
        <w:tab w:val="left" w:pos="540"/>
      </w:tabs>
      <w:spacing w:line="274" w:lineRule="auto"/>
      <w:ind w:left="532" w:hanging="446"/>
    </w:pPr>
    <w:rPr>
      <w:rFonts w:ascii="Calibri" w:eastAsia="Calibri" w:hAnsi="Calibri" w:cs="Calibri"/>
      <w:spacing w:val="1"/>
      <w:sz w:val="22"/>
      <w:szCs w:val="22"/>
    </w:rPr>
  </w:style>
  <w:style w:type="paragraph" w:customStyle="1" w:styleId="PContentsSubhead">
    <w:name w:val="P. Contents Subhead"/>
    <w:uiPriority w:val="99"/>
    <w:rsid w:val="00514076"/>
    <w:pPr>
      <w:spacing w:before="240" w:after="240"/>
    </w:pPr>
    <w:rPr>
      <w:rFonts w:ascii="Calibri" w:hAnsi="Calibri" w:cs="Times"/>
      <w:b/>
      <w:bCs/>
      <w:color w:val="002C5F"/>
      <w:sz w:val="24"/>
      <w:szCs w:val="24"/>
    </w:rPr>
  </w:style>
  <w:style w:type="paragraph" w:customStyle="1" w:styleId="PContentsTitle">
    <w:name w:val="P. Contents Title"/>
    <w:uiPriority w:val="99"/>
    <w:rsid w:val="00514076"/>
    <w:pPr>
      <w:spacing w:after="240"/>
      <w:jc w:val="center"/>
    </w:pPr>
    <w:rPr>
      <w:rFonts w:asciiTheme="minorHAnsi" w:hAnsiTheme="minorHAnsi" w:cs="Arial Bold"/>
      <w:b/>
      <w:bCs/>
      <w:color w:val="002C5F"/>
      <w:sz w:val="32"/>
      <w:szCs w:val="28"/>
    </w:rPr>
  </w:style>
  <w:style w:type="paragraph" w:customStyle="1" w:styleId="PBodyText">
    <w:name w:val="P.Body Text"/>
    <w:link w:val="PBodyTextChar"/>
    <w:qFormat/>
    <w:rsid w:val="00514076"/>
    <w:pPr>
      <w:spacing w:after="240"/>
    </w:pPr>
    <w:rPr>
      <w:rFonts w:cs="Times"/>
      <w:sz w:val="24"/>
      <w:szCs w:val="22"/>
    </w:rPr>
  </w:style>
  <w:style w:type="paragraph" w:customStyle="1" w:styleId="PBodyTextIndent1">
    <w:name w:val="P.Body Text_Indent 1"/>
    <w:basedOn w:val="PBodyText"/>
    <w:qFormat/>
    <w:rsid w:val="00096197"/>
    <w:pPr>
      <w:ind w:left="720"/>
    </w:pPr>
  </w:style>
  <w:style w:type="paragraph" w:customStyle="1" w:styleId="PBodyTextPreBullet">
    <w:name w:val="P.Body Text_PreBullet"/>
    <w:basedOn w:val="PBodyText"/>
    <w:qFormat/>
    <w:rsid w:val="00514076"/>
    <w:pPr>
      <w:spacing w:after="120"/>
    </w:pPr>
  </w:style>
  <w:style w:type="paragraph" w:customStyle="1" w:styleId="PBullet">
    <w:name w:val="P.Bullet"/>
    <w:next w:val="Normal"/>
    <w:uiPriority w:val="99"/>
    <w:rsid w:val="00514076"/>
    <w:pPr>
      <w:numPr>
        <w:numId w:val="3"/>
      </w:numPr>
      <w:spacing w:after="120"/>
    </w:pPr>
    <w:rPr>
      <w:rFonts w:cs="Times"/>
      <w:sz w:val="24"/>
      <w:szCs w:val="24"/>
    </w:rPr>
  </w:style>
  <w:style w:type="paragraph" w:customStyle="1" w:styleId="PBullet2">
    <w:name w:val="P.Bullet 2"/>
    <w:basedOn w:val="PBullet"/>
    <w:qFormat/>
    <w:rsid w:val="00514076"/>
    <w:pPr>
      <w:numPr>
        <w:numId w:val="1"/>
      </w:numPr>
      <w:tabs>
        <w:tab w:val="left" w:pos="1080"/>
      </w:tabs>
    </w:pPr>
  </w:style>
  <w:style w:type="paragraph" w:customStyle="1" w:styleId="PBullet3">
    <w:name w:val="P.Bullet 3"/>
    <w:basedOn w:val="PBullet2"/>
    <w:qFormat/>
    <w:rsid w:val="00514076"/>
    <w:pPr>
      <w:numPr>
        <w:numId w:val="2"/>
      </w:numPr>
    </w:pPr>
  </w:style>
  <w:style w:type="paragraph" w:customStyle="1" w:styleId="PBulletLast">
    <w:name w:val="P.Bullet_Last"/>
    <w:basedOn w:val="PBullet"/>
    <w:qFormat/>
    <w:rsid w:val="00101D3E"/>
    <w:pPr>
      <w:spacing w:after="240"/>
    </w:pPr>
  </w:style>
  <w:style w:type="paragraph" w:customStyle="1" w:styleId="PContentsTitle0">
    <w:name w:val="P.Contents Title"/>
    <w:uiPriority w:val="99"/>
    <w:rsid w:val="00514076"/>
    <w:pPr>
      <w:spacing w:after="240"/>
      <w:jc w:val="center"/>
    </w:pPr>
    <w:rPr>
      <w:rFonts w:ascii="Arial" w:hAnsi="Arial" w:cs="Arial"/>
      <w:b/>
      <w:bCs/>
      <w:sz w:val="28"/>
      <w:szCs w:val="28"/>
    </w:rPr>
  </w:style>
  <w:style w:type="paragraph" w:customStyle="1" w:styleId="PCoverHead1">
    <w:name w:val="P.Cover Head 1"/>
    <w:basedOn w:val="Normal"/>
    <w:rsid w:val="00514076"/>
    <w:pPr>
      <w:suppressAutoHyphens/>
      <w:autoSpaceDE w:val="0"/>
      <w:autoSpaceDN w:val="0"/>
      <w:adjustRightInd w:val="0"/>
      <w:spacing w:before="450"/>
      <w:textAlignment w:val="center"/>
    </w:pPr>
    <w:rPr>
      <w:rFonts w:ascii="Franklin Gothic Demi" w:eastAsia="Calibri" w:hAnsi="Franklin Gothic Demi" w:cs="Calibri"/>
      <w:b/>
      <w:color w:val="000000"/>
      <w:sz w:val="48"/>
      <w:szCs w:val="48"/>
    </w:rPr>
  </w:style>
  <w:style w:type="paragraph" w:customStyle="1" w:styleId="PCoverHead2">
    <w:name w:val="P.Cover Head 2"/>
    <w:basedOn w:val="Normal"/>
    <w:uiPriority w:val="99"/>
    <w:rsid w:val="00514076"/>
    <w:pPr>
      <w:suppressAutoHyphens/>
      <w:autoSpaceDE w:val="0"/>
      <w:autoSpaceDN w:val="0"/>
      <w:adjustRightInd w:val="0"/>
      <w:spacing w:before="1000"/>
      <w:textAlignment w:val="center"/>
    </w:pPr>
    <w:rPr>
      <w:rFonts w:ascii="Franklin Gothic Demi" w:eastAsia="Calibri" w:hAnsi="Franklin Gothic Demi" w:cs="Calibri-Bold"/>
      <w:b/>
      <w:bCs/>
      <w:caps/>
      <w:color w:val="000000"/>
      <w:sz w:val="32"/>
      <w:szCs w:val="32"/>
    </w:rPr>
  </w:style>
  <w:style w:type="paragraph" w:customStyle="1" w:styleId="PCoverHead3">
    <w:name w:val="P.Cover Head 3"/>
    <w:basedOn w:val="Normal"/>
    <w:uiPriority w:val="99"/>
    <w:rsid w:val="00514076"/>
    <w:pPr>
      <w:tabs>
        <w:tab w:val="left" w:pos="1620"/>
        <w:tab w:val="left" w:pos="5400"/>
      </w:tabs>
      <w:suppressAutoHyphens/>
      <w:autoSpaceDE w:val="0"/>
      <w:autoSpaceDN w:val="0"/>
      <w:adjustRightInd w:val="0"/>
      <w:spacing w:before="270"/>
      <w:ind w:left="1627" w:hanging="1627"/>
      <w:textAlignment w:val="center"/>
    </w:pPr>
    <w:rPr>
      <w:rFonts w:ascii="Franklin Gothic Book" w:eastAsia="Calibri" w:hAnsi="Franklin Gothic Book" w:cs="Calibri"/>
      <w:color w:val="000000"/>
      <w:sz w:val="22"/>
    </w:rPr>
  </w:style>
  <w:style w:type="paragraph" w:customStyle="1" w:styleId="PCoverConfidentialityStatement">
    <w:name w:val="P.Cover_Confidentiality Statement"/>
    <w:basedOn w:val="Normal"/>
    <w:qFormat/>
    <w:rsid w:val="00514076"/>
    <w:pPr>
      <w:suppressAutoHyphens/>
      <w:autoSpaceDE w:val="0"/>
      <w:autoSpaceDN w:val="0"/>
      <w:adjustRightInd w:val="0"/>
      <w:spacing w:before="300"/>
      <w:textAlignment w:val="center"/>
    </w:pPr>
    <w:rPr>
      <w:rFonts w:ascii="Franklin Gothic Book" w:eastAsia="Calibri" w:hAnsi="Franklin Gothic Book" w:cs="Calibri"/>
      <w:color w:val="000000"/>
      <w:sz w:val="17"/>
      <w:szCs w:val="16"/>
    </w:rPr>
  </w:style>
  <w:style w:type="paragraph" w:customStyle="1" w:styleId="PCvrLetter">
    <w:name w:val="P.CvrLetter"/>
    <w:basedOn w:val="PCoverHead3"/>
    <w:uiPriority w:val="99"/>
    <w:rsid w:val="00514076"/>
    <w:pPr>
      <w:spacing w:after="240"/>
    </w:pPr>
    <w:rPr>
      <w:rFonts w:asciiTheme="minorHAnsi" w:hAnsiTheme="minorHAnsi" w:cs="Times"/>
      <w:sz w:val="24"/>
      <w:szCs w:val="24"/>
    </w:rPr>
  </w:style>
  <w:style w:type="paragraph" w:customStyle="1" w:styleId="PFooter-Address-Letter">
    <w:name w:val="P.Footer-Address-Letter"/>
    <w:basedOn w:val="Normal"/>
    <w:qFormat/>
    <w:rsid w:val="00514076"/>
    <w:pPr>
      <w:widowControl w:val="0"/>
      <w:tabs>
        <w:tab w:val="center" w:pos="4320"/>
        <w:tab w:val="right" w:pos="8640"/>
      </w:tabs>
      <w:ind w:left="-576" w:right="-576"/>
    </w:pPr>
    <w:rPr>
      <w:rFonts w:ascii="Palatino" w:hAnsi="Palatino" w:cs="Times New Roman"/>
      <w:snapToGrid w:val="0"/>
      <w:color w:val="005295"/>
      <w:sz w:val="16"/>
      <w:szCs w:val="16"/>
    </w:rPr>
  </w:style>
  <w:style w:type="paragraph" w:customStyle="1" w:styleId="PNumbering">
    <w:name w:val="P.Numbering"/>
    <w:link w:val="PNumberingChar"/>
    <w:uiPriority w:val="99"/>
    <w:rsid w:val="00D543A7"/>
    <w:pPr>
      <w:numPr>
        <w:numId w:val="6"/>
      </w:numPr>
      <w:tabs>
        <w:tab w:val="left" w:pos="720"/>
      </w:tabs>
      <w:spacing w:after="120"/>
    </w:pPr>
    <w:rPr>
      <w:rFonts w:cs="Times"/>
      <w:sz w:val="24"/>
      <w:szCs w:val="24"/>
    </w:rPr>
  </w:style>
  <w:style w:type="character" w:customStyle="1" w:styleId="PNumberingChar">
    <w:name w:val="P.Numbering Char"/>
    <w:basedOn w:val="DefaultParagraphFont"/>
    <w:link w:val="PNumbering"/>
    <w:uiPriority w:val="99"/>
    <w:locked/>
    <w:rsid w:val="00D543A7"/>
    <w:rPr>
      <w:rFonts w:cs="Times"/>
      <w:sz w:val="24"/>
      <w:szCs w:val="24"/>
    </w:rPr>
  </w:style>
  <w:style w:type="paragraph" w:customStyle="1" w:styleId="PNumberingLast">
    <w:name w:val="P.Numbering Last"/>
    <w:basedOn w:val="PNumbering"/>
    <w:uiPriority w:val="99"/>
    <w:rsid w:val="00A639DF"/>
    <w:pPr>
      <w:numPr>
        <w:numId w:val="5"/>
      </w:numPr>
      <w:tabs>
        <w:tab w:val="clear" w:pos="360"/>
      </w:tabs>
      <w:spacing w:after="240"/>
    </w:pPr>
  </w:style>
  <w:style w:type="paragraph" w:customStyle="1" w:styleId="PNumberingLeftMargin">
    <w:name w:val="P.Numbering Left Margin"/>
    <w:basedOn w:val="PNumbering"/>
    <w:uiPriority w:val="99"/>
    <w:rsid w:val="00514076"/>
    <w:pPr>
      <w:ind w:left="0" w:firstLine="0"/>
    </w:pPr>
  </w:style>
  <w:style w:type="paragraph" w:customStyle="1" w:styleId="PQuotes">
    <w:name w:val="P.Quotes"/>
    <w:uiPriority w:val="99"/>
    <w:rsid w:val="00514076"/>
    <w:pPr>
      <w:pBdr>
        <w:top w:val="single" w:sz="4" w:space="1" w:color="auto"/>
        <w:bottom w:val="single" w:sz="4" w:space="1" w:color="auto"/>
      </w:pBdr>
      <w:spacing w:before="120" w:after="120"/>
      <w:ind w:left="144" w:right="144"/>
    </w:pPr>
    <w:rPr>
      <w:rFonts w:ascii="Calibri" w:hAnsi="Calibri" w:cs="Times"/>
      <w:i/>
      <w:iCs/>
      <w:szCs w:val="24"/>
    </w:rPr>
  </w:style>
  <w:style w:type="paragraph" w:customStyle="1" w:styleId="PReference">
    <w:name w:val="P.Reference"/>
    <w:basedOn w:val="Normal"/>
    <w:uiPriority w:val="99"/>
    <w:rsid w:val="00514076"/>
    <w:pPr>
      <w:keepLines/>
      <w:tabs>
        <w:tab w:val="right" w:pos="9540"/>
      </w:tabs>
      <w:suppressAutoHyphens/>
      <w:spacing w:after="240"/>
      <w:ind w:left="360" w:hanging="360"/>
      <w:outlineLvl w:val="0"/>
    </w:pPr>
    <w:rPr>
      <w:rFonts w:ascii="Arial Narrow" w:hAnsi="Arial Narrow"/>
      <w:sz w:val="20"/>
      <w:szCs w:val="24"/>
    </w:rPr>
  </w:style>
  <w:style w:type="paragraph" w:customStyle="1" w:styleId="PTableBullet1">
    <w:name w:val="P.Table Bullet 1"/>
    <w:basedOn w:val="PBullet"/>
    <w:uiPriority w:val="99"/>
    <w:rsid w:val="00514076"/>
    <w:pPr>
      <w:numPr>
        <w:numId w:val="4"/>
      </w:numPr>
      <w:spacing w:before="20" w:after="20"/>
    </w:pPr>
    <w:rPr>
      <w:rFonts w:ascii="Arial" w:hAnsi="Arial" w:cs="Arial"/>
      <w:szCs w:val="20"/>
    </w:rPr>
  </w:style>
  <w:style w:type="paragraph" w:customStyle="1" w:styleId="PTablebullet2">
    <w:name w:val="P.Table bullet 2"/>
    <w:basedOn w:val="Normal"/>
    <w:uiPriority w:val="99"/>
    <w:rsid w:val="00514076"/>
    <w:pPr>
      <w:spacing w:line="220" w:lineRule="exact"/>
    </w:pPr>
    <w:rPr>
      <w:rFonts w:cs="Arial"/>
      <w:sz w:val="20"/>
      <w:szCs w:val="20"/>
    </w:rPr>
  </w:style>
  <w:style w:type="paragraph" w:customStyle="1" w:styleId="PTableHeading">
    <w:name w:val="P.Table Heading"/>
    <w:uiPriority w:val="99"/>
    <w:rsid w:val="005A1560"/>
    <w:pPr>
      <w:keepNext/>
      <w:jc w:val="center"/>
    </w:pPr>
    <w:rPr>
      <w:rFonts w:ascii="Arial" w:hAnsi="Arial" w:cs="Arial"/>
      <w:b/>
      <w:bCs/>
      <w:color w:val="FFFFFF"/>
    </w:rPr>
  </w:style>
  <w:style w:type="paragraph" w:customStyle="1" w:styleId="PTableSource">
    <w:name w:val="P.Table Source"/>
    <w:uiPriority w:val="99"/>
    <w:rsid w:val="00514076"/>
    <w:pPr>
      <w:tabs>
        <w:tab w:val="left" w:pos="180"/>
      </w:tabs>
      <w:spacing w:before="60"/>
      <w:ind w:left="180" w:hanging="180"/>
    </w:pPr>
    <w:rPr>
      <w:rFonts w:ascii="Arial" w:hAnsi="Arial" w:cs="Arial"/>
      <w:sz w:val="16"/>
      <w:szCs w:val="16"/>
    </w:rPr>
  </w:style>
  <w:style w:type="paragraph" w:customStyle="1" w:styleId="PTableText">
    <w:name w:val="P.Table Text"/>
    <w:link w:val="PTableTextChar"/>
    <w:uiPriority w:val="99"/>
    <w:rsid w:val="00883F00"/>
    <w:rPr>
      <w:rFonts w:ascii="Arial" w:hAnsi="Arial" w:cs="Arial"/>
    </w:rPr>
  </w:style>
  <w:style w:type="paragraph" w:customStyle="1" w:styleId="PTableTextIndent">
    <w:name w:val="P.Table Text Indent"/>
    <w:basedOn w:val="PTableText"/>
    <w:uiPriority w:val="99"/>
    <w:rsid w:val="005A1560"/>
    <w:pPr>
      <w:ind w:left="389" w:right="144" w:hanging="245"/>
    </w:pPr>
  </w:style>
  <w:style w:type="paragraph" w:customStyle="1" w:styleId="PTableTitle">
    <w:name w:val="P.Table Title"/>
    <w:uiPriority w:val="99"/>
    <w:rsid w:val="005A1560"/>
    <w:pPr>
      <w:keepNext/>
      <w:keepLines/>
      <w:spacing w:after="60"/>
      <w:ind w:left="1224" w:hanging="1224"/>
    </w:pPr>
    <w:rPr>
      <w:rFonts w:ascii="Arial" w:hAnsi="Arial" w:cs="Times"/>
      <w:b/>
      <w:bCs/>
      <w:szCs w:val="24"/>
    </w:rPr>
  </w:style>
  <w:style w:type="paragraph" w:customStyle="1" w:styleId="PTitleRight">
    <w:name w:val="P.Title Right"/>
    <w:uiPriority w:val="99"/>
    <w:rsid w:val="00514076"/>
    <w:pPr>
      <w:jc w:val="right"/>
    </w:pPr>
    <w:rPr>
      <w:rFonts w:ascii="Arial Narrow" w:hAnsi="Arial Narrow" w:cs="Arial Narrow"/>
      <w:sz w:val="24"/>
      <w:szCs w:val="24"/>
    </w:rPr>
  </w:style>
  <w:style w:type="character" w:styleId="PageNumber">
    <w:name w:val="page number"/>
    <w:basedOn w:val="DefaultParagraphFont"/>
    <w:uiPriority w:val="99"/>
    <w:rsid w:val="00514076"/>
    <w:rPr>
      <w:rFonts w:ascii="Calibri" w:hAnsi="Calibri" w:cs="Arial"/>
      <w:sz w:val="20"/>
      <w:szCs w:val="18"/>
      <w:lang w:val="en-US"/>
    </w:rPr>
  </w:style>
  <w:style w:type="paragraph" w:styleId="Revision">
    <w:name w:val="Revision"/>
    <w:hidden/>
    <w:uiPriority w:val="99"/>
    <w:semiHidden/>
    <w:rsid w:val="00C038FD"/>
    <w:rPr>
      <w:rFonts w:cs="Times"/>
      <w:sz w:val="24"/>
      <w:szCs w:val="22"/>
    </w:rPr>
  </w:style>
  <w:style w:type="paragraph" w:customStyle="1" w:styleId="PExhibitTitle">
    <w:name w:val="P.Exhibit Title"/>
    <w:qFormat/>
    <w:rsid w:val="006222B9"/>
    <w:pPr>
      <w:keepNext/>
      <w:keepLines/>
      <w:spacing w:after="60"/>
    </w:pPr>
    <w:rPr>
      <w:rFonts w:ascii="Arial" w:hAnsi="Arial" w:cs="Times"/>
      <w:b/>
      <w:bCs/>
      <w:color w:val="002C5F"/>
      <w:szCs w:val="24"/>
      <w:lang w:eastAsia="en-GB"/>
    </w:rPr>
  </w:style>
  <w:style w:type="character" w:customStyle="1" w:styleId="PTableTextChar">
    <w:name w:val="P.Table Text Char"/>
    <w:basedOn w:val="DefaultParagraphFont"/>
    <w:link w:val="PTableText"/>
    <w:uiPriority w:val="99"/>
    <w:locked/>
    <w:rsid w:val="006222B9"/>
    <w:rPr>
      <w:rFonts w:ascii="Arial" w:hAnsi="Arial" w:cs="Arial"/>
    </w:rPr>
  </w:style>
  <w:style w:type="table" w:customStyle="1" w:styleId="TableGrid2">
    <w:name w:val="Table Grid2"/>
    <w:basedOn w:val="TableNormal"/>
    <w:next w:val="TableGrid"/>
    <w:uiPriority w:val="59"/>
    <w:rsid w:val="00DF506E"/>
    <w:rPr>
      <w:rFonts w:asciiTheme="minorHAnsi" w:eastAsia="Calibr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F32FB"/>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0D9D"/>
    <w:rPr>
      <w:color w:val="808080"/>
    </w:rPr>
  </w:style>
  <w:style w:type="character" w:customStyle="1" w:styleId="PBodyTextChar">
    <w:name w:val="P.Body Text Char"/>
    <w:basedOn w:val="DefaultParagraphFont"/>
    <w:link w:val="PBodyText"/>
    <w:locked/>
    <w:rsid w:val="0067652C"/>
    <w:rPr>
      <w:rFonts w:cs="Times"/>
      <w:sz w:val="24"/>
      <w:szCs w:val="22"/>
    </w:rPr>
  </w:style>
  <w:style w:type="table" w:styleId="LightList-Accent1">
    <w:name w:val="Light List Accent 1"/>
    <w:basedOn w:val="TableNormal"/>
    <w:uiPriority w:val="61"/>
    <w:rsid w:val="00197D66"/>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HIMTableColumnHeadLeft">
    <w:name w:val="HIM_Table Column Head Left"/>
    <w:qFormat/>
    <w:rsid w:val="003C02F9"/>
    <w:pPr>
      <w:keepNext/>
      <w:spacing w:before="60" w:after="60"/>
    </w:pPr>
    <w:rPr>
      <w:rFonts w:ascii="Arial" w:hAnsi="Arial" w:cs="Arial"/>
      <w:b/>
      <w:color w:val="FFFFFF" w:themeColor="background1"/>
      <w:sz w:val="22"/>
      <w:szCs w:val="22"/>
    </w:rPr>
  </w:style>
  <w:style w:type="paragraph" w:customStyle="1" w:styleId="HIMTableTextLeft">
    <w:name w:val="HIM_Table Text Left"/>
    <w:qFormat/>
    <w:rsid w:val="003C02F9"/>
    <w:pPr>
      <w:spacing w:before="60" w:after="60"/>
    </w:pPr>
    <w:rPr>
      <w:rFonts w:ascii="Arial" w:hAnsi="Arial" w:cs="Arial"/>
      <w:sz w:val="22"/>
      <w:szCs w:val="22"/>
    </w:rPr>
  </w:style>
  <w:style w:type="table" w:customStyle="1" w:styleId="HIMTableStyle1">
    <w:name w:val="HIM Table Style 1"/>
    <w:basedOn w:val="TableGrid10"/>
    <w:uiPriority w:val="99"/>
    <w:rsid w:val="003C02F9"/>
    <w:rPr>
      <w:rFonts w:ascii="Arial" w:hAnsi="Arial"/>
      <w:sz w:val="22"/>
    </w:rPr>
    <w:tblPr>
      <w:jc w:val="center"/>
    </w:tblPr>
    <w:trPr>
      <w:cantSplit/>
      <w:jc w:val="center"/>
    </w:trPr>
    <w:tcPr>
      <w:shd w:val="clear" w:color="auto" w:fill="auto"/>
      <w:vAlign w:val="center"/>
    </w:tcPr>
    <w:tblStylePr w:type="firstRow">
      <w:tblPr/>
      <w:trPr>
        <w:tblHeader/>
      </w:trPr>
      <w:tcPr>
        <w:tcBorders>
          <w:insideV w:val="single" w:sz="4" w:space="0" w:color="FFFFFF" w:themeColor="background1"/>
        </w:tcBorders>
        <w:shd w:val="clear" w:color="auto" w:fill="1F497D"/>
      </w:tcPr>
    </w:tblStyle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10">
    <w:name w:val="Table Grid 1"/>
    <w:basedOn w:val="TableNormal"/>
    <w:semiHidden/>
    <w:unhideWhenUsed/>
    <w:rsid w:val="003C02F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OC9">
    <w:name w:val="toc 9"/>
    <w:basedOn w:val="Normal"/>
    <w:next w:val="Normal"/>
    <w:autoRedefine/>
    <w:semiHidden/>
    <w:unhideWhenUsed/>
    <w:rsid w:val="00171D28"/>
    <w:pPr>
      <w:spacing w:after="100"/>
      <w:ind w:left="1920"/>
    </w:pPr>
  </w:style>
  <w:style w:type="paragraph" w:customStyle="1" w:styleId="HIMNumberedList">
    <w:name w:val="HIM_Numbered List"/>
    <w:basedOn w:val="Normal"/>
    <w:qFormat/>
    <w:rsid w:val="00171D28"/>
    <w:pPr>
      <w:numPr>
        <w:numId w:val="10"/>
      </w:numPr>
      <w:spacing w:after="120" w:line="276" w:lineRule="auto"/>
    </w:pPr>
    <w:rPr>
      <w:rFonts w:cs="Times New Roman"/>
      <w:szCs w:val="20"/>
    </w:rPr>
  </w:style>
  <w:style w:type="paragraph" w:customStyle="1" w:styleId="Heading3NoTOC">
    <w:name w:val="Heading 3 No TOC"/>
    <w:link w:val="Heading3NoTOCChar"/>
    <w:uiPriority w:val="9"/>
    <w:qFormat/>
    <w:rsid w:val="003C1949"/>
    <w:pPr>
      <w:keepNext/>
      <w:keepLines/>
      <w:spacing w:before="240" w:after="120"/>
    </w:pPr>
    <w:rPr>
      <w:rFonts w:asciiTheme="majorHAnsi" w:hAnsiTheme="majorHAnsi"/>
      <w:b/>
      <w:bCs/>
      <w:sz w:val="28"/>
      <w:szCs w:val="26"/>
    </w:rPr>
  </w:style>
  <w:style w:type="character" w:customStyle="1" w:styleId="Heading3NoTOCChar">
    <w:name w:val="Heading 3 No TOC Char"/>
    <w:basedOn w:val="DefaultParagraphFont"/>
    <w:link w:val="Heading3NoTOC"/>
    <w:uiPriority w:val="9"/>
    <w:rsid w:val="003C1949"/>
    <w:rPr>
      <w:rFonts w:asciiTheme="majorHAnsi" w:hAnsiTheme="majorHAnsi"/>
      <w:b/>
      <w:bCs/>
      <w:sz w:val="28"/>
      <w:szCs w:val="26"/>
    </w:rPr>
  </w:style>
  <w:style w:type="paragraph" w:customStyle="1" w:styleId="TableNote">
    <w:name w:val="Table Note"/>
    <w:basedOn w:val="Normal"/>
    <w:qFormat/>
    <w:rsid w:val="00D6610E"/>
    <w:pPr>
      <w:spacing w:before="60" w:after="240"/>
      <w:ind w:left="144" w:hanging="144"/>
      <w:contextualSpacing/>
    </w:pPr>
    <w:rPr>
      <w:rFonts w:ascii="Arial Narrow" w:hAnsi="Arial Narrow" w:cs="Times New Roman"/>
      <w:sz w:val="18"/>
      <w:szCs w:val="24"/>
    </w:rPr>
  </w:style>
  <w:style w:type="paragraph" w:customStyle="1" w:styleId="TableTextCentered">
    <w:name w:val="Table Text Centered"/>
    <w:basedOn w:val="Normal"/>
    <w:qFormat/>
    <w:rsid w:val="00D6610E"/>
    <w:pPr>
      <w:spacing w:before="40" w:after="40"/>
      <w:jc w:val="center"/>
    </w:pPr>
    <w:rPr>
      <w:rFonts w:ascii="Arial Narrow" w:hAnsi="Arial Narrow" w:cs="Times New Roman"/>
      <w:sz w:val="20"/>
      <w:szCs w:val="24"/>
    </w:rPr>
  </w:style>
  <w:style w:type="paragraph" w:customStyle="1" w:styleId="TableColHeadingCenter">
    <w:name w:val="Table Col Heading Center"/>
    <w:basedOn w:val="Normal"/>
    <w:qFormat/>
    <w:rsid w:val="00D6610E"/>
    <w:pPr>
      <w:spacing w:before="40" w:after="40"/>
      <w:jc w:val="center"/>
    </w:pPr>
    <w:rPr>
      <w:rFonts w:ascii="Arial Narrow" w:hAnsi="Arial Narrow" w:cs="Times New Roman"/>
      <w:b/>
      <w:bCs/>
      <w:color w:val="FFFFFF" w:themeColor="background1"/>
      <w:sz w:val="20"/>
      <w:szCs w:val="20"/>
    </w:rPr>
  </w:style>
  <w:style w:type="paragraph" w:customStyle="1" w:styleId="ExhibitTitle">
    <w:name w:val="Exhibit Title"/>
    <w:basedOn w:val="Normal"/>
    <w:qFormat/>
    <w:rsid w:val="00D6610E"/>
    <w:pPr>
      <w:keepNext/>
      <w:spacing w:before="240" w:after="60"/>
    </w:pPr>
    <w:rPr>
      <w:rFonts w:ascii="Arial" w:hAnsi="Arial" w:cs="Times New Roman"/>
      <w:b/>
      <w:color w:val="005295"/>
      <w:sz w:val="20"/>
      <w:szCs w:val="20"/>
      <w:lang w:eastAsia="en-GB"/>
    </w:rPr>
  </w:style>
  <w:style w:type="paragraph" w:customStyle="1" w:styleId="TableTextIndent">
    <w:name w:val="Table Text_Indent"/>
    <w:basedOn w:val="Normal"/>
    <w:qFormat/>
    <w:rsid w:val="00D6610E"/>
    <w:pPr>
      <w:spacing w:before="40" w:after="40" w:line="200" w:lineRule="exact"/>
      <w:ind w:left="216"/>
    </w:pPr>
    <w:rPr>
      <w:rFonts w:ascii="Arial Narrow" w:hAnsi="Arial Narrow" w:cs="Times New Roman"/>
      <w:sz w:val="20"/>
      <w:szCs w:val="19"/>
    </w:rPr>
  </w:style>
  <w:style w:type="table" w:customStyle="1" w:styleId="QHPTable1">
    <w:name w:val="QHP_Table 1"/>
    <w:basedOn w:val="TableNormal"/>
    <w:uiPriority w:val="99"/>
    <w:rsid w:val="00D6610E"/>
    <w:rPr>
      <w:sz w:val="22"/>
      <w:szCs w:val="22"/>
    </w:rPr>
    <w:tblPr>
      <w:tblInd w:w="0" w:type="nil"/>
      <w:tblBorders>
        <w:top w:val="single" w:sz="6" w:space="0" w:color="003D6F"/>
        <w:left w:val="single" w:sz="6" w:space="0" w:color="003D6F"/>
        <w:bottom w:val="single" w:sz="6" w:space="0" w:color="003D6F"/>
        <w:right w:val="single" w:sz="6" w:space="0" w:color="003D6F"/>
        <w:insideH w:val="single" w:sz="6" w:space="0" w:color="003D6F"/>
        <w:insideV w:val="single" w:sz="6" w:space="0" w:color="003D6F"/>
      </w:tblBorders>
      <w:tblCellMar>
        <w:top w:w="14" w:type="dxa"/>
        <w:left w:w="72" w:type="dxa"/>
        <w:bottom w:w="14" w:type="dxa"/>
        <w:right w:w="72" w:type="dxa"/>
      </w:tblCellMar>
    </w:tblPr>
    <w:tblStylePr w:type="firstRow">
      <w:pPr>
        <w:jc w:val="center"/>
      </w:pPr>
      <w:tblPr/>
      <w:tcPr>
        <w:tcBorders>
          <w:top w:val="single" w:sz="4" w:space="0" w:color="003D6F"/>
          <w:left w:val="single" w:sz="4" w:space="0" w:color="003D6F"/>
          <w:bottom w:val="single" w:sz="4" w:space="0" w:color="003D6F"/>
          <w:right w:val="single" w:sz="4" w:space="0" w:color="003D6F"/>
          <w:insideH w:val="single" w:sz="4" w:space="0" w:color="003D6F"/>
          <w:insideV w:val="single" w:sz="4" w:space="0" w:color="FFFFFF"/>
          <w:tl2br w:val="nil"/>
          <w:tr2bl w:val="nil"/>
        </w:tcBorders>
        <w:shd w:val="clear" w:color="auto" w:fill="003D6F"/>
        <w:vAlign w:val="bottom"/>
      </w:tcPr>
    </w:tblStylePr>
  </w:style>
  <w:style w:type="character" w:customStyle="1" w:styleId="apple-converted-space">
    <w:name w:val="apple-converted-space"/>
    <w:basedOn w:val="DefaultParagraphFont"/>
    <w:rsid w:val="00043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906226">
      <w:bodyDiv w:val="1"/>
      <w:marLeft w:val="0"/>
      <w:marRight w:val="0"/>
      <w:marTop w:val="0"/>
      <w:marBottom w:val="0"/>
      <w:divBdr>
        <w:top w:val="none" w:sz="0" w:space="0" w:color="auto"/>
        <w:left w:val="none" w:sz="0" w:space="0" w:color="auto"/>
        <w:bottom w:val="none" w:sz="0" w:space="0" w:color="auto"/>
        <w:right w:val="none" w:sz="0" w:space="0" w:color="auto"/>
      </w:divBdr>
    </w:div>
    <w:div w:id="335617066">
      <w:bodyDiv w:val="1"/>
      <w:marLeft w:val="0"/>
      <w:marRight w:val="0"/>
      <w:marTop w:val="0"/>
      <w:marBottom w:val="0"/>
      <w:divBdr>
        <w:top w:val="none" w:sz="0" w:space="0" w:color="auto"/>
        <w:left w:val="none" w:sz="0" w:space="0" w:color="auto"/>
        <w:bottom w:val="none" w:sz="0" w:space="0" w:color="auto"/>
        <w:right w:val="none" w:sz="0" w:space="0" w:color="auto"/>
      </w:divBdr>
    </w:div>
    <w:div w:id="403843586">
      <w:bodyDiv w:val="1"/>
      <w:marLeft w:val="0"/>
      <w:marRight w:val="0"/>
      <w:marTop w:val="0"/>
      <w:marBottom w:val="0"/>
      <w:divBdr>
        <w:top w:val="none" w:sz="0" w:space="0" w:color="auto"/>
        <w:left w:val="none" w:sz="0" w:space="0" w:color="auto"/>
        <w:bottom w:val="none" w:sz="0" w:space="0" w:color="auto"/>
        <w:right w:val="none" w:sz="0" w:space="0" w:color="auto"/>
      </w:divBdr>
    </w:div>
    <w:div w:id="534316408">
      <w:bodyDiv w:val="1"/>
      <w:marLeft w:val="0"/>
      <w:marRight w:val="0"/>
      <w:marTop w:val="0"/>
      <w:marBottom w:val="0"/>
      <w:divBdr>
        <w:top w:val="none" w:sz="0" w:space="0" w:color="auto"/>
        <w:left w:val="none" w:sz="0" w:space="0" w:color="auto"/>
        <w:bottom w:val="none" w:sz="0" w:space="0" w:color="auto"/>
        <w:right w:val="none" w:sz="0" w:space="0" w:color="auto"/>
      </w:divBdr>
    </w:div>
    <w:div w:id="546798272">
      <w:bodyDiv w:val="1"/>
      <w:marLeft w:val="0"/>
      <w:marRight w:val="0"/>
      <w:marTop w:val="0"/>
      <w:marBottom w:val="0"/>
      <w:divBdr>
        <w:top w:val="none" w:sz="0" w:space="0" w:color="auto"/>
        <w:left w:val="none" w:sz="0" w:space="0" w:color="auto"/>
        <w:bottom w:val="none" w:sz="0" w:space="0" w:color="auto"/>
        <w:right w:val="none" w:sz="0" w:space="0" w:color="auto"/>
      </w:divBdr>
    </w:div>
    <w:div w:id="645477564">
      <w:bodyDiv w:val="1"/>
      <w:marLeft w:val="0"/>
      <w:marRight w:val="0"/>
      <w:marTop w:val="0"/>
      <w:marBottom w:val="0"/>
      <w:divBdr>
        <w:top w:val="none" w:sz="0" w:space="0" w:color="auto"/>
        <w:left w:val="none" w:sz="0" w:space="0" w:color="auto"/>
        <w:bottom w:val="none" w:sz="0" w:space="0" w:color="auto"/>
        <w:right w:val="none" w:sz="0" w:space="0" w:color="auto"/>
      </w:divBdr>
    </w:div>
    <w:div w:id="667948879">
      <w:bodyDiv w:val="1"/>
      <w:marLeft w:val="0"/>
      <w:marRight w:val="0"/>
      <w:marTop w:val="0"/>
      <w:marBottom w:val="0"/>
      <w:divBdr>
        <w:top w:val="none" w:sz="0" w:space="0" w:color="auto"/>
        <w:left w:val="none" w:sz="0" w:space="0" w:color="auto"/>
        <w:bottom w:val="none" w:sz="0" w:space="0" w:color="auto"/>
        <w:right w:val="none" w:sz="0" w:space="0" w:color="auto"/>
      </w:divBdr>
    </w:div>
    <w:div w:id="796602070">
      <w:bodyDiv w:val="1"/>
      <w:marLeft w:val="0"/>
      <w:marRight w:val="0"/>
      <w:marTop w:val="0"/>
      <w:marBottom w:val="0"/>
      <w:divBdr>
        <w:top w:val="none" w:sz="0" w:space="0" w:color="auto"/>
        <w:left w:val="none" w:sz="0" w:space="0" w:color="auto"/>
        <w:bottom w:val="none" w:sz="0" w:space="0" w:color="auto"/>
        <w:right w:val="none" w:sz="0" w:space="0" w:color="auto"/>
      </w:divBdr>
    </w:div>
    <w:div w:id="833494364">
      <w:bodyDiv w:val="1"/>
      <w:marLeft w:val="0"/>
      <w:marRight w:val="0"/>
      <w:marTop w:val="0"/>
      <w:marBottom w:val="0"/>
      <w:divBdr>
        <w:top w:val="none" w:sz="0" w:space="0" w:color="auto"/>
        <w:left w:val="none" w:sz="0" w:space="0" w:color="auto"/>
        <w:bottom w:val="none" w:sz="0" w:space="0" w:color="auto"/>
        <w:right w:val="none" w:sz="0" w:space="0" w:color="auto"/>
      </w:divBdr>
    </w:div>
    <w:div w:id="977497584">
      <w:bodyDiv w:val="1"/>
      <w:marLeft w:val="0"/>
      <w:marRight w:val="0"/>
      <w:marTop w:val="0"/>
      <w:marBottom w:val="0"/>
      <w:divBdr>
        <w:top w:val="none" w:sz="0" w:space="0" w:color="auto"/>
        <w:left w:val="none" w:sz="0" w:space="0" w:color="auto"/>
        <w:bottom w:val="none" w:sz="0" w:space="0" w:color="auto"/>
        <w:right w:val="none" w:sz="0" w:space="0" w:color="auto"/>
      </w:divBdr>
    </w:div>
    <w:div w:id="1054086449">
      <w:bodyDiv w:val="1"/>
      <w:marLeft w:val="0"/>
      <w:marRight w:val="0"/>
      <w:marTop w:val="0"/>
      <w:marBottom w:val="0"/>
      <w:divBdr>
        <w:top w:val="none" w:sz="0" w:space="0" w:color="auto"/>
        <w:left w:val="none" w:sz="0" w:space="0" w:color="auto"/>
        <w:bottom w:val="none" w:sz="0" w:space="0" w:color="auto"/>
        <w:right w:val="none" w:sz="0" w:space="0" w:color="auto"/>
      </w:divBdr>
    </w:div>
    <w:div w:id="1064453937">
      <w:bodyDiv w:val="1"/>
      <w:marLeft w:val="0"/>
      <w:marRight w:val="0"/>
      <w:marTop w:val="0"/>
      <w:marBottom w:val="0"/>
      <w:divBdr>
        <w:top w:val="none" w:sz="0" w:space="0" w:color="auto"/>
        <w:left w:val="none" w:sz="0" w:space="0" w:color="auto"/>
        <w:bottom w:val="none" w:sz="0" w:space="0" w:color="auto"/>
        <w:right w:val="none" w:sz="0" w:space="0" w:color="auto"/>
      </w:divBdr>
    </w:div>
    <w:div w:id="1073117266">
      <w:bodyDiv w:val="1"/>
      <w:marLeft w:val="0"/>
      <w:marRight w:val="0"/>
      <w:marTop w:val="0"/>
      <w:marBottom w:val="0"/>
      <w:divBdr>
        <w:top w:val="none" w:sz="0" w:space="0" w:color="auto"/>
        <w:left w:val="none" w:sz="0" w:space="0" w:color="auto"/>
        <w:bottom w:val="none" w:sz="0" w:space="0" w:color="auto"/>
        <w:right w:val="none" w:sz="0" w:space="0" w:color="auto"/>
      </w:divBdr>
    </w:div>
    <w:div w:id="1126578303">
      <w:bodyDiv w:val="1"/>
      <w:marLeft w:val="0"/>
      <w:marRight w:val="0"/>
      <w:marTop w:val="0"/>
      <w:marBottom w:val="0"/>
      <w:divBdr>
        <w:top w:val="none" w:sz="0" w:space="0" w:color="auto"/>
        <w:left w:val="none" w:sz="0" w:space="0" w:color="auto"/>
        <w:bottom w:val="none" w:sz="0" w:space="0" w:color="auto"/>
        <w:right w:val="none" w:sz="0" w:space="0" w:color="auto"/>
      </w:divBdr>
    </w:div>
    <w:div w:id="1326779997">
      <w:bodyDiv w:val="1"/>
      <w:marLeft w:val="0"/>
      <w:marRight w:val="0"/>
      <w:marTop w:val="0"/>
      <w:marBottom w:val="0"/>
      <w:divBdr>
        <w:top w:val="none" w:sz="0" w:space="0" w:color="auto"/>
        <w:left w:val="none" w:sz="0" w:space="0" w:color="auto"/>
        <w:bottom w:val="none" w:sz="0" w:space="0" w:color="auto"/>
        <w:right w:val="none" w:sz="0" w:space="0" w:color="auto"/>
      </w:divBdr>
    </w:div>
    <w:div w:id="1371568147">
      <w:bodyDiv w:val="1"/>
      <w:marLeft w:val="0"/>
      <w:marRight w:val="0"/>
      <w:marTop w:val="0"/>
      <w:marBottom w:val="0"/>
      <w:divBdr>
        <w:top w:val="none" w:sz="0" w:space="0" w:color="auto"/>
        <w:left w:val="none" w:sz="0" w:space="0" w:color="auto"/>
        <w:bottom w:val="none" w:sz="0" w:space="0" w:color="auto"/>
        <w:right w:val="none" w:sz="0" w:space="0" w:color="auto"/>
      </w:divBdr>
    </w:div>
    <w:div w:id="1416508958">
      <w:bodyDiv w:val="1"/>
      <w:marLeft w:val="0"/>
      <w:marRight w:val="0"/>
      <w:marTop w:val="0"/>
      <w:marBottom w:val="0"/>
      <w:divBdr>
        <w:top w:val="none" w:sz="0" w:space="0" w:color="auto"/>
        <w:left w:val="none" w:sz="0" w:space="0" w:color="auto"/>
        <w:bottom w:val="none" w:sz="0" w:space="0" w:color="auto"/>
        <w:right w:val="none" w:sz="0" w:space="0" w:color="auto"/>
      </w:divBdr>
    </w:div>
    <w:div w:id="1588345164">
      <w:bodyDiv w:val="1"/>
      <w:marLeft w:val="0"/>
      <w:marRight w:val="0"/>
      <w:marTop w:val="0"/>
      <w:marBottom w:val="0"/>
      <w:divBdr>
        <w:top w:val="none" w:sz="0" w:space="0" w:color="auto"/>
        <w:left w:val="none" w:sz="0" w:space="0" w:color="auto"/>
        <w:bottom w:val="none" w:sz="0" w:space="0" w:color="auto"/>
        <w:right w:val="none" w:sz="0" w:space="0" w:color="auto"/>
      </w:divBdr>
    </w:div>
    <w:div w:id="1661612474">
      <w:bodyDiv w:val="1"/>
      <w:marLeft w:val="0"/>
      <w:marRight w:val="0"/>
      <w:marTop w:val="0"/>
      <w:marBottom w:val="0"/>
      <w:divBdr>
        <w:top w:val="none" w:sz="0" w:space="0" w:color="auto"/>
        <w:left w:val="none" w:sz="0" w:space="0" w:color="auto"/>
        <w:bottom w:val="none" w:sz="0" w:space="0" w:color="auto"/>
        <w:right w:val="none" w:sz="0" w:space="0" w:color="auto"/>
      </w:divBdr>
    </w:div>
    <w:div w:id="1764913357">
      <w:bodyDiv w:val="1"/>
      <w:marLeft w:val="0"/>
      <w:marRight w:val="0"/>
      <w:marTop w:val="0"/>
      <w:marBottom w:val="0"/>
      <w:divBdr>
        <w:top w:val="none" w:sz="0" w:space="0" w:color="auto"/>
        <w:left w:val="none" w:sz="0" w:space="0" w:color="auto"/>
        <w:bottom w:val="none" w:sz="0" w:space="0" w:color="auto"/>
        <w:right w:val="none" w:sz="0" w:space="0" w:color="auto"/>
      </w:divBdr>
    </w:div>
    <w:div w:id="1911692801">
      <w:bodyDiv w:val="1"/>
      <w:marLeft w:val="0"/>
      <w:marRight w:val="0"/>
      <w:marTop w:val="0"/>
      <w:marBottom w:val="0"/>
      <w:divBdr>
        <w:top w:val="none" w:sz="0" w:space="0" w:color="auto"/>
        <w:left w:val="none" w:sz="0" w:space="0" w:color="auto"/>
        <w:bottom w:val="none" w:sz="0" w:space="0" w:color="auto"/>
        <w:right w:val="none" w:sz="0" w:space="0" w:color="auto"/>
      </w:divBdr>
    </w:div>
    <w:div w:id="195057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A41FE15D85D64587BCA57AEBF5E4E2" ma:contentTypeVersion="9" ma:contentTypeDescription="Create a new document." ma:contentTypeScope="" ma:versionID="390ad694dc5068fc8314060e5fc17dd4">
  <xsd:schema xmlns:xsd="http://www.w3.org/2001/XMLSchema" xmlns:xs="http://www.w3.org/2001/XMLSchema" xmlns:p="http://schemas.microsoft.com/office/2006/metadata/properties" xmlns:ns2="af38e4ca-f887-42d2-b009-73172c6a0926" targetNamespace="http://schemas.microsoft.com/office/2006/metadata/properties" ma:root="true" ma:fieldsID="11437c7d5a861c90baacda9d88d6d968" ns2:_="">
    <xsd:import namespace="af38e4ca-f887-42d2-b009-73172c6a0926"/>
    <xsd:element name="properties">
      <xsd:complexType>
        <xsd:sequence>
          <xsd:element name="documentManagement">
            <xsd:complexType>
              <xsd:all>
                <xsd:element ref="ns2:Closed" minOccurs="0"/>
                <xsd:element ref="ns2:Comments_x0020_Due_x0020_Date" minOccurs="0"/>
                <xsd:element ref="ns2:Program" minOccurs="0"/>
                <xsd:element ref="ns2:Assigned"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8e4ca-f887-42d2-b009-73172c6a0926" elementFormDefault="qualified">
    <xsd:import namespace="http://schemas.microsoft.com/office/2006/documentManagement/types"/>
    <xsd:import namespace="http://schemas.microsoft.com/office/infopath/2007/PartnerControls"/>
    <xsd:element name="Closed" ma:index="2" nillable="true" ma:displayName="Closed" ma:default="0" ma:internalName="Closed">
      <xsd:simpleType>
        <xsd:restriction base="dms:Boolean"/>
      </xsd:simpleType>
    </xsd:element>
    <xsd:element name="Comments_x0020_Due_x0020_Date" ma:index="3" nillable="true" ma:displayName="Comments Due Date" ma:default="[today]" ma:format="DateOnly" ma:internalName="Comments_x0020_Due_x0020_Date">
      <xsd:simpleType>
        <xsd:restriction base="dms:DateTime"/>
      </xsd:simpleType>
    </xsd:element>
    <xsd:element name="Program" ma:index="4" nillable="true" ma:displayName="Program" ma:default="Other" ma:format="Dropdown" ma:internalName="Program">
      <xsd:simpleType>
        <xsd:restriction base="dms:Choice">
          <xsd:enumeration value="MQM"/>
          <xsd:enumeration value="QHP Survey"/>
          <xsd:enumeration value="Marketplace Survey"/>
          <xsd:enumeration value="QRS"/>
          <xsd:enumeration value="QIS"/>
          <xsd:enumeration value="Other"/>
        </xsd:restriction>
      </xsd:simpleType>
    </xsd:element>
    <xsd:element name="Assigned" ma:index="11" nillable="true" ma:displayName="Assigned" ma:internalName="Assigned">
      <xsd:simpleType>
        <xsd:restriction base="dms:Note">
          <xsd:maxLength value="255"/>
        </xsd:restriction>
      </xsd:simpleType>
    </xsd:element>
    <xsd:element name="Reviewed" ma:index="12" nillable="true" ma:displayName="Reviewed" ma:internalName="Reviewed">
      <xsd:complexType>
        <xsd:complexContent>
          <xsd:extension base="dms:MultiChoiceFillIn">
            <xsd:sequence>
              <xsd:element name="Value" maxOccurs="unbounded" minOccurs="0" nillable="true">
                <xsd:simpleType>
                  <xsd:union memberTypes="dms:Text">
                    <xsd:simpleType>
                      <xsd:restriction base="dms:Choice">
                        <xsd:enumeration value="Maria Durham"/>
                        <xsd:enumeration value="Jayne Hammen"/>
                        <xsd:enumeration value="Kathleen Jack"/>
                        <xsd:enumeration value="Marsha Smith"/>
                        <xsd:enumeration value="Melissa Evans"/>
                        <xsd:enumeration value="Nidhi Singh-Shah"/>
                        <xsd:enumeration value="LaWanda Burwell"/>
                        <xsd:enumeration value="Israel Cross"/>
                        <xsd:enumeration value="Patrick Hornberger"/>
                        <xsd:enumeration value="Nina Heggs"/>
                        <xsd:enumeration value="Kimberly Kufel"/>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gram xmlns="af38e4ca-f887-42d2-b009-73172c6a0926">QHP Survey</Program>
    <Assigned xmlns="af38e4ca-f887-42d2-b009-73172c6a0926" xsi:nil="true"/>
    <Closed xmlns="af38e4ca-f887-42d2-b009-73172c6a0926">false</Closed>
    <Reviewed xmlns="af38e4ca-f887-42d2-b009-73172c6a0926">
      <Value>Nidhi Singh-Shah</Value>
      <Value>Nina Heggs</Value>
    </Reviewed>
    <Comments_x0020_Due_x0020_Date xmlns="af38e4ca-f887-42d2-b009-73172c6a0926">2017-06-26T04:00:00+00:00</Comments_x0020_Due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1860F-09FB-42EC-BB5E-493117FAF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8e4ca-f887-42d2-b009-73172c6a0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824912-EC73-49C1-878F-B3BE6602AD24}">
  <ds:schemaRefs>
    <ds:schemaRef ds:uri="http://schemas.microsoft.com/sharepoint/v3/contenttype/forms"/>
  </ds:schemaRefs>
</ds:datastoreItem>
</file>

<file path=customXml/itemProps3.xml><?xml version="1.0" encoding="utf-8"?>
<ds:datastoreItem xmlns:ds="http://schemas.openxmlformats.org/officeDocument/2006/customXml" ds:itemID="{8717E642-19EE-448D-AE9C-2241FC60D7A6}">
  <ds:schemaRefs>
    <ds:schemaRef ds:uri="http://schemas.microsoft.com/office/2006/metadata/properties"/>
    <ds:schemaRef ds:uri="http://schemas.microsoft.com/office/infopath/2007/PartnerControls"/>
    <ds:schemaRef ds:uri="af38e4ca-f887-42d2-b009-73172c6a0926"/>
  </ds:schemaRefs>
</ds:datastoreItem>
</file>

<file path=customXml/itemProps4.xml><?xml version="1.0" encoding="utf-8"?>
<ds:datastoreItem xmlns:ds="http://schemas.openxmlformats.org/officeDocument/2006/customXml" ds:itemID="{B6192816-FEBA-4FE7-AF4B-F9DF1C346279}">
  <ds:schemaRefs>
    <ds:schemaRef ds:uri="http://schemas.openxmlformats.org/officeDocument/2006/bibliography"/>
  </ds:schemaRefs>
</ds:datastoreItem>
</file>

<file path=customXml/itemProps5.xml><?xml version="1.0" encoding="utf-8"?>
<ds:datastoreItem xmlns:ds="http://schemas.openxmlformats.org/officeDocument/2006/customXml" ds:itemID="{72C1D29B-B773-4999-8D47-746B03F79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3928</Words>
  <Characters>22396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26272</CharactersWithSpaces>
  <SharedDoc>false</SharedDoc>
  <HLinks>
    <vt:vector size="138" baseType="variant">
      <vt:variant>
        <vt:i4>7405604</vt:i4>
      </vt:variant>
      <vt:variant>
        <vt:i4>146</vt:i4>
      </vt:variant>
      <vt:variant>
        <vt:i4>0</vt:i4>
      </vt:variant>
      <vt:variant>
        <vt:i4>5</vt:i4>
      </vt:variant>
      <vt:variant>
        <vt:lpwstr>http://www.bls.gov/news.release/empsit.nr0.htm</vt:lpwstr>
      </vt:variant>
      <vt:variant>
        <vt:lpwstr/>
      </vt:variant>
      <vt:variant>
        <vt:i4>1376309</vt:i4>
      </vt:variant>
      <vt:variant>
        <vt:i4>133</vt:i4>
      </vt:variant>
      <vt:variant>
        <vt:i4>0</vt:i4>
      </vt:variant>
      <vt:variant>
        <vt:i4>5</vt:i4>
      </vt:variant>
      <vt:variant>
        <vt:lpwstr/>
      </vt:variant>
      <vt:variant>
        <vt:lpwstr>_Toc317605104</vt:lpwstr>
      </vt:variant>
      <vt:variant>
        <vt:i4>1376309</vt:i4>
      </vt:variant>
      <vt:variant>
        <vt:i4>127</vt:i4>
      </vt:variant>
      <vt:variant>
        <vt:i4>0</vt:i4>
      </vt:variant>
      <vt:variant>
        <vt:i4>5</vt:i4>
      </vt:variant>
      <vt:variant>
        <vt:lpwstr/>
      </vt:variant>
      <vt:variant>
        <vt:lpwstr>_Toc317605103</vt:lpwstr>
      </vt:variant>
      <vt:variant>
        <vt:i4>1245234</vt:i4>
      </vt:variant>
      <vt:variant>
        <vt:i4>118</vt:i4>
      </vt:variant>
      <vt:variant>
        <vt:i4>0</vt:i4>
      </vt:variant>
      <vt:variant>
        <vt:i4>5</vt:i4>
      </vt:variant>
      <vt:variant>
        <vt:lpwstr/>
      </vt:variant>
      <vt:variant>
        <vt:lpwstr>_Toc318984184</vt:lpwstr>
      </vt:variant>
      <vt:variant>
        <vt:i4>1245234</vt:i4>
      </vt:variant>
      <vt:variant>
        <vt:i4>112</vt:i4>
      </vt:variant>
      <vt:variant>
        <vt:i4>0</vt:i4>
      </vt:variant>
      <vt:variant>
        <vt:i4>5</vt:i4>
      </vt:variant>
      <vt:variant>
        <vt:lpwstr/>
      </vt:variant>
      <vt:variant>
        <vt:lpwstr>_Toc318984183</vt:lpwstr>
      </vt:variant>
      <vt:variant>
        <vt:i4>1245234</vt:i4>
      </vt:variant>
      <vt:variant>
        <vt:i4>106</vt:i4>
      </vt:variant>
      <vt:variant>
        <vt:i4>0</vt:i4>
      </vt:variant>
      <vt:variant>
        <vt:i4>5</vt:i4>
      </vt:variant>
      <vt:variant>
        <vt:lpwstr/>
      </vt:variant>
      <vt:variant>
        <vt:lpwstr>_Toc318984182</vt:lpwstr>
      </vt:variant>
      <vt:variant>
        <vt:i4>1245234</vt:i4>
      </vt:variant>
      <vt:variant>
        <vt:i4>100</vt:i4>
      </vt:variant>
      <vt:variant>
        <vt:i4>0</vt:i4>
      </vt:variant>
      <vt:variant>
        <vt:i4>5</vt:i4>
      </vt:variant>
      <vt:variant>
        <vt:lpwstr/>
      </vt:variant>
      <vt:variant>
        <vt:lpwstr>_Toc318984181</vt:lpwstr>
      </vt:variant>
      <vt:variant>
        <vt:i4>1245234</vt:i4>
      </vt:variant>
      <vt:variant>
        <vt:i4>94</vt:i4>
      </vt:variant>
      <vt:variant>
        <vt:i4>0</vt:i4>
      </vt:variant>
      <vt:variant>
        <vt:i4>5</vt:i4>
      </vt:variant>
      <vt:variant>
        <vt:lpwstr/>
      </vt:variant>
      <vt:variant>
        <vt:lpwstr>_Toc318984180</vt:lpwstr>
      </vt:variant>
      <vt:variant>
        <vt:i4>1835058</vt:i4>
      </vt:variant>
      <vt:variant>
        <vt:i4>88</vt:i4>
      </vt:variant>
      <vt:variant>
        <vt:i4>0</vt:i4>
      </vt:variant>
      <vt:variant>
        <vt:i4>5</vt:i4>
      </vt:variant>
      <vt:variant>
        <vt:lpwstr/>
      </vt:variant>
      <vt:variant>
        <vt:lpwstr>_Toc318984179</vt:lpwstr>
      </vt:variant>
      <vt:variant>
        <vt:i4>1835058</vt:i4>
      </vt:variant>
      <vt:variant>
        <vt:i4>82</vt:i4>
      </vt:variant>
      <vt:variant>
        <vt:i4>0</vt:i4>
      </vt:variant>
      <vt:variant>
        <vt:i4>5</vt:i4>
      </vt:variant>
      <vt:variant>
        <vt:lpwstr/>
      </vt:variant>
      <vt:variant>
        <vt:lpwstr>_Toc318984178</vt:lpwstr>
      </vt:variant>
      <vt:variant>
        <vt:i4>1835058</vt:i4>
      </vt:variant>
      <vt:variant>
        <vt:i4>76</vt:i4>
      </vt:variant>
      <vt:variant>
        <vt:i4>0</vt:i4>
      </vt:variant>
      <vt:variant>
        <vt:i4>5</vt:i4>
      </vt:variant>
      <vt:variant>
        <vt:lpwstr/>
      </vt:variant>
      <vt:variant>
        <vt:lpwstr>_Toc318984177</vt:lpwstr>
      </vt:variant>
      <vt:variant>
        <vt:i4>1835058</vt:i4>
      </vt:variant>
      <vt:variant>
        <vt:i4>70</vt:i4>
      </vt:variant>
      <vt:variant>
        <vt:i4>0</vt:i4>
      </vt:variant>
      <vt:variant>
        <vt:i4>5</vt:i4>
      </vt:variant>
      <vt:variant>
        <vt:lpwstr/>
      </vt:variant>
      <vt:variant>
        <vt:lpwstr>_Toc318984176</vt:lpwstr>
      </vt:variant>
      <vt:variant>
        <vt:i4>1835058</vt:i4>
      </vt:variant>
      <vt:variant>
        <vt:i4>64</vt:i4>
      </vt:variant>
      <vt:variant>
        <vt:i4>0</vt:i4>
      </vt:variant>
      <vt:variant>
        <vt:i4>5</vt:i4>
      </vt:variant>
      <vt:variant>
        <vt:lpwstr/>
      </vt:variant>
      <vt:variant>
        <vt:lpwstr>_Toc318984175</vt:lpwstr>
      </vt:variant>
      <vt:variant>
        <vt:i4>1835058</vt:i4>
      </vt:variant>
      <vt:variant>
        <vt:i4>58</vt:i4>
      </vt:variant>
      <vt:variant>
        <vt:i4>0</vt:i4>
      </vt:variant>
      <vt:variant>
        <vt:i4>5</vt:i4>
      </vt:variant>
      <vt:variant>
        <vt:lpwstr/>
      </vt:variant>
      <vt:variant>
        <vt:lpwstr>_Toc318984174</vt:lpwstr>
      </vt:variant>
      <vt:variant>
        <vt:i4>1835058</vt:i4>
      </vt:variant>
      <vt:variant>
        <vt:i4>52</vt:i4>
      </vt:variant>
      <vt:variant>
        <vt:i4>0</vt:i4>
      </vt:variant>
      <vt:variant>
        <vt:i4>5</vt:i4>
      </vt:variant>
      <vt:variant>
        <vt:lpwstr/>
      </vt:variant>
      <vt:variant>
        <vt:lpwstr>_Toc318984173</vt:lpwstr>
      </vt:variant>
      <vt:variant>
        <vt:i4>1835058</vt:i4>
      </vt:variant>
      <vt:variant>
        <vt:i4>46</vt:i4>
      </vt:variant>
      <vt:variant>
        <vt:i4>0</vt:i4>
      </vt:variant>
      <vt:variant>
        <vt:i4>5</vt:i4>
      </vt:variant>
      <vt:variant>
        <vt:lpwstr/>
      </vt:variant>
      <vt:variant>
        <vt:lpwstr>_Toc318984172</vt:lpwstr>
      </vt:variant>
      <vt:variant>
        <vt:i4>1835058</vt:i4>
      </vt:variant>
      <vt:variant>
        <vt:i4>40</vt:i4>
      </vt:variant>
      <vt:variant>
        <vt:i4>0</vt:i4>
      </vt:variant>
      <vt:variant>
        <vt:i4>5</vt:i4>
      </vt:variant>
      <vt:variant>
        <vt:lpwstr/>
      </vt:variant>
      <vt:variant>
        <vt:lpwstr>_Toc318984171</vt:lpwstr>
      </vt:variant>
      <vt:variant>
        <vt:i4>1835058</vt:i4>
      </vt:variant>
      <vt:variant>
        <vt:i4>34</vt:i4>
      </vt:variant>
      <vt:variant>
        <vt:i4>0</vt:i4>
      </vt:variant>
      <vt:variant>
        <vt:i4>5</vt:i4>
      </vt:variant>
      <vt:variant>
        <vt:lpwstr/>
      </vt:variant>
      <vt:variant>
        <vt:lpwstr>_Toc318984170</vt:lpwstr>
      </vt:variant>
      <vt:variant>
        <vt:i4>1900594</vt:i4>
      </vt:variant>
      <vt:variant>
        <vt:i4>28</vt:i4>
      </vt:variant>
      <vt:variant>
        <vt:i4>0</vt:i4>
      </vt:variant>
      <vt:variant>
        <vt:i4>5</vt:i4>
      </vt:variant>
      <vt:variant>
        <vt:lpwstr/>
      </vt:variant>
      <vt:variant>
        <vt:lpwstr>_Toc318984169</vt:lpwstr>
      </vt:variant>
      <vt:variant>
        <vt:i4>1900594</vt:i4>
      </vt:variant>
      <vt:variant>
        <vt:i4>22</vt:i4>
      </vt:variant>
      <vt:variant>
        <vt:i4>0</vt:i4>
      </vt:variant>
      <vt:variant>
        <vt:i4>5</vt:i4>
      </vt:variant>
      <vt:variant>
        <vt:lpwstr/>
      </vt:variant>
      <vt:variant>
        <vt:lpwstr>_Toc318984168</vt:lpwstr>
      </vt:variant>
      <vt:variant>
        <vt:i4>1900594</vt:i4>
      </vt:variant>
      <vt:variant>
        <vt:i4>16</vt:i4>
      </vt:variant>
      <vt:variant>
        <vt:i4>0</vt:i4>
      </vt:variant>
      <vt:variant>
        <vt:i4>5</vt:i4>
      </vt:variant>
      <vt:variant>
        <vt:lpwstr/>
      </vt:variant>
      <vt:variant>
        <vt:lpwstr>_Toc318984167</vt:lpwstr>
      </vt:variant>
      <vt:variant>
        <vt:i4>1900594</vt:i4>
      </vt:variant>
      <vt:variant>
        <vt:i4>10</vt:i4>
      </vt:variant>
      <vt:variant>
        <vt:i4>0</vt:i4>
      </vt:variant>
      <vt:variant>
        <vt:i4>5</vt:i4>
      </vt:variant>
      <vt:variant>
        <vt:lpwstr/>
      </vt:variant>
      <vt:variant>
        <vt:lpwstr>_Toc318984166</vt:lpwstr>
      </vt:variant>
      <vt:variant>
        <vt:i4>1900594</vt:i4>
      </vt:variant>
      <vt:variant>
        <vt:i4>4</vt:i4>
      </vt:variant>
      <vt:variant>
        <vt:i4>0</vt:i4>
      </vt:variant>
      <vt:variant>
        <vt:i4>5</vt:i4>
      </vt:variant>
      <vt:variant>
        <vt:lpwstr/>
      </vt:variant>
      <vt:variant>
        <vt:lpwstr>_Toc318984165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2020-05-21T18:35:00Z</dcterms:created>
  <dcterms:modified xsi:type="dcterms:W3CDTF">2020-05-21T18:35:00Z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0x01010059A41FE15D85D64587BCA57AEBF5E4E2</vt:lpwstr>
  </property>
  <property fmtid="{D5CDD505-2E9C-101B-9397-08002B2CF9AE}" pid="4" name="_AdHocReviewCycleID">
    <vt:i4>1148360616</vt:i4>
  </property>
  <property fmtid="{D5CDD505-2E9C-101B-9397-08002B2CF9AE}" pid="5" name="_PreviousAdHocReviewCycleID">
    <vt:i4>-1128079767</vt:i4>
  </property>
  <property fmtid="{D5CDD505-2E9C-101B-9397-08002B2CF9AE}" pid="6" name="_ReviewingToolsShownOnce">
    <vt:lpwstr/>
  </property>
</Properties>
</file>