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76AAC" w:rsidR="0068526F" w:rsidP="00976AAC" w:rsidRDefault="00E571AF">
      <w:pPr>
        <w:ind w:left="720"/>
        <w:jc w:val="center"/>
        <w:rPr>
          <w:b/>
          <w:bCs/>
          <w:sz w:val="40"/>
          <w:szCs w:val="40"/>
        </w:rPr>
      </w:pPr>
      <w:r w:rsidRPr="00976AAC">
        <w:rPr>
          <w:b/>
          <w:bCs/>
          <w:sz w:val="40"/>
          <w:szCs w:val="40"/>
        </w:rPr>
        <w:t>Supporting Statement</w:t>
      </w:r>
    </w:p>
    <w:p w:rsidRPr="00976AAC" w:rsidR="00A746EB" w:rsidP="00976AAC" w:rsidRDefault="0068526F">
      <w:pPr>
        <w:ind w:left="720"/>
        <w:jc w:val="center"/>
        <w:rPr>
          <w:b/>
          <w:sz w:val="32"/>
          <w:szCs w:val="32"/>
        </w:rPr>
      </w:pPr>
      <w:r w:rsidRPr="00976AAC">
        <w:rPr>
          <w:b/>
          <w:sz w:val="28"/>
          <w:szCs w:val="28"/>
        </w:rPr>
        <w:t>T</w:t>
      </w:r>
      <w:r w:rsidRPr="00976AAC" w:rsidR="00A30F7C">
        <w:rPr>
          <w:b/>
          <w:sz w:val="28"/>
          <w:szCs w:val="28"/>
        </w:rPr>
        <w:t>he Annual Report on Possible Research Misconduct form (PHS-6349</w:t>
      </w:r>
      <w:r w:rsidRPr="00976AAC" w:rsidR="00A746EB">
        <w:rPr>
          <w:b/>
          <w:sz w:val="28"/>
          <w:szCs w:val="28"/>
        </w:rPr>
        <w:t xml:space="preserve"> and Assurance of Compliance by Sub-Award Recipients (PHS- 6315)</w:t>
      </w:r>
    </w:p>
    <w:p w:rsidR="00E571AF" w:rsidP="00A30F7C" w:rsidRDefault="00E571AF">
      <w:pPr>
        <w:jc w:val="center"/>
        <w:outlineLvl w:val="0"/>
      </w:pPr>
    </w:p>
    <w:p w:rsidR="00E571AF" w:rsidRDefault="00E571AF">
      <w:pPr>
        <w:jc w:val="center"/>
      </w:pPr>
    </w:p>
    <w:p w:rsidR="00E571AF" w:rsidRDefault="00E571AF">
      <w:pPr>
        <w:outlineLvl w:val="0"/>
        <w:rPr>
          <w:b/>
          <w:bCs/>
        </w:rPr>
      </w:pPr>
    </w:p>
    <w:p w:rsidR="00E571AF" w:rsidRDefault="00E571AF">
      <w:pPr>
        <w:outlineLvl w:val="0"/>
      </w:pPr>
      <w:r>
        <w:rPr>
          <w:b/>
          <w:bCs/>
        </w:rPr>
        <w:t xml:space="preserve"> </w:t>
      </w:r>
      <w:r>
        <w:rPr>
          <w:b/>
          <w:bCs/>
        </w:rPr>
        <w:tab/>
        <w:t>Background</w:t>
      </w:r>
    </w:p>
    <w:p w:rsidR="00E571AF" w:rsidRDefault="00E571AF"/>
    <w:p w:rsidR="00E571AF" w:rsidRDefault="00E571AF">
      <w:pPr>
        <w:ind w:left="720"/>
      </w:pPr>
      <w:r>
        <w:t xml:space="preserve">This is a request for OMB to approve </w:t>
      </w:r>
      <w:r w:rsidR="00EB3FEA">
        <w:t xml:space="preserve">the </w:t>
      </w:r>
      <w:r w:rsidR="003207C5">
        <w:t>revisions</w:t>
      </w:r>
      <w:r w:rsidR="00EB3FEA">
        <w:t xml:space="preserve"> of </w:t>
      </w:r>
      <w:r>
        <w:t xml:space="preserve"> approved collection</w:t>
      </w:r>
      <w:r w:rsidR="00EB3FEA">
        <w:t xml:space="preserve"> forms:</w:t>
      </w:r>
      <w:r>
        <w:t xml:space="preserve"> the Annual Report on Possible Research Misconduct form (PHS</w:t>
      </w:r>
      <w:r w:rsidR="000E3036">
        <w:t>-</w:t>
      </w:r>
      <w:r>
        <w:t xml:space="preserve">6349) </w:t>
      </w:r>
      <w:r w:rsidR="00EB3FEA">
        <w:t>and the Assurance of Complian</w:t>
      </w:r>
      <w:r w:rsidRPr="00C41F03" w:rsidR="00EB3FEA">
        <w:t>ce by</w:t>
      </w:r>
      <w:r w:rsidRPr="00C41F03" w:rsidR="000E3036">
        <w:t xml:space="preserve"> Sub-Award Recipients form (PHS-</w:t>
      </w:r>
      <w:r w:rsidRPr="00C41F03" w:rsidR="00EB3FEA">
        <w:t xml:space="preserve">6315), both </w:t>
      </w:r>
      <w:r w:rsidRPr="00C41F03">
        <w:t>developed to implement the regulation</w:t>
      </w:r>
      <w:r w:rsidRPr="00C41F03" w:rsidR="00A30F7C">
        <w:t xml:space="preserve"> </w:t>
      </w:r>
      <w:r w:rsidRPr="00C41F03" w:rsidR="00A30F7C">
        <w:rPr>
          <w:bCs/>
        </w:rPr>
        <w:t>42 CFR Part 93</w:t>
      </w:r>
      <w:r w:rsidRPr="00C41F03">
        <w:t>. The OMB approval (OMB No. 0937</w:t>
      </w:r>
      <w:r w:rsidRPr="00C41F03">
        <w:noBreakHyphen/>
        <w:t>0198) of th</w:t>
      </w:r>
      <w:r w:rsidRPr="00C41F03" w:rsidR="00EB3FEA">
        <w:t>ese</w:t>
      </w:r>
      <w:r w:rsidRPr="00C41F03">
        <w:t xml:space="preserve"> form</w:t>
      </w:r>
      <w:r w:rsidRPr="00C41F03" w:rsidR="00EB3FEA">
        <w:t>s</w:t>
      </w:r>
      <w:r w:rsidRPr="00C41F03">
        <w:t xml:space="preserve"> expires on </w:t>
      </w:r>
      <w:r w:rsidRPr="00C41F03" w:rsidR="00745958">
        <w:t>May 31, 20</w:t>
      </w:r>
      <w:r w:rsidRPr="00C41F03" w:rsidR="007E5127">
        <w:t>20</w:t>
      </w:r>
      <w:r w:rsidRPr="00C41F03" w:rsidR="00745958">
        <w:t>.</w:t>
      </w:r>
    </w:p>
    <w:p w:rsidR="00E571AF" w:rsidRDefault="00E571AF">
      <w:r>
        <w:t xml:space="preserve"> </w:t>
      </w:r>
    </w:p>
    <w:p w:rsidR="00E571AF" w:rsidRDefault="00E571AF">
      <w:pPr>
        <w:ind w:left="720"/>
      </w:pPr>
      <w:r>
        <w:t xml:space="preserve">Attachment I, </w:t>
      </w:r>
      <w:r w:rsidR="000E3036">
        <w:t>approved</w:t>
      </w:r>
      <w:r>
        <w:t xml:space="preserve"> Annual Report on Possible Research Misconduct (Annual Report) (PHS</w:t>
      </w:r>
      <w:r w:rsidR="000E3036">
        <w:t>-</w:t>
      </w:r>
      <w:r>
        <w:t>6349).</w:t>
      </w:r>
    </w:p>
    <w:p w:rsidR="000E3036" w:rsidRDefault="000E3036">
      <w:pPr>
        <w:ind w:left="720"/>
      </w:pPr>
    </w:p>
    <w:p w:rsidR="000E3036" w:rsidP="00A746EB" w:rsidRDefault="000E3036">
      <w:pPr>
        <w:ind w:left="720"/>
      </w:pPr>
      <w:r>
        <w:t>Attachment II, approved Assurance of Compliance by Sub-Award Recipients (PHS- 6315).</w:t>
      </w:r>
    </w:p>
    <w:p w:rsidR="00E571AF" w:rsidRDefault="00E571AF"/>
    <w:p w:rsidR="00E571AF" w:rsidRDefault="00E571AF">
      <w:pPr>
        <w:ind w:left="720"/>
      </w:pPr>
      <w:r>
        <w:t>The purpose of the Annual Report on Possible Research Misconduct (Annual Report</w:t>
      </w:r>
      <w:r w:rsidR="000E3036">
        <w:t>, PHS 6349</w:t>
      </w:r>
      <w:r>
        <w:t xml:space="preserve">) form, in addition to providing an annual assurance that the institution has established and will follow administrative policies and procedures for responding to allegations of research misconduct that comply with the Public Health Service (PHS) Policies on Research Misconduct (42 CFR Part 93), is to provide data on the amount of research misconduct activity occurring in institutions conducting PHS supported research. </w:t>
      </w:r>
      <w:r w:rsidR="000E3036">
        <w:t xml:space="preserve">The Assurance of Compliance by Sub-Award Recipients form (PHS 6315) achieves the same purposes for sub-awardee institutions. </w:t>
      </w:r>
      <w:r>
        <w:t xml:space="preserve">Research misconduct is defined as receipt of an allegation of research misconduct and/or the conduct of an inquiry and/or investigation into such allegations. These data enable the ORI to monitor institutional compliance with the PHS regulation. </w:t>
      </w:r>
    </w:p>
    <w:p w:rsidR="00E571AF" w:rsidRDefault="00E571AF"/>
    <w:p w:rsidR="00E571AF" w:rsidRDefault="00E571AF">
      <w:pPr>
        <w:ind w:left="720"/>
      </w:pPr>
      <w:r>
        <w:t xml:space="preserve">Lastly, the form will be used to respond to congressional requests for information to prevent misuse of Federal funds and to protect the public interest. </w:t>
      </w:r>
    </w:p>
    <w:p w:rsidR="00E571AF" w:rsidRDefault="00E571AF"/>
    <w:p w:rsidR="00E571AF" w:rsidRDefault="00E571AF">
      <w:pPr>
        <w:outlineLvl w:val="0"/>
      </w:pPr>
      <w:r>
        <w:rPr>
          <w:b/>
          <w:bCs/>
        </w:rPr>
        <w:t xml:space="preserve">A. </w:t>
      </w:r>
      <w:r>
        <w:rPr>
          <w:b/>
          <w:bCs/>
        </w:rPr>
        <w:tab/>
        <w:t>Justification</w:t>
      </w:r>
    </w:p>
    <w:p w:rsidR="00E571AF" w:rsidRDefault="00E571AF"/>
    <w:p w:rsidR="00E571AF" w:rsidRDefault="00E571AF">
      <w:pPr>
        <w:tabs>
          <w:tab w:val="left" w:pos="-1440"/>
        </w:tabs>
        <w:ind w:left="720" w:hanging="720"/>
      </w:pPr>
      <w:r>
        <w:t>1.</w:t>
      </w:r>
      <w:r>
        <w:tab/>
      </w:r>
      <w:r>
        <w:rPr>
          <w:u w:val="single"/>
        </w:rPr>
        <w:t>Need and Legal Basis</w:t>
      </w:r>
    </w:p>
    <w:p w:rsidR="00E571AF" w:rsidRDefault="00E571AF"/>
    <w:p w:rsidR="00913073" w:rsidP="00913073" w:rsidRDefault="00E571AF">
      <w:r>
        <w:t>Section 493 of the Public Health Service Act, as amended by Pub. L. 99</w:t>
      </w:r>
      <w:r>
        <w:noBreakHyphen/>
        <w:t xml:space="preserve">158, the Health Research Extension Act of 1985, provides that the Secretary by regulation shall require that each entity that applies for a grant, contract or cooperative agreement which involves the conduct of biomedical or behavioral research shall submit an approved assurance. </w:t>
      </w:r>
      <w:r w:rsidR="00CD55F3">
        <w:t>By regulation, the Secretary requires an</w:t>
      </w:r>
      <w:r>
        <w:t xml:space="preserve"> </w:t>
      </w:r>
      <w:r w:rsidR="00523E2E">
        <w:t>assurance that</w:t>
      </w:r>
      <w:r>
        <w:t xml:space="preserve"> the institution 1) has established policies and procedures to </w:t>
      </w:r>
      <w:r>
        <w:lastRenderedPageBreak/>
        <w:t xml:space="preserve">review, investigate and report allegations of research misconduct in connection with biomedical and behavioral research conducted at or sponsored by the applicant institution with PHS supported funds, 2) will comply with its own policies and will report to the Secretary any investigation or alleged misconduct and 3) will follow the requirements of </w:t>
      </w:r>
      <w:r w:rsidR="00CD55F3">
        <w:t>the applicable regulation</w:t>
      </w:r>
      <w:r>
        <w:t xml:space="preserve">. The </w:t>
      </w:r>
      <w:r w:rsidR="00CD55F3">
        <w:t xml:space="preserve">former </w:t>
      </w:r>
      <w:r>
        <w:t>regulation, 42 CFR Part 50, Subpart A, which was published in 1989</w:t>
      </w:r>
      <w:r w:rsidR="00243949">
        <w:t>,</w:t>
      </w:r>
      <w:r>
        <w:t xml:space="preserve"> state</w:t>
      </w:r>
      <w:r w:rsidR="007D22E0">
        <w:t>d</w:t>
      </w:r>
      <w:r>
        <w:t xml:space="preserve"> that "An institution shall submit, along with its annual assurance, such aggregate information on allegations, inquiries, and investigations as the Secretary may prescribe."</w:t>
      </w:r>
      <w:r w:rsidR="00034A45">
        <w:t xml:space="preserve">  A similar requirement i</w:t>
      </w:r>
      <w:r w:rsidR="00243949">
        <w:t xml:space="preserve">s included in </w:t>
      </w:r>
      <w:r w:rsidR="00034A45">
        <w:t xml:space="preserve">the current regulation, </w:t>
      </w:r>
      <w:r w:rsidR="00243949">
        <w:t>42 CFR Part 93.</w:t>
      </w:r>
    </w:p>
    <w:p w:rsidR="00913073" w:rsidP="00913073" w:rsidRDefault="00913073"/>
    <w:p w:rsidR="00E571AF" w:rsidP="00913073" w:rsidRDefault="00E571AF">
      <w:r>
        <w:t>Section 493 of the PHS Act was further amended by the NIH Revitalization Act of 1993 that mandated the creation of the Office of Research Integrity (ORI) to administer the regulation. ORI replaced the Office of Scientific Integrity and the Office of Scientific Integrity Review that had been created in 1989 by the Assistant Secretary for Health. In June 2005, the original regulation was superseded by the Public Health Service Policies on Research Misconduct (42 CFR Part 93)</w:t>
      </w:r>
      <w:r w:rsidR="00034A45">
        <w:t>,</w:t>
      </w:r>
      <w:r>
        <w:t xml:space="preserve"> which states that "an institution must file an annual report with ORI which contains information specified by ORI on the institution's compliance with this part."</w:t>
      </w:r>
      <w:r w:rsidR="00243949">
        <w:t xml:space="preserve"> 42 CFR 93.302(b).</w:t>
      </w:r>
      <w:r>
        <w:t xml:space="preserve"> </w:t>
      </w:r>
    </w:p>
    <w:p w:rsidR="00E571AF" w:rsidRDefault="00E571AF"/>
    <w:p w:rsidR="00E571AF" w:rsidRDefault="00E571AF">
      <w:pPr>
        <w:tabs>
          <w:tab w:val="left" w:pos="-1440"/>
        </w:tabs>
        <w:ind w:left="720" w:hanging="720"/>
      </w:pPr>
      <w:r>
        <w:t>2.</w:t>
      </w:r>
      <w:r>
        <w:tab/>
      </w:r>
      <w:r>
        <w:rPr>
          <w:u w:val="single"/>
        </w:rPr>
        <w:t>Information Users</w:t>
      </w:r>
    </w:p>
    <w:p w:rsidR="00E571AF" w:rsidRDefault="00E571AF">
      <w:r>
        <w:t xml:space="preserve"> </w:t>
      </w:r>
    </w:p>
    <w:p w:rsidR="00E571AF" w:rsidRDefault="00E571AF">
      <w:pPr>
        <w:ind w:left="720"/>
      </w:pPr>
      <w:r>
        <w:t xml:space="preserve">The data are used by PHS agencies and ORI to verify the eligibility of institutions and organizations to receive PHS funds for research, research training and research related activities. To be eligible for funding, institutions and organizations must keep their assurance active by filing their Annual Report with ORI. The data are also used by ORI to monitor the implementation of the regulation by institutions and organizations. Data on the reported misconduct activity are also presented to the research community through the ORI Newsletter, ORI Annual Report, ORI website and conferences and workshops. </w:t>
      </w:r>
    </w:p>
    <w:p w:rsidR="00E571AF" w:rsidRDefault="00E571AF"/>
    <w:p w:rsidR="00E571AF" w:rsidRDefault="00E571AF">
      <w:pPr>
        <w:tabs>
          <w:tab w:val="left" w:pos="-1440"/>
        </w:tabs>
        <w:ind w:left="720" w:hanging="720"/>
        <w:rPr>
          <w:u w:val="single"/>
        </w:rPr>
      </w:pPr>
      <w:r>
        <w:t>3.</w:t>
      </w:r>
      <w:r>
        <w:tab/>
      </w:r>
      <w:r>
        <w:rPr>
          <w:u w:val="single"/>
        </w:rPr>
        <w:t>Improved Information Technology</w:t>
      </w:r>
    </w:p>
    <w:p w:rsidR="00E571AF" w:rsidRDefault="00E571AF">
      <w:pPr>
        <w:rPr>
          <w:u w:val="single"/>
        </w:rPr>
      </w:pPr>
    </w:p>
    <w:p w:rsidR="00E571AF" w:rsidRDefault="00E571AF">
      <w:pPr>
        <w:ind w:left="720"/>
      </w:pPr>
      <w:r>
        <w:t xml:space="preserve">Beginning with the CY 2000 Annual Report, the burden on awardee institutions and ORI was substantially reduced with the introduction of electronic submission as an option for submitting the Annual Report. About 98 percent of awardee institutions can electronically file their Annual Report in less than </w:t>
      </w:r>
      <w:r w:rsidR="00745958">
        <w:t xml:space="preserve">ten </w:t>
      </w:r>
      <w:r>
        <w:t>minutes. Automatic data entry substantially reduced the effort needed to update the ORI assurance database. The accuracy of the database is also enhanced because institutions may update their institutional information throughout the year.</w:t>
      </w:r>
    </w:p>
    <w:p w:rsidR="00E571AF" w:rsidRDefault="00E571AF"/>
    <w:p w:rsidR="00E571AF" w:rsidRDefault="00E571AF">
      <w:pPr>
        <w:ind w:left="720"/>
      </w:pPr>
      <w:r>
        <w:t>Global email messages provide advance and ongoing reminders about submitting the Annual Report. The availability of the Annual Report form on</w:t>
      </w:r>
      <w:r>
        <w:noBreakHyphen/>
        <w:t xml:space="preserve">line and the computerized fax transmission of the form have dramatically reduced the use of mail. </w:t>
      </w:r>
    </w:p>
    <w:p w:rsidR="00E571AF" w:rsidRDefault="00E571AF"/>
    <w:p w:rsidR="00E571AF" w:rsidRDefault="00E571AF">
      <w:pPr>
        <w:tabs>
          <w:tab w:val="left" w:pos="-1440"/>
        </w:tabs>
        <w:ind w:left="720" w:hanging="720"/>
      </w:pPr>
      <w:r>
        <w:t>4.</w:t>
      </w:r>
      <w:r>
        <w:tab/>
      </w:r>
      <w:r>
        <w:rPr>
          <w:u w:val="single"/>
        </w:rPr>
        <w:t>Duplication of Similar Information</w:t>
      </w:r>
    </w:p>
    <w:p w:rsidR="00E571AF" w:rsidRDefault="00E571AF"/>
    <w:p w:rsidR="00E571AF" w:rsidRDefault="00E571AF">
      <w:pPr>
        <w:ind w:left="720"/>
      </w:pPr>
      <w:r>
        <w:t xml:space="preserve">Similar data are not collected by ORI or any other organization. </w:t>
      </w:r>
    </w:p>
    <w:p w:rsidR="00E571AF" w:rsidRDefault="00E571AF">
      <w:pPr>
        <w:ind w:left="720"/>
      </w:pPr>
    </w:p>
    <w:p w:rsidR="00E571AF" w:rsidP="00557BBB" w:rsidRDefault="00E571AF">
      <w:pPr>
        <w:tabs>
          <w:tab w:val="left" w:pos="-1440"/>
        </w:tabs>
        <w:ind w:left="720" w:hanging="720"/>
      </w:pPr>
      <w:r>
        <w:t>5.</w:t>
      </w:r>
      <w:r>
        <w:tab/>
      </w:r>
      <w:r>
        <w:rPr>
          <w:u w:val="single"/>
        </w:rPr>
        <w:t>Small Businesses</w:t>
      </w:r>
    </w:p>
    <w:p w:rsidR="00E571AF" w:rsidRDefault="00E571AF"/>
    <w:p w:rsidR="00E571AF" w:rsidRDefault="00E571AF">
      <w:pPr>
        <w:ind w:left="720"/>
      </w:pPr>
      <w:r>
        <w:t>Section 493 of the Public Health Service Act provides that the Secretary by regulation shall require each entity to develop an administrative process for investigating and reporting incidents of misconduct. Small businesses must file their Annual Report, but may submit a "Small Organization Statement" in lieu of extensive policies and procedures if they do not have enough employees to conduct investigations with conflicts of interest.</w:t>
      </w:r>
      <w:r w:rsidR="00F25F88">
        <w:t xml:space="preserve"> 4</w:t>
      </w:r>
      <w:r w:rsidR="00243949">
        <w:t>2 CFR</w:t>
      </w:r>
      <w:r w:rsidR="00F25F88">
        <w:t xml:space="preserve"> § 93.303.</w:t>
      </w:r>
      <w:r>
        <w:t xml:space="preserve"> Under the Small Organization Statement, a small business is required to inform ORI of any allegation of research misconduct it receives. ORI and the small business develop procedures for responding to the allegation. The burden on a small business or entity is not significant.</w:t>
      </w:r>
    </w:p>
    <w:p w:rsidR="00E571AF" w:rsidRDefault="00E571AF"/>
    <w:p w:rsidR="00E571AF" w:rsidRDefault="00E571AF">
      <w:pPr>
        <w:tabs>
          <w:tab w:val="left" w:pos="-1440"/>
        </w:tabs>
        <w:ind w:left="720" w:hanging="720"/>
      </w:pPr>
      <w:r>
        <w:t>6.</w:t>
      </w:r>
      <w:r>
        <w:tab/>
      </w:r>
      <w:r>
        <w:rPr>
          <w:u w:val="single"/>
        </w:rPr>
        <w:t xml:space="preserve">Less Frequent Collection </w:t>
      </w:r>
    </w:p>
    <w:p w:rsidR="00E571AF" w:rsidRDefault="00E571AF"/>
    <w:p w:rsidR="00E571AF" w:rsidRDefault="00E571AF">
      <w:pPr>
        <w:ind w:left="720"/>
      </w:pPr>
      <w:r>
        <w:t xml:space="preserve">The data collected in the Annual Report cannot be collected less frequently because the data are necessary for maintaining an accurate assurance database that determines institutional eligibility for PHS funding. The data also permits ORI to annually monitor compliance with the regulatory requirement to report the opening annually monitor compliance with the regulatory requirement to report the opening of an investigation. Receipt of an allegation of research misconduct and conduct of an inquiry are only reported in the Annual Report unless the inquiry continues into an investigation. Accurate data on institutional officials responsible for implementing the regulation are essential for referring allegations to institutions and for communicating educational and preventive activities. Recordkeeping over a longer time period would be problematic and further reduce the accuracy of the data submitted in the reports. </w:t>
      </w:r>
    </w:p>
    <w:p w:rsidR="00E571AF" w:rsidRDefault="00E571AF"/>
    <w:p w:rsidR="00E571AF" w:rsidRDefault="00E571AF">
      <w:pPr>
        <w:tabs>
          <w:tab w:val="left" w:pos="-1440"/>
        </w:tabs>
        <w:ind w:left="720" w:hanging="720"/>
      </w:pPr>
      <w:r>
        <w:t xml:space="preserve">7. </w:t>
      </w:r>
      <w:r>
        <w:tab/>
      </w:r>
      <w:r>
        <w:rPr>
          <w:u w:val="single"/>
        </w:rPr>
        <w:t xml:space="preserve">Special Circumstances </w:t>
      </w:r>
    </w:p>
    <w:p w:rsidR="00E571AF" w:rsidRDefault="00E571AF"/>
    <w:p w:rsidR="00E571AF" w:rsidRDefault="00E571AF">
      <w:pPr>
        <w:ind w:left="720"/>
        <w:outlineLvl w:val="0"/>
      </w:pPr>
      <w:r>
        <w:t xml:space="preserve">Regulations are consistent with 5 CFR 1320.5. </w:t>
      </w:r>
    </w:p>
    <w:p w:rsidR="00E571AF" w:rsidRDefault="00E571AF"/>
    <w:p w:rsidR="00E571AF" w:rsidRDefault="00E571AF">
      <w:pPr>
        <w:tabs>
          <w:tab w:val="left" w:pos="-1440"/>
        </w:tabs>
        <w:ind w:left="720" w:hanging="720"/>
      </w:pPr>
      <w:r>
        <w:t xml:space="preserve">8. </w:t>
      </w:r>
      <w:r>
        <w:tab/>
      </w:r>
      <w:r>
        <w:rPr>
          <w:u w:val="single"/>
        </w:rPr>
        <w:t>Federal Register Notice</w:t>
      </w:r>
    </w:p>
    <w:p w:rsidR="00E571AF" w:rsidRDefault="00E571AF"/>
    <w:p w:rsidR="00E571AF" w:rsidRDefault="00E571AF">
      <w:pPr>
        <w:ind w:left="720"/>
      </w:pPr>
      <w:r>
        <w:t xml:space="preserve">A </w:t>
      </w:r>
      <w:r w:rsidRPr="00714C87">
        <w:t>60</w:t>
      </w:r>
      <w:r w:rsidRPr="00A30F7C" w:rsidR="00557BBB">
        <w:t>-</w:t>
      </w:r>
      <w:r w:rsidRPr="00714C87">
        <w:t>day notice was published</w:t>
      </w:r>
      <w:r>
        <w:t xml:space="preserve"> </w:t>
      </w:r>
      <w:r w:rsidR="00557BBB">
        <w:t xml:space="preserve">on </w:t>
      </w:r>
      <w:r w:rsidR="00023BBC">
        <w:t xml:space="preserve">February 25, </w:t>
      </w:r>
      <w:r w:rsidRPr="00AF6A20" w:rsidR="00557BBB">
        <w:t>20</w:t>
      </w:r>
      <w:r w:rsidRPr="00AF6A20" w:rsidR="0010108D">
        <w:t>20</w:t>
      </w:r>
      <w:r w:rsidRPr="00AF6A20" w:rsidR="00C41F03">
        <w:t xml:space="preserve"> </w:t>
      </w:r>
      <w:r w:rsidRPr="00AF6A20">
        <w:t xml:space="preserve">in the Federal Register </w:t>
      </w:r>
      <w:r w:rsidRPr="00AF6A20" w:rsidR="00023BBC">
        <w:t>v</w:t>
      </w:r>
      <w:r w:rsidRPr="00AF6A20">
        <w:t xml:space="preserve">olume </w:t>
      </w:r>
      <w:r w:rsidRPr="00AF6A20" w:rsidR="00023BBC">
        <w:t>85, p</w:t>
      </w:r>
      <w:r w:rsidRPr="00AF6A20">
        <w:t xml:space="preserve">age </w:t>
      </w:r>
      <w:r w:rsidRPr="00AF6A20" w:rsidR="00023BBC">
        <w:t xml:space="preserve">10704, </w:t>
      </w:r>
      <w:r w:rsidRPr="00AF6A20" w:rsidR="000E3036">
        <w:t xml:space="preserve">forms </w:t>
      </w:r>
      <w:r w:rsidRPr="00AF6A20">
        <w:t>PHS-6349</w:t>
      </w:r>
      <w:r w:rsidRPr="00AF6A20" w:rsidR="000E3036">
        <w:t xml:space="preserve"> and PHS-6315</w:t>
      </w:r>
      <w:r w:rsidRPr="00AF6A20">
        <w:t xml:space="preserve">.  </w:t>
      </w:r>
      <w:r w:rsidRPr="00AF6A20" w:rsidR="00023BBC">
        <w:t>There were no public comments received.</w:t>
      </w:r>
    </w:p>
    <w:p w:rsidR="00E571AF" w:rsidRDefault="00E571AF"/>
    <w:p w:rsidR="00E571AF" w:rsidRDefault="00E571AF">
      <w:r>
        <w:t>9.</w:t>
      </w:r>
      <w:r>
        <w:tab/>
      </w:r>
      <w:r>
        <w:rPr>
          <w:u w:val="single"/>
        </w:rPr>
        <w:t>Payment/Gift to Respondent</w:t>
      </w:r>
    </w:p>
    <w:p w:rsidR="00E571AF" w:rsidRDefault="00E571AF"/>
    <w:p w:rsidR="00E571AF" w:rsidRDefault="00E571AF">
      <w:pPr>
        <w:ind w:firstLine="720"/>
        <w:outlineLvl w:val="0"/>
      </w:pPr>
      <w:r>
        <w:t xml:space="preserve">No payments or gift were given to Respondent. </w:t>
      </w:r>
    </w:p>
    <w:p w:rsidR="00E571AF" w:rsidRDefault="00E571AF"/>
    <w:p w:rsidR="00E571AF" w:rsidRDefault="00E571AF">
      <w:pPr>
        <w:tabs>
          <w:tab w:val="left" w:pos="-1440"/>
        </w:tabs>
        <w:ind w:left="720" w:hanging="720"/>
      </w:pPr>
      <w:r>
        <w:t xml:space="preserve">10. </w:t>
      </w:r>
      <w:r>
        <w:tab/>
      </w:r>
      <w:r>
        <w:rPr>
          <w:u w:val="single"/>
        </w:rPr>
        <w:t>Confidentiality</w:t>
      </w:r>
    </w:p>
    <w:p w:rsidR="00E571AF" w:rsidRDefault="00E571AF"/>
    <w:p w:rsidR="00E571AF" w:rsidRDefault="0044135C">
      <w:pPr>
        <w:ind w:left="720"/>
        <w:outlineLvl w:val="0"/>
      </w:pPr>
      <w:r>
        <w:t>ORI does not provide any assurances of confidentiality to the respondents.</w:t>
      </w:r>
      <w:r w:rsidRPr="00714C87" w:rsidDel="0044135C">
        <w:t xml:space="preserve"> </w:t>
      </w:r>
    </w:p>
    <w:p w:rsidR="00E571AF" w:rsidP="00C41F03" w:rsidRDefault="00E571AF">
      <w:pPr>
        <w:ind w:left="720"/>
        <w:outlineLvl w:val="0"/>
      </w:pPr>
    </w:p>
    <w:p w:rsidR="00E571AF" w:rsidRDefault="00E571AF">
      <w:pPr>
        <w:sectPr w:rsidR="00E571AF">
          <w:footerReference w:type="default" r:id="rId8"/>
          <w:pgSz w:w="12240" w:h="15840"/>
          <w:pgMar w:top="1440" w:right="1440" w:bottom="1440" w:left="1440" w:header="1440" w:footer="1440" w:gutter="0"/>
          <w:cols w:space="720"/>
          <w:noEndnote/>
        </w:sectPr>
      </w:pPr>
    </w:p>
    <w:p w:rsidR="00E571AF" w:rsidRDefault="00E571AF">
      <w:pPr>
        <w:tabs>
          <w:tab w:val="left" w:pos="-1440"/>
        </w:tabs>
        <w:ind w:left="720" w:hanging="720"/>
      </w:pPr>
      <w:r>
        <w:t>11.</w:t>
      </w:r>
      <w:r>
        <w:tab/>
      </w:r>
      <w:r>
        <w:rPr>
          <w:u w:val="single"/>
        </w:rPr>
        <w:t>Sensitive Questions</w:t>
      </w:r>
    </w:p>
    <w:p w:rsidR="00E571AF" w:rsidRDefault="00E571AF"/>
    <w:p w:rsidRPr="00C41F03" w:rsidR="00E571AF" w:rsidRDefault="00E571AF">
      <w:pPr>
        <w:ind w:left="720"/>
      </w:pPr>
      <w:r>
        <w:t xml:space="preserve">The Annual Report on Possible Research Misconduct collects data on the number of research misconduct allegations received by an institution, the number of inquiries and investigations conducted into those allegations, </w:t>
      </w:r>
      <w:r w:rsidR="00B60E8A">
        <w:t xml:space="preserve">the ORI case number if assigned, </w:t>
      </w:r>
      <w:r w:rsidR="0044135C">
        <w:t xml:space="preserve">a unique institutional case number if applicable, </w:t>
      </w:r>
      <w:r w:rsidR="00B60E8A">
        <w:t xml:space="preserve">the name of other Federal agencies involved if </w:t>
      </w:r>
      <w:r w:rsidRPr="00C41F03" w:rsidR="00B60E8A">
        <w:t>applicable,</w:t>
      </w:r>
      <w:r w:rsidRPr="00C41F03" w:rsidR="0044135C">
        <w:t xml:space="preserve"> the other Federal agencies’ unique case number if applicable,</w:t>
      </w:r>
      <w:r w:rsidRPr="00C41F03" w:rsidR="00B60E8A">
        <w:t xml:space="preserve"> </w:t>
      </w:r>
      <w:r w:rsidRPr="00C41F03">
        <w:t>and the types of research misconduct being alleged.  No information is collected on the persons involved in the allegations.  The information collected in the report</w:t>
      </w:r>
      <w:r w:rsidRPr="00C41F03" w:rsidR="005C716F">
        <w:t xml:space="preserve"> includes name and </w:t>
      </w:r>
      <w:r w:rsidRPr="00C41F03" w:rsidR="00AD16DE">
        <w:t xml:space="preserve">business </w:t>
      </w:r>
      <w:r w:rsidRPr="00C41F03" w:rsidR="005C716F">
        <w:t>contact information for certain institutional officials</w:t>
      </w:r>
      <w:r w:rsidRPr="00C41F03">
        <w:t>.</w:t>
      </w:r>
    </w:p>
    <w:p w:rsidRPr="00C41F03" w:rsidR="00E571AF" w:rsidRDefault="00E571AF"/>
    <w:p w:rsidRPr="00C41F03" w:rsidR="00E571AF" w:rsidRDefault="00E571AF">
      <w:pPr>
        <w:rPr>
          <w:u w:val="single"/>
        </w:rPr>
      </w:pPr>
      <w:r w:rsidRPr="00C41F03">
        <w:t>12.</w:t>
      </w:r>
      <w:r w:rsidRPr="00C41F03">
        <w:tab/>
      </w:r>
      <w:r w:rsidRPr="00C41F03">
        <w:rPr>
          <w:u w:val="single"/>
        </w:rPr>
        <w:t>Burden Estimate (Total Hours and Wages)</w:t>
      </w:r>
    </w:p>
    <w:p w:rsidRPr="00C41F03" w:rsidR="00E571AF" w:rsidRDefault="00E571AF">
      <w:pPr>
        <w:rPr>
          <w:u w:val="single"/>
        </w:rPr>
      </w:pPr>
    </w:p>
    <w:p w:rsidRPr="00C41F03" w:rsidR="00E571AF" w:rsidRDefault="00E571AF">
      <w:pPr>
        <w:ind w:left="360" w:firstLine="360"/>
        <w:outlineLvl w:val="0"/>
      </w:pPr>
      <w:r w:rsidRPr="00C41F03">
        <w:t xml:space="preserve">Estimated </w:t>
      </w:r>
      <w:r w:rsidRPr="00C41F03">
        <w:rPr>
          <w:bCs/>
        </w:rPr>
        <w:t xml:space="preserve">Annualized Burden Table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28"/>
        <w:gridCol w:w="1463"/>
        <w:gridCol w:w="1504"/>
        <w:gridCol w:w="1465"/>
        <w:gridCol w:w="1342"/>
        <w:gridCol w:w="1220"/>
      </w:tblGrid>
      <w:tr w:rsidRPr="00C41F03" w:rsidR="00E571AF" w:rsidTr="00E571AF">
        <w:trPr>
          <w:trHeight w:val="285"/>
        </w:trPr>
        <w:tc>
          <w:tcPr>
            <w:tcW w:w="1589" w:type="dxa"/>
          </w:tcPr>
          <w:p w:rsidRPr="00C41F03" w:rsidR="00E571AF" w:rsidRDefault="00E571AF">
            <w:r w:rsidRPr="00C41F03">
              <w:t xml:space="preserve">Forms </w:t>
            </w:r>
          </w:p>
          <w:p w:rsidRPr="00C41F03" w:rsidR="00E571AF" w:rsidRDefault="00E571AF">
            <w:r w:rsidRPr="00C41F03">
              <w:t xml:space="preserve">(If necessary) </w:t>
            </w:r>
          </w:p>
        </w:tc>
        <w:tc>
          <w:tcPr>
            <w:tcW w:w="1486" w:type="dxa"/>
          </w:tcPr>
          <w:p w:rsidRPr="00C41F03" w:rsidR="00E571AF" w:rsidRDefault="00E571AF">
            <w:r w:rsidRPr="00C41F03">
              <w:t>Type of Respondent</w:t>
            </w:r>
          </w:p>
          <w:p w:rsidRPr="00C41F03" w:rsidR="00E571AF" w:rsidRDefault="00E571AF"/>
        </w:tc>
        <w:tc>
          <w:tcPr>
            <w:tcW w:w="1517" w:type="dxa"/>
          </w:tcPr>
          <w:p w:rsidRPr="00C41F03" w:rsidR="00E571AF" w:rsidRDefault="00E571AF">
            <w:r w:rsidRPr="00C41F03">
              <w:t xml:space="preserve">Number of  Respondents   </w:t>
            </w:r>
          </w:p>
        </w:tc>
        <w:tc>
          <w:tcPr>
            <w:tcW w:w="1489" w:type="dxa"/>
          </w:tcPr>
          <w:p w:rsidRPr="00C41F03" w:rsidR="00E571AF" w:rsidRDefault="00E571AF">
            <w:r w:rsidRPr="00C41F03">
              <w:t xml:space="preserve">Number of Responses per  Respondent </w:t>
            </w:r>
          </w:p>
        </w:tc>
        <w:tc>
          <w:tcPr>
            <w:tcW w:w="1385" w:type="dxa"/>
          </w:tcPr>
          <w:p w:rsidRPr="00C41F03" w:rsidR="00E571AF" w:rsidRDefault="00E571AF">
            <w:r w:rsidRPr="00C41F03">
              <w:t xml:space="preserve">Average Burden hours per Response </w:t>
            </w:r>
            <w:r w:rsidRPr="00C41F03">
              <w:rPr>
                <w:bCs/>
              </w:rPr>
              <w:t xml:space="preserve"> </w:t>
            </w:r>
          </w:p>
        </w:tc>
        <w:tc>
          <w:tcPr>
            <w:tcW w:w="1282" w:type="dxa"/>
          </w:tcPr>
          <w:p w:rsidRPr="00C41F03" w:rsidR="00E571AF" w:rsidRDefault="00E571AF">
            <w:r w:rsidRPr="00C41F03">
              <w:t xml:space="preserve">Total Burden Hours </w:t>
            </w:r>
          </w:p>
        </w:tc>
      </w:tr>
      <w:tr w:rsidRPr="00C41F03" w:rsidR="00E571AF" w:rsidTr="00A30F7C">
        <w:trPr>
          <w:trHeight w:val="285"/>
        </w:trPr>
        <w:tc>
          <w:tcPr>
            <w:tcW w:w="1589" w:type="dxa"/>
          </w:tcPr>
          <w:p w:rsidRPr="00C41F03" w:rsidR="00E571AF" w:rsidP="00E571AF" w:rsidRDefault="00E571AF">
            <w:pPr>
              <w:spacing w:line="480" w:lineRule="auto"/>
            </w:pPr>
            <w:r w:rsidRPr="00C41F03">
              <w:t>PHS-6349</w:t>
            </w:r>
          </w:p>
        </w:tc>
        <w:tc>
          <w:tcPr>
            <w:tcW w:w="1486" w:type="dxa"/>
          </w:tcPr>
          <w:p w:rsidRPr="00C41F03" w:rsidR="00E571AF" w:rsidP="00E571AF" w:rsidRDefault="00E571AF">
            <w:pPr>
              <w:keepLines/>
            </w:pPr>
            <w:r w:rsidRPr="00C41F03">
              <w:t>Awardee Institutions</w:t>
            </w:r>
          </w:p>
        </w:tc>
        <w:tc>
          <w:tcPr>
            <w:tcW w:w="1517" w:type="dxa"/>
          </w:tcPr>
          <w:p w:rsidRPr="00C41F03" w:rsidR="00E571AF" w:rsidP="00E571AF" w:rsidRDefault="0013726E">
            <w:pPr>
              <w:spacing w:line="480" w:lineRule="auto"/>
              <w:jc w:val="center"/>
            </w:pPr>
            <w:r w:rsidRPr="00C41F03">
              <w:t>5748</w:t>
            </w:r>
          </w:p>
        </w:tc>
        <w:tc>
          <w:tcPr>
            <w:tcW w:w="1489" w:type="dxa"/>
          </w:tcPr>
          <w:p w:rsidRPr="00C41F03" w:rsidR="00E571AF" w:rsidP="00E571AF" w:rsidRDefault="00E571AF">
            <w:pPr>
              <w:spacing w:line="480" w:lineRule="auto"/>
              <w:jc w:val="center"/>
            </w:pPr>
            <w:r w:rsidRPr="00C41F03">
              <w:t>1</w:t>
            </w:r>
          </w:p>
        </w:tc>
        <w:tc>
          <w:tcPr>
            <w:tcW w:w="1385" w:type="dxa"/>
          </w:tcPr>
          <w:p w:rsidRPr="00C41F03" w:rsidR="00E571AF" w:rsidP="00E571AF" w:rsidRDefault="00C07B9F">
            <w:pPr>
              <w:spacing w:line="480" w:lineRule="auto"/>
              <w:jc w:val="center"/>
            </w:pPr>
            <w:r w:rsidRPr="00C41F03">
              <w:t>1</w:t>
            </w:r>
            <w:r w:rsidR="00976AAC">
              <w:t>2</w:t>
            </w:r>
            <w:r w:rsidRPr="00C41F03">
              <w:t>/</w:t>
            </w:r>
            <w:r w:rsidRPr="00C41F03" w:rsidR="00E571AF">
              <w:t>60</w:t>
            </w:r>
          </w:p>
        </w:tc>
        <w:tc>
          <w:tcPr>
            <w:tcW w:w="1282" w:type="dxa"/>
          </w:tcPr>
          <w:p w:rsidRPr="00C41F03" w:rsidR="00E571AF" w:rsidP="00E571AF" w:rsidRDefault="0013726E">
            <w:pPr>
              <w:spacing w:line="480" w:lineRule="auto"/>
              <w:jc w:val="center"/>
            </w:pPr>
            <w:r w:rsidRPr="00C41F03">
              <w:t>1</w:t>
            </w:r>
            <w:r w:rsidR="00523E2E">
              <w:t>150</w:t>
            </w:r>
          </w:p>
        </w:tc>
      </w:tr>
      <w:tr w:rsidRPr="00C41F03" w:rsidR="00975E94" w:rsidTr="00A30F7C">
        <w:trPr>
          <w:trHeight w:val="285"/>
        </w:trPr>
        <w:tc>
          <w:tcPr>
            <w:tcW w:w="1589" w:type="dxa"/>
          </w:tcPr>
          <w:p w:rsidRPr="00C41F03" w:rsidR="00975E94" w:rsidP="00E571AF" w:rsidRDefault="00975E94">
            <w:pPr>
              <w:spacing w:line="480" w:lineRule="auto"/>
            </w:pPr>
            <w:r w:rsidRPr="00C41F03">
              <w:t>PHS-6315</w:t>
            </w:r>
          </w:p>
        </w:tc>
        <w:tc>
          <w:tcPr>
            <w:tcW w:w="1486" w:type="dxa"/>
          </w:tcPr>
          <w:p w:rsidRPr="00C41F03" w:rsidR="00975E94" w:rsidP="00E571AF" w:rsidRDefault="00975E94">
            <w:pPr>
              <w:keepLines/>
            </w:pPr>
            <w:r w:rsidRPr="00C41F03">
              <w:t>Sub-Awardee Institutions</w:t>
            </w:r>
          </w:p>
        </w:tc>
        <w:tc>
          <w:tcPr>
            <w:tcW w:w="1517" w:type="dxa"/>
          </w:tcPr>
          <w:p w:rsidRPr="00C41F03" w:rsidR="00975E94" w:rsidP="00E571AF" w:rsidRDefault="0013726E">
            <w:pPr>
              <w:spacing w:line="480" w:lineRule="auto"/>
              <w:jc w:val="center"/>
            </w:pPr>
            <w:r w:rsidRPr="00C41F03">
              <w:t>110</w:t>
            </w:r>
          </w:p>
        </w:tc>
        <w:tc>
          <w:tcPr>
            <w:tcW w:w="1489" w:type="dxa"/>
          </w:tcPr>
          <w:p w:rsidRPr="00C41F03" w:rsidR="00975E94" w:rsidP="00E571AF" w:rsidRDefault="00FA69E2">
            <w:pPr>
              <w:spacing w:line="480" w:lineRule="auto"/>
              <w:jc w:val="center"/>
            </w:pPr>
            <w:r w:rsidRPr="00C41F03">
              <w:t>1</w:t>
            </w:r>
          </w:p>
        </w:tc>
        <w:tc>
          <w:tcPr>
            <w:tcW w:w="1385" w:type="dxa"/>
          </w:tcPr>
          <w:p w:rsidRPr="00C41F03" w:rsidR="00975E94" w:rsidP="00E571AF" w:rsidRDefault="002B622B">
            <w:pPr>
              <w:spacing w:line="480" w:lineRule="auto"/>
              <w:jc w:val="center"/>
            </w:pPr>
            <w:r w:rsidRPr="00C41F03">
              <w:t>5/60</w:t>
            </w:r>
          </w:p>
        </w:tc>
        <w:tc>
          <w:tcPr>
            <w:tcW w:w="1282" w:type="dxa"/>
          </w:tcPr>
          <w:p w:rsidRPr="00C41F03" w:rsidR="00975E94" w:rsidP="00E571AF" w:rsidRDefault="0013726E">
            <w:pPr>
              <w:spacing w:line="480" w:lineRule="auto"/>
              <w:jc w:val="center"/>
            </w:pPr>
            <w:r w:rsidRPr="00C41F03">
              <w:t>9</w:t>
            </w:r>
          </w:p>
        </w:tc>
      </w:tr>
      <w:tr w:rsidRPr="00C41F03" w:rsidR="002B622B" w:rsidTr="00E571AF">
        <w:trPr>
          <w:trHeight w:val="285"/>
        </w:trPr>
        <w:tc>
          <w:tcPr>
            <w:tcW w:w="1589" w:type="dxa"/>
          </w:tcPr>
          <w:p w:rsidRPr="00C41F03" w:rsidR="002B622B" w:rsidP="00E571AF" w:rsidRDefault="002B622B">
            <w:pPr>
              <w:spacing w:line="480" w:lineRule="auto"/>
            </w:pPr>
            <w:r w:rsidRPr="00C41F03">
              <w:t>Total</w:t>
            </w:r>
          </w:p>
        </w:tc>
        <w:tc>
          <w:tcPr>
            <w:tcW w:w="1486" w:type="dxa"/>
            <w:tcBorders>
              <w:bottom w:val="single" w:color="auto" w:sz="4" w:space="0"/>
            </w:tcBorders>
          </w:tcPr>
          <w:p w:rsidRPr="00C41F03" w:rsidR="002B622B" w:rsidP="00E571AF" w:rsidRDefault="002B622B">
            <w:pPr>
              <w:keepLines/>
            </w:pPr>
          </w:p>
        </w:tc>
        <w:tc>
          <w:tcPr>
            <w:tcW w:w="1517" w:type="dxa"/>
            <w:tcBorders>
              <w:bottom w:val="single" w:color="auto" w:sz="4" w:space="0"/>
            </w:tcBorders>
          </w:tcPr>
          <w:p w:rsidRPr="00C41F03" w:rsidR="002B622B" w:rsidP="00E571AF" w:rsidRDefault="002B622B">
            <w:pPr>
              <w:spacing w:line="480" w:lineRule="auto"/>
              <w:jc w:val="center"/>
            </w:pPr>
          </w:p>
        </w:tc>
        <w:tc>
          <w:tcPr>
            <w:tcW w:w="1489" w:type="dxa"/>
            <w:tcBorders>
              <w:bottom w:val="single" w:color="auto" w:sz="4" w:space="0"/>
            </w:tcBorders>
          </w:tcPr>
          <w:p w:rsidRPr="00C41F03" w:rsidR="002B622B" w:rsidP="00E571AF" w:rsidRDefault="002B622B">
            <w:pPr>
              <w:spacing w:line="480" w:lineRule="auto"/>
              <w:jc w:val="center"/>
            </w:pPr>
          </w:p>
        </w:tc>
        <w:tc>
          <w:tcPr>
            <w:tcW w:w="1385" w:type="dxa"/>
            <w:tcBorders>
              <w:bottom w:val="single" w:color="auto" w:sz="4" w:space="0"/>
            </w:tcBorders>
          </w:tcPr>
          <w:p w:rsidRPr="00C41F03" w:rsidR="002B622B" w:rsidP="00E571AF" w:rsidRDefault="002B622B">
            <w:pPr>
              <w:spacing w:line="480" w:lineRule="auto"/>
              <w:jc w:val="center"/>
            </w:pPr>
          </w:p>
        </w:tc>
        <w:tc>
          <w:tcPr>
            <w:tcW w:w="1282" w:type="dxa"/>
          </w:tcPr>
          <w:p w:rsidRPr="00C41F03" w:rsidR="002B622B" w:rsidP="00E571AF" w:rsidRDefault="0013726E">
            <w:pPr>
              <w:spacing w:line="480" w:lineRule="auto"/>
              <w:jc w:val="center"/>
            </w:pPr>
            <w:r w:rsidRPr="00C41F03">
              <w:t>1</w:t>
            </w:r>
            <w:r w:rsidR="00775F47">
              <w:t>159</w:t>
            </w:r>
          </w:p>
        </w:tc>
      </w:tr>
    </w:tbl>
    <w:p w:rsidRPr="00C41F03" w:rsidR="00E571AF" w:rsidRDefault="00E571AF">
      <w:pPr>
        <w:ind w:left="720"/>
      </w:pPr>
    </w:p>
    <w:p w:rsidRPr="00C41F03" w:rsidR="00E571AF" w:rsidRDefault="00E571AF">
      <w:pPr>
        <w:ind w:left="720"/>
      </w:pPr>
      <w:r w:rsidRPr="00C41F03">
        <w:t>The burden estimate has been</w:t>
      </w:r>
      <w:r w:rsidRPr="00C41F03" w:rsidR="007A5187">
        <w:t xml:space="preserve"> slightly</w:t>
      </w:r>
      <w:r w:rsidRPr="00C41F03">
        <w:t xml:space="preserve"> </w:t>
      </w:r>
      <w:r w:rsidRPr="00C41F03" w:rsidR="00BA17B0">
        <w:t>increased</w:t>
      </w:r>
      <w:r w:rsidRPr="00C41F03">
        <w:t xml:space="preserve"> </w:t>
      </w:r>
      <w:r w:rsidRPr="00C41F03" w:rsidR="007A5187">
        <w:t>as a result of a</w:t>
      </w:r>
      <w:r w:rsidRPr="00C41F03" w:rsidR="00BA17B0">
        <w:t>n increase</w:t>
      </w:r>
      <w:r w:rsidRPr="00C41F03" w:rsidR="007A5187">
        <w:t xml:space="preserve"> in the number of awardee institutions. The estimated burden hours </w:t>
      </w:r>
      <w:r w:rsidRPr="00C41F03" w:rsidR="00435A43">
        <w:t>per response</w:t>
      </w:r>
      <w:r w:rsidRPr="00C41F03" w:rsidR="00804AD8">
        <w:t xml:space="preserve"> for awardee institutions increased from 10 to 1</w:t>
      </w:r>
      <w:r w:rsidR="00003BA1">
        <w:t>2</w:t>
      </w:r>
      <w:r w:rsidRPr="00C41F03" w:rsidR="00804AD8">
        <w:t xml:space="preserve"> minutes per online submission due to the additional questions asked on PHS-6349.</w:t>
      </w:r>
      <w:r w:rsidRPr="00C41F03" w:rsidR="00435A43">
        <w:t xml:space="preserve"> </w:t>
      </w:r>
      <w:r w:rsidRPr="00C41F03" w:rsidR="00804AD8">
        <w:t xml:space="preserve">The estimated burden hours per response for sub-awardee institutions remained the same at </w:t>
      </w:r>
      <w:r w:rsidRPr="00C41F03" w:rsidR="00A47277">
        <w:t>five</w:t>
      </w:r>
      <w:r w:rsidRPr="00C41F03" w:rsidR="007A5187">
        <w:t xml:space="preserve"> minutes per online submission for the latter. </w:t>
      </w:r>
    </w:p>
    <w:p w:rsidRPr="00C41F03" w:rsidR="00E571AF" w:rsidRDefault="00E571AF"/>
    <w:p w:rsidRPr="00C41F03" w:rsidR="00E571AF" w:rsidRDefault="00E571AF">
      <w:r w:rsidRPr="00C41F03">
        <w:t>12.(B)  Estimated Annualized Cost to Respondents</w:t>
      </w:r>
    </w:p>
    <w:tbl>
      <w:tblPr>
        <w:tblW w:w="846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82"/>
        <w:gridCol w:w="1484"/>
        <w:gridCol w:w="1345"/>
        <w:gridCol w:w="1529"/>
        <w:gridCol w:w="2520"/>
      </w:tblGrid>
      <w:tr w:rsidRPr="00C41F03" w:rsidR="00E571AF" w:rsidTr="00E571AF">
        <w:trPr>
          <w:trHeight w:val="285"/>
        </w:trPr>
        <w:tc>
          <w:tcPr>
            <w:tcW w:w="1582" w:type="dxa"/>
          </w:tcPr>
          <w:p w:rsidRPr="00C41F03" w:rsidR="00E571AF" w:rsidRDefault="00E571AF">
            <w:r w:rsidRPr="00C41F03">
              <w:t xml:space="preserve">Forms </w:t>
            </w:r>
          </w:p>
          <w:p w:rsidRPr="00C41F03" w:rsidR="00E571AF" w:rsidRDefault="00E571AF">
            <w:r w:rsidRPr="00C41F03">
              <w:t xml:space="preserve">(If necessary) </w:t>
            </w:r>
          </w:p>
        </w:tc>
        <w:tc>
          <w:tcPr>
            <w:tcW w:w="1484" w:type="dxa"/>
          </w:tcPr>
          <w:p w:rsidRPr="00C41F03" w:rsidR="00E571AF" w:rsidRDefault="00E571AF">
            <w:r w:rsidRPr="00C41F03">
              <w:t>Type of Respondent</w:t>
            </w:r>
          </w:p>
          <w:p w:rsidRPr="00C41F03" w:rsidR="00E571AF" w:rsidRDefault="00E571AF"/>
        </w:tc>
        <w:tc>
          <w:tcPr>
            <w:tcW w:w="1345" w:type="dxa"/>
          </w:tcPr>
          <w:p w:rsidRPr="00C41F03" w:rsidR="00E571AF" w:rsidRDefault="00E571AF">
            <w:r w:rsidRPr="00C41F03">
              <w:t xml:space="preserve">Total Burden Hours </w:t>
            </w:r>
          </w:p>
        </w:tc>
        <w:tc>
          <w:tcPr>
            <w:tcW w:w="1529" w:type="dxa"/>
          </w:tcPr>
          <w:p w:rsidRPr="00C41F03" w:rsidR="00E571AF" w:rsidRDefault="00E571AF">
            <w:r w:rsidRPr="00C41F03">
              <w:t xml:space="preserve">Hourly Wage Rate </w:t>
            </w:r>
            <w:r w:rsidRPr="00C41F03">
              <w:rPr>
                <w:bCs/>
              </w:rPr>
              <w:t xml:space="preserve"> </w:t>
            </w:r>
          </w:p>
        </w:tc>
        <w:tc>
          <w:tcPr>
            <w:tcW w:w="2520" w:type="dxa"/>
          </w:tcPr>
          <w:p w:rsidRPr="00C41F03" w:rsidR="00E571AF" w:rsidRDefault="00E571AF">
            <w:r w:rsidRPr="00C41F03">
              <w:t xml:space="preserve">Total Respondent Cost </w:t>
            </w:r>
          </w:p>
        </w:tc>
      </w:tr>
      <w:tr w:rsidRPr="00C41F03" w:rsidR="00E571AF" w:rsidTr="00A30F7C">
        <w:trPr>
          <w:trHeight w:val="285"/>
        </w:trPr>
        <w:tc>
          <w:tcPr>
            <w:tcW w:w="1582" w:type="dxa"/>
          </w:tcPr>
          <w:p w:rsidRPr="00C41F03" w:rsidR="00E571AF" w:rsidP="00E571AF" w:rsidRDefault="00E571AF">
            <w:pPr>
              <w:spacing w:line="480" w:lineRule="auto"/>
            </w:pPr>
            <w:r w:rsidRPr="00C41F03">
              <w:t>PHS-6349</w:t>
            </w:r>
          </w:p>
        </w:tc>
        <w:tc>
          <w:tcPr>
            <w:tcW w:w="1484" w:type="dxa"/>
          </w:tcPr>
          <w:p w:rsidRPr="00C41F03" w:rsidR="00E571AF" w:rsidP="00E571AF" w:rsidRDefault="00E571AF">
            <w:pPr>
              <w:keepLines/>
            </w:pPr>
            <w:r w:rsidRPr="00C41F03">
              <w:t>Awardee Institutions</w:t>
            </w:r>
          </w:p>
        </w:tc>
        <w:tc>
          <w:tcPr>
            <w:tcW w:w="1345" w:type="dxa"/>
          </w:tcPr>
          <w:p w:rsidRPr="00C41F03" w:rsidR="00E571AF" w:rsidP="00FA69E2" w:rsidRDefault="00C267D9">
            <w:pPr>
              <w:spacing w:line="480" w:lineRule="auto"/>
              <w:jc w:val="center"/>
            </w:pPr>
            <w:r>
              <w:t>1</w:t>
            </w:r>
            <w:r w:rsidR="00523E2E">
              <w:t>150</w:t>
            </w:r>
          </w:p>
        </w:tc>
        <w:tc>
          <w:tcPr>
            <w:tcW w:w="1529" w:type="dxa"/>
          </w:tcPr>
          <w:p w:rsidRPr="00C41F03" w:rsidR="00E571AF" w:rsidP="00E571AF" w:rsidRDefault="00FC0B11">
            <w:pPr>
              <w:spacing w:line="480" w:lineRule="auto"/>
              <w:jc w:val="center"/>
            </w:pPr>
            <w:r w:rsidRPr="00C41F03">
              <w:t>$75.00</w:t>
            </w:r>
          </w:p>
        </w:tc>
        <w:tc>
          <w:tcPr>
            <w:tcW w:w="2520" w:type="dxa"/>
          </w:tcPr>
          <w:p w:rsidRPr="00C41F03" w:rsidR="00E571AF" w:rsidP="000C008E" w:rsidRDefault="00C267D9">
            <w:pPr>
              <w:spacing w:line="480" w:lineRule="auto"/>
              <w:jc w:val="center"/>
            </w:pPr>
            <w:r>
              <w:t xml:space="preserve"> $</w:t>
            </w:r>
            <w:r w:rsidR="00523E2E">
              <w:t>86,2</w:t>
            </w:r>
            <w:r>
              <w:t>50</w:t>
            </w:r>
          </w:p>
        </w:tc>
      </w:tr>
      <w:tr w:rsidR="002B622B" w:rsidTr="00976AAC">
        <w:trPr>
          <w:trHeight w:val="285"/>
        </w:trPr>
        <w:tc>
          <w:tcPr>
            <w:tcW w:w="1582" w:type="dxa"/>
          </w:tcPr>
          <w:p w:rsidRPr="00C41F03" w:rsidR="002B622B" w:rsidP="00E571AF" w:rsidRDefault="002B622B">
            <w:pPr>
              <w:spacing w:line="480" w:lineRule="auto"/>
            </w:pPr>
            <w:r w:rsidRPr="00C41F03">
              <w:t>PHS-6315</w:t>
            </w:r>
          </w:p>
        </w:tc>
        <w:tc>
          <w:tcPr>
            <w:tcW w:w="1484" w:type="dxa"/>
          </w:tcPr>
          <w:p w:rsidRPr="00C41F03" w:rsidR="002B622B" w:rsidP="00E571AF" w:rsidRDefault="002B622B">
            <w:pPr>
              <w:keepLines/>
            </w:pPr>
            <w:r w:rsidRPr="00C41F03">
              <w:t>Sub-Awardee Institutions</w:t>
            </w:r>
          </w:p>
        </w:tc>
        <w:tc>
          <w:tcPr>
            <w:tcW w:w="1345" w:type="dxa"/>
          </w:tcPr>
          <w:p w:rsidRPr="00C41F03" w:rsidR="002B622B" w:rsidP="00E571AF" w:rsidRDefault="00C267D9">
            <w:pPr>
              <w:spacing w:line="480" w:lineRule="auto"/>
              <w:jc w:val="center"/>
            </w:pPr>
            <w:r>
              <w:t>9</w:t>
            </w:r>
          </w:p>
        </w:tc>
        <w:tc>
          <w:tcPr>
            <w:tcW w:w="1529" w:type="dxa"/>
          </w:tcPr>
          <w:p w:rsidRPr="00C41F03" w:rsidR="002B622B" w:rsidP="00E571AF" w:rsidRDefault="00FA69E2">
            <w:pPr>
              <w:spacing w:line="480" w:lineRule="auto"/>
              <w:jc w:val="center"/>
            </w:pPr>
            <w:r w:rsidRPr="00C41F03">
              <w:t>$75.00</w:t>
            </w:r>
          </w:p>
        </w:tc>
        <w:tc>
          <w:tcPr>
            <w:tcW w:w="2520" w:type="dxa"/>
          </w:tcPr>
          <w:p w:rsidRPr="00C41F03" w:rsidR="002B622B" w:rsidP="000C008E" w:rsidRDefault="00C267D9">
            <w:pPr>
              <w:spacing w:line="480" w:lineRule="auto"/>
              <w:jc w:val="center"/>
            </w:pPr>
            <w:r>
              <w:t xml:space="preserve"> $675</w:t>
            </w:r>
          </w:p>
        </w:tc>
      </w:tr>
      <w:tr w:rsidR="00C267D9" w:rsidTr="00E571AF">
        <w:trPr>
          <w:trHeight w:val="285"/>
        </w:trPr>
        <w:tc>
          <w:tcPr>
            <w:tcW w:w="1582" w:type="dxa"/>
          </w:tcPr>
          <w:p w:rsidRPr="00C41F03" w:rsidR="00C267D9" w:rsidP="00E571AF" w:rsidRDefault="00C267D9">
            <w:pPr>
              <w:spacing w:line="480" w:lineRule="auto"/>
            </w:pPr>
            <w:r>
              <w:t>Total</w:t>
            </w:r>
          </w:p>
        </w:tc>
        <w:tc>
          <w:tcPr>
            <w:tcW w:w="1484" w:type="dxa"/>
            <w:tcBorders>
              <w:bottom w:val="single" w:color="auto" w:sz="4" w:space="0"/>
            </w:tcBorders>
          </w:tcPr>
          <w:p w:rsidRPr="00C41F03" w:rsidR="00C267D9" w:rsidP="00E571AF" w:rsidRDefault="00C267D9">
            <w:pPr>
              <w:keepLines/>
            </w:pPr>
          </w:p>
        </w:tc>
        <w:tc>
          <w:tcPr>
            <w:tcW w:w="1345" w:type="dxa"/>
            <w:tcBorders>
              <w:bottom w:val="single" w:color="auto" w:sz="4" w:space="0"/>
            </w:tcBorders>
          </w:tcPr>
          <w:p w:rsidRPr="00C41F03" w:rsidR="00C267D9" w:rsidDel="00C267D9" w:rsidP="00E571AF" w:rsidRDefault="00C267D9">
            <w:pPr>
              <w:spacing w:line="480" w:lineRule="auto"/>
              <w:jc w:val="center"/>
            </w:pPr>
          </w:p>
        </w:tc>
        <w:tc>
          <w:tcPr>
            <w:tcW w:w="1529" w:type="dxa"/>
            <w:tcBorders>
              <w:bottom w:val="single" w:color="auto" w:sz="4" w:space="0"/>
            </w:tcBorders>
          </w:tcPr>
          <w:p w:rsidRPr="00C41F03" w:rsidR="00C267D9" w:rsidP="00E571AF" w:rsidRDefault="00C267D9">
            <w:pPr>
              <w:spacing w:line="480" w:lineRule="auto"/>
              <w:jc w:val="center"/>
            </w:pPr>
          </w:p>
        </w:tc>
        <w:tc>
          <w:tcPr>
            <w:tcW w:w="2520" w:type="dxa"/>
            <w:tcBorders>
              <w:bottom w:val="single" w:color="auto" w:sz="4" w:space="0"/>
            </w:tcBorders>
          </w:tcPr>
          <w:p w:rsidRPr="00C41F03" w:rsidR="00C267D9" w:rsidDel="00C267D9" w:rsidP="000C008E" w:rsidRDefault="00523E2E">
            <w:pPr>
              <w:spacing w:line="480" w:lineRule="auto"/>
              <w:jc w:val="center"/>
            </w:pPr>
            <w:r>
              <w:t>$86,925</w:t>
            </w:r>
          </w:p>
        </w:tc>
      </w:tr>
    </w:tbl>
    <w:p w:rsidR="00E571AF" w:rsidRDefault="00E571AF"/>
    <w:p w:rsidR="00E571AF" w:rsidRDefault="00E571AF"/>
    <w:p w:rsidR="00E571AF" w:rsidRDefault="00E571AF">
      <w:pPr>
        <w:tabs>
          <w:tab w:val="left" w:pos="-1440"/>
        </w:tabs>
        <w:ind w:left="720" w:hanging="720"/>
        <w:rPr>
          <w:u w:val="single"/>
        </w:rPr>
      </w:pPr>
      <w:r>
        <w:t xml:space="preserve">13. </w:t>
      </w:r>
      <w:r>
        <w:tab/>
      </w:r>
      <w:r>
        <w:rPr>
          <w:u w:val="single"/>
        </w:rPr>
        <w:t>Capital Costs</w:t>
      </w:r>
    </w:p>
    <w:p w:rsidR="00E571AF" w:rsidRDefault="00E571AF">
      <w:pPr>
        <w:rPr>
          <w:u w:val="single"/>
        </w:rPr>
      </w:pPr>
    </w:p>
    <w:p w:rsidR="00E571AF" w:rsidRDefault="00E571AF">
      <w:pPr>
        <w:ind w:left="720"/>
      </w:pPr>
      <w:r>
        <w:t xml:space="preserve">(Maintenance of Capital Costs) </w:t>
      </w:r>
    </w:p>
    <w:p w:rsidR="00E571AF" w:rsidRDefault="00E571AF"/>
    <w:p w:rsidR="00E571AF" w:rsidRDefault="00E571AF">
      <w:pPr>
        <w:ind w:left="720"/>
      </w:pPr>
      <w:r>
        <w:t>These data can be collected with systems that the institutions and organizations already have.</w:t>
      </w:r>
      <w:r w:rsidR="00023BBC">
        <w:t xml:space="preserve"> There were no startup costs. </w:t>
      </w:r>
    </w:p>
    <w:p w:rsidR="00E571AF" w:rsidRDefault="00E571AF"/>
    <w:p w:rsidR="00E571AF" w:rsidRDefault="00E571AF">
      <w:pPr>
        <w:tabs>
          <w:tab w:val="left" w:pos="-1440"/>
        </w:tabs>
        <w:ind w:left="720" w:hanging="720"/>
      </w:pPr>
    </w:p>
    <w:p w:rsidR="00E571AF" w:rsidRDefault="00E571AF">
      <w:pPr>
        <w:tabs>
          <w:tab w:val="left" w:pos="-1440"/>
        </w:tabs>
        <w:ind w:left="720" w:hanging="720"/>
      </w:pPr>
    </w:p>
    <w:p w:rsidR="00E571AF" w:rsidRDefault="00E571AF">
      <w:pPr>
        <w:tabs>
          <w:tab w:val="left" w:pos="-1440"/>
        </w:tabs>
        <w:ind w:left="720" w:hanging="720"/>
      </w:pPr>
      <w:r>
        <w:t>14.</w:t>
      </w:r>
      <w:r>
        <w:tab/>
      </w:r>
      <w:r>
        <w:rPr>
          <w:u w:val="single"/>
        </w:rPr>
        <w:t xml:space="preserve">Cost to Federal Government </w:t>
      </w:r>
    </w:p>
    <w:p w:rsidR="00E571AF" w:rsidRDefault="00E571AF"/>
    <w:p w:rsidR="00E571AF" w:rsidRDefault="00E571AF">
      <w:pPr>
        <w:ind w:left="720"/>
      </w:pPr>
      <w:r w:rsidRPr="00C41F03">
        <w:t>The estimate of the annual cost of the information collection requirement in the Annual Report form to the government is approximately 50% of a person year at a GS</w:t>
      </w:r>
      <w:r w:rsidRPr="00C41F03">
        <w:noBreakHyphen/>
      </w:r>
      <w:r w:rsidRPr="00C41F03" w:rsidR="00CE43F1">
        <w:t xml:space="preserve">12 </w:t>
      </w:r>
      <w:r w:rsidRPr="00C41F03" w:rsidR="00967FBA">
        <w:t xml:space="preserve">level.   The annual cost is </w:t>
      </w:r>
      <w:r w:rsidRPr="00C41F03" w:rsidR="00CE43F1">
        <w:t>$</w:t>
      </w:r>
      <w:r w:rsidRPr="00C41F03" w:rsidR="00E50B62">
        <w:t>46,504.00</w:t>
      </w:r>
      <w:r w:rsidRPr="00C41F03">
        <w:t xml:space="preserve"> total.</w:t>
      </w:r>
    </w:p>
    <w:p w:rsidR="00E571AF" w:rsidRDefault="00E571AF"/>
    <w:p w:rsidR="00E571AF" w:rsidRDefault="00E571AF">
      <w:pPr>
        <w:sectPr w:rsidR="00E571AF">
          <w:type w:val="continuous"/>
          <w:pgSz w:w="12240" w:h="15840"/>
          <w:pgMar w:top="1440" w:right="1440" w:bottom="1440" w:left="1440" w:header="1440" w:footer="1440" w:gutter="0"/>
          <w:cols w:space="720"/>
          <w:noEndnote/>
        </w:sectPr>
      </w:pPr>
    </w:p>
    <w:p w:rsidR="00E571AF" w:rsidRDefault="00E571AF">
      <w:pPr>
        <w:tabs>
          <w:tab w:val="left" w:pos="-1440"/>
        </w:tabs>
        <w:ind w:left="720" w:hanging="720"/>
      </w:pPr>
      <w:r>
        <w:t>15.</w:t>
      </w:r>
      <w:r>
        <w:tab/>
      </w:r>
      <w:r>
        <w:rPr>
          <w:u w:val="single"/>
        </w:rPr>
        <w:t xml:space="preserve">Program or Burden Changes </w:t>
      </w:r>
    </w:p>
    <w:p w:rsidR="00E571AF" w:rsidRDefault="00E571AF"/>
    <w:p w:rsidRPr="00AF6A20" w:rsidR="00DC2ABB" w:rsidP="00DC2ABB" w:rsidRDefault="007A5187">
      <w:pPr>
        <w:ind w:left="720"/>
      </w:pPr>
      <w:r>
        <w:t xml:space="preserve">The burden estimate has </w:t>
      </w:r>
      <w:r w:rsidR="00DF47B9">
        <w:t xml:space="preserve">slightly increased </w:t>
      </w:r>
      <w:r>
        <w:t xml:space="preserve"> as a result of </w:t>
      </w:r>
      <w:r w:rsidR="00DF47B9">
        <w:t xml:space="preserve">an increase </w:t>
      </w:r>
      <w:r>
        <w:t xml:space="preserve"> in the number of awardee institutions</w:t>
      </w:r>
      <w:r w:rsidR="00714C87">
        <w:t xml:space="preserve">, which </w:t>
      </w:r>
      <w:r w:rsidRPr="00AF6A20" w:rsidR="00714C87">
        <w:t>went from</w:t>
      </w:r>
      <w:r w:rsidRPr="00AF6A20" w:rsidR="00A47277">
        <w:t xml:space="preserve"> 5,435</w:t>
      </w:r>
      <w:r w:rsidRPr="00AF6A20" w:rsidR="00714C87">
        <w:t xml:space="preserve"> </w:t>
      </w:r>
      <w:r w:rsidRPr="00AF6A20" w:rsidR="00DF47B9">
        <w:t>to 5,748</w:t>
      </w:r>
      <w:r w:rsidRPr="00AF6A20" w:rsidR="00804AD8">
        <w:t xml:space="preserve"> and in an increase in the number of minutes per online submission from 10 minutes to 1</w:t>
      </w:r>
      <w:r w:rsidRPr="00AF6A20" w:rsidR="00891969">
        <w:t>2</w:t>
      </w:r>
      <w:r w:rsidRPr="00AF6A20" w:rsidR="00804AD8">
        <w:t xml:space="preserve"> minutes, because of the </w:t>
      </w:r>
      <w:r w:rsidRPr="00AF6A20" w:rsidR="00891969">
        <w:t xml:space="preserve">six </w:t>
      </w:r>
      <w:r w:rsidRPr="00AF6A20" w:rsidR="00804AD8">
        <w:t xml:space="preserve">new questions </w:t>
      </w:r>
      <w:r w:rsidRPr="00AF6A20" w:rsidR="00891969">
        <w:t xml:space="preserve">(n=30) </w:t>
      </w:r>
      <w:r w:rsidRPr="00AF6A20" w:rsidR="00804AD8">
        <w:t>asked on the PHS-6349</w:t>
      </w:r>
      <w:r w:rsidRPr="00AF6A20">
        <w:t xml:space="preserve">. </w:t>
      </w:r>
      <w:r w:rsidRPr="00AF6A20" w:rsidR="00E74FCA">
        <w:t xml:space="preserve">The </w:t>
      </w:r>
      <w:r w:rsidRPr="00AF6A20" w:rsidR="00AD16DE">
        <w:rPr>
          <w:b/>
        </w:rPr>
        <w:t>new questions</w:t>
      </w:r>
      <w:r w:rsidRPr="00AF6A20" w:rsidR="00AD16DE">
        <w:t xml:space="preserve"> were added to allow institutions to include unique institutional identification numbers for their cases and to </w:t>
      </w:r>
      <w:bookmarkStart w:name="_GoBack" w:id="0"/>
      <w:bookmarkEnd w:id="0"/>
      <w:r w:rsidRPr="00AF6A20" w:rsidR="00AD16DE">
        <w:t xml:space="preserve">include other federal agencies’ unique identification numbers for their cases and to include a specific instruction to contact the National Institutes of Health if a case involves foreign influence. </w:t>
      </w:r>
      <w:r w:rsidRPr="00AF6A20" w:rsidR="0028750C">
        <w:t>As there were no changes to the sub-awardee form, t</w:t>
      </w:r>
      <w:r w:rsidRPr="00AF6A20">
        <w:t xml:space="preserve">he estimated burden hours </w:t>
      </w:r>
      <w:r w:rsidRPr="00AF6A20" w:rsidR="00435A43">
        <w:t xml:space="preserve">per response </w:t>
      </w:r>
      <w:r w:rsidRPr="00AF6A20" w:rsidR="00891969">
        <w:t xml:space="preserve">would </w:t>
      </w:r>
      <w:r w:rsidRPr="00AF6A20" w:rsidR="0028750C">
        <w:t xml:space="preserve">remain the same </w:t>
      </w:r>
      <w:r w:rsidRPr="00AF6A20">
        <w:t>for sub-awardee institution</w:t>
      </w:r>
      <w:r w:rsidRPr="00AF6A20" w:rsidR="00DF47B9">
        <w:t xml:space="preserve">s </w:t>
      </w:r>
      <w:r w:rsidRPr="00AF6A20" w:rsidR="0028750C">
        <w:t xml:space="preserve">at five </w:t>
      </w:r>
      <w:r w:rsidRPr="00AF6A20">
        <w:t>minutes per online submission</w:t>
      </w:r>
      <w:r w:rsidRPr="00AF6A20" w:rsidR="00DF47B9">
        <w:t xml:space="preserve">. </w:t>
      </w:r>
    </w:p>
    <w:p w:rsidRPr="00AF6A20" w:rsidR="00DC2ABB" w:rsidRDefault="00DC2ABB">
      <w:pPr>
        <w:tabs>
          <w:tab w:val="left" w:pos="-1440"/>
        </w:tabs>
        <w:ind w:left="720" w:hanging="720"/>
      </w:pPr>
    </w:p>
    <w:p w:rsidRPr="00AF6A20" w:rsidR="00E571AF" w:rsidRDefault="00E571AF">
      <w:pPr>
        <w:tabs>
          <w:tab w:val="left" w:pos="-1440"/>
        </w:tabs>
        <w:ind w:left="720" w:hanging="720"/>
      </w:pPr>
      <w:r w:rsidRPr="00AF6A20">
        <w:t xml:space="preserve">16. </w:t>
      </w:r>
      <w:r w:rsidRPr="00AF6A20">
        <w:tab/>
      </w:r>
      <w:r w:rsidRPr="00AF6A20">
        <w:rPr>
          <w:u w:val="single"/>
        </w:rPr>
        <w:t xml:space="preserve">Publication and Tabulation Dates </w:t>
      </w:r>
    </w:p>
    <w:p w:rsidRPr="00AF6A20" w:rsidR="00E571AF" w:rsidRDefault="00E571AF"/>
    <w:p w:rsidRPr="00AF6A20" w:rsidR="00E571AF" w:rsidRDefault="00E571AF">
      <w:pPr>
        <w:ind w:left="720"/>
      </w:pPr>
      <w:r w:rsidRPr="00AF6A20">
        <w:t xml:space="preserve">The information collected will be analyzed and used for reporting to authorized administrative officials and for responding to congressional and public inquiries. In addition, there are plans to publish the information in aggregate form in the ORI Newsletter and ORI Annual Report and on the ORI web site. </w:t>
      </w:r>
      <w:r w:rsidRPr="00AF6A20" w:rsidR="00195395">
        <w:t>In addition, ORI may share an institutional official’s business contact information with other institutional officials if requested.</w:t>
      </w:r>
      <w:r w:rsidRPr="00AF6A20">
        <w:t xml:space="preserve"> </w:t>
      </w:r>
    </w:p>
    <w:p w:rsidRPr="00AF6A20" w:rsidR="00E571AF" w:rsidRDefault="00E571AF"/>
    <w:p w:rsidRPr="00AF6A20" w:rsidR="00E571AF" w:rsidRDefault="00E571AF">
      <w:pPr>
        <w:tabs>
          <w:tab w:val="left" w:pos="-1440"/>
        </w:tabs>
        <w:ind w:left="720" w:hanging="720"/>
      </w:pPr>
      <w:r w:rsidRPr="00AF6A20">
        <w:t>17.</w:t>
      </w:r>
      <w:r w:rsidRPr="00AF6A20">
        <w:tab/>
        <w:t xml:space="preserve"> </w:t>
      </w:r>
      <w:r w:rsidRPr="00AF6A20">
        <w:rPr>
          <w:u w:val="single"/>
        </w:rPr>
        <w:t xml:space="preserve">Expiration Date </w:t>
      </w:r>
      <w:r w:rsidRPr="00AF6A20" w:rsidR="00E74FCA">
        <w:rPr>
          <w:u w:val="single"/>
        </w:rPr>
        <w:t>will</w:t>
      </w:r>
      <w:r w:rsidRPr="00AF6A20">
        <w:rPr>
          <w:u w:val="single"/>
        </w:rPr>
        <w:t xml:space="preserve"> be visible. </w:t>
      </w:r>
    </w:p>
    <w:p w:rsidRPr="00AF6A20" w:rsidR="00E571AF" w:rsidRDefault="00E571AF"/>
    <w:p w:rsidRPr="00AF6A20" w:rsidR="00E571AF" w:rsidRDefault="00E571AF">
      <w:pPr>
        <w:tabs>
          <w:tab w:val="left" w:pos="-1440"/>
        </w:tabs>
        <w:ind w:left="720" w:hanging="720"/>
      </w:pPr>
      <w:r w:rsidRPr="00AF6A20">
        <w:t xml:space="preserve">18. </w:t>
      </w:r>
      <w:r w:rsidRPr="00AF6A20">
        <w:tab/>
      </w:r>
      <w:r w:rsidRPr="00AF6A20">
        <w:rPr>
          <w:u w:val="single"/>
        </w:rPr>
        <w:t xml:space="preserve">Certification Statement </w:t>
      </w:r>
    </w:p>
    <w:p w:rsidRPr="00AF6A20" w:rsidR="00E571AF" w:rsidRDefault="00E571AF"/>
    <w:p w:rsidRPr="00AF6A20" w:rsidR="00E571AF" w:rsidRDefault="00E571AF">
      <w:pPr>
        <w:ind w:firstLine="720"/>
        <w:outlineLvl w:val="0"/>
      </w:pPr>
      <w:r w:rsidRPr="00AF6A20">
        <w:t xml:space="preserve">There are no exceptions. </w:t>
      </w:r>
    </w:p>
    <w:p w:rsidRPr="00AF6A20" w:rsidR="00E571AF" w:rsidRDefault="00E571AF"/>
    <w:p w:rsidRPr="00AF6A20" w:rsidR="00E571AF" w:rsidRDefault="00E571AF">
      <w:pPr>
        <w:tabs>
          <w:tab w:val="left" w:pos="-1440"/>
        </w:tabs>
        <w:ind w:left="720" w:hanging="720"/>
        <w:outlineLvl w:val="0"/>
      </w:pPr>
      <w:r w:rsidRPr="00AF6A20">
        <w:rPr>
          <w:b/>
          <w:bCs/>
        </w:rPr>
        <w:t>B.</w:t>
      </w:r>
      <w:r w:rsidRPr="00AF6A20">
        <w:tab/>
      </w:r>
      <w:r w:rsidRPr="00AF6A20">
        <w:rPr>
          <w:b/>
          <w:bCs/>
        </w:rPr>
        <w:t xml:space="preserve">Collection of Information Employing Statistical Methods </w:t>
      </w:r>
    </w:p>
    <w:p w:rsidR="00E571AF" w:rsidRDefault="00E571AF">
      <w:pPr>
        <w:ind w:left="720"/>
      </w:pPr>
      <w:r w:rsidRPr="00AF6A20">
        <w:t>ORI is not utilizing statistical methods to collect information.</w:t>
      </w:r>
    </w:p>
    <w:p w:rsidR="00E571AF" w:rsidRDefault="00E571AF"/>
    <w:sectPr w:rsidR="00E571AF">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668" w:rsidRDefault="00B92668">
      <w:r>
        <w:separator/>
      </w:r>
    </w:p>
  </w:endnote>
  <w:endnote w:type="continuationSeparator" w:id="0">
    <w:p w:rsidR="00B92668" w:rsidRDefault="00B9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1AF" w:rsidRDefault="00E571AF">
    <w:pPr>
      <w:pStyle w:val="Footer"/>
      <w:jc w:val="center"/>
    </w:pPr>
    <w:r>
      <w:rPr>
        <w:rStyle w:val="PageNumber"/>
      </w:rPr>
      <w:fldChar w:fldCharType="begin"/>
    </w:r>
    <w:r>
      <w:rPr>
        <w:rStyle w:val="PageNumber"/>
      </w:rPr>
      <w:instrText xml:space="preserve"> PAGE </w:instrText>
    </w:r>
    <w:r>
      <w:rPr>
        <w:rStyle w:val="PageNumber"/>
      </w:rPr>
      <w:fldChar w:fldCharType="separate"/>
    </w:r>
    <w:r w:rsidR="002C25BE">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668" w:rsidRDefault="00B92668">
      <w:r>
        <w:separator/>
      </w:r>
    </w:p>
  </w:footnote>
  <w:footnote w:type="continuationSeparator" w:id="0">
    <w:p w:rsidR="00B92668" w:rsidRDefault="00B92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25F80"/>
    <w:multiLevelType w:val="hybridMultilevel"/>
    <w:tmpl w:val="EACEA334"/>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06B1578"/>
    <w:multiLevelType w:val="hybridMultilevel"/>
    <w:tmpl w:val="C7383026"/>
    <w:lvl w:ilvl="0" w:tplc="1358967E">
      <w:start w:val="1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21"/>
    <w:rsid w:val="00003BA1"/>
    <w:rsid w:val="00023BBC"/>
    <w:rsid w:val="00034A45"/>
    <w:rsid w:val="00047851"/>
    <w:rsid w:val="00077BF2"/>
    <w:rsid w:val="000920B3"/>
    <w:rsid w:val="000C008E"/>
    <w:rsid w:val="000E3036"/>
    <w:rsid w:val="0010108D"/>
    <w:rsid w:val="0013726E"/>
    <w:rsid w:val="00147548"/>
    <w:rsid w:val="00195395"/>
    <w:rsid w:val="001A4F14"/>
    <w:rsid w:val="002318FF"/>
    <w:rsid w:val="00243949"/>
    <w:rsid w:val="00266377"/>
    <w:rsid w:val="0028750C"/>
    <w:rsid w:val="002A1624"/>
    <w:rsid w:val="002B622B"/>
    <w:rsid w:val="002C25BE"/>
    <w:rsid w:val="002F5BD4"/>
    <w:rsid w:val="00305746"/>
    <w:rsid w:val="003207C5"/>
    <w:rsid w:val="0035328A"/>
    <w:rsid w:val="00354722"/>
    <w:rsid w:val="00376F8F"/>
    <w:rsid w:val="003A6BD0"/>
    <w:rsid w:val="00435A43"/>
    <w:rsid w:val="0044135C"/>
    <w:rsid w:val="004459BE"/>
    <w:rsid w:val="00450F5E"/>
    <w:rsid w:val="00481BC6"/>
    <w:rsid w:val="004F4195"/>
    <w:rsid w:val="00523E2E"/>
    <w:rsid w:val="00557BBB"/>
    <w:rsid w:val="005C716F"/>
    <w:rsid w:val="005C7DC4"/>
    <w:rsid w:val="00600223"/>
    <w:rsid w:val="00616549"/>
    <w:rsid w:val="006476A8"/>
    <w:rsid w:val="0068526F"/>
    <w:rsid w:val="00690528"/>
    <w:rsid w:val="006B4114"/>
    <w:rsid w:val="006C0FA8"/>
    <w:rsid w:val="006F417F"/>
    <w:rsid w:val="0071355D"/>
    <w:rsid w:val="00713C78"/>
    <w:rsid w:val="00714C87"/>
    <w:rsid w:val="00732BDB"/>
    <w:rsid w:val="00745958"/>
    <w:rsid w:val="00747125"/>
    <w:rsid w:val="00775F47"/>
    <w:rsid w:val="007862C4"/>
    <w:rsid w:val="00787976"/>
    <w:rsid w:val="007A5187"/>
    <w:rsid w:val="007D22E0"/>
    <w:rsid w:val="007E5127"/>
    <w:rsid w:val="007F61C9"/>
    <w:rsid w:val="00802217"/>
    <w:rsid w:val="00804AD8"/>
    <w:rsid w:val="0087779F"/>
    <w:rsid w:val="00891969"/>
    <w:rsid w:val="008B6937"/>
    <w:rsid w:val="008E2FF5"/>
    <w:rsid w:val="00913073"/>
    <w:rsid w:val="00954065"/>
    <w:rsid w:val="00967FBA"/>
    <w:rsid w:val="00975E94"/>
    <w:rsid w:val="00976AAC"/>
    <w:rsid w:val="00984024"/>
    <w:rsid w:val="00A30F7C"/>
    <w:rsid w:val="00A47277"/>
    <w:rsid w:val="00A56784"/>
    <w:rsid w:val="00A70192"/>
    <w:rsid w:val="00A746EB"/>
    <w:rsid w:val="00AD16DE"/>
    <w:rsid w:val="00AD597B"/>
    <w:rsid w:val="00AE4F3B"/>
    <w:rsid w:val="00AF6A20"/>
    <w:rsid w:val="00B10CEE"/>
    <w:rsid w:val="00B22C38"/>
    <w:rsid w:val="00B60E8A"/>
    <w:rsid w:val="00B92668"/>
    <w:rsid w:val="00BA17B0"/>
    <w:rsid w:val="00BA78ED"/>
    <w:rsid w:val="00C07B9F"/>
    <w:rsid w:val="00C11269"/>
    <w:rsid w:val="00C267D9"/>
    <w:rsid w:val="00C35DE5"/>
    <w:rsid w:val="00C41F03"/>
    <w:rsid w:val="00C4799C"/>
    <w:rsid w:val="00C63129"/>
    <w:rsid w:val="00C640C6"/>
    <w:rsid w:val="00CD55F3"/>
    <w:rsid w:val="00CE43F1"/>
    <w:rsid w:val="00D8330E"/>
    <w:rsid w:val="00DC2ABB"/>
    <w:rsid w:val="00DF47B9"/>
    <w:rsid w:val="00E27B21"/>
    <w:rsid w:val="00E50B62"/>
    <w:rsid w:val="00E571AF"/>
    <w:rsid w:val="00E74FCA"/>
    <w:rsid w:val="00E7520F"/>
    <w:rsid w:val="00EB3FEA"/>
    <w:rsid w:val="00EF36B5"/>
    <w:rsid w:val="00F16781"/>
    <w:rsid w:val="00F25F88"/>
    <w:rsid w:val="00F4394E"/>
    <w:rsid w:val="00F44356"/>
    <w:rsid w:val="00FA3F1D"/>
    <w:rsid w:val="00FA69E2"/>
    <w:rsid w:val="00FC0B11"/>
    <w:rsid w:val="00FD20C7"/>
    <w:rsid w:val="00FD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68A140A-8EC8-4ED8-8B5A-81972EE8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975E94"/>
    <w:rPr>
      <w:sz w:val="16"/>
      <w:szCs w:val="16"/>
    </w:rPr>
  </w:style>
  <w:style w:type="paragraph" w:styleId="CommentText">
    <w:name w:val="annotation text"/>
    <w:basedOn w:val="Normal"/>
    <w:link w:val="CommentTextChar"/>
    <w:rsid w:val="00975E94"/>
    <w:rPr>
      <w:sz w:val="20"/>
      <w:szCs w:val="20"/>
    </w:rPr>
  </w:style>
  <w:style w:type="character" w:customStyle="1" w:styleId="CommentTextChar">
    <w:name w:val="Comment Text Char"/>
    <w:basedOn w:val="DefaultParagraphFont"/>
    <w:link w:val="CommentText"/>
    <w:rsid w:val="00975E94"/>
  </w:style>
  <w:style w:type="paragraph" w:styleId="CommentSubject">
    <w:name w:val="annotation subject"/>
    <w:basedOn w:val="CommentText"/>
    <w:next w:val="CommentText"/>
    <w:link w:val="CommentSubjectChar"/>
    <w:rsid w:val="00975E94"/>
    <w:rPr>
      <w:b/>
      <w:bCs/>
    </w:rPr>
  </w:style>
  <w:style w:type="character" w:customStyle="1" w:styleId="CommentSubjectChar">
    <w:name w:val="Comment Subject Char"/>
    <w:link w:val="CommentSubject"/>
    <w:rsid w:val="00975E94"/>
    <w:rPr>
      <w:b/>
      <w:bCs/>
    </w:rPr>
  </w:style>
  <w:style w:type="paragraph" w:styleId="Revision">
    <w:name w:val="Revision"/>
    <w:hidden/>
    <w:uiPriority w:val="99"/>
    <w:semiHidden/>
    <w:rsid w:val="00976A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6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B8ADC-6C22-4702-8D0B-B574A6E3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 for Annual Report on Possible Research Misconduct</vt:lpstr>
    </vt:vector>
  </TitlesOfParts>
  <Company>DHHS</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Annual Report on Possible Research Misconduct</dc:title>
  <dc:subject/>
  <dc:creator>Rdorsey</dc:creator>
  <cp:keywords/>
  <cp:lastModifiedBy>Funn, Sherrette (OS/ASA/OCIO)</cp:lastModifiedBy>
  <cp:revision>2</cp:revision>
  <cp:lastPrinted>2011-12-06T20:29:00Z</cp:lastPrinted>
  <dcterms:created xsi:type="dcterms:W3CDTF">2020-05-18T22:17:00Z</dcterms:created>
  <dcterms:modified xsi:type="dcterms:W3CDTF">2020-05-18T22:17:00Z</dcterms:modified>
</cp:coreProperties>
</file>