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33D" w:rsidP="009B633D" w:rsidRDefault="00456179">
      <w:pPr>
        <w:jc w:val="center"/>
        <w:rPr>
          <w:b/>
          <w:sz w:val="28"/>
          <w:szCs w:val="28"/>
        </w:rPr>
      </w:pPr>
      <w:r w:rsidRPr="00456179">
        <w:rPr>
          <w:b/>
          <w:sz w:val="28"/>
          <w:szCs w:val="28"/>
        </w:rPr>
        <w:t>SUPPORTING STATEMENT</w:t>
      </w:r>
    </w:p>
    <w:p w:rsidR="00635119" w:rsidP="009B633D" w:rsidRDefault="00635119">
      <w:pPr>
        <w:jc w:val="center"/>
        <w:rPr>
          <w:b/>
          <w:sz w:val="28"/>
          <w:szCs w:val="28"/>
        </w:rPr>
      </w:pPr>
    </w:p>
    <w:p w:rsidR="009B633D" w:rsidP="009B633D" w:rsidRDefault="00456179">
      <w:pPr>
        <w:jc w:val="center"/>
        <w:rPr>
          <w:sz w:val="28"/>
          <w:szCs w:val="28"/>
        </w:rPr>
      </w:pPr>
      <w:r>
        <w:rPr>
          <w:b/>
          <w:sz w:val="28"/>
          <w:szCs w:val="28"/>
        </w:rPr>
        <w:t>Part A</w:t>
      </w:r>
    </w:p>
    <w:p w:rsidR="009B633D" w:rsidP="009B633D" w:rsidRDefault="009B633D">
      <w:pPr>
        <w:jc w:val="center"/>
        <w:rPr>
          <w:sz w:val="28"/>
          <w:szCs w:val="28"/>
        </w:rPr>
      </w:pPr>
    </w:p>
    <w:p w:rsidR="009B633D" w:rsidP="009B633D" w:rsidRDefault="009B633D">
      <w:pPr>
        <w:jc w:val="center"/>
        <w:rPr>
          <w:sz w:val="28"/>
          <w:szCs w:val="28"/>
        </w:rPr>
      </w:pPr>
    </w:p>
    <w:p w:rsidR="009B633D" w:rsidP="009B633D" w:rsidRDefault="009B633D">
      <w:pPr>
        <w:jc w:val="center"/>
        <w:rPr>
          <w:sz w:val="28"/>
          <w:szCs w:val="28"/>
        </w:rPr>
      </w:pPr>
    </w:p>
    <w:p w:rsidR="009B633D" w:rsidP="009B633D" w:rsidRDefault="009B633D">
      <w:pPr>
        <w:jc w:val="center"/>
        <w:rPr>
          <w:sz w:val="28"/>
          <w:szCs w:val="28"/>
        </w:rPr>
      </w:pPr>
    </w:p>
    <w:p w:rsidR="009B633D" w:rsidP="009B633D" w:rsidRDefault="009B633D">
      <w:pPr>
        <w:jc w:val="center"/>
        <w:rPr>
          <w:sz w:val="28"/>
          <w:szCs w:val="28"/>
        </w:rPr>
      </w:pPr>
    </w:p>
    <w:p w:rsidR="009B633D" w:rsidP="009B633D" w:rsidRDefault="009B633D">
      <w:pPr>
        <w:jc w:val="center"/>
        <w:rPr>
          <w:sz w:val="28"/>
          <w:szCs w:val="28"/>
        </w:rPr>
      </w:pPr>
    </w:p>
    <w:p w:rsidRPr="005C3073" w:rsidR="009B633D" w:rsidP="001C3BE6" w:rsidRDefault="007E66D5">
      <w:pPr>
        <w:spacing w:line="276" w:lineRule="auto"/>
        <w:jc w:val="center"/>
        <w:rPr>
          <w:b/>
          <w:i/>
          <w:sz w:val="28"/>
          <w:szCs w:val="28"/>
        </w:rPr>
      </w:pPr>
      <w:r w:rsidRPr="007E66D5">
        <w:rPr>
          <w:b/>
          <w:sz w:val="28"/>
          <w:szCs w:val="28"/>
        </w:rPr>
        <w:t xml:space="preserve">AHRQ Research Reporting System </w:t>
      </w:r>
      <w:r w:rsidRPr="005C3073" w:rsidR="005C3073">
        <w:rPr>
          <w:b/>
          <w:sz w:val="28"/>
          <w:szCs w:val="28"/>
        </w:rPr>
        <w:t>(</w:t>
      </w:r>
      <w:r>
        <w:rPr>
          <w:b/>
          <w:sz w:val="28"/>
          <w:szCs w:val="28"/>
        </w:rPr>
        <w:t>ARRS</w:t>
      </w:r>
      <w:r w:rsidRPr="005C3073" w:rsidR="005C3073">
        <w:rPr>
          <w:b/>
          <w:sz w:val="28"/>
          <w:szCs w:val="28"/>
        </w:rPr>
        <w:t>)</w:t>
      </w:r>
      <w:r w:rsidR="005C3073">
        <w:rPr>
          <w:b/>
          <w:sz w:val="28"/>
          <w:szCs w:val="28"/>
        </w:rPr>
        <w:t xml:space="preserve"> 0935-0122</w:t>
      </w:r>
    </w:p>
    <w:p w:rsidRPr="001C3BE6" w:rsidR="009B633D" w:rsidP="001C3BE6" w:rsidRDefault="001C3BE6">
      <w:pPr>
        <w:spacing w:line="276" w:lineRule="auto"/>
        <w:jc w:val="center"/>
        <w:rPr>
          <w:sz w:val="20"/>
          <w:szCs w:val="20"/>
        </w:rPr>
      </w:pPr>
      <w:r w:rsidRPr="001C3BE6">
        <w:rPr>
          <w:sz w:val="20"/>
          <w:szCs w:val="20"/>
        </w:rPr>
        <w:t>Previously known as Grants Reporting System (GRS)</w:t>
      </w:r>
    </w:p>
    <w:p w:rsidR="009B633D" w:rsidP="009B633D" w:rsidRDefault="009B633D">
      <w:pPr>
        <w:jc w:val="center"/>
        <w:rPr>
          <w:sz w:val="28"/>
          <w:szCs w:val="28"/>
        </w:rPr>
      </w:pPr>
    </w:p>
    <w:p w:rsidR="009B633D" w:rsidP="009B633D" w:rsidRDefault="009B633D">
      <w:pPr>
        <w:jc w:val="center"/>
        <w:rPr>
          <w:sz w:val="28"/>
          <w:szCs w:val="28"/>
        </w:rPr>
      </w:pPr>
    </w:p>
    <w:p w:rsidRPr="00C4006D" w:rsidR="009B633D" w:rsidP="009B633D" w:rsidRDefault="00BB1C2F">
      <w:pPr>
        <w:jc w:val="center"/>
        <w:rPr>
          <w:i/>
          <w:sz w:val="28"/>
          <w:szCs w:val="28"/>
        </w:rPr>
      </w:pPr>
      <w:r>
        <w:rPr>
          <w:b/>
          <w:sz w:val="28"/>
          <w:szCs w:val="28"/>
        </w:rPr>
        <w:t>Version</w:t>
      </w:r>
      <w:r w:rsidR="005C3073">
        <w:rPr>
          <w:b/>
          <w:sz w:val="28"/>
          <w:szCs w:val="28"/>
        </w:rPr>
        <w:t>:</w:t>
      </w:r>
      <w:r>
        <w:rPr>
          <w:b/>
          <w:sz w:val="28"/>
          <w:szCs w:val="28"/>
        </w:rPr>
        <w:t xml:space="preserve"> </w:t>
      </w:r>
      <w:r w:rsidR="000D2F66">
        <w:rPr>
          <w:b/>
          <w:sz w:val="28"/>
          <w:szCs w:val="28"/>
        </w:rPr>
        <w:t>2/18/2020</w:t>
      </w:r>
    </w:p>
    <w:p w:rsidR="009B633D" w:rsidP="009B633D" w:rsidRDefault="009B633D">
      <w:pPr>
        <w:jc w:val="center"/>
        <w:rPr>
          <w:i/>
          <w:sz w:val="28"/>
          <w:szCs w:val="28"/>
        </w:rPr>
      </w:pPr>
    </w:p>
    <w:p w:rsidR="009B633D" w:rsidP="009B633D" w:rsidRDefault="009B633D">
      <w:pPr>
        <w:jc w:val="center"/>
        <w:rPr>
          <w:sz w:val="28"/>
          <w:szCs w:val="28"/>
        </w:rPr>
      </w:pPr>
    </w:p>
    <w:p w:rsidR="009B633D" w:rsidP="009B633D" w:rsidRDefault="009B633D">
      <w:pPr>
        <w:jc w:val="center"/>
        <w:rPr>
          <w:sz w:val="28"/>
          <w:szCs w:val="28"/>
        </w:rPr>
      </w:pPr>
    </w:p>
    <w:p w:rsidR="009B633D" w:rsidP="009B633D" w:rsidRDefault="009B633D">
      <w:pPr>
        <w:jc w:val="center"/>
        <w:rPr>
          <w:sz w:val="28"/>
          <w:szCs w:val="28"/>
        </w:rPr>
      </w:pPr>
    </w:p>
    <w:p w:rsidR="009B633D" w:rsidP="009B633D" w:rsidRDefault="009B633D">
      <w:pPr>
        <w:jc w:val="center"/>
        <w:rPr>
          <w:sz w:val="28"/>
          <w:szCs w:val="28"/>
        </w:rPr>
      </w:pPr>
    </w:p>
    <w:p w:rsidR="009B633D" w:rsidP="009B633D" w:rsidRDefault="009B633D">
      <w:pPr>
        <w:jc w:val="center"/>
        <w:rPr>
          <w:sz w:val="28"/>
          <w:szCs w:val="28"/>
        </w:rPr>
      </w:pPr>
    </w:p>
    <w:p w:rsidR="009B633D" w:rsidP="009B633D" w:rsidRDefault="009B633D">
      <w:pPr>
        <w:jc w:val="center"/>
        <w:rPr>
          <w:sz w:val="28"/>
          <w:szCs w:val="28"/>
        </w:rPr>
      </w:pPr>
      <w:r w:rsidRPr="00677A0B">
        <w:rPr>
          <w:sz w:val="28"/>
          <w:szCs w:val="28"/>
        </w:rPr>
        <w:t>Agency of Healthcare Research and Quality (AHRQ)</w:t>
      </w:r>
    </w:p>
    <w:p w:rsidR="009B633D" w:rsidRDefault="009B633D">
      <w:pPr>
        <w:rPr>
          <w:sz w:val="28"/>
          <w:szCs w:val="28"/>
        </w:rPr>
      </w:pPr>
    </w:p>
    <w:p w:rsidR="009B633D" w:rsidRDefault="009B633D">
      <w:pPr>
        <w:rPr>
          <w:sz w:val="28"/>
          <w:szCs w:val="28"/>
        </w:rPr>
      </w:pPr>
    </w:p>
    <w:p w:rsidR="009B633D" w:rsidP="008C580E" w:rsidRDefault="009B633D">
      <w:pPr>
        <w:rPr>
          <w:b/>
        </w:rPr>
      </w:pPr>
      <w:r>
        <w:br w:type="page"/>
      </w:r>
      <w:r w:rsidRPr="001D0454">
        <w:rPr>
          <w:b/>
        </w:rPr>
        <w:lastRenderedPageBreak/>
        <w:t>Table of contents</w:t>
      </w:r>
    </w:p>
    <w:p w:rsidR="00EB58F3" w:rsidP="009B633D" w:rsidRDefault="00EB58F3">
      <w:pPr>
        <w:jc w:val="center"/>
        <w:rPr>
          <w:b/>
        </w:rPr>
      </w:pPr>
    </w:p>
    <w:p w:rsidR="00EB58F3" w:rsidP="007B3A8E" w:rsidRDefault="008C580E">
      <w:pPr>
        <w:tabs>
          <w:tab w:val="left" w:leader="dot" w:pos="8280"/>
        </w:tabs>
      </w:pPr>
      <w:r w:rsidRPr="008C580E">
        <w:t>A. Justification</w:t>
      </w:r>
      <w:r w:rsidR="007B3A8E">
        <w:tab/>
      </w:r>
      <w:r w:rsidR="00560856">
        <w:t>3</w:t>
      </w:r>
    </w:p>
    <w:p w:rsidR="007B3A8E" w:rsidP="007B3A8E" w:rsidRDefault="007B3A8E">
      <w:pPr>
        <w:tabs>
          <w:tab w:val="left" w:pos="360"/>
          <w:tab w:val="left" w:leader="dot" w:pos="8280"/>
        </w:tabs>
      </w:pPr>
      <w:r>
        <w:tab/>
        <w:t xml:space="preserve">1. </w:t>
      </w:r>
      <w:r w:rsidR="006014DB">
        <w:t>Circumstances that make the collection of information necessary</w:t>
      </w:r>
      <w:r>
        <w:tab/>
      </w:r>
      <w:r w:rsidR="006641D3">
        <w:t>3</w:t>
      </w:r>
    </w:p>
    <w:p w:rsidR="007B3A8E" w:rsidP="007B3A8E" w:rsidRDefault="007B3A8E">
      <w:pPr>
        <w:tabs>
          <w:tab w:val="left" w:pos="360"/>
          <w:tab w:val="left" w:leader="dot" w:pos="8280"/>
        </w:tabs>
      </w:pPr>
      <w:r>
        <w:tab/>
        <w:t xml:space="preserve">2. </w:t>
      </w:r>
      <w:r w:rsidR="006014DB">
        <w:t>Purpose and use of i</w:t>
      </w:r>
      <w:r w:rsidRPr="007B3A8E">
        <w:t>nformation</w:t>
      </w:r>
      <w:r>
        <w:tab/>
      </w:r>
      <w:r w:rsidR="00B23654">
        <w:t>4</w:t>
      </w:r>
    </w:p>
    <w:p w:rsidR="007B3A8E" w:rsidP="007B3A8E" w:rsidRDefault="007B3A8E">
      <w:pPr>
        <w:tabs>
          <w:tab w:val="left" w:pos="360"/>
          <w:tab w:val="left" w:leader="dot" w:pos="8280"/>
        </w:tabs>
      </w:pPr>
      <w:r>
        <w:tab/>
        <w:t xml:space="preserve">3. </w:t>
      </w:r>
      <w:r w:rsidRPr="007B3A8E">
        <w:t>Use of Improved Information Technology</w:t>
      </w:r>
      <w:r>
        <w:tab/>
      </w:r>
      <w:r w:rsidR="00065576">
        <w:t>4</w:t>
      </w:r>
    </w:p>
    <w:p w:rsidR="007B3A8E" w:rsidP="007B3A8E" w:rsidRDefault="007B3A8E">
      <w:pPr>
        <w:tabs>
          <w:tab w:val="left" w:pos="360"/>
          <w:tab w:val="left" w:leader="dot" w:pos="8280"/>
        </w:tabs>
      </w:pPr>
      <w:r>
        <w:tab/>
        <w:t xml:space="preserve">4. </w:t>
      </w:r>
      <w:r w:rsidRPr="007B3A8E">
        <w:t>Efforts to Identify Duplication</w:t>
      </w:r>
      <w:r>
        <w:tab/>
      </w:r>
      <w:r w:rsidR="006641D3">
        <w:t>5</w:t>
      </w:r>
    </w:p>
    <w:p w:rsidR="007B3A8E" w:rsidP="007B3A8E" w:rsidRDefault="007B3A8E">
      <w:pPr>
        <w:tabs>
          <w:tab w:val="left" w:pos="360"/>
          <w:tab w:val="left" w:leader="dot" w:pos="8280"/>
        </w:tabs>
      </w:pPr>
      <w:r>
        <w:tab/>
        <w:t xml:space="preserve">5. </w:t>
      </w:r>
      <w:r w:rsidRPr="00556066" w:rsidR="00556066">
        <w:t>Involvement of Small Entities</w:t>
      </w:r>
      <w:r w:rsidR="00556066">
        <w:tab/>
      </w:r>
      <w:r w:rsidR="00B23654">
        <w:t>5</w:t>
      </w:r>
    </w:p>
    <w:p w:rsidR="00556066" w:rsidP="007B3A8E" w:rsidRDefault="00556066">
      <w:pPr>
        <w:tabs>
          <w:tab w:val="left" w:pos="360"/>
          <w:tab w:val="left" w:leader="dot" w:pos="8280"/>
        </w:tabs>
      </w:pPr>
      <w:r>
        <w:tab/>
        <w:t xml:space="preserve">6. </w:t>
      </w:r>
      <w:r w:rsidRPr="00556066">
        <w:t>Consequences if Information Collected Less Frequently</w:t>
      </w:r>
      <w:r>
        <w:tab/>
      </w:r>
      <w:r w:rsidR="00B23654">
        <w:t>5</w:t>
      </w:r>
    </w:p>
    <w:p w:rsidR="00556066" w:rsidP="007B3A8E" w:rsidRDefault="00556066">
      <w:pPr>
        <w:tabs>
          <w:tab w:val="left" w:pos="360"/>
          <w:tab w:val="left" w:leader="dot" w:pos="8280"/>
        </w:tabs>
      </w:pPr>
      <w:r>
        <w:tab/>
        <w:t xml:space="preserve">7. </w:t>
      </w:r>
      <w:r w:rsidRPr="00556066">
        <w:t>Special Circumstances</w:t>
      </w:r>
      <w:r>
        <w:tab/>
      </w:r>
      <w:r w:rsidR="00B23654">
        <w:t>5</w:t>
      </w:r>
    </w:p>
    <w:p w:rsidR="00556066" w:rsidP="007B3A8E" w:rsidRDefault="00556066">
      <w:pPr>
        <w:tabs>
          <w:tab w:val="left" w:pos="360"/>
          <w:tab w:val="left" w:leader="dot" w:pos="8280"/>
        </w:tabs>
      </w:pPr>
      <w:r>
        <w:tab/>
        <w:t xml:space="preserve">8. </w:t>
      </w:r>
      <w:r w:rsidRPr="00556066">
        <w:t>Consultation outside the Agency</w:t>
      </w:r>
      <w:r>
        <w:tab/>
      </w:r>
      <w:r w:rsidR="00B23654">
        <w:t>5</w:t>
      </w:r>
    </w:p>
    <w:p w:rsidR="00556066" w:rsidP="007B3A8E" w:rsidRDefault="00556066">
      <w:pPr>
        <w:tabs>
          <w:tab w:val="left" w:pos="360"/>
          <w:tab w:val="left" w:leader="dot" w:pos="8280"/>
        </w:tabs>
      </w:pPr>
      <w:r>
        <w:tab/>
        <w:t xml:space="preserve">9. </w:t>
      </w:r>
      <w:r w:rsidRPr="00556066">
        <w:t>Payments/Gifts to Respondents</w:t>
      </w:r>
      <w:r>
        <w:tab/>
      </w:r>
      <w:r w:rsidR="00C6727E">
        <w:t>6</w:t>
      </w:r>
    </w:p>
    <w:p w:rsidR="00556066" w:rsidP="007B3A8E" w:rsidRDefault="00556066">
      <w:pPr>
        <w:tabs>
          <w:tab w:val="left" w:pos="360"/>
          <w:tab w:val="left" w:leader="dot" w:pos="8280"/>
        </w:tabs>
      </w:pPr>
      <w:r>
        <w:tab/>
        <w:t xml:space="preserve">10. </w:t>
      </w:r>
      <w:r w:rsidRPr="00556066">
        <w:t>Assurance of Confidentiality</w:t>
      </w:r>
      <w:r>
        <w:tab/>
      </w:r>
      <w:r w:rsidR="006641D3">
        <w:t>6</w:t>
      </w:r>
    </w:p>
    <w:p w:rsidR="00556066" w:rsidP="007B3A8E" w:rsidRDefault="00556066">
      <w:pPr>
        <w:tabs>
          <w:tab w:val="left" w:pos="360"/>
          <w:tab w:val="left" w:leader="dot" w:pos="8280"/>
        </w:tabs>
      </w:pPr>
      <w:r>
        <w:tab/>
        <w:t xml:space="preserve">11. </w:t>
      </w:r>
      <w:r w:rsidRPr="00556066">
        <w:t>Questions of a Sensitive Nature</w:t>
      </w:r>
      <w:r>
        <w:tab/>
      </w:r>
      <w:r w:rsidR="00B23654">
        <w:t>6</w:t>
      </w:r>
    </w:p>
    <w:p w:rsidR="00556066" w:rsidP="007B3A8E" w:rsidRDefault="00556066">
      <w:pPr>
        <w:tabs>
          <w:tab w:val="left" w:pos="360"/>
          <w:tab w:val="left" w:leader="dot" w:pos="8280"/>
        </w:tabs>
      </w:pPr>
      <w:r>
        <w:tab/>
        <w:t xml:space="preserve">12. </w:t>
      </w:r>
      <w:r w:rsidRPr="00556066">
        <w:t>Estimates of Annualized Burden Hours and Costs</w:t>
      </w:r>
      <w:r>
        <w:tab/>
      </w:r>
      <w:r w:rsidR="00B23654">
        <w:t>6</w:t>
      </w:r>
    </w:p>
    <w:p w:rsidR="00556066" w:rsidP="007B3A8E" w:rsidRDefault="00556066">
      <w:pPr>
        <w:tabs>
          <w:tab w:val="left" w:pos="360"/>
          <w:tab w:val="left" w:leader="dot" w:pos="8280"/>
        </w:tabs>
      </w:pPr>
      <w:r>
        <w:tab/>
        <w:t xml:space="preserve">13. </w:t>
      </w:r>
      <w:r w:rsidRPr="00556066">
        <w:t>Estimates of Annualized Respondent Capital and Maintenance Costs</w:t>
      </w:r>
      <w:r>
        <w:tab/>
      </w:r>
      <w:r w:rsidR="00165529">
        <w:t>7</w:t>
      </w:r>
    </w:p>
    <w:p w:rsidR="00556066" w:rsidP="007B3A8E" w:rsidRDefault="00556066">
      <w:pPr>
        <w:tabs>
          <w:tab w:val="left" w:pos="360"/>
          <w:tab w:val="left" w:leader="dot" w:pos="8280"/>
        </w:tabs>
      </w:pPr>
      <w:r>
        <w:tab/>
        <w:t xml:space="preserve">14. </w:t>
      </w:r>
      <w:r w:rsidRPr="00556066">
        <w:t>Estimates of Annualized Cost to the Government</w:t>
      </w:r>
      <w:r>
        <w:tab/>
      </w:r>
      <w:r w:rsidR="00C6727E">
        <w:t>7</w:t>
      </w:r>
    </w:p>
    <w:p w:rsidR="00556066" w:rsidP="007B3A8E" w:rsidRDefault="00556066">
      <w:pPr>
        <w:tabs>
          <w:tab w:val="left" w:pos="360"/>
          <w:tab w:val="left" w:leader="dot" w:pos="8280"/>
        </w:tabs>
      </w:pPr>
      <w:r>
        <w:tab/>
        <w:t xml:space="preserve">15. </w:t>
      </w:r>
      <w:r w:rsidRPr="00556066">
        <w:t>Changes in Hour Burden</w:t>
      </w:r>
      <w:r>
        <w:tab/>
      </w:r>
      <w:r w:rsidR="00236FCF">
        <w:t>7</w:t>
      </w:r>
    </w:p>
    <w:p w:rsidR="006014DB" w:rsidP="007B3A8E" w:rsidRDefault="006014DB">
      <w:pPr>
        <w:tabs>
          <w:tab w:val="left" w:pos="360"/>
          <w:tab w:val="left" w:leader="dot" w:pos="8280"/>
        </w:tabs>
      </w:pPr>
      <w:r>
        <w:tab/>
        <w:t xml:space="preserve">16. </w:t>
      </w:r>
      <w:r w:rsidRPr="006014DB">
        <w:t>Time Schedule, Publication and Analysis Plans</w:t>
      </w:r>
      <w:r>
        <w:tab/>
      </w:r>
      <w:r w:rsidR="00236FCF">
        <w:t>7</w:t>
      </w:r>
    </w:p>
    <w:p w:rsidR="006014DB" w:rsidP="007B3A8E" w:rsidRDefault="006014DB">
      <w:pPr>
        <w:tabs>
          <w:tab w:val="left" w:pos="360"/>
          <w:tab w:val="left" w:leader="dot" w:pos="8280"/>
        </w:tabs>
      </w:pPr>
      <w:r>
        <w:tab/>
        <w:t xml:space="preserve">17. </w:t>
      </w:r>
      <w:r w:rsidRPr="006014DB">
        <w:t>Exemption for Display of Expiration Date</w:t>
      </w:r>
      <w:r>
        <w:tab/>
      </w:r>
      <w:r w:rsidR="00236FCF">
        <w:t>7</w:t>
      </w:r>
    </w:p>
    <w:p w:rsidR="00E56A8F" w:rsidP="007B3A8E" w:rsidRDefault="00E56A8F">
      <w:pPr>
        <w:tabs>
          <w:tab w:val="left" w:pos="360"/>
          <w:tab w:val="left" w:leader="dot" w:pos="8280"/>
        </w:tabs>
      </w:pPr>
      <w:r>
        <w:tab/>
        <w:t>List of Attachments</w:t>
      </w:r>
      <w:r>
        <w:tab/>
      </w:r>
      <w:r w:rsidR="00236FCF">
        <w:t>7</w:t>
      </w:r>
    </w:p>
    <w:p w:rsidRPr="00556066" w:rsidR="00556066" w:rsidP="007B3A8E" w:rsidRDefault="006014DB">
      <w:pPr>
        <w:tabs>
          <w:tab w:val="left" w:pos="360"/>
          <w:tab w:val="left" w:leader="dot" w:pos="8280"/>
        </w:tabs>
      </w:pPr>
      <w:r>
        <w:tab/>
      </w:r>
    </w:p>
    <w:p w:rsidRPr="00556066" w:rsidR="00556066" w:rsidP="007B3A8E" w:rsidRDefault="00556066">
      <w:pPr>
        <w:tabs>
          <w:tab w:val="left" w:pos="360"/>
          <w:tab w:val="left" w:leader="dot" w:pos="8280"/>
        </w:tabs>
      </w:pPr>
      <w:r>
        <w:tab/>
      </w:r>
    </w:p>
    <w:p w:rsidR="009B633D" w:rsidP="009B633D" w:rsidRDefault="009B633D">
      <w:pPr>
        <w:jc w:val="center"/>
        <w:rPr>
          <w:b/>
        </w:rPr>
      </w:pPr>
    </w:p>
    <w:p w:rsidR="009B633D" w:rsidRDefault="009B633D">
      <w:pPr>
        <w:pStyle w:val="TOC2"/>
        <w:tabs>
          <w:tab w:val="right" w:leader="dot" w:pos="8630"/>
        </w:tabs>
        <w:rPr>
          <w:noProof/>
        </w:rPr>
      </w:pPr>
      <w:r>
        <w:rPr>
          <w:b/>
        </w:rPr>
        <w:fldChar w:fldCharType="begin"/>
      </w:r>
      <w:r>
        <w:rPr>
          <w:b/>
        </w:rPr>
        <w:instrText xml:space="preserve"> TOC \o "1-3" \h \z \u </w:instrText>
      </w:r>
      <w:r>
        <w:rPr>
          <w:b/>
        </w:rPr>
        <w:fldChar w:fldCharType="separate"/>
      </w:r>
    </w:p>
    <w:p w:rsidRPr="001D0454" w:rsidR="009B633D" w:rsidP="009B633D" w:rsidRDefault="009B633D">
      <w:pPr>
        <w:jc w:val="center"/>
        <w:rPr>
          <w:b/>
        </w:rPr>
      </w:pPr>
      <w:r>
        <w:rPr>
          <w:b/>
        </w:rPr>
        <w:fldChar w:fldCharType="end"/>
      </w:r>
    </w:p>
    <w:p w:rsidRPr="006014DB" w:rsidR="009B633D" w:rsidP="009B633D" w:rsidRDefault="009B633D">
      <w:pPr>
        <w:pStyle w:val="Heading1"/>
        <w:rPr>
          <w:sz w:val="24"/>
          <w:szCs w:val="24"/>
        </w:rPr>
      </w:pPr>
      <w:r>
        <w:br w:type="page"/>
      </w:r>
      <w:bookmarkStart w:name="_Toc151782175" w:id="0"/>
      <w:bookmarkStart w:name="_Toc158526215" w:id="1"/>
      <w:r w:rsidRPr="006014DB">
        <w:rPr>
          <w:sz w:val="24"/>
          <w:szCs w:val="24"/>
        </w:rPr>
        <w:lastRenderedPageBreak/>
        <w:t>A. Justification</w:t>
      </w:r>
      <w:bookmarkEnd w:id="0"/>
      <w:bookmarkEnd w:id="1"/>
    </w:p>
    <w:p w:rsidRPr="006014DB" w:rsidR="009B633D" w:rsidP="009B633D" w:rsidRDefault="009B633D"/>
    <w:p w:rsidR="009B633D" w:rsidP="006014DB" w:rsidRDefault="009B633D">
      <w:pPr>
        <w:pStyle w:val="Heading2"/>
        <w:spacing w:before="0" w:after="0"/>
        <w:rPr>
          <w:sz w:val="24"/>
          <w:szCs w:val="24"/>
        </w:rPr>
      </w:pPr>
      <w:bookmarkStart w:name="_Toc151782176" w:id="2"/>
      <w:bookmarkStart w:name="_Toc158526216" w:id="3"/>
      <w:r w:rsidRPr="006014DB">
        <w:rPr>
          <w:sz w:val="24"/>
          <w:szCs w:val="24"/>
        </w:rPr>
        <w:t xml:space="preserve">1. </w:t>
      </w:r>
      <w:bookmarkEnd w:id="2"/>
      <w:bookmarkEnd w:id="3"/>
      <w:r w:rsidRPr="006014DB" w:rsidR="006014DB">
        <w:rPr>
          <w:sz w:val="24"/>
          <w:szCs w:val="24"/>
        </w:rPr>
        <w:t>Circumstances that make the collection of information necessary</w:t>
      </w:r>
    </w:p>
    <w:p w:rsidR="000A140E" w:rsidP="000A140E" w:rsidRDefault="000A140E">
      <w:r>
        <w:t xml:space="preserve">The mission of the Agency for Healthcare Research and Quality (AHRQ) set out in its authorizing legislation, The Healthcare Research and Quality Act of 1999 (see </w:t>
      </w:r>
      <w:r w:rsidRPr="008573ED" w:rsidR="009B3832">
        <w:t>http://www.ahrq.gov/hrqa99.pdf</w:t>
      </w:r>
      <w:r>
        <w:t>),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 care quality improvement by conducting and supporting:</w:t>
      </w:r>
    </w:p>
    <w:p w:rsidR="006014DB" w:rsidP="006014DB" w:rsidRDefault="006014DB"/>
    <w:p w:rsidR="00606400" w:rsidP="00606400" w:rsidRDefault="00606400">
      <w:pPr>
        <w:tabs>
          <w:tab w:val="left" w:pos="360"/>
        </w:tabs>
        <w:ind w:left="360"/>
      </w:pPr>
      <w:r>
        <w:t>1.</w:t>
      </w:r>
      <w:r>
        <w:tab/>
      </w:r>
      <w:proofErr w:type="gramStart"/>
      <w:r>
        <w:t>research</w:t>
      </w:r>
      <w:proofErr w:type="gramEnd"/>
      <w:r>
        <w:t xml:space="preserve"> that develops and presents scientific evidence regardi</w:t>
      </w:r>
      <w:r w:rsidR="00AA1DDC">
        <w:t xml:space="preserve">ng all aspects of </w:t>
      </w:r>
      <w:r w:rsidR="00AA1DDC">
        <w:tab/>
      </w:r>
      <w:r w:rsidR="00AA1DDC">
        <w:tab/>
        <w:t>health care</w:t>
      </w:r>
      <w:r w:rsidR="00325B9C">
        <w:t>;</w:t>
      </w:r>
      <w:r w:rsidR="00B645ED">
        <w:t xml:space="preserve"> and</w:t>
      </w:r>
    </w:p>
    <w:p w:rsidR="00325B9C" w:rsidP="00606400" w:rsidRDefault="00325B9C">
      <w:pPr>
        <w:tabs>
          <w:tab w:val="left" w:pos="360"/>
        </w:tabs>
        <w:ind w:left="360"/>
      </w:pPr>
    </w:p>
    <w:p w:rsidR="00325B9C" w:rsidP="00606400" w:rsidRDefault="00325B9C">
      <w:pPr>
        <w:tabs>
          <w:tab w:val="left" w:pos="360"/>
        </w:tabs>
        <w:ind w:left="360"/>
      </w:pPr>
      <w:r>
        <w:t>2.</w:t>
      </w:r>
      <w:r>
        <w:tab/>
      </w:r>
      <w:proofErr w:type="gramStart"/>
      <w:r w:rsidR="00B645ED">
        <w:t>the</w:t>
      </w:r>
      <w:proofErr w:type="gramEnd"/>
      <w:r w:rsidR="00B645ED">
        <w:t xml:space="preserve"> synthesis and dissemination of available scientific evidence for use by </w:t>
      </w:r>
      <w:r w:rsidR="00B645ED">
        <w:tab/>
        <w:t xml:space="preserve">patients, consumers, practitioners, providers, purchasers, policy makers, and </w:t>
      </w:r>
      <w:r w:rsidR="00B645ED">
        <w:tab/>
        <w:t>educators; and</w:t>
      </w:r>
    </w:p>
    <w:p w:rsidR="00B645ED" w:rsidP="00606400" w:rsidRDefault="00B645ED">
      <w:pPr>
        <w:tabs>
          <w:tab w:val="left" w:pos="360"/>
        </w:tabs>
        <w:ind w:left="360"/>
      </w:pPr>
    </w:p>
    <w:p w:rsidR="00B645ED" w:rsidP="00606400" w:rsidRDefault="00B645ED">
      <w:pPr>
        <w:tabs>
          <w:tab w:val="left" w:pos="360"/>
        </w:tabs>
        <w:ind w:left="360"/>
      </w:pPr>
      <w:r>
        <w:t>3.</w:t>
      </w:r>
      <w:r>
        <w:tab/>
      </w:r>
      <w:proofErr w:type="gramStart"/>
      <w:r>
        <w:t>initiatives</w:t>
      </w:r>
      <w:proofErr w:type="gramEnd"/>
      <w:r>
        <w:t xml:space="preserve"> to advance private and public efforts to improve health care quality.</w:t>
      </w:r>
    </w:p>
    <w:p w:rsidR="00B645ED" w:rsidP="00B645ED" w:rsidRDefault="00B645ED">
      <w:pPr>
        <w:tabs>
          <w:tab w:val="left" w:pos="360"/>
        </w:tabs>
      </w:pPr>
    </w:p>
    <w:p w:rsidR="008450C0" w:rsidP="00B645ED" w:rsidRDefault="008450C0">
      <w:pPr>
        <w:tabs>
          <w:tab w:val="left" w:pos="360"/>
        </w:tabs>
      </w:pPr>
      <w:r>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rsidR="008450C0" w:rsidP="00B645ED" w:rsidRDefault="008450C0">
      <w:pPr>
        <w:tabs>
          <w:tab w:val="left" w:pos="360"/>
        </w:tabs>
      </w:pPr>
    </w:p>
    <w:p w:rsidR="00FF67E8" w:rsidP="00FF67E8" w:rsidRDefault="00F12FD2">
      <w:pPr>
        <w:tabs>
          <w:tab w:val="left" w:pos="360"/>
        </w:tabs>
      </w:pPr>
      <w:r>
        <w:t>AHRQ</w:t>
      </w:r>
      <w:r w:rsidRPr="00FF67E8" w:rsidR="00FF67E8">
        <w:t xml:space="preserve"> has developed a systematic method for </w:t>
      </w:r>
      <w:r w:rsidRPr="00FF67E8" w:rsidR="00FF67E8">
        <w:rPr>
          <w:bCs/>
          <w:iCs/>
        </w:rPr>
        <w:t>its</w:t>
      </w:r>
      <w:r w:rsidRPr="00FF67E8" w:rsidR="00FF67E8">
        <w:rPr>
          <w:b/>
          <w:bCs/>
          <w:i/>
          <w:iCs/>
        </w:rPr>
        <w:t xml:space="preserve"> </w:t>
      </w:r>
      <w:r w:rsidRPr="00FF67E8" w:rsidR="00FF67E8">
        <w:t xml:space="preserve">grantees to report </w:t>
      </w:r>
      <w:r w:rsidRPr="00FF67E8" w:rsidR="00FF67E8">
        <w:rPr>
          <w:bCs/>
          <w:iCs/>
        </w:rPr>
        <w:t>project</w:t>
      </w:r>
      <w:r w:rsidRPr="00FF67E8" w:rsidR="00FF67E8">
        <w:rPr>
          <w:b/>
          <w:bCs/>
          <w:i/>
          <w:iCs/>
        </w:rPr>
        <w:t xml:space="preserve"> </w:t>
      </w:r>
      <w:r w:rsidRPr="00FF67E8" w:rsidR="00FF67E8">
        <w:rPr>
          <w:iCs/>
        </w:rPr>
        <w:t>progress</w:t>
      </w:r>
      <w:r w:rsidRPr="00FF67E8" w:rsidR="00FF67E8">
        <w:t xml:space="preserve"> and important preliminary findings for grants funded by the Agency.  </w:t>
      </w:r>
      <w:r w:rsidR="007E66D5">
        <w:t xml:space="preserve">This system, the </w:t>
      </w:r>
      <w:r w:rsidRPr="007E66D5" w:rsidR="007E66D5">
        <w:t xml:space="preserve">AHRQ Research Reporting </w:t>
      </w:r>
      <w:r w:rsidR="007E66D5">
        <w:t>System (AR</w:t>
      </w:r>
      <w:r w:rsidRPr="00FF67E8" w:rsidR="007E66D5">
        <w:t>RS)</w:t>
      </w:r>
      <w:r w:rsidR="007E66D5">
        <w:t xml:space="preserve">, previously known as </w:t>
      </w:r>
      <w:r w:rsidRPr="00FF67E8" w:rsidR="00FF67E8">
        <w:t>the Grants Reporting System (GRS)</w:t>
      </w:r>
      <w:r w:rsidR="00FF67E8">
        <w:t xml:space="preserve">, was </w:t>
      </w:r>
      <w:r w:rsidR="00AA23E6">
        <w:t xml:space="preserve">last </w:t>
      </w:r>
      <w:r w:rsidR="00FF67E8">
        <w:t xml:space="preserve">approved by OMB on </w:t>
      </w:r>
      <w:r w:rsidR="00AA23E6">
        <w:t xml:space="preserve">May </w:t>
      </w:r>
      <w:r w:rsidR="0040346E">
        <w:t>22</w:t>
      </w:r>
      <w:r w:rsidRPr="0040346E" w:rsidR="0040346E">
        <w:rPr>
          <w:vertAlign w:val="superscript"/>
        </w:rPr>
        <w:t>nd</w:t>
      </w:r>
      <w:r w:rsidR="00FF67E8">
        <w:t>, 20</w:t>
      </w:r>
      <w:r w:rsidR="00AA23E6">
        <w:t>1</w:t>
      </w:r>
      <w:r w:rsidR="0040346E">
        <w:t>7</w:t>
      </w:r>
      <w:r w:rsidR="00FF67E8">
        <w:t>.  The system</w:t>
      </w:r>
      <w:r w:rsidRPr="00FF67E8" w:rsidR="00FF67E8">
        <w:t xml:space="preserve"> address</w:t>
      </w:r>
      <w:r w:rsidR="00FF67E8">
        <w:t>ed</w:t>
      </w:r>
      <w:r w:rsidRPr="00FF67E8" w:rsidR="00FF67E8">
        <w:t xml:space="preserve"> the shortfalls in the previous reporting process and established a consistent and comprehensive grants reporting solution for </w:t>
      </w:r>
      <w:r w:rsidRPr="00FF67E8" w:rsidR="00FF67E8">
        <w:rPr>
          <w:iCs/>
        </w:rPr>
        <w:t>AHRQ.</w:t>
      </w:r>
      <w:r w:rsidRPr="00FF67E8" w:rsidR="00FF67E8">
        <w:t xml:space="preserve">  The </w:t>
      </w:r>
      <w:r w:rsidR="007E66D5">
        <w:t>ARRS</w:t>
      </w:r>
      <w:r w:rsidRPr="00FF67E8" w:rsidR="00FF67E8">
        <w:t xml:space="preserve"> provides a centralized repository of grants research progress and additional information that can be </w:t>
      </w:r>
      <w:r w:rsidRPr="0059249D" w:rsidR="00FF67E8">
        <w:t>used to support initiatives within the Agency</w:t>
      </w:r>
      <w:r w:rsidRPr="00FF67E8" w:rsidR="00FF67E8">
        <w:t>.  This includes future research planning and support to administration activities such as performance monitoring, budgeting, knowledge transfer as well as strategic planning.</w:t>
      </w:r>
    </w:p>
    <w:p w:rsidRPr="00F5541A" w:rsidR="00F5541A" w:rsidP="00FF67E8" w:rsidRDefault="00F5541A">
      <w:pPr>
        <w:tabs>
          <w:tab w:val="left" w:pos="360"/>
        </w:tabs>
      </w:pPr>
    </w:p>
    <w:p w:rsidR="00FF67E8" w:rsidP="00FF67E8" w:rsidRDefault="000B7457">
      <w:pPr>
        <w:tabs>
          <w:tab w:val="left" w:pos="360"/>
        </w:tabs>
        <w:rPr>
          <w:bCs/>
          <w:iCs/>
        </w:rPr>
      </w:pPr>
      <w:r>
        <w:rPr>
          <w:bCs/>
          <w:iCs/>
        </w:rPr>
        <w:t>This Project has the following goals:</w:t>
      </w:r>
    </w:p>
    <w:p w:rsidRPr="009B3832" w:rsidR="000B7457" w:rsidP="00FF67E8" w:rsidRDefault="000B7457">
      <w:pPr>
        <w:tabs>
          <w:tab w:val="left" w:pos="360"/>
        </w:tabs>
        <w:rPr>
          <w:bCs/>
          <w:iCs/>
        </w:rPr>
      </w:pPr>
    </w:p>
    <w:p w:rsidR="0086105C" w:rsidP="0086105C" w:rsidRDefault="009B3832">
      <w:pPr>
        <w:numPr>
          <w:ilvl w:val="0"/>
          <w:numId w:val="52"/>
        </w:numPr>
        <w:spacing w:after="200"/>
      </w:pPr>
      <w:r>
        <w:t>To p</w:t>
      </w:r>
      <w:r w:rsidR="0086105C">
        <w:t xml:space="preserve">romote the transfer of critical information more frequently and efficiently and  enhance the Agency’s ability to </w:t>
      </w:r>
      <w:r w:rsidR="0086105C">
        <w:rPr>
          <w:lang w:val="en"/>
        </w:rPr>
        <w:t xml:space="preserve">support research designed to improve the outcomes and quality of health care, reduce its costs, and broaden access to effective services </w:t>
      </w:r>
    </w:p>
    <w:p w:rsidR="0086105C" w:rsidP="0086105C" w:rsidRDefault="009B3832">
      <w:pPr>
        <w:numPr>
          <w:ilvl w:val="0"/>
          <w:numId w:val="52"/>
        </w:numPr>
        <w:spacing w:after="200"/>
      </w:pPr>
      <w:r>
        <w:t>To i</w:t>
      </w:r>
      <w:r w:rsidR="0086105C">
        <w:t xml:space="preserve">ncrease the efficiency of the Agency in responding to ad-hoc information requests </w:t>
      </w:r>
    </w:p>
    <w:p w:rsidR="0086105C" w:rsidP="0086105C" w:rsidRDefault="009B3832">
      <w:pPr>
        <w:numPr>
          <w:ilvl w:val="0"/>
          <w:numId w:val="52"/>
        </w:numPr>
        <w:spacing w:after="200"/>
      </w:pPr>
      <w:r>
        <w:lastRenderedPageBreak/>
        <w:t>To s</w:t>
      </w:r>
      <w:r w:rsidR="0086105C">
        <w:t>upport Executive Branch requirements for increased transparency and public reporting</w:t>
      </w:r>
    </w:p>
    <w:p w:rsidR="0086105C" w:rsidP="0086105C" w:rsidRDefault="009B3832">
      <w:pPr>
        <w:numPr>
          <w:ilvl w:val="0"/>
          <w:numId w:val="52"/>
        </w:numPr>
        <w:spacing w:after="200"/>
      </w:pPr>
      <w:r>
        <w:t>To e</w:t>
      </w:r>
      <w:r w:rsidR="0086105C">
        <w:t xml:space="preserve">stablish a consistent approach throughout the Agency for </w:t>
      </w:r>
      <w:r w:rsidR="0086105C">
        <w:rPr>
          <w:bCs/>
          <w:iCs/>
        </w:rPr>
        <w:t>information collection regarding grant progress and a systematic basis for oversight and for facilitating potential</w:t>
      </w:r>
      <w:r w:rsidR="0086105C">
        <w:rPr>
          <w:b/>
          <w:bCs/>
          <w:i/>
          <w:iCs/>
        </w:rPr>
        <w:t xml:space="preserve"> </w:t>
      </w:r>
      <w:r w:rsidR="0086105C">
        <w:t>collaborations among grantees</w:t>
      </w:r>
    </w:p>
    <w:p w:rsidRPr="007E4359" w:rsidR="0086105C" w:rsidP="0086105C" w:rsidRDefault="009B3832">
      <w:pPr>
        <w:numPr>
          <w:ilvl w:val="0"/>
          <w:numId w:val="52"/>
        </w:numPr>
        <w:spacing w:after="200"/>
        <w:rPr>
          <w:i/>
        </w:rPr>
      </w:pPr>
      <w:r>
        <w:t>To d</w:t>
      </w:r>
      <w:r w:rsidR="0086105C">
        <w:t xml:space="preserve">ecrease the </w:t>
      </w:r>
      <w:r w:rsidR="0086105C">
        <w:rPr>
          <w:bCs/>
          <w:iCs/>
        </w:rPr>
        <w:t>inconvenience and</w:t>
      </w:r>
      <w:r w:rsidR="0086105C">
        <w:rPr>
          <w:b/>
          <w:bCs/>
          <w:i/>
          <w:iCs/>
        </w:rPr>
        <w:t xml:space="preserve"> </w:t>
      </w:r>
      <w:r w:rsidR="0086105C">
        <w:t xml:space="preserve">burden on grantees of </w:t>
      </w:r>
      <w:r w:rsidR="0086105C">
        <w:rPr>
          <w:bCs/>
          <w:iCs/>
        </w:rPr>
        <w:t>unanticipated ad-hoc</w:t>
      </w:r>
      <w:r w:rsidR="0086105C">
        <w:rPr>
          <w:b/>
          <w:bCs/>
          <w:i/>
          <w:iCs/>
        </w:rPr>
        <w:t xml:space="preserve"> </w:t>
      </w:r>
      <w:r w:rsidR="0086105C">
        <w:t xml:space="preserve">requests for information by the Agency in response to </w:t>
      </w:r>
      <w:r w:rsidR="0086105C">
        <w:rPr>
          <w:bCs/>
          <w:iCs/>
        </w:rPr>
        <w:t>particular (one-time)</w:t>
      </w:r>
      <w:r w:rsidR="0086105C">
        <w:t xml:space="preserve"> internal and ex</w:t>
      </w:r>
      <w:r w:rsidR="005F7247">
        <w:t>ternal requests for information</w:t>
      </w:r>
    </w:p>
    <w:p w:rsidR="0059249D" w:rsidP="0059249D" w:rsidRDefault="0059249D">
      <w:pPr>
        <w:tabs>
          <w:tab w:val="left" w:pos="360"/>
        </w:tabs>
      </w:pPr>
      <w:r>
        <w:t>To achieve the goals of this project the following data collections will be implemented</w:t>
      </w:r>
      <w:r w:rsidR="00CC54E3">
        <w:t>:</w:t>
      </w:r>
    </w:p>
    <w:p w:rsidR="0059249D" w:rsidP="0059249D" w:rsidRDefault="0059249D">
      <w:pPr>
        <w:tabs>
          <w:tab w:val="left" w:pos="360"/>
        </w:tabs>
      </w:pPr>
    </w:p>
    <w:p w:rsidRPr="00047855" w:rsidR="00047855" w:rsidP="00047855" w:rsidRDefault="007E66D5">
      <w:pPr>
        <w:numPr>
          <w:ilvl w:val="0"/>
          <w:numId w:val="53"/>
        </w:numPr>
        <w:tabs>
          <w:tab w:val="left" w:pos="360"/>
        </w:tabs>
      </w:pPr>
      <w:r w:rsidRPr="007E66D5">
        <w:t xml:space="preserve">AHRQ Research Reporting </w:t>
      </w:r>
      <w:r>
        <w:t>System (AR</w:t>
      </w:r>
      <w:r w:rsidRPr="00FF67E8">
        <w:t>RS</w:t>
      </w:r>
      <w:r>
        <w:t>)</w:t>
      </w:r>
      <w:r w:rsidRPr="00047855" w:rsidR="00047855">
        <w:t xml:space="preserve"> – Grantees </w:t>
      </w:r>
      <w:r w:rsidR="00F81925">
        <w:t xml:space="preserve">and vendors </w:t>
      </w:r>
      <w:r w:rsidRPr="00047855" w:rsidR="00047855">
        <w:t xml:space="preserve">use the </w:t>
      </w:r>
      <w:r>
        <w:t>ARRS system</w:t>
      </w:r>
      <w:r w:rsidRPr="00047855" w:rsidR="00047855">
        <w:t xml:space="preserve"> to report </w:t>
      </w:r>
      <w:r w:rsidRPr="00047855" w:rsidR="00047855">
        <w:rPr>
          <w:bCs/>
          <w:iCs/>
        </w:rPr>
        <w:t>project</w:t>
      </w:r>
      <w:r w:rsidRPr="00047855" w:rsidR="00047855">
        <w:rPr>
          <w:b/>
          <w:bCs/>
          <w:i/>
          <w:iCs/>
        </w:rPr>
        <w:t xml:space="preserve"> </w:t>
      </w:r>
      <w:r w:rsidRPr="00047855" w:rsidR="00047855">
        <w:rPr>
          <w:iCs/>
        </w:rPr>
        <w:t>progress</w:t>
      </w:r>
      <w:r w:rsidRPr="00047855" w:rsidR="00047855">
        <w:t xml:space="preserve"> and important </w:t>
      </w:r>
      <w:r w:rsidR="00F81925">
        <w:t xml:space="preserve">preliminary findings for grants and contracts </w:t>
      </w:r>
      <w:r w:rsidRPr="00047855" w:rsidR="00047855">
        <w:t xml:space="preserve">funded by the Agency.  Grantees </w:t>
      </w:r>
      <w:r w:rsidR="00F81925">
        <w:t xml:space="preserve">and vendors </w:t>
      </w:r>
      <w:r w:rsidRPr="00047855" w:rsidR="00047855">
        <w:t xml:space="preserve">submit a progress report on a </w:t>
      </w:r>
      <w:r w:rsidR="00F81925">
        <w:t xml:space="preserve">monthly or </w:t>
      </w:r>
      <w:r w:rsidRPr="00047855" w:rsidR="00047855">
        <w:t xml:space="preserve">quarterly basis which </w:t>
      </w:r>
      <w:r w:rsidRPr="00DD4E2E" w:rsidR="00047855">
        <w:t>are reviewed by AHRQ personnel</w:t>
      </w:r>
      <w:r w:rsidRPr="00047855" w:rsidR="00047855">
        <w:t xml:space="preserve">.  All users access the </w:t>
      </w:r>
      <w:r>
        <w:t>AR</w:t>
      </w:r>
      <w:r w:rsidRPr="00FF67E8">
        <w:t>RS</w:t>
      </w:r>
      <w:r w:rsidRPr="00047855">
        <w:t xml:space="preserve"> </w:t>
      </w:r>
      <w:r w:rsidRPr="00047855" w:rsidR="00047855">
        <w:t xml:space="preserve">system through a secure online interface which requires a user id and password entered through the </w:t>
      </w:r>
      <w:r>
        <w:t>AR</w:t>
      </w:r>
      <w:r w:rsidRPr="00FF67E8">
        <w:t>RS</w:t>
      </w:r>
      <w:r w:rsidRPr="00047855">
        <w:t xml:space="preserve"> </w:t>
      </w:r>
      <w:r w:rsidR="00F81925">
        <w:t xml:space="preserve">Login screen. </w:t>
      </w:r>
      <w:r w:rsidRPr="00047855" w:rsidR="00047855">
        <w:t>When status reports are due AHRQ notifies Pr</w:t>
      </w:r>
      <w:r w:rsidR="00F81925">
        <w:t>inciple Investigators (PI) and V</w:t>
      </w:r>
      <w:r w:rsidRPr="00047855" w:rsidR="00047855">
        <w:t xml:space="preserve">endors via email (see Attachment B).  See Attachment B for screen shots of the </w:t>
      </w:r>
      <w:r>
        <w:t>AR</w:t>
      </w:r>
      <w:r w:rsidRPr="00FF67E8">
        <w:t>RS</w:t>
      </w:r>
      <w:r w:rsidR="00B8454B">
        <w:t xml:space="preserve">, </w:t>
      </w:r>
      <w:r w:rsidRPr="00047855" w:rsidR="00047855">
        <w:t>Attachment C for a list of grants that have employed this reporting me</w:t>
      </w:r>
      <w:r w:rsidR="00B8454B">
        <w:t>chanism, and Attachment D</w:t>
      </w:r>
      <w:r w:rsidRPr="00047855" w:rsidR="00B8454B">
        <w:t xml:space="preserve"> for a list of </w:t>
      </w:r>
      <w:r w:rsidR="00B8454B">
        <w:t>contracts</w:t>
      </w:r>
      <w:r w:rsidRPr="00047855" w:rsidR="00B8454B">
        <w:t xml:space="preserve"> that have employed this reporting mechanism.</w:t>
      </w:r>
    </w:p>
    <w:p w:rsidR="00047855" w:rsidP="0059249D" w:rsidRDefault="00047855">
      <w:pPr>
        <w:tabs>
          <w:tab w:val="left" w:pos="360"/>
        </w:tabs>
      </w:pPr>
    </w:p>
    <w:p w:rsidR="00427712" w:rsidP="00427712" w:rsidRDefault="00427712"/>
    <w:p w:rsidRPr="00527BBD" w:rsidR="00427712" w:rsidP="00427712" w:rsidRDefault="00427712">
      <w:r w:rsidRPr="00527BBD">
        <w:t xml:space="preserve">This study is being conducted by AHRQ pursuant to AHRQ’s statutory authority to conduct and support research on healthcare and on systems for the delivery of such care, including activities with respect to the quality, effectiveness, efficiency, appropriateness and value of healthcare services and with respect to quality measurement and improvement.  42 U.S.C. </w:t>
      </w:r>
      <w:proofErr w:type="gramStart"/>
      <w:r w:rsidRPr="00527BBD">
        <w:t>299a(</w:t>
      </w:r>
      <w:proofErr w:type="gramEnd"/>
      <w:r w:rsidRPr="00527BBD">
        <w:t>a)(1) and (2).</w:t>
      </w:r>
    </w:p>
    <w:p w:rsidR="00C6727E" w:rsidP="00CF7C2A" w:rsidRDefault="00C6727E">
      <w:pPr>
        <w:tabs>
          <w:tab w:val="left" w:pos="360"/>
        </w:tabs>
        <w:rPr>
          <w:rFonts w:ascii="Arial" w:hAnsi="Arial" w:cs="Arial"/>
          <w:b/>
          <w:i/>
        </w:rPr>
      </w:pPr>
      <w:bookmarkStart w:name="_Toc151782177" w:id="4"/>
      <w:bookmarkStart w:name="_Toc158526217" w:id="5"/>
    </w:p>
    <w:p w:rsidRPr="00CF7C2A" w:rsidR="0038357C" w:rsidP="00CF7C2A" w:rsidRDefault="009B633D">
      <w:pPr>
        <w:tabs>
          <w:tab w:val="left" w:pos="360"/>
        </w:tabs>
        <w:rPr>
          <w:b/>
        </w:rPr>
      </w:pPr>
      <w:r w:rsidRPr="00CF7C2A">
        <w:rPr>
          <w:rFonts w:ascii="Arial" w:hAnsi="Arial" w:cs="Arial"/>
          <w:b/>
          <w:i/>
        </w:rPr>
        <w:t>2.</w:t>
      </w:r>
      <w:r w:rsidRPr="00983636">
        <w:t xml:space="preserve"> </w:t>
      </w:r>
      <w:r w:rsidRPr="00CF7C2A">
        <w:rPr>
          <w:rFonts w:ascii="Arial" w:hAnsi="Arial" w:cs="Arial"/>
          <w:b/>
          <w:i/>
        </w:rPr>
        <w:t>Purpose and Use of Information</w:t>
      </w:r>
      <w:bookmarkStart w:name="_Toc151782178" w:id="6"/>
      <w:bookmarkStart w:name="_Toc158526218" w:id="7"/>
      <w:bookmarkEnd w:id="4"/>
      <w:bookmarkEnd w:id="5"/>
      <w:r w:rsidR="0038357C">
        <w:br/>
      </w:r>
      <w:r w:rsidR="00CC1F81">
        <w:t xml:space="preserve">The </w:t>
      </w:r>
      <w:r w:rsidR="007E66D5">
        <w:t>AR</w:t>
      </w:r>
      <w:r w:rsidRPr="00FF67E8" w:rsidR="007E66D5">
        <w:t>RS</w:t>
      </w:r>
      <w:r w:rsidR="007E66D5">
        <w:t xml:space="preserve"> </w:t>
      </w:r>
      <w:r w:rsidR="00CC1F81">
        <w:t>is an</w:t>
      </w:r>
      <w:r w:rsidRPr="00FF67E8" w:rsidR="002D44FC">
        <w:t xml:space="preserve"> automated user-friendly resource </w:t>
      </w:r>
      <w:r w:rsidR="005146F5">
        <w:t xml:space="preserve">that </w:t>
      </w:r>
      <w:r w:rsidR="00CC1F81">
        <w:t xml:space="preserve">is </w:t>
      </w:r>
      <w:r w:rsidRPr="00FF67E8" w:rsidR="002D44FC">
        <w:t>utilized by A</w:t>
      </w:r>
      <w:r w:rsidR="00CC1F81">
        <w:t>HRQ</w:t>
      </w:r>
      <w:r w:rsidRPr="00FF67E8" w:rsidR="002D44FC">
        <w:t xml:space="preserve"> staff for preparing, distributing, and reviewing reporting requests to grantees</w:t>
      </w:r>
      <w:r w:rsidR="0063759A">
        <w:t xml:space="preserve"> and vendors</w:t>
      </w:r>
      <w:r w:rsidR="005146F5">
        <w:t xml:space="preserve"> for the purpose of information sharing</w:t>
      </w:r>
      <w:r w:rsidR="00CC1F81">
        <w:t>.</w:t>
      </w:r>
      <w:r w:rsidRPr="0038357C" w:rsidR="0038357C">
        <w:rPr>
          <w:b/>
          <w:i/>
        </w:rPr>
        <w:t xml:space="preserve"> </w:t>
      </w:r>
      <w:r w:rsidR="00CF7C2A">
        <w:rPr>
          <w:b/>
          <w:i/>
        </w:rPr>
        <w:t xml:space="preserve"> </w:t>
      </w:r>
      <w:r w:rsidRPr="001C0134" w:rsidR="00CC1F81">
        <w:t>AHRQ</w:t>
      </w:r>
      <w:r w:rsidRPr="001C0134" w:rsidR="0038357C">
        <w:t xml:space="preserve"> personnel are able to systematically search on the information collected and stored in the </w:t>
      </w:r>
      <w:r w:rsidR="0081032B">
        <w:t>AR</w:t>
      </w:r>
      <w:r w:rsidRPr="00FF67E8" w:rsidR="0081032B">
        <w:t>RS</w:t>
      </w:r>
      <w:r w:rsidRPr="001C0134" w:rsidR="0081032B">
        <w:t xml:space="preserve"> </w:t>
      </w:r>
      <w:r w:rsidRPr="001C0134" w:rsidR="0038357C">
        <w:t xml:space="preserve">database.  </w:t>
      </w:r>
      <w:r w:rsidRPr="001C0134" w:rsidR="002D44FC">
        <w:t>P</w:t>
      </w:r>
      <w:r w:rsidRPr="001C0134" w:rsidR="0038357C">
        <w:t>ersonnel</w:t>
      </w:r>
      <w:r w:rsidRPr="001C0134" w:rsidR="002D44FC">
        <w:t xml:space="preserve"> will also</w:t>
      </w:r>
      <w:r w:rsidRPr="001C0134" w:rsidR="0038357C">
        <w:t xml:space="preserve"> use the information to address internal and/or external requests </w:t>
      </w:r>
      <w:r w:rsidRPr="00CF7C2A" w:rsidR="0038357C">
        <w:t>for information regarding grant progress</w:t>
      </w:r>
      <w:r w:rsidRPr="00CF7C2A" w:rsidR="00CC1F81">
        <w:t>,</w:t>
      </w:r>
      <w:r w:rsidRPr="00CF7C2A" w:rsidR="0038357C">
        <w:t xml:space="preserve"> </w:t>
      </w:r>
      <w:r w:rsidRPr="00CF7C2A" w:rsidR="002D44FC">
        <w:t>preliminary findings</w:t>
      </w:r>
      <w:r w:rsidRPr="00CF7C2A" w:rsidR="00CC1F81">
        <w:t xml:space="preserve">, </w:t>
      </w:r>
      <w:r w:rsidRPr="00CF7C2A" w:rsidR="0038357C">
        <w:t>and other requests</w:t>
      </w:r>
      <w:r w:rsidRPr="00CF7C2A" w:rsidR="00CC1F81">
        <w:t xml:space="preserve">, such as </w:t>
      </w:r>
      <w:r w:rsidR="00CC1F81">
        <w:t>Freedom of Information Act requests, and producing responses related to federally mandated programs and regulations</w:t>
      </w:r>
      <w:r w:rsidRPr="00CF7C2A" w:rsidR="0038357C">
        <w:rPr>
          <w:b/>
        </w:rPr>
        <w:t xml:space="preserve">.  </w:t>
      </w:r>
    </w:p>
    <w:p w:rsidRPr="00983636" w:rsidR="009B633D" w:rsidP="009B633D" w:rsidRDefault="009B633D">
      <w:pPr>
        <w:pStyle w:val="Heading2"/>
        <w:rPr>
          <w:sz w:val="24"/>
        </w:rPr>
      </w:pPr>
      <w:r w:rsidRPr="00983636">
        <w:rPr>
          <w:sz w:val="24"/>
        </w:rPr>
        <w:t>3. Use of Improved Information Technology</w:t>
      </w:r>
      <w:bookmarkEnd w:id="6"/>
      <w:bookmarkEnd w:id="7"/>
    </w:p>
    <w:p w:rsidR="00DA7576" w:rsidP="00DA7576" w:rsidRDefault="00DA7576">
      <w:r>
        <w:t xml:space="preserve">The </w:t>
      </w:r>
      <w:r w:rsidR="0081032B">
        <w:t>AR</w:t>
      </w:r>
      <w:r w:rsidRPr="00FF67E8" w:rsidR="0081032B">
        <w:t>RS</w:t>
      </w:r>
      <w:r w:rsidR="0081032B">
        <w:t xml:space="preserve"> </w:t>
      </w:r>
      <w:r>
        <w:t xml:space="preserve">employs state of the art technology that is aligned with e-government “share in services principle” whereby federal agencies achieve savings through the provision of technologies that improve or accelerate their work.  In addition, the </w:t>
      </w:r>
      <w:r w:rsidR="0081032B">
        <w:t>AR</w:t>
      </w:r>
      <w:r w:rsidRPr="00FF67E8" w:rsidR="0081032B">
        <w:t>RS</w:t>
      </w:r>
      <w:r w:rsidR="0081032B">
        <w:t xml:space="preserve"> </w:t>
      </w:r>
      <w:r>
        <w:t xml:space="preserve">infrastructure increases the agency’s compliance with the Government Paperwork Elimination Act (GPEA) by further enabling a “paperless” working environment and enables the agency to comply with e-government initiatives as reported on the PMA Scorecard. </w:t>
      </w:r>
    </w:p>
    <w:p w:rsidR="00DA7576" w:rsidP="00DA7576" w:rsidRDefault="00DA7576"/>
    <w:p w:rsidR="00DA7576" w:rsidP="00DA7576" w:rsidRDefault="00DA7576">
      <w:r>
        <w:t>T</w:t>
      </w:r>
      <w:r>
        <w:rPr>
          <w:bCs/>
          <w:iCs/>
        </w:rPr>
        <w:t xml:space="preserve">he </w:t>
      </w:r>
      <w:r w:rsidR="0081032B">
        <w:t>AR</w:t>
      </w:r>
      <w:r w:rsidRPr="00FF67E8" w:rsidR="0081032B">
        <w:t>RS</w:t>
      </w:r>
      <w:r w:rsidR="0081032B">
        <w:t xml:space="preserve"> </w:t>
      </w:r>
      <w:r>
        <w:t>supports the timely collection of important information related to the life cycle of</w:t>
      </w:r>
      <w:r>
        <w:rPr>
          <w:bCs/>
          <w:iCs/>
        </w:rPr>
        <w:t xml:space="preserve"> a</w:t>
      </w:r>
      <w:r>
        <w:rPr>
          <w:b/>
          <w:bCs/>
          <w:i/>
          <w:iCs/>
        </w:rPr>
        <w:t xml:space="preserve"> </w:t>
      </w:r>
      <w:r>
        <w:t>grant</w:t>
      </w:r>
      <w:r w:rsidR="00AE0615">
        <w:t xml:space="preserve"> and contracts</w:t>
      </w:r>
      <w:r>
        <w:t>.  This information includes: significant changes in project goals, methods, study design, sample or subjects, interventions, evaluation,</w:t>
      </w:r>
      <w:r>
        <w:rPr>
          <w:i/>
          <w:iCs/>
        </w:rPr>
        <w:t xml:space="preserve"> </w:t>
      </w:r>
      <w:r>
        <w:rPr>
          <w:iCs/>
        </w:rPr>
        <w:t>d</w:t>
      </w:r>
      <w:r>
        <w:t>issemination</w:t>
      </w:r>
      <w:r>
        <w:rPr>
          <w:iCs/>
        </w:rPr>
        <w:t xml:space="preserve">, </w:t>
      </w:r>
      <w:r>
        <w:t>training, and key personnel; key preliminary findings; significant problems and resolutions; publications and presentations; tools and products; and new collaborations/</w:t>
      </w:r>
      <w:r w:rsidR="002973A7">
        <w:t xml:space="preserve">partnerships with AHRQ grantees, vendors </w:t>
      </w:r>
      <w:r>
        <w:t xml:space="preserve">or others conducting related research.  </w:t>
      </w:r>
    </w:p>
    <w:p w:rsidR="009B633D" w:rsidP="009B633D" w:rsidRDefault="009B633D">
      <w:pPr>
        <w:pStyle w:val="Heading2"/>
        <w:rPr>
          <w:sz w:val="24"/>
        </w:rPr>
      </w:pPr>
      <w:bookmarkStart w:name="_Toc151782179" w:id="8"/>
      <w:bookmarkStart w:name="_Toc158526219" w:id="9"/>
      <w:r w:rsidRPr="00983636">
        <w:rPr>
          <w:sz w:val="24"/>
        </w:rPr>
        <w:t>4. Efforts to Identify Duplication</w:t>
      </w:r>
      <w:bookmarkEnd w:id="8"/>
      <w:bookmarkEnd w:id="9"/>
    </w:p>
    <w:p w:rsidR="007E4359" w:rsidP="007E4359" w:rsidRDefault="00084DC6">
      <w:r>
        <w:t>There are no systems within the Agency collecting the same information.</w:t>
      </w:r>
    </w:p>
    <w:p w:rsidRPr="009069BF" w:rsidR="009069BF" w:rsidP="009069BF" w:rsidRDefault="009B633D">
      <w:pPr>
        <w:pStyle w:val="Heading2"/>
        <w:rPr>
          <w:sz w:val="24"/>
          <w:szCs w:val="24"/>
        </w:rPr>
      </w:pPr>
      <w:bookmarkStart w:name="_Toc151782180" w:id="10"/>
      <w:bookmarkStart w:name="_Toc158526220" w:id="11"/>
      <w:r w:rsidRPr="009069BF">
        <w:rPr>
          <w:sz w:val="24"/>
          <w:szCs w:val="24"/>
        </w:rPr>
        <w:t>5. Involvement of Small Entities</w:t>
      </w:r>
      <w:bookmarkEnd w:id="10"/>
      <w:bookmarkEnd w:id="11"/>
    </w:p>
    <w:p w:rsidR="009069BF" w:rsidP="009069BF" w:rsidRDefault="009069BF">
      <w:r>
        <w:t xml:space="preserve">We anticipate little or no impact on small business or other small entities.  The </w:t>
      </w:r>
      <w:r w:rsidR="0081032B">
        <w:t>AR</w:t>
      </w:r>
      <w:r w:rsidRPr="00FF67E8" w:rsidR="0081032B">
        <w:t>RS</w:t>
      </w:r>
      <w:r w:rsidR="0081032B">
        <w:t xml:space="preserve"> </w:t>
      </w:r>
      <w:r>
        <w:t>is int</w:t>
      </w:r>
      <w:r w:rsidR="00D84857">
        <w:t xml:space="preserve">ended for use by AHRQ personnel, </w:t>
      </w:r>
      <w:r>
        <w:t>grantees</w:t>
      </w:r>
      <w:r w:rsidR="00D84857">
        <w:t>, and vendors</w:t>
      </w:r>
      <w:r>
        <w:t>. The grantees</w:t>
      </w:r>
      <w:r w:rsidR="00D84857">
        <w:t xml:space="preserve"> and vendors</w:t>
      </w:r>
      <w:r>
        <w:t xml:space="preserve"> submit a progress report on a quarterly basis which are reviewed by AHRQ personnel.  Grantees </w:t>
      </w:r>
      <w:r w:rsidR="00D84857">
        <w:t xml:space="preserve">and vendors </w:t>
      </w:r>
      <w:r>
        <w:t>are instructed to submit only relevant information for the</w:t>
      </w:r>
      <w:r w:rsidR="000D0F3C">
        <w:t xml:space="preserve"> monthly or</w:t>
      </w:r>
      <w:r>
        <w:t xml:space="preserve"> quarterly reporting period and to skip those questions that are not applicable.  The information requested has been held to the absolute minimum required for AHRQ use.  </w:t>
      </w:r>
    </w:p>
    <w:p w:rsidRPr="00983636" w:rsidR="009B633D" w:rsidP="009B633D" w:rsidRDefault="00F60488">
      <w:pPr>
        <w:pStyle w:val="Heading2"/>
        <w:rPr>
          <w:sz w:val="24"/>
        </w:rPr>
      </w:pPr>
      <w:r w:rsidRPr="00F60488">
        <w:t xml:space="preserve"> </w:t>
      </w:r>
      <w:bookmarkStart w:name="_Toc151782181" w:id="12"/>
      <w:bookmarkStart w:name="_Toc158526221" w:id="13"/>
      <w:r w:rsidRPr="00983636" w:rsidR="009B633D">
        <w:rPr>
          <w:sz w:val="24"/>
        </w:rPr>
        <w:t>6. Consequences if Information Collected Less Frequently</w:t>
      </w:r>
      <w:bookmarkEnd w:id="12"/>
      <w:bookmarkEnd w:id="13"/>
    </w:p>
    <w:p w:rsidR="000C2864" w:rsidP="000C2864" w:rsidRDefault="000C2864">
      <w:bookmarkStart w:name="_Toc151782182" w:id="14"/>
      <w:bookmarkStart w:name="_Toc158526222" w:id="15"/>
      <w:r>
        <w:t>Collecting the</w:t>
      </w:r>
      <w:r w:rsidR="00180B12">
        <w:t xml:space="preserve"> monthly or</w:t>
      </w:r>
      <w:r>
        <w:t xml:space="preserve"> quarterly report data less frequently prohibits the Agency from capturing important information related to the life cycle of a</w:t>
      </w:r>
      <w:r>
        <w:rPr>
          <w:b/>
          <w:bCs/>
          <w:i/>
          <w:iCs/>
        </w:rPr>
        <w:t xml:space="preserve"> </w:t>
      </w:r>
      <w:r>
        <w:t>grant</w:t>
      </w:r>
      <w:r w:rsidR="00180B12">
        <w:t xml:space="preserve"> or contract</w:t>
      </w:r>
      <w:r>
        <w:t>.  Furthermore, the Agency would be unable to have the up-to-date information required to effectively respond to requests for information and to monitor the</w:t>
      </w:r>
      <w:r w:rsidR="00180B12">
        <w:t xml:space="preserve"> monthly contract progress report or</w:t>
      </w:r>
      <w:r>
        <w:t xml:space="preserve"> quarterly progress of a grant.</w:t>
      </w:r>
    </w:p>
    <w:p w:rsidR="009B633D" w:rsidP="002C2746" w:rsidRDefault="009B633D">
      <w:pPr>
        <w:pStyle w:val="Heading2"/>
      </w:pPr>
      <w:r w:rsidRPr="00412C6F">
        <w:rPr>
          <w:sz w:val="24"/>
        </w:rPr>
        <w:t>7. Special Circumstances</w:t>
      </w:r>
      <w:bookmarkEnd w:id="14"/>
      <w:bookmarkEnd w:id="15"/>
      <w:r w:rsidR="002C2746">
        <w:rPr>
          <w:sz w:val="24"/>
        </w:rPr>
        <w:br/>
      </w:r>
      <w:r w:rsidRPr="002C2746">
        <w:rPr>
          <w:rFonts w:ascii="Times New Roman" w:hAnsi="Times New Roman" w:cs="Times New Roman"/>
          <w:b w:val="0"/>
          <w:i w:val="0"/>
          <w:sz w:val="24"/>
          <w:szCs w:val="24"/>
        </w:rPr>
        <w:t>This request is consistent with the general information collection guidelines of 5 CFR 1320.5(d</w:t>
      </w:r>
      <w:proofErr w:type="gramStart"/>
      <w:r w:rsidRPr="002C2746">
        <w:rPr>
          <w:rFonts w:ascii="Times New Roman" w:hAnsi="Times New Roman" w:cs="Times New Roman"/>
          <w:b w:val="0"/>
          <w:i w:val="0"/>
          <w:sz w:val="24"/>
          <w:szCs w:val="24"/>
        </w:rPr>
        <w:t>)(</w:t>
      </w:r>
      <w:proofErr w:type="gramEnd"/>
      <w:r w:rsidRPr="002C2746">
        <w:rPr>
          <w:rFonts w:ascii="Times New Roman" w:hAnsi="Times New Roman" w:cs="Times New Roman"/>
          <w:b w:val="0"/>
          <w:i w:val="0"/>
          <w:sz w:val="24"/>
          <w:szCs w:val="24"/>
        </w:rPr>
        <w:t>2).  No special circumstances apply.</w:t>
      </w:r>
    </w:p>
    <w:p w:rsidR="004E3A1B" w:rsidP="004E3A1B" w:rsidRDefault="009B633D">
      <w:pPr>
        <w:pStyle w:val="Heading2"/>
        <w:rPr>
          <w:sz w:val="24"/>
          <w:szCs w:val="24"/>
        </w:rPr>
      </w:pPr>
      <w:bookmarkStart w:name="_Toc151782183" w:id="16"/>
      <w:bookmarkStart w:name="_Toc158526223" w:id="17"/>
      <w:r w:rsidRPr="00412C6F">
        <w:rPr>
          <w:sz w:val="24"/>
        </w:rPr>
        <w:t>8.</w:t>
      </w:r>
      <w:r w:rsidRPr="004E3A1B">
        <w:rPr>
          <w:sz w:val="24"/>
          <w:szCs w:val="24"/>
        </w:rPr>
        <w:t xml:space="preserve"> </w:t>
      </w:r>
      <w:bookmarkEnd w:id="16"/>
      <w:bookmarkEnd w:id="17"/>
      <w:r w:rsidRPr="004E3A1B" w:rsidR="004E3A1B">
        <w:rPr>
          <w:sz w:val="24"/>
          <w:szCs w:val="24"/>
        </w:rPr>
        <w:t>Federal Register Notice and Outside Consultations</w:t>
      </w:r>
    </w:p>
    <w:p w:rsidR="004E3A1B" w:rsidP="004E3A1B" w:rsidRDefault="004E3A1B"/>
    <w:p w:rsidR="00131443" w:rsidP="004E3A1B" w:rsidRDefault="004E3A1B">
      <w:pPr>
        <w:rPr>
          <w:rFonts w:ascii="Arial" w:hAnsi="Arial" w:cs="Arial"/>
          <w:b/>
          <w:bCs/>
          <w:i/>
          <w:iCs/>
        </w:rPr>
      </w:pPr>
      <w:proofErr w:type="gramStart"/>
      <w:r w:rsidRPr="004E3A1B">
        <w:rPr>
          <w:rFonts w:ascii="Arial" w:hAnsi="Arial" w:cs="Arial"/>
          <w:b/>
          <w:i/>
        </w:rPr>
        <w:t>8.a</w:t>
      </w:r>
      <w:proofErr w:type="gramEnd"/>
      <w:r w:rsidRPr="004E3A1B">
        <w:rPr>
          <w:rFonts w:ascii="Arial" w:hAnsi="Arial" w:cs="Arial"/>
          <w:b/>
          <w:i/>
        </w:rPr>
        <w:t>.</w:t>
      </w:r>
      <w:r>
        <w:t xml:space="preserve"> </w:t>
      </w:r>
      <w:r w:rsidRPr="004E3A1B">
        <w:rPr>
          <w:rFonts w:ascii="Arial" w:hAnsi="Arial" w:cs="Arial"/>
          <w:b/>
          <w:bCs/>
          <w:i/>
          <w:iCs/>
        </w:rPr>
        <w:t>Federal Register Notice</w:t>
      </w:r>
    </w:p>
    <w:p w:rsidR="00733720" w:rsidP="00733720" w:rsidRDefault="00A30D9A">
      <w:r>
        <w:t xml:space="preserve">As required by </w:t>
      </w:r>
      <w:r w:rsidR="0037771B">
        <w:t>5 CFR 1320.8(d), n</w:t>
      </w:r>
      <w:r w:rsidRPr="007B4120" w:rsidR="009374DF">
        <w:t>otice was publi</w:t>
      </w:r>
      <w:r w:rsidR="007E38B4">
        <w:t xml:space="preserve">shed in the Federal Register </w:t>
      </w:r>
      <w:r w:rsidR="004B5453">
        <w:t xml:space="preserve">on page </w:t>
      </w:r>
      <w:r w:rsidRPr="00034D55" w:rsidR="00397888">
        <w:rPr>
          <w:bCs/>
          <w:iCs/>
        </w:rPr>
        <w:t>12562</w:t>
      </w:r>
      <w:r w:rsidR="00F75E6A">
        <w:rPr>
          <w:bCs/>
          <w:iCs/>
        </w:rPr>
        <w:t>,</w:t>
      </w:r>
      <w:r w:rsidR="004B5453">
        <w:rPr>
          <w:bCs/>
          <w:iCs/>
        </w:rPr>
        <w:t xml:space="preserve"> volume</w:t>
      </w:r>
      <w:r w:rsidR="00CB7106">
        <w:rPr>
          <w:bCs/>
          <w:iCs/>
        </w:rPr>
        <w:t xml:space="preserve"> 85</w:t>
      </w:r>
      <w:r w:rsidR="00F75E6A">
        <w:rPr>
          <w:bCs/>
          <w:iCs/>
        </w:rPr>
        <w:t>, Number 42</w:t>
      </w:r>
      <w:r w:rsidR="004B5453">
        <w:rPr>
          <w:bCs/>
          <w:iCs/>
        </w:rPr>
        <w:t xml:space="preserve">, </w:t>
      </w:r>
      <w:r w:rsidRPr="00034D55" w:rsidR="00397888">
        <w:rPr>
          <w:bCs/>
          <w:iCs/>
        </w:rPr>
        <w:t>March 3, 2020</w:t>
      </w:r>
      <w:r w:rsidR="00397888">
        <w:rPr>
          <w:bCs/>
          <w:iCs/>
        </w:rPr>
        <w:t>,</w:t>
      </w:r>
      <w:r w:rsidRPr="00F64589" w:rsidR="00397888">
        <w:rPr>
          <w:bCs/>
          <w:iCs/>
        </w:rPr>
        <w:t xml:space="preserve"> and allowed </w:t>
      </w:r>
      <w:r w:rsidR="00397888">
        <w:rPr>
          <w:bCs/>
          <w:iCs/>
        </w:rPr>
        <w:t>60 days for public comment (see Attachment A).  AHRQ did not r</w:t>
      </w:r>
      <w:r w:rsidR="00875D5A">
        <w:rPr>
          <w:bCs/>
          <w:iCs/>
        </w:rPr>
        <w:t>eceive</w:t>
      </w:r>
      <w:bookmarkStart w:name="_GoBack" w:id="18"/>
      <w:bookmarkEnd w:id="18"/>
      <w:r w:rsidRPr="000B058E" w:rsidR="00397888">
        <w:rPr>
          <w:bCs/>
          <w:iCs/>
        </w:rPr>
        <w:t xml:space="preserve"> </w:t>
      </w:r>
      <w:r w:rsidR="00397888">
        <w:rPr>
          <w:bCs/>
          <w:iCs/>
        </w:rPr>
        <w:t>comments from the public during this period.</w:t>
      </w:r>
      <w:r w:rsidR="00397888">
        <w:t xml:space="preserve"> </w:t>
      </w:r>
    </w:p>
    <w:p w:rsidRPr="00412C6F" w:rsidR="009B633D" w:rsidP="009B633D" w:rsidRDefault="004E3A1B">
      <w:pPr>
        <w:pStyle w:val="Heading2"/>
        <w:rPr>
          <w:sz w:val="24"/>
        </w:rPr>
      </w:pPr>
      <w:proofErr w:type="gramStart"/>
      <w:r>
        <w:rPr>
          <w:sz w:val="24"/>
        </w:rPr>
        <w:t>8.b</w:t>
      </w:r>
      <w:proofErr w:type="gramEnd"/>
      <w:r>
        <w:rPr>
          <w:sz w:val="24"/>
        </w:rPr>
        <w:t xml:space="preserve">.  </w:t>
      </w:r>
      <w:r w:rsidRPr="004E3A1B">
        <w:rPr>
          <w:sz w:val="24"/>
          <w:szCs w:val="24"/>
        </w:rPr>
        <w:t>Outside Consultations</w:t>
      </w:r>
    </w:p>
    <w:p w:rsidRPr="004A62C3" w:rsidR="0037771B" w:rsidP="00FD174A" w:rsidRDefault="00FD174A">
      <w:pPr>
        <w:spacing w:after="240"/>
      </w:pPr>
      <w:bookmarkStart w:name="_Toc457285506" w:id="19"/>
      <w:bookmarkStart w:name="_Toc58725294" w:id="20"/>
      <w:bookmarkStart w:name="_Toc151782184" w:id="21"/>
      <w:bookmarkStart w:name="_Toc158526224" w:id="22"/>
      <w:r w:rsidRPr="004A62C3">
        <w:t xml:space="preserve">Joint meetings with representatives of the ACTION Network and the Patient Safety and Health Information Technology centers at the agency are held on a quarterly basis to discuss requirements and ongoing use of the reporting instrument.  End users of the system are included in these meetings via Web based teleconferencing to voice opinions and make suggestions related to content, format, update methods including frequency and prior period use, and instructions for use.  These results are used to develop change requests that are vetted through coordinating center personnel and project officers at the agency to establish requirements and system enhancements that are used to development </w:t>
      </w:r>
      <w:r w:rsidRPr="004A62C3">
        <w:lastRenderedPageBreak/>
        <w:t xml:space="preserve">subsequent releases of the system to satisfy immediate and long term goals of the program, </w:t>
      </w:r>
      <w:r w:rsidR="004A62C3">
        <w:t xml:space="preserve">end </w:t>
      </w:r>
      <w:r w:rsidRPr="004A62C3">
        <w:t>users and AHRQ</w:t>
      </w:r>
      <w:r w:rsidR="004A62C3">
        <w:t xml:space="preserve"> </w:t>
      </w:r>
      <w:r w:rsidR="009D751C">
        <w:t>Management</w:t>
      </w:r>
      <w:r w:rsidRPr="004A62C3">
        <w:t xml:space="preserve">.  Currently, there are no outstanding issues that require immediate </w:t>
      </w:r>
      <w:r w:rsidRPr="004A62C3" w:rsidR="004A62C3">
        <w:t xml:space="preserve">attention or resolution of differences related to data or content requested in the reporting instrument. </w:t>
      </w:r>
    </w:p>
    <w:p w:rsidRPr="00943DF2" w:rsidR="0038217D" w:rsidP="0038217D" w:rsidRDefault="009B633D">
      <w:pPr>
        <w:pStyle w:val="Heading2"/>
        <w:rPr>
          <w:sz w:val="24"/>
          <w:szCs w:val="24"/>
        </w:rPr>
      </w:pPr>
      <w:r w:rsidRPr="00943DF2">
        <w:rPr>
          <w:sz w:val="24"/>
          <w:szCs w:val="24"/>
        </w:rPr>
        <w:t>9. Payments/Gifts to Respondents</w:t>
      </w:r>
      <w:bookmarkEnd w:id="19"/>
      <w:bookmarkEnd w:id="20"/>
      <w:bookmarkEnd w:id="21"/>
      <w:bookmarkEnd w:id="22"/>
    </w:p>
    <w:p w:rsidRPr="003B198C" w:rsidR="00B915F1" w:rsidP="003B198C" w:rsidRDefault="00D87225">
      <w:r>
        <w:t xml:space="preserve">Respondents do not receive remuneration for submitting the </w:t>
      </w:r>
      <w:r w:rsidR="00180B12">
        <w:t xml:space="preserve">monthly or </w:t>
      </w:r>
      <w:r>
        <w:t>quarterly progress report.  This process is currently voluntary and grantees</w:t>
      </w:r>
      <w:r w:rsidR="00180B12">
        <w:t>/vendors</w:t>
      </w:r>
      <w:r>
        <w:t xml:space="preserve"> are not required to complete the </w:t>
      </w:r>
      <w:r w:rsidR="00180B12">
        <w:t>monthly/</w:t>
      </w:r>
      <w:r>
        <w:t>quarterly progress report form.</w:t>
      </w:r>
      <w:r w:rsidR="00180B12">
        <w:t xml:space="preserve"> </w:t>
      </w:r>
    </w:p>
    <w:p w:rsidRPr="00412C6F" w:rsidR="009B633D" w:rsidP="009B633D" w:rsidRDefault="009B633D">
      <w:pPr>
        <w:pStyle w:val="Heading2"/>
        <w:rPr>
          <w:sz w:val="24"/>
        </w:rPr>
      </w:pPr>
      <w:bookmarkStart w:name="_Toc151782185" w:id="23"/>
      <w:bookmarkStart w:name="_Toc158526225" w:id="24"/>
      <w:r w:rsidRPr="00412C6F">
        <w:rPr>
          <w:sz w:val="24"/>
        </w:rPr>
        <w:t>10. Assurance of Confidentiality</w:t>
      </w:r>
      <w:bookmarkEnd w:id="23"/>
      <w:bookmarkEnd w:id="24"/>
    </w:p>
    <w:p w:rsidR="008F0B8B" w:rsidP="008F0B8B" w:rsidRDefault="00BB2E78">
      <w:pPr>
        <w:autoSpaceDE w:val="0"/>
        <w:autoSpaceDN w:val="0"/>
        <w:adjustRightInd w:val="0"/>
      </w:pPr>
      <w:r>
        <w:t>Grantees</w:t>
      </w:r>
      <w:r w:rsidR="00180B12">
        <w:t xml:space="preserve"> and vendors</w:t>
      </w:r>
      <w:r w:rsidRPr="008C525E" w:rsidR="008F0B8B">
        <w:t xml:space="preserve"> will be assured of the confidentiality of their replies under Section 9</w:t>
      </w:r>
      <w:r w:rsidR="008121D8">
        <w:t>4</w:t>
      </w:r>
      <w:r w:rsidRPr="008C525E" w:rsidR="008F0B8B">
        <w:t xml:space="preserve">4(c) of the </w:t>
      </w:r>
      <w:r w:rsidR="008F0B8B">
        <w:t>Public Health Service Act, 42 U</w:t>
      </w:r>
      <w:r w:rsidR="008121D8">
        <w:t>.</w:t>
      </w:r>
      <w:r w:rsidR="008F0B8B">
        <w:t>S</w:t>
      </w:r>
      <w:r w:rsidR="008121D8">
        <w:t>.</w:t>
      </w:r>
      <w:r w:rsidR="008F0B8B">
        <w:t>C</w:t>
      </w:r>
      <w:r w:rsidR="008121D8">
        <w:t>.</w:t>
      </w:r>
      <w:r w:rsidR="008F0B8B">
        <w:t xml:space="preserve"> 299c-3(c).  </w:t>
      </w:r>
      <w:r w:rsidRPr="008121D8" w:rsidR="008121D8">
        <w:t>That law requires that information collected for research conducted or supported by AHRQ that identifies individuals or establishments be used only for the purpose for which it was supplied.</w:t>
      </w:r>
      <w:r w:rsidR="008F0B8B">
        <w:t xml:space="preserve"> </w:t>
      </w:r>
    </w:p>
    <w:p w:rsidRPr="00E01594" w:rsidR="00BB7136" w:rsidP="00E01594" w:rsidRDefault="009B633D">
      <w:pPr>
        <w:pStyle w:val="Heading2"/>
        <w:rPr>
          <w:rFonts w:ascii="Times New Roman" w:hAnsi="Times New Roman" w:cs="Times New Roman"/>
          <w:b w:val="0"/>
          <w:i w:val="0"/>
          <w:sz w:val="24"/>
          <w:szCs w:val="24"/>
        </w:rPr>
      </w:pPr>
      <w:bookmarkStart w:name="_Toc151782186" w:id="25"/>
      <w:bookmarkStart w:name="_Toc158526226" w:id="26"/>
      <w:r w:rsidRPr="00412C6F">
        <w:rPr>
          <w:sz w:val="24"/>
        </w:rPr>
        <w:t>11. Questions of a Sensitive Nature</w:t>
      </w:r>
      <w:bookmarkEnd w:id="25"/>
      <w:bookmarkEnd w:id="26"/>
      <w:r w:rsidR="00E01594">
        <w:rPr>
          <w:sz w:val="24"/>
        </w:rPr>
        <w:br/>
      </w:r>
      <w:r w:rsidRPr="00E01594" w:rsidR="00E01594">
        <w:rPr>
          <w:rFonts w:ascii="Times New Roman" w:hAnsi="Times New Roman" w:cs="Times New Roman"/>
          <w:b w:val="0"/>
          <w:i w:val="0"/>
          <w:sz w:val="24"/>
          <w:szCs w:val="24"/>
        </w:rPr>
        <w:t>No questions of a sensitive nature are anticipated under this clearance.</w:t>
      </w:r>
    </w:p>
    <w:p w:rsidRPr="00412C6F" w:rsidR="009B633D" w:rsidP="009B633D" w:rsidRDefault="009B633D">
      <w:pPr>
        <w:pStyle w:val="Heading2"/>
        <w:rPr>
          <w:sz w:val="24"/>
        </w:rPr>
      </w:pPr>
      <w:bookmarkStart w:name="_Toc151782187" w:id="27"/>
      <w:bookmarkStart w:name="_Toc158526227" w:id="28"/>
      <w:r w:rsidRPr="00412C6F">
        <w:rPr>
          <w:sz w:val="24"/>
        </w:rPr>
        <w:t>12. Estimates of Annualized Burden Hours and Costs</w:t>
      </w:r>
      <w:bookmarkEnd w:id="27"/>
      <w:bookmarkEnd w:id="28"/>
    </w:p>
    <w:p w:rsidR="00AA788A" w:rsidP="007D4F9F" w:rsidRDefault="00074665">
      <w:pPr>
        <w:rPr>
          <w:rStyle w:val="Strong"/>
          <w:b w:val="0"/>
        </w:rPr>
      </w:pPr>
      <w:r>
        <w:t xml:space="preserve">Exhibit 1 shows the estimated annualized burden hours for the respondents.  </w:t>
      </w:r>
      <w:r w:rsidR="00D63082">
        <w:rPr>
          <w:rStyle w:val="Strong"/>
          <w:b w:val="0"/>
        </w:rPr>
        <w:t>It wi</w:t>
      </w:r>
      <w:r w:rsidR="00FB2876">
        <w:rPr>
          <w:rStyle w:val="Strong"/>
          <w:b w:val="0"/>
        </w:rPr>
        <w:t>ll take grantees an estimated 15</w:t>
      </w:r>
      <w:r w:rsidR="00D63082">
        <w:rPr>
          <w:rStyle w:val="Strong"/>
          <w:b w:val="0"/>
        </w:rPr>
        <w:t xml:space="preserve"> minutes to enter the necessary data into the </w:t>
      </w:r>
      <w:r w:rsidR="0081032B">
        <w:t>AR</w:t>
      </w:r>
      <w:r w:rsidRPr="00FF67E8" w:rsidR="0081032B">
        <w:t>RS</w:t>
      </w:r>
      <w:r w:rsidR="0081032B">
        <w:rPr>
          <w:rStyle w:val="Strong"/>
          <w:b w:val="0"/>
        </w:rPr>
        <w:t xml:space="preserve"> </w:t>
      </w:r>
      <w:r w:rsidR="00D63082">
        <w:rPr>
          <w:rStyle w:val="Strong"/>
          <w:b w:val="0"/>
        </w:rPr>
        <w:t xml:space="preserve">System </w:t>
      </w:r>
      <w:r w:rsidR="00594F8D">
        <w:rPr>
          <w:rStyle w:val="Strong"/>
          <w:b w:val="0"/>
        </w:rPr>
        <w:t>and reporting will occur four</w:t>
      </w:r>
      <w:r w:rsidR="00D63082">
        <w:rPr>
          <w:rStyle w:val="Strong"/>
          <w:b w:val="0"/>
        </w:rPr>
        <w:t xml:space="preserve"> times annually.  The total annualized burd</w:t>
      </w:r>
      <w:r w:rsidR="00583255">
        <w:rPr>
          <w:rStyle w:val="Strong"/>
          <w:b w:val="0"/>
        </w:rPr>
        <w:t xml:space="preserve">en hours are estimated to be </w:t>
      </w:r>
      <w:r w:rsidR="00FB2876">
        <w:rPr>
          <w:rStyle w:val="Strong"/>
          <w:b w:val="0"/>
        </w:rPr>
        <w:t>500</w:t>
      </w:r>
      <w:r w:rsidR="00D63082">
        <w:rPr>
          <w:rStyle w:val="Strong"/>
          <w:b w:val="0"/>
        </w:rPr>
        <w:t xml:space="preserve"> hours.</w:t>
      </w:r>
    </w:p>
    <w:p w:rsidR="00D63082" w:rsidP="007D4F9F" w:rsidRDefault="00D63082">
      <w:pPr>
        <w:rPr>
          <w:rStyle w:val="Strong"/>
          <w:b w:val="0"/>
        </w:rPr>
      </w:pPr>
    </w:p>
    <w:p w:rsidRPr="00E7131D" w:rsidR="007C73C9" w:rsidP="007C73C9" w:rsidRDefault="007C73C9">
      <w:pPr>
        <w:rPr>
          <w:color w:val="000000"/>
        </w:rPr>
      </w:pPr>
      <w:r>
        <w:rPr>
          <w:color w:val="000000"/>
        </w:rPr>
        <w:t xml:space="preserve">Exhibit 2 shows the estimated annualized cost burden for the respondents.  The total estimated cost burden for respondents is </w:t>
      </w:r>
      <w:r>
        <w:t>$</w:t>
      </w:r>
      <w:r w:rsidR="007F556E">
        <w:t>20,105</w:t>
      </w:r>
      <w:r>
        <w:t>.</w:t>
      </w:r>
    </w:p>
    <w:p w:rsidRPr="00D63082" w:rsidR="00D63082" w:rsidP="007D4F9F" w:rsidRDefault="00D63082">
      <w:pPr>
        <w:rPr>
          <w:rStyle w:val="Strong"/>
          <w:b w:val="0"/>
        </w:rPr>
      </w:pPr>
    </w:p>
    <w:p w:rsidR="00414C80" w:rsidP="0029734C" w:rsidRDefault="00A41656">
      <w:r>
        <w:rPr>
          <w:b/>
          <w:bCs/>
          <w:color w:val="000000"/>
        </w:rPr>
        <w:t>Exhibit 1</w:t>
      </w:r>
      <w:r w:rsidR="009D4E81">
        <w:rPr>
          <w:b/>
          <w:bCs/>
          <w:color w:val="000000"/>
        </w:rPr>
        <w:t> </w:t>
      </w:r>
      <w:r w:rsidR="00414C80">
        <w:rPr>
          <w:b/>
          <w:bCs/>
          <w:color w:val="000000"/>
        </w:rPr>
        <w:t>Estimate</w:t>
      </w:r>
      <w:r w:rsidR="00037998">
        <w:rPr>
          <w:b/>
          <w:bCs/>
          <w:color w:val="000000"/>
        </w:rPr>
        <w:t>d annualized burden hours</w:t>
      </w:r>
    </w:p>
    <w:tbl>
      <w:tblPr>
        <w:tblW w:w="0" w:type="auto"/>
        <w:tblCellMar>
          <w:left w:w="0" w:type="dxa"/>
          <w:right w:w="0" w:type="dxa"/>
        </w:tblCellMar>
        <w:tblLook w:val="0000" w:firstRow="0" w:lastRow="0" w:firstColumn="0" w:lastColumn="0" w:noHBand="0" w:noVBand="0"/>
      </w:tblPr>
      <w:tblGrid>
        <w:gridCol w:w="2358"/>
        <w:gridCol w:w="1710"/>
        <w:gridCol w:w="1620"/>
        <w:gridCol w:w="1530"/>
        <w:gridCol w:w="1350"/>
      </w:tblGrid>
      <w:tr w:rsidR="00E97584" w:rsidTr="003B198C">
        <w:tc>
          <w:tcPr>
            <w:tcW w:w="235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00E97584" w:rsidP="009C4881" w:rsidRDefault="004C4A74">
            <w:pPr>
              <w:jc w:val="center"/>
            </w:pPr>
            <w:r>
              <w:rPr>
                <w:color w:val="000000"/>
                <w:sz w:val="20"/>
                <w:szCs w:val="20"/>
              </w:rPr>
              <w:t>Form Name</w:t>
            </w:r>
          </w:p>
        </w:tc>
        <w:tc>
          <w:tcPr>
            <w:tcW w:w="171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00E97584" w:rsidP="009C4881" w:rsidRDefault="00E97584">
            <w:pPr>
              <w:jc w:val="center"/>
            </w:pPr>
            <w:r>
              <w:rPr>
                <w:color w:val="000000"/>
                <w:sz w:val="20"/>
                <w:szCs w:val="20"/>
              </w:rPr>
              <w:t>Number of Respondents</w:t>
            </w:r>
          </w:p>
        </w:tc>
        <w:tc>
          <w:tcPr>
            <w:tcW w:w="162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E97584" w:rsidR="00E97584" w:rsidP="009C4881" w:rsidRDefault="00E97584">
            <w:pPr>
              <w:jc w:val="center"/>
              <w:rPr>
                <w:sz w:val="20"/>
                <w:szCs w:val="20"/>
              </w:rPr>
            </w:pPr>
            <w:r w:rsidRPr="00E97584">
              <w:rPr>
                <w:sz w:val="20"/>
                <w:szCs w:val="20"/>
              </w:rPr>
              <w:t>Number of responses per respondent</w:t>
            </w:r>
          </w:p>
        </w:tc>
        <w:tc>
          <w:tcPr>
            <w:tcW w:w="1530" w:type="dxa"/>
            <w:tcBorders>
              <w:top w:val="single" w:color="auto" w:sz="8" w:space="0"/>
              <w:left w:val="nil"/>
              <w:bottom w:val="single" w:color="auto" w:sz="8" w:space="0"/>
              <w:right w:val="single" w:color="auto" w:sz="8" w:space="0"/>
            </w:tcBorders>
            <w:vAlign w:val="center"/>
          </w:tcPr>
          <w:p w:rsidR="00E97584" w:rsidP="009C4881" w:rsidRDefault="00B238AD">
            <w:pPr>
              <w:jc w:val="center"/>
            </w:pPr>
            <w:r>
              <w:rPr>
                <w:color w:val="000000"/>
                <w:sz w:val="20"/>
                <w:szCs w:val="20"/>
              </w:rPr>
              <w:t>Hours per response</w:t>
            </w:r>
          </w:p>
        </w:tc>
        <w:tc>
          <w:tcPr>
            <w:tcW w:w="13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00E97584" w:rsidP="009C4881" w:rsidRDefault="00E97584">
            <w:pPr>
              <w:jc w:val="center"/>
            </w:pPr>
            <w:r>
              <w:rPr>
                <w:color w:val="000000"/>
                <w:sz w:val="20"/>
                <w:szCs w:val="20"/>
              </w:rPr>
              <w:t>Total Burden hours</w:t>
            </w:r>
          </w:p>
        </w:tc>
      </w:tr>
      <w:tr w:rsidR="00E97584" w:rsidTr="003B198C">
        <w:tc>
          <w:tcPr>
            <w:tcW w:w="235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00E97584" w:rsidRDefault="00B22EDA">
            <w:r>
              <w:t xml:space="preserve">Data entry into </w:t>
            </w:r>
            <w:r w:rsidR="008066FE">
              <w:t>AR</w:t>
            </w:r>
            <w:r w:rsidRPr="00FF67E8" w:rsidR="008066FE">
              <w:t>RS</w:t>
            </w:r>
          </w:p>
        </w:tc>
        <w:tc>
          <w:tcPr>
            <w:tcW w:w="17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82BA8" w:rsidR="00E97584" w:rsidP="00E97584" w:rsidRDefault="00B22EDA">
            <w:pPr>
              <w:jc w:val="center"/>
            </w:pPr>
            <w:r w:rsidRPr="00982BA8">
              <w:t>500</w:t>
            </w:r>
          </w:p>
        </w:tc>
        <w:tc>
          <w:tcPr>
            <w:tcW w:w="16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82BA8" w:rsidR="00E97584" w:rsidP="00E97584" w:rsidRDefault="00583255">
            <w:pPr>
              <w:jc w:val="center"/>
            </w:pPr>
            <w:r w:rsidRPr="00982BA8">
              <w:t>4</w:t>
            </w:r>
          </w:p>
        </w:tc>
        <w:tc>
          <w:tcPr>
            <w:tcW w:w="1530" w:type="dxa"/>
            <w:tcBorders>
              <w:top w:val="nil"/>
              <w:left w:val="nil"/>
              <w:bottom w:val="single" w:color="auto" w:sz="8" w:space="0"/>
              <w:right w:val="single" w:color="auto" w:sz="8" w:space="0"/>
            </w:tcBorders>
            <w:vAlign w:val="center"/>
          </w:tcPr>
          <w:p w:rsidRPr="00982BA8" w:rsidR="00E97584" w:rsidP="00E97584" w:rsidRDefault="00FB2876">
            <w:pPr>
              <w:jc w:val="center"/>
            </w:pPr>
            <w:r>
              <w:t>15</w:t>
            </w:r>
            <w:r w:rsidRPr="00982BA8" w:rsidR="00B22EDA">
              <w:t>/60</w:t>
            </w:r>
          </w:p>
        </w:tc>
        <w:tc>
          <w:tcPr>
            <w:tcW w:w="13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82BA8" w:rsidR="00E97584" w:rsidP="00E97584" w:rsidRDefault="00FB2876">
            <w:pPr>
              <w:jc w:val="center"/>
            </w:pPr>
            <w:r>
              <w:t>500</w:t>
            </w:r>
          </w:p>
        </w:tc>
      </w:tr>
      <w:tr w:rsidR="00E97584" w:rsidTr="003B198C">
        <w:tc>
          <w:tcPr>
            <w:tcW w:w="235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00E97584" w:rsidRDefault="00E97584">
            <w:r>
              <w:rPr>
                <w:b/>
                <w:bCs/>
                <w:color w:val="000000"/>
                <w:sz w:val="20"/>
                <w:szCs w:val="20"/>
              </w:rPr>
              <w:t>Total</w:t>
            </w:r>
          </w:p>
        </w:tc>
        <w:tc>
          <w:tcPr>
            <w:tcW w:w="17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82BA8" w:rsidR="00E97584" w:rsidP="00E97584" w:rsidRDefault="00B22EDA">
            <w:pPr>
              <w:jc w:val="center"/>
            </w:pPr>
            <w:r w:rsidRPr="00982BA8">
              <w:t>500</w:t>
            </w:r>
          </w:p>
        </w:tc>
        <w:tc>
          <w:tcPr>
            <w:tcW w:w="16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82BA8" w:rsidR="00E97584" w:rsidP="00E97584" w:rsidRDefault="00982BA8">
            <w:pPr>
              <w:jc w:val="center"/>
            </w:pPr>
            <w:r>
              <w:t>N/A</w:t>
            </w:r>
          </w:p>
        </w:tc>
        <w:tc>
          <w:tcPr>
            <w:tcW w:w="1530" w:type="dxa"/>
            <w:tcBorders>
              <w:top w:val="nil"/>
              <w:left w:val="nil"/>
              <w:bottom w:val="single" w:color="auto" w:sz="8" w:space="0"/>
              <w:right w:val="single" w:color="auto" w:sz="8" w:space="0"/>
            </w:tcBorders>
          </w:tcPr>
          <w:p w:rsidRPr="00982BA8" w:rsidR="00E97584" w:rsidP="00E97584" w:rsidRDefault="00982BA8">
            <w:pPr>
              <w:jc w:val="center"/>
              <w:rPr>
                <w:bCs/>
                <w:color w:val="000000"/>
              </w:rPr>
            </w:pPr>
            <w:r>
              <w:rPr>
                <w:bCs/>
                <w:color w:val="000000"/>
              </w:rPr>
              <w:t>N/A</w:t>
            </w:r>
          </w:p>
        </w:tc>
        <w:tc>
          <w:tcPr>
            <w:tcW w:w="13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82BA8" w:rsidR="00E97584" w:rsidP="00E97584" w:rsidRDefault="00FB2876">
            <w:pPr>
              <w:jc w:val="center"/>
            </w:pPr>
            <w:r>
              <w:t>500</w:t>
            </w:r>
          </w:p>
        </w:tc>
      </w:tr>
    </w:tbl>
    <w:p w:rsidR="00414C80" w:rsidP="00414C80" w:rsidRDefault="00414C80">
      <w:r>
        <w:t> </w:t>
      </w:r>
    </w:p>
    <w:p w:rsidR="00037998" w:rsidP="00414C80" w:rsidRDefault="00A41656">
      <w:pPr>
        <w:rPr>
          <w:b/>
        </w:rPr>
      </w:pPr>
      <w:r>
        <w:rPr>
          <w:b/>
        </w:rPr>
        <w:t>Exhibit 2</w:t>
      </w:r>
      <w:r w:rsidRPr="00037998" w:rsidR="00037998">
        <w:rPr>
          <w:b/>
        </w:rPr>
        <w:t xml:space="preserve"> Estimated annualized cost burden</w:t>
      </w:r>
    </w:p>
    <w:tbl>
      <w:tblPr>
        <w:tblW w:w="0" w:type="auto"/>
        <w:tblCellMar>
          <w:left w:w="0" w:type="dxa"/>
          <w:right w:w="0" w:type="dxa"/>
        </w:tblCellMar>
        <w:tblLook w:val="0000" w:firstRow="0" w:lastRow="0" w:firstColumn="0" w:lastColumn="0" w:noHBand="0" w:noVBand="0"/>
      </w:tblPr>
      <w:tblGrid>
        <w:gridCol w:w="2302"/>
        <w:gridCol w:w="1693"/>
        <w:gridCol w:w="1590"/>
        <w:gridCol w:w="1506"/>
        <w:gridCol w:w="1529"/>
      </w:tblGrid>
      <w:tr w:rsidR="003C60BD" w:rsidTr="003B198C">
        <w:tc>
          <w:tcPr>
            <w:tcW w:w="235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003C60BD" w:rsidP="009C4881" w:rsidRDefault="004C4A74">
            <w:pPr>
              <w:jc w:val="center"/>
            </w:pPr>
            <w:r>
              <w:rPr>
                <w:color w:val="000000"/>
                <w:sz w:val="20"/>
                <w:szCs w:val="20"/>
              </w:rPr>
              <w:t>Form Name</w:t>
            </w:r>
          </w:p>
        </w:tc>
        <w:tc>
          <w:tcPr>
            <w:tcW w:w="171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003C60BD" w:rsidP="009C4881" w:rsidRDefault="003C60BD">
            <w:pPr>
              <w:jc w:val="center"/>
            </w:pPr>
            <w:r>
              <w:rPr>
                <w:color w:val="000000"/>
                <w:sz w:val="20"/>
                <w:szCs w:val="20"/>
              </w:rPr>
              <w:t>Number of Respondents</w:t>
            </w:r>
          </w:p>
        </w:tc>
        <w:tc>
          <w:tcPr>
            <w:tcW w:w="162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003C60BD" w:rsidP="009C4881" w:rsidRDefault="003C60BD">
            <w:pPr>
              <w:jc w:val="center"/>
            </w:pPr>
            <w:r>
              <w:rPr>
                <w:color w:val="000000"/>
                <w:sz w:val="20"/>
                <w:szCs w:val="20"/>
              </w:rPr>
              <w:t>Total Burden hours</w:t>
            </w:r>
          </w:p>
        </w:tc>
        <w:tc>
          <w:tcPr>
            <w:tcW w:w="153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003C60BD" w:rsidP="009C4881" w:rsidRDefault="003C60BD">
            <w:pPr>
              <w:jc w:val="center"/>
            </w:pPr>
            <w:r>
              <w:rPr>
                <w:color w:val="000000"/>
                <w:sz w:val="20"/>
                <w:szCs w:val="20"/>
              </w:rPr>
              <w:t>Average Hourly Wage Rate*</w:t>
            </w:r>
          </w:p>
        </w:tc>
        <w:tc>
          <w:tcPr>
            <w:tcW w:w="155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003C60BD" w:rsidP="009C4881" w:rsidRDefault="00F3207F">
            <w:pPr>
              <w:jc w:val="center"/>
            </w:pPr>
            <w:r>
              <w:rPr>
                <w:color w:val="000000"/>
                <w:sz w:val="20"/>
                <w:szCs w:val="20"/>
              </w:rPr>
              <w:t xml:space="preserve">Total  </w:t>
            </w:r>
            <w:r w:rsidR="003C60BD">
              <w:rPr>
                <w:color w:val="000000"/>
                <w:sz w:val="20"/>
                <w:szCs w:val="20"/>
              </w:rPr>
              <w:t>Cost Burden</w:t>
            </w:r>
          </w:p>
        </w:tc>
      </w:tr>
      <w:tr w:rsidR="003C60BD" w:rsidTr="003B198C">
        <w:tc>
          <w:tcPr>
            <w:tcW w:w="235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003C60BD" w:rsidP="009D3DBB" w:rsidRDefault="00263DA7">
            <w:r>
              <w:t xml:space="preserve">Data entry into </w:t>
            </w:r>
            <w:r w:rsidR="008066FE">
              <w:t>AR</w:t>
            </w:r>
            <w:r w:rsidRPr="00FF67E8" w:rsidR="008066FE">
              <w:t>RS</w:t>
            </w:r>
          </w:p>
        </w:tc>
        <w:tc>
          <w:tcPr>
            <w:tcW w:w="17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82BA8" w:rsidR="003C60BD" w:rsidP="003C60BD" w:rsidRDefault="00263DA7">
            <w:pPr>
              <w:jc w:val="center"/>
            </w:pPr>
            <w:r w:rsidRPr="00982BA8">
              <w:t>500</w:t>
            </w:r>
          </w:p>
        </w:tc>
        <w:tc>
          <w:tcPr>
            <w:tcW w:w="16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82BA8" w:rsidR="003C60BD" w:rsidP="003C60BD" w:rsidRDefault="00FB2876">
            <w:pPr>
              <w:jc w:val="center"/>
            </w:pPr>
            <w:r>
              <w:t>500</w:t>
            </w:r>
          </w:p>
        </w:tc>
        <w:tc>
          <w:tcPr>
            <w:tcW w:w="15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82BA8" w:rsidR="003C60BD" w:rsidP="007F556E" w:rsidRDefault="00097FD1">
            <w:pPr>
              <w:jc w:val="center"/>
            </w:pPr>
            <w:r w:rsidRPr="00982BA8">
              <w:t xml:space="preserve"> </w:t>
            </w:r>
            <w:r w:rsidR="007F556E">
              <w:t>40.21</w:t>
            </w:r>
          </w:p>
        </w:tc>
        <w:tc>
          <w:tcPr>
            <w:tcW w:w="15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82BA8" w:rsidR="003C60BD" w:rsidP="00FB2876" w:rsidRDefault="007C73C9">
            <w:pPr>
              <w:jc w:val="center"/>
            </w:pPr>
            <w:r w:rsidRPr="00982BA8">
              <w:t>$</w:t>
            </w:r>
            <w:r w:rsidR="007F556E">
              <w:t>20,105</w:t>
            </w:r>
          </w:p>
        </w:tc>
      </w:tr>
      <w:tr w:rsidR="003C60BD" w:rsidTr="003B198C">
        <w:tc>
          <w:tcPr>
            <w:tcW w:w="235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003C60BD" w:rsidP="009D3DBB" w:rsidRDefault="003C60BD">
            <w:r>
              <w:rPr>
                <w:b/>
                <w:bCs/>
                <w:color w:val="000000"/>
                <w:sz w:val="20"/>
                <w:szCs w:val="20"/>
              </w:rPr>
              <w:t>Total</w:t>
            </w:r>
          </w:p>
        </w:tc>
        <w:tc>
          <w:tcPr>
            <w:tcW w:w="171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82BA8" w:rsidR="003C60BD" w:rsidP="003C60BD" w:rsidRDefault="00C9212A">
            <w:pPr>
              <w:jc w:val="center"/>
            </w:pPr>
            <w:r w:rsidRPr="00982BA8">
              <w:t>500</w:t>
            </w:r>
          </w:p>
        </w:tc>
        <w:tc>
          <w:tcPr>
            <w:tcW w:w="162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82BA8" w:rsidR="003C60BD" w:rsidP="003C60BD" w:rsidRDefault="00FB2876">
            <w:pPr>
              <w:jc w:val="center"/>
            </w:pPr>
            <w:r>
              <w:t>500</w:t>
            </w:r>
          </w:p>
        </w:tc>
        <w:tc>
          <w:tcPr>
            <w:tcW w:w="15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82BA8" w:rsidR="003C60BD" w:rsidP="003C60BD" w:rsidRDefault="00982BA8">
            <w:pPr>
              <w:jc w:val="center"/>
            </w:pPr>
            <w:r w:rsidRPr="00982BA8">
              <w:t>N/A</w:t>
            </w:r>
          </w:p>
        </w:tc>
        <w:tc>
          <w:tcPr>
            <w:tcW w:w="15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82BA8" w:rsidR="003C60BD" w:rsidP="00FB2876" w:rsidRDefault="009F5E6A">
            <w:pPr>
              <w:jc w:val="center"/>
            </w:pPr>
            <w:r w:rsidRPr="00982BA8">
              <w:t>$</w:t>
            </w:r>
            <w:r w:rsidR="007F556E">
              <w:t>20,105</w:t>
            </w:r>
          </w:p>
        </w:tc>
      </w:tr>
    </w:tbl>
    <w:p w:rsidR="00BD3346" w:rsidP="00C64859" w:rsidRDefault="00BD3346">
      <w:pPr>
        <w:rPr>
          <w:color w:val="000000"/>
          <w:sz w:val="20"/>
          <w:szCs w:val="20"/>
        </w:rPr>
      </w:pPr>
      <w:bookmarkStart w:name="_Toc151782188" w:id="29"/>
      <w:bookmarkStart w:name="_Toc158526228" w:id="30"/>
    </w:p>
    <w:p w:rsidR="00BD3346" w:rsidP="00C64859" w:rsidRDefault="00BD3346">
      <w:pPr>
        <w:rPr>
          <w:color w:val="000000"/>
          <w:sz w:val="20"/>
          <w:szCs w:val="20"/>
        </w:rPr>
      </w:pPr>
    </w:p>
    <w:p w:rsidRPr="003B198C" w:rsidR="006F20AA" w:rsidP="00C64859" w:rsidRDefault="00BD3346">
      <w:pPr>
        <w:rPr>
          <w:sz w:val="20"/>
          <w:szCs w:val="20"/>
        </w:rPr>
      </w:pPr>
      <w:r w:rsidRPr="003B198C">
        <w:rPr>
          <w:color w:val="000000"/>
          <w:sz w:val="20"/>
          <w:szCs w:val="20"/>
        </w:rPr>
        <w:t>*Based upon the average wages for</w:t>
      </w:r>
      <w:r w:rsidRPr="003B198C">
        <w:rPr>
          <w:rFonts w:ascii="Tahoma" w:hAnsi="Tahoma" w:cs="Tahoma"/>
          <w:color w:val="505050"/>
          <w:sz w:val="20"/>
          <w:szCs w:val="20"/>
        </w:rPr>
        <w:t xml:space="preserve"> </w:t>
      </w:r>
      <w:r w:rsidRPr="003B198C">
        <w:rPr>
          <w:color w:val="000000"/>
          <w:sz w:val="20"/>
          <w:szCs w:val="20"/>
        </w:rPr>
        <w:t>Healthcare Practitioner and Technical Occupations (29-0000), “National Compensation Survey: Occupational Wages in the United States, May 20</w:t>
      </w:r>
      <w:r w:rsidRPr="003B198C" w:rsidR="006B2BCF">
        <w:rPr>
          <w:color w:val="000000"/>
          <w:sz w:val="20"/>
          <w:szCs w:val="20"/>
        </w:rPr>
        <w:t>1</w:t>
      </w:r>
      <w:r w:rsidR="007F556E">
        <w:rPr>
          <w:color w:val="000000"/>
          <w:sz w:val="20"/>
          <w:szCs w:val="20"/>
        </w:rPr>
        <w:t>9</w:t>
      </w:r>
      <w:r w:rsidRPr="003B198C">
        <w:rPr>
          <w:color w:val="000000"/>
          <w:sz w:val="20"/>
          <w:szCs w:val="20"/>
        </w:rPr>
        <w:t>,” U.S. Department of Labor, Bureau of Labor Statistics</w:t>
      </w:r>
      <w:r w:rsidRPr="003B198C" w:rsidR="006F20AA">
        <w:rPr>
          <w:color w:val="000000"/>
          <w:sz w:val="20"/>
          <w:szCs w:val="20"/>
        </w:rPr>
        <w:t xml:space="preserve">, </w:t>
      </w:r>
      <w:hyperlink w:history="1" w:anchor="29-0000" r:id="rId8">
        <w:r w:rsidRPr="004E24E3" w:rsidR="007F556E">
          <w:rPr>
            <w:rStyle w:val="Hyperlink"/>
            <w:sz w:val="20"/>
            <w:szCs w:val="20"/>
          </w:rPr>
          <w:t>http://www.bls.gov/oes/current/oes_nat.htm#29-0000</w:t>
        </w:r>
      </w:hyperlink>
      <w:r w:rsidRPr="003B198C" w:rsidR="006F20AA">
        <w:rPr>
          <w:sz w:val="20"/>
          <w:szCs w:val="20"/>
        </w:rPr>
        <w:t>.</w:t>
      </w:r>
    </w:p>
    <w:p w:rsidR="00BD3346" w:rsidP="00C64859" w:rsidRDefault="00BD3346">
      <w:pPr>
        <w:rPr>
          <w:color w:val="000000"/>
          <w:sz w:val="20"/>
          <w:szCs w:val="20"/>
        </w:rPr>
      </w:pPr>
    </w:p>
    <w:p w:rsidRPr="00E53F0D" w:rsidR="009B633D" w:rsidP="00C9212A" w:rsidRDefault="009B633D">
      <w:pPr>
        <w:rPr>
          <w:b/>
        </w:rPr>
      </w:pPr>
      <w:r w:rsidRPr="00E53F0D">
        <w:rPr>
          <w:b/>
        </w:rPr>
        <w:lastRenderedPageBreak/>
        <w:t>13. Estimates of Annualized Respondent Capital and Maintenance Costs</w:t>
      </w:r>
      <w:bookmarkEnd w:id="29"/>
      <w:bookmarkEnd w:id="30"/>
    </w:p>
    <w:p w:rsidR="00E14FC3" w:rsidP="00C205C8" w:rsidRDefault="00B762E0">
      <w:pPr>
        <w:spacing w:before="120"/>
      </w:pPr>
      <w:r>
        <w:t xml:space="preserve">Capital and maintenance costs include the purchase of </w:t>
      </w:r>
      <w:r w:rsidR="00C205C8">
        <w:t xml:space="preserve">equipment, </w:t>
      </w:r>
      <w:r>
        <w:t>computer</w:t>
      </w:r>
      <w:r w:rsidR="00C205C8">
        <w:t>s or computer software or services, or storage facilities for records, as a result of complying with this data collection.  T</w:t>
      </w:r>
      <w:r w:rsidR="0080612B">
        <w:t xml:space="preserve">here are no direct costs to </w:t>
      </w:r>
      <w:r w:rsidR="001E6B42">
        <w:t>grantees</w:t>
      </w:r>
      <w:r w:rsidR="0080612B">
        <w:t xml:space="preserve"> other than their </w:t>
      </w:r>
      <w:r w:rsidR="001E6B42">
        <w:t xml:space="preserve">time to enter data into the </w:t>
      </w:r>
      <w:r w:rsidR="008066FE">
        <w:t>AR</w:t>
      </w:r>
      <w:r w:rsidRPr="00FF67E8" w:rsidR="008066FE">
        <w:t>RS</w:t>
      </w:r>
      <w:r w:rsidR="0080612B">
        <w:t>.</w:t>
      </w:r>
    </w:p>
    <w:p w:rsidRPr="00412C6F" w:rsidR="00223959" w:rsidP="00223959" w:rsidRDefault="00223959">
      <w:pPr>
        <w:pStyle w:val="Heading2"/>
        <w:rPr>
          <w:sz w:val="24"/>
        </w:rPr>
      </w:pPr>
      <w:bookmarkStart w:name="_Toc58725299" w:id="31"/>
      <w:bookmarkStart w:name="_Toc151782189" w:id="32"/>
      <w:bookmarkStart w:name="_Toc158526229" w:id="33"/>
      <w:bookmarkStart w:name="_Toc151782191" w:id="34"/>
      <w:bookmarkStart w:name="_Toc158526231" w:id="35"/>
      <w:r w:rsidRPr="00412C6F">
        <w:rPr>
          <w:sz w:val="24"/>
        </w:rPr>
        <w:t>14. Estimates of Annualized Cost to the Government</w:t>
      </w:r>
      <w:bookmarkEnd w:id="31"/>
      <w:bookmarkEnd w:id="32"/>
      <w:bookmarkEnd w:id="33"/>
    </w:p>
    <w:p w:rsidRPr="00B458AE" w:rsidR="00C62FB3" w:rsidP="00303A67" w:rsidRDefault="00B458AE">
      <w:r w:rsidRPr="00B458AE">
        <w:t xml:space="preserve">The </w:t>
      </w:r>
      <w:r w:rsidR="0081032B">
        <w:t>AR</w:t>
      </w:r>
      <w:r w:rsidRPr="00FF67E8" w:rsidR="0081032B">
        <w:t>RS</w:t>
      </w:r>
      <w:r w:rsidRPr="00B458AE" w:rsidR="0081032B">
        <w:t xml:space="preserve"> </w:t>
      </w:r>
      <w:r w:rsidRPr="00B458AE">
        <w:t xml:space="preserve">data is reviewed and approved by the designated </w:t>
      </w:r>
      <w:r w:rsidR="005D43E2">
        <w:t>AHRQ</w:t>
      </w:r>
      <w:r w:rsidRPr="00B458AE">
        <w:t xml:space="preserve"> Project Officer that monitors the program.  The average hourly salary for the position of </w:t>
      </w:r>
      <w:r w:rsidR="00BB2BF2">
        <w:t xml:space="preserve">Medical Officer, General Health Science, </w:t>
      </w:r>
      <w:r w:rsidR="002F6653">
        <w:t>and Social Science</w:t>
      </w:r>
      <w:r w:rsidRPr="00B458AE">
        <w:t xml:space="preserve"> at the GS-1</w:t>
      </w:r>
      <w:r w:rsidR="00BB2BF2">
        <w:t>5</w:t>
      </w:r>
      <w:r w:rsidRPr="00B458AE">
        <w:t xml:space="preserve">-Step </w:t>
      </w:r>
      <w:r w:rsidR="00BB2BF2">
        <w:t>10</w:t>
      </w:r>
      <w:r w:rsidR="002F6653">
        <w:t xml:space="preserve"> </w:t>
      </w:r>
      <w:r w:rsidRPr="00B458AE">
        <w:t>grade level is $</w:t>
      </w:r>
      <w:r w:rsidR="00FB2876">
        <w:t>81.84</w:t>
      </w:r>
      <w:r w:rsidRPr="00B458AE">
        <w:t xml:space="preserve"> per hour.  </w:t>
      </w:r>
      <w:r w:rsidRPr="00B458AE" w:rsidR="002F6653">
        <w:t xml:space="preserve">The average hourly salary for the position of </w:t>
      </w:r>
      <w:r w:rsidR="002F6653">
        <w:t xml:space="preserve">Medical Officer, General Health Science, </w:t>
      </w:r>
      <w:r w:rsidR="00B34636">
        <w:t>and Social</w:t>
      </w:r>
      <w:r w:rsidR="002F6653">
        <w:t xml:space="preserve"> Science</w:t>
      </w:r>
      <w:r w:rsidRPr="00B458AE" w:rsidR="002F6653">
        <w:t xml:space="preserve"> at the GS-1</w:t>
      </w:r>
      <w:r w:rsidR="002F6653">
        <w:t>4</w:t>
      </w:r>
      <w:r w:rsidRPr="00B458AE" w:rsidR="002F6653">
        <w:t xml:space="preserve">-Step </w:t>
      </w:r>
      <w:r w:rsidR="002F6653">
        <w:t xml:space="preserve">9 </w:t>
      </w:r>
      <w:r w:rsidRPr="00B458AE" w:rsidR="002F6653">
        <w:t>grade level is $</w:t>
      </w:r>
      <w:r w:rsidR="00FB2876">
        <w:t>73.63</w:t>
      </w:r>
      <w:r w:rsidRPr="00B458AE" w:rsidR="006C0DA9">
        <w:t xml:space="preserve"> </w:t>
      </w:r>
      <w:r w:rsidRPr="00B458AE" w:rsidR="002F6653">
        <w:t>per hour. The average hourly salary for the position of</w:t>
      </w:r>
      <w:r w:rsidR="002F6653">
        <w:t xml:space="preserve"> Management and Program Analysis </w:t>
      </w:r>
      <w:r w:rsidRPr="00B458AE" w:rsidR="002F6653">
        <w:t>at the GS-</w:t>
      </w:r>
      <w:r w:rsidR="002F6653">
        <w:t>12</w:t>
      </w:r>
      <w:r w:rsidRPr="00B458AE" w:rsidR="002F6653">
        <w:t xml:space="preserve">-Step </w:t>
      </w:r>
      <w:r w:rsidR="002F6653">
        <w:t xml:space="preserve">3 </w:t>
      </w:r>
      <w:r w:rsidRPr="00B458AE" w:rsidR="002F6653">
        <w:t>grade level is $</w:t>
      </w:r>
      <w:r w:rsidR="000F668D">
        <w:t>44.13</w:t>
      </w:r>
      <w:r w:rsidRPr="00B458AE" w:rsidR="002F6653">
        <w:t xml:space="preserve"> per hour.  </w:t>
      </w:r>
      <w:r w:rsidRPr="00303A67" w:rsidR="00303A67">
        <w:rPr>
          <w:snapToGrid w:val="0"/>
          <w:szCs w:val="20"/>
        </w:rPr>
        <w:t>The estimated annual cost to the federal government is $</w:t>
      </w:r>
      <w:r w:rsidR="000F668D">
        <w:rPr>
          <w:snapToGrid w:val="0"/>
          <w:szCs w:val="20"/>
        </w:rPr>
        <w:t>9,112.44</w:t>
      </w:r>
      <w:r w:rsidRPr="00B458AE" w:rsidR="002F6653">
        <w:t xml:space="preserve"> </w:t>
      </w:r>
      <w:r w:rsidRPr="00B458AE">
        <w:t xml:space="preserve">The Federal hourly salary information is available on the OPM web site at </w:t>
      </w:r>
      <w:r w:rsidRPr="000F668D" w:rsidR="000F668D">
        <w:rPr>
          <w:sz w:val="20"/>
          <w:szCs w:val="20"/>
        </w:rPr>
        <w:t>https://www.opm.gov/policy-data-oversight/pay-leave/salaries-wages/salary-tables/20Tables/html/DCB_h.aspx</w:t>
      </w:r>
    </w:p>
    <w:p w:rsidRPr="00B458AE" w:rsidR="00B458AE" w:rsidP="00B458AE" w:rsidRDefault="00B458AE"/>
    <w:tbl>
      <w:tblPr>
        <w:tblW w:w="9143" w:type="dxa"/>
        <w:jc w:val="center"/>
        <w:tblLayout w:type="fixed"/>
        <w:tblCellMar>
          <w:left w:w="100" w:type="dxa"/>
          <w:right w:w="100" w:type="dxa"/>
        </w:tblCellMar>
        <w:tblLook w:val="04A0" w:firstRow="1" w:lastRow="0" w:firstColumn="1" w:lastColumn="0" w:noHBand="0" w:noVBand="1"/>
      </w:tblPr>
      <w:tblGrid>
        <w:gridCol w:w="2250"/>
        <w:gridCol w:w="1440"/>
        <w:gridCol w:w="1620"/>
        <w:gridCol w:w="1980"/>
        <w:gridCol w:w="1853"/>
      </w:tblGrid>
      <w:tr w:rsidRPr="00B458AE" w:rsidR="00B458AE" w:rsidTr="00AB3A59">
        <w:trPr>
          <w:cantSplit/>
          <w:trHeight w:val="403"/>
          <w:jc w:val="center"/>
        </w:trPr>
        <w:tc>
          <w:tcPr>
            <w:tcW w:w="2250" w:type="dxa"/>
            <w:tcBorders>
              <w:top w:val="single" w:color="auto" w:sz="6" w:space="0"/>
              <w:left w:val="single" w:color="auto" w:sz="6" w:space="0"/>
              <w:bottom w:val="nil"/>
              <w:right w:val="nil"/>
            </w:tcBorders>
          </w:tcPr>
          <w:p w:rsidRPr="00B458AE" w:rsidR="00B458AE" w:rsidP="00B458AE" w:rsidRDefault="00B458AE">
            <w:pPr>
              <w:widowControl w:val="0"/>
              <w:jc w:val="center"/>
              <w:rPr>
                <w:rFonts w:ascii="CG Times" w:hAnsi="CG Times"/>
                <w:bCs/>
                <w:snapToGrid w:val="0"/>
              </w:rPr>
            </w:pPr>
          </w:p>
          <w:p w:rsidRPr="00B458AE" w:rsidR="00B458AE" w:rsidP="00B458AE" w:rsidRDefault="0081032B">
            <w:pPr>
              <w:widowControl w:val="0"/>
              <w:jc w:val="center"/>
              <w:rPr>
                <w:rFonts w:ascii="CG Times" w:hAnsi="CG Times"/>
                <w:bCs/>
                <w:snapToGrid w:val="0"/>
              </w:rPr>
            </w:pPr>
            <w:r>
              <w:t>AR</w:t>
            </w:r>
            <w:r w:rsidRPr="00FF67E8">
              <w:t>RS</w:t>
            </w:r>
            <w:r w:rsidRPr="00047855">
              <w:t xml:space="preserve"> </w:t>
            </w:r>
            <w:r w:rsidRPr="00047855" w:rsidR="005B4C7E">
              <w:t>System</w:t>
            </w:r>
            <w:r w:rsidR="00830B2C">
              <w:t xml:space="preserve"> Total</w:t>
            </w:r>
            <w:r w:rsidR="005B4C7E">
              <w:t xml:space="preserve"> Reviewers</w:t>
            </w:r>
            <w:r w:rsidR="00830B2C">
              <w:t xml:space="preserve"> </w:t>
            </w:r>
            <w:r w:rsidR="001F3365">
              <w:t>and GS Grade and Level</w:t>
            </w:r>
          </w:p>
        </w:tc>
        <w:tc>
          <w:tcPr>
            <w:tcW w:w="1440" w:type="dxa"/>
            <w:tcBorders>
              <w:top w:val="single" w:color="auto" w:sz="6" w:space="0"/>
              <w:left w:val="single" w:color="auto" w:sz="6" w:space="0"/>
              <w:bottom w:val="single" w:color="auto" w:sz="6" w:space="0"/>
              <w:right w:val="nil"/>
            </w:tcBorders>
          </w:tcPr>
          <w:p w:rsidRPr="00B458AE" w:rsidR="00B458AE" w:rsidP="00B34636" w:rsidRDefault="00B458AE">
            <w:pPr>
              <w:widowControl w:val="0"/>
              <w:jc w:val="center"/>
              <w:rPr>
                <w:rFonts w:ascii="CG Times" w:hAnsi="CG Times"/>
                <w:bCs/>
                <w:snapToGrid w:val="0"/>
              </w:rPr>
            </w:pPr>
            <w:r w:rsidRPr="00B458AE">
              <w:rPr>
                <w:rFonts w:ascii="CG Times" w:hAnsi="CG Times"/>
                <w:bCs/>
                <w:snapToGrid w:val="0"/>
              </w:rPr>
              <w:t xml:space="preserve">Total </w:t>
            </w:r>
            <w:r w:rsidR="00B34636">
              <w:rPr>
                <w:rFonts w:ascii="CG Times" w:hAnsi="CG Times"/>
                <w:bCs/>
                <w:snapToGrid w:val="0"/>
              </w:rPr>
              <w:t>Reviews</w:t>
            </w:r>
          </w:p>
        </w:tc>
        <w:tc>
          <w:tcPr>
            <w:tcW w:w="1620" w:type="dxa"/>
            <w:tcBorders>
              <w:top w:val="single" w:color="auto" w:sz="6" w:space="0"/>
              <w:left w:val="single" w:color="auto" w:sz="6" w:space="0"/>
              <w:bottom w:val="single" w:color="auto" w:sz="6" w:space="0"/>
              <w:right w:val="single" w:color="auto" w:sz="6" w:space="0"/>
            </w:tcBorders>
          </w:tcPr>
          <w:p w:rsidRPr="00B458AE" w:rsidR="00B458AE" w:rsidP="00B458AE" w:rsidRDefault="00B458AE">
            <w:pPr>
              <w:widowControl w:val="0"/>
              <w:jc w:val="center"/>
              <w:rPr>
                <w:rFonts w:ascii="CG Times" w:hAnsi="CG Times"/>
                <w:bCs/>
                <w:snapToGrid w:val="0"/>
              </w:rPr>
            </w:pPr>
            <w:r w:rsidRPr="00B458AE">
              <w:rPr>
                <w:rFonts w:ascii="CG Times" w:hAnsi="CG Times"/>
                <w:bCs/>
                <w:snapToGrid w:val="0"/>
              </w:rPr>
              <w:t>Estimated</w:t>
            </w:r>
          </w:p>
          <w:p w:rsidRPr="00B458AE" w:rsidR="00B458AE" w:rsidP="00B458AE" w:rsidRDefault="00B458AE">
            <w:pPr>
              <w:widowControl w:val="0"/>
              <w:jc w:val="center"/>
              <w:rPr>
                <w:rFonts w:ascii="CG Times" w:hAnsi="CG Times"/>
                <w:bCs/>
                <w:snapToGrid w:val="0"/>
              </w:rPr>
            </w:pPr>
            <w:r w:rsidRPr="00B458AE">
              <w:rPr>
                <w:rFonts w:ascii="CG Times" w:hAnsi="CG Times"/>
                <w:bCs/>
                <w:snapToGrid w:val="0"/>
              </w:rPr>
              <w:t>Review Time</w:t>
            </w:r>
          </w:p>
        </w:tc>
        <w:tc>
          <w:tcPr>
            <w:tcW w:w="1980" w:type="dxa"/>
            <w:tcBorders>
              <w:top w:val="single" w:color="auto" w:sz="6" w:space="0"/>
              <w:left w:val="single" w:color="auto" w:sz="6" w:space="0"/>
              <w:bottom w:val="single" w:color="auto" w:sz="6" w:space="0"/>
              <w:right w:val="nil"/>
            </w:tcBorders>
          </w:tcPr>
          <w:p w:rsidRPr="00B458AE" w:rsidR="00B458AE" w:rsidP="00B458AE" w:rsidRDefault="00B458AE">
            <w:pPr>
              <w:widowControl w:val="0"/>
              <w:jc w:val="center"/>
              <w:rPr>
                <w:rFonts w:ascii="CG Times" w:hAnsi="CG Times"/>
                <w:bCs/>
                <w:snapToGrid w:val="0"/>
              </w:rPr>
            </w:pPr>
            <w:r w:rsidRPr="00B458AE">
              <w:rPr>
                <w:rFonts w:ascii="CG Times" w:hAnsi="CG Times"/>
                <w:bCs/>
                <w:snapToGrid w:val="0"/>
              </w:rPr>
              <w:t>Estimated Hourly Federal Salary</w:t>
            </w:r>
          </w:p>
        </w:tc>
        <w:tc>
          <w:tcPr>
            <w:tcW w:w="1853" w:type="dxa"/>
            <w:tcBorders>
              <w:top w:val="single" w:color="auto" w:sz="6" w:space="0"/>
              <w:left w:val="single" w:color="auto" w:sz="6" w:space="0"/>
              <w:bottom w:val="single" w:color="auto" w:sz="6" w:space="0"/>
              <w:right w:val="single" w:color="auto" w:sz="6" w:space="0"/>
            </w:tcBorders>
          </w:tcPr>
          <w:p w:rsidRPr="00B458AE" w:rsidR="00B458AE" w:rsidP="00B458AE" w:rsidRDefault="00B458AE">
            <w:pPr>
              <w:widowControl w:val="0"/>
              <w:jc w:val="center"/>
              <w:rPr>
                <w:rFonts w:ascii="CG Times" w:hAnsi="CG Times"/>
                <w:bCs/>
                <w:snapToGrid w:val="0"/>
              </w:rPr>
            </w:pPr>
            <w:r w:rsidRPr="00B458AE">
              <w:rPr>
                <w:rFonts w:ascii="CG Times" w:hAnsi="CG Times"/>
                <w:bCs/>
                <w:snapToGrid w:val="0"/>
              </w:rPr>
              <w:t>Total Cost Burden</w:t>
            </w:r>
          </w:p>
        </w:tc>
      </w:tr>
      <w:tr w:rsidRPr="00B458AE" w:rsidR="00B458AE" w:rsidTr="00AB3A59">
        <w:trPr>
          <w:cantSplit/>
          <w:trHeight w:val="403"/>
          <w:jc w:val="center"/>
        </w:trPr>
        <w:tc>
          <w:tcPr>
            <w:tcW w:w="2250" w:type="dxa"/>
            <w:tcBorders>
              <w:top w:val="single" w:color="auto" w:sz="6" w:space="0"/>
              <w:left w:val="single" w:color="auto" w:sz="6" w:space="0"/>
              <w:bottom w:val="nil"/>
              <w:right w:val="nil"/>
            </w:tcBorders>
            <w:vAlign w:val="bottom"/>
            <w:hideMark/>
          </w:tcPr>
          <w:p w:rsidRPr="006C0DA9" w:rsidR="00B458AE" w:rsidP="000949E1" w:rsidRDefault="000949E1">
            <w:pPr>
              <w:widowControl w:val="0"/>
              <w:jc w:val="center"/>
              <w:rPr>
                <w:snapToGrid w:val="0"/>
              </w:rPr>
            </w:pPr>
            <w:r w:rsidRPr="006C0DA9">
              <w:t>13</w:t>
            </w:r>
            <w:r w:rsidRPr="006C0DA9" w:rsidR="005B4C7E">
              <w:t xml:space="preserve"> </w:t>
            </w:r>
            <w:r w:rsidRPr="006C0DA9" w:rsidR="001F3365">
              <w:t>@ GS15/10</w:t>
            </w:r>
          </w:p>
        </w:tc>
        <w:tc>
          <w:tcPr>
            <w:tcW w:w="1440" w:type="dxa"/>
            <w:tcBorders>
              <w:top w:val="single" w:color="auto" w:sz="6" w:space="0"/>
              <w:left w:val="single" w:color="auto" w:sz="6" w:space="0"/>
              <w:bottom w:val="single" w:color="auto" w:sz="6" w:space="0"/>
              <w:right w:val="nil"/>
            </w:tcBorders>
            <w:vAlign w:val="bottom"/>
            <w:hideMark/>
          </w:tcPr>
          <w:p w:rsidRPr="006C0DA9" w:rsidR="00B458AE" w:rsidP="000949E1" w:rsidRDefault="000949E1">
            <w:pPr>
              <w:widowControl w:val="0"/>
              <w:jc w:val="center"/>
              <w:rPr>
                <w:snapToGrid w:val="0"/>
              </w:rPr>
            </w:pPr>
            <w:r w:rsidRPr="006C0DA9">
              <w:rPr>
                <w:snapToGrid w:val="0"/>
              </w:rPr>
              <w:t>225</w:t>
            </w:r>
          </w:p>
        </w:tc>
        <w:tc>
          <w:tcPr>
            <w:tcW w:w="1620" w:type="dxa"/>
            <w:tcBorders>
              <w:top w:val="single" w:color="auto" w:sz="6" w:space="0"/>
              <w:left w:val="single" w:color="auto" w:sz="6" w:space="0"/>
              <w:bottom w:val="single" w:color="auto" w:sz="6" w:space="0"/>
              <w:right w:val="single" w:color="auto" w:sz="6" w:space="0"/>
            </w:tcBorders>
            <w:vAlign w:val="bottom"/>
          </w:tcPr>
          <w:p w:rsidRPr="006C0DA9" w:rsidR="00B458AE" w:rsidP="005B4C7E" w:rsidRDefault="00FB2876">
            <w:pPr>
              <w:widowControl w:val="0"/>
              <w:jc w:val="center"/>
              <w:rPr>
                <w:snapToGrid w:val="0"/>
              </w:rPr>
            </w:pPr>
            <w:r>
              <w:rPr>
                <w:snapToGrid w:val="0"/>
              </w:rPr>
              <w:t>15</w:t>
            </w:r>
            <w:r w:rsidRPr="006C0DA9" w:rsidR="005B4C7E">
              <w:rPr>
                <w:snapToGrid w:val="0"/>
              </w:rPr>
              <w:t>/60</w:t>
            </w:r>
          </w:p>
        </w:tc>
        <w:tc>
          <w:tcPr>
            <w:tcW w:w="1980" w:type="dxa"/>
            <w:tcBorders>
              <w:top w:val="single" w:color="auto" w:sz="6" w:space="0"/>
              <w:left w:val="single" w:color="auto" w:sz="6" w:space="0"/>
              <w:bottom w:val="single" w:color="auto" w:sz="6" w:space="0"/>
              <w:right w:val="nil"/>
            </w:tcBorders>
            <w:vAlign w:val="bottom"/>
            <w:hideMark/>
          </w:tcPr>
          <w:p w:rsidRPr="006C0DA9" w:rsidR="00B458AE" w:rsidP="000F668D" w:rsidRDefault="00B458AE">
            <w:pPr>
              <w:widowControl w:val="0"/>
              <w:jc w:val="center"/>
              <w:rPr>
                <w:snapToGrid w:val="0"/>
              </w:rPr>
            </w:pPr>
            <w:r w:rsidRPr="006C0DA9">
              <w:rPr>
                <w:snapToGrid w:val="0"/>
              </w:rPr>
              <w:t>$</w:t>
            </w:r>
            <w:r w:rsidR="000F668D">
              <w:rPr>
                <w:snapToGrid w:val="0"/>
              </w:rPr>
              <w:t>81.84</w:t>
            </w:r>
          </w:p>
        </w:tc>
        <w:tc>
          <w:tcPr>
            <w:tcW w:w="1853" w:type="dxa"/>
            <w:tcBorders>
              <w:top w:val="single" w:color="auto" w:sz="6" w:space="0"/>
              <w:left w:val="single" w:color="auto" w:sz="6" w:space="0"/>
              <w:bottom w:val="single" w:color="auto" w:sz="6" w:space="0"/>
              <w:right w:val="single" w:color="auto" w:sz="6" w:space="0"/>
            </w:tcBorders>
            <w:vAlign w:val="bottom"/>
            <w:hideMark/>
          </w:tcPr>
          <w:p w:rsidRPr="006C0DA9" w:rsidR="00B458AE" w:rsidP="000F668D" w:rsidRDefault="00B458AE">
            <w:pPr>
              <w:widowControl w:val="0"/>
              <w:jc w:val="center"/>
              <w:rPr>
                <w:snapToGrid w:val="0"/>
              </w:rPr>
            </w:pPr>
            <w:r w:rsidRPr="006C0DA9">
              <w:rPr>
                <w:snapToGrid w:val="0"/>
              </w:rPr>
              <w:t>$</w:t>
            </w:r>
            <w:r w:rsidR="000F668D">
              <w:rPr>
                <w:snapToGrid w:val="0"/>
              </w:rPr>
              <w:t>4,603.50</w:t>
            </w:r>
          </w:p>
        </w:tc>
      </w:tr>
      <w:tr w:rsidRPr="00B458AE" w:rsidR="00B34636" w:rsidTr="00AB3A59">
        <w:trPr>
          <w:cantSplit/>
          <w:trHeight w:val="403"/>
          <w:jc w:val="center"/>
        </w:trPr>
        <w:tc>
          <w:tcPr>
            <w:tcW w:w="2250" w:type="dxa"/>
            <w:tcBorders>
              <w:top w:val="single" w:color="auto" w:sz="6" w:space="0"/>
              <w:left w:val="single" w:color="auto" w:sz="6" w:space="0"/>
              <w:bottom w:val="nil"/>
              <w:right w:val="nil"/>
            </w:tcBorders>
            <w:vAlign w:val="bottom"/>
          </w:tcPr>
          <w:p w:rsidRPr="006C0DA9" w:rsidR="00B34636" w:rsidP="00B458AE" w:rsidRDefault="000949E1">
            <w:pPr>
              <w:widowControl w:val="0"/>
              <w:jc w:val="center"/>
            </w:pPr>
            <w:r w:rsidRPr="006C0DA9">
              <w:t>9</w:t>
            </w:r>
            <w:r w:rsidRPr="006C0DA9" w:rsidR="001F3365">
              <w:t>@ GS14/9</w:t>
            </w:r>
          </w:p>
        </w:tc>
        <w:tc>
          <w:tcPr>
            <w:tcW w:w="1440" w:type="dxa"/>
            <w:tcBorders>
              <w:top w:val="single" w:color="auto" w:sz="6" w:space="0"/>
              <w:left w:val="single" w:color="auto" w:sz="6" w:space="0"/>
              <w:bottom w:val="single" w:color="auto" w:sz="6" w:space="0"/>
              <w:right w:val="nil"/>
            </w:tcBorders>
            <w:vAlign w:val="bottom"/>
          </w:tcPr>
          <w:p w:rsidRPr="006C0DA9" w:rsidR="00B34636" w:rsidP="00B458AE" w:rsidRDefault="000949E1">
            <w:pPr>
              <w:widowControl w:val="0"/>
              <w:jc w:val="center"/>
              <w:rPr>
                <w:snapToGrid w:val="0"/>
              </w:rPr>
            </w:pPr>
            <w:r w:rsidRPr="006C0DA9">
              <w:rPr>
                <w:snapToGrid w:val="0"/>
              </w:rPr>
              <w:t>200</w:t>
            </w:r>
          </w:p>
        </w:tc>
        <w:tc>
          <w:tcPr>
            <w:tcW w:w="1620" w:type="dxa"/>
            <w:tcBorders>
              <w:top w:val="single" w:color="auto" w:sz="6" w:space="0"/>
              <w:left w:val="single" w:color="auto" w:sz="6" w:space="0"/>
              <w:bottom w:val="single" w:color="auto" w:sz="6" w:space="0"/>
              <w:right w:val="single" w:color="auto" w:sz="6" w:space="0"/>
            </w:tcBorders>
            <w:vAlign w:val="bottom"/>
          </w:tcPr>
          <w:p w:rsidRPr="006C0DA9" w:rsidR="00B34636" w:rsidP="00B34636" w:rsidRDefault="00FB2876">
            <w:pPr>
              <w:widowControl w:val="0"/>
              <w:jc w:val="center"/>
              <w:rPr>
                <w:snapToGrid w:val="0"/>
              </w:rPr>
            </w:pPr>
            <w:r>
              <w:rPr>
                <w:snapToGrid w:val="0"/>
              </w:rPr>
              <w:t>15</w:t>
            </w:r>
            <w:r w:rsidRPr="006C0DA9" w:rsidR="005B4C7E">
              <w:rPr>
                <w:snapToGrid w:val="0"/>
              </w:rPr>
              <w:t>/60</w:t>
            </w:r>
          </w:p>
        </w:tc>
        <w:tc>
          <w:tcPr>
            <w:tcW w:w="1980" w:type="dxa"/>
            <w:tcBorders>
              <w:top w:val="single" w:color="auto" w:sz="6" w:space="0"/>
              <w:left w:val="single" w:color="auto" w:sz="6" w:space="0"/>
              <w:bottom w:val="single" w:color="auto" w:sz="6" w:space="0"/>
              <w:right w:val="nil"/>
            </w:tcBorders>
            <w:vAlign w:val="bottom"/>
          </w:tcPr>
          <w:p w:rsidRPr="006C0DA9" w:rsidR="00B34636" w:rsidP="000F668D" w:rsidRDefault="00830B2C">
            <w:pPr>
              <w:widowControl w:val="0"/>
              <w:jc w:val="center"/>
              <w:rPr>
                <w:snapToGrid w:val="0"/>
              </w:rPr>
            </w:pPr>
            <w:r w:rsidRPr="006C0DA9">
              <w:rPr>
                <w:snapToGrid w:val="0"/>
              </w:rPr>
              <w:t>$</w:t>
            </w:r>
            <w:r w:rsidR="000F668D">
              <w:rPr>
                <w:snapToGrid w:val="0"/>
              </w:rPr>
              <w:t>73.63</w:t>
            </w:r>
          </w:p>
        </w:tc>
        <w:tc>
          <w:tcPr>
            <w:tcW w:w="1853" w:type="dxa"/>
            <w:tcBorders>
              <w:top w:val="single" w:color="auto" w:sz="6" w:space="0"/>
              <w:left w:val="single" w:color="auto" w:sz="6" w:space="0"/>
              <w:bottom w:val="single" w:color="auto" w:sz="6" w:space="0"/>
              <w:right w:val="single" w:color="auto" w:sz="6" w:space="0"/>
            </w:tcBorders>
            <w:vAlign w:val="bottom"/>
          </w:tcPr>
          <w:p w:rsidRPr="006C0DA9" w:rsidR="00B34636" w:rsidP="000F668D" w:rsidRDefault="00830B2C">
            <w:pPr>
              <w:widowControl w:val="0"/>
              <w:jc w:val="center"/>
              <w:rPr>
                <w:snapToGrid w:val="0"/>
              </w:rPr>
            </w:pPr>
            <w:r w:rsidRPr="006C0DA9">
              <w:rPr>
                <w:snapToGrid w:val="0"/>
              </w:rPr>
              <w:t>$</w:t>
            </w:r>
            <w:r w:rsidR="000F668D">
              <w:rPr>
                <w:snapToGrid w:val="0"/>
              </w:rPr>
              <w:t>3,681.5</w:t>
            </w:r>
            <w:r w:rsidRPr="006C0DA9" w:rsidR="006C0DA9">
              <w:rPr>
                <w:snapToGrid w:val="0"/>
              </w:rPr>
              <w:t>0</w:t>
            </w:r>
          </w:p>
        </w:tc>
      </w:tr>
      <w:tr w:rsidRPr="00B458AE" w:rsidR="00B34636" w:rsidTr="00AB3A59">
        <w:trPr>
          <w:cantSplit/>
          <w:trHeight w:val="403"/>
          <w:jc w:val="center"/>
        </w:trPr>
        <w:tc>
          <w:tcPr>
            <w:tcW w:w="2250" w:type="dxa"/>
            <w:tcBorders>
              <w:top w:val="single" w:color="auto" w:sz="6" w:space="0"/>
              <w:left w:val="single" w:color="auto" w:sz="6" w:space="0"/>
              <w:bottom w:val="nil"/>
              <w:right w:val="nil"/>
            </w:tcBorders>
            <w:vAlign w:val="bottom"/>
          </w:tcPr>
          <w:p w:rsidRPr="006C0DA9" w:rsidR="00B34636" w:rsidP="00B458AE" w:rsidRDefault="000949E1">
            <w:pPr>
              <w:widowControl w:val="0"/>
              <w:jc w:val="center"/>
            </w:pPr>
            <w:r w:rsidRPr="006C0DA9">
              <w:t>1</w:t>
            </w:r>
            <w:r w:rsidRPr="006C0DA9" w:rsidR="001F3365">
              <w:t>@ GS12/3</w:t>
            </w:r>
          </w:p>
        </w:tc>
        <w:tc>
          <w:tcPr>
            <w:tcW w:w="1440" w:type="dxa"/>
            <w:tcBorders>
              <w:top w:val="single" w:color="auto" w:sz="6" w:space="0"/>
              <w:left w:val="single" w:color="auto" w:sz="6" w:space="0"/>
              <w:bottom w:val="single" w:color="auto" w:sz="6" w:space="0"/>
              <w:right w:val="nil"/>
            </w:tcBorders>
            <w:vAlign w:val="bottom"/>
          </w:tcPr>
          <w:p w:rsidRPr="006C0DA9" w:rsidR="00B34636" w:rsidP="00B458AE" w:rsidRDefault="000949E1">
            <w:pPr>
              <w:widowControl w:val="0"/>
              <w:jc w:val="center"/>
              <w:rPr>
                <w:snapToGrid w:val="0"/>
              </w:rPr>
            </w:pPr>
            <w:r w:rsidRPr="006C0DA9">
              <w:rPr>
                <w:snapToGrid w:val="0"/>
              </w:rPr>
              <w:t>75</w:t>
            </w:r>
          </w:p>
        </w:tc>
        <w:tc>
          <w:tcPr>
            <w:tcW w:w="1620" w:type="dxa"/>
            <w:tcBorders>
              <w:top w:val="single" w:color="auto" w:sz="6" w:space="0"/>
              <w:left w:val="single" w:color="auto" w:sz="6" w:space="0"/>
              <w:bottom w:val="single" w:color="auto" w:sz="6" w:space="0"/>
              <w:right w:val="single" w:color="auto" w:sz="6" w:space="0"/>
            </w:tcBorders>
            <w:vAlign w:val="bottom"/>
          </w:tcPr>
          <w:p w:rsidRPr="006C0DA9" w:rsidR="00B34636" w:rsidP="00B34636" w:rsidRDefault="00FB2876">
            <w:pPr>
              <w:widowControl w:val="0"/>
              <w:jc w:val="center"/>
              <w:rPr>
                <w:snapToGrid w:val="0"/>
              </w:rPr>
            </w:pPr>
            <w:r>
              <w:rPr>
                <w:snapToGrid w:val="0"/>
              </w:rPr>
              <w:t>15</w:t>
            </w:r>
            <w:r w:rsidRPr="006C0DA9" w:rsidR="00830B2C">
              <w:rPr>
                <w:snapToGrid w:val="0"/>
              </w:rPr>
              <w:t>/60</w:t>
            </w:r>
          </w:p>
        </w:tc>
        <w:tc>
          <w:tcPr>
            <w:tcW w:w="1980" w:type="dxa"/>
            <w:tcBorders>
              <w:top w:val="single" w:color="auto" w:sz="6" w:space="0"/>
              <w:left w:val="single" w:color="auto" w:sz="6" w:space="0"/>
              <w:bottom w:val="single" w:color="auto" w:sz="6" w:space="0"/>
              <w:right w:val="nil"/>
            </w:tcBorders>
            <w:vAlign w:val="bottom"/>
          </w:tcPr>
          <w:p w:rsidRPr="006C0DA9" w:rsidR="00B34636" w:rsidP="000F668D" w:rsidRDefault="00830B2C">
            <w:pPr>
              <w:widowControl w:val="0"/>
              <w:jc w:val="center"/>
              <w:rPr>
                <w:snapToGrid w:val="0"/>
              </w:rPr>
            </w:pPr>
            <w:r w:rsidRPr="006C0DA9">
              <w:rPr>
                <w:snapToGrid w:val="0"/>
              </w:rPr>
              <w:t>$</w:t>
            </w:r>
            <w:r w:rsidR="000F668D">
              <w:rPr>
                <w:snapToGrid w:val="0"/>
              </w:rPr>
              <w:t>44.13</w:t>
            </w:r>
          </w:p>
        </w:tc>
        <w:tc>
          <w:tcPr>
            <w:tcW w:w="1853" w:type="dxa"/>
            <w:tcBorders>
              <w:top w:val="single" w:color="auto" w:sz="6" w:space="0"/>
              <w:left w:val="single" w:color="auto" w:sz="6" w:space="0"/>
              <w:bottom w:val="single" w:color="auto" w:sz="6" w:space="0"/>
              <w:right w:val="single" w:color="auto" w:sz="6" w:space="0"/>
            </w:tcBorders>
            <w:vAlign w:val="bottom"/>
          </w:tcPr>
          <w:p w:rsidRPr="006C0DA9" w:rsidR="00B34636" w:rsidP="000F668D" w:rsidRDefault="00830B2C">
            <w:pPr>
              <w:widowControl w:val="0"/>
              <w:jc w:val="center"/>
              <w:rPr>
                <w:snapToGrid w:val="0"/>
              </w:rPr>
            </w:pPr>
            <w:r w:rsidRPr="006C0DA9">
              <w:rPr>
                <w:snapToGrid w:val="0"/>
              </w:rPr>
              <w:t>$</w:t>
            </w:r>
            <w:r w:rsidR="000F668D">
              <w:rPr>
                <w:snapToGrid w:val="0"/>
              </w:rPr>
              <w:t>827.44</w:t>
            </w:r>
          </w:p>
        </w:tc>
      </w:tr>
      <w:tr w:rsidRPr="00B458AE" w:rsidR="00B458AE" w:rsidTr="00830B2C">
        <w:trPr>
          <w:cantSplit/>
          <w:trHeight w:val="498"/>
          <w:jc w:val="center"/>
        </w:trPr>
        <w:tc>
          <w:tcPr>
            <w:tcW w:w="2250" w:type="dxa"/>
            <w:tcBorders>
              <w:top w:val="single" w:color="auto" w:sz="6" w:space="0"/>
              <w:left w:val="single" w:color="auto" w:sz="6" w:space="0"/>
              <w:bottom w:val="single" w:color="auto" w:sz="6" w:space="0"/>
              <w:right w:val="nil"/>
            </w:tcBorders>
            <w:vAlign w:val="bottom"/>
            <w:hideMark/>
          </w:tcPr>
          <w:p w:rsidRPr="006C0DA9" w:rsidR="00B458AE" w:rsidP="001A6643" w:rsidRDefault="001F3365">
            <w:pPr>
              <w:widowControl w:val="0"/>
              <w:jc w:val="center"/>
              <w:rPr>
                <w:b/>
                <w:bCs/>
                <w:snapToGrid w:val="0"/>
              </w:rPr>
            </w:pPr>
            <w:r w:rsidRPr="006C0DA9">
              <w:rPr>
                <w:b/>
                <w:bCs/>
                <w:snapToGrid w:val="0"/>
              </w:rPr>
              <w:t xml:space="preserve"> 23</w:t>
            </w:r>
          </w:p>
        </w:tc>
        <w:tc>
          <w:tcPr>
            <w:tcW w:w="1440" w:type="dxa"/>
            <w:tcBorders>
              <w:top w:val="single" w:color="auto" w:sz="6" w:space="0"/>
              <w:left w:val="single" w:color="auto" w:sz="6" w:space="0"/>
              <w:bottom w:val="single" w:color="auto" w:sz="6" w:space="0"/>
              <w:right w:val="nil"/>
            </w:tcBorders>
            <w:vAlign w:val="bottom"/>
            <w:hideMark/>
          </w:tcPr>
          <w:p w:rsidRPr="006C0DA9" w:rsidR="00B458AE" w:rsidP="00B458AE" w:rsidRDefault="001F3365">
            <w:pPr>
              <w:widowControl w:val="0"/>
              <w:jc w:val="center"/>
              <w:rPr>
                <w:b/>
                <w:bCs/>
                <w:snapToGrid w:val="0"/>
              </w:rPr>
            </w:pPr>
            <w:r w:rsidRPr="006C0DA9">
              <w:rPr>
                <w:b/>
                <w:bCs/>
                <w:snapToGrid w:val="0"/>
              </w:rPr>
              <w:t>5</w:t>
            </w:r>
            <w:r w:rsidRPr="006C0DA9" w:rsidR="00177932">
              <w:rPr>
                <w:b/>
                <w:bCs/>
                <w:snapToGrid w:val="0"/>
              </w:rPr>
              <w:t>00</w:t>
            </w:r>
          </w:p>
        </w:tc>
        <w:tc>
          <w:tcPr>
            <w:tcW w:w="1620" w:type="dxa"/>
            <w:tcBorders>
              <w:top w:val="single" w:color="auto" w:sz="6" w:space="0"/>
              <w:left w:val="single" w:color="auto" w:sz="6" w:space="0"/>
              <w:bottom w:val="single" w:color="auto" w:sz="6" w:space="0"/>
              <w:right w:val="single" w:color="auto" w:sz="6" w:space="0"/>
            </w:tcBorders>
            <w:vAlign w:val="bottom"/>
          </w:tcPr>
          <w:p w:rsidRPr="006C0DA9" w:rsidR="00B458AE" w:rsidP="006C0DA9" w:rsidRDefault="006C0DA9">
            <w:pPr>
              <w:widowControl w:val="0"/>
              <w:jc w:val="center"/>
              <w:rPr>
                <w:b/>
                <w:bCs/>
                <w:snapToGrid w:val="0"/>
              </w:rPr>
            </w:pPr>
            <w:r w:rsidRPr="006C0DA9">
              <w:rPr>
                <w:b/>
                <w:bCs/>
                <w:snapToGrid w:val="0"/>
              </w:rPr>
              <w:t>N/A</w:t>
            </w:r>
          </w:p>
        </w:tc>
        <w:tc>
          <w:tcPr>
            <w:tcW w:w="1980" w:type="dxa"/>
            <w:tcBorders>
              <w:top w:val="single" w:color="auto" w:sz="6" w:space="0"/>
              <w:left w:val="single" w:color="auto" w:sz="6" w:space="0"/>
              <w:bottom w:val="single" w:color="auto" w:sz="6" w:space="0"/>
              <w:right w:val="nil"/>
            </w:tcBorders>
            <w:vAlign w:val="bottom"/>
            <w:hideMark/>
          </w:tcPr>
          <w:p w:rsidRPr="006C0DA9" w:rsidR="00B458AE" w:rsidP="006C0DA9" w:rsidRDefault="006C0DA9">
            <w:pPr>
              <w:widowControl w:val="0"/>
              <w:jc w:val="center"/>
              <w:rPr>
                <w:b/>
                <w:bCs/>
                <w:snapToGrid w:val="0"/>
              </w:rPr>
            </w:pPr>
            <w:r w:rsidRPr="006C0DA9">
              <w:rPr>
                <w:b/>
                <w:bCs/>
                <w:snapToGrid w:val="0"/>
              </w:rPr>
              <w:t>N/A</w:t>
            </w:r>
          </w:p>
        </w:tc>
        <w:tc>
          <w:tcPr>
            <w:tcW w:w="1853" w:type="dxa"/>
            <w:tcBorders>
              <w:top w:val="single" w:color="auto" w:sz="6" w:space="0"/>
              <w:left w:val="single" w:color="auto" w:sz="6" w:space="0"/>
              <w:bottom w:val="single" w:color="auto" w:sz="6" w:space="0"/>
              <w:right w:val="single" w:color="auto" w:sz="6" w:space="0"/>
            </w:tcBorders>
            <w:vAlign w:val="bottom"/>
            <w:hideMark/>
          </w:tcPr>
          <w:p w:rsidRPr="006C0DA9" w:rsidR="00B458AE" w:rsidP="000F668D" w:rsidRDefault="00830B2C">
            <w:pPr>
              <w:widowControl w:val="0"/>
              <w:jc w:val="center"/>
              <w:rPr>
                <w:b/>
                <w:bCs/>
                <w:snapToGrid w:val="0"/>
              </w:rPr>
            </w:pPr>
            <w:r w:rsidRPr="006C0DA9">
              <w:rPr>
                <w:b/>
                <w:bCs/>
                <w:snapToGrid w:val="0"/>
              </w:rPr>
              <w:t>$</w:t>
            </w:r>
            <w:r w:rsidR="000F668D">
              <w:rPr>
                <w:b/>
                <w:bCs/>
                <w:snapToGrid w:val="0"/>
              </w:rPr>
              <w:t>9,112.44</w:t>
            </w:r>
          </w:p>
        </w:tc>
      </w:tr>
    </w:tbl>
    <w:p w:rsidRPr="006B5904" w:rsidR="00675A87" w:rsidP="001906D5" w:rsidRDefault="00675A87">
      <w:pPr>
        <w:pStyle w:val="Heading2"/>
        <w:rPr>
          <w:sz w:val="24"/>
        </w:rPr>
      </w:pPr>
      <w:r>
        <w:rPr>
          <w:sz w:val="24"/>
        </w:rPr>
        <w:t xml:space="preserve">15. </w:t>
      </w:r>
      <w:r w:rsidR="001906D5">
        <w:rPr>
          <w:sz w:val="24"/>
        </w:rPr>
        <w:t>Changes in Hour Burden</w:t>
      </w:r>
      <w:r w:rsidR="001906D5">
        <w:rPr>
          <w:sz w:val="24"/>
        </w:rPr>
        <w:br/>
      </w:r>
      <w:r w:rsidRPr="005D2BAF" w:rsidR="001906D5">
        <w:rPr>
          <w:rFonts w:ascii="Times New Roman" w:hAnsi="Times New Roman" w:cs="Times New Roman"/>
          <w:b w:val="0"/>
          <w:i w:val="0"/>
          <w:color w:val="000000"/>
          <w:sz w:val="24"/>
          <w:szCs w:val="24"/>
        </w:rPr>
        <w:t>There are no changes in burden hours</w:t>
      </w:r>
    </w:p>
    <w:p w:rsidR="00197ED9" w:rsidP="006B5904" w:rsidRDefault="00675A87">
      <w:pPr>
        <w:pStyle w:val="Heading2"/>
      </w:pPr>
      <w:r>
        <w:rPr>
          <w:sz w:val="24"/>
        </w:rPr>
        <w:t>16.</w:t>
      </w:r>
      <w:r w:rsidRPr="00412C6F" w:rsidR="009B633D">
        <w:rPr>
          <w:sz w:val="24"/>
        </w:rPr>
        <w:t xml:space="preserve"> Time Schedule, Publication and Analysis Plans</w:t>
      </w:r>
      <w:bookmarkStart w:name="_Toc151782196" w:id="36"/>
      <w:bookmarkStart w:name="_Toc158526232" w:id="37"/>
      <w:bookmarkEnd w:id="34"/>
      <w:bookmarkEnd w:id="35"/>
      <w:r w:rsidR="00197ED9">
        <w:rPr>
          <w:sz w:val="24"/>
        </w:rPr>
        <w:br/>
      </w:r>
      <w:r w:rsidRPr="00197ED9" w:rsidR="00197ED9">
        <w:rPr>
          <w:rFonts w:ascii="Times New Roman" w:hAnsi="Times New Roman" w:cs="Times New Roman"/>
          <w:b w:val="0"/>
          <w:i w:val="0"/>
          <w:sz w:val="24"/>
          <w:szCs w:val="24"/>
        </w:rPr>
        <w:t>There are no plans for tabulation or publication of results from this information collection.</w:t>
      </w:r>
    </w:p>
    <w:p w:rsidRPr="00424E6E" w:rsidR="009B633D" w:rsidP="009B633D" w:rsidRDefault="00675A87">
      <w:pPr>
        <w:pStyle w:val="Heading2"/>
        <w:rPr>
          <w:sz w:val="24"/>
        </w:rPr>
      </w:pPr>
      <w:r>
        <w:rPr>
          <w:sz w:val="24"/>
        </w:rPr>
        <w:t>17</w:t>
      </w:r>
      <w:r w:rsidRPr="00424E6E" w:rsidR="009B633D">
        <w:rPr>
          <w:sz w:val="24"/>
        </w:rPr>
        <w:t>. Exemption for Display of Expiration Date</w:t>
      </w:r>
      <w:bookmarkEnd w:id="36"/>
      <w:bookmarkEnd w:id="37"/>
    </w:p>
    <w:p w:rsidR="009B633D" w:rsidP="009B633D" w:rsidRDefault="009B633D">
      <w:r w:rsidRPr="004F03D2">
        <w:t>AHRQ does not seek this exemption</w:t>
      </w:r>
      <w:r>
        <w:t>.</w:t>
      </w:r>
    </w:p>
    <w:p w:rsidRPr="00016560" w:rsidR="00016560" w:rsidP="00450538" w:rsidRDefault="00E56A8F">
      <w:pPr>
        <w:pStyle w:val="NormalWeb"/>
        <w:rPr>
          <w:rFonts w:ascii="Arial" w:hAnsi="Arial" w:cs="Arial"/>
          <w:b/>
        </w:rPr>
      </w:pPr>
      <w:r>
        <w:rPr>
          <w:rFonts w:ascii="Arial" w:hAnsi="Arial" w:cs="Arial"/>
          <w:b/>
        </w:rPr>
        <w:t xml:space="preserve">List of </w:t>
      </w:r>
      <w:r w:rsidRPr="00016560" w:rsidR="00016560">
        <w:rPr>
          <w:rFonts w:ascii="Arial" w:hAnsi="Arial" w:cs="Arial"/>
          <w:b/>
        </w:rPr>
        <w:t>Attachments:</w:t>
      </w:r>
    </w:p>
    <w:p w:rsidRPr="004C6BEF" w:rsidR="00C4546D" w:rsidP="006B5904" w:rsidRDefault="00C4546D">
      <w:pPr>
        <w:pStyle w:val="NormalWeb"/>
        <w:numPr>
          <w:ilvl w:val="0"/>
          <w:numId w:val="54"/>
        </w:numPr>
      </w:pPr>
      <w:r w:rsidRPr="004C6BEF">
        <w:t>Attachment A:  Federal Register Notice</w:t>
      </w:r>
    </w:p>
    <w:p w:rsidRPr="004C6BEF" w:rsidR="00A15D49" w:rsidP="006B5904" w:rsidRDefault="00A15D49">
      <w:pPr>
        <w:pStyle w:val="NormalWeb"/>
        <w:numPr>
          <w:ilvl w:val="0"/>
          <w:numId w:val="54"/>
        </w:numPr>
      </w:pPr>
      <w:r w:rsidRPr="004C6BEF">
        <w:t xml:space="preserve">Attachment </w:t>
      </w:r>
      <w:r w:rsidRPr="004C6BEF" w:rsidR="00047855">
        <w:t>B</w:t>
      </w:r>
      <w:r w:rsidR="00047855">
        <w:t xml:space="preserve">: </w:t>
      </w:r>
      <w:r w:rsidRPr="004C6BEF" w:rsidR="00047855">
        <w:t xml:space="preserve"> </w:t>
      </w:r>
      <w:r w:rsidR="008066FE">
        <w:t>AR</w:t>
      </w:r>
      <w:r w:rsidRPr="00FF67E8" w:rsidR="008066FE">
        <w:t>RS</w:t>
      </w:r>
      <w:r w:rsidRPr="004C6BEF" w:rsidR="008066FE">
        <w:t xml:space="preserve"> </w:t>
      </w:r>
      <w:r w:rsidRPr="004C6BEF" w:rsidR="003E72CC">
        <w:t>Instructions</w:t>
      </w:r>
    </w:p>
    <w:p w:rsidR="003E72CC" w:rsidP="006B5904" w:rsidRDefault="003E72CC">
      <w:pPr>
        <w:pStyle w:val="NormalWeb"/>
        <w:numPr>
          <w:ilvl w:val="0"/>
          <w:numId w:val="54"/>
        </w:numPr>
      </w:pPr>
      <w:r w:rsidRPr="004C6BEF">
        <w:t xml:space="preserve">Attachment </w:t>
      </w:r>
      <w:r w:rsidRPr="004C6BEF" w:rsidR="00C4546D">
        <w:t>C</w:t>
      </w:r>
      <w:r w:rsidRPr="004C6BEF">
        <w:t>:  List of Grants</w:t>
      </w:r>
    </w:p>
    <w:p w:rsidR="00733720" w:rsidP="006B5904" w:rsidRDefault="00733720">
      <w:pPr>
        <w:pStyle w:val="NormalWeb"/>
        <w:numPr>
          <w:ilvl w:val="0"/>
          <w:numId w:val="54"/>
        </w:numPr>
      </w:pPr>
      <w:r>
        <w:t xml:space="preserve">Attachment D:  </w:t>
      </w:r>
      <w:r w:rsidR="00DA48E2">
        <w:t>List of Contracts</w:t>
      </w:r>
    </w:p>
    <w:sectPr w:rsidR="00733720" w:rsidSect="009B633D">
      <w:footerReference w:type="even" r:id="rId9"/>
      <w:footerReference w:type="default" r:id="rId10"/>
      <w:endnotePr>
        <w:numFmt w:val="decimal"/>
      </w:endnotePr>
      <w:pgSz w:w="12240" w:h="15840"/>
      <w:pgMar w:top="1440" w:right="1800" w:bottom="1260" w:left="1800"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ABC" w:rsidRDefault="00752ABC">
      <w:r>
        <w:separator/>
      </w:r>
    </w:p>
  </w:endnote>
  <w:endnote w:type="continuationSeparator" w:id="0">
    <w:p w:rsidR="00752ABC" w:rsidRDefault="00752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MdCn BT">
    <w:panose1 w:val="00000000000000000000"/>
    <w:charset w:val="00"/>
    <w:family w:val="roman"/>
    <w:notTrueType/>
    <w:pitch w:val="default"/>
  </w:font>
  <w:font w:name="CG Times">
    <w:altName w:val="Times New Roman"/>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BCF" w:rsidRDefault="006B2BCF" w:rsidP="009B6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B2BCF" w:rsidRDefault="006B2B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BCF" w:rsidRDefault="006B2BCF" w:rsidP="009B6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75D5A">
      <w:rPr>
        <w:rStyle w:val="PageNumber"/>
        <w:noProof/>
      </w:rPr>
      <w:t>- 6 -</w:t>
    </w:r>
    <w:r>
      <w:rPr>
        <w:rStyle w:val="PageNumber"/>
      </w:rPr>
      <w:fldChar w:fldCharType="end"/>
    </w:r>
  </w:p>
  <w:p w:rsidR="006B2BCF" w:rsidRDefault="006B2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ABC" w:rsidRDefault="00752ABC">
      <w:r>
        <w:separator/>
      </w:r>
    </w:p>
  </w:footnote>
  <w:footnote w:type="continuationSeparator" w:id="0">
    <w:p w:rsidR="00752ABC" w:rsidRDefault="00752A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74F8"/>
    <w:multiLevelType w:val="hybridMultilevel"/>
    <w:tmpl w:val="1B525974"/>
    <w:lvl w:ilvl="0" w:tplc="04090005">
      <w:start w:val="1"/>
      <w:numFmt w:val="bullet"/>
      <w:lvlText w:val=""/>
      <w:lvlJc w:val="left"/>
      <w:pPr>
        <w:tabs>
          <w:tab w:val="num" w:pos="612"/>
        </w:tabs>
        <w:ind w:left="612" w:hanging="360"/>
      </w:pPr>
      <w:rPr>
        <w:rFonts w:ascii="Wingdings" w:hAnsi="Wingdings" w:hint="default"/>
      </w:rPr>
    </w:lvl>
    <w:lvl w:ilvl="1" w:tplc="04090003" w:tentative="1">
      <w:start w:val="1"/>
      <w:numFmt w:val="bullet"/>
      <w:lvlText w:val="o"/>
      <w:lvlJc w:val="left"/>
      <w:pPr>
        <w:tabs>
          <w:tab w:val="num" w:pos="1332"/>
        </w:tabs>
        <w:ind w:left="1332" w:hanging="360"/>
      </w:pPr>
      <w:rPr>
        <w:rFonts w:ascii="Courier New" w:hAnsi="Courier New" w:cs="Times New (W1)"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Times New (W1)"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Times New (W1)"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1" w15:restartNumberingAfterBreak="0">
    <w:nsid w:val="02B206E1"/>
    <w:multiLevelType w:val="hybridMultilevel"/>
    <w:tmpl w:val="26AA8D38"/>
    <w:lvl w:ilvl="0" w:tplc="0409000F">
      <w:start w:val="1"/>
      <w:numFmt w:val="decimal"/>
      <w:lvlText w:val="%1."/>
      <w:lvlJc w:val="left"/>
      <w:pPr>
        <w:tabs>
          <w:tab w:val="num" w:pos="720"/>
        </w:tabs>
        <w:ind w:left="720" w:hanging="360"/>
      </w:pPr>
      <w:rPr>
        <w:rFonts w:hint="default"/>
        <w:sz w:val="16"/>
        <w:szCs w:val="16"/>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CB7504"/>
    <w:multiLevelType w:val="multilevel"/>
    <w:tmpl w:val="D97C213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496388"/>
    <w:multiLevelType w:val="multilevel"/>
    <w:tmpl w:val="53A8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505E3B"/>
    <w:multiLevelType w:val="hybridMultilevel"/>
    <w:tmpl w:val="728854C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9E6DFB"/>
    <w:multiLevelType w:val="multilevel"/>
    <w:tmpl w:val="FA60D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D377E5"/>
    <w:multiLevelType w:val="hybridMultilevel"/>
    <w:tmpl w:val="F6E2F1D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37774D0"/>
    <w:multiLevelType w:val="multilevel"/>
    <w:tmpl w:val="5F4E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9D1012"/>
    <w:multiLevelType w:val="hybridMultilevel"/>
    <w:tmpl w:val="F522BD54"/>
    <w:lvl w:ilvl="0" w:tplc="FFFFFFFF">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454594"/>
    <w:multiLevelType w:val="multilevel"/>
    <w:tmpl w:val="C8528428"/>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W1)"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W1)"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W1)"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A10292"/>
    <w:multiLevelType w:val="hybridMultilevel"/>
    <w:tmpl w:val="B1FA664C"/>
    <w:lvl w:ilvl="0" w:tplc="0409000B">
      <w:start w:val="1"/>
      <w:numFmt w:val="bullet"/>
      <w:lvlText w:val=""/>
      <w:lvlJc w:val="left"/>
      <w:pPr>
        <w:tabs>
          <w:tab w:val="num" w:pos="612"/>
        </w:tabs>
        <w:ind w:left="612" w:hanging="360"/>
      </w:pPr>
      <w:rPr>
        <w:rFonts w:ascii="Wingdings" w:hAnsi="Wingdings" w:hint="default"/>
      </w:rPr>
    </w:lvl>
    <w:lvl w:ilvl="1" w:tplc="04090003" w:tentative="1">
      <w:start w:val="1"/>
      <w:numFmt w:val="bullet"/>
      <w:lvlText w:val="o"/>
      <w:lvlJc w:val="left"/>
      <w:pPr>
        <w:tabs>
          <w:tab w:val="num" w:pos="1332"/>
        </w:tabs>
        <w:ind w:left="1332" w:hanging="360"/>
      </w:pPr>
      <w:rPr>
        <w:rFonts w:ascii="Courier New" w:hAnsi="Courier New" w:cs="Times New (W1)"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Times New (W1)"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Times New (W1)"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11" w15:restartNumberingAfterBreak="0">
    <w:nsid w:val="19C95FA7"/>
    <w:multiLevelType w:val="multilevel"/>
    <w:tmpl w:val="C25CF97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2F3949"/>
    <w:multiLevelType w:val="hybridMultilevel"/>
    <w:tmpl w:val="33989B3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52A0419"/>
    <w:multiLevelType w:val="hybridMultilevel"/>
    <w:tmpl w:val="A800B7C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67E5A8B"/>
    <w:multiLevelType w:val="hybridMultilevel"/>
    <w:tmpl w:val="01DC97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995858"/>
    <w:multiLevelType w:val="hybridMultilevel"/>
    <w:tmpl w:val="45E014A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BE4181A"/>
    <w:multiLevelType w:val="multilevel"/>
    <w:tmpl w:val="C186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6720A3"/>
    <w:multiLevelType w:val="hybridMultilevel"/>
    <w:tmpl w:val="83DE4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6C79A8"/>
    <w:multiLevelType w:val="hybridMultilevel"/>
    <w:tmpl w:val="5D74BB30"/>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332"/>
        </w:tabs>
        <w:ind w:left="1332" w:hanging="360"/>
      </w:pPr>
      <w:rPr>
        <w:rFonts w:ascii="Courier New" w:hAnsi="Courier New" w:cs="Times New (W1)"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Times New (W1)"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Times New (W1)"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19" w15:restartNumberingAfterBreak="0">
    <w:nsid w:val="3A8C4A35"/>
    <w:multiLevelType w:val="hybridMultilevel"/>
    <w:tmpl w:val="9D6489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CB150C"/>
    <w:multiLevelType w:val="hybridMultilevel"/>
    <w:tmpl w:val="4F0871C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A84015"/>
    <w:multiLevelType w:val="multilevel"/>
    <w:tmpl w:val="5BDA3C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78778B"/>
    <w:multiLevelType w:val="multilevel"/>
    <w:tmpl w:val="C8528428"/>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W1)"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W1)"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W1)"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54684E"/>
    <w:multiLevelType w:val="multilevel"/>
    <w:tmpl w:val="1B525974"/>
    <w:lvl w:ilvl="0">
      <w:start w:val="1"/>
      <w:numFmt w:val="bullet"/>
      <w:lvlText w:val=""/>
      <w:lvlJc w:val="left"/>
      <w:pPr>
        <w:tabs>
          <w:tab w:val="num" w:pos="612"/>
        </w:tabs>
        <w:ind w:left="612" w:hanging="360"/>
      </w:pPr>
      <w:rPr>
        <w:rFonts w:ascii="Wingdings" w:hAnsi="Wingdings" w:hint="default"/>
      </w:rPr>
    </w:lvl>
    <w:lvl w:ilvl="1">
      <w:start w:val="1"/>
      <w:numFmt w:val="bullet"/>
      <w:lvlText w:val="o"/>
      <w:lvlJc w:val="left"/>
      <w:pPr>
        <w:tabs>
          <w:tab w:val="num" w:pos="1332"/>
        </w:tabs>
        <w:ind w:left="1332" w:hanging="360"/>
      </w:pPr>
      <w:rPr>
        <w:rFonts w:ascii="Courier New" w:hAnsi="Courier New" w:cs="Times New (W1)" w:hint="default"/>
      </w:rPr>
    </w:lvl>
    <w:lvl w:ilvl="2">
      <w:start w:val="1"/>
      <w:numFmt w:val="bullet"/>
      <w:lvlText w:val=""/>
      <w:lvlJc w:val="left"/>
      <w:pPr>
        <w:tabs>
          <w:tab w:val="num" w:pos="2052"/>
        </w:tabs>
        <w:ind w:left="2052" w:hanging="360"/>
      </w:pPr>
      <w:rPr>
        <w:rFonts w:ascii="Wingdings" w:hAnsi="Wingdings" w:hint="default"/>
      </w:rPr>
    </w:lvl>
    <w:lvl w:ilvl="3">
      <w:start w:val="1"/>
      <w:numFmt w:val="bullet"/>
      <w:lvlText w:val=""/>
      <w:lvlJc w:val="left"/>
      <w:pPr>
        <w:tabs>
          <w:tab w:val="num" w:pos="2772"/>
        </w:tabs>
        <w:ind w:left="2772" w:hanging="360"/>
      </w:pPr>
      <w:rPr>
        <w:rFonts w:ascii="Symbol" w:hAnsi="Symbol" w:hint="default"/>
      </w:rPr>
    </w:lvl>
    <w:lvl w:ilvl="4">
      <w:start w:val="1"/>
      <w:numFmt w:val="bullet"/>
      <w:lvlText w:val="o"/>
      <w:lvlJc w:val="left"/>
      <w:pPr>
        <w:tabs>
          <w:tab w:val="num" w:pos="3492"/>
        </w:tabs>
        <w:ind w:left="3492" w:hanging="360"/>
      </w:pPr>
      <w:rPr>
        <w:rFonts w:ascii="Courier New" w:hAnsi="Courier New" w:cs="Times New (W1)" w:hint="default"/>
      </w:rPr>
    </w:lvl>
    <w:lvl w:ilvl="5">
      <w:start w:val="1"/>
      <w:numFmt w:val="bullet"/>
      <w:lvlText w:val=""/>
      <w:lvlJc w:val="left"/>
      <w:pPr>
        <w:tabs>
          <w:tab w:val="num" w:pos="4212"/>
        </w:tabs>
        <w:ind w:left="4212" w:hanging="360"/>
      </w:pPr>
      <w:rPr>
        <w:rFonts w:ascii="Wingdings" w:hAnsi="Wingdings" w:hint="default"/>
      </w:rPr>
    </w:lvl>
    <w:lvl w:ilvl="6">
      <w:start w:val="1"/>
      <w:numFmt w:val="bullet"/>
      <w:lvlText w:val=""/>
      <w:lvlJc w:val="left"/>
      <w:pPr>
        <w:tabs>
          <w:tab w:val="num" w:pos="4932"/>
        </w:tabs>
        <w:ind w:left="4932" w:hanging="360"/>
      </w:pPr>
      <w:rPr>
        <w:rFonts w:ascii="Symbol" w:hAnsi="Symbol" w:hint="default"/>
      </w:rPr>
    </w:lvl>
    <w:lvl w:ilvl="7">
      <w:start w:val="1"/>
      <w:numFmt w:val="bullet"/>
      <w:lvlText w:val="o"/>
      <w:lvlJc w:val="left"/>
      <w:pPr>
        <w:tabs>
          <w:tab w:val="num" w:pos="5652"/>
        </w:tabs>
        <w:ind w:left="5652" w:hanging="360"/>
      </w:pPr>
      <w:rPr>
        <w:rFonts w:ascii="Courier New" w:hAnsi="Courier New" w:cs="Times New (W1)" w:hint="default"/>
      </w:rPr>
    </w:lvl>
    <w:lvl w:ilvl="8">
      <w:start w:val="1"/>
      <w:numFmt w:val="bullet"/>
      <w:lvlText w:val=""/>
      <w:lvlJc w:val="left"/>
      <w:pPr>
        <w:tabs>
          <w:tab w:val="num" w:pos="6372"/>
        </w:tabs>
        <w:ind w:left="6372" w:hanging="360"/>
      </w:pPr>
      <w:rPr>
        <w:rFonts w:ascii="Wingdings" w:hAnsi="Wingdings" w:hint="default"/>
      </w:rPr>
    </w:lvl>
  </w:abstractNum>
  <w:abstractNum w:abstractNumId="24" w15:restartNumberingAfterBreak="0">
    <w:nsid w:val="46667916"/>
    <w:multiLevelType w:val="multilevel"/>
    <w:tmpl w:val="049A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041F9E"/>
    <w:multiLevelType w:val="multilevel"/>
    <w:tmpl w:val="2D88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F2647A"/>
    <w:multiLevelType w:val="hybridMultilevel"/>
    <w:tmpl w:val="7D7470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F33B4B"/>
    <w:multiLevelType w:val="multilevel"/>
    <w:tmpl w:val="D0FA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CE0BA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4F7E52AA"/>
    <w:multiLevelType w:val="multilevel"/>
    <w:tmpl w:val="319698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2F7261"/>
    <w:multiLevelType w:val="multilevel"/>
    <w:tmpl w:val="ABFC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8D543A"/>
    <w:multiLevelType w:val="multilevel"/>
    <w:tmpl w:val="05E0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FA2574"/>
    <w:multiLevelType w:val="hybridMultilevel"/>
    <w:tmpl w:val="0A1E8A72"/>
    <w:lvl w:ilvl="0" w:tplc="0409000B">
      <w:start w:val="1"/>
      <w:numFmt w:val="bullet"/>
      <w:lvlText w:val=""/>
      <w:lvlJc w:val="left"/>
      <w:pPr>
        <w:tabs>
          <w:tab w:val="num" w:pos="1080"/>
        </w:tabs>
        <w:ind w:left="1080" w:hanging="360"/>
      </w:pPr>
      <w:rPr>
        <w:rFonts w:ascii="Wingdings" w:hAnsi="Wingdings" w:hint="default"/>
        <w:color w:val="auto"/>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4F29F1"/>
    <w:multiLevelType w:val="hybridMultilevel"/>
    <w:tmpl w:val="0D92DB02"/>
    <w:lvl w:ilvl="0" w:tplc="04090001">
      <w:start w:val="1"/>
      <w:numFmt w:val="bullet"/>
      <w:lvlText w:val=""/>
      <w:lvlJc w:val="left"/>
      <w:pPr>
        <w:tabs>
          <w:tab w:val="num" w:pos="780"/>
        </w:tabs>
        <w:ind w:left="780" w:hanging="360"/>
      </w:pPr>
      <w:rPr>
        <w:rFonts w:ascii="Symbol" w:hAnsi="Symbol" w:hint="default"/>
      </w:rPr>
    </w:lvl>
    <w:lvl w:ilvl="1" w:tplc="0409000F">
      <w:start w:val="1"/>
      <w:numFmt w:val="decimal"/>
      <w:lvlText w:val="%2."/>
      <w:lvlJc w:val="left"/>
      <w:pPr>
        <w:tabs>
          <w:tab w:val="num" w:pos="1500"/>
        </w:tabs>
        <w:ind w:left="1500" w:hanging="360"/>
      </w:pPr>
      <w:rPr>
        <w:rFonts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4" w15:restartNumberingAfterBreak="0">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35" w15:restartNumberingAfterBreak="0">
    <w:nsid w:val="59A84710"/>
    <w:multiLevelType w:val="multilevel"/>
    <w:tmpl w:val="B1FA664C"/>
    <w:lvl w:ilvl="0">
      <w:start w:val="1"/>
      <w:numFmt w:val="bullet"/>
      <w:lvlText w:val=""/>
      <w:lvlJc w:val="left"/>
      <w:pPr>
        <w:tabs>
          <w:tab w:val="num" w:pos="612"/>
        </w:tabs>
        <w:ind w:left="612" w:hanging="360"/>
      </w:pPr>
      <w:rPr>
        <w:rFonts w:ascii="Wingdings" w:hAnsi="Wingdings" w:hint="default"/>
      </w:rPr>
    </w:lvl>
    <w:lvl w:ilvl="1">
      <w:start w:val="1"/>
      <w:numFmt w:val="bullet"/>
      <w:lvlText w:val="o"/>
      <w:lvlJc w:val="left"/>
      <w:pPr>
        <w:tabs>
          <w:tab w:val="num" w:pos="1332"/>
        </w:tabs>
        <w:ind w:left="1332" w:hanging="360"/>
      </w:pPr>
      <w:rPr>
        <w:rFonts w:ascii="Courier New" w:hAnsi="Courier New" w:cs="Times New (W1)" w:hint="default"/>
      </w:rPr>
    </w:lvl>
    <w:lvl w:ilvl="2">
      <w:start w:val="1"/>
      <w:numFmt w:val="bullet"/>
      <w:lvlText w:val=""/>
      <w:lvlJc w:val="left"/>
      <w:pPr>
        <w:tabs>
          <w:tab w:val="num" w:pos="2052"/>
        </w:tabs>
        <w:ind w:left="2052" w:hanging="360"/>
      </w:pPr>
      <w:rPr>
        <w:rFonts w:ascii="Wingdings" w:hAnsi="Wingdings" w:hint="default"/>
      </w:rPr>
    </w:lvl>
    <w:lvl w:ilvl="3">
      <w:start w:val="1"/>
      <w:numFmt w:val="bullet"/>
      <w:lvlText w:val=""/>
      <w:lvlJc w:val="left"/>
      <w:pPr>
        <w:tabs>
          <w:tab w:val="num" w:pos="2772"/>
        </w:tabs>
        <w:ind w:left="2772" w:hanging="360"/>
      </w:pPr>
      <w:rPr>
        <w:rFonts w:ascii="Symbol" w:hAnsi="Symbol" w:hint="default"/>
      </w:rPr>
    </w:lvl>
    <w:lvl w:ilvl="4">
      <w:start w:val="1"/>
      <w:numFmt w:val="bullet"/>
      <w:lvlText w:val="o"/>
      <w:lvlJc w:val="left"/>
      <w:pPr>
        <w:tabs>
          <w:tab w:val="num" w:pos="3492"/>
        </w:tabs>
        <w:ind w:left="3492" w:hanging="360"/>
      </w:pPr>
      <w:rPr>
        <w:rFonts w:ascii="Courier New" w:hAnsi="Courier New" w:cs="Times New (W1)" w:hint="default"/>
      </w:rPr>
    </w:lvl>
    <w:lvl w:ilvl="5">
      <w:start w:val="1"/>
      <w:numFmt w:val="bullet"/>
      <w:lvlText w:val=""/>
      <w:lvlJc w:val="left"/>
      <w:pPr>
        <w:tabs>
          <w:tab w:val="num" w:pos="4212"/>
        </w:tabs>
        <w:ind w:left="4212" w:hanging="360"/>
      </w:pPr>
      <w:rPr>
        <w:rFonts w:ascii="Wingdings" w:hAnsi="Wingdings" w:hint="default"/>
      </w:rPr>
    </w:lvl>
    <w:lvl w:ilvl="6">
      <w:start w:val="1"/>
      <w:numFmt w:val="bullet"/>
      <w:lvlText w:val=""/>
      <w:lvlJc w:val="left"/>
      <w:pPr>
        <w:tabs>
          <w:tab w:val="num" w:pos="4932"/>
        </w:tabs>
        <w:ind w:left="4932" w:hanging="360"/>
      </w:pPr>
      <w:rPr>
        <w:rFonts w:ascii="Symbol" w:hAnsi="Symbol" w:hint="default"/>
      </w:rPr>
    </w:lvl>
    <w:lvl w:ilvl="7">
      <w:start w:val="1"/>
      <w:numFmt w:val="bullet"/>
      <w:lvlText w:val="o"/>
      <w:lvlJc w:val="left"/>
      <w:pPr>
        <w:tabs>
          <w:tab w:val="num" w:pos="5652"/>
        </w:tabs>
        <w:ind w:left="5652" w:hanging="360"/>
      </w:pPr>
      <w:rPr>
        <w:rFonts w:ascii="Courier New" w:hAnsi="Courier New" w:cs="Times New (W1)" w:hint="default"/>
      </w:rPr>
    </w:lvl>
    <w:lvl w:ilvl="8">
      <w:start w:val="1"/>
      <w:numFmt w:val="bullet"/>
      <w:lvlText w:val=""/>
      <w:lvlJc w:val="left"/>
      <w:pPr>
        <w:tabs>
          <w:tab w:val="num" w:pos="6372"/>
        </w:tabs>
        <w:ind w:left="6372" w:hanging="360"/>
      </w:pPr>
      <w:rPr>
        <w:rFonts w:ascii="Wingdings" w:hAnsi="Wingdings" w:hint="default"/>
      </w:rPr>
    </w:lvl>
  </w:abstractNum>
  <w:abstractNum w:abstractNumId="36" w15:restartNumberingAfterBreak="0">
    <w:nsid w:val="5A606CBB"/>
    <w:multiLevelType w:val="hybridMultilevel"/>
    <w:tmpl w:val="14D8E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B227FF6"/>
    <w:multiLevelType w:val="hybridMultilevel"/>
    <w:tmpl w:val="9AAAE090"/>
    <w:lvl w:ilvl="0" w:tplc="7E9A705E">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B7C70DA"/>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9" w15:restartNumberingAfterBreak="0">
    <w:nsid w:val="5C6F5C57"/>
    <w:multiLevelType w:val="multilevel"/>
    <w:tmpl w:val="8E16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DD73910"/>
    <w:multiLevelType w:val="hybridMultilevel"/>
    <w:tmpl w:val="8E9ED684"/>
    <w:lvl w:ilvl="0" w:tplc="FFFFFFFF">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24A77AD"/>
    <w:multiLevelType w:val="hybridMultilevel"/>
    <w:tmpl w:val="EF94B6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26875F0"/>
    <w:multiLevelType w:val="hybridMultilevel"/>
    <w:tmpl w:val="42BCA0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6731647"/>
    <w:multiLevelType w:val="multilevel"/>
    <w:tmpl w:val="9682791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W1)"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W1)"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6EE7FE3"/>
    <w:multiLevelType w:val="hybridMultilevel"/>
    <w:tmpl w:val="FD2E7ECC"/>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800"/>
        </w:tabs>
        <w:ind w:left="1800" w:hanging="360"/>
      </w:pPr>
      <w:rPr>
        <w:rFonts w:ascii="Courier New" w:hAnsi="Courier New" w:cs="Times New (W1)"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Times New (W1)"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Times New (W1)"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6C507C82"/>
    <w:multiLevelType w:val="hybridMultilevel"/>
    <w:tmpl w:val="CF964A98"/>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CC76F3C"/>
    <w:multiLevelType w:val="multilevel"/>
    <w:tmpl w:val="61E02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0467CC2"/>
    <w:multiLevelType w:val="hybridMultilevel"/>
    <w:tmpl w:val="DD965748"/>
    <w:lvl w:ilvl="0" w:tplc="0409000B">
      <w:start w:val="1"/>
      <w:numFmt w:val="bullet"/>
      <w:lvlText w:val=""/>
      <w:lvlJc w:val="left"/>
      <w:pPr>
        <w:tabs>
          <w:tab w:val="num" w:pos="1080"/>
        </w:tabs>
        <w:ind w:left="1080" w:hanging="360"/>
      </w:pPr>
      <w:rPr>
        <w:rFonts w:ascii="Wingdings" w:hAnsi="Wingdings" w:hint="default"/>
        <w:color w:val="auto"/>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1773900"/>
    <w:multiLevelType w:val="hybridMultilevel"/>
    <w:tmpl w:val="AB0C5916"/>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39D2F89"/>
    <w:multiLevelType w:val="hybridMultilevel"/>
    <w:tmpl w:val="C8528428"/>
    <w:lvl w:ilvl="0" w:tplc="FFFFFFFF">
      <w:start w:val="1"/>
      <w:numFmt w:val="bullet"/>
      <w:lvlText w:val=""/>
      <w:lvlJc w:val="left"/>
      <w:pPr>
        <w:tabs>
          <w:tab w:val="num" w:pos="1080"/>
        </w:tabs>
        <w:ind w:left="108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C8836DA"/>
    <w:multiLevelType w:val="hybridMultilevel"/>
    <w:tmpl w:val="1DC69BC0"/>
    <w:lvl w:ilvl="0" w:tplc="D9E81D0E">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abstractNum w:abstractNumId="52" w15:restartNumberingAfterBreak="0">
    <w:nsid w:val="7DEF18BF"/>
    <w:multiLevelType w:val="hybridMultilevel"/>
    <w:tmpl w:val="0F70BD80"/>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51"/>
  </w:num>
  <w:num w:numId="7">
    <w:abstractNumId w:val="42"/>
  </w:num>
  <w:num w:numId="8">
    <w:abstractNumId w:val="38"/>
  </w:num>
  <w:num w:numId="9">
    <w:abstractNumId w:val="41"/>
  </w:num>
  <w:num w:numId="10">
    <w:abstractNumId w:val="15"/>
  </w:num>
  <w:num w:numId="11">
    <w:abstractNumId w:val="36"/>
  </w:num>
  <w:num w:numId="12">
    <w:abstractNumId w:val="50"/>
  </w:num>
  <w:num w:numId="13">
    <w:abstractNumId w:val="8"/>
  </w:num>
  <w:num w:numId="14">
    <w:abstractNumId w:val="20"/>
  </w:num>
  <w:num w:numId="15">
    <w:abstractNumId w:val="34"/>
  </w:num>
  <w:num w:numId="16">
    <w:abstractNumId w:val="49"/>
  </w:num>
  <w:num w:numId="17">
    <w:abstractNumId w:val="44"/>
  </w:num>
  <w:num w:numId="18">
    <w:abstractNumId w:val="22"/>
  </w:num>
  <w:num w:numId="19">
    <w:abstractNumId w:val="32"/>
  </w:num>
  <w:num w:numId="20">
    <w:abstractNumId w:val="9"/>
  </w:num>
  <w:num w:numId="21">
    <w:abstractNumId w:val="47"/>
  </w:num>
  <w:num w:numId="22">
    <w:abstractNumId w:val="1"/>
  </w:num>
  <w:num w:numId="23">
    <w:abstractNumId w:val="43"/>
  </w:num>
  <w:num w:numId="24">
    <w:abstractNumId w:val="40"/>
  </w:num>
  <w:num w:numId="25">
    <w:abstractNumId w:val="4"/>
  </w:num>
  <w:num w:numId="26">
    <w:abstractNumId w:val="10"/>
  </w:num>
  <w:num w:numId="27">
    <w:abstractNumId w:val="35"/>
  </w:num>
  <w:num w:numId="28">
    <w:abstractNumId w:val="0"/>
  </w:num>
  <w:num w:numId="29">
    <w:abstractNumId w:val="23"/>
  </w:num>
  <w:num w:numId="30">
    <w:abstractNumId w:val="18"/>
  </w:num>
  <w:num w:numId="31">
    <w:abstractNumId w:val="48"/>
  </w:num>
  <w:num w:numId="32">
    <w:abstractNumId w:val="45"/>
  </w:num>
  <w:num w:numId="33">
    <w:abstractNumId w:val="52"/>
  </w:num>
  <w:num w:numId="34">
    <w:abstractNumId w:val="24"/>
  </w:num>
  <w:num w:numId="35">
    <w:abstractNumId w:val="31"/>
  </w:num>
  <w:num w:numId="36">
    <w:abstractNumId w:val="25"/>
  </w:num>
  <w:num w:numId="37">
    <w:abstractNumId w:val="39"/>
  </w:num>
  <w:num w:numId="38">
    <w:abstractNumId w:val="16"/>
  </w:num>
  <w:num w:numId="39">
    <w:abstractNumId w:val="3"/>
  </w:num>
  <w:num w:numId="40">
    <w:abstractNumId w:val="30"/>
  </w:num>
  <w:num w:numId="41">
    <w:abstractNumId w:val="5"/>
  </w:num>
  <w:num w:numId="42">
    <w:abstractNumId w:val="7"/>
  </w:num>
  <w:num w:numId="43">
    <w:abstractNumId w:val="27"/>
  </w:num>
  <w:num w:numId="44">
    <w:abstractNumId w:val="46"/>
  </w:num>
  <w:num w:numId="45">
    <w:abstractNumId w:val="26"/>
  </w:num>
  <w:num w:numId="46">
    <w:abstractNumId w:val="14"/>
  </w:num>
  <w:num w:numId="47">
    <w:abstractNumId w:val="12"/>
  </w:num>
  <w:num w:numId="48">
    <w:abstractNumId w:val="6"/>
  </w:num>
  <w:num w:numId="49">
    <w:abstractNumId w:val="33"/>
  </w:num>
  <w:num w:numId="50">
    <w:abstractNumId w:val="46"/>
  </w:num>
  <w:num w:numId="51">
    <w:abstractNumId w:val="19"/>
  </w:num>
  <w:num w:numId="52">
    <w:abstractNumId w:val="37"/>
  </w:num>
  <w:num w:numId="53">
    <w:abstractNumId w:val="13"/>
  </w:num>
  <w:num w:numId="54">
    <w:abstractNumId w:val="1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ENInstantFormat&gt;"/>
    <w:docVar w:name="EN.Layout" w:val="&lt;ENLayout&gt;&lt;Style&gt;J Amer Medical Associ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EADERS.enl&lt;/item&gt;&lt;/Libraries&gt;&lt;/ENLibraries&gt;"/>
  </w:docVars>
  <w:rsids>
    <w:rsidRoot w:val="00873F74"/>
    <w:rsid w:val="00006D7B"/>
    <w:rsid w:val="000105CF"/>
    <w:rsid w:val="000109F4"/>
    <w:rsid w:val="00011E85"/>
    <w:rsid w:val="000157F4"/>
    <w:rsid w:val="00016560"/>
    <w:rsid w:val="00024FEE"/>
    <w:rsid w:val="0003737A"/>
    <w:rsid w:val="00037998"/>
    <w:rsid w:val="00045959"/>
    <w:rsid w:val="00046359"/>
    <w:rsid w:val="00047855"/>
    <w:rsid w:val="0006207D"/>
    <w:rsid w:val="00065576"/>
    <w:rsid w:val="00066A53"/>
    <w:rsid w:val="00074665"/>
    <w:rsid w:val="000779A9"/>
    <w:rsid w:val="00082047"/>
    <w:rsid w:val="00084DC6"/>
    <w:rsid w:val="000949E1"/>
    <w:rsid w:val="00097AF0"/>
    <w:rsid w:val="00097FD1"/>
    <w:rsid w:val="000A140E"/>
    <w:rsid w:val="000A3328"/>
    <w:rsid w:val="000A3475"/>
    <w:rsid w:val="000B0515"/>
    <w:rsid w:val="000B4508"/>
    <w:rsid w:val="000B7457"/>
    <w:rsid w:val="000B78CB"/>
    <w:rsid w:val="000C2864"/>
    <w:rsid w:val="000C6093"/>
    <w:rsid w:val="000C7A99"/>
    <w:rsid w:val="000D0F3C"/>
    <w:rsid w:val="000D2F66"/>
    <w:rsid w:val="000D429E"/>
    <w:rsid w:val="000D7192"/>
    <w:rsid w:val="000E01D1"/>
    <w:rsid w:val="000E1F40"/>
    <w:rsid w:val="000F1328"/>
    <w:rsid w:val="000F2B59"/>
    <w:rsid w:val="000F668D"/>
    <w:rsid w:val="00104879"/>
    <w:rsid w:val="00111754"/>
    <w:rsid w:val="00112DF2"/>
    <w:rsid w:val="00131443"/>
    <w:rsid w:val="00160EB2"/>
    <w:rsid w:val="001619AC"/>
    <w:rsid w:val="00165529"/>
    <w:rsid w:val="00177932"/>
    <w:rsid w:val="00180B12"/>
    <w:rsid w:val="0018282E"/>
    <w:rsid w:val="00187A50"/>
    <w:rsid w:val="001906D5"/>
    <w:rsid w:val="00193967"/>
    <w:rsid w:val="00197ED9"/>
    <w:rsid w:val="001A2C9D"/>
    <w:rsid w:val="001A6643"/>
    <w:rsid w:val="001B1C61"/>
    <w:rsid w:val="001C0134"/>
    <w:rsid w:val="001C3BE6"/>
    <w:rsid w:val="001C3FB2"/>
    <w:rsid w:val="001C59E4"/>
    <w:rsid w:val="001E6B42"/>
    <w:rsid w:val="001F00D3"/>
    <w:rsid w:val="001F3365"/>
    <w:rsid w:val="0022366A"/>
    <w:rsid w:val="00223959"/>
    <w:rsid w:val="00236FCF"/>
    <w:rsid w:val="00263DA7"/>
    <w:rsid w:val="0026424E"/>
    <w:rsid w:val="0026450F"/>
    <w:rsid w:val="00272E29"/>
    <w:rsid w:val="00291B73"/>
    <w:rsid w:val="0029668B"/>
    <w:rsid w:val="0029734C"/>
    <w:rsid w:val="002973A7"/>
    <w:rsid w:val="002B382B"/>
    <w:rsid w:val="002C2746"/>
    <w:rsid w:val="002D0287"/>
    <w:rsid w:val="002D0E30"/>
    <w:rsid w:val="002D3618"/>
    <w:rsid w:val="002D44FC"/>
    <w:rsid w:val="002E54EF"/>
    <w:rsid w:val="002F4DE8"/>
    <w:rsid w:val="002F6653"/>
    <w:rsid w:val="00303A67"/>
    <w:rsid w:val="003237DB"/>
    <w:rsid w:val="00325B9C"/>
    <w:rsid w:val="00340D97"/>
    <w:rsid w:val="0034421B"/>
    <w:rsid w:val="00344472"/>
    <w:rsid w:val="00361F52"/>
    <w:rsid w:val="00377301"/>
    <w:rsid w:val="0037771B"/>
    <w:rsid w:val="0038217D"/>
    <w:rsid w:val="0038357C"/>
    <w:rsid w:val="00397888"/>
    <w:rsid w:val="003A36D0"/>
    <w:rsid w:val="003B1878"/>
    <w:rsid w:val="003B198C"/>
    <w:rsid w:val="003B6B41"/>
    <w:rsid w:val="003C1570"/>
    <w:rsid w:val="003C60BD"/>
    <w:rsid w:val="003D21A7"/>
    <w:rsid w:val="003D73D8"/>
    <w:rsid w:val="003E72CC"/>
    <w:rsid w:val="003F5921"/>
    <w:rsid w:val="003F6268"/>
    <w:rsid w:val="0040346E"/>
    <w:rsid w:val="00407665"/>
    <w:rsid w:val="00414C80"/>
    <w:rsid w:val="004155E1"/>
    <w:rsid w:val="00425974"/>
    <w:rsid w:val="00427712"/>
    <w:rsid w:val="0043596B"/>
    <w:rsid w:val="00445A76"/>
    <w:rsid w:val="0044769A"/>
    <w:rsid w:val="00450538"/>
    <w:rsid w:val="00456179"/>
    <w:rsid w:val="00462BCC"/>
    <w:rsid w:val="00467163"/>
    <w:rsid w:val="0047504D"/>
    <w:rsid w:val="004A117F"/>
    <w:rsid w:val="004A4138"/>
    <w:rsid w:val="004A62C3"/>
    <w:rsid w:val="004B5453"/>
    <w:rsid w:val="004C4A74"/>
    <w:rsid w:val="004C6BEF"/>
    <w:rsid w:val="004D26E5"/>
    <w:rsid w:val="004E3A1B"/>
    <w:rsid w:val="004F14B3"/>
    <w:rsid w:val="004F6550"/>
    <w:rsid w:val="00510909"/>
    <w:rsid w:val="005146F5"/>
    <w:rsid w:val="00520CE0"/>
    <w:rsid w:val="00531857"/>
    <w:rsid w:val="00535B56"/>
    <w:rsid w:val="005377BF"/>
    <w:rsid w:val="00541B49"/>
    <w:rsid w:val="00556066"/>
    <w:rsid w:val="00560856"/>
    <w:rsid w:val="0056091E"/>
    <w:rsid w:val="00561223"/>
    <w:rsid w:val="00567CC7"/>
    <w:rsid w:val="00570FD1"/>
    <w:rsid w:val="00581FD2"/>
    <w:rsid w:val="00583255"/>
    <w:rsid w:val="00591095"/>
    <w:rsid w:val="0059249D"/>
    <w:rsid w:val="00594F8D"/>
    <w:rsid w:val="005A72EC"/>
    <w:rsid w:val="005B2955"/>
    <w:rsid w:val="005B3C01"/>
    <w:rsid w:val="005B4C7E"/>
    <w:rsid w:val="005B62CF"/>
    <w:rsid w:val="005B6FAA"/>
    <w:rsid w:val="005C3073"/>
    <w:rsid w:val="005D2BAF"/>
    <w:rsid w:val="005D43E2"/>
    <w:rsid w:val="005F4B12"/>
    <w:rsid w:val="005F7247"/>
    <w:rsid w:val="006014DB"/>
    <w:rsid w:val="00606400"/>
    <w:rsid w:val="00606773"/>
    <w:rsid w:val="00613C05"/>
    <w:rsid w:val="00621FD7"/>
    <w:rsid w:val="00625C1B"/>
    <w:rsid w:val="00631C81"/>
    <w:rsid w:val="006324B2"/>
    <w:rsid w:val="00635119"/>
    <w:rsid w:val="00636A0C"/>
    <w:rsid w:val="0063759A"/>
    <w:rsid w:val="00650AAE"/>
    <w:rsid w:val="00655A17"/>
    <w:rsid w:val="006641D3"/>
    <w:rsid w:val="00665524"/>
    <w:rsid w:val="00673146"/>
    <w:rsid w:val="00675A87"/>
    <w:rsid w:val="006B2BCF"/>
    <w:rsid w:val="006B5904"/>
    <w:rsid w:val="006C0DA9"/>
    <w:rsid w:val="006D254B"/>
    <w:rsid w:val="006F1881"/>
    <w:rsid w:val="006F20AA"/>
    <w:rsid w:val="0070072D"/>
    <w:rsid w:val="00703573"/>
    <w:rsid w:val="0071081B"/>
    <w:rsid w:val="007109B1"/>
    <w:rsid w:val="007215F1"/>
    <w:rsid w:val="007224FE"/>
    <w:rsid w:val="00723075"/>
    <w:rsid w:val="00733720"/>
    <w:rsid w:val="007339ED"/>
    <w:rsid w:val="0073603E"/>
    <w:rsid w:val="00737DA7"/>
    <w:rsid w:val="00744D19"/>
    <w:rsid w:val="00747A7E"/>
    <w:rsid w:val="0075077B"/>
    <w:rsid w:val="00752ABC"/>
    <w:rsid w:val="00761E84"/>
    <w:rsid w:val="00765D1A"/>
    <w:rsid w:val="0076619D"/>
    <w:rsid w:val="007711A8"/>
    <w:rsid w:val="007721F3"/>
    <w:rsid w:val="00773731"/>
    <w:rsid w:val="00777015"/>
    <w:rsid w:val="007B0CF3"/>
    <w:rsid w:val="007B3A8E"/>
    <w:rsid w:val="007C1ECB"/>
    <w:rsid w:val="007C73C9"/>
    <w:rsid w:val="007D22E5"/>
    <w:rsid w:val="007D4302"/>
    <w:rsid w:val="007D4F9F"/>
    <w:rsid w:val="007E38B4"/>
    <w:rsid w:val="007E4359"/>
    <w:rsid w:val="007E66D5"/>
    <w:rsid w:val="007F556E"/>
    <w:rsid w:val="0080612B"/>
    <w:rsid w:val="008066FE"/>
    <w:rsid w:val="0081032B"/>
    <w:rsid w:val="00810680"/>
    <w:rsid w:val="008121D8"/>
    <w:rsid w:val="00817DA0"/>
    <w:rsid w:val="00825DA9"/>
    <w:rsid w:val="00830B2C"/>
    <w:rsid w:val="0083210A"/>
    <w:rsid w:val="00841621"/>
    <w:rsid w:val="008450C0"/>
    <w:rsid w:val="008568EE"/>
    <w:rsid w:val="0086105C"/>
    <w:rsid w:val="00861E61"/>
    <w:rsid w:val="00873F74"/>
    <w:rsid w:val="00875D5A"/>
    <w:rsid w:val="00880DFE"/>
    <w:rsid w:val="00887F65"/>
    <w:rsid w:val="00892655"/>
    <w:rsid w:val="008A6E65"/>
    <w:rsid w:val="008A7861"/>
    <w:rsid w:val="008B0AC4"/>
    <w:rsid w:val="008B45A5"/>
    <w:rsid w:val="008B467D"/>
    <w:rsid w:val="008B593F"/>
    <w:rsid w:val="008C1749"/>
    <w:rsid w:val="008C580E"/>
    <w:rsid w:val="008E567E"/>
    <w:rsid w:val="008F0B8B"/>
    <w:rsid w:val="008F156A"/>
    <w:rsid w:val="009069BF"/>
    <w:rsid w:val="009125F2"/>
    <w:rsid w:val="00917A7B"/>
    <w:rsid w:val="00923F8E"/>
    <w:rsid w:val="009304C4"/>
    <w:rsid w:val="009374DF"/>
    <w:rsid w:val="00940835"/>
    <w:rsid w:val="00943DF2"/>
    <w:rsid w:val="009469AB"/>
    <w:rsid w:val="00982BA8"/>
    <w:rsid w:val="009943E2"/>
    <w:rsid w:val="009943E4"/>
    <w:rsid w:val="009A237A"/>
    <w:rsid w:val="009A49A7"/>
    <w:rsid w:val="009A5441"/>
    <w:rsid w:val="009A6B60"/>
    <w:rsid w:val="009B3832"/>
    <w:rsid w:val="009B633D"/>
    <w:rsid w:val="009C4881"/>
    <w:rsid w:val="009D3DBB"/>
    <w:rsid w:val="009D4E81"/>
    <w:rsid w:val="009D751C"/>
    <w:rsid w:val="009F597D"/>
    <w:rsid w:val="009F5E6A"/>
    <w:rsid w:val="00A010E1"/>
    <w:rsid w:val="00A15D49"/>
    <w:rsid w:val="00A17912"/>
    <w:rsid w:val="00A27E81"/>
    <w:rsid w:val="00A30D9A"/>
    <w:rsid w:val="00A41656"/>
    <w:rsid w:val="00A4694A"/>
    <w:rsid w:val="00A53F0F"/>
    <w:rsid w:val="00A544F3"/>
    <w:rsid w:val="00A61CEB"/>
    <w:rsid w:val="00A82A40"/>
    <w:rsid w:val="00A835E4"/>
    <w:rsid w:val="00A905D8"/>
    <w:rsid w:val="00A94219"/>
    <w:rsid w:val="00AA1DDC"/>
    <w:rsid w:val="00AA23E6"/>
    <w:rsid w:val="00AA3F0B"/>
    <w:rsid w:val="00AA4A2A"/>
    <w:rsid w:val="00AA788A"/>
    <w:rsid w:val="00AB3A59"/>
    <w:rsid w:val="00AB6306"/>
    <w:rsid w:val="00AD6516"/>
    <w:rsid w:val="00AE0615"/>
    <w:rsid w:val="00AE4702"/>
    <w:rsid w:val="00B12E68"/>
    <w:rsid w:val="00B22EDA"/>
    <w:rsid w:val="00B23654"/>
    <w:rsid w:val="00B238AD"/>
    <w:rsid w:val="00B23E21"/>
    <w:rsid w:val="00B257FE"/>
    <w:rsid w:val="00B317B9"/>
    <w:rsid w:val="00B34636"/>
    <w:rsid w:val="00B458AE"/>
    <w:rsid w:val="00B52533"/>
    <w:rsid w:val="00B645ED"/>
    <w:rsid w:val="00B66078"/>
    <w:rsid w:val="00B720EC"/>
    <w:rsid w:val="00B762E0"/>
    <w:rsid w:val="00B825D0"/>
    <w:rsid w:val="00B83929"/>
    <w:rsid w:val="00B8454B"/>
    <w:rsid w:val="00B915F1"/>
    <w:rsid w:val="00BA36B4"/>
    <w:rsid w:val="00BB1C2F"/>
    <w:rsid w:val="00BB2479"/>
    <w:rsid w:val="00BB2BF2"/>
    <w:rsid w:val="00BB2E78"/>
    <w:rsid w:val="00BB7136"/>
    <w:rsid w:val="00BC0131"/>
    <w:rsid w:val="00BD05EF"/>
    <w:rsid w:val="00BD3346"/>
    <w:rsid w:val="00BE0430"/>
    <w:rsid w:val="00BF57EA"/>
    <w:rsid w:val="00BF735E"/>
    <w:rsid w:val="00C0644C"/>
    <w:rsid w:val="00C10096"/>
    <w:rsid w:val="00C205C8"/>
    <w:rsid w:val="00C24BB0"/>
    <w:rsid w:val="00C320F9"/>
    <w:rsid w:val="00C4006D"/>
    <w:rsid w:val="00C4546D"/>
    <w:rsid w:val="00C5530B"/>
    <w:rsid w:val="00C62FB3"/>
    <w:rsid w:val="00C64859"/>
    <w:rsid w:val="00C6727E"/>
    <w:rsid w:val="00C73F08"/>
    <w:rsid w:val="00C754A7"/>
    <w:rsid w:val="00C91688"/>
    <w:rsid w:val="00C9212A"/>
    <w:rsid w:val="00C9250D"/>
    <w:rsid w:val="00CA1290"/>
    <w:rsid w:val="00CA136B"/>
    <w:rsid w:val="00CA46B4"/>
    <w:rsid w:val="00CA7470"/>
    <w:rsid w:val="00CA7E2C"/>
    <w:rsid w:val="00CB7106"/>
    <w:rsid w:val="00CC1F81"/>
    <w:rsid w:val="00CC54E3"/>
    <w:rsid w:val="00CD6456"/>
    <w:rsid w:val="00CF3861"/>
    <w:rsid w:val="00CF7C2A"/>
    <w:rsid w:val="00D0660C"/>
    <w:rsid w:val="00D150A9"/>
    <w:rsid w:val="00D249C5"/>
    <w:rsid w:val="00D2521F"/>
    <w:rsid w:val="00D27C71"/>
    <w:rsid w:val="00D27D52"/>
    <w:rsid w:val="00D543D5"/>
    <w:rsid w:val="00D551E0"/>
    <w:rsid w:val="00D63082"/>
    <w:rsid w:val="00D66E74"/>
    <w:rsid w:val="00D71F23"/>
    <w:rsid w:val="00D84857"/>
    <w:rsid w:val="00D87225"/>
    <w:rsid w:val="00DA097F"/>
    <w:rsid w:val="00DA48E2"/>
    <w:rsid w:val="00DA496A"/>
    <w:rsid w:val="00DA73A3"/>
    <w:rsid w:val="00DA7576"/>
    <w:rsid w:val="00DB3948"/>
    <w:rsid w:val="00DC52F0"/>
    <w:rsid w:val="00DD4E2E"/>
    <w:rsid w:val="00DD57E3"/>
    <w:rsid w:val="00DF4F3C"/>
    <w:rsid w:val="00E01594"/>
    <w:rsid w:val="00E14FC3"/>
    <w:rsid w:val="00E2592B"/>
    <w:rsid w:val="00E32B53"/>
    <w:rsid w:val="00E35E2F"/>
    <w:rsid w:val="00E47851"/>
    <w:rsid w:val="00E52235"/>
    <w:rsid w:val="00E53F0D"/>
    <w:rsid w:val="00E55AC8"/>
    <w:rsid w:val="00E56A8F"/>
    <w:rsid w:val="00E655EF"/>
    <w:rsid w:val="00E706B3"/>
    <w:rsid w:val="00E7422B"/>
    <w:rsid w:val="00E7503C"/>
    <w:rsid w:val="00E81D6A"/>
    <w:rsid w:val="00E860A8"/>
    <w:rsid w:val="00E97584"/>
    <w:rsid w:val="00E9768C"/>
    <w:rsid w:val="00EB58F3"/>
    <w:rsid w:val="00ED0EBB"/>
    <w:rsid w:val="00EE0FD3"/>
    <w:rsid w:val="00EE4455"/>
    <w:rsid w:val="00F04055"/>
    <w:rsid w:val="00F122B9"/>
    <w:rsid w:val="00F12FD2"/>
    <w:rsid w:val="00F17156"/>
    <w:rsid w:val="00F21CD9"/>
    <w:rsid w:val="00F3207F"/>
    <w:rsid w:val="00F323CB"/>
    <w:rsid w:val="00F46275"/>
    <w:rsid w:val="00F52208"/>
    <w:rsid w:val="00F5541A"/>
    <w:rsid w:val="00F5665F"/>
    <w:rsid w:val="00F60488"/>
    <w:rsid w:val="00F63BC0"/>
    <w:rsid w:val="00F640FB"/>
    <w:rsid w:val="00F64597"/>
    <w:rsid w:val="00F75361"/>
    <w:rsid w:val="00F75E6A"/>
    <w:rsid w:val="00F81925"/>
    <w:rsid w:val="00F94B00"/>
    <w:rsid w:val="00F94F1A"/>
    <w:rsid w:val="00FA03AD"/>
    <w:rsid w:val="00FA2E89"/>
    <w:rsid w:val="00FB2876"/>
    <w:rsid w:val="00FB3FE4"/>
    <w:rsid w:val="00FB6500"/>
    <w:rsid w:val="00FC430C"/>
    <w:rsid w:val="00FC7332"/>
    <w:rsid w:val="00FD174A"/>
    <w:rsid w:val="00FF056F"/>
    <w:rsid w:val="00FF6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D21E3C"/>
  <w15:chartTrackingRefBased/>
  <w15:docId w15:val="{A35E6617-0EFC-47C6-91A5-357BE87E9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159A"/>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link w:val="LefttoRight"/>
    <w:rsid w:val="00873F74"/>
    <w:rPr>
      <w:sz w:val="24"/>
      <w:szCs w:val="24"/>
      <w:lang w:val="en-US" w:eastAsia="en-US" w:bidi="ar-QA"/>
    </w:rPr>
  </w:style>
  <w:style w:type="table" w:styleId="TableGrid">
    <w:name w:val="Table Grid"/>
    <w:basedOn w:val="TableNormal"/>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6"/>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semiHidden/>
    <w:rsid w:val="001D0454"/>
  </w:style>
  <w:style w:type="paragraph" w:styleId="TOC2">
    <w:name w:val="toc 2"/>
    <w:basedOn w:val="Normal"/>
    <w:next w:val="Normal"/>
    <w:autoRedefine/>
    <w:semiHidden/>
    <w:rsid w:val="001D0454"/>
    <w:pPr>
      <w:ind w:left="240"/>
    </w:pPr>
  </w:style>
  <w:style w:type="paragraph" w:styleId="TOC3">
    <w:name w:val="toc 3"/>
    <w:basedOn w:val="Normal"/>
    <w:next w:val="Normal"/>
    <w:autoRedefine/>
    <w:semiHidden/>
    <w:rsid w:val="001D0454"/>
    <w:pPr>
      <w:ind w:left="480"/>
    </w:pPr>
  </w:style>
  <w:style w:type="character" w:styleId="Hyperlink">
    <w:name w:val="Hyperlink"/>
    <w:rsid w:val="001D0454"/>
    <w:rPr>
      <w:color w:val="0000FF"/>
      <w:u w:val="single"/>
    </w:rPr>
  </w:style>
  <w:style w:type="paragraph" w:styleId="Footer">
    <w:name w:val="footer"/>
    <w:basedOn w:val="Normal"/>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semiHidden/>
    <w:rsid w:val="00621299"/>
    <w:rPr>
      <w:sz w:val="16"/>
      <w:szCs w:val="16"/>
    </w:rPr>
  </w:style>
  <w:style w:type="paragraph" w:styleId="CommentText">
    <w:name w:val="annotation text"/>
    <w:basedOn w:val="Normal"/>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15"/>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semiHidden/>
    <w:rsid w:val="00C034DF"/>
    <w:rPr>
      <w:vertAlign w:val="superscript"/>
    </w:rPr>
  </w:style>
  <w:style w:type="character" w:styleId="FollowedHyperlink">
    <w:name w:val="FollowedHyperlink"/>
    <w:rsid w:val="00BF735E"/>
    <w:rPr>
      <w:color w:val="800080"/>
      <w:u w:val="single"/>
    </w:rPr>
  </w:style>
  <w:style w:type="character" w:customStyle="1" w:styleId="QuickFormat9">
    <w:name w:val="QuickFormat9"/>
    <w:rsid w:val="003F5921"/>
    <w:rPr>
      <w:b/>
      <w:i/>
      <w:color w:val="000000"/>
      <w:sz w:val="24"/>
    </w:rPr>
  </w:style>
  <w:style w:type="character" w:styleId="Strong">
    <w:name w:val="Strong"/>
    <w:qFormat/>
    <w:rsid w:val="007D4F9F"/>
    <w:rPr>
      <w:b/>
      <w:bCs/>
    </w:rPr>
  </w:style>
  <w:style w:type="paragraph" w:styleId="NormalWeb">
    <w:name w:val="Normal (Web)"/>
    <w:basedOn w:val="Normal"/>
    <w:rsid w:val="00450538"/>
    <w:pPr>
      <w:spacing w:before="100" w:beforeAutospacing="1" w:after="100" w:afterAutospacing="1"/>
    </w:pPr>
  </w:style>
  <w:style w:type="paragraph" w:customStyle="1" w:styleId="BodyText1">
    <w:name w:val="Body Text1"/>
    <w:aliases w:val="bt,body tx,indent,flush,memo body text"/>
    <w:basedOn w:val="Normal"/>
    <w:rsid w:val="00E01594"/>
    <w:pPr>
      <w:spacing w:after="240"/>
      <w:ind w:firstLine="720"/>
    </w:pPr>
    <w:rPr>
      <w:szCs w:val="20"/>
    </w:rPr>
  </w:style>
  <w:style w:type="character" w:customStyle="1" w:styleId="Heading2Char">
    <w:name w:val="Heading 2 Char"/>
    <w:link w:val="Heading2"/>
    <w:rsid w:val="00675A87"/>
    <w:rPr>
      <w:rFonts w:ascii="Arial"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99401">
      <w:bodyDiv w:val="1"/>
      <w:marLeft w:val="0"/>
      <w:marRight w:val="0"/>
      <w:marTop w:val="0"/>
      <w:marBottom w:val="0"/>
      <w:divBdr>
        <w:top w:val="none" w:sz="0" w:space="0" w:color="auto"/>
        <w:left w:val="none" w:sz="0" w:space="0" w:color="auto"/>
        <w:bottom w:val="none" w:sz="0" w:space="0" w:color="auto"/>
        <w:right w:val="none" w:sz="0" w:space="0" w:color="auto"/>
      </w:divBdr>
    </w:div>
    <w:div w:id="132722812">
      <w:bodyDiv w:val="1"/>
      <w:marLeft w:val="0"/>
      <w:marRight w:val="0"/>
      <w:marTop w:val="0"/>
      <w:marBottom w:val="0"/>
      <w:divBdr>
        <w:top w:val="none" w:sz="0" w:space="0" w:color="auto"/>
        <w:left w:val="none" w:sz="0" w:space="0" w:color="auto"/>
        <w:bottom w:val="none" w:sz="0" w:space="0" w:color="auto"/>
        <w:right w:val="none" w:sz="0" w:space="0" w:color="auto"/>
      </w:divBdr>
    </w:div>
    <w:div w:id="398788116">
      <w:bodyDiv w:val="1"/>
      <w:marLeft w:val="0"/>
      <w:marRight w:val="0"/>
      <w:marTop w:val="0"/>
      <w:marBottom w:val="0"/>
      <w:divBdr>
        <w:top w:val="none" w:sz="0" w:space="0" w:color="auto"/>
        <w:left w:val="none" w:sz="0" w:space="0" w:color="auto"/>
        <w:bottom w:val="none" w:sz="0" w:space="0" w:color="auto"/>
        <w:right w:val="none" w:sz="0" w:space="0" w:color="auto"/>
      </w:divBdr>
    </w:div>
    <w:div w:id="592325632">
      <w:bodyDiv w:val="1"/>
      <w:marLeft w:val="0"/>
      <w:marRight w:val="0"/>
      <w:marTop w:val="0"/>
      <w:marBottom w:val="0"/>
      <w:divBdr>
        <w:top w:val="none" w:sz="0" w:space="0" w:color="auto"/>
        <w:left w:val="none" w:sz="0" w:space="0" w:color="auto"/>
        <w:bottom w:val="none" w:sz="0" w:space="0" w:color="auto"/>
        <w:right w:val="none" w:sz="0" w:space="0" w:color="auto"/>
      </w:divBdr>
    </w:div>
    <w:div w:id="658271291">
      <w:bodyDiv w:val="1"/>
      <w:marLeft w:val="0"/>
      <w:marRight w:val="0"/>
      <w:marTop w:val="0"/>
      <w:marBottom w:val="0"/>
      <w:divBdr>
        <w:top w:val="none" w:sz="0" w:space="0" w:color="auto"/>
        <w:left w:val="none" w:sz="0" w:space="0" w:color="auto"/>
        <w:bottom w:val="none" w:sz="0" w:space="0" w:color="auto"/>
        <w:right w:val="none" w:sz="0" w:space="0" w:color="auto"/>
      </w:divBdr>
    </w:div>
    <w:div w:id="686832369">
      <w:bodyDiv w:val="1"/>
      <w:marLeft w:val="0"/>
      <w:marRight w:val="0"/>
      <w:marTop w:val="0"/>
      <w:marBottom w:val="0"/>
      <w:divBdr>
        <w:top w:val="none" w:sz="0" w:space="0" w:color="auto"/>
        <w:left w:val="none" w:sz="0" w:space="0" w:color="auto"/>
        <w:bottom w:val="none" w:sz="0" w:space="0" w:color="auto"/>
        <w:right w:val="none" w:sz="0" w:space="0" w:color="auto"/>
      </w:divBdr>
    </w:div>
    <w:div w:id="797338142">
      <w:bodyDiv w:val="1"/>
      <w:marLeft w:val="0"/>
      <w:marRight w:val="0"/>
      <w:marTop w:val="0"/>
      <w:marBottom w:val="0"/>
      <w:divBdr>
        <w:top w:val="none" w:sz="0" w:space="0" w:color="auto"/>
        <w:left w:val="none" w:sz="0" w:space="0" w:color="auto"/>
        <w:bottom w:val="none" w:sz="0" w:space="0" w:color="auto"/>
        <w:right w:val="none" w:sz="0" w:space="0" w:color="auto"/>
      </w:divBdr>
    </w:div>
    <w:div w:id="811286106">
      <w:bodyDiv w:val="1"/>
      <w:marLeft w:val="0"/>
      <w:marRight w:val="0"/>
      <w:marTop w:val="0"/>
      <w:marBottom w:val="0"/>
      <w:divBdr>
        <w:top w:val="none" w:sz="0" w:space="0" w:color="auto"/>
        <w:left w:val="none" w:sz="0" w:space="0" w:color="auto"/>
        <w:bottom w:val="none" w:sz="0" w:space="0" w:color="auto"/>
        <w:right w:val="none" w:sz="0" w:space="0" w:color="auto"/>
      </w:divBdr>
    </w:div>
    <w:div w:id="1042826188">
      <w:bodyDiv w:val="1"/>
      <w:marLeft w:val="0"/>
      <w:marRight w:val="0"/>
      <w:marTop w:val="0"/>
      <w:marBottom w:val="0"/>
      <w:divBdr>
        <w:top w:val="none" w:sz="0" w:space="0" w:color="auto"/>
        <w:left w:val="none" w:sz="0" w:space="0" w:color="auto"/>
        <w:bottom w:val="none" w:sz="0" w:space="0" w:color="auto"/>
        <w:right w:val="none" w:sz="0" w:space="0" w:color="auto"/>
      </w:divBdr>
    </w:div>
    <w:div w:id="1134911521">
      <w:bodyDiv w:val="1"/>
      <w:marLeft w:val="0"/>
      <w:marRight w:val="0"/>
      <w:marTop w:val="0"/>
      <w:marBottom w:val="0"/>
      <w:divBdr>
        <w:top w:val="none" w:sz="0" w:space="0" w:color="auto"/>
        <w:left w:val="none" w:sz="0" w:space="0" w:color="auto"/>
        <w:bottom w:val="none" w:sz="0" w:space="0" w:color="auto"/>
        <w:right w:val="none" w:sz="0" w:space="0" w:color="auto"/>
      </w:divBdr>
    </w:div>
    <w:div w:id="1244143101">
      <w:bodyDiv w:val="1"/>
      <w:marLeft w:val="0"/>
      <w:marRight w:val="0"/>
      <w:marTop w:val="0"/>
      <w:marBottom w:val="0"/>
      <w:divBdr>
        <w:top w:val="none" w:sz="0" w:space="0" w:color="auto"/>
        <w:left w:val="none" w:sz="0" w:space="0" w:color="auto"/>
        <w:bottom w:val="none" w:sz="0" w:space="0" w:color="auto"/>
        <w:right w:val="none" w:sz="0" w:space="0" w:color="auto"/>
      </w:divBdr>
    </w:div>
    <w:div w:id="1459177632">
      <w:bodyDiv w:val="1"/>
      <w:marLeft w:val="0"/>
      <w:marRight w:val="0"/>
      <w:marTop w:val="0"/>
      <w:marBottom w:val="0"/>
      <w:divBdr>
        <w:top w:val="none" w:sz="0" w:space="0" w:color="auto"/>
        <w:left w:val="none" w:sz="0" w:space="0" w:color="auto"/>
        <w:bottom w:val="none" w:sz="0" w:space="0" w:color="auto"/>
        <w:right w:val="none" w:sz="0" w:space="0" w:color="auto"/>
      </w:divBdr>
    </w:div>
    <w:div w:id="1619137910">
      <w:bodyDiv w:val="1"/>
      <w:marLeft w:val="0"/>
      <w:marRight w:val="0"/>
      <w:marTop w:val="0"/>
      <w:marBottom w:val="0"/>
      <w:divBdr>
        <w:top w:val="none" w:sz="0" w:space="0" w:color="auto"/>
        <w:left w:val="none" w:sz="0" w:space="0" w:color="auto"/>
        <w:bottom w:val="none" w:sz="0" w:space="0" w:color="auto"/>
        <w:right w:val="none" w:sz="0" w:space="0" w:color="auto"/>
      </w:divBdr>
    </w:div>
    <w:div w:id="1722052944">
      <w:bodyDiv w:val="1"/>
      <w:marLeft w:val="0"/>
      <w:marRight w:val="0"/>
      <w:marTop w:val="0"/>
      <w:marBottom w:val="0"/>
      <w:divBdr>
        <w:top w:val="none" w:sz="0" w:space="0" w:color="auto"/>
        <w:left w:val="none" w:sz="0" w:space="0" w:color="auto"/>
        <w:bottom w:val="none" w:sz="0" w:space="0" w:color="auto"/>
        <w:right w:val="none" w:sz="0" w:space="0" w:color="auto"/>
      </w:divBdr>
    </w:div>
    <w:div w:id="1790466086">
      <w:bodyDiv w:val="1"/>
      <w:marLeft w:val="0"/>
      <w:marRight w:val="0"/>
      <w:marTop w:val="0"/>
      <w:marBottom w:val="0"/>
      <w:divBdr>
        <w:top w:val="none" w:sz="0" w:space="0" w:color="auto"/>
        <w:left w:val="none" w:sz="0" w:space="0" w:color="auto"/>
        <w:bottom w:val="none" w:sz="0" w:space="0" w:color="auto"/>
        <w:right w:val="none" w:sz="0" w:space="0" w:color="auto"/>
      </w:divBdr>
    </w:div>
    <w:div w:id="205095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50216-42AB-45A2-9B24-1ADF84096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2022</Words>
  <Characters>11838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OMB Clearance Application</vt:lpstr>
    </vt:vector>
  </TitlesOfParts>
  <Company>N.O.R.C.</Company>
  <LinksUpToDate>false</LinksUpToDate>
  <CharactersWithSpaces>13833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Application</dc:title>
  <dc:subject/>
  <dc:creator>hamlin-ben</dc:creator>
  <cp:keywords/>
  <cp:lastModifiedBy>Brown, Erwin (AHRQ/CFACT)</cp:lastModifiedBy>
  <cp:revision>4</cp:revision>
  <cp:lastPrinted>2007-07-09T19:45:00Z</cp:lastPrinted>
  <dcterms:created xsi:type="dcterms:W3CDTF">2020-05-06T20:23:00Z</dcterms:created>
  <dcterms:modified xsi:type="dcterms:W3CDTF">2020-05-06T21:31:00Z</dcterms:modified>
</cp:coreProperties>
</file>