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0211" w:rsidR="00BA2DBE" w:rsidRDefault="00B1789C" w14:paraId="6C7B81E7" w14:textId="67158B80">
      <w:pPr>
        <w:rPr>
          <w:rFonts w:ascii="Arial" w:hAnsi="Arial" w:cs="Arial"/>
        </w:rPr>
      </w:pPr>
      <w:bookmarkStart w:name="_Toc337198071" w:id="0"/>
      <w:bookmarkStart w:name="_Toc423335421" w:id="1"/>
      <w:r>
        <w:rPr>
          <w:rFonts w:ascii="Arial" w:hAnsi="Arial" w:cs="Arial"/>
        </w:rPr>
        <w:tab/>
      </w:r>
    </w:p>
    <w:p w:rsidRPr="00D20211" w:rsidR="00BA2DBE" w:rsidRDefault="00BA2DBE" w14:paraId="59337D84" w14:textId="77777777">
      <w:pPr>
        <w:rPr>
          <w:rFonts w:ascii="Arial" w:hAnsi="Arial" w:cs="Arial"/>
        </w:rPr>
      </w:pPr>
    </w:p>
    <w:p w:rsidRPr="00D20211" w:rsidR="00BA2DBE" w:rsidRDefault="00BA2DBE" w14:paraId="276321DF" w14:textId="77777777">
      <w:pPr>
        <w:rPr>
          <w:rFonts w:ascii="Arial" w:hAnsi="Arial" w:cs="Arial"/>
        </w:rPr>
      </w:pPr>
    </w:p>
    <w:p w:rsidRPr="00D20211" w:rsidR="00BA2DBE" w:rsidRDefault="00BA2DBE" w14:paraId="21173796" w14:textId="77777777">
      <w:pPr>
        <w:rPr>
          <w:rFonts w:ascii="Arial" w:hAnsi="Arial" w:cs="Arial"/>
        </w:rPr>
      </w:pPr>
    </w:p>
    <w:p w:rsidRPr="00D20211" w:rsidR="00BA2DBE" w:rsidRDefault="00BA2DBE" w14:paraId="12BC4B96" w14:textId="77777777">
      <w:pPr>
        <w:rPr>
          <w:rFonts w:ascii="Arial" w:hAnsi="Arial" w:cs="Arial"/>
        </w:rPr>
      </w:pPr>
    </w:p>
    <w:p w:rsidR="000607D2" w:rsidP="000607D2" w:rsidRDefault="000607D2" w14:paraId="7D74923D" w14:textId="4E17D499">
      <w:pPr>
        <w:pStyle w:val="Subtitle"/>
        <w:spacing w:after="0"/>
        <w:rPr>
          <w:color w:val="auto"/>
          <w:spacing w:val="-7"/>
          <w:sz w:val="48"/>
          <w:szCs w:val="48"/>
        </w:rPr>
      </w:pPr>
      <w:bookmarkStart w:name="_Hlk40087473" w:id="2"/>
      <w:r w:rsidRPr="000607D2">
        <w:rPr>
          <w:color w:val="auto"/>
          <w:spacing w:val="-7"/>
          <w:sz w:val="48"/>
          <w:szCs w:val="48"/>
        </w:rPr>
        <w:t>Distribution of Traceable Opioid Material</w:t>
      </w:r>
      <w:r w:rsidR="00F450FF">
        <w:rPr>
          <w:color w:val="auto"/>
          <w:spacing w:val="-7"/>
          <w:sz w:val="48"/>
          <w:szCs w:val="48"/>
        </w:rPr>
        <w:t>*</w:t>
      </w:r>
      <w:r w:rsidRPr="000607D2">
        <w:rPr>
          <w:color w:val="auto"/>
          <w:spacing w:val="-7"/>
          <w:sz w:val="48"/>
          <w:szCs w:val="48"/>
        </w:rPr>
        <w:t xml:space="preserve"> Kits across U.S. Laboratories</w:t>
      </w:r>
    </w:p>
    <w:bookmarkEnd w:id="2"/>
    <w:p w:rsidRPr="00D20211" w:rsidR="00BA2DBE" w:rsidP="001626E8" w:rsidRDefault="00480FC6" w14:paraId="61EAE914" w14:textId="0909FA9D">
      <w:pPr>
        <w:pStyle w:val="Subtitle"/>
        <w:rPr>
          <w:color w:val="auto"/>
        </w:rPr>
      </w:pPr>
      <w:r w:rsidRPr="00D20211">
        <w:rPr>
          <w:color w:val="auto"/>
        </w:rPr>
        <w:t xml:space="preserve">OMB Control </w:t>
      </w:r>
      <w:r w:rsidRPr="004D224F">
        <w:rPr>
          <w:color w:val="auto"/>
        </w:rPr>
        <w:t>N</w:t>
      </w:r>
      <w:r w:rsidRPr="004D224F" w:rsidR="00EA55C0">
        <w:rPr>
          <w:color w:val="auto"/>
        </w:rPr>
        <w:t>o</w:t>
      </w:r>
      <w:r w:rsidRPr="004D224F" w:rsidR="000607D2">
        <w:rPr>
          <w:color w:val="auto"/>
        </w:rPr>
        <w:t xml:space="preserve">. </w:t>
      </w:r>
      <w:r w:rsidR="008913CA">
        <w:rPr>
          <w:color w:val="auto"/>
        </w:rPr>
        <w:t>0920</w:t>
      </w:r>
      <w:r w:rsidRPr="004D224F" w:rsidR="00E52761">
        <w:rPr>
          <w:color w:val="auto"/>
        </w:rPr>
        <w:t>-</w:t>
      </w:r>
      <w:r w:rsidR="00533675">
        <w:rPr>
          <w:color w:val="auto"/>
        </w:rPr>
        <w:t>xxxx</w:t>
      </w:r>
      <w:r w:rsidRPr="00D20211">
        <w:rPr>
          <w:color w:val="auto"/>
        </w:rPr>
        <w:t xml:space="preserve"> </w:t>
      </w:r>
    </w:p>
    <w:p w:rsidRPr="00D20211" w:rsidR="001626E8" w:rsidRDefault="000607D2" w14:paraId="0BFC8620" w14:textId="0ED79E01">
      <w:pPr>
        <w:spacing w:after="200" w:line="276" w:lineRule="auto"/>
        <w:rPr>
          <w:rFonts w:cs="Arial" w:asciiTheme="majorHAnsi" w:hAnsiTheme="majorHAnsi"/>
          <w:sz w:val="36"/>
          <w:szCs w:val="36"/>
        </w:rPr>
      </w:pPr>
      <w:r>
        <w:rPr>
          <w:rFonts w:cs="Arial" w:asciiTheme="majorHAnsi" w:hAnsiTheme="majorHAnsi"/>
          <w:sz w:val="36"/>
          <w:szCs w:val="36"/>
        </w:rPr>
        <w:t>NEW</w:t>
      </w:r>
    </w:p>
    <w:p w:rsidRPr="00D20211" w:rsidR="00C000CD" w:rsidP="001626E8" w:rsidRDefault="00C000CD" w14:paraId="208934B9" w14:textId="77777777">
      <w:pPr>
        <w:pStyle w:val="Subtitle"/>
        <w:rPr>
          <w:color w:val="auto"/>
        </w:rPr>
      </w:pPr>
    </w:p>
    <w:p w:rsidRPr="00D20211" w:rsidR="00D16598" w:rsidP="001626E8" w:rsidRDefault="00480FC6" w14:paraId="0ED778E6" w14:textId="77777777">
      <w:pPr>
        <w:pStyle w:val="Subtitle"/>
        <w:rPr>
          <w:color w:val="auto"/>
        </w:rPr>
      </w:pPr>
      <w:r w:rsidRPr="00D20211">
        <w:rPr>
          <w:color w:val="auto"/>
        </w:rPr>
        <w:t xml:space="preserve">Supporting Statement </w:t>
      </w:r>
      <w:proofErr w:type="gramStart"/>
      <w:r w:rsidRPr="00D20211">
        <w:rPr>
          <w:color w:val="auto"/>
        </w:rPr>
        <w:t>Part</w:t>
      </w:r>
      <w:proofErr w:type="gramEnd"/>
      <w:r w:rsidRPr="00D20211">
        <w:rPr>
          <w:color w:val="auto"/>
        </w:rPr>
        <w:t xml:space="preserve"> A </w:t>
      </w:r>
      <w:r w:rsidRPr="00D20211" w:rsidR="00BB0E8E">
        <w:rPr>
          <w:color w:val="auto"/>
        </w:rPr>
        <w:t>–</w:t>
      </w:r>
      <w:r w:rsidRPr="00D20211">
        <w:rPr>
          <w:color w:val="auto"/>
        </w:rPr>
        <w:t xml:space="preserve"> </w:t>
      </w:r>
    </w:p>
    <w:p w:rsidRPr="00D20211" w:rsidR="00BA2DBE" w:rsidP="001626E8" w:rsidRDefault="00480FC6" w14:paraId="71B235A4" w14:textId="7B45D1F0">
      <w:pPr>
        <w:pStyle w:val="Subtitle"/>
        <w:rPr>
          <w:color w:val="auto"/>
        </w:rPr>
      </w:pPr>
      <w:r w:rsidRPr="00D20211">
        <w:rPr>
          <w:color w:val="auto"/>
        </w:rPr>
        <w:t>Justification</w:t>
      </w:r>
    </w:p>
    <w:p w:rsidRPr="00D20211" w:rsidR="008E47E6" w:rsidP="00BB0E8E" w:rsidRDefault="008E47E6" w14:paraId="5B69A118" w14:textId="77777777"/>
    <w:p w:rsidRPr="00D20211" w:rsidR="00BA2DBE" w:rsidRDefault="00BA2DBE" w14:paraId="5CC0C15F" w14:textId="77777777">
      <w:pPr>
        <w:spacing w:after="200" w:line="276" w:lineRule="auto"/>
        <w:rPr>
          <w:rFonts w:cs="Arial" w:asciiTheme="majorHAnsi" w:hAnsiTheme="majorHAnsi"/>
          <w:sz w:val="36"/>
          <w:szCs w:val="36"/>
        </w:rPr>
      </w:pPr>
    </w:p>
    <w:p w:rsidRPr="00D20211" w:rsidR="00BA2DBE" w:rsidRDefault="00BA2DBE" w14:paraId="69C74FD2" w14:textId="77777777">
      <w:pPr>
        <w:spacing w:after="200" w:line="276" w:lineRule="auto"/>
        <w:rPr>
          <w:rFonts w:cs="Arial" w:asciiTheme="majorHAnsi" w:hAnsiTheme="majorHAnsi"/>
          <w:sz w:val="36"/>
          <w:szCs w:val="36"/>
        </w:rPr>
      </w:pPr>
    </w:p>
    <w:p w:rsidRPr="00D20211" w:rsidR="00BA2DBE" w:rsidRDefault="00BA2DBE" w14:paraId="1E4E243A" w14:textId="77777777">
      <w:pPr>
        <w:spacing w:after="200" w:line="276" w:lineRule="auto"/>
        <w:rPr>
          <w:rFonts w:cs="Arial" w:asciiTheme="majorHAnsi" w:hAnsiTheme="majorHAnsi"/>
          <w:sz w:val="36"/>
          <w:szCs w:val="36"/>
        </w:rPr>
      </w:pPr>
    </w:p>
    <w:p w:rsidRPr="00D20211" w:rsidR="00BA2DBE" w:rsidRDefault="00BA2DBE" w14:paraId="36D07EFE" w14:textId="77777777">
      <w:pPr>
        <w:spacing w:after="200" w:line="276" w:lineRule="auto"/>
        <w:rPr>
          <w:rFonts w:cs="Arial" w:asciiTheme="majorHAnsi" w:hAnsiTheme="majorHAnsi"/>
          <w:sz w:val="36"/>
          <w:szCs w:val="36"/>
        </w:rPr>
      </w:pPr>
    </w:p>
    <w:p w:rsidRPr="00D20211" w:rsidR="00BA2DBE" w:rsidP="008E47E6" w:rsidRDefault="00480FC6" w14:paraId="77A49968" w14:textId="6A38CC8D">
      <w:pPr>
        <w:pStyle w:val="Subtitle"/>
        <w:spacing w:after="0"/>
        <w:rPr>
          <w:color w:val="auto"/>
        </w:rPr>
      </w:pPr>
      <w:r w:rsidRPr="00D20211">
        <w:rPr>
          <w:color w:val="auto"/>
        </w:rPr>
        <w:t xml:space="preserve">Project Officer: </w:t>
      </w:r>
      <w:r w:rsidR="00E41F32">
        <w:rPr>
          <w:color w:val="auto"/>
        </w:rPr>
        <w:t>Melissa D. Carter</w:t>
      </w:r>
      <w:r w:rsidR="00835983">
        <w:rPr>
          <w:color w:val="auto"/>
        </w:rPr>
        <w:t>,</w:t>
      </w:r>
      <w:r w:rsidR="00E41F32">
        <w:rPr>
          <w:color w:val="auto"/>
        </w:rPr>
        <w:t xml:space="preserve"> PhD</w:t>
      </w:r>
      <w:r w:rsidR="00F450FF">
        <w:rPr>
          <w:color w:val="auto"/>
        </w:rPr>
        <w:t>, MBA</w:t>
      </w:r>
    </w:p>
    <w:p w:rsidRPr="00D20211" w:rsidR="00BA2DBE" w:rsidP="008E47E6" w:rsidRDefault="00480FC6" w14:paraId="009E2166" w14:textId="550E7045">
      <w:pPr>
        <w:pStyle w:val="Subtitle"/>
        <w:spacing w:after="0"/>
        <w:rPr>
          <w:color w:val="auto"/>
        </w:rPr>
      </w:pPr>
      <w:r w:rsidRPr="00D20211">
        <w:rPr>
          <w:color w:val="auto"/>
        </w:rPr>
        <w:t>Title:</w:t>
      </w:r>
      <w:r w:rsidR="00835983">
        <w:rPr>
          <w:color w:val="auto"/>
        </w:rPr>
        <w:t xml:space="preserve"> </w:t>
      </w:r>
      <w:r w:rsidR="00E41F32">
        <w:rPr>
          <w:color w:val="auto"/>
        </w:rPr>
        <w:t>Senior Service Fellow</w:t>
      </w:r>
    </w:p>
    <w:p w:rsidRPr="00D20211" w:rsidR="00BA2DBE" w:rsidP="008E47E6" w:rsidRDefault="00107476" w14:paraId="4D73E7D9" w14:textId="7501E26A">
      <w:pPr>
        <w:pStyle w:val="Subtitle"/>
        <w:spacing w:after="0"/>
        <w:rPr>
          <w:color w:val="auto"/>
        </w:rPr>
      </w:pPr>
      <w:r w:rsidRPr="00D20211">
        <w:rPr>
          <w:color w:val="auto"/>
        </w:rPr>
        <w:t>Phone</w:t>
      </w:r>
      <w:r w:rsidRPr="00D20211" w:rsidR="00480FC6">
        <w:rPr>
          <w:color w:val="auto"/>
        </w:rPr>
        <w:t>:</w:t>
      </w:r>
      <w:r w:rsidR="00835983">
        <w:rPr>
          <w:color w:val="auto"/>
        </w:rPr>
        <w:t xml:space="preserve"> 770-488-</w:t>
      </w:r>
      <w:r w:rsidR="00E41F32">
        <w:rPr>
          <w:color w:val="auto"/>
        </w:rPr>
        <w:t>7263</w:t>
      </w:r>
    </w:p>
    <w:p w:rsidRPr="00D20211" w:rsidR="00BA2DBE" w:rsidP="00EA0849" w:rsidRDefault="00107476" w14:paraId="72924699" w14:textId="3F4EBB2E">
      <w:pPr>
        <w:pStyle w:val="Subtitle"/>
        <w:spacing w:after="0"/>
        <w:rPr>
          <w:color w:val="auto"/>
        </w:rPr>
      </w:pPr>
      <w:r w:rsidRPr="00D20211">
        <w:rPr>
          <w:color w:val="auto"/>
        </w:rPr>
        <w:t>Email</w:t>
      </w:r>
      <w:r w:rsidRPr="00D20211" w:rsidR="00480FC6">
        <w:rPr>
          <w:color w:val="auto"/>
        </w:rPr>
        <w:t xml:space="preserve">: </w:t>
      </w:r>
      <w:r w:rsidR="00E41F32">
        <w:rPr>
          <w:color w:val="auto"/>
        </w:rPr>
        <w:t>vsm</w:t>
      </w:r>
      <w:r w:rsidR="00835983">
        <w:rPr>
          <w:color w:val="auto"/>
        </w:rPr>
        <w:t>8@cdc.gov</w:t>
      </w:r>
    </w:p>
    <w:p w:rsidRPr="00D20211" w:rsidR="00BA2DBE" w:rsidP="008E47E6" w:rsidRDefault="00107476" w14:paraId="70AB4DEC" w14:textId="2EB4CED1">
      <w:pPr>
        <w:pStyle w:val="Subtitle"/>
        <w:spacing w:after="0"/>
        <w:rPr>
          <w:color w:val="auto"/>
        </w:rPr>
      </w:pPr>
      <w:r w:rsidRPr="00D20211">
        <w:rPr>
          <w:color w:val="auto"/>
        </w:rPr>
        <w:t>Fax</w:t>
      </w:r>
      <w:r w:rsidRPr="00D20211" w:rsidR="00480FC6">
        <w:rPr>
          <w:color w:val="auto"/>
        </w:rPr>
        <w:t>:</w:t>
      </w:r>
      <w:r w:rsidR="00835983">
        <w:rPr>
          <w:color w:val="auto"/>
        </w:rPr>
        <w:t xml:space="preserve"> 770-488-</w:t>
      </w:r>
      <w:r w:rsidR="00E41F32">
        <w:rPr>
          <w:color w:val="auto"/>
        </w:rPr>
        <w:t>7518</w:t>
      </w:r>
    </w:p>
    <w:p w:rsidRPr="00D20211" w:rsidR="00EA0849" w:rsidP="008E47E6" w:rsidRDefault="00EA0849" w14:paraId="14F78241" w14:textId="77777777">
      <w:pPr>
        <w:pStyle w:val="Subtitle"/>
        <w:spacing w:after="0"/>
        <w:rPr>
          <w:color w:val="auto"/>
        </w:rPr>
      </w:pPr>
    </w:p>
    <w:p w:rsidRPr="00D20211" w:rsidR="00965C2A" w:rsidP="008E47E6" w:rsidRDefault="00480FC6" w14:paraId="76D937C3" w14:textId="200C3AE1">
      <w:pPr>
        <w:pStyle w:val="Subtitle"/>
        <w:spacing w:after="0"/>
        <w:rPr>
          <w:rFonts w:ascii="Arial" w:hAnsi="Arial"/>
          <w:color w:val="auto"/>
        </w:rPr>
      </w:pPr>
      <w:r w:rsidRPr="00D20211">
        <w:rPr>
          <w:color w:val="auto"/>
        </w:rPr>
        <w:t>Date:</w:t>
      </w:r>
      <w:r w:rsidR="00C9159E">
        <w:rPr>
          <w:color w:val="auto"/>
        </w:rPr>
        <w:t xml:space="preserve"> </w:t>
      </w:r>
      <w:r w:rsidR="008913CA">
        <w:rPr>
          <w:color w:val="auto"/>
        </w:rPr>
        <w:t>0</w:t>
      </w:r>
      <w:r w:rsidR="00C42CF5">
        <w:rPr>
          <w:color w:val="auto"/>
        </w:rPr>
        <w:t>5/04</w:t>
      </w:r>
      <w:r w:rsidR="00835983">
        <w:rPr>
          <w:color w:val="auto"/>
        </w:rPr>
        <w:t>/</w:t>
      </w:r>
      <w:r w:rsidR="00F450FF">
        <w:rPr>
          <w:color w:val="auto"/>
        </w:rPr>
        <w:t>2020</w:t>
      </w:r>
      <w:r w:rsidRPr="00D20211" w:rsidR="00BA2DBE">
        <w:rPr>
          <w:rFonts w:ascii="Arial" w:hAnsi="Arial"/>
          <w:color w:val="auto"/>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D20211" w:rsidR="009B765E" w:rsidP="0097091A" w:rsidRDefault="009B765E" w14:paraId="1C83B101" w14:textId="2229C436">
          <w:pPr>
            <w:pStyle w:val="TOCHeading"/>
            <w:pBdr>
              <w:bottom w:val="none" w:color="auto" w:sz="0" w:space="0"/>
            </w:pBdr>
            <w:spacing w:after="480"/>
            <w:jc w:val="center"/>
            <w:rPr>
              <w:color w:val="auto"/>
            </w:rPr>
          </w:pPr>
          <w:r w:rsidRPr="00D20211">
            <w:rPr>
              <w:color w:val="auto"/>
            </w:rPr>
            <w:t>Table of Contents</w:t>
          </w:r>
        </w:p>
        <w:p w:rsidR="00C36D37" w:rsidRDefault="009B765E" w14:paraId="76652781" w14:textId="1AA1CD49">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history="1" w:anchor="_Toc31301591">
            <w:r w:rsidRPr="00FA5695" w:rsidR="00C36D37">
              <w:rPr>
                <w:rStyle w:val="Hyperlink"/>
                <w:noProof/>
              </w:rPr>
              <w:t>A.1.  Circumstances Making the Collection of Information Necessary</w:t>
            </w:r>
            <w:r w:rsidR="00C36D37">
              <w:rPr>
                <w:noProof/>
                <w:webHidden/>
              </w:rPr>
              <w:tab/>
            </w:r>
            <w:r w:rsidR="00C36D37">
              <w:rPr>
                <w:noProof/>
                <w:webHidden/>
              </w:rPr>
              <w:fldChar w:fldCharType="begin"/>
            </w:r>
            <w:r w:rsidR="00C36D37">
              <w:rPr>
                <w:noProof/>
                <w:webHidden/>
              </w:rPr>
              <w:instrText xml:space="preserve"> PAGEREF _Toc31301591 \h </w:instrText>
            </w:r>
            <w:r w:rsidR="00C36D37">
              <w:rPr>
                <w:noProof/>
                <w:webHidden/>
              </w:rPr>
            </w:r>
            <w:r w:rsidR="00C36D37">
              <w:rPr>
                <w:noProof/>
                <w:webHidden/>
              </w:rPr>
              <w:fldChar w:fldCharType="separate"/>
            </w:r>
            <w:r w:rsidR="003E2707">
              <w:rPr>
                <w:noProof/>
                <w:webHidden/>
              </w:rPr>
              <w:t>3</w:t>
            </w:r>
            <w:r w:rsidR="00C36D37">
              <w:rPr>
                <w:noProof/>
                <w:webHidden/>
              </w:rPr>
              <w:fldChar w:fldCharType="end"/>
            </w:r>
          </w:hyperlink>
        </w:p>
        <w:p w:rsidR="00C36D37" w:rsidRDefault="00755ED1" w14:paraId="21A970DB" w14:textId="78C6FB95">
          <w:pPr>
            <w:pStyle w:val="TOC1"/>
            <w:tabs>
              <w:tab w:val="right" w:leader="dot" w:pos="9350"/>
            </w:tabs>
            <w:rPr>
              <w:noProof/>
              <w:sz w:val="22"/>
              <w:szCs w:val="22"/>
            </w:rPr>
          </w:pPr>
          <w:hyperlink w:history="1" w:anchor="_Toc31301592">
            <w:r w:rsidRPr="00FA5695" w:rsidR="00C36D37">
              <w:rPr>
                <w:rStyle w:val="Hyperlink"/>
                <w:noProof/>
              </w:rPr>
              <w:t>A.2.  Purpose and Use of the Information Collection</w:t>
            </w:r>
            <w:r w:rsidR="00C36D37">
              <w:rPr>
                <w:noProof/>
                <w:webHidden/>
              </w:rPr>
              <w:tab/>
            </w:r>
            <w:r w:rsidR="00C36D37">
              <w:rPr>
                <w:noProof/>
                <w:webHidden/>
              </w:rPr>
              <w:fldChar w:fldCharType="begin"/>
            </w:r>
            <w:r w:rsidR="00C36D37">
              <w:rPr>
                <w:noProof/>
                <w:webHidden/>
              </w:rPr>
              <w:instrText xml:space="preserve"> PAGEREF _Toc31301592 \h </w:instrText>
            </w:r>
            <w:r w:rsidR="00C36D37">
              <w:rPr>
                <w:noProof/>
                <w:webHidden/>
              </w:rPr>
            </w:r>
            <w:r w:rsidR="00C36D37">
              <w:rPr>
                <w:noProof/>
                <w:webHidden/>
              </w:rPr>
              <w:fldChar w:fldCharType="separate"/>
            </w:r>
            <w:r w:rsidR="003E2707">
              <w:rPr>
                <w:noProof/>
                <w:webHidden/>
              </w:rPr>
              <w:t>4</w:t>
            </w:r>
            <w:r w:rsidR="00C36D37">
              <w:rPr>
                <w:noProof/>
                <w:webHidden/>
              </w:rPr>
              <w:fldChar w:fldCharType="end"/>
            </w:r>
          </w:hyperlink>
        </w:p>
        <w:p w:rsidR="00C36D37" w:rsidRDefault="00755ED1" w14:paraId="7C5B5819" w14:textId="7DD2DBD8">
          <w:pPr>
            <w:pStyle w:val="TOC1"/>
            <w:tabs>
              <w:tab w:val="right" w:leader="dot" w:pos="9350"/>
            </w:tabs>
            <w:rPr>
              <w:noProof/>
              <w:sz w:val="22"/>
              <w:szCs w:val="22"/>
            </w:rPr>
          </w:pPr>
          <w:hyperlink w:history="1" w:anchor="_Toc31301593">
            <w:r w:rsidRPr="00FA5695" w:rsidR="00C36D37">
              <w:rPr>
                <w:rStyle w:val="Hyperlink"/>
                <w:noProof/>
              </w:rPr>
              <w:t>A.3.  Use of Improved Information Technology and Burden Reduction</w:t>
            </w:r>
            <w:r w:rsidR="00C36D37">
              <w:rPr>
                <w:noProof/>
                <w:webHidden/>
              </w:rPr>
              <w:tab/>
            </w:r>
            <w:r w:rsidR="00C36D37">
              <w:rPr>
                <w:noProof/>
                <w:webHidden/>
              </w:rPr>
              <w:fldChar w:fldCharType="begin"/>
            </w:r>
            <w:r w:rsidR="00C36D37">
              <w:rPr>
                <w:noProof/>
                <w:webHidden/>
              </w:rPr>
              <w:instrText xml:space="preserve"> PAGEREF _Toc31301593 \h </w:instrText>
            </w:r>
            <w:r w:rsidR="00C36D37">
              <w:rPr>
                <w:noProof/>
                <w:webHidden/>
              </w:rPr>
            </w:r>
            <w:r w:rsidR="00C36D37">
              <w:rPr>
                <w:noProof/>
                <w:webHidden/>
              </w:rPr>
              <w:fldChar w:fldCharType="separate"/>
            </w:r>
            <w:r w:rsidR="003E2707">
              <w:rPr>
                <w:noProof/>
                <w:webHidden/>
              </w:rPr>
              <w:t>6</w:t>
            </w:r>
            <w:r w:rsidR="00C36D37">
              <w:rPr>
                <w:noProof/>
                <w:webHidden/>
              </w:rPr>
              <w:fldChar w:fldCharType="end"/>
            </w:r>
          </w:hyperlink>
        </w:p>
        <w:p w:rsidR="00C36D37" w:rsidRDefault="00755ED1" w14:paraId="574FAF6A" w14:textId="048A51A2">
          <w:pPr>
            <w:pStyle w:val="TOC1"/>
            <w:tabs>
              <w:tab w:val="right" w:leader="dot" w:pos="9350"/>
            </w:tabs>
            <w:rPr>
              <w:noProof/>
              <w:sz w:val="22"/>
              <w:szCs w:val="22"/>
            </w:rPr>
          </w:pPr>
          <w:hyperlink w:history="1" w:anchor="_Toc31301594">
            <w:r w:rsidRPr="00FA5695" w:rsidR="00C36D37">
              <w:rPr>
                <w:rStyle w:val="Hyperlink"/>
                <w:noProof/>
              </w:rPr>
              <w:t>A.4.  Efforts to Identify Duplication and Use of Similar Information</w:t>
            </w:r>
            <w:r w:rsidR="00C36D37">
              <w:rPr>
                <w:noProof/>
                <w:webHidden/>
              </w:rPr>
              <w:tab/>
            </w:r>
            <w:r w:rsidR="00C36D37">
              <w:rPr>
                <w:noProof/>
                <w:webHidden/>
              </w:rPr>
              <w:fldChar w:fldCharType="begin"/>
            </w:r>
            <w:r w:rsidR="00C36D37">
              <w:rPr>
                <w:noProof/>
                <w:webHidden/>
              </w:rPr>
              <w:instrText xml:space="preserve"> PAGEREF _Toc31301594 \h </w:instrText>
            </w:r>
            <w:r w:rsidR="00C36D37">
              <w:rPr>
                <w:noProof/>
                <w:webHidden/>
              </w:rPr>
            </w:r>
            <w:r w:rsidR="00C36D37">
              <w:rPr>
                <w:noProof/>
                <w:webHidden/>
              </w:rPr>
              <w:fldChar w:fldCharType="separate"/>
            </w:r>
            <w:r w:rsidR="003E2707">
              <w:rPr>
                <w:noProof/>
                <w:webHidden/>
              </w:rPr>
              <w:t>6</w:t>
            </w:r>
            <w:r w:rsidR="00C36D37">
              <w:rPr>
                <w:noProof/>
                <w:webHidden/>
              </w:rPr>
              <w:fldChar w:fldCharType="end"/>
            </w:r>
          </w:hyperlink>
        </w:p>
        <w:p w:rsidR="00C36D37" w:rsidRDefault="00755ED1" w14:paraId="27096AEC" w14:textId="386EE504">
          <w:pPr>
            <w:pStyle w:val="TOC1"/>
            <w:tabs>
              <w:tab w:val="right" w:leader="dot" w:pos="9350"/>
            </w:tabs>
            <w:rPr>
              <w:noProof/>
              <w:sz w:val="22"/>
              <w:szCs w:val="22"/>
            </w:rPr>
          </w:pPr>
          <w:hyperlink w:history="1" w:anchor="_Toc31301595">
            <w:r w:rsidRPr="00FA5695" w:rsidR="00C36D37">
              <w:rPr>
                <w:rStyle w:val="Hyperlink"/>
                <w:noProof/>
              </w:rPr>
              <w:t>A.5.  Impact on Small Businesses or Other Small Entities</w:t>
            </w:r>
            <w:r w:rsidR="00C36D37">
              <w:rPr>
                <w:noProof/>
                <w:webHidden/>
              </w:rPr>
              <w:tab/>
            </w:r>
            <w:r w:rsidR="00C36D37">
              <w:rPr>
                <w:noProof/>
                <w:webHidden/>
              </w:rPr>
              <w:fldChar w:fldCharType="begin"/>
            </w:r>
            <w:r w:rsidR="00C36D37">
              <w:rPr>
                <w:noProof/>
                <w:webHidden/>
              </w:rPr>
              <w:instrText xml:space="preserve"> PAGEREF _Toc31301595 \h </w:instrText>
            </w:r>
            <w:r w:rsidR="00C36D37">
              <w:rPr>
                <w:noProof/>
                <w:webHidden/>
              </w:rPr>
            </w:r>
            <w:r w:rsidR="00C36D37">
              <w:rPr>
                <w:noProof/>
                <w:webHidden/>
              </w:rPr>
              <w:fldChar w:fldCharType="separate"/>
            </w:r>
            <w:r w:rsidR="003E2707">
              <w:rPr>
                <w:noProof/>
                <w:webHidden/>
              </w:rPr>
              <w:t>7</w:t>
            </w:r>
            <w:r w:rsidR="00C36D37">
              <w:rPr>
                <w:noProof/>
                <w:webHidden/>
              </w:rPr>
              <w:fldChar w:fldCharType="end"/>
            </w:r>
          </w:hyperlink>
        </w:p>
        <w:p w:rsidR="00C36D37" w:rsidRDefault="00755ED1" w14:paraId="2F57AB6A" w14:textId="796ACDA7">
          <w:pPr>
            <w:pStyle w:val="TOC1"/>
            <w:tabs>
              <w:tab w:val="right" w:leader="dot" w:pos="9350"/>
            </w:tabs>
            <w:rPr>
              <w:noProof/>
              <w:sz w:val="22"/>
              <w:szCs w:val="22"/>
            </w:rPr>
          </w:pPr>
          <w:hyperlink w:history="1" w:anchor="_Toc31301596">
            <w:r w:rsidRPr="00FA5695" w:rsidR="00C36D37">
              <w:rPr>
                <w:rStyle w:val="Hyperlink"/>
                <w:noProof/>
              </w:rPr>
              <w:t>A.6.  Consequences of Collecting the Information Less Frequently</w:t>
            </w:r>
            <w:r w:rsidR="00C36D37">
              <w:rPr>
                <w:noProof/>
                <w:webHidden/>
              </w:rPr>
              <w:tab/>
            </w:r>
            <w:r w:rsidR="00C36D37">
              <w:rPr>
                <w:noProof/>
                <w:webHidden/>
              </w:rPr>
              <w:fldChar w:fldCharType="begin"/>
            </w:r>
            <w:r w:rsidR="00C36D37">
              <w:rPr>
                <w:noProof/>
                <w:webHidden/>
              </w:rPr>
              <w:instrText xml:space="preserve"> PAGEREF _Toc31301596 \h </w:instrText>
            </w:r>
            <w:r w:rsidR="00C36D37">
              <w:rPr>
                <w:noProof/>
                <w:webHidden/>
              </w:rPr>
            </w:r>
            <w:r w:rsidR="00C36D37">
              <w:rPr>
                <w:noProof/>
                <w:webHidden/>
              </w:rPr>
              <w:fldChar w:fldCharType="separate"/>
            </w:r>
            <w:r w:rsidR="003E2707">
              <w:rPr>
                <w:noProof/>
                <w:webHidden/>
              </w:rPr>
              <w:t>7</w:t>
            </w:r>
            <w:r w:rsidR="00C36D37">
              <w:rPr>
                <w:noProof/>
                <w:webHidden/>
              </w:rPr>
              <w:fldChar w:fldCharType="end"/>
            </w:r>
          </w:hyperlink>
        </w:p>
        <w:p w:rsidR="00C36D37" w:rsidRDefault="00755ED1" w14:paraId="5157C684" w14:textId="05DFD303">
          <w:pPr>
            <w:pStyle w:val="TOC1"/>
            <w:tabs>
              <w:tab w:val="right" w:leader="dot" w:pos="9350"/>
            </w:tabs>
            <w:rPr>
              <w:noProof/>
              <w:sz w:val="22"/>
              <w:szCs w:val="22"/>
            </w:rPr>
          </w:pPr>
          <w:hyperlink w:history="1" w:anchor="_Toc31301597">
            <w:r w:rsidRPr="00FA5695" w:rsidR="00C36D37">
              <w:rPr>
                <w:rStyle w:val="Hyperlink"/>
                <w:noProof/>
              </w:rPr>
              <w:t>A.7.  Special Circumstances Relating to the Guidelines of 5 CFR 1320.5</w:t>
            </w:r>
            <w:r w:rsidR="00C36D37">
              <w:rPr>
                <w:noProof/>
                <w:webHidden/>
              </w:rPr>
              <w:tab/>
            </w:r>
            <w:r w:rsidR="00C36D37">
              <w:rPr>
                <w:noProof/>
                <w:webHidden/>
              </w:rPr>
              <w:fldChar w:fldCharType="begin"/>
            </w:r>
            <w:r w:rsidR="00C36D37">
              <w:rPr>
                <w:noProof/>
                <w:webHidden/>
              </w:rPr>
              <w:instrText xml:space="preserve"> PAGEREF _Toc31301597 \h </w:instrText>
            </w:r>
            <w:r w:rsidR="00C36D37">
              <w:rPr>
                <w:noProof/>
                <w:webHidden/>
              </w:rPr>
            </w:r>
            <w:r w:rsidR="00C36D37">
              <w:rPr>
                <w:noProof/>
                <w:webHidden/>
              </w:rPr>
              <w:fldChar w:fldCharType="separate"/>
            </w:r>
            <w:r w:rsidR="003E2707">
              <w:rPr>
                <w:noProof/>
                <w:webHidden/>
              </w:rPr>
              <w:t>7</w:t>
            </w:r>
            <w:r w:rsidR="00C36D37">
              <w:rPr>
                <w:noProof/>
                <w:webHidden/>
              </w:rPr>
              <w:fldChar w:fldCharType="end"/>
            </w:r>
          </w:hyperlink>
        </w:p>
        <w:p w:rsidR="00C36D37" w:rsidRDefault="00755ED1" w14:paraId="2F679AF5" w14:textId="38FC15A2">
          <w:pPr>
            <w:pStyle w:val="TOC1"/>
            <w:tabs>
              <w:tab w:val="right" w:leader="dot" w:pos="9350"/>
            </w:tabs>
            <w:rPr>
              <w:noProof/>
              <w:sz w:val="22"/>
              <w:szCs w:val="22"/>
            </w:rPr>
          </w:pPr>
          <w:hyperlink w:history="1" w:anchor="_Toc31301598">
            <w:r w:rsidRPr="00FA5695" w:rsidR="00C36D37">
              <w:rPr>
                <w:rStyle w:val="Hyperlink"/>
                <w:noProof/>
              </w:rPr>
              <w:t>A.8.  Comments in Response to the Federal Register Notice and Efforts to Consult Outside the Agency</w:t>
            </w:r>
            <w:r w:rsidR="00C36D37">
              <w:rPr>
                <w:noProof/>
                <w:webHidden/>
              </w:rPr>
              <w:tab/>
            </w:r>
            <w:r w:rsidR="00C36D37">
              <w:rPr>
                <w:noProof/>
                <w:webHidden/>
              </w:rPr>
              <w:fldChar w:fldCharType="begin"/>
            </w:r>
            <w:r w:rsidR="00C36D37">
              <w:rPr>
                <w:noProof/>
                <w:webHidden/>
              </w:rPr>
              <w:instrText xml:space="preserve"> PAGEREF _Toc31301598 \h </w:instrText>
            </w:r>
            <w:r w:rsidR="00C36D37">
              <w:rPr>
                <w:noProof/>
                <w:webHidden/>
              </w:rPr>
            </w:r>
            <w:r w:rsidR="00C36D37">
              <w:rPr>
                <w:noProof/>
                <w:webHidden/>
              </w:rPr>
              <w:fldChar w:fldCharType="separate"/>
            </w:r>
            <w:r w:rsidR="003E2707">
              <w:rPr>
                <w:noProof/>
                <w:webHidden/>
              </w:rPr>
              <w:t>8</w:t>
            </w:r>
            <w:r w:rsidR="00C36D37">
              <w:rPr>
                <w:noProof/>
                <w:webHidden/>
              </w:rPr>
              <w:fldChar w:fldCharType="end"/>
            </w:r>
          </w:hyperlink>
        </w:p>
        <w:p w:rsidR="00C36D37" w:rsidRDefault="00755ED1" w14:paraId="34B07D26" w14:textId="2CD4D155">
          <w:pPr>
            <w:pStyle w:val="TOC1"/>
            <w:tabs>
              <w:tab w:val="right" w:leader="dot" w:pos="9350"/>
            </w:tabs>
            <w:rPr>
              <w:noProof/>
              <w:sz w:val="22"/>
              <w:szCs w:val="22"/>
            </w:rPr>
          </w:pPr>
          <w:hyperlink w:history="1" w:anchor="_Toc31301599">
            <w:r w:rsidRPr="00FA5695" w:rsidR="00C36D37">
              <w:rPr>
                <w:rStyle w:val="Hyperlink"/>
                <w:noProof/>
              </w:rPr>
              <w:t>A.9.  Explanation of Any Payment or Gift to Respondents</w:t>
            </w:r>
            <w:r w:rsidR="00C36D37">
              <w:rPr>
                <w:noProof/>
                <w:webHidden/>
              </w:rPr>
              <w:tab/>
            </w:r>
            <w:r w:rsidR="00C36D37">
              <w:rPr>
                <w:noProof/>
                <w:webHidden/>
              </w:rPr>
              <w:fldChar w:fldCharType="begin"/>
            </w:r>
            <w:r w:rsidR="00C36D37">
              <w:rPr>
                <w:noProof/>
                <w:webHidden/>
              </w:rPr>
              <w:instrText xml:space="preserve"> PAGEREF _Toc31301599 \h </w:instrText>
            </w:r>
            <w:r w:rsidR="00C36D37">
              <w:rPr>
                <w:noProof/>
                <w:webHidden/>
              </w:rPr>
            </w:r>
            <w:r w:rsidR="00C36D37">
              <w:rPr>
                <w:noProof/>
                <w:webHidden/>
              </w:rPr>
              <w:fldChar w:fldCharType="separate"/>
            </w:r>
            <w:r w:rsidR="003E2707">
              <w:rPr>
                <w:noProof/>
                <w:webHidden/>
              </w:rPr>
              <w:t>8</w:t>
            </w:r>
            <w:r w:rsidR="00C36D37">
              <w:rPr>
                <w:noProof/>
                <w:webHidden/>
              </w:rPr>
              <w:fldChar w:fldCharType="end"/>
            </w:r>
          </w:hyperlink>
        </w:p>
        <w:p w:rsidR="00C36D37" w:rsidRDefault="00755ED1" w14:paraId="71BDF3F7" w14:textId="37E944DE">
          <w:pPr>
            <w:pStyle w:val="TOC1"/>
            <w:tabs>
              <w:tab w:val="right" w:leader="dot" w:pos="9350"/>
            </w:tabs>
            <w:rPr>
              <w:noProof/>
              <w:sz w:val="22"/>
              <w:szCs w:val="22"/>
            </w:rPr>
          </w:pPr>
          <w:hyperlink w:history="1" w:anchor="_Toc31301600">
            <w:r w:rsidRPr="00FA5695" w:rsidR="00C36D37">
              <w:rPr>
                <w:rStyle w:val="Hyperlink"/>
                <w:noProof/>
              </w:rPr>
              <w:t>A.10.  Protection of the Privacy and Confidentiality of Information Provided by Respondents</w:t>
            </w:r>
            <w:r w:rsidR="00C36D37">
              <w:rPr>
                <w:noProof/>
                <w:webHidden/>
              </w:rPr>
              <w:tab/>
            </w:r>
            <w:r w:rsidR="00C36D37">
              <w:rPr>
                <w:noProof/>
                <w:webHidden/>
              </w:rPr>
              <w:fldChar w:fldCharType="begin"/>
            </w:r>
            <w:r w:rsidR="00C36D37">
              <w:rPr>
                <w:noProof/>
                <w:webHidden/>
              </w:rPr>
              <w:instrText xml:space="preserve"> PAGEREF _Toc31301600 \h </w:instrText>
            </w:r>
            <w:r w:rsidR="00C36D37">
              <w:rPr>
                <w:noProof/>
                <w:webHidden/>
              </w:rPr>
            </w:r>
            <w:r w:rsidR="00C36D37">
              <w:rPr>
                <w:noProof/>
                <w:webHidden/>
              </w:rPr>
              <w:fldChar w:fldCharType="separate"/>
            </w:r>
            <w:r w:rsidR="003E2707">
              <w:rPr>
                <w:noProof/>
                <w:webHidden/>
              </w:rPr>
              <w:t>8</w:t>
            </w:r>
            <w:r w:rsidR="00C36D37">
              <w:rPr>
                <w:noProof/>
                <w:webHidden/>
              </w:rPr>
              <w:fldChar w:fldCharType="end"/>
            </w:r>
          </w:hyperlink>
        </w:p>
        <w:p w:rsidR="00C36D37" w:rsidRDefault="00755ED1" w14:paraId="1F4550C8" w14:textId="6C489C62">
          <w:pPr>
            <w:pStyle w:val="TOC1"/>
            <w:tabs>
              <w:tab w:val="right" w:leader="dot" w:pos="9350"/>
            </w:tabs>
            <w:rPr>
              <w:noProof/>
              <w:sz w:val="22"/>
              <w:szCs w:val="22"/>
            </w:rPr>
          </w:pPr>
          <w:hyperlink w:history="1" w:anchor="_Toc31301601">
            <w:r w:rsidRPr="00FA5695" w:rsidR="00C36D37">
              <w:rPr>
                <w:rStyle w:val="Hyperlink"/>
                <w:noProof/>
              </w:rPr>
              <w:t>A.11.  Institutional Review Board (IRB) and Justification for Sensitive Questions</w:t>
            </w:r>
            <w:r w:rsidR="00C36D37">
              <w:rPr>
                <w:noProof/>
                <w:webHidden/>
              </w:rPr>
              <w:tab/>
            </w:r>
            <w:r w:rsidR="00C36D37">
              <w:rPr>
                <w:noProof/>
                <w:webHidden/>
              </w:rPr>
              <w:fldChar w:fldCharType="begin"/>
            </w:r>
            <w:r w:rsidR="00C36D37">
              <w:rPr>
                <w:noProof/>
                <w:webHidden/>
              </w:rPr>
              <w:instrText xml:space="preserve"> PAGEREF _Toc31301601 \h </w:instrText>
            </w:r>
            <w:r w:rsidR="00C36D37">
              <w:rPr>
                <w:noProof/>
                <w:webHidden/>
              </w:rPr>
            </w:r>
            <w:r w:rsidR="00C36D37">
              <w:rPr>
                <w:noProof/>
                <w:webHidden/>
              </w:rPr>
              <w:fldChar w:fldCharType="separate"/>
            </w:r>
            <w:r w:rsidR="003E2707">
              <w:rPr>
                <w:noProof/>
                <w:webHidden/>
              </w:rPr>
              <w:t>9</w:t>
            </w:r>
            <w:r w:rsidR="00C36D37">
              <w:rPr>
                <w:noProof/>
                <w:webHidden/>
              </w:rPr>
              <w:fldChar w:fldCharType="end"/>
            </w:r>
          </w:hyperlink>
        </w:p>
        <w:p w:rsidR="00C36D37" w:rsidRDefault="00755ED1" w14:paraId="4138BA7C" w14:textId="2953B672">
          <w:pPr>
            <w:pStyle w:val="TOC1"/>
            <w:tabs>
              <w:tab w:val="right" w:leader="dot" w:pos="9350"/>
            </w:tabs>
            <w:rPr>
              <w:noProof/>
              <w:sz w:val="22"/>
              <w:szCs w:val="22"/>
            </w:rPr>
          </w:pPr>
          <w:hyperlink w:history="1" w:anchor="_Toc31301602">
            <w:r w:rsidRPr="00FA5695" w:rsidR="00C36D37">
              <w:rPr>
                <w:rStyle w:val="Hyperlink"/>
                <w:noProof/>
              </w:rPr>
              <w:t>A.12.  Estimates of Annualized Burden Hours and Costs</w:t>
            </w:r>
            <w:r w:rsidR="00C36D37">
              <w:rPr>
                <w:noProof/>
                <w:webHidden/>
              </w:rPr>
              <w:tab/>
            </w:r>
            <w:r w:rsidR="00C36D37">
              <w:rPr>
                <w:noProof/>
                <w:webHidden/>
              </w:rPr>
              <w:fldChar w:fldCharType="begin"/>
            </w:r>
            <w:r w:rsidR="00C36D37">
              <w:rPr>
                <w:noProof/>
                <w:webHidden/>
              </w:rPr>
              <w:instrText xml:space="preserve"> PAGEREF _Toc31301602 \h </w:instrText>
            </w:r>
            <w:r w:rsidR="00C36D37">
              <w:rPr>
                <w:noProof/>
                <w:webHidden/>
              </w:rPr>
            </w:r>
            <w:r w:rsidR="00C36D37">
              <w:rPr>
                <w:noProof/>
                <w:webHidden/>
              </w:rPr>
              <w:fldChar w:fldCharType="separate"/>
            </w:r>
            <w:r w:rsidR="003E2707">
              <w:rPr>
                <w:noProof/>
                <w:webHidden/>
              </w:rPr>
              <w:t>9</w:t>
            </w:r>
            <w:r w:rsidR="00C36D37">
              <w:rPr>
                <w:noProof/>
                <w:webHidden/>
              </w:rPr>
              <w:fldChar w:fldCharType="end"/>
            </w:r>
          </w:hyperlink>
        </w:p>
        <w:p w:rsidR="00C36D37" w:rsidRDefault="00755ED1" w14:paraId="3856F8DF" w14:textId="6889CF00">
          <w:pPr>
            <w:pStyle w:val="TOC1"/>
            <w:tabs>
              <w:tab w:val="right" w:leader="dot" w:pos="9350"/>
            </w:tabs>
            <w:rPr>
              <w:noProof/>
              <w:sz w:val="22"/>
              <w:szCs w:val="22"/>
            </w:rPr>
          </w:pPr>
          <w:hyperlink w:history="1" w:anchor="_Toc31301603">
            <w:r w:rsidRPr="00FA5695" w:rsidR="00C36D37">
              <w:rPr>
                <w:rStyle w:val="Hyperlink"/>
                <w:noProof/>
              </w:rPr>
              <w:t>A.13.  Estimates of Other Total Annual Cost Burden to Respondents and Record Keepers</w:t>
            </w:r>
            <w:r w:rsidR="00C36D37">
              <w:rPr>
                <w:noProof/>
                <w:webHidden/>
              </w:rPr>
              <w:tab/>
            </w:r>
            <w:r w:rsidR="00C36D37">
              <w:rPr>
                <w:noProof/>
                <w:webHidden/>
              </w:rPr>
              <w:fldChar w:fldCharType="begin"/>
            </w:r>
            <w:r w:rsidR="00C36D37">
              <w:rPr>
                <w:noProof/>
                <w:webHidden/>
              </w:rPr>
              <w:instrText xml:space="preserve"> PAGEREF _Toc31301603 \h </w:instrText>
            </w:r>
            <w:r w:rsidR="00C36D37">
              <w:rPr>
                <w:noProof/>
                <w:webHidden/>
              </w:rPr>
            </w:r>
            <w:r w:rsidR="00C36D37">
              <w:rPr>
                <w:noProof/>
                <w:webHidden/>
              </w:rPr>
              <w:fldChar w:fldCharType="separate"/>
            </w:r>
            <w:r w:rsidR="003E2707">
              <w:rPr>
                <w:noProof/>
                <w:webHidden/>
              </w:rPr>
              <w:t>10</w:t>
            </w:r>
            <w:r w:rsidR="00C36D37">
              <w:rPr>
                <w:noProof/>
                <w:webHidden/>
              </w:rPr>
              <w:fldChar w:fldCharType="end"/>
            </w:r>
          </w:hyperlink>
        </w:p>
        <w:p w:rsidR="00C36D37" w:rsidRDefault="00755ED1" w14:paraId="7B9643F9" w14:textId="4848C302">
          <w:pPr>
            <w:pStyle w:val="TOC1"/>
            <w:tabs>
              <w:tab w:val="right" w:leader="dot" w:pos="9350"/>
            </w:tabs>
            <w:rPr>
              <w:noProof/>
              <w:sz w:val="22"/>
              <w:szCs w:val="22"/>
            </w:rPr>
          </w:pPr>
          <w:hyperlink w:history="1" w:anchor="_Toc31301604">
            <w:r w:rsidRPr="00FA5695" w:rsidR="00C36D37">
              <w:rPr>
                <w:rStyle w:val="Hyperlink"/>
                <w:noProof/>
              </w:rPr>
              <w:t>A.14.  Annualized Cost to the Federal Government</w:t>
            </w:r>
            <w:r w:rsidR="00C36D37">
              <w:rPr>
                <w:noProof/>
                <w:webHidden/>
              </w:rPr>
              <w:tab/>
            </w:r>
            <w:r w:rsidR="00C36D37">
              <w:rPr>
                <w:noProof/>
                <w:webHidden/>
              </w:rPr>
              <w:fldChar w:fldCharType="begin"/>
            </w:r>
            <w:r w:rsidR="00C36D37">
              <w:rPr>
                <w:noProof/>
                <w:webHidden/>
              </w:rPr>
              <w:instrText xml:space="preserve"> PAGEREF _Toc31301604 \h </w:instrText>
            </w:r>
            <w:r w:rsidR="00C36D37">
              <w:rPr>
                <w:noProof/>
                <w:webHidden/>
              </w:rPr>
            </w:r>
            <w:r w:rsidR="00C36D37">
              <w:rPr>
                <w:noProof/>
                <w:webHidden/>
              </w:rPr>
              <w:fldChar w:fldCharType="separate"/>
            </w:r>
            <w:r w:rsidR="003E2707">
              <w:rPr>
                <w:noProof/>
                <w:webHidden/>
              </w:rPr>
              <w:t>10</w:t>
            </w:r>
            <w:r w:rsidR="00C36D37">
              <w:rPr>
                <w:noProof/>
                <w:webHidden/>
              </w:rPr>
              <w:fldChar w:fldCharType="end"/>
            </w:r>
          </w:hyperlink>
        </w:p>
        <w:p w:rsidR="00C36D37" w:rsidRDefault="00755ED1" w14:paraId="4EBA93CE" w14:textId="530B3B3B">
          <w:pPr>
            <w:pStyle w:val="TOC1"/>
            <w:tabs>
              <w:tab w:val="right" w:leader="dot" w:pos="9350"/>
            </w:tabs>
            <w:rPr>
              <w:noProof/>
              <w:sz w:val="22"/>
              <w:szCs w:val="22"/>
            </w:rPr>
          </w:pPr>
          <w:hyperlink w:history="1" w:anchor="_Toc31301605">
            <w:r w:rsidRPr="00FA5695" w:rsidR="00C36D37">
              <w:rPr>
                <w:rStyle w:val="Hyperlink"/>
                <w:noProof/>
              </w:rPr>
              <w:t>A.15.  Explanation for Program Changes or Adjustments</w:t>
            </w:r>
            <w:r w:rsidR="00C36D37">
              <w:rPr>
                <w:noProof/>
                <w:webHidden/>
              </w:rPr>
              <w:tab/>
            </w:r>
            <w:r w:rsidR="00C36D37">
              <w:rPr>
                <w:noProof/>
                <w:webHidden/>
              </w:rPr>
              <w:fldChar w:fldCharType="begin"/>
            </w:r>
            <w:r w:rsidR="00C36D37">
              <w:rPr>
                <w:noProof/>
                <w:webHidden/>
              </w:rPr>
              <w:instrText xml:space="preserve"> PAGEREF _Toc31301605 \h </w:instrText>
            </w:r>
            <w:r w:rsidR="00C36D37">
              <w:rPr>
                <w:noProof/>
                <w:webHidden/>
              </w:rPr>
            </w:r>
            <w:r w:rsidR="00C36D37">
              <w:rPr>
                <w:noProof/>
                <w:webHidden/>
              </w:rPr>
              <w:fldChar w:fldCharType="separate"/>
            </w:r>
            <w:r w:rsidR="003E2707">
              <w:rPr>
                <w:noProof/>
                <w:webHidden/>
              </w:rPr>
              <w:t>11</w:t>
            </w:r>
            <w:r w:rsidR="00C36D37">
              <w:rPr>
                <w:noProof/>
                <w:webHidden/>
              </w:rPr>
              <w:fldChar w:fldCharType="end"/>
            </w:r>
          </w:hyperlink>
        </w:p>
        <w:p w:rsidR="00C36D37" w:rsidRDefault="00755ED1" w14:paraId="66C5127C" w14:textId="60A2B95E">
          <w:pPr>
            <w:pStyle w:val="TOC1"/>
            <w:tabs>
              <w:tab w:val="right" w:leader="dot" w:pos="9350"/>
            </w:tabs>
            <w:rPr>
              <w:noProof/>
              <w:sz w:val="22"/>
              <w:szCs w:val="22"/>
            </w:rPr>
          </w:pPr>
          <w:hyperlink w:history="1" w:anchor="_Toc31301606">
            <w:r w:rsidRPr="00FA5695" w:rsidR="00C36D37">
              <w:rPr>
                <w:rStyle w:val="Hyperlink"/>
                <w:noProof/>
              </w:rPr>
              <w:t>A.16.  Plans for Tabulation and Publication and Project Time Schedule</w:t>
            </w:r>
            <w:r w:rsidR="00C36D37">
              <w:rPr>
                <w:noProof/>
                <w:webHidden/>
              </w:rPr>
              <w:tab/>
            </w:r>
            <w:r w:rsidR="00C36D37">
              <w:rPr>
                <w:noProof/>
                <w:webHidden/>
              </w:rPr>
              <w:fldChar w:fldCharType="begin"/>
            </w:r>
            <w:r w:rsidR="00C36D37">
              <w:rPr>
                <w:noProof/>
                <w:webHidden/>
              </w:rPr>
              <w:instrText xml:space="preserve"> PAGEREF _Toc31301606 \h </w:instrText>
            </w:r>
            <w:r w:rsidR="00C36D37">
              <w:rPr>
                <w:noProof/>
                <w:webHidden/>
              </w:rPr>
            </w:r>
            <w:r w:rsidR="00C36D37">
              <w:rPr>
                <w:noProof/>
                <w:webHidden/>
              </w:rPr>
              <w:fldChar w:fldCharType="separate"/>
            </w:r>
            <w:r w:rsidR="003E2707">
              <w:rPr>
                <w:noProof/>
                <w:webHidden/>
              </w:rPr>
              <w:t>11</w:t>
            </w:r>
            <w:r w:rsidR="00C36D37">
              <w:rPr>
                <w:noProof/>
                <w:webHidden/>
              </w:rPr>
              <w:fldChar w:fldCharType="end"/>
            </w:r>
          </w:hyperlink>
        </w:p>
        <w:p w:rsidR="00C36D37" w:rsidRDefault="00755ED1" w14:paraId="31631848" w14:textId="42C70925">
          <w:pPr>
            <w:pStyle w:val="TOC1"/>
            <w:tabs>
              <w:tab w:val="right" w:leader="dot" w:pos="9350"/>
            </w:tabs>
            <w:rPr>
              <w:noProof/>
              <w:sz w:val="22"/>
              <w:szCs w:val="22"/>
            </w:rPr>
          </w:pPr>
          <w:hyperlink w:history="1" w:anchor="_Toc31301607">
            <w:r w:rsidRPr="00FA5695" w:rsidR="00C36D37">
              <w:rPr>
                <w:rStyle w:val="Hyperlink"/>
                <w:noProof/>
              </w:rPr>
              <w:t>A.17.  Reason(s) Display of OMB Expiration Date is Inappropriate</w:t>
            </w:r>
            <w:r w:rsidR="00C36D37">
              <w:rPr>
                <w:noProof/>
                <w:webHidden/>
              </w:rPr>
              <w:tab/>
            </w:r>
            <w:r w:rsidR="00C36D37">
              <w:rPr>
                <w:noProof/>
                <w:webHidden/>
              </w:rPr>
              <w:fldChar w:fldCharType="begin"/>
            </w:r>
            <w:r w:rsidR="00C36D37">
              <w:rPr>
                <w:noProof/>
                <w:webHidden/>
              </w:rPr>
              <w:instrText xml:space="preserve"> PAGEREF _Toc31301607 \h </w:instrText>
            </w:r>
            <w:r w:rsidR="00C36D37">
              <w:rPr>
                <w:noProof/>
                <w:webHidden/>
              </w:rPr>
            </w:r>
            <w:r w:rsidR="00C36D37">
              <w:rPr>
                <w:noProof/>
                <w:webHidden/>
              </w:rPr>
              <w:fldChar w:fldCharType="separate"/>
            </w:r>
            <w:r w:rsidR="003E2707">
              <w:rPr>
                <w:noProof/>
                <w:webHidden/>
              </w:rPr>
              <w:t>11</w:t>
            </w:r>
            <w:r w:rsidR="00C36D37">
              <w:rPr>
                <w:noProof/>
                <w:webHidden/>
              </w:rPr>
              <w:fldChar w:fldCharType="end"/>
            </w:r>
          </w:hyperlink>
        </w:p>
        <w:p w:rsidR="00C36D37" w:rsidRDefault="00755ED1" w14:paraId="41A757F3" w14:textId="3B32419D">
          <w:pPr>
            <w:pStyle w:val="TOC1"/>
            <w:tabs>
              <w:tab w:val="right" w:leader="dot" w:pos="9350"/>
            </w:tabs>
            <w:rPr>
              <w:noProof/>
              <w:sz w:val="22"/>
              <w:szCs w:val="22"/>
            </w:rPr>
          </w:pPr>
          <w:hyperlink w:history="1" w:anchor="_Toc31301608">
            <w:r w:rsidRPr="00FA5695" w:rsidR="00C36D37">
              <w:rPr>
                <w:rStyle w:val="Hyperlink"/>
                <w:noProof/>
              </w:rPr>
              <w:t>A.18.  Exceptions to Certification for Paperwork Reduction Act Submissions</w:t>
            </w:r>
            <w:r w:rsidR="00C36D37">
              <w:rPr>
                <w:noProof/>
                <w:webHidden/>
              </w:rPr>
              <w:tab/>
            </w:r>
            <w:r w:rsidR="00C36D37">
              <w:rPr>
                <w:noProof/>
                <w:webHidden/>
              </w:rPr>
              <w:fldChar w:fldCharType="begin"/>
            </w:r>
            <w:r w:rsidR="00C36D37">
              <w:rPr>
                <w:noProof/>
                <w:webHidden/>
              </w:rPr>
              <w:instrText xml:space="preserve"> PAGEREF _Toc31301608 \h </w:instrText>
            </w:r>
            <w:r w:rsidR="00C36D37">
              <w:rPr>
                <w:noProof/>
                <w:webHidden/>
              </w:rPr>
            </w:r>
            <w:r w:rsidR="00C36D37">
              <w:rPr>
                <w:noProof/>
                <w:webHidden/>
              </w:rPr>
              <w:fldChar w:fldCharType="separate"/>
            </w:r>
            <w:r w:rsidR="003E2707">
              <w:rPr>
                <w:noProof/>
                <w:webHidden/>
              </w:rPr>
              <w:t>12</w:t>
            </w:r>
            <w:r w:rsidR="00C36D37">
              <w:rPr>
                <w:noProof/>
                <w:webHidden/>
              </w:rPr>
              <w:fldChar w:fldCharType="end"/>
            </w:r>
          </w:hyperlink>
        </w:p>
        <w:p w:rsidR="00C36D37" w:rsidRDefault="00755ED1" w14:paraId="4BE5DE4B" w14:textId="3B73BD18">
          <w:pPr>
            <w:pStyle w:val="TOC1"/>
            <w:tabs>
              <w:tab w:val="right" w:leader="dot" w:pos="9350"/>
            </w:tabs>
            <w:rPr>
              <w:noProof/>
              <w:sz w:val="22"/>
              <w:szCs w:val="22"/>
            </w:rPr>
          </w:pPr>
          <w:hyperlink w:history="1" w:anchor="_Toc31301609">
            <w:r w:rsidRPr="00FA5695" w:rsidR="00C36D37">
              <w:rPr>
                <w:rStyle w:val="Hyperlink"/>
                <w:noProof/>
              </w:rPr>
              <w:t>References</w:t>
            </w:r>
            <w:r w:rsidR="00C36D37">
              <w:rPr>
                <w:noProof/>
                <w:webHidden/>
              </w:rPr>
              <w:tab/>
            </w:r>
            <w:r w:rsidR="00C36D37">
              <w:rPr>
                <w:noProof/>
                <w:webHidden/>
              </w:rPr>
              <w:fldChar w:fldCharType="begin"/>
            </w:r>
            <w:r w:rsidR="00C36D37">
              <w:rPr>
                <w:noProof/>
                <w:webHidden/>
              </w:rPr>
              <w:instrText xml:space="preserve"> PAGEREF _Toc31301609 \h </w:instrText>
            </w:r>
            <w:r w:rsidR="00C36D37">
              <w:rPr>
                <w:noProof/>
                <w:webHidden/>
              </w:rPr>
            </w:r>
            <w:r w:rsidR="00C36D37">
              <w:rPr>
                <w:noProof/>
                <w:webHidden/>
              </w:rPr>
              <w:fldChar w:fldCharType="separate"/>
            </w:r>
            <w:r w:rsidR="003E2707">
              <w:rPr>
                <w:noProof/>
                <w:webHidden/>
              </w:rPr>
              <w:t>12</w:t>
            </w:r>
            <w:r w:rsidR="00C36D37">
              <w:rPr>
                <w:noProof/>
                <w:webHidden/>
              </w:rPr>
              <w:fldChar w:fldCharType="end"/>
            </w:r>
          </w:hyperlink>
        </w:p>
        <w:p w:rsidRPr="00D20211" w:rsidR="009B765E" w:rsidRDefault="009B765E" w14:paraId="032A377A" w14:textId="0CE0ABC1">
          <w:r w:rsidRPr="00D20211">
            <w:rPr>
              <w:b/>
              <w:bCs/>
              <w:noProof/>
            </w:rPr>
            <w:fldChar w:fldCharType="end"/>
          </w:r>
        </w:p>
      </w:sdtContent>
    </w:sdt>
    <w:p w:rsidRPr="00D20211" w:rsidR="00BA2DBE" w:rsidRDefault="00BA2DBE" w14:paraId="031BBD7F" w14:textId="77777777">
      <w:pPr>
        <w:spacing w:after="200" w:line="276" w:lineRule="auto"/>
        <w:rPr>
          <w:rFonts w:cs="Arial" w:eastAsiaTheme="majorEastAsia"/>
          <w:b/>
          <w:bCs/>
          <w:sz w:val="26"/>
          <w:szCs w:val="26"/>
        </w:rPr>
      </w:pPr>
    </w:p>
    <w:bookmarkEnd w:id="0"/>
    <w:bookmarkEnd w:id="1"/>
    <w:p w:rsidRPr="00D20211" w:rsidR="00480FC6" w:rsidRDefault="00480FC6" w14:paraId="5A416702" w14:textId="77777777">
      <w:r w:rsidRPr="00D20211">
        <w:br w:type="page"/>
      </w:r>
    </w:p>
    <w:p w:rsidRPr="00D20211" w:rsidR="0024399D" w:rsidP="00EE7CF9" w:rsidRDefault="0024399D" w14:paraId="15DFC48F" w14:textId="26246E5E">
      <w:pPr>
        <w:pBdr>
          <w:bottom w:val="single" w:color="auto" w:sz="4" w:space="1"/>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editId="7FA0891D" wp14:anchorId="33E3FF57">
                <wp:simplePos x="0" y="0"/>
                <wp:positionH relativeFrom="margin">
                  <wp:align>right</wp:align>
                </wp:positionH>
                <wp:positionV relativeFrom="paragraph">
                  <wp:posOffset>495935</wp:posOffset>
                </wp:positionV>
                <wp:extent cx="5930900" cy="3438525"/>
                <wp:effectExtent l="0" t="0" r="1270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3438525"/>
                        </a:xfrm>
                        <a:prstGeom prst="rect">
                          <a:avLst/>
                        </a:prstGeom>
                        <a:solidFill>
                          <a:srgbClr val="FFFFFF"/>
                        </a:solidFill>
                        <a:ln w="9525">
                          <a:solidFill>
                            <a:srgbClr val="000000"/>
                          </a:solidFill>
                          <a:miter lim="800000"/>
                          <a:headEnd/>
                          <a:tailEnd/>
                        </a:ln>
                      </wps:spPr>
                      <wps:txbx>
                        <w:txbxContent>
                          <w:p w:rsidRPr="00216DF6" w:rsidR="00AD6861" w:rsidP="0097091A" w:rsidRDefault="00AD6861" w14:paraId="5031A5B5" w14:textId="633E9A34">
                            <w:pPr>
                              <w:spacing w:line="22" w:lineRule="atLeast"/>
                              <w:rPr>
                                <w:rFonts w:cs="ITCFranklinGothicStd-Book"/>
                                <w:sz w:val="24"/>
                                <w:szCs w:val="24"/>
                              </w:rPr>
                            </w:pPr>
                            <w:r w:rsidRPr="00216DF6">
                              <w:rPr>
                                <w:b/>
                                <w:sz w:val="24"/>
                                <w:szCs w:val="24"/>
                              </w:rPr>
                              <w:t xml:space="preserve">Goal of the study: </w:t>
                            </w:r>
                            <w:r w:rsidRPr="00216DF6">
                              <w:rPr>
                                <w:rFonts w:cs="ITCFranklinGothicStd-Book"/>
                                <w:sz w:val="24"/>
                                <w:szCs w:val="24"/>
                              </w:rPr>
                              <w:t xml:space="preserve">The purpose of this information collection (IC) is for the CDC to assure that </w:t>
                            </w:r>
                            <w:r>
                              <w:rPr>
                                <w:rFonts w:cs="ITCFranklinGothicStd-Book"/>
                                <w:sz w:val="24"/>
                                <w:szCs w:val="24"/>
                              </w:rPr>
                              <w:t>t</w:t>
                            </w:r>
                            <w:r w:rsidRPr="00216DF6">
                              <w:rPr>
                                <w:rFonts w:cs="ITCFranklinGothicStd-Book"/>
                                <w:sz w:val="24"/>
                                <w:szCs w:val="24"/>
                              </w:rPr>
                              <w:t>he Traceable Opioid Material</w:t>
                            </w:r>
                            <w:r>
                              <w:rPr>
                                <w:rFonts w:cs="ITCFranklinGothicStd-Book"/>
                                <w:sz w:val="24"/>
                                <w:szCs w:val="24"/>
                              </w:rPr>
                              <w:t>* Kits</w:t>
                            </w:r>
                            <w:r w:rsidRPr="00216DF6">
                              <w:rPr>
                                <w:rFonts w:cs="ITCFranklinGothicStd-Book"/>
                                <w:sz w:val="24"/>
                                <w:szCs w:val="24"/>
                              </w:rPr>
                              <w:t xml:space="preserve"> (TOM </w:t>
                            </w:r>
                            <w:r>
                              <w:rPr>
                                <w:rFonts w:cs="ITCFranklinGothicStd-Book"/>
                                <w:sz w:val="24"/>
                                <w:szCs w:val="24"/>
                              </w:rPr>
                              <w:t>Kits*) product line is</w:t>
                            </w:r>
                            <w:r w:rsidRPr="00216DF6">
                              <w:rPr>
                                <w:rFonts w:cs="ITCFranklinGothicStd-Book"/>
                                <w:sz w:val="24"/>
                                <w:szCs w:val="24"/>
                              </w:rPr>
                              <w:t xml:space="preserve"> being distributed to different types of laboratories in public, private, and non-profit sectors.</w:t>
                            </w:r>
                          </w:p>
                          <w:p w:rsidRPr="00216DF6" w:rsidR="00AD6861" w:rsidP="0097091A" w:rsidRDefault="00AD6861" w14:paraId="7F994A65" w14:textId="73AE9F45">
                            <w:pPr>
                              <w:spacing w:line="22" w:lineRule="atLeast"/>
                              <w:rPr>
                                <w:b/>
                                <w:sz w:val="24"/>
                                <w:szCs w:val="24"/>
                              </w:rPr>
                            </w:pPr>
                            <w:r w:rsidRPr="00216DF6">
                              <w:rPr>
                                <w:b/>
                                <w:sz w:val="24"/>
                                <w:szCs w:val="24"/>
                              </w:rPr>
                              <w:t xml:space="preserve">Intended use of the resulting data: </w:t>
                            </w:r>
                            <w:r w:rsidRPr="00216DF6">
                              <w:rPr>
                                <w:sz w:val="24"/>
                                <w:szCs w:val="24"/>
                              </w:rPr>
                              <w:t>1)</w:t>
                            </w:r>
                            <w:r>
                              <w:rPr>
                                <w:sz w:val="24"/>
                                <w:szCs w:val="24"/>
                              </w:rPr>
                              <w:t xml:space="preserve"> </w:t>
                            </w:r>
                            <w:r w:rsidRPr="00216DF6">
                              <w:rPr>
                                <w:sz w:val="24"/>
                                <w:szCs w:val="24"/>
                              </w:rPr>
                              <w:t>To gather information on the types of laboratories requesting the kits</w:t>
                            </w:r>
                            <w:r>
                              <w:rPr>
                                <w:sz w:val="24"/>
                                <w:szCs w:val="24"/>
                              </w:rPr>
                              <w:t>, and</w:t>
                            </w:r>
                            <w:r w:rsidRPr="00216DF6">
                              <w:rPr>
                                <w:sz w:val="24"/>
                                <w:szCs w:val="24"/>
                              </w:rPr>
                              <w:t xml:space="preserve"> </w:t>
                            </w:r>
                            <w:r>
                              <w:rPr>
                                <w:sz w:val="24"/>
                                <w:szCs w:val="24"/>
                              </w:rPr>
                              <w:t>2</w:t>
                            </w:r>
                            <w:r w:rsidRPr="00216DF6">
                              <w:rPr>
                                <w:sz w:val="24"/>
                                <w:szCs w:val="24"/>
                              </w:rPr>
                              <w:t xml:space="preserve">) To determine the types of instrumentation, matrices, and sample size </w:t>
                            </w:r>
                            <w:r>
                              <w:rPr>
                                <w:sz w:val="24"/>
                                <w:szCs w:val="24"/>
                              </w:rPr>
                              <w:t>for</w:t>
                            </w:r>
                            <w:r w:rsidRPr="00216DF6">
                              <w:rPr>
                                <w:sz w:val="24"/>
                                <w:szCs w:val="24"/>
                              </w:rPr>
                              <w:t xml:space="preserve"> those requesting kits.</w:t>
                            </w:r>
                          </w:p>
                          <w:p w:rsidR="00AD6861" w:rsidRDefault="00AD6861" w14:paraId="1C1B3639" w14:textId="67120371">
                            <w:pPr>
                              <w:spacing w:line="22" w:lineRule="atLeast"/>
                              <w:rPr>
                                <w:rFonts w:cstheme="minorHAnsi"/>
                                <w:b/>
                                <w:sz w:val="24"/>
                                <w:szCs w:val="24"/>
                              </w:rPr>
                            </w:pPr>
                            <w:r w:rsidRPr="00216DF6">
                              <w:rPr>
                                <w:b/>
                                <w:sz w:val="24"/>
                                <w:szCs w:val="24"/>
                              </w:rPr>
                              <w:t xml:space="preserve">Methods to be used to </w:t>
                            </w:r>
                            <w:r w:rsidRPr="006A7C98">
                              <w:rPr>
                                <w:rFonts w:cstheme="minorHAnsi"/>
                                <w:b/>
                                <w:sz w:val="24"/>
                                <w:szCs w:val="24"/>
                              </w:rPr>
                              <w:t xml:space="preserve">collect: </w:t>
                            </w:r>
                            <w:r w:rsidRPr="0097091A">
                              <w:rPr>
                                <w:rFonts w:cstheme="minorHAnsi"/>
                                <w:sz w:val="24"/>
                                <w:szCs w:val="24"/>
                              </w:rPr>
                              <w:t xml:space="preserve">CDC </w:t>
                            </w:r>
                            <w:r>
                              <w:rPr>
                                <w:rFonts w:cstheme="minorHAnsi"/>
                                <w:sz w:val="24"/>
                                <w:szCs w:val="24"/>
                              </w:rPr>
                              <w:t>vendors will</w:t>
                            </w:r>
                            <w:r w:rsidRPr="0097091A">
                              <w:rPr>
                                <w:rFonts w:cstheme="minorHAnsi"/>
                                <w:sz w:val="24"/>
                                <w:szCs w:val="24"/>
                              </w:rPr>
                              <w:t xml:space="preserve"> distribut</w:t>
                            </w:r>
                            <w:r>
                              <w:rPr>
                                <w:rFonts w:cstheme="minorHAnsi"/>
                                <w:sz w:val="24"/>
                                <w:szCs w:val="24"/>
                              </w:rPr>
                              <w:t>e</w:t>
                            </w:r>
                            <w:r w:rsidRPr="0097091A">
                              <w:rPr>
                                <w:rFonts w:cstheme="minorHAnsi"/>
                                <w:sz w:val="24"/>
                                <w:szCs w:val="24"/>
                              </w:rPr>
                              <w:t xml:space="preserve"> </w:t>
                            </w:r>
                            <w:r>
                              <w:rPr>
                                <w:rFonts w:cstheme="minorHAnsi"/>
                                <w:sz w:val="24"/>
                                <w:szCs w:val="24"/>
                              </w:rPr>
                              <w:t>the</w:t>
                            </w:r>
                            <w:r w:rsidRPr="0097091A">
                              <w:rPr>
                                <w:rFonts w:cstheme="minorHAnsi"/>
                                <w:sz w:val="24"/>
                                <w:szCs w:val="24"/>
                              </w:rPr>
                              <w:t xml:space="preserve"> TOM Kits</w:t>
                            </w:r>
                            <w:r>
                              <w:rPr>
                                <w:rFonts w:cstheme="minorHAnsi"/>
                                <w:sz w:val="24"/>
                                <w:szCs w:val="24"/>
                              </w:rPr>
                              <w:t>*. Examples of the products in this line are the</w:t>
                            </w:r>
                            <w:r w:rsidRPr="0097091A">
                              <w:rPr>
                                <w:rFonts w:cstheme="minorHAnsi"/>
                                <w:sz w:val="24"/>
                                <w:szCs w:val="24"/>
                              </w:rPr>
                              <w:t>: (1) Opioid Certified Reference Material Kit</w:t>
                            </w:r>
                            <w:r>
                              <w:rPr>
                                <w:rFonts w:cstheme="minorHAnsi"/>
                                <w:sz w:val="24"/>
                                <w:szCs w:val="24"/>
                              </w:rPr>
                              <w:t xml:space="preserve"> (Opioid CRM Kit)</w:t>
                            </w:r>
                            <w:r w:rsidRPr="0097091A">
                              <w:rPr>
                                <w:rFonts w:cstheme="minorHAnsi"/>
                                <w:sz w:val="24"/>
                                <w:szCs w:val="24"/>
                              </w:rPr>
                              <w:t>; and (2) Fentanyl Analog Screening</w:t>
                            </w:r>
                            <w:r>
                              <w:rPr>
                                <w:rFonts w:cstheme="minorHAnsi"/>
                                <w:sz w:val="24"/>
                                <w:szCs w:val="24"/>
                              </w:rPr>
                              <w:t xml:space="preserve"> Kit</w:t>
                            </w:r>
                            <w:r w:rsidRPr="0097091A">
                              <w:rPr>
                                <w:rFonts w:cstheme="minorHAnsi"/>
                                <w:sz w:val="24"/>
                                <w:szCs w:val="24"/>
                              </w:rPr>
                              <w:t xml:space="preserve"> (FAS Kit</w:t>
                            </w:r>
                            <w:r>
                              <w:rPr>
                                <w:rFonts w:cstheme="minorHAnsi"/>
                                <w:sz w:val="24"/>
                                <w:szCs w:val="24"/>
                              </w:rPr>
                              <w:t>)</w:t>
                            </w:r>
                            <w:r w:rsidRPr="0097091A">
                              <w:rPr>
                                <w:rFonts w:cstheme="minorHAnsi"/>
                                <w:sz w:val="24"/>
                                <w:szCs w:val="24"/>
                              </w:rPr>
                              <w:t xml:space="preserve">. </w:t>
                            </w:r>
                            <w:r>
                              <w:rPr>
                                <w:rFonts w:cstheme="minorHAnsi"/>
                                <w:sz w:val="24"/>
                                <w:szCs w:val="24"/>
                              </w:rPr>
                              <w:t>TOM Kits* products will use the same</w:t>
                            </w:r>
                            <w:r w:rsidRPr="006A7C98">
                              <w:rPr>
                                <w:rFonts w:cstheme="minorHAnsi"/>
                                <w:sz w:val="24"/>
                                <w:szCs w:val="24"/>
                              </w:rPr>
                              <w:t xml:space="preserve"> online survey</w:t>
                            </w:r>
                            <w:r>
                              <w:rPr>
                                <w:sz w:val="24"/>
                                <w:szCs w:val="24"/>
                              </w:rPr>
                              <w:t xml:space="preserve"> on their</w:t>
                            </w:r>
                            <w:r w:rsidRPr="00216DF6">
                              <w:rPr>
                                <w:sz w:val="24"/>
                                <w:szCs w:val="24"/>
                              </w:rPr>
                              <w:t xml:space="preserve"> </w:t>
                            </w:r>
                            <w:r>
                              <w:rPr>
                                <w:sz w:val="24"/>
                                <w:szCs w:val="24"/>
                              </w:rPr>
                              <w:t xml:space="preserve">respective </w:t>
                            </w:r>
                            <w:r w:rsidRPr="00216DF6">
                              <w:rPr>
                                <w:sz w:val="24"/>
                                <w:szCs w:val="24"/>
                              </w:rPr>
                              <w:t>website</w:t>
                            </w:r>
                            <w:r>
                              <w:rPr>
                                <w:sz w:val="24"/>
                                <w:szCs w:val="24"/>
                              </w:rPr>
                              <w:t>s</w:t>
                            </w:r>
                            <w:r w:rsidRPr="00216DF6">
                              <w:rPr>
                                <w:sz w:val="24"/>
                                <w:szCs w:val="24"/>
                              </w:rPr>
                              <w:t>.</w:t>
                            </w:r>
                          </w:p>
                          <w:p w:rsidRPr="00B82913" w:rsidR="00AD6861" w:rsidP="0097091A" w:rsidRDefault="00AD6861" w14:paraId="5E266301" w14:textId="7619A6D8">
                            <w:pPr>
                              <w:spacing w:line="22" w:lineRule="atLeast"/>
                              <w:rPr>
                                <w:rFonts w:cstheme="minorHAnsi"/>
                                <w:sz w:val="24"/>
                                <w:szCs w:val="24"/>
                              </w:rPr>
                            </w:pPr>
                            <w:r w:rsidRPr="00B82913">
                              <w:rPr>
                                <w:rFonts w:cstheme="minorHAnsi"/>
                                <w:b/>
                                <w:sz w:val="24"/>
                                <w:szCs w:val="24"/>
                              </w:rPr>
                              <w:t xml:space="preserve">Subpopulation to be studied: </w:t>
                            </w:r>
                            <w:r w:rsidRPr="00B82913">
                              <w:rPr>
                                <w:rFonts w:cstheme="minorHAnsi"/>
                                <w:sz w:val="24"/>
                                <w:szCs w:val="24"/>
                              </w:rPr>
                              <w:t xml:space="preserve">The subpopulation </w:t>
                            </w:r>
                            <w:r>
                              <w:rPr>
                                <w:rFonts w:cstheme="minorHAnsi"/>
                                <w:sz w:val="24"/>
                                <w:szCs w:val="24"/>
                              </w:rPr>
                              <w:t>for this information collection</w:t>
                            </w:r>
                            <w:r w:rsidRPr="00B82913">
                              <w:rPr>
                                <w:rFonts w:cstheme="minorHAnsi"/>
                                <w:sz w:val="24"/>
                                <w:szCs w:val="24"/>
                              </w:rPr>
                              <w:t xml:space="preserve"> will be laboratories</w:t>
                            </w:r>
                            <w:r w:rsidRPr="0097091A">
                              <w:rPr>
                                <w:rFonts w:cstheme="minorHAnsi"/>
                                <w:sz w:val="24"/>
                                <w:szCs w:val="24"/>
                              </w:rPr>
                              <w:t xml:space="preserve"> located in the U.S.</w:t>
                            </w:r>
                            <w:r>
                              <w:rPr>
                                <w:rFonts w:cstheme="minorHAnsi"/>
                                <w:sz w:val="24"/>
                                <w:szCs w:val="24"/>
                              </w:rPr>
                              <w:t xml:space="preserve"> They must </w:t>
                            </w:r>
                            <w:r w:rsidRPr="0097091A">
                              <w:rPr>
                                <w:rFonts w:cstheme="minorHAnsi"/>
                                <w:sz w:val="24"/>
                                <w:szCs w:val="24"/>
                              </w:rPr>
                              <w:t xml:space="preserve">have a </w:t>
                            </w:r>
                            <w:r>
                              <w:rPr>
                                <w:rFonts w:cstheme="minorHAnsi"/>
                                <w:sz w:val="24"/>
                                <w:szCs w:val="24"/>
                              </w:rPr>
                              <w:t xml:space="preserve">verifiable business address, must have a </w:t>
                            </w:r>
                            <w:r w:rsidRPr="0097091A">
                              <w:rPr>
                                <w:rFonts w:cstheme="minorHAnsi"/>
                                <w:sz w:val="24"/>
                                <w:szCs w:val="24"/>
                              </w:rPr>
                              <w:t xml:space="preserve">current DEA registration, must comply with respective state and local regulations, and must submit requests </w:t>
                            </w:r>
                            <w:r>
                              <w:rPr>
                                <w:rFonts w:cstheme="minorHAnsi"/>
                                <w:sz w:val="24"/>
                                <w:szCs w:val="24"/>
                              </w:rPr>
                              <w:t xml:space="preserve">for TOM Kits </w:t>
                            </w:r>
                            <w:r w:rsidRPr="0097091A">
                              <w:rPr>
                                <w:rFonts w:cstheme="minorHAnsi"/>
                                <w:sz w:val="24"/>
                                <w:szCs w:val="24"/>
                              </w:rPr>
                              <w:t>directly to the respective vendor.</w:t>
                            </w:r>
                          </w:p>
                          <w:p w:rsidRPr="00B82913" w:rsidR="00AD6861" w:rsidP="0097091A" w:rsidRDefault="00AD6861" w14:paraId="01B10897" w14:textId="0D33C844">
                            <w:pPr>
                              <w:spacing w:line="22" w:lineRule="atLeast"/>
                              <w:rPr>
                                <w:rFonts w:cstheme="minorHAnsi"/>
                                <w:sz w:val="24"/>
                                <w:szCs w:val="24"/>
                              </w:rPr>
                            </w:pPr>
                            <w:r w:rsidRPr="00B82913">
                              <w:rPr>
                                <w:rFonts w:cstheme="minorHAnsi"/>
                                <w:b/>
                                <w:sz w:val="24"/>
                                <w:szCs w:val="24"/>
                              </w:rPr>
                              <w:t xml:space="preserve">How data will be analyzed: </w:t>
                            </w:r>
                            <w:r w:rsidRPr="00B82913">
                              <w:rPr>
                                <w:rFonts w:cstheme="minorHAnsi"/>
                                <w:sz w:val="24"/>
                                <w:szCs w:val="24"/>
                              </w:rPr>
                              <w:t>General purpose statistics such as aggregation of similar responses to compare quantities with different responses.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E3FF57">
                <v:stroke joinstyle="miter"/>
                <v:path gradientshapeok="t" o:connecttype="rect"/>
              </v:shapetype>
              <v:shape id="Text Box 2" style="position:absolute;margin-left:415.8pt;margin-top:39.05pt;width:467pt;height:27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">
                <v:textbox>
                  <w:txbxContent>
                    <w:p w:rsidRPr="00216DF6" w:rsidR="00AD6861" w:rsidP="0097091A" w:rsidRDefault="00AD6861" w14:paraId="5031A5B5" w14:textId="633E9A34">
                      <w:pPr>
                        <w:spacing w:line="22" w:lineRule="atLeast"/>
                        <w:rPr>
                          <w:rFonts w:cs="ITCFranklinGothicStd-Book"/>
                          <w:sz w:val="24"/>
                          <w:szCs w:val="24"/>
                        </w:rPr>
                      </w:pPr>
                      <w:r w:rsidRPr="00216DF6">
                        <w:rPr>
                          <w:b/>
                          <w:sz w:val="24"/>
                          <w:szCs w:val="24"/>
                        </w:rPr>
                        <w:t xml:space="preserve">Goal of the study: </w:t>
                      </w:r>
                      <w:r w:rsidRPr="00216DF6">
                        <w:rPr>
                          <w:rFonts w:cs="ITCFranklinGothicStd-Book"/>
                          <w:sz w:val="24"/>
                          <w:szCs w:val="24"/>
                        </w:rPr>
                        <w:t xml:space="preserve">The purpose of this information collection (IC) is for the CDC to assure that </w:t>
                      </w:r>
                      <w:r>
                        <w:rPr>
                          <w:rFonts w:cs="ITCFranklinGothicStd-Book"/>
                          <w:sz w:val="24"/>
                          <w:szCs w:val="24"/>
                        </w:rPr>
                        <w:t>t</w:t>
                      </w:r>
                      <w:r w:rsidRPr="00216DF6">
                        <w:rPr>
                          <w:rFonts w:cs="ITCFranklinGothicStd-Book"/>
                          <w:sz w:val="24"/>
                          <w:szCs w:val="24"/>
                        </w:rPr>
                        <w:t>he Traceable Opioid Material</w:t>
                      </w:r>
                      <w:r>
                        <w:rPr>
                          <w:rFonts w:cs="ITCFranklinGothicStd-Book"/>
                          <w:sz w:val="24"/>
                          <w:szCs w:val="24"/>
                        </w:rPr>
                        <w:t>* Kits</w:t>
                      </w:r>
                      <w:r w:rsidRPr="00216DF6">
                        <w:rPr>
                          <w:rFonts w:cs="ITCFranklinGothicStd-Book"/>
                          <w:sz w:val="24"/>
                          <w:szCs w:val="24"/>
                        </w:rPr>
                        <w:t xml:space="preserve"> (TOM </w:t>
                      </w:r>
                      <w:r>
                        <w:rPr>
                          <w:rFonts w:cs="ITCFranklinGothicStd-Book"/>
                          <w:sz w:val="24"/>
                          <w:szCs w:val="24"/>
                        </w:rPr>
                        <w:t>Kits*) product line is</w:t>
                      </w:r>
                      <w:r w:rsidRPr="00216DF6">
                        <w:rPr>
                          <w:rFonts w:cs="ITCFranklinGothicStd-Book"/>
                          <w:sz w:val="24"/>
                          <w:szCs w:val="24"/>
                        </w:rPr>
                        <w:t xml:space="preserve"> being distributed to different types of laboratories in public, private, and non-profit sectors.</w:t>
                      </w:r>
                    </w:p>
                    <w:p w:rsidRPr="00216DF6" w:rsidR="00AD6861" w:rsidP="0097091A" w:rsidRDefault="00AD6861" w14:paraId="7F994A65" w14:textId="73AE9F45">
                      <w:pPr>
                        <w:spacing w:line="22" w:lineRule="atLeast"/>
                        <w:rPr>
                          <w:b/>
                          <w:sz w:val="24"/>
                          <w:szCs w:val="24"/>
                        </w:rPr>
                      </w:pPr>
                      <w:r w:rsidRPr="00216DF6">
                        <w:rPr>
                          <w:b/>
                          <w:sz w:val="24"/>
                          <w:szCs w:val="24"/>
                        </w:rPr>
                        <w:t xml:space="preserve">Intended use of the resulting data: </w:t>
                      </w:r>
                      <w:r w:rsidRPr="00216DF6">
                        <w:rPr>
                          <w:sz w:val="24"/>
                          <w:szCs w:val="24"/>
                        </w:rPr>
                        <w:t>1)</w:t>
                      </w:r>
                      <w:r>
                        <w:rPr>
                          <w:sz w:val="24"/>
                          <w:szCs w:val="24"/>
                        </w:rPr>
                        <w:t xml:space="preserve"> </w:t>
                      </w:r>
                      <w:r w:rsidRPr="00216DF6">
                        <w:rPr>
                          <w:sz w:val="24"/>
                          <w:szCs w:val="24"/>
                        </w:rPr>
                        <w:t>To gather information on the types of laboratories requesting the kits</w:t>
                      </w:r>
                      <w:r>
                        <w:rPr>
                          <w:sz w:val="24"/>
                          <w:szCs w:val="24"/>
                        </w:rPr>
                        <w:t>, and</w:t>
                      </w:r>
                      <w:r w:rsidRPr="00216DF6">
                        <w:rPr>
                          <w:sz w:val="24"/>
                          <w:szCs w:val="24"/>
                        </w:rPr>
                        <w:t xml:space="preserve"> </w:t>
                      </w:r>
                      <w:r>
                        <w:rPr>
                          <w:sz w:val="24"/>
                          <w:szCs w:val="24"/>
                        </w:rPr>
                        <w:t>2</w:t>
                      </w:r>
                      <w:r w:rsidRPr="00216DF6">
                        <w:rPr>
                          <w:sz w:val="24"/>
                          <w:szCs w:val="24"/>
                        </w:rPr>
                        <w:t xml:space="preserve">) To determine the types of instrumentation, matrices, and sample size </w:t>
                      </w:r>
                      <w:r>
                        <w:rPr>
                          <w:sz w:val="24"/>
                          <w:szCs w:val="24"/>
                        </w:rPr>
                        <w:t>for</w:t>
                      </w:r>
                      <w:r w:rsidRPr="00216DF6">
                        <w:rPr>
                          <w:sz w:val="24"/>
                          <w:szCs w:val="24"/>
                        </w:rPr>
                        <w:t xml:space="preserve"> those requesting kits.</w:t>
                      </w:r>
                    </w:p>
                    <w:p w:rsidR="00AD6861" w:rsidRDefault="00AD6861" w14:paraId="1C1B3639" w14:textId="67120371">
                      <w:pPr>
                        <w:spacing w:line="22" w:lineRule="atLeast"/>
                        <w:rPr>
                          <w:rFonts w:cstheme="minorHAnsi"/>
                          <w:b/>
                          <w:sz w:val="24"/>
                          <w:szCs w:val="24"/>
                        </w:rPr>
                      </w:pPr>
                      <w:r w:rsidRPr="00216DF6">
                        <w:rPr>
                          <w:b/>
                          <w:sz w:val="24"/>
                          <w:szCs w:val="24"/>
                        </w:rPr>
                        <w:t xml:space="preserve">Methods to be used to </w:t>
                      </w:r>
                      <w:r w:rsidRPr="006A7C98">
                        <w:rPr>
                          <w:rFonts w:cstheme="minorHAnsi"/>
                          <w:b/>
                          <w:sz w:val="24"/>
                          <w:szCs w:val="24"/>
                        </w:rPr>
                        <w:t xml:space="preserve">collect: </w:t>
                      </w:r>
                      <w:r w:rsidRPr="0097091A">
                        <w:rPr>
                          <w:rFonts w:cstheme="minorHAnsi"/>
                          <w:sz w:val="24"/>
                          <w:szCs w:val="24"/>
                        </w:rPr>
                        <w:t xml:space="preserve">CDC </w:t>
                      </w:r>
                      <w:r>
                        <w:rPr>
                          <w:rFonts w:cstheme="minorHAnsi"/>
                          <w:sz w:val="24"/>
                          <w:szCs w:val="24"/>
                        </w:rPr>
                        <w:t>vendors will</w:t>
                      </w:r>
                      <w:r w:rsidRPr="0097091A">
                        <w:rPr>
                          <w:rFonts w:cstheme="minorHAnsi"/>
                          <w:sz w:val="24"/>
                          <w:szCs w:val="24"/>
                        </w:rPr>
                        <w:t xml:space="preserve"> distribut</w:t>
                      </w:r>
                      <w:r>
                        <w:rPr>
                          <w:rFonts w:cstheme="minorHAnsi"/>
                          <w:sz w:val="24"/>
                          <w:szCs w:val="24"/>
                        </w:rPr>
                        <w:t>e</w:t>
                      </w:r>
                      <w:r w:rsidRPr="0097091A">
                        <w:rPr>
                          <w:rFonts w:cstheme="minorHAnsi"/>
                          <w:sz w:val="24"/>
                          <w:szCs w:val="24"/>
                        </w:rPr>
                        <w:t xml:space="preserve"> </w:t>
                      </w:r>
                      <w:r>
                        <w:rPr>
                          <w:rFonts w:cstheme="minorHAnsi"/>
                          <w:sz w:val="24"/>
                          <w:szCs w:val="24"/>
                        </w:rPr>
                        <w:t>the</w:t>
                      </w:r>
                      <w:r w:rsidRPr="0097091A">
                        <w:rPr>
                          <w:rFonts w:cstheme="minorHAnsi"/>
                          <w:sz w:val="24"/>
                          <w:szCs w:val="24"/>
                        </w:rPr>
                        <w:t xml:space="preserve"> TOM Kits</w:t>
                      </w:r>
                      <w:r>
                        <w:rPr>
                          <w:rFonts w:cstheme="minorHAnsi"/>
                          <w:sz w:val="24"/>
                          <w:szCs w:val="24"/>
                        </w:rPr>
                        <w:t>*. Examples of the products in this line are the</w:t>
                      </w:r>
                      <w:r w:rsidRPr="0097091A">
                        <w:rPr>
                          <w:rFonts w:cstheme="minorHAnsi"/>
                          <w:sz w:val="24"/>
                          <w:szCs w:val="24"/>
                        </w:rPr>
                        <w:t>: (1) Opioid Certified Reference Material Kit</w:t>
                      </w:r>
                      <w:r>
                        <w:rPr>
                          <w:rFonts w:cstheme="minorHAnsi"/>
                          <w:sz w:val="24"/>
                          <w:szCs w:val="24"/>
                        </w:rPr>
                        <w:t xml:space="preserve"> (Opioid CRM Kit)</w:t>
                      </w:r>
                      <w:r w:rsidRPr="0097091A">
                        <w:rPr>
                          <w:rFonts w:cstheme="minorHAnsi"/>
                          <w:sz w:val="24"/>
                          <w:szCs w:val="24"/>
                        </w:rPr>
                        <w:t>; and (2) Fentanyl Analog Screening</w:t>
                      </w:r>
                      <w:r>
                        <w:rPr>
                          <w:rFonts w:cstheme="minorHAnsi"/>
                          <w:sz w:val="24"/>
                          <w:szCs w:val="24"/>
                        </w:rPr>
                        <w:t xml:space="preserve"> Kit</w:t>
                      </w:r>
                      <w:r w:rsidRPr="0097091A">
                        <w:rPr>
                          <w:rFonts w:cstheme="minorHAnsi"/>
                          <w:sz w:val="24"/>
                          <w:szCs w:val="24"/>
                        </w:rPr>
                        <w:t xml:space="preserve"> (FAS Kit</w:t>
                      </w:r>
                      <w:r>
                        <w:rPr>
                          <w:rFonts w:cstheme="minorHAnsi"/>
                          <w:sz w:val="24"/>
                          <w:szCs w:val="24"/>
                        </w:rPr>
                        <w:t>)</w:t>
                      </w:r>
                      <w:r w:rsidRPr="0097091A">
                        <w:rPr>
                          <w:rFonts w:cstheme="minorHAnsi"/>
                          <w:sz w:val="24"/>
                          <w:szCs w:val="24"/>
                        </w:rPr>
                        <w:t xml:space="preserve">. </w:t>
                      </w:r>
                      <w:r>
                        <w:rPr>
                          <w:rFonts w:cstheme="minorHAnsi"/>
                          <w:sz w:val="24"/>
                          <w:szCs w:val="24"/>
                        </w:rPr>
                        <w:t>TOM Kits* products will use the same</w:t>
                      </w:r>
                      <w:r w:rsidRPr="006A7C98">
                        <w:rPr>
                          <w:rFonts w:cstheme="minorHAnsi"/>
                          <w:sz w:val="24"/>
                          <w:szCs w:val="24"/>
                        </w:rPr>
                        <w:t xml:space="preserve"> online survey</w:t>
                      </w:r>
                      <w:r>
                        <w:rPr>
                          <w:sz w:val="24"/>
                          <w:szCs w:val="24"/>
                        </w:rPr>
                        <w:t xml:space="preserve"> on their</w:t>
                      </w:r>
                      <w:r w:rsidRPr="00216DF6">
                        <w:rPr>
                          <w:sz w:val="24"/>
                          <w:szCs w:val="24"/>
                        </w:rPr>
                        <w:t xml:space="preserve"> </w:t>
                      </w:r>
                      <w:r>
                        <w:rPr>
                          <w:sz w:val="24"/>
                          <w:szCs w:val="24"/>
                        </w:rPr>
                        <w:t xml:space="preserve">respective </w:t>
                      </w:r>
                      <w:r w:rsidRPr="00216DF6">
                        <w:rPr>
                          <w:sz w:val="24"/>
                          <w:szCs w:val="24"/>
                        </w:rPr>
                        <w:t>website</w:t>
                      </w:r>
                      <w:r>
                        <w:rPr>
                          <w:sz w:val="24"/>
                          <w:szCs w:val="24"/>
                        </w:rPr>
                        <w:t>s</w:t>
                      </w:r>
                      <w:r w:rsidRPr="00216DF6">
                        <w:rPr>
                          <w:sz w:val="24"/>
                          <w:szCs w:val="24"/>
                        </w:rPr>
                        <w:t>.</w:t>
                      </w:r>
                    </w:p>
                    <w:p w:rsidRPr="00B82913" w:rsidR="00AD6861" w:rsidP="0097091A" w:rsidRDefault="00AD6861" w14:paraId="5E266301" w14:textId="7619A6D8">
                      <w:pPr>
                        <w:spacing w:line="22" w:lineRule="atLeast"/>
                        <w:rPr>
                          <w:rFonts w:cstheme="minorHAnsi"/>
                          <w:sz w:val="24"/>
                          <w:szCs w:val="24"/>
                        </w:rPr>
                      </w:pPr>
                      <w:r w:rsidRPr="00B82913">
                        <w:rPr>
                          <w:rFonts w:cstheme="minorHAnsi"/>
                          <w:b/>
                          <w:sz w:val="24"/>
                          <w:szCs w:val="24"/>
                        </w:rPr>
                        <w:t xml:space="preserve">Subpopulation to be studied: </w:t>
                      </w:r>
                      <w:r w:rsidRPr="00B82913">
                        <w:rPr>
                          <w:rFonts w:cstheme="minorHAnsi"/>
                          <w:sz w:val="24"/>
                          <w:szCs w:val="24"/>
                        </w:rPr>
                        <w:t xml:space="preserve">The subpopulation </w:t>
                      </w:r>
                      <w:r>
                        <w:rPr>
                          <w:rFonts w:cstheme="minorHAnsi"/>
                          <w:sz w:val="24"/>
                          <w:szCs w:val="24"/>
                        </w:rPr>
                        <w:t>for this information collection</w:t>
                      </w:r>
                      <w:r w:rsidRPr="00B82913">
                        <w:rPr>
                          <w:rFonts w:cstheme="minorHAnsi"/>
                          <w:sz w:val="24"/>
                          <w:szCs w:val="24"/>
                        </w:rPr>
                        <w:t xml:space="preserve"> will be laboratories</w:t>
                      </w:r>
                      <w:r w:rsidRPr="0097091A">
                        <w:rPr>
                          <w:rFonts w:cstheme="minorHAnsi"/>
                          <w:sz w:val="24"/>
                          <w:szCs w:val="24"/>
                        </w:rPr>
                        <w:t xml:space="preserve"> located in the U.S.</w:t>
                      </w:r>
                      <w:r>
                        <w:rPr>
                          <w:rFonts w:cstheme="minorHAnsi"/>
                          <w:sz w:val="24"/>
                          <w:szCs w:val="24"/>
                        </w:rPr>
                        <w:t xml:space="preserve"> They must </w:t>
                      </w:r>
                      <w:r w:rsidRPr="0097091A">
                        <w:rPr>
                          <w:rFonts w:cstheme="minorHAnsi"/>
                          <w:sz w:val="24"/>
                          <w:szCs w:val="24"/>
                        </w:rPr>
                        <w:t xml:space="preserve">have a </w:t>
                      </w:r>
                      <w:r>
                        <w:rPr>
                          <w:rFonts w:cstheme="minorHAnsi"/>
                          <w:sz w:val="24"/>
                          <w:szCs w:val="24"/>
                        </w:rPr>
                        <w:t xml:space="preserve">verifiable business address, must have a </w:t>
                      </w:r>
                      <w:r w:rsidRPr="0097091A">
                        <w:rPr>
                          <w:rFonts w:cstheme="minorHAnsi"/>
                          <w:sz w:val="24"/>
                          <w:szCs w:val="24"/>
                        </w:rPr>
                        <w:t xml:space="preserve">current DEA registration, must comply with respective state and local regulations, and must submit requests </w:t>
                      </w:r>
                      <w:r>
                        <w:rPr>
                          <w:rFonts w:cstheme="minorHAnsi"/>
                          <w:sz w:val="24"/>
                          <w:szCs w:val="24"/>
                        </w:rPr>
                        <w:t xml:space="preserve">for TOM Kits </w:t>
                      </w:r>
                      <w:r w:rsidRPr="0097091A">
                        <w:rPr>
                          <w:rFonts w:cstheme="minorHAnsi"/>
                          <w:sz w:val="24"/>
                          <w:szCs w:val="24"/>
                        </w:rPr>
                        <w:t>directly to the respective vendor.</w:t>
                      </w:r>
                    </w:p>
                    <w:p w:rsidRPr="00B82913" w:rsidR="00AD6861" w:rsidP="0097091A" w:rsidRDefault="00AD6861" w14:paraId="01B10897" w14:textId="0D33C844">
                      <w:pPr>
                        <w:spacing w:line="22" w:lineRule="atLeast"/>
                        <w:rPr>
                          <w:rFonts w:cstheme="minorHAnsi"/>
                          <w:sz w:val="24"/>
                          <w:szCs w:val="24"/>
                        </w:rPr>
                      </w:pPr>
                      <w:r w:rsidRPr="00B82913">
                        <w:rPr>
                          <w:rFonts w:cstheme="minorHAnsi"/>
                          <w:b/>
                          <w:sz w:val="24"/>
                          <w:szCs w:val="24"/>
                        </w:rPr>
                        <w:t xml:space="preserve">How data will be analyzed: </w:t>
                      </w:r>
                      <w:r w:rsidRPr="00B82913">
                        <w:rPr>
                          <w:rFonts w:cstheme="minorHAnsi"/>
                          <w:sz w:val="24"/>
                          <w:szCs w:val="24"/>
                        </w:rPr>
                        <w:t>General purpose statistics such as aggregation of similar responses to compare quantities with different responses.</w:t>
                      </w:r>
                    </w:p>
                  </w:txbxContent>
                </v:textbox>
                <w10:wrap type="square" anchorx="margin"/>
              </v:shape>
            </w:pict>
          </mc:Fallback>
        </mc:AlternateContent>
      </w:r>
      <w:r w:rsidRPr="00D20211">
        <w:rPr>
          <w:rFonts w:asciiTheme="majorHAnsi" w:hAnsiTheme="majorHAnsi"/>
          <w:sz w:val="36"/>
          <w:szCs w:val="36"/>
        </w:rPr>
        <w:t>Part A. Justification</w:t>
      </w:r>
    </w:p>
    <w:p w:rsidR="00B45002" w:rsidP="00C03179" w:rsidRDefault="00FC5B5A" w14:paraId="6564C8A5" w14:textId="0B9073C6">
      <w:pPr>
        <w:pStyle w:val="Heading1"/>
        <w:pBdr>
          <w:bottom w:val="none" w:color="auto" w:sz="0" w:space="0"/>
        </w:pBdr>
        <w:rPr>
          <w:color w:val="auto"/>
        </w:rPr>
      </w:pPr>
      <w:bookmarkStart w:name="_Toc31301591" w:id="3"/>
      <w:r w:rsidRPr="00D20211">
        <w:rPr>
          <w:color w:val="auto"/>
        </w:rPr>
        <w:t>A</w:t>
      </w:r>
      <w:r w:rsidRPr="00D20211" w:rsidR="0024399D">
        <w:rPr>
          <w:color w:val="auto"/>
        </w:rPr>
        <w:t>.</w:t>
      </w:r>
      <w:r w:rsidRPr="00D20211" w:rsidR="004D21C9">
        <w:rPr>
          <w:color w:val="auto"/>
        </w:rPr>
        <w:t xml:space="preserve">1.  </w:t>
      </w:r>
      <w:r w:rsidRPr="00D20211" w:rsidR="00B45002">
        <w:rPr>
          <w:color w:val="auto"/>
        </w:rPr>
        <w:t>Circumstances Making the Collection of Information Necessary</w:t>
      </w:r>
      <w:bookmarkEnd w:id="3"/>
    </w:p>
    <w:p w:rsidR="00A17C8D" w:rsidP="00A17C8D" w:rsidRDefault="00A17C8D" w14:paraId="3FB61B2B" w14:textId="688970EE"/>
    <w:p w:rsidR="00B01DC0" w:rsidP="00B01DC0" w:rsidRDefault="00B01DC0" w14:paraId="5F0D8416" w14:textId="13ABC6EC">
      <w:pPr>
        <w:rPr>
          <w:sz w:val="24"/>
        </w:rPr>
      </w:pPr>
      <w:r w:rsidRPr="00B01DC0">
        <w:rPr>
          <w:sz w:val="24"/>
        </w:rPr>
        <w:t>For the first time in U.S. history, a drug class has been declared a n</w:t>
      </w:r>
      <w:r>
        <w:rPr>
          <w:sz w:val="24"/>
        </w:rPr>
        <w:t>ational public health emergency (</w:t>
      </w:r>
      <w:proofErr w:type="spellStart"/>
      <w:r>
        <w:rPr>
          <w:sz w:val="24"/>
        </w:rPr>
        <w:t>Hargan</w:t>
      </w:r>
      <w:proofErr w:type="spellEnd"/>
      <w:r w:rsidR="006A05D1">
        <w:rPr>
          <w:sz w:val="24"/>
        </w:rPr>
        <w:t>,</w:t>
      </w:r>
      <w:r>
        <w:rPr>
          <w:sz w:val="24"/>
        </w:rPr>
        <w:t xml:space="preserve"> et al)</w:t>
      </w:r>
      <w:r w:rsidRPr="00B01DC0">
        <w:rPr>
          <w:sz w:val="24"/>
        </w:rPr>
        <w:t>; each day more than 140 Americans die from drug overdoses, 91 specifically because o</w:t>
      </w:r>
      <w:r>
        <w:rPr>
          <w:sz w:val="24"/>
        </w:rPr>
        <w:t>f opioids</w:t>
      </w:r>
      <w:r w:rsidRPr="00B01DC0">
        <w:rPr>
          <w:sz w:val="24"/>
        </w:rPr>
        <w:t>.  Since 2013, there have been significant increases in overdose deaths involving synthetic opioids – particularly those involving illicitly-manufactured fentanyl. The U.S. Drug Enforcement Administration (DEA) estimates that 75% of all opioid identi</w:t>
      </w:r>
      <w:r>
        <w:rPr>
          <w:sz w:val="24"/>
        </w:rPr>
        <w:t xml:space="preserve">fications are illicit </w:t>
      </w:r>
      <w:proofErr w:type="spellStart"/>
      <w:r>
        <w:rPr>
          <w:sz w:val="24"/>
        </w:rPr>
        <w:t>fentanyls</w:t>
      </w:r>
      <w:proofErr w:type="spellEnd"/>
      <w:r>
        <w:rPr>
          <w:sz w:val="24"/>
        </w:rPr>
        <w:t xml:space="preserve"> (DEA, 2018 Emerging Threat Report)</w:t>
      </w:r>
      <w:r w:rsidRPr="00B01DC0">
        <w:rPr>
          <w:sz w:val="24"/>
        </w:rPr>
        <w:t xml:space="preserve">. Laboratories are routinely asked to confirm which fentanyl or other opioids are involved in an overdose or encountered by first responders, as it is critical to identify and classify the types of drugs involved in an overdose, how often they are involved, and how that involvement may change over time.  By understanding which drugs are present, appropriate prevention and response activities can be implemented. </w:t>
      </w:r>
    </w:p>
    <w:p w:rsidRPr="00B01DC0" w:rsidR="00E7619C" w:rsidP="00EC31D7" w:rsidRDefault="00E7619C" w14:paraId="723CB5FF" w14:textId="1DF1EBB4">
      <w:pPr>
        <w:autoSpaceDE w:val="0"/>
        <w:autoSpaceDN w:val="0"/>
        <w:adjustRightInd w:val="0"/>
        <w:spacing w:line="240" w:lineRule="auto"/>
        <w:rPr>
          <w:sz w:val="24"/>
        </w:rPr>
      </w:pPr>
      <w:r w:rsidRPr="006A05D1">
        <w:rPr>
          <w:sz w:val="24"/>
        </w:rPr>
        <w:t xml:space="preserve">The illegal manufacture of a variety of fentanyl analogs presents one of the more difficult problems for laboratory analyses of forensic and post-mortem cases. In 2015, members of the </w:t>
      </w:r>
      <w:r w:rsidRPr="006A05D1">
        <w:rPr>
          <w:sz w:val="24"/>
        </w:rPr>
        <w:lastRenderedPageBreak/>
        <w:t>scientific community called for more specificity in opioid analyses, and up until 2016, national epidemiological data was sparse on the specific illicit fentanyl analogs entering the market or causing death.</w:t>
      </w:r>
    </w:p>
    <w:p w:rsidRPr="00B01DC0" w:rsidR="00B01DC0" w:rsidP="00B01DC0" w:rsidRDefault="00B01DC0" w14:paraId="2491272C" w14:textId="5DF5F802">
      <w:pPr>
        <w:rPr>
          <w:sz w:val="24"/>
        </w:rPr>
      </w:pPr>
      <w:r w:rsidRPr="00B01DC0">
        <w:rPr>
          <w:sz w:val="24"/>
        </w:rPr>
        <w:t xml:space="preserve">Laboratory testing does exist for opioids that are available clinically or are widely recognized. However, there has been a rapid expansion in new types of illicit opioids, particularly fentanyl analogues. Health care providers, public health surveillance officials, and law enforcement officers need to know which opioids are in use to treat, monitor, and investigate fatal and non-fatal overdoses.  </w:t>
      </w:r>
      <w:r w:rsidRPr="00B01DC0" w:rsidR="00C27BA5">
        <w:rPr>
          <w:sz w:val="24"/>
        </w:rPr>
        <w:t>For</w:t>
      </w:r>
      <w:r w:rsidRPr="00B01DC0">
        <w:rPr>
          <w:sz w:val="24"/>
        </w:rPr>
        <w:t xml:space="preserve"> laboratories to test them, they need samples of the new illicitly manufactured </w:t>
      </w:r>
      <w:proofErr w:type="spellStart"/>
      <w:r w:rsidRPr="00B01DC0">
        <w:rPr>
          <w:sz w:val="24"/>
        </w:rPr>
        <w:t>fentanyls</w:t>
      </w:r>
      <w:proofErr w:type="spellEnd"/>
      <w:r w:rsidRPr="00B01DC0">
        <w:rPr>
          <w:sz w:val="24"/>
        </w:rPr>
        <w:t xml:space="preserve"> of concern. Laboratories will use small amounts of these deadly fentanyl types to develop and maintain the critical ability to identify them. </w:t>
      </w:r>
    </w:p>
    <w:p w:rsidRPr="00F9520F" w:rsidR="00A17C8D" w:rsidP="00B01DC0" w:rsidRDefault="00B01DC0" w14:paraId="7BBE3D37" w14:textId="710164C5">
      <w:pPr>
        <w:rPr>
          <w:rFonts w:cstheme="minorHAnsi"/>
          <w:sz w:val="24"/>
          <w:szCs w:val="24"/>
        </w:rPr>
      </w:pPr>
      <w:r w:rsidRPr="00B01DC0">
        <w:rPr>
          <w:sz w:val="24"/>
        </w:rPr>
        <w:t>T</w:t>
      </w:r>
      <w:r w:rsidR="00367138">
        <w:rPr>
          <w:sz w:val="24"/>
        </w:rPr>
        <w:t>o fill this need, t</w:t>
      </w:r>
      <w:r w:rsidRPr="00B01DC0">
        <w:rPr>
          <w:sz w:val="24"/>
        </w:rPr>
        <w:t xml:space="preserve">he Centers for Disease Control and Prevention (CDC) </w:t>
      </w:r>
      <w:r w:rsidR="00F9520F">
        <w:rPr>
          <w:sz w:val="24"/>
        </w:rPr>
        <w:t xml:space="preserve">has </w:t>
      </w:r>
      <w:r w:rsidRPr="00B01DC0">
        <w:rPr>
          <w:sz w:val="24"/>
        </w:rPr>
        <w:t>developed the Traceable Opioid Material</w:t>
      </w:r>
      <w:r w:rsidR="00945D53">
        <w:rPr>
          <w:sz w:val="24"/>
        </w:rPr>
        <w:t>* Kits</w:t>
      </w:r>
      <w:r w:rsidRPr="00B01DC0">
        <w:rPr>
          <w:sz w:val="24"/>
        </w:rPr>
        <w:t xml:space="preserve"> </w:t>
      </w:r>
      <w:r w:rsidR="00E93F09">
        <w:rPr>
          <w:sz w:val="24"/>
        </w:rPr>
        <w:t xml:space="preserve">(TOM </w:t>
      </w:r>
      <w:r w:rsidRPr="00B01DC0">
        <w:rPr>
          <w:sz w:val="24"/>
        </w:rPr>
        <w:t>Kits</w:t>
      </w:r>
      <w:r w:rsidR="00945D53">
        <w:rPr>
          <w:sz w:val="24"/>
        </w:rPr>
        <w:t>*)</w:t>
      </w:r>
      <w:r w:rsidRPr="00B01DC0">
        <w:rPr>
          <w:sz w:val="24"/>
        </w:rPr>
        <w:t xml:space="preserve">, which provide over </w:t>
      </w:r>
      <w:r w:rsidR="00945D53">
        <w:rPr>
          <w:sz w:val="24"/>
        </w:rPr>
        <w:t>200</w:t>
      </w:r>
      <w:r w:rsidRPr="00B01DC0" w:rsidR="00945D53">
        <w:rPr>
          <w:sz w:val="24"/>
        </w:rPr>
        <w:t xml:space="preserve"> </w:t>
      </w:r>
      <w:r w:rsidRPr="00B01DC0">
        <w:rPr>
          <w:sz w:val="24"/>
        </w:rPr>
        <w:t xml:space="preserve">opioid reference standards, including over </w:t>
      </w:r>
      <w:r w:rsidRPr="00B01DC0" w:rsidR="00945D53">
        <w:rPr>
          <w:sz w:val="24"/>
        </w:rPr>
        <w:t>1</w:t>
      </w:r>
      <w:r w:rsidR="00945D53">
        <w:rPr>
          <w:sz w:val="24"/>
        </w:rPr>
        <w:t>9</w:t>
      </w:r>
      <w:r w:rsidRPr="00B01DC0" w:rsidR="00945D53">
        <w:rPr>
          <w:sz w:val="24"/>
        </w:rPr>
        <w:t xml:space="preserve">0 </w:t>
      </w:r>
      <w:r w:rsidRPr="00B01DC0">
        <w:rPr>
          <w:sz w:val="24"/>
        </w:rPr>
        <w:t>fentanyl analogs.</w:t>
      </w:r>
      <w:r w:rsidR="00D7437A">
        <w:rPr>
          <w:rStyle w:val="FootnoteReference"/>
          <w:sz w:val="24"/>
        </w:rPr>
        <w:footnoteReference w:id="1"/>
      </w:r>
      <w:r w:rsidRPr="00B01DC0">
        <w:rPr>
          <w:sz w:val="24"/>
        </w:rPr>
        <w:t xml:space="preserve">  These kits were designed to dramatically increase laboratory capability to </w:t>
      </w:r>
      <w:r w:rsidRPr="00F9520F">
        <w:rPr>
          <w:rFonts w:cstheme="minorHAnsi"/>
          <w:sz w:val="24"/>
          <w:szCs w:val="24"/>
        </w:rPr>
        <w:t>confirm which opioids are on the streets and causing deaths. The kits are free to laboratories in the public, private, clinical, law enforcement, research, and public health domains</w:t>
      </w:r>
      <w:r w:rsidRPr="00F9520F" w:rsidR="00367138">
        <w:rPr>
          <w:rFonts w:cstheme="minorHAnsi"/>
          <w:sz w:val="24"/>
          <w:szCs w:val="24"/>
        </w:rPr>
        <w:t xml:space="preserve"> (</w:t>
      </w:r>
      <w:r w:rsidRPr="00EC31D7" w:rsidR="00367138">
        <w:rPr>
          <w:rFonts w:cstheme="minorHAnsi"/>
          <w:b/>
          <w:sz w:val="24"/>
          <w:szCs w:val="24"/>
        </w:rPr>
        <w:t xml:space="preserve">Attachment </w:t>
      </w:r>
      <w:r w:rsidR="003D2E1D">
        <w:rPr>
          <w:rFonts w:cstheme="minorHAnsi"/>
          <w:b/>
          <w:sz w:val="24"/>
          <w:szCs w:val="24"/>
        </w:rPr>
        <w:t>3</w:t>
      </w:r>
      <w:r w:rsidRPr="00F9520F" w:rsidR="00367138">
        <w:rPr>
          <w:rFonts w:cstheme="minorHAnsi"/>
          <w:sz w:val="24"/>
          <w:szCs w:val="24"/>
        </w:rPr>
        <w:t>)</w:t>
      </w:r>
      <w:r w:rsidRPr="00F9520F">
        <w:rPr>
          <w:rFonts w:cstheme="minorHAnsi"/>
          <w:sz w:val="24"/>
          <w:szCs w:val="24"/>
        </w:rPr>
        <w:t>.</w:t>
      </w:r>
    </w:p>
    <w:p w:rsidR="00F9520F" w:rsidP="00B01DC0" w:rsidRDefault="00F9520F" w14:paraId="5F1B9B80" w14:textId="6977E1DE">
      <w:pPr>
        <w:rPr>
          <w:rFonts w:cstheme="minorHAnsi"/>
          <w:sz w:val="24"/>
          <w:szCs w:val="24"/>
        </w:rPr>
      </w:pPr>
      <w:bookmarkStart w:name="_Hlk31302120" w:id="4"/>
      <w:r w:rsidRPr="00EC31D7">
        <w:rPr>
          <w:rFonts w:cstheme="minorHAnsi"/>
          <w:sz w:val="24"/>
          <w:szCs w:val="24"/>
        </w:rPr>
        <w:t>To equitably distribute the TOM Kits</w:t>
      </w:r>
      <w:r w:rsidR="00945D53">
        <w:rPr>
          <w:rFonts w:cstheme="minorHAnsi"/>
          <w:sz w:val="24"/>
          <w:szCs w:val="24"/>
        </w:rPr>
        <w:t>*</w:t>
      </w:r>
      <w:r w:rsidR="00D7437A">
        <w:rPr>
          <w:rFonts w:cstheme="minorHAnsi"/>
          <w:sz w:val="24"/>
          <w:szCs w:val="24"/>
        </w:rPr>
        <w:t>,</w:t>
      </w:r>
      <w:r w:rsidR="00AF781A">
        <w:rPr>
          <w:rFonts w:cstheme="minorHAnsi"/>
          <w:sz w:val="24"/>
          <w:szCs w:val="24"/>
        </w:rPr>
        <w:t xml:space="preserve"> in 2019</w:t>
      </w:r>
      <w:r w:rsidRPr="00EC31D7">
        <w:rPr>
          <w:rFonts w:cstheme="minorHAnsi"/>
          <w:sz w:val="24"/>
          <w:szCs w:val="24"/>
        </w:rPr>
        <w:t>, the CDC conducted an emergency information collection, titled “Distribution of Traceable Opioid Material</w:t>
      </w:r>
      <w:r w:rsidR="00945D53">
        <w:rPr>
          <w:rFonts w:cstheme="minorHAnsi"/>
          <w:sz w:val="24"/>
          <w:szCs w:val="24"/>
        </w:rPr>
        <w:t>*</w:t>
      </w:r>
      <w:r w:rsidRPr="00EC31D7">
        <w:rPr>
          <w:rFonts w:cstheme="minorHAnsi"/>
          <w:sz w:val="24"/>
          <w:szCs w:val="24"/>
        </w:rPr>
        <w:t xml:space="preserve"> </w:t>
      </w:r>
      <w:r w:rsidR="00945D53">
        <w:rPr>
          <w:rFonts w:cstheme="minorHAnsi"/>
          <w:sz w:val="24"/>
          <w:szCs w:val="24"/>
        </w:rPr>
        <w:t xml:space="preserve">Kits </w:t>
      </w:r>
      <w:r w:rsidRPr="00EC31D7">
        <w:rPr>
          <w:rFonts w:cstheme="minorHAnsi"/>
          <w:sz w:val="24"/>
          <w:szCs w:val="24"/>
        </w:rPr>
        <w:t>(TOM Kits</w:t>
      </w:r>
      <w:r w:rsidR="00945D53">
        <w:rPr>
          <w:rFonts w:cstheme="minorHAnsi"/>
          <w:sz w:val="24"/>
          <w:szCs w:val="24"/>
        </w:rPr>
        <w:t>*)</w:t>
      </w:r>
      <w:r w:rsidRPr="00EC31D7">
        <w:rPr>
          <w:rFonts w:cstheme="minorHAnsi"/>
          <w:sz w:val="24"/>
          <w:szCs w:val="24"/>
        </w:rPr>
        <w:t xml:space="preserve"> across U.S. Laboratories,” under the Health and Human Services (HHS) Secretary’s </w:t>
      </w:r>
      <w:r w:rsidR="00AF781A">
        <w:rPr>
          <w:rFonts w:cstheme="minorHAnsi"/>
          <w:sz w:val="24"/>
          <w:szCs w:val="24"/>
        </w:rPr>
        <w:t>P</w:t>
      </w:r>
      <w:r w:rsidRPr="00EC31D7">
        <w:rPr>
          <w:rFonts w:cstheme="minorHAnsi"/>
          <w:sz w:val="24"/>
          <w:szCs w:val="24"/>
        </w:rPr>
        <w:t xml:space="preserve">ublic </w:t>
      </w:r>
      <w:r w:rsidR="00AF781A">
        <w:rPr>
          <w:rFonts w:cstheme="minorHAnsi"/>
          <w:sz w:val="24"/>
          <w:szCs w:val="24"/>
        </w:rPr>
        <w:t>H</w:t>
      </w:r>
      <w:r w:rsidRPr="00EC31D7">
        <w:rPr>
          <w:rFonts w:cstheme="minorHAnsi"/>
          <w:sz w:val="24"/>
          <w:szCs w:val="24"/>
        </w:rPr>
        <w:t xml:space="preserve">ealth </w:t>
      </w:r>
      <w:r w:rsidR="00AF781A">
        <w:rPr>
          <w:rFonts w:cstheme="minorHAnsi"/>
          <w:sz w:val="24"/>
          <w:szCs w:val="24"/>
        </w:rPr>
        <w:t>E</w:t>
      </w:r>
      <w:r w:rsidRPr="00EC31D7">
        <w:rPr>
          <w:rFonts w:cstheme="minorHAnsi"/>
          <w:sz w:val="24"/>
          <w:szCs w:val="24"/>
        </w:rPr>
        <w:t xml:space="preserve">mergency Paperwork Reduction Act (PHE PRA) </w:t>
      </w:r>
      <w:r w:rsidR="00AF781A">
        <w:rPr>
          <w:rFonts w:cstheme="minorHAnsi"/>
          <w:sz w:val="24"/>
          <w:szCs w:val="24"/>
        </w:rPr>
        <w:t>W</w:t>
      </w:r>
      <w:r w:rsidRPr="00EC31D7">
        <w:rPr>
          <w:rFonts w:cstheme="minorHAnsi"/>
          <w:sz w:val="24"/>
          <w:szCs w:val="24"/>
        </w:rPr>
        <w:t>aiver mechanism for the period from 03/20/2019 to 05/10/2019</w:t>
      </w:r>
      <w:r>
        <w:rPr>
          <w:rFonts w:cstheme="minorHAnsi"/>
          <w:sz w:val="24"/>
          <w:szCs w:val="24"/>
        </w:rPr>
        <w:t xml:space="preserve"> (</w:t>
      </w:r>
      <w:r w:rsidRPr="00EC31D7">
        <w:rPr>
          <w:rFonts w:cstheme="minorHAnsi"/>
          <w:b/>
          <w:sz w:val="24"/>
          <w:szCs w:val="24"/>
        </w:rPr>
        <w:t xml:space="preserve">Attachment </w:t>
      </w:r>
      <w:r w:rsidR="003D2E1D">
        <w:rPr>
          <w:rFonts w:cstheme="minorHAnsi"/>
          <w:b/>
          <w:sz w:val="24"/>
          <w:szCs w:val="24"/>
        </w:rPr>
        <w:t>4</w:t>
      </w:r>
      <w:r>
        <w:rPr>
          <w:rFonts w:cstheme="minorHAnsi"/>
          <w:sz w:val="24"/>
          <w:szCs w:val="24"/>
        </w:rPr>
        <w:t>)</w:t>
      </w:r>
      <w:r w:rsidRPr="00EC31D7">
        <w:rPr>
          <w:rFonts w:cstheme="minorHAnsi"/>
          <w:sz w:val="24"/>
          <w:szCs w:val="24"/>
        </w:rPr>
        <w:t>. From 05/10/2019, CDC continued distributing kits using a generic information collection (</w:t>
      </w:r>
      <w:proofErr w:type="spellStart"/>
      <w:r w:rsidRPr="00EC31D7">
        <w:rPr>
          <w:rFonts w:cstheme="minorHAnsi"/>
          <w:sz w:val="24"/>
          <w:szCs w:val="24"/>
        </w:rPr>
        <w:t>GenIC</w:t>
      </w:r>
      <w:proofErr w:type="spellEnd"/>
      <w:r w:rsidRPr="00EC31D7">
        <w:rPr>
          <w:rFonts w:cstheme="minorHAnsi"/>
          <w:sz w:val="24"/>
          <w:szCs w:val="24"/>
        </w:rPr>
        <w:t>) under “Generic Clearance for the Collection of Qualitative Feedback on Agency Service Delivery” (OMB Control No. 0923-0047; expiration date 01/31/2022)</w:t>
      </w:r>
      <w:r>
        <w:rPr>
          <w:rFonts w:cstheme="minorHAnsi"/>
          <w:sz w:val="24"/>
          <w:szCs w:val="24"/>
        </w:rPr>
        <w:t xml:space="preserve"> (</w:t>
      </w:r>
      <w:r w:rsidRPr="00EC31D7">
        <w:rPr>
          <w:rFonts w:cstheme="minorHAnsi"/>
          <w:b/>
          <w:sz w:val="24"/>
          <w:szCs w:val="24"/>
        </w:rPr>
        <w:t xml:space="preserve">Attachment </w:t>
      </w:r>
      <w:r w:rsidR="003D2E1D">
        <w:rPr>
          <w:rFonts w:cstheme="minorHAnsi"/>
          <w:b/>
          <w:sz w:val="24"/>
          <w:szCs w:val="24"/>
        </w:rPr>
        <w:t>5</w:t>
      </w:r>
      <w:r>
        <w:rPr>
          <w:rFonts w:cstheme="minorHAnsi"/>
          <w:sz w:val="24"/>
          <w:szCs w:val="24"/>
        </w:rPr>
        <w:t>)</w:t>
      </w:r>
      <w:r w:rsidRPr="00EC31D7">
        <w:rPr>
          <w:rFonts w:cstheme="minorHAnsi"/>
          <w:sz w:val="24"/>
          <w:szCs w:val="24"/>
        </w:rPr>
        <w:t>.</w:t>
      </w:r>
    </w:p>
    <w:bookmarkEnd w:id="4"/>
    <w:p w:rsidR="00312BAA" w:rsidP="00B01DC0" w:rsidRDefault="00F9520F" w14:paraId="0826ED46" w14:textId="00989260">
      <w:pPr>
        <w:rPr>
          <w:sz w:val="24"/>
        </w:rPr>
      </w:pPr>
      <w:r w:rsidRPr="00EC31D7">
        <w:rPr>
          <w:rFonts w:cstheme="minorHAnsi"/>
          <w:sz w:val="24"/>
          <w:szCs w:val="24"/>
        </w:rPr>
        <w:t>To continue this collection, t</w:t>
      </w:r>
      <w:r w:rsidRPr="00F9520F" w:rsidR="00312BAA">
        <w:rPr>
          <w:rFonts w:cstheme="minorHAnsi"/>
          <w:sz w:val="24"/>
          <w:szCs w:val="24"/>
        </w:rPr>
        <w:t xml:space="preserve">he CDC is requesting approval for a three-year Paperwork Reduction Act (PRA) clearance for this new information collection request (ICR) </w:t>
      </w:r>
      <w:r w:rsidR="00C36D37">
        <w:rPr>
          <w:rFonts w:cstheme="minorHAnsi"/>
          <w:sz w:val="24"/>
          <w:szCs w:val="24"/>
        </w:rPr>
        <w:t xml:space="preserve">also </w:t>
      </w:r>
      <w:r w:rsidRPr="00F9520F" w:rsidR="00312BAA">
        <w:rPr>
          <w:rFonts w:cstheme="minorHAnsi"/>
          <w:sz w:val="24"/>
          <w:szCs w:val="24"/>
        </w:rPr>
        <w:t>titled “Distribution of Traceable</w:t>
      </w:r>
      <w:r w:rsidRPr="00A17C8D" w:rsidR="00312BAA">
        <w:rPr>
          <w:sz w:val="24"/>
        </w:rPr>
        <w:t xml:space="preserve"> Opioid Material</w:t>
      </w:r>
      <w:r w:rsidR="00945D53">
        <w:rPr>
          <w:sz w:val="24"/>
        </w:rPr>
        <w:t>* Kits</w:t>
      </w:r>
      <w:r w:rsidRPr="00A17C8D" w:rsidR="00312BAA">
        <w:rPr>
          <w:sz w:val="24"/>
        </w:rPr>
        <w:t xml:space="preserve"> </w:t>
      </w:r>
      <w:r w:rsidR="00312BAA">
        <w:rPr>
          <w:sz w:val="24"/>
        </w:rPr>
        <w:t xml:space="preserve">(TOM </w:t>
      </w:r>
      <w:r w:rsidRPr="00A17C8D" w:rsidR="00312BAA">
        <w:rPr>
          <w:sz w:val="24"/>
        </w:rPr>
        <w:t>Kits</w:t>
      </w:r>
      <w:r w:rsidR="00945D53">
        <w:rPr>
          <w:sz w:val="24"/>
        </w:rPr>
        <w:t>*)</w:t>
      </w:r>
      <w:r w:rsidRPr="00A17C8D" w:rsidR="00312BAA">
        <w:rPr>
          <w:sz w:val="24"/>
        </w:rPr>
        <w:t xml:space="preserve"> across U.S. Laboratories</w:t>
      </w:r>
      <w:r w:rsidR="00312BAA">
        <w:rPr>
          <w:sz w:val="24"/>
        </w:rPr>
        <w:t xml:space="preserve">.”  </w:t>
      </w:r>
    </w:p>
    <w:p w:rsidRPr="00EC31D7" w:rsidR="00A61F45" w:rsidP="00B01DC0" w:rsidRDefault="00B0727E" w14:paraId="0E54E250" w14:textId="5582CF80">
      <w:pPr>
        <w:rPr>
          <w:sz w:val="24"/>
          <w:szCs w:val="24"/>
        </w:rPr>
      </w:pPr>
      <w:r>
        <w:rPr>
          <w:rFonts w:cstheme="minorHAnsi"/>
          <w:bCs/>
          <w:sz w:val="24"/>
          <w:szCs w:val="24"/>
        </w:rPr>
        <w:t xml:space="preserve">CDC is </w:t>
      </w:r>
      <w:r w:rsidRPr="00243C5F">
        <w:rPr>
          <w:rFonts w:cstheme="minorHAnsi"/>
          <w:bCs/>
          <w:sz w:val="24"/>
          <w:szCs w:val="24"/>
        </w:rPr>
        <w:t xml:space="preserve">authorized to </w:t>
      </w:r>
      <w:r>
        <w:rPr>
          <w:rFonts w:cstheme="minorHAnsi"/>
          <w:bCs/>
          <w:sz w:val="24"/>
          <w:szCs w:val="24"/>
        </w:rPr>
        <w:t>carry out this activity</w:t>
      </w:r>
      <w:r w:rsidRPr="00243C5F">
        <w:rPr>
          <w:rFonts w:cstheme="minorHAnsi"/>
          <w:bCs/>
          <w:sz w:val="24"/>
          <w:szCs w:val="24"/>
        </w:rPr>
        <w:t xml:space="preserve"> under the </w:t>
      </w:r>
      <w:r w:rsidRPr="00243C5F">
        <w:rPr>
          <w:rFonts w:cstheme="minorHAnsi"/>
          <w:sz w:val="24"/>
          <w:szCs w:val="24"/>
        </w:rPr>
        <w:t>Public Health Service Act</w:t>
      </w:r>
      <w:r>
        <w:rPr>
          <w:rFonts w:cstheme="minorHAnsi"/>
          <w:sz w:val="24"/>
          <w:szCs w:val="24"/>
        </w:rPr>
        <w:t>,</w:t>
      </w:r>
      <w:r w:rsidRPr="00243C5F">
        <w:rPr>
          <w:rFonts w:cstheme="minorHAnsi"/>
          <w:sz w:val="24"/>
          <w:szCs w:val="24"/>
        </w:rPr>
        <w:t xml:space="preserve"> Section 301</w:t>
      </w:r>
      <w:r>
        <w:rPr>
          <w:rFonts w:cstheme="minorHAnsi"/>
          <w:sz w:val="24"/>
          <w:szCs w:val="24"/>
        </w:rPr>
        <w:t xml:space="preserve">, “Research and </w:t>
      </w:r>
      <w:r w:rsidR="00C27BA5">
        <w:rPr>
          <w:rFonts w:cstheme="minorHAnsi"/>
          <w:sz w:val="24"/>
          <w:szCs w:val="24"/>
        </w:rPr>
        <w:t>I</w:t>
      </w:r>
      <w:r>
        <w:rPr>
          <w:rFonts w:cstheme="minorHAnsi"/>
          <w:sz w:val="24"/>
          <w:szCs w:val="24"/>
        </w:rPr>
        <w:t>nvestigation,”</w:t>
      </w:r>
      <w:r w:rsidRPr="00243C5F">
        <w:rPr>
          <w:rFonts w:cstheme="minorHAnsi"/>
          <w:sz w:val="24"/>
          <w:szCs w:val="24"/>
        </w:rPr>
        <w:t xml:space="preserve"> (</w:t>
      </w:r>
      <w:r>
        <w:rPr>
          <w:rFonts w:cstheme="minorHAnsi"/>
          <w:sz w:val="24"/>
          <w:szCs w:val="24"/>
        </w:rPr>
        <w:t xml:space="preserve">42 U.S.C. </w:t>
      </w:r>
      <w:r w:rsidRPr="00243C5F">
        <w:rPr>
          <w:rFonts w:cstheme="minorHAnsi"/>
          <w:sz w:val="24"/>
          <w:szCs w:val="24"/>
        </w:rPr>
        <w:t>24</w:t>
      </w:r>
      <w:r>
        <w:rPr>
          <w:rFonts w:cstheme="minorHAnsi"/>
          <w:sz w:val="24"/>
          <w:szCs w:val="24"/>
        </w:rPr>
        <w:t>1)</w:t>
      </w:r>
      <w:r w:rsidRPr="00EC31D7" w:rsidR="00A61F45">
        <w:rPr>
          <w:sz w:val="24"/>
          <w:szCs w:val="24"/>
        </w:rPr>
        <w:t xml:space="preserve"> (</w:t>
      </w:r>
      <w:r w:rsidRPr="00EC31D7" w:rsidR="00A61F45">
        <w:rPr>
          <w:b/>
          <w:sz w:val="24"/>
          <w:szCs w:val="24"/>
        </w:rPr>
        <w:t>Attachment 1</w:t>
      </w:r>
      <w:r w:rsidRPr="00EC31D7" w:rsidR="00A61F45">
        <w:rPr>
          <w:sz w:val="24"/>
          <w:szCs w:val="24"/>
        </w:rPr>
        <w:t>).</w:t>
      </w:r>
      <w:r w:rsidR="00A61F45">
        <w:rPr>
          <w:sz w:val="24"/>
          <w:szCs w:val="24"/>
        </w:rPr>
        <w:t xml:space="preserve"> T</w:t>
      </w:r>
      <w:r w:rsidRPr="00EC31D7" w:rsidR="00A61F45">
        <w:rPr>
          <w:sz w:val="24"/>
          <w:szCs w:val="24"/>
        </w:rPr>
        <w:t xml:space="preserve">he 60-day Federal Register Notice was published on </w:t>
      </w:r>
      <w:r w:rsidRPr="005F5FF7" w:rsidR="00E159B2">
        <w:rPr>
          <w:sz w:val="24"/>
          <w:szCs w:val="24"/>
        </w:rPr>
        <w:t>02/28/2020</w:t>
      </w:r>
      <w:r w:rsidRPr="005F5FF7" w:rsidR="00A61F45">
        <w:rPr>
          <w:sz w:val="24"/>
          <w:szCs w:val="24"/>
        </w:rPr>
        <w:t xml:space="preserve"> (</w:t>
      </w:r>
      <w:r w:rsidRPr="005F5FF7" w:rsidR="00A61F45">
        <w:rPr>
          <w:b/>
          <w:sz w:val="24"/>
          <w:szCs w:val="24"/>
        </w:rPr>
        <w:t>Attachment 2</w:t>
      </w:r>
      <w:r w:rsidRPr="005F5FF7" w:rsidR="00A61F45">
        <w:rPr>
          <w:sz w:val="24"/>
          <w:szCs w:val="24"/>
        </w:rPr>
        <w:t>)</w:t>
      </w:r>
      <w:r w:rsidRPr="00EC31D7" w:rsidR="00A61F45">
        <w:rPr>
          <w:sz w:val="24"/>
          <w:szCs w:val="24"/>
        </w:rPr>
        <w:t xml:space="preserve"> and is further discussed in Section A.8.</w:t>
      </w:r>
    </w:p>
    <w:p w:rsidRPr="00D20211" w:rsidR="00B45002" w:rsidP="00601F1A" w:rsidRDefault="00601F1A" w14:paraId="66725973" w14:textId="05136897">
      <w:pPr>
        <w:pStyle w:val="Heading1"/>
        <w:pBdr>
          <w:bottom w:val="none" w:color="auto" w:sz="0" w:space="0"/>
        </w:pBdr>
        <w:rPr>
          <w:color w:val="auto"/>
        </w:rPr>
      </w:pPr>
      <w:bookmarkStart w:name="_Toc31301592" w:id="5"/>
      <w:r w:rsidRPr="00D20211">
        <w:rPr>
          <w:color w:val="auto"/>
        </w:rPr>
        <w:t>A.</w:t>
      </w:r>
      <w:r w:rsidRPr="00D20211" w:rsidR="004D21C9">
        <w:rPr>
          <w:color w:val="auto"/>
        </w:rPr>
        <w:t xml:space="preserve">2.  </w:t>
      </w:r>
      <w:r w:rsidRPr="00D20211" w:rsidR="00B45002">
        <w:rPr>
          <w:color w:val="auto"/>
        </w:rPr>
        <w:t>Purpose and Use of the Information Collection</w:t>
      </w:r>
      <w:bookmarkEnd w:id="5"/>
    </w:p>
    <w:p w:rsidRPr="00D20211" w:rsidR="00A65BAD" w:rsidP="003F6A54" w:rsidRDefault="00A65BAD" w14:paraId="1FBDFBE5" w14:textId="77777777">
      <w:pPr>
        <w:autoSpaceDE w:val="0"/>
        <w:autoSpaceDN w:val="0"/>
        <w:adjustRightInd w:val="0"/>
        <w:spacing w:after="0" w:line="240" w:lineRule="auto"/>
        <w:rPr>
          <w:rFonts w:cs="ITCFranklinGothicStd-Book"/>
          <w:sz w:val="24"/>
          <w:szCs w:val="24"/>
        </w:rPr>
      </w:pPr>
    </w:p>
    <w:p w:rsidRPr="002A253F" w:rsidR="00243BD5" w:rsidP="00243BD5" w:rsidRDefault="00243BD5" w14:paraId="0AC426DC" w14:textId="418F0C3D">
      <w:pPr>
        <w:autoSpaceDE w:val="0"/>
        <w:autoSpaceDN w:val="0"/>
        <w:adjustRightInd w:val="0"/>
        <w:rPr>
          <w:rFonts w:cstheme="minorHAnsi"/>
          <w:sz w:val="24"/>
          <w:szCs w:val="24"/>
        </w:rPr>
      </w:pPr>
      <w:r w:rsidRPr="002A253F">
        <w:rPr>
          <w:rFonts w:cstheme="minorHAnsi"/>
          <w:sz w:val="24"/>
          <w:szCs w:val="24"/>
        </w:rPr>
        <w:lastRenderedPageBreak/>
        <w:t xml:space="preserve">The purpose of this information collection is </w:t>
      </w:r>
      <w:r>
        <w:rPr>
          <w:rFonts w:cstheme="minorHAnsi"/>
          <w:sz w:val="24"/>
          <w:szCs w:val="24"/>
        </w:rPr>
        <w:t xml:space="preserve">for </w:t>
      </w:r>
      <w:r w:rsidRPr="002A253F">
        <w:rPr>
          <w:rFonts w:cstheme="minorHAnsi"/>
          <w:sz w:val="24"/>
          <w:szCs w:val="24"/>
        </w:rPr>
        <w:t xml:space="preserve">an application for benefits and </w:t>
      </w:r>
      <w:proofErr w:type="gramStart"/>
      <w:r w:rsidRPr="002A253F">
        <w:rPr>
          <w:rFonts w:cstheme="minorHAnsi"/>
          <w:sz w:val="24"/>
          <w:szCs w:val="24"/>
        </w:rPr>
        <w:t>general purpose</w:t>
      </w:r>
      <w:proofErr w:type="gramEnd"/>
      <w:r w:rsidRPr="002A253F">
        <w:rPr>
          <w:rFonts w:cstheme="minorHAnsi"/>
          <w:sz w:val="24"/>
          <w:szCs w:val="24"/>
        </w:rPr>
        <w:t xml:space="preserve"> statistics.</w:t>
      </w:r>
    </w:p>
    <w:p w:rsidR="009B1521" w:rsidP="00EC31D7" w:rsidRDefault="002A253F" w14:paraId="3560C869" w14:textId="1A6EEF30">
      <w:pPr>
        <w:rPr>
          <w:rFonts w:cstheme="minorHAnsi"/>
          <w:sz w:val="24"/>
          <w:szCs w:val="24"/>
        </w:rPr>
      </w:pPr>
      <w:bookmarkStart w:name="_Hlk31301975" w:id="6"/>
      <w:r w:rsidRPr="0027509E">
        <w:rPr>
          <w:rFonts w:cstheme="minorHAnsi"/>
          <w:sz w:val="24"/>
          <w:szCs w:val="24"/>
        </w:rPr>
        <w:t xml:space="preserve">CDC is currently distributing </w:t>
      </w:r>
      <w:r w:rsidR="005E0182">
        <w:rPr>
          <w:rFonts w:cstheme="minorHAnsi"/>
          <w:sz w:val="24"/>
          <w:szCs w:val="24"/>
        </w:rPr>
        <w:t>a product line</w:t>
      </w:r>
      <w:r w:rsidRPr="0027509E">
        <w:rPr>
          <w:rFonts w:cstheme="minorHAnsi"/>
          <w:sz w:val="24"/>
          <w:szCs w:val="24"/>
        </w:rPr>
        <w:t xml:space="preserve"> of TOM Kits</w:t>
      </w:r>
      <w:r w:rsidR="008843C5">
        <w:rPr>
          <w:rFonts w:cstheme="minorHAnsi"/>
          <w:sz w:val="24"/>
          <w:szCs w:val="24"/>
        </w:rPr>
        <w:t>*</w:t>
      </w:r>
      <w:r w:rsidR="005E0182">
        <w:rPr>
          <w:rFonts w:cstheme="minorHAnsi"/>
          <w:sz w:val="24"/>
          <w:szCs w:val="24"/>
        </w:rPr>
        <w:t>. Examples of the products found in this line are the</w:t>
      </w:r>
      <w:r w:rsidRPr="0027509E">
        <w:rPr>
          <w:rFonts w:cstheme="minorHAnsi"/>
          <w:sz w:val="24"/>
          <w:szCs w:val="24"/>
        </w:rPr>
        <w:t>: (1) Opioid Certified Reference Material Kit</w:t>
      </w:r>
      <w:r w:rsidR="008843C5">
        <w:rPr>
          <w:rFonts w:cstheme="minorHAnsi"/>
          <w:sz w:val="24"/>
          <w:szCs w:val="24"/>
        </w:rPr>
        <w:t xml:space="preserve"> (Opioid CRM Kit)</w:t>
      </w:r>
      <w:r w:rsidRPr="0027509E">
        <w:rPr>
          <w:rFonts w:cstheme="minorHAnsi"/>
          <w:sz w:val="24"/>
          <w:szCs w:val="24"/>
        </w:rPr>
        <w:t>; and (2) Fentanyl Analog Screening Kit</w:t>
      </w:r>
      <w:r w:rsidR="008843C5">
        <w:rPr>
          <w:rFonts w:cstheme="minorHAnsi"/>
          <w:sz w:val="24"/>
          <w:szCs w:val="24"/>
        </w:rPr>
        <w:t xml:space="preserve"> (FAS Kit)</w:t>
      </w:r>
      <w:r>
        <w:rPr>
          <w:rFonts w:cstheme="minorHAnsi"/>
          <w:sz w:val="24"/>
          <w:szCs w:val="24"/>
        </w:rPr>
        <w:t xml:space="preserve"> (</w:t>
      </w:r>
      <w:r>
        <w:rPr>
          <w:rFonts w:cstheme="minorHAnsi"/>
          <w:b/>
          <w:sz w:val="24"/>
          <w:szCs w:val="24"/>
        </w:rPr>
        <w:t>Attachment 3</w:t>
      </w:r>
      <w:r w:rsidRPr="00EC31D7">
        <w:rPr>
          <w:rFonts w:cstheme="minorHAnsi"/>
          <w:sz w:val="24"/>
          <w:szCs w:val="24"/>
        </w:rPr>
        <w:t>).</w:t>
      </w:r>
      <w:bookmarkEnd w:id="6"/>
      <w:r w:rsidR="005D29F7">
        <w:rPr>
          <w:rStyle w:val="FootnoteReference"/>
          <w:rFonts w:cstheme="minorHAnsi"/>
          <w:sz w:val="24"/>
          <w:szCs w:val="24"/>
        </w:rPr>
        <w:t>1</w:t>
      </w:r>
    </w:p>
    <w:p w:rsidRPr="0097091A" w:rsidR="0089388E" w:rsidP="0089388E" w:rsidRDefault="008843C5" w14:paraId="3CB7491C" w14:textId="2CDAB4C5">
      <w:pPr>
        <w:pStyle w:val="ListParagraph"/>
        <w:numPr>
          <w:ilvl w:val="0"/>
          <w:numId w:val="43"/>
        </w:numPr>
        <w:rPr>
          <w:rFonts w:cstheme="minorHAnsi"/>
          <w:sz w:val="24"/>
          <w:szCs w:val="24"/>
        </w:rPr>
      </w:pPr>
      <w:r>
        <w:rPr>
          <w:rFonts w:cstheme="minorHAnsi"/>
          <w:sz w:val="24"/>
          <w:szCs w:val="24"/>
          <w:u w:val="single"/>
        </w:rPr>
        <w:t>Example</w:t>
      </w:r>
      <w:r w:rsidR="00893B3E">
        <w:rPr>
          <w:rFonts w:cstheme="minorHAnsi"/>
          <w:sz w:val="24"/>
          <w:szCs w:val="24"/>
          <w:u w:val="single"/>
        </w:rPr>
        <w:t xml:space="preserve"> 1 - </w:t>
      </w:r>
      <w:r w:rsidRPr="0089388E" w:rsidR="0089388E">
        <w:rPr>
          <w:rFonts w:cstheme="minorHAnsi"/>
          <w:sz w:val="24"/>
          <w:szCs w:val="24"/>
          <w:u w:val="single"/>
        </w:rPr>
        <w:t>Opioid CRM Kit</w:t>
      </w:r>
    </w:p>
    <w:p w:rsidRPr="0097091A" w:rsidR="0089388E" w:rsidP="0097091A" w:rsidRDefault="0089388E" w14:paraId="36F4D3E0" w14:textId="72CBCE5B">
      <w:pPr>
        <w:pStyle w:val="ListParagraph"/>
        <w:numPr>
          <w:ilvl w:val="1"/>
          <w:numId w:val="43"/>
        </w:numPr>
        <w:rPr>
          <w:rFonts w:cstheme="minorHAnsi"/>
          <w:sz w:val="24"/>
          <w:szCs w:val="24"/>
        </w:rPr>
      </w:pPr>
      <w:r w:rsidRPr="0097091A">
        <w:rPr>
          <w:sz w:val="24"/>
          <w:szCs w:val="24"/>
        </w:rPr>
        <w:t>Manufactured and distributed by</w:t>
      </w:r>
      <w:r>
        <w:rPr>
          <w:sz w:val="24"/>
          <w:szCs w:val="24"/>
        </w:rPr>
        <w:t xml:space="preserve"> </w:t>
      </w:r>
      <w:hyperlink w:history="1" r:id="rId8">
        <w:proofErr w:type="spellStart"/>
        <w:r w:rsidRPr="0097091A">
          <w:rPr>
            <w:rStyle w:val="Hyperlink"/>
            <w:sz w:val="24"/>
            <w:szCs w:val="24"/>
          </w:rPr>
          <w:t>Cerilliant</w:t>
        </w:r>
        <w:proofErr w:type="spellEnd"/>
        <w:r w:rsidRPr="0097091A">
          <w:rPr>
            <w:rStyle w:val="Hyperlink"/>
            <w:sz w:val="24"/>
            <w:szCs w:val="24"/>
          </w:rPr>
          <w:t xml:space="preserve"> Corporation</w:t>
        </w:r>
      </w:hyperlink>
      <w:r w:rsidR="005D29F7">
        <w:rPr>
          <w:sz w:val="24"/>
          <w:szCs w:val="24"/>
        </w:rPr>
        <w:t xml:space="preserve"> </w:t>
      </w:r>
      <w:r w:rsidR="005D29F7">
        <w:rPr>
          <w:rStyle w:val="FootnoteReference"/>
          <w:sz w:val="24"/>
          <w:szCs w:val="24"/>
        </w:rPr>
        <w:footnoteReference w:id="2"/>
      </w:r>
    </w:p>
    <w:p w:rsidRPr="0097091A" w:rsidR="0089388E" w:rsidP="0097091A" w:rsidRDefault="0089388E" w14:paraId="2F1CF8F3" w14:textId="77777777">
      <w:pPr>
        <w:numPr>
          <w:ilvl w:val="1"/>
          <w:numId w:val="43"/>
        </w:numPr>
        <w:spacing w:before="100" w:beforeAutospacing="1" w:after="100" w:afterAutospacing="1" w:line="240" w:lineRule="auto"/>
        <w:rPr>
          <w:sz w:val="24"/>
          <w:szCs w:val="24"/>
        </w:rPr>
      </w:pPr>
      <w:r w:rsidRPr="0097091A">
        <w:rPr>
          <w:sz w:val="24"/>
          <w:szCs w:val="24"/>
        </w:rPr>
        <w:t>Includes 1 milligram each of 22 opioids and their matched, stable isotopes (carbon-13; nitrogen-15)</w:t>
      </w:r>
    </w:p>
    <w:p w:rsidRPr="0097091A" w:rsidR="0089388E" w:rsidP="0097091A" w:rsidRDefault="0089388E" w14:paraId="05875B85" w14:textId="77777777">
      <w:pPr>
        <w:numPr>
          <w:ilvl w:val="1"/>
          <w:numId w:val="43"/>
        </w:numPr>
        <w:spacing w:before="100" w:beforeAutospacing="1" w:after="100" w:afterAutospacing="1" w:line="240" w:lineRule="auto"/>
        <w:rPr>
          <w:sz w:val="24"/>
          <w:szCs w:val="24"/>
        </w:rPr>
      </w:pPr>
      <w:r w:rsidRPr="0097091A">
        <w:rPr>
          <w:sz w:val="24"/>
          <w:szCs w:val="24"/>
        </w:rPr>
        <w:t>Addresses 99.5% of DEA fentanyl/fentanyl-related cases in the DEA 2018 Q1 Report</w:t>
      </w:r>
    </w:p>
    <w:p w:rsidRPr="0097091A" w:rsidR="0089388E" w:rsidP="0097091A" w:rsidRDefault="0089388E" w14:paraId="34CEBD9B" w14:textId="77777777">
      <w:pPr>
        <w:numPr>
          <w:ilvl w:val="1"/>
          <w:numId w:val="43"/>
        </w:numPr>
        <w:spacing w:before="100" w:beforeAutospacing="1" w:after="100" w:afterAutospacing="1" w:line="240" w:lineRule="auto"/>
        <w:rPr>
          <w:sz w:val="24"/>
          <w:szCs w:val="24"/>
        </w:rPr>
      </w:pPr>
      <w:r w:rsidRPr="0097091A">
        <w:rPr>
          <w:sz w:val="24"/>
          <w:szCs w:val="24"/>
        </w:rPr>
        <w:t>Improves confirmation of mass spectrometry methods analysis</w:t>
      </w:r>
    </w:p>
    <w:p w:rsidRPr="00CC4BAA" w:rsidR="0089388E" w:rsidP="0089388E" w:rsidRDefault="0089388E" w14:paraId="7A4CB74D" w14:textId="2C6BF6BC">
      <w:pPr>
        <w:numPr>
          <w:ilvl w:val="1"/>
          <w:numId w:val="43"/>
        </w:numPr>
        <w:spacing w:before="100" w:beforeAutospacing="1" w:after="100" w:afterAutospacing="1" w:line="240" w:lineRule="auto"/>
        <w:rPr>
          <w:sz w:val="24"/>
          <w:szCs w:val="24"/>
        </w:rPr>
      </w:pPr>
      <w:r w:rsidRPr="0097091A">
        <w:rPr>
          <w:sz w:val="24"/>
          <w:szCs w:val="24"/>
        </w:rPr>
        <w:t xml:space="preserve">Includes unprecedented </w:t>
      </w:r>
      <w:proofErr w:type="gramStart"/>
      <w:r w:rsidRPr="0097091A">
        <w:rPr>
          <w:sz w:val="24"/>
          <w:szCs w:val="24"/>
        </w:rPr>
        <w:t>isotopically-labeled</w:t>
      </w:r>
      <w:proofErr w:type="gramEnd"/>
      <w:r w:rsidRPr="0097091A">
        <w:rPr>
          <w:sz w:val="24"/>
          <w:szCs w:val="24"/>
        </w:rPr>
        <w:t xml:space="preserve"> internal standards</w:t>
      </w:r>
    </w:p>
    <w:p w:rsidRPr="0097091A" w:rsidR="00CC4BAA" w:rsidP="0097091A" w:rsidRDefault="00893B3E" w14:paraId="2DF36D52" w14:textId="5D55A31C">
      <w:pPr>
        <w:numPr>
          <w:ilvl w:val="1"/>
          <w:numId w:val="43"/>
        </w:numPr>
        <w:spacing w:line="240" w:lineRule="auto"/>
        <w:rPr>
          <w:sz w:val="24"/>
          <w:szCs w:val="24"/>
        </w:rPr>
      </w:pPr>
      <w:r w:rsidRPr="00CC4BAA">
        <w:rPr>
          <w:sz w:val="24"/>
          <w:szCs w:val="24"/>
        </w:rPr>
        <w:t xml:space="preserve">Opioid CRM </w:t>
      </w:r>
      <w:r w:rsidR="00CC4BAA">
        <w:rPr>
          <w:sz w:val="24"/>
          <w:szCs w:val="24"/>
        </w:rPr>
        <w:t xml:space="preserve">Kit Request </w:t>
      </w:r>
      <w:r w:rsidRPr="00CC4BAA">
        <w:rPr>
          <w:sz w:val="24"/>
          <w:szCs w:val="24"/>
        </w:rPr>
        <w:t>(</w:t>
      </w:r>
      <w:r w:rsidRPr="00CC4BAA">
        <w:rPr>
          <w:b/>
          <w:sz w:val="24"/>
          <w:szCs w:val="24"/>
        </w:rPr>
        <w:t>Attachment 6</w:t>
      </w:r>
      <w:r w:rsidRPr="00CC4BAA">
        <w:rPr>
          <w:sz w:val="24"/>
          <w:szCs w:val="24"/>
        </w:rPr>
        <w:t xml:space="preserve">) available </w:t>
      </w:r>
      <w:r w:rsidR="00D7437A">
        <w:rPr>
          <w:sz w:val="24"/>
          <w:szCs w:val="24"/>
        </w:rPr>
        <w:t xml:space="preserve">online </w:t>
      </w:r>
      <w:r w:rsidRPr="00CC4BAA">
        <w:rPr>
          <w:sz w:val="24"/>
          <w:szCs w:val="24"/>
        </w:rPr>
        <w:t xml:space="preserve">at </w:t>
      </w:r>
      <w:hyperlink w:history="1" r:id="rId9">
        <w:r w:rsidRPr="00CC4BAA">
          <w:rPr>
            <w:rStyle w:val="Hyperlink"/>
            <w:sz w:val="24"/>
            <w:szCs w:val="24"/>
          </w:rPr>
          <w:t>http://www.cerilliant.com/ShopOnline/CDCRequest.aspx</w:t>
        </w:r>
      </w:hyperlink>
    </w:p>
    <w:p w:rsidRPr="0097091A" w:rsidR="0089388E" w:rsidP="00893B3E" w:rsidRDefault="008843C5" w14:paraId="42786722" w14:textId="0AC0453E">
      <w:pPr>
        <w:pStyle w:val="ListParagraph"/>
        <w:numPr>
          <w:ilvl w:val="0"/>
          <w:numId w:val="43"/>
        </w:numPr>
        <w:rPr>
          <w:rFonts w:cstheme="minorHAnsi"/>
          <w:sz w:val="24"/>
          <w:szCs w:val="24"/>
          <w:u w:val="single"/>
        </w:rPr>
      </w:pPr>
      <w:r w:rsidRPr="0097091A">
        <w:rPr>
          <w:rFonts w:cstheme="minorHAnsi"/>
          <w:sz w:val="24"/>
          <w:szCs w:val="24"/>
          <w:u w:val="single"/>
        </w:rPr>
        <w:t>Example</w:t>
      </w:r>
      <w:r w:rsidRPr="0097091A" w:rsidR="00893B3E">
        <w:rPr>
          <w:rFonts w:cstheme="minorHAnsi"/>
          <w:sz w:val="24"/>
          <w:szCs w:val="24"/>
          <w:u w:val="single"/>
        </w:rPr>
        <w:t xml:space="preserve"> 2 </w:t>
      </w:r>
      <w:r w:rsidRPr="0097091A" w:rsidR="00CC4BAA">
        <w:rPr>
          <w:rFonts w:cstheme="minorHAnsi"/>
          <w:sz w:val="24"/>
          <w:szCs w:val="24"/>
          <w:u w:val="single"/>
        </w:rPr>
        <w:t>–</w:t>
      </w:r>
      <w:r w:rsidRPr="0097091A" w:rsidR="00893B3E">
        <w:rPr>
          <w:rFonts w:cstheme="minorHAnsi"/>
          <w:sz w:val="24"/>
          <w:szCs w:val="24"/>
          <w:u w:val="single"/>
        </w:rPr>
        <w:t xml:space="preserve"> </w:t>
      </w:r>
      <w:r w:rsidRPr="0097091A">
        <w:rPr>
          <w:rFonts w:cstheme="minorHAnsi"/>
          <w:sz w:val="24"/>
          <w:szCs w:val="24"/>
          <w:u w:val="single"/>
        </w:rPr>
        <w:t>FAS</w:t>
      </w:r>
      <w:r w:rsidRPr="0097091A" w:rsidR="00CC4BAA">
        <w:rPr>
          <w:rFonts w:cstheme="minorHAnsi"/>
          <w:sz w:val="24"/>
          <w:szCs w:val="24"/>
          <w:u w:val="single"/>
        </w:rPr>
        <w:t xml:space="preserve"> Kit</w:t>
      </w:r>
    </w:p>
    <w:p w:rsidRPr="0097091A" w:rsidR="00CC4BAA" w:rsidP="00DD12B8" w:rsidRDefault="00CC4BAA" w14:paraId="092B9CFF" w14:textId="11E7DF46">
      <w:pPr>
        <w:numPr>
          <w:ilvl w:val="1"/>
          <w:numId w:val="43"/>
        </w:numPr>
        <w:spacing w:before="100" w:beforeAutospacing="1" w:after="100" w:afterAutospacing="1" w:line="240" w:lineRule="auto"/>
        <w:rPr>
          <w:sz w:val="24"/>
          <w:szCs w:val="24"/>
        </w:rPr>
      </w:pPr>
      <w:r w:rsidRPr="0097091A">
        <w:rPr>
          <w:sz w:val="24"/>
          <w:szCs w:val="24"/>
        </w:rPr>
        <w:t xml:space="preserve">Manufactured and distributed by </w:t>
      </w:r>
      <w:hyperlink w:history="1" r:id="rId10">
        <w:r w:rsidRPr="00DD12B8" w:rsidR="00DD12B8">
          <w:rPr>
            <w:rStyle w:val="Hyperlink"/>
            <w:sz w:val="24"/>
            <w:szCs w:val="24"/>
          </w:rPr>
          <w:t>Cayman Chemical</w:t>
        </w:r>
      </w:hyperlink>
      <w:r w:rsidRPr="0097091A" w:rsidR="00DD12B8">
        <w:t xml:space="preserve"> </w:t>
      </w:r>
      <w:r w:rsidR="005D29F7">
        <w:rPr>
          <w:rStyle w:val="FootnoteReference"/>
          <w:sz w:val="24"/>
          <w:szCs w:val="24"/>
        </w:rPr>
        <w:footnoteReference w:id="3"/>
      </w:r>
    </w:p>
    <w:p w:rsidRPr="0097091A" w:rsidR="00CC4BAA" w:rsidP="0097091A" w:rsidRDefault="00CC4BAA" w14:paraId="69328BFF" w14:textId="0D2D1692">
      <w:pPr>
        <w:numPr>
          <w:ilvl w:val="1"/>
          <w:numId w:val="43"/>
        </w:numPr>
        <w:spacing w:before="100" w:beforeAutospacing="1" w:after="100" w:afterAutospacing="1" w:line="240" w:lineRule="auto"/>
        <w:rPr>
          <w:sz w:val="24"/>
          <w:szCs w:val="24"/>
        </w:rPr>
      </w:pPr>
      <w:r w:rsidRPr="0097091A">
        <w:rPr>
          <w:sz w:val="24"/>
          <w:szCs w:val="24"/>
        </w:rPr>
        <w:t xml:space="preserve">Includes 200 micrograms each of </w:t>
      </w:r>
      <w:r w:rsidR="008843C5">
        <w:rPr>
          <w:sz w:val="24"/>
          <w:szCs w:val="24"/>
        </w:rPr>
        <w:t>200</w:t>
      </w:r>
      <w:r w:rsidRPr="0097091A">
        <w:rPr>
          <w:sz w:val="24"/>
          <w:szCs w:val="24"/>
        </w:rPr>
        <w:t>+ fentanyl analog analytical reference materials</w:t>
      </w:r>
    </w:p>
    <w:p w:rsidRPr="0097091A" w:rsidR="00CC4BAA" w:rsidP="0097091A" w:rsidRDefault="00CC4BAA" w14:paraId="533199AA" w14:textId="77777777">
      <w:pPr>
        <w:numPr>
          <w:ilvl w:val="1"/>
          <w:numId w:val="43"/>
        </w:numPr>
        <w:spacing w:before="100" w:beforeAutospacing="1" w:after="100" w:afterAutospacing="1" w:line="240" w:lineRule="auto"/>
        <w:rPr>
          <w:sz w:val="24"/>
          <w:szCs w:val="24"/>
        </w:rPr>
      </w:pPr>
      <w:r w:rsidRPr="0097091A">
        <w:rPr>
          <w:sz w:val="24"/>
          <w:szCs w:val="24"/>
        </w:rPr>
        <w:t>Provides largest collection of available fentanyl analog reference materials</w:t>
      </w:r>
    </w:p>
    <w:p w:rsidRPr="0097091A" w:rsidR="00CC4BAA" w:rsidP="0097091A" w:rsidRDefault="00CC4BAA" w14:paraId="30E0FB68" w14:textId="77777777">
      <w:pPr>
        <w:numPr>
          <w:ilvl w:val="1"/>
          <w:numId w:val="43"/>
        </w:numPr>
        <w:spacing w:before="100" w:beforeAutospacing="1" w:after="100" w:afterAutospacing="1" w:line="240" w:lineRule="auto"/>
        <w:rPr>
          <w:sz w:val="24"/>
          <w:szCs w:val="24"/>
        </w:rPr>
      </w:pPr>
      <w:r w:rsidRPr="0097091A">
        <w:rPr>
          <w:sz w:val="24"/>
          <w:szCs w:val="24"/>
        </w:rPr>
        <w:t>Improves immunoassay and mass spectrometry screening methods</w:t>
      </w:r>
    </w:p>
    <w:p w:rsidR="00CC4BAA" w:rsidP="00CC4BAA" w:rsidRDefault="00CC4BAA" w14:paraId="5E61DFBD" w14:textId="121E777D">
      <w:pPr>
        <w:numPr>
          <w:ilvl w:val="1"/>
          <w:numId w:val="43"/>
        </w:numPr>
        <w:spacing w:before="100" w:beforeAutospacing="1" w:after="100" w:afterAutospacing="1" w:line="240" w:lineRule="auto"/>
        <w:rPr>
          <w:sz w:val="24"/>
          <w:szCs w:val="24"/>
        </w:rPr>
      </w:pPr>
      <w:r w:rsidRPr="0097091A">
        <w:rPr>
          <w:sz w:val="24"/>
          <w:szCs w:val="24"/>
        </w:rPr>
        <w:t>Includes structural variability for fentanyl analog</w:t>
      </w:r>
    </w:p>
    <w:p w:rsidRPr="00CC4BAA" w:rsidR="00CC4BAA" w:rsidP="00F7410D" w:rsidRDefault="00CC4BAA" w14:paraId="43A16576" w14:textId="15C7979D">
      <w:pPr>
        <w:numPr>
          <w:ilvl w:val="1"/>
          <w:numId w:val="43"/>
        </w:numPr>
        <w:spacing w:line="240" w:lineRule="auto"/>
        <w:rPr>
          <w:rFonts w:cstheme="minorHAnsi"/>
          <w:sz w:val="24"/>
          <w:szCs w:val="24"/>
        </w:rPr>
      </w:pPr>
      <w:r w:rsidRPr="00CC4BAA">
        <w:rPr>
          <w:sz w:val="24"/>
          <w:szCs w:val="24"/>
        </w:rPr>
        <w:t>FAS Kit Application (</w:t>
      </w:r>
      <w:r w:rsidRPr="00CC4BAA">
        <w:rPr>
          <w:b/>
          <w:sz w:val="24"/>
          <w:szCs w:val="24"/>
        </w:rPr>
        <w:t>Attachment 6</w:t>
      </w:r>
      <w:r w:rsidRPr="00CC4BAA">
        <w:rPr>
          <w:sz w:val="24"/>
          <w:szCs w:val="24"/>
        </w:rPr>
        <w:t xml:space="preserve">) available </w:t>
      </w:r>
      <w:r w:rsidR="00D7437A">
        <w:rPr>
          <w:sz w:val="24"/>
          <w:szCs w:val="24"/>
        </w:rPr>
        <w:t xml:space="preserve">online </w:t>
      </w:r>
      <w:r w:rsidRPr="00CC4BAA">
        <w:rPr>
          <w:sz w:val="24"/>
          <w:szCs w:val="24"/>
        </w:rPr>
        <w:t xml:space="preserve">at </w:t>
      </w:r>
      <w:hyperlink w:history="1" r:id="rId11">
        <w:r w:rsidRPr="00891FA4">
          <w:rPr>
            <w:rStyle w:val="Hyperlink"/>
            <w:sz w:val="24"/>
            <w:szCs w:val="24"/>
          </w:rPr>
          <w:t>https://www.caymanchem.com/forensics/faskit/?q=*%3A*</w:t>
        </w:r>
      </w:hyperlink>
      <w:r>
        <w:rPr>
          <w:sz w:val="24"/>
          <w:szCs w:val="24"/>
        </w:rPr>
        <w:t xml:space="preserve"> </w:t>
      </w:r>
    </w:p>
    <w:p w:rsidRPr="00CC4BAA" w:rsidR="002A253F" w:rsidP="0097091A" w:rsidRDefault="002A253F" w14:paraId="7E25EB26" w14:textId="25101AD5">
      <w:pPr>
        <w:spacing w:line="240" w:lineRule="auto"/>
        <w:rPr>
          <w:rFonts w:cstheme="minorHAnsi"/>
          <w:sz w:val="24"/>
          <w:szCs w:val="24"/>
        </w:rPr>
      </w:pPr>
      <w:bookmarkStart w:name="_Hlk31301683" w:id="7"/>
      <w:r w:rsidRPr="00CC4BAA">
        <w:rPr>
          <w:rFonts w:cstheme="minorHAnsi"/>
          <w:sz w:val="24"/>
          <w:szCs w:val="24"/>
        </w:rPr>
        <w:t xml:space="preserve">Respondent laboratories requesting one of the kits can be from any sector (academic, public, or private), must be located in the U.S., must have a verifiable business address, must have a current </w:t>
      </w:r>
      <w:r w:rsidR="008843C5">
        <w:rPr>
          <w:rFonts w:cstheme="minorHAnsi"/>
          <w:sz w:val="24"/>
          <w:szCs w:val="24"/>
        </w:rPr>
        <w:t>Drug Enforcement Administration (</w:t>
      </w:r>
      <w:r w:rsidRPr="00CC4BAA">
        <w:rPr>
          <w:rFonts w:cstheme="minorHAnsi"/>
          <w:sz w:val="24"/>
          <w:szCs w:val="24"/>
        </w:rPr>
        <w:t>DEA</w:t>
      </w:r>
      <w:r w:rsidR="008843C5">
        <w:rPr>
          <w:rFonts w:cstheme="minorHAnsi"/>
          <w:sz w:val="24"/>
          <w:szCs w:val="24"/>
        </w:rPr>
        <w:t>)</w:t>
      </w:r>
      <w:r w:rsidRPr="00CC4BAA">
        <w:rPr>
          <w:rFonts w:cstheme="minorHAnsi"/>
          <w:sz w:val="24"/>
          <w:szCs w:val="24"/>
        </w:rPr>
        <w:t xml:space="preserve"> registration, must comply with respective state and local regulations, and must submit requests directly to the respective vendor.</w:t>
      </w:r>
    </w:p>
    <w:bookmarkEnd w:id="7"/>
    <w:p w:rsidRPr="0027509E" w:rsidR="002A253F" w:rsidP="00EC31D7" w:rsidRDefault="002A253F" w14:paraId="0FBB0A0B" w14:textId="50D95CC8">
      <w:pPr>
        <w:rPr>
          <w:rFonts w:cstheme="minorHAnsi"/>
          <w:sz w:val="24"/>
          <w:szCs w:val="24"/>
        </w:rPr>
      </w:pPr>
      <w:r w:rsidRPr="0027509E">
        <w:rPr>
          <w:rFonts w:cstheme="minorHAnsi"/>
          <w:sz w:val="24"/>
          <w:szCs w:val="24"/>
        </w:rPr>
        <w:t>As the number of laboratories requesting TOM Kits</w:t>
      </w:r>
      <w:r w:rsidR="008843C5">
        <w:rPr>
          <w:rFonts w:cstheme="minorHAnsi"/>
          <w:sz w:val="24"/>
          <w:szCs w:val="24"/>
        </w:rPr>
        <w:t>*</w:t>
      </w:r>
      <w:r w:rsidRPr="0027509E">
        <w:rPr>
          <w:rFonts w:cstheme="minorHAnsi"/>
          <w:sz w:val="24"/>
          <w:szCs w:val="24"/>
        </w:rPr>
        <w:t xml:space="preserve"> </w:t>
      </w:r>
      <w:r w:rsidR="00893B3E">
        <w:rPr>
          <w:rFonts w:cstheme="minorHAnsi"/>
          <w:sz w:val="24"/>
          <w:szCs w:val="24"/>
        </w:rPr>
        <w:t>exceeds the supply</w:t>
      </w:r>
      <w:r w:rsidRPr="0027509E">
        <w:rPr>
          <w:rFonts w:cstheme="minorHAnsi"/>
          <w:sz w:val="24"/>
          <w:szCs w:val="24"/>
        </w:rPr>
        <w:t>, th</w:t>
      </w:r>
      <w:r w:rsidR="00D7437A">
        <w:rPr>
          <w:rFonts w:cstheme="minorHAnsi"/>
          <w:sz w:val="24"/>
          <w:szCs w:val="24"/>
        </w:rPr>
        <w:t>is</w:t>
      </w:r>
      <w:r w:rsidRPr="0027509E">
        <w:rPr>
          <w:rFonts w:cstheme="minorHAnsi"/>
          <w:sz w:val="24"/>
          <w:szCs w:val="24"/>
        </w:rPr>
        <w:t xml:space="preserve"> information collection will be used to prioritize which laboratories will receive the limited quantities of kits. The brief </w:t>
      </w:r>
      <w:r w:rsidRPr="008843C5">
        <w:rPr>
          <w:rFonts w:cstheme="minorHAnsi"/>
          <w:sz w:val="24"/>
          <w:szCs w:val="24"/>
        </w:rPr>
        <w:t>six-minute</w:t>
      </w:r>
      <w:r w:rsidRPr="0027509E">
        <w:rPr>
          <w:rFonts w:cstheme="minorHAnsi"/>
          <w:sz w:val="24"/>
          <w:szCs w:val="24"/>
        </w:rPr>
        <w:t xml:space="preserve"> web-based survey</w:t>
      </w:r>
      <w:r w:rsidR="00CB2A9E">
        <w:rPr>
          <w:rFonts w:cstheme="minorHAnsi"/>
          <w:sz w:val="24"/>
          <w:szCs w:val="24"/>
        </w:rPr>
        <w:t>s</w:t>
      </w:r>
      <w:r w:rsidRPr="0027509E">
        <w:rPr>
          <w:rFonts w:cstheme="minorHAnsi"/>
          <w:sz w:val="24"/>
          <w:szCs w:val="24"/>
        </w:rPr>
        <w:t xml:space="preserve"> will allow the CDC to (</w:t>
      </w:r>
      <w:r w:rsidR="008843C5">
        <w:rPr>
          <w:rFonts w:cstheme="minorHAnsi"/>
          <w:sz w:val="24"/>
          <w:szCs w:val="24"/>
        </w:rPr>
        <w:t>1</w:t>
      </w:r>
      <w:r w:rsidRPr="0027509E">
        <w:rPr>
          <w:rFonts w:cstheme="minorHAnsi"/>
          <w:sz w:val="24"/>
          <w:szCs w:val="24"/>
        </w:rPr>
        <w:t>) determine what service the recipient laboratory performs and the volume of samples the laboratory processes and (</w:t>
      </w:r>
      <w:r w:rsidR="008843C5">
        <w:rPr>
          <w:rFonts w:cstheme="minorHAnsi"/>
          <w:sz w:val="24"/>
          <w:szCs w:val="24"/>
        </w:rPr>
        <w:t>2</w:t>
      </w:r>
      <w:r w:rsidRPr="0027509E">
        <w:rPr>
          <w:rFonts w:cstheme="minorHAnsi"/>
          <w:sz w:val="24"/>
          <w:szCs w:val="24"/>
        </w:rPr>
        <w:t xml:space="preserve">) equitably distribute TOM </w:t>
      </w:r>
      <w:r w:rsidR="008843C5">
        <w:rPr>
          <w:rFonts w:cstheme="minorHAnsi"/>
          <w:sz w:val="24"/>
          <w:szCs w:val="24"/>
        </w:rPr>
        <w:t>K</w:t>
      </w:r>
      <w:r w:rsidRPr="0027509E">
        <w:rPr>
          <w:rFonts w:cstheme="minorHAnsi"/>
          <w:sz w:val="24"/>
          <w:szCs w:val="24"/>
        </w:rPr>
        <w:t>its</w:t>
      </w:r>
      <w:r w:rsidR="008843C5">
        <w:rPr>
          <w:rFonts w:cstheme="minorHAnsi"/>
          <w:sz w:val="24"/>
          <w:szCs w:val="24"/>
        </w:rPr>
        <w:t>*</w:t>
      </w:r>
      <w:r w:rsidRPr="0027509E">
        <w:rPr>
          <w:rFonts w:cstheme="minorHAnsi"/>
          <w:sz w:val="24"/>
          <w:szCs w:val="24"/>
        </w:rPr>
        <w:t xml:space="preserve"> based</w:t>
      </w:r>
      <w:r w:rsidR="008843C5">
        <w:rPr>
          <w:rFonts w:cstheme="minorHAnsi"/>
          <w:sz w:val="24"/>
          <w:szCs w:val="24"/>
        </w:rPr>
        <w:t xml:space="preserve"> on</w:t>
      </w:r>
      <w:r w:rsidRPr="0027509E">
        <w:rPr>
          <w:rFonts w:cstheme="minorHAnsi"/>
          <w:sz w:val="24"/>
          <w:szCs w:val="24"/>
        </w:rPr>
        <w:t xml:space="preserve"> the analysis techniques, matrix, and sample size used by the recipient laboratory.</w:t>
      </w:r>
    </w:p>
    <w:p w:rsidR="006A05D1" w:rsidP="006A05D1" w:rsidRDefault="006A05D1" w14:paraId="42AD1485" w14:textId="600C13C6">
      <w:pPr>
        <w:rPr>
          <w:sz w:val="24"/>
          <w:szCs w:val="24"/>
        </w:rPr>
      </w:pPr>
      <w:r>
        <w:rPr>
          <w:sz w:val="24"/>
          <w:szCs w:val="24"/>
        </w:rPr>
        <w:lastRenderedPageBreak/>
        <w:t>The information collection will serve</w:t>
      </w:r>
      <w:r w:rsidR="008D7BCD">
        <w:rPr>
          <w:sz w:val="24"/>
          <w:szCs w:val="24"/>
        </w:rPr>
        <w:t xml:space="preserve"> t</w:t>
      </w:r>
      <w:r w:rsidRPr="00216DF6">
        <w:rPr>
          <w:sz w:val="24"/>
          <w:szCs w:val="24"/>
        </w:rPr>
        <w:t>o gather information on the types of laboratories reques</w:t>
      </w:r>
      <w:r w:rsidR="0049456C">
        <w:rPr>
          <w:sz w:val="24"/>
          <w:szCs w:val="24"/>
        </w:rPr>
        <w:t>ting the kits and</w:t>
      </w:r>
      <w:r w:rsidRPr="00216DF6">
        <w:rPr>
          <w:sz w:val="24"/>
          <w:szCs w:val="24"/>
        </w:rPr>
        <w:t xml:space="preserve"> </w:t>
      </w:r>
      <w:r w:rsidR="0049456C">
        <w:rPr>
          <w:sz w:val="24"/>
          <w:szCs w:val="24"/>
        </w:rPr>
        <w:t>t</w:t>
      </w:r>
      <w:r w:rsidRPr="00216DF6">
        <w:rPr>
          <w:sz w:val="24"/>
          <w:szCs w:val="24"/>
        </w:rPr>
        <w:t>o determine the types of instrumentation, matrices, and sample size that those requesting kits will use them for.</w:t>
      </w:r>
      <w:r>
        <w:rPr>
          <w:sz w:val="24"/>
          <w:szCs w:val="24"/>
        </w:rPr>
        <w:t xml:space="preserve">  </w:t>
      </w:r>
      <w:r w:rsidR="0049456C">
        <w:rPr>
          <w:sz w:val="24"/>
          <w:szCs w:val="24"/>
        </w:rPr>
        <w:t>S</w:t>
      </w:r>
      <w:r>
        <w:rPr>
          <w:sz w:val="24"/>
          <w:szCs w:val="24"/>
        </w:rPr>
        <w:t xml:space="preserve">ince the demand </w:t>
      </w:r>
      <w:r w:rsidR="0049456C">
        <w:rPr>
          <w:sz w:val="24"/>
          <w:szCs w:val="24"/>
        </w:rPr>
        <w:t>for the kits has shown to be greater tha</w:t>
      </w:r>
      <w:r>
        <w:rPr>
          <w:sz w:val="24"/>
          <w:szCs w:val="24"/>
        </w:rPr>
        <w:t xml:space="preserve">n the supply of kits, questions about the laboratory function will aid in assuring that labs </w:t>
      </w:r>
      <w:r w:rsidR="00B95957">
        <w:rPr>
          <w:sz w:val="24"/>
          <w:szCs w:val="24"/>
        </w:rPr>
        <w:t xml:space="preserve">that serve a variety of different functions </w:t>
      </w:r>
      <w:r>
        <w:rPr>
          <w:sz w:val="24"/>
          <w:szCs w:val="24"/>
        </w:rPr>
        <w:t xml:space="preserve">will have access to kits.  Collecting information about the volume </w:t>
      </w:r>
      <w:r w:rsidR="00B95957">
        <w:rPr>
          <w:sz w:val="24"/>
          <w:szCs w:val="24"/>
        </w:rPr>
        <w:t xml:space="preserve">of samples that </w:t>
      </w:r>
      <w:r>
        <w:rPr>
          <w:sz w:val="24"/>
          <w:szCs w:val="24"/>
        </w:rPr>
        <w:t xml:space="preserve">the lab typically processes assures that the labs with the biggest volume do not get </w:t>
      </w:r>
      <w:r w:rsidR="00B7588B">
        <w:rPr>
          <w:sz w:val="24"/>
          <w:szCs w:val="24"/>
        </w:rPr>
        <w:t>all</w:t>
      </w:r>
      <w:r>
        <w:rPr>
          <w:sz w:val="24"/>
          <w:szCs w:val="24"/>
        </w:rPr>
        <w:t xml:space="preserve"> the kits, thereby allowing smaller labs access to the kits.  Questions pertaining to the matrix, sample size, and method of analysis is information that can be used to tailor future kits to the needs of the labs that are using the kits.</w:t>
      </w:r>
      <w:r w:rsidR="007666F6">
        <w:rPr>
          <w:sz w:val="24"/>
          <w:szCs w:val="24"/>
        </w:rPr>
        <w:t xml:space="preserve">  This information will be gathered </w:t>
      </w:r>
      <w:bookmarkStart w:name="_Hlk40088167" w:id="8"/>
      <w:r w:rsidR="007666F6">
        <w:rPr>
          <w:sz w:val="24"/>
          <w:szCs w:val="24"/>
        </w:rPr>
        <w:t xml:space="preserve">upon request for TOM </w:t>
      </w:r>
      <w:r w:rsidR="00056CD6">
        <w:rPr>
          <w:sz w:val="24"/>
          <w:szCs w:val="24"/>
        </w:rPr>
        <w:t xml:space="preserve">Kits* </w:t>
      </w:r>
      <w:r w:rsidR="007666F6">
        <w:rPr>
          <w:sz w:val="24"/>
          <w:szCs w:val="24"/>
        </w:rPr>
        <w:t>and compiled by the vendor</w:t>
      </w:r>
      <w:r w:rsidR="00056CD6">
        <w:rPr>
          <w:sz w:val="24"/>
          <w:szCs w:val="24"/>
        </w:rPr>
        <w:t>s</w:t>
      </w:r>
      <w:r w:rsidR="007666F6">
        <w:rPr>
          <w:sz w:val="24"/>
          <w:szCs w:val="24"/>
        </w:rPr>
        <w:t xml:space="preserve"> of the TOM </w:t>
      </w:r>
      <w:r w:rsidR="00056CD6">
        <w:rPr>
          <w:sz w:val="24"/>
          <w:szCs w:val="24"/>
        </w:rPr>
        <w:t>K</w:t>
      </w:r>
      <w:r w:rsidR="007666F6">
        <w:rPr>
          <w:sz w:val="24"/>
          <w:szCs w:val="24"/>
        </w:rPr>
        <w:t>its</w:t>
      </w:r>
      <w:r w:rsidR="00056CD6">
        <w:rPr>
          <w:sz w:val="24"/>
          <w:szCs w:val="24"/>
        </w:rPr>
        <w:t>*</w:t>
      </w:r>
      <w:r w:rsidR="007666F6">
        <w:rPr>
          <w:sz w:val="24"/>
          <w:szCs w:val="24"/>
        </w:rPr>
        <w:t>.</w:t>
      </w:r>
      <w:r w:rsidR="00D01B8D">
        <w:rPr>
          <w:sz w:val="24"/>
          <w:szCs w:val="24"/>
        </w:rPr>
        <w:t xml:space="preserve">  </w:t>
      </w:r>
      <w:bookmarkEnd w:id="8"/>
    </w:p>
    <w:p w:rsidRPr="002A253F" w:rsidR="006A05D1" w:rsidP="002A253F" w:rsidRDefault="006A05D1" w14:paraId="6003DB55" w14:textId="73181B4C">
      <w:pPr>
        <w:rPr>
          <w:rFonts w:cstheme="minorHAnsi"/>
          <w:sz w:val="24"/>
          <w:szCs w:val="24"/>
        </w:rPr>
      </w:pPr>
      <w:r>
        <w:rPr>
          <w:sz w:val="24"/>
          <w:szCs w:val="24"/>
        </w:rPr>
        <w:t>If no information about lab function is collected, there may be a disproportionate distribution of kits to labs that serve similar or identical functions, thereby leaving a paucity of kits for laboratories that perform other functions.  Additionally, no</w:t>
      </w:r>
      <w:r w:rsidR="00D7035D">
        <w:rPr>
          <w:sz w:val="24"/>
          <w:szCs w:val="24"/>
        </w:rPr>
        <w:t xml:space="preserve"> information to assist in improving </w:t>
      </w:r>
      <w:r w:rsidRPr="002A253F" w:rsidR="00D7035D">
        <w:rPr>
          <w:rFonts w:cstheme="minorHAnsi"/>
          <w:sz w:val="24"/>
          <w:szCs w:val="24"/>
        </w:rPr>
        <w:t xml:space="preserve">the program, or how to </w:t>
      </w:r>
      <w:r w:rsidRPr="002A253F">
        <w:rPr>
          <w:rFonts w:cstheme="minorHAnsi"/>
          <w:sz w:val="24"/>
          <w:szCs w:val="24"/>
        </w:rPr>
        <w:t xml:space="preserve">optimize </w:t>
      </w:r>
      <w:r w:rsidRPr="002A253F" w:rsidR="00D7035D">
        <w:rPr>
          <w:rFonts w:cstheme="minorHAnsi"/>
          <w:sz w:val="24"/>
          <w:szCs w:val="24"/>
        </w:rPr>
        <w:t xml:space="preserve">the way </w:t>
      </w:r>
      <w:r w:rsidRPr="002A253F">
        <w:rPr>
          <w:rFonts w:cstheme="minorHAnsi"/>
          <w:sz w:val="24"/>
          <w:szCs w:val="24"/>
        </w:rPr>
        <w:t>the sample material is provided would be possible.</w:t>
      </w:r>
    </w:p>
    <w:p w:rsidR="00152CB2" w:rsidP="004D224F" w:rsidRDefault="00152CB2" w14:paraId="551ACC1F" w14:textId="498666BE">
      <w:pPr>
        <w:autoSpaceDE w:val="0"/>
        <w:autoSpaceDN w:val="0"/>
        <w:adjustRightInd w:val="0"/>
        <w:spacing w:line="240" w:lineRule="auto"/>
        <w:rPr>
          <w:rFonts w:cs="ITCFranklinGothicStd-Book"/>
          <w:sz w:val="24"/>
          <w:szCs w:val="24"/>
        </w:rPr>
      </w:pPr>
      <w:r>
        <w:rPr>
          <w:rFonts w:cs="ITCFranklinGothicStd-Book"/>
          <w:sz w:val="24"/>
          <w:szCs w:val="24"/>
        </w:rPr>
        <w:t xml:space="preserve">The program is funded in the upcoming </w:t>
      </w:r>
      <w:proofErr w:type="gramStart"/>
      <w:r>
        <w:rPr>
          <w:rFonts w:cs="ITCFranklinGothicStd-Book"/>
          <w:sz w:val="24"/>
          <w:szCs w:val="24"/>
        </w:rPr>
        <w:t>year</w:t>
      </w:r>
      <w:r w:rsidR="00B7588B">
        <w:rPr>
          <w:rFonts w:cs="ITCFranklinGothicStd-Book"/>
          <w:sz w:val="24"/>
          <w:szCs w:val="24"/>
        </w:rPr>
        <w:t>, and</w:t>
      </w:r>
      <w:proofErr w:type="gramEnd"/>
      <w:r w:rsidR="00B7588B">
        <w:rPr>
          <w:rFonts w:cs="ITCFranklinGothicStd-Book"/>
          <w:sz w:val="24"/>
          <w:szCs w:val="24"/>
        </w:rPr>
        <w:t xml:space="preserve"> is anticipated to be funded over the next three years</w:t>
      </w:r>
      <w:r>
        <w:rPr>
          <w:rFonts w:cs="ITCFranklinGothicStd-Book"/>
          <w:sz w:val="24"/>
          <w:szCs w:val="24"/>
        </w:rPr>
        <w:t>.</w:t>
      </w:r>
    </w:p>
    <w:p w:rsidR="00C13959" w:rsidP="004976CC" w:rsidRDefault="00601F1A" w14:paraId="28BB1B60" w14:textId="2148A85E">
      <w:pPr>
        <w:pStyle w:val="Heading1"/>
        <w:pBdr>
          <w:bottom w:val="none" w:color="auto" w:sz="0" w:space="0"/>
        </w:pBdr>
        <w:rPr>
          <w:color w:val="auto"/>
        </w:rPr>
      </w:pPr>
      <w:bookmarkStart w:name="_Toc31301593" w:id="9"/>
      <w:r w:rsidRPr="00D20211">
        <w:rPr>
          <w:color w:val="auto"/>
        </w:rPr>
        <w:t>A.</w:t>
      </w:r>
      <w:r w:rsidRPr="00D20211" w:rsidR="004D21C9">
        <w:rPr>
          <w:color w:val="auto"/>
        </w:rPr>
        <w:t xml:space="preserve">3.  </w:t>
      </w:r>
      <w:r w:rsidRPr="00D20211" w:rsidR="00B45002">
        <w:rPr>
          <w:color w:val="auto"/>
        </w:rPr>
        <w:t>Use of Improved Information Technology and Burden Reduction</w:t>
      </w:r>
      <w:bookmarkEnd w:id="9"/>
    </w:p>
    <w:p w:rsidR="00AF60E9" w:rsidP="00AF60E9" w:rsidRDefault="00AF60E9" w14:paraId="7B6FE52D" w14:textId="0EB7F70C"/>
    <w:p w:rsidRPr="009906BA" w:rsidR="004976CC" w:rsidP="004976CC" w:rsidRDefault="00AF60E9" w14:paraId="31BA5F3D" w14:textId="4A5F8B57">
      <w:pPr>
        <w:rPr>
          <w:sz w:val="24"/>
        </w:rPr>
      </w:pPr>
      <w:r w:rsidRPr="0049456C">
        <w:rPr>
          <w:sz w:val="24"/>
        </w:rPr>
        <w:t xml:space="preserve">Information collection will be on the TOM </w:t>
      </w:r>
      <w:r w:rsidR="00056CD6">
        <w:rPr>
          <w:sz w:val="24"/>
        </w:rPr>
        <w:t>K</w:t>
      </w:r>
      <w:r w:rsidRPr="0049456C">
        <w:rPr>
          <w:sz w:val="24"/>
        </w:rPr>
        <w:t>its</w:t>
      </w:r>
      <w:r w:rsidR="00056CD6">
        <w:rPr>
          <w:sz w:val="24"/>
        </w:rPr>
        <w:t>*</w:t>
      </w:r>
      <w:r w:rsidRPr="0049456C">
        <w:rPr>
          <w:sz w:val="24"/>
        </w:rPr>
        <w:t xml:space="preserve"> manufacturer</w:t>
      </w:r>
      <w:r w:rsidR="00243BD5">
        <w:rPr>
          <w:sz w:val="24"/>
        </w:rPr>
        <w:t>s’</w:t>
      </w:r>
      <w:r w:rsidRPr="0049456C" w:rsidR="00D400C0">
        <w:rPr>
          <w:sz w:val="24"/>
        </w:rPr>
        <w:t xml:space="preserve"> website</w:t>
      </w:r>
      <w:r w:rsidR="00243BD5">
        <w:rPr>
          <w:sz w:val="24"/>
        </w:rPr>
        <w:t>s</w:t>
      </w:r>
      <w:r w:rsidRPr="0049456C" w:rsidR="00D400C0">
        <w:rPr>
          <w:sz w:val="24"/>
        </w:rPr>
        <w:t xml:space="preserve"> (</w:t>
      </w:r>
      <w:r w:rsidRPr="0049456C" w:rsidR="00203018">
        <w:rPr>
          <w:b/>
          <w:sz w:val="24"/>
        </w:rPr>
        <w:t>Attachment</w:t>
      </w:r>
      <w:r w:rsidR="00F44453">
        <w:rPr>
          <w:b/>
          <w:sz w:val="24"/>
        </w:rPr>
        <w:t xml:space="preserve">s </w:t>
      </w:r>
      <w:r w:rsidR="004B63AD">
        <w:rPr>
          <w:b/>
          <w:sz w:val="24"/>
        </w:rPr>
        <w:t>3</w:t>
      </w:r>
      <w:r w:rsidR="00056CD6">
        <w:rPr>
          <w:b/>
          <w:sz w:val="24"/>
        </w:rPr>
        <w:t xml:space="preserve"> and 6</w:t>
      </w:r>
      <w:r w:rsidRPr="0049456C" w:rsidR="00D400C0">
        <w:rPr>
          <w:sz w:val="24"/>
        </w:rPr>
        <w:t>).  Th</w:t>
      </w:r>
      <w:r w:rsidR="00243BD5">
        <w:rPr>
          <w:sz w:val="24"/>
        </w:rPr>
        <w:t>e</w:t>
      </w:r>
      <w:r w:rsidRPr="0049456C" w:rsidR="00D400C0">
        <w:rPr>
          <w:sz w:val="24"/>
        </w:rPr>
        <w:t xml:space="preserve"> information collection is 100% electronic.  There is no special software that will be </w:t>
      </w:r>
      <w:proofErr w:type="gramStart"/>
      <w:r w:rsidRPr="0049456C" w:rsidR="00D400C0">
        <w:rPr>
          <w:sz w:val="24"/>
        </w:rPr>
        <w:t>used</w:t>
      </w:r>
      <w:proofErr w:type="gramEnd"/>
      <w:r w:rsidRPr="0049456C" w:rsidR="00D400C0">
        <w:rPr>
          <w:sz w:val="24"/>
        </w:rPr>
        <w:t xml:space="preserve"> and the </w:t>
      </w:r>
      <w:r w:rsidR="0067462C">
        <w:rPr>
          <w:sz w:val="24"/>
        </w:rPr>
        <w:t>survey</w:t>
      </w:r>
      <w:r w:rsidR="004B63AD">
        <w:rPr>
          <w:sz w:val="24"/>
        </w:rPr>
        <w:t>s</w:t>
      </w:r>
      <w:r w:rsidRPr="0049456C" w:rsidR="00D400C0">
        <w:rPr>
          <w:sz w:val="24"/>
        </w:rPr>
        <w:t xml:space="preserve"> use common internet interfaces to </w:t>
      </w:r>
      <w:r w:rsidR="004B63AD">
        <w:rPr>
          <w:sz w:val="24"/>
        </w:rPr>
        <w:t>complete</w:t>
      </w:r>
      <w:r w:rsidRPr="0049456C" w:rsidR="00D400C0">
        <w:rPr>
          <w:sz w:val="24"/>
        </w:rPr>
        <w:t xml:space="preserve">, thereby minimizing any training time and cost to </w:t>
      </w:r>
      <w:r w:rsidRPr="0049456C" w:rsidR="00141C4C">
        <w:rPr>
          <w:sz w:val="24"/>
        </w:rPr>
        <w:t>fill out the form.  Upon completion, a submission button is used to submit electronically and instantaneously.  By adopting a common internet interface, and one that can be access</w:t>
      </w:r>
      <w:r w:rsidR="00056CD6">
        <w:rPr>
          <w:sz w:val="24"/>
        </w:rPr>
        <w:t>ed</w:t>
      </w:r>
      <w:r w:rsidRPr="0049456C" w:rsidR="00141C4C">
        <w:rPr>
          <w:sz w:val="24"/>
        </w:rPr>
        <w:t xml:space="preserve"> with any major web browser, errors </w:t>
      </w:r>
      <w:r w:rsidR="00056CD6">
        <w:rPr>
          <w:sz w:val="24"/>
        </w:rPr>
        <w:t>are</w:t>
      </w:r>
      <w:r w:rsidRPr="0049456C" w:rsidR="00141C4C">
        <w:rPr>
          <w:sz w:val="24"/>
        </w:rPr>
        <w:t xml:space="preserve"> minimized, costs and burden time </w:t>
      </w:r>
      <w:r w:rsidR="00056CD6">
        <w:rPr>
          <w:sz w:val="24"/>
        </w:rPr>
        <w:t>are</w:t>
      </w:r>
      <w:r w:rsidRPr="0049456C" w:rsidR="00141C4C">
        <w:rPr>
          <w:sz w:val="24"/>
        </w:rPr>
        <w:t xml:space="preserve"> </w:t>
      </w:r>
      <w:r w:rsidR="00056CD6">
        <w:rPr>
          <w:sz w:val="24"/>
        </w:rPr>
        <w:t>reduc</w:t>
      </w:r>
      <w:r w:rsidRPr="0049456C" w:rsidR="00056CD6">
        <w:rPr>
          <w:sz w:val="24"/>
        </w:rPr>
        <w:t>ed</w:t>
      </w:r>
      <w:r w:rsidRPr="0049456C" w:rsidR="00141C4C">
        <w:rPr>
          <w:sz w:val="24"/>
        </w:rPr>
        <w:t xml:space="preserve">, and ease of submission </w:t>
      </w:r>
      <w:r w:rsidR="00056CD6">
        <w:rPr>
          <w:sz w:val="24"/>
        </w:rPr>
        <w:t>is</w:t>
      </w:r>
      <w:r w:rsidRPr="0049456C" w:rsidR="00141C4C">
        <w:rPr>
          <w:sz w:val="24"/>
        </w:rPr>
        <w:t xml:space="preserve"> </w:t>
      </w:r>
      <w:r w:rsidRPr="0049456C" w:rsidR="00056CD6">
        <w:rPr>
          <w:sz w:val="24"/>
        </w:rPr>
        <w:t>m</w:t>
      </w:r>
      <w:r w:rsidR="00056CD6">
        <w:rPr>
          <w:sz w:val="24"/>
        </w:rPr>
        <w:t>axi</w:t>
      </w:r>
      <w:r w:rsidRPr="0049456C" w:rsidR="00056CD6">
        <w:rPr>
          <w:sz w:val="24"/>
        </w:rPr>
        <w:t>mized</w:t>
      </w:r>
      <w:r w:rsidRPr="0049456C" w:rsidR="00141C4C">
        <w:rPr>
          <w:sz w:val="24"/>
        </w:rPr>
        <w:t>.</w:t>
      </w:r>
    </w:p>
    <w:p w:rsidRPr="00D20211" w:rsidR="00B45002" w:rsidP="004D7237" w:rsidRDefault="00601F1A" w14:paraId="32CBF19C" w14:textId="6C24B85E">
      <w:pPr>
        <w:pStyle w:val="Heading1"/>
        <w:pBdr>
          <w:bottom w:val="none" w:color="auto" w:sz="0" w:space="0"/>
        </w:pBdr>
        <w:rPr>
          <w:color w:val="auto"/>
        </w:rPr>
      </w:pPr>
      <w:bookmarkStart w:name="_Toc31301594" w:id="10"/>
      <w:r w:rsidRPr="00D20211">
        <w:rPr>
          <w:color w:val="auto"/>
        </w:rPr>
        <w:t>A.</w:t>
      </w:r>
      <w:r w:rsidRPr="00D20211" w:rsidR="004D21C9">
        <w:rPr>
          <w:color w:val="auto"/>
        </w:rPr>
        <w:t xml:space="preserve">4.  </w:t>
      </w:r>
      <w:r w:rsidRPr="00D20211" w:rsidR="00B45002">
        <w:rPr>
          <w:color w:val="auto"/>
        </w:rPr>
        <w:t>Efforts to Identify Duplication and Use of Similar Information</w:t>
      </w:r>
      <w:bookmarkEnd w:id="10"/>
    </w:p>
    <w:p w:rsidRPr="0049456C" w:rsidR="004D7237" w:rsidP="004D7237" w:rsidRDefault="004D7237" w14:paraId="241D43FC" w14:textId="67029411">
      <w:pPr>
        <w:rPr>
          <w:sz w:val="24"/>
        </w:rPr>
      </w:pPr>
    </w:p>
    <w:p w:rsidRPr="00BC4969" w:rsidR="00BC4969" w:rsidP="004D7237" w:rsidRDefault="0056388A" w14:paraId="6CA72A9F" w14:textId="5B3ADFB5">
      <w:pPr>
        <w:rPr>
          <w:sz w:val="24"/>
          <w:szCs w:val="24"/>
        </w:rPr>
      </w:pPr>
      <w:r w:rsidRPr="00BC4969">
        <w:rPr>
          <w:sz w:val="24"/>
          <w:szCs w:val="24"/>
        </w:rPr>
        <w:t xml:space="preserve">It is </w:t>
      </w:r>
      <w:r w:rsidRPr="00BC4969" w:rsidR="00007F77">
        <w:rPr>
          <w:sz w:val="24"/>
          <w:szCs w:val="24"/>
        </w:rPr>
        <w:t>possible that a laboratory may submit more than one request for TOM Kits</w:t>
      </w:r>
      <w:r w:rsidR="00056CD6">
        <w:rPr>
          <w:sz w:val="24"/>
          <w:szCs w:val="24"/>
        </w:rPr>
        <w:t>*</w:t>
      </w:r>
      <w:r w:rsidRPr="00BC4969" w:rsidR="00007F77">
        <w:rPr>
          <w:sz w:val="24"/>
          <w:szCs w:val="24"/>
        </w:rPr>
        <w:t xml:space="preserve">. </w:t>
      </w:r>
      <w:r w:rsidRPr="00BC4969" w:rsidR="00614F19">
        <w:rPr>
          <w:sz w:val="24"/>
          <w:szCs w:val="24"/>
        </w:rPr>
        <w:t>The CDC website</w:t>
      </w:r>
      <w:r w:rsidR="00BC4969">
        <w:rPr>
          <w:sz w:val="24"/>
          <w:szCs w:val="24"/>
        </w:rPr>
        <w:t>, “</w:t>
      </w:r>
      <w:hyperlink w:history="1" r:id="rId12">
        <w:r w:rsidRPr="00056CD6" w:rsidR="00BC4969">
          <w:rPr>
            <w:rStyle w:val="Hyperlink"/>
            <w:sz w:val="24"/>
            <w:szCs w:val="24"/>
          </w:rPr>
          <w:t>Traceable Opioid Material* Kits to Improve Laboratory Detection of Synthetic Opioids in the U.S.</w:t>
        </w:r>
      </w:hyperlink>
      <w:r w:rsidR="00BC4969">
        <w:rPr>
          <w:sz w:val="24"/>
          <w:szCs w:val="24"/>
        </w:rPr>
        <w:t>” states</w:t>
      </w:r>
      <w:r w:rsidRPr="00BC4969" w:rsidR="00614F19">
        <w:rPr>
          <w:sz w:val="24"/>
          <w:szCs w:val="24"/>
        </w:rPr>
        <w:t xml:space="preserve"> that </w:t>
      </w:r>
      <w:r w:rsidR="00BC4969">
        <w:rPr>
          <w:sz w:val="24"/>
          <w:szCs w:val="24"/>
        </w:rPr>
        <w:t>a</w:t>
      </w:r>
      <w:r w:rsidRPr="0097091A" w:rsidR="00BC4969">
        <w:rPr>
          <w:sz w:val="24"/>
          <w:szCs w:val="24"/>
        </w:rPr>
        <w:t xml:space="preserve">lthough laboratories may request multiple kits, supplies are limited and requests will be filled based on product availability. </w:t>
      </w:r>
      <w:r w:rsidR="00BC4969">
        <w:rPr>
          <w:sz w:val="24"/>
          <w:szCs w:val="24"/>
        </w:rPr>
        <w:t>If requesting multiple kits over time, t</w:t>
      </w:r>
      <w:r w:rsidRPr="00BC4969" w:rsidR="001D2A80">
        <w:rPr>
          <w:sz w:val="24"/>
          <w:szCs w:val="24"/>
        </w:rPr>
        <w:t xml:space="preserve">he </w:t>
      </w:r>
      <w:r w:rsidRPr="00BC4969" w:rsidR="001D2A80">
        <w:rPr>
          <w:sz w:val="24"/>
          <w:szCs w:val="24"/>
        </w:rPr>
        <w:lastRenderedPageBreak/>
        <w:t xml:space="preserve">attributes of </w:t>
      </w:r>
      <w:r w:rsidR="00BC4969">
        <w:rPr>
          <w:sz w:val="24"/>
          <w:szCs w:val="24"/>
        </w:rPr>
        <w:t>a</w:t>
      </w:r>
      <w:r w:rsidR="001D2A80">
        <w:rPr>
          <w:sz w:val="24"/>
        </w:rPr>
        <w:t xml:space="preserve"> lab</w:t>
      </w:r>
      <w:r w:rsidR="00BC4969">
        <w:rPr>
          <w:sz w:val="24"/>
        </w:rPr>
        <w:t>oratory</w:t>
      </w:r>
      <w:r w:rsidR="001D2A80">
        <w:rPr>
          <w:sz w:val="24"/>
        </w:rPr>
        <w:t xml:space="preserve"> and the analysis method of the TOM </w:t>
      </w:r>
      <w:r w:rsidR="00056CD6">
        <w:rPr>
          <w:sz w:val="24"/>
        </w:rPr>
        <w:t>K</w:t>
      </w:r>
      <w:r w:rsidR="001D2A80">
        <w:rPr>
          <w:sz w:val="24"/>
        </w:rPr>
        <w:t>its</w:t>
      </w:r>
      <w:r w:rsidR="00056CD6">
        <w:rPr>
          <w:sz w:val="24"/>
        </w:rPr>
        <w:t>*</w:t>
      </w:r>
      <w:r w:rsidR="001D2A80">
        <w:rPr>
          <w:sz w:val="24"/>
        </w:rPr>
        <w:t xml:space="preserve"> materials </w:t>
      </w:r>
      <w:r w:rsidRPr="0049456C" w:rsidR="00931D17">
        <w:rPr>
          <w:sz w:val="24"/>
        </w:rPr>
        <w:t>may change</w:t>
      </w:r>
      <w:r w:rsidR="00BC4969">
        <w:rPr>
          <w:sz w:val="24"/>
        </w:rPr>
        <w:t>.</w:t>
      </w:r>
      <w:r w:rsidRPr="0049456C" w:rsidR="00931D17">
        <w:rPr>
          <w:sz w:val="24"/>
        </w:rPr>
        <w:t xml:space="preserve"> </w:t>
      </w:r>
      <w:r w:rsidR="00BC4969">
        <w:rPr>
          <w:sz w:val="24"/>
        </w:rPr>
        <w:t>T</w:t>
      </w:r>
      <w:r w:rsidRPr="0049456C" w:rsidR="00931D17">
        <w:rPr>
          <w:sz w:val="24"/>
        </w:rPr>
        <w:t>herefore, future</w:t>
      </w:r>
      <w:r w:rsidR="00F323E9">
        <w:rPr>
          <w:sz w:val="24"/>
        </w:rPr>
        <w:t xml:space="preserve"> </w:t>
      </w:r>
      <w:r w:rsidRPr="0049456C" w:rsidR="00931D17">
        <w:rPr>
          <w:sz w:val="24"/>
        </w:rPr>
        <w:t xml:space="preserve">requests </w:t>
      </w:r>
      <w:r w:rsidRPr="0049456C" w:rsidR="00E50EC4">
        <w:rPr>
          <w:sz w:val="24"/>
        </w:rPr>
        <w:t xml:space="preserve">will require filling the </w:t>
      </w:r>
      <w:r w:rsidR="00203F51">
        <w:rPr>
          <w:sz w:val="24"/>
        </w:rPr>
        <w:t>survey</w:t>
      </w:r>
      <w:r w:rsidRPr="0049456C" w:rsidR="00E50EC4">
        <w:rPr>
          <w:sz w:val="24"/>
        </w:rPr>
        <w:t xml:space="preserve"> out again to </w:t>
      </w:r>
      <w:r w:rsidR="00056CD6">
        <w:rPr>
          <w:sz w:val="24"/>
        </w:rPr>
        <w:t>e</w:t>
      </w:r>
      <w:r w:rsidRPr="0049456C" w:rsidR="00E50EC4">
        <w:rPr>
          <w:sz w:val="24"/>
        </w:rPr>
        <w:t>nsure the most up-to-date information</w:t>
      </w:r>
      <w:r w:rsidR="00056CD6">
        <w:rPr>
          <w:sz w:val="24"/>
        </w:rPr>
        <w:t xml:space="preserve"> is being used to prioritize kit distribution</w:t>
      </w:r>
      <w:r w:rsidRPr="0049456C" w:rsidR="00E50EC4">
        <w:rPr>
          <w:sz w:val="24"/>
        </w:rPr>
        <w:t>.</w:t>
      </w:r>
    </w:p>
    <w:p w:rsidRPr="009906BA" w:rsidR="00E43C6B" w:rsidP="004D7237" w:rsidRDefault="00DD12B8" w14:paraId="4EBA38D5" w14:textId="738318ED">
      <w:pPr>
        <w:rPr>
          <w:sz w:val="24"/>
        </w:rPr>
      </w:pPr>
      <w:r>
        <w:rPr>
          <w:sz w:val="24"/>
        </w:rPr>
        <w:t>T</w:t>
      </w:r>
      <w:r w:rsidR="001D2A80">
        <w:rPr>
          <w:sz w:val="24"/>
        </w:rPr>
        <w:t>here is no information</w:t>
      </w:r>
      <w:r w:rsidR="00F35385">
        <w:rPr>
          <w:sz w:val="24"/>
        </w:rPr>
        <w:t xml:space="preserve"> elsewhere</w:t>
      </w:r>
      <w:r w:rsidR="001D2A80">
        <w:rPr>
          <w:sz w:val="24"/>
        </w:rPr>
        <w:t xml:space="preserve"> about the types of labs, quantity of samples analyzed by the labs, or matrix types used by labs performing opioid </w:t>
      </w:r>
      <w:proofErr w:type="gramStart"/>
      <w:r w:rsidR="001D2A80">
        <w:rPr>
          <w:sz w:val="24"/>
        </w:rPr>
        <w:t>analysis</w:t>
      </w:r>
      <w:proofErr w:type="gramEnd"/>
      <w:r>
        <w:rPr>
          <w:sz w:val="24"/>
        </w:rPr>
        <w:t xml:space="preserve"> so it is critical that the program ask these questions for prioritizing kit distribution</w:t>
      </w:r>
      <w:r w:rsidR="001D2A80">
        <w:rPr>
          <w:sz w:val="24"/>
        </w:rPr>
        <w:t>.</w:t>
      </w:r>
    </w:p>
    <w:p w:rsidRPr="00D20211" w:rsidR="00B45002" w:rsidP="00601F1A" w:rsidRDefault="00601F1A" w14:paraId="5500B6CD" w14:textId="40472E65">
      <w:pPr>
        <w:pStyle w:val="Heading1"/>
        <w:pBdr>
          <w:bottom w:val="none" w:color="auto" w:sz="0" w:space="0"/>
        </w:pBdr>
        <w:rPr>
          <w:color w:val="auto"/>
        </w:rPr>
      </w:pPr>
      <w:bookmarkStart w:name="_Toc31301595" w:id="11"/>
      <w:r w:rsidRPr="00D20211">
        <w:rPr>
          <w:color w:val="auto"/>
        </w:rPr>
        <w:t>A.</w:t>
      </w:r>
      <w:r w:rsidRPr="00D20211" w:rsidR="004D21C9">
        <w:rPr>
          <w:color w:val="auto"/>
        </w:rPr>
        <w:t xml:space="preserve">5.  </w:t>
      </w:r>
      <w:r w:rsidRPr="00D20211" w:rsidR="00B45002">
        <w:rPr>
          <w:color w:val="auto"/>
        </w:rPr>
        <w:t>Impact on Small Businesses or Other Small Entities</w:t>
      </w:r>
      <w:bookmarkEnd w:id="11"/>
    </w:p>
    <w:p w:rsidR="00F16DA0" w:rsidP="00F16DA0" w:rsidRDefault="00F16DA0" w14:paraId="0CCAAA5D" w14:textId="4302774E">
      <w:pPr>
        <w:autoSpaceDE w:val="0"/>
        <w:autoSpaceDN w:val="0"/>
        <w:adjustRightInd w:val="0"/>
        <w:spacing w:after="0" w:line="240" w:lineRule="auto"/>
        <w:rPr>
          <w:rFonts w:cs="ITCFranklinGothicStd-Book"/>
          <w:sz w:val="24"/>
          <w:szCs w:val="24"/>
        </w:rPr>
      </w:pPr>
    </w:p>
    <w:p w:rsidR="00BC54B1" w:rsidP="00F16DA0" w:rsidRDefault="00A05282" w14:paraId="7B4A2F93" w14:textId="6E4227F0">
      <w:pPr>
        <w:autoSpaceDE w:val="0"/>
        <w:autoSpaceDN w:val="0"/>
        <w:adjustRightInd w:val="0"/>
        <w:spacing w:after="0" w:line="240" w:lineRule="auto"/>
        <w:rPr>
          <w:rFonts w:cs="ITCFranklinGothicStd-Book"/>
          <w:sz w:val="24"/>
          <w:szCs w:val="24"/>
        </w:rPr>
      </w:pPr>
      <w:r>
        <w:rPr>
          <w:rFonts w:cs="ITCFranklinGothicStd-Book"/>
          <w:sz w:val="24"/>
          <w:szCs w:val="24"/>
        </w:rPr>
        <w:t>Because this information collection involves laboratories</w:t>
      </w:r>
      <w:r w:rsidR="00BC54B1">
        <w:rPr>
          <w:rFonts w:cs="ITCFranklinGothicStd-Book"/>
          <w:sz w:val="24"/>
          <w:szCs w:val="24"/>
        </w:rPr>
        <w:t xml:space="preserve"> as respondents</w:t>
      </w:r>
      <w:r>
        <w:rPr>
          <w:rFonts w:cs="ITCFranklinGothicStd-Book"/>
          <w:sz w:val="24"/>
          <w:szCs w:val="24"/>
        </w:rPr>
        <w:t xml:space="preserve">, a large proportion will affect small businesses or other small entities. </w:t>
      </w:r>
      <w:r w:rsidR="00327181">
        <w:rPr>
          <w:rFonts w:cs="ITCFranklinGothicStd-Book"/>
          <w:sz w:val="24"/>
          <w:szCs w:val="24"/>
        </w:rPr>
        <w:t>Nevertheless, t</w:t>
      </w:r>
      <w:r>
        <w:rPr>
          <w:rFonts w:cs="ITCFranklinGothicStd-Book"/>
          <w:sz w:val="24"/>
          <w:szCs w:val="24"/>
        </w:rPr>
        <w:t>he TOM Kit</w:t>
      </w:r>
      <w:r w:rsidR="00DD12B8">
        <w:rPr>
          <w:rFonts w:cs="ITCFranklinGothicStd-Book"/>
          <w:sz w:val="24"/>
          <w:szCs w:val="24"/>
        </w:rPr>
        <w:t>s*</w:t>
      </w:r>
      <w:r>
        <w:rPr>
          <w:rFonts w:cs="ITCFranklinGothicStd-Book"/>
          <w:sz w:val="24"/>
          <w:szCs w:val="24"/>
        </w:rPr>
        <w:t xml:space="preserve"> </w:t>
      </w:r>
      <w:r w:rsidR="00DD12B8">
        <w:rPr>
          <w:rFonts w:cs="ITCFranklinGothicStd-Book"/>
          <w:sz w:val="24"/>
          <w:szCs w:val="24"/>
        </w:rPr>
        <w:t>s</w:t>
      </w:r>
      <w:r>
        <w:rPr>
          <w:rFonts w:cs="ITCFranklinGothicStd-Book"/>
          <w:sz w:val="24"/>
          <w:szCs w:val="24"/>
        </w:rPr>
        <w:t>urvey (</w:t>
      </w:r>
      <w:r>
        <w:rPr>
          <w:rFonts w:cs="ITCFranklinGothicStd-Book"/>
          <w:b/>
          <w:sz w:val="24"/>
          <w:szCs w:val="24"/>
        </w:rPr>
        <w:t>Attachment 6</w:t>
      </w:r>
      <w:r>
        <w:rPr>
          <w:rFonts w:cs="ITCFranklinGothicStd-Book"/>
          <w:sz w:val="24"/>
          <w:szCs w:val="24"/>
        </w:rPr>
        <w:t xml:space="preserve">) </w:t>
      </w:r>
      <w:r w:rsidR="00194487">
        <w:rPr>
          <w:rFonts w:cs="ITCFranklinGothicStd-Book"/>
          <w:sz w:val="24"/>
          <w:szCs w:val="24"/>
        </w:rPr>
        <w:t>is</w:t>
      </w:r>
      <w:r>
        <w:rPr>
          <w:rFonts w:cs="ITCFranklinGothicStd-Book"/>
          <w:sz w:val="24"/>
          <w:szCs w:val="24"/>
        </w:rPr>
        <w:t xml:space="preserve"> designed to collect the absolute minimum amount of information needed </w:t>
      </w:r>
      <w:r w:rsidR="00DD12B8">
        <w:rPr>
          <w:rFonts w:cs="ITCFranklinGothicStd-Book"/>
          <w:sz w:val="24"/>
          <w:szCs w:val="24"/>
        </w:rPr>
        <w:t xml:space="preserve">(six-minute surveys) </w:t>
      </w:r>
      <w:r>
        <w:rPr>
          <w:rFonts w:cs="ITCFranklinGothicStd-Book"/>
          <w:sz w:val="24"/>
          <w:szCs w:val="24"/>
        </w:rPr>
        <w:t>to distribute materials</w:t>
      </w:r>
      <w:r w:rsidR="00DD12B8">
        <w:rPr>
          <w:rFonts w:cs="ITCFranklinGothicStd-Book"/>
          <w:sz w:val="24"/>
          <w:szCs w:val="24"/>
        </w:rPr>
        <w:t>,</w:t>
      </w:r>
      <w:r w:rsidR="00327181">
        <w:rPr>
          <w:rFonts w:cs="ITCFranklinGothicStd-Book"/>
          <w:sz w:val="24"/>
          <w:szCs w:val="24"/>
        </w:rPr>
        <w:t xml:space="preserve"> </w:t>
      </w:r>
      <w:r>
        <w:rPr>
          <w:rFonts w:cs="ITCFranklinGothicStd-Book"/>
          <w:sz w:val="24"/>
          <w:szCs w:val="24"/>
        </w:rPr>
        <w:t>and the recipient laboratories will benefit by receiving free TOM Kits</w:t>
      </w:r>
      <w:r w:rsidR="00DD12B8">
        <w:rPr>
          <w:rFonts w:cs="ITCFranklinGothicStd-Book"/>
          <w:sz w:val="24"/>
          <w:szCs w:val="24"/>
        </w:rPr>
        <w:t>*</w:t>
      </w:r>
      <w:r>
        <w:rPr>
          <w:rFonts w:cs="ITCFranklinGothicStd-Book"/>
          <w:sz w:val="24"/>
          <w:szCs w:val="24"/>
        </w:rPr>
        <w:t xml:space="preserve">. </w:t>
      </w:r>
    </w:p>
    <w:p w:rsidR="00BC54B1" w:rsidP="00F16DA0" w:rsidRDefault="00BC54B1" w14:paraId="71E6A2D0" w14:textId="77777777">
      <w:pPr>
        <w:autoSpaceDE w:val="0"/>
        <w:autoSpaceDN w:val="0"/>
        <w:adjustRightInd w:val="0"/>
        <w:spacing w:after="0" w:line="240" w:lineRule="auto"/>
        <w:rPr>
          <w:rFonts w:cs="ITCFranklinGothicStd-Book"/>
          <w:sz w:val="24"/>
          <w:szCs w:val="24"/>
        </w:rPr>
      </w:pPr>
    </w:p>
    <w:p w:rsidR="00A05282" w:rsidP="00F16DA0" w:rsidRDefault="00877C8E" w14:paraId="54572FA7" w14:textId="24A59A4B">
      <w:pPr>
        <w:autoSpaceDE w:val="0"/>
        <w:autoSpaceDN w:val="0"/>
        <w:adjustRightInd w:val="0"/>
        <w:spacing w:after="0" w:line="240" w:lineRule="auto"/>
        <w:rPr>
          <w:rFonts w:cs="ITCFranklinGothicStd-Book"/>
          <w:sz w:val="24"/>
          <w:szCs w:val="24"/>
        </w:rPr>
      </w:pPr>
      <w:r>
        <w:rPr>
          <w:rFonts w:cs="ITCFranklinGothicStd-Book"/>
          <w:sz w:val="24"/>
          <w:szCs w:val="24"/>
        </w:rPr>
        <w:t>Based on our respondent estimates (</w:t>
      </w:r>
      <w:r>
        <w:rPr>
          <w:rFonts w:cs="ITCFranklinGothicStd-Book"/>
          <w:b/>
          <w:sz w:val="24"/>
          <w:szCs w:val="24"/>
        </w:rPr>
        <w:t>Section A</w:t>
      </w:r>
      <w:r w:rsidRPr="00877C8E">
        <w:rPr>
          <w:rFonts w:cs="ITCFranklinGothicStd-Book"/>
          <w:b/>
          <w:sz w:val="24"/>
          <w:szCs w:val="24"/>
        </w:rPr>
        <w:t>.12</w:t>
      </w:r>
      <w:r>
        <w:rPr>
          <w:rFonts w:cs="ITCFranklinGothicStd-Book"/>
          <w:sz w:val="24"/>
          <w:szCs w:val="24"/>
        </w:rPr>
        <w:t xml:space="preserve">), we </w:t>
      </w:r>
      <w:r w:rsidR="00955922">
        <w:rPr>
          <w:rFonts w:cs="ITCFranklinGothicStd-Book"/>
          <w:sz w:val="24"/>
          <w:szCs w:val="24"/>
        </w:rPr>
        <w:t>assume</w:t>
      </w:r>
      <w:r>
        <w:rPr>
          <w:rFonts w:cs="ITCFranklinGothicStd-Book"/>
          <w:sz w:val="24"/>
          <w:szCs w:val="24"/>
        </w:rPr>
        <w:t xml:space="preserve"> that </w:t>
      </w:r>
      <w:r w:rsidR="00DD12B8">
        <w:rPr>
          <w:rFonts w:cs="ITCFranklinGothicStd-Book"/>
          <w:sz w:val="24"/>
          <w:szCs w:val="24"/>
        </w:rPr>
        <w:t>67</w:t>
      </w:r>
      <w:r>
        <w:rPr>
          <w:rFonts w:cs="ITCFranklinGothicStd-Book"/>
          <w:sz w:val="24"/>
          <w:szCs w:val="24"/>
        </w:rPr>
        <w:t xml:space="preserve"> percent of the respondents will be small businesses or other small entities (e.g., </w:t>
      </w:r>
      <w:r w:rsidR="00DD12B8">
        <w:rPr>
          <w:rFonts w:cs="ITCFranklinGothicStd-Book"/>
          <w:sz w:val="24"/>
          <w:szCs w:val="24"/>
        </w:rPr>
        <w:t>400</w:t>
      </w:r>
      <w:r>
        <w:rPr>
          <w:rFonts w:cs="ITCFranklinGothicStd-Book"/>
          <w:sz w:val="24"/>
          <w:szCs w:val="24"/>
        </w:rPr>
        <w:t xml:space="preserve"> state/local/tribal government laboratories + </w:t>
      </w:r>
      <w:r w:rsidR="00DD12B8">
        <w:rPr>
          <w:rFonts w:cs="ITCFranklinGothicStd-Book"/>
          <w:sz w:val="24"/>
          <w:szCs w:val="24"/>
        </w:rPr>
        <w:t>400</w:t>
      </w:r>
      <w:r>
        <w:rPr>
          <w:rFonts w:cs="ITCFranklinGothicStd-Book"/>
          <w:sz w:val="24"/>
          <w:szCs w:val="24"/>
        </w:rPr>
        <w:t xml:space="preserve"> private/not-for-profit institutions </w:t>
      </w:r>
      <w:r>
        <w:rPr>
          <w:rFonts w:cstheme="minorHAnsi"/>
          <w:sz w:val="24"/>
          <w:szCs w:val="24"/>
        </w:rPr>
        <w:t>÷</w:t>
      </w:r>
      <w:r>
        <w:rPr>
          <w:rFonts w:cs="ITCFranklinGothicStd-Book"/>
          <w:sz w:val="24"/>
          <w:szCs w:val="24"/>
        </w:rPr>
        <w:t xml:space="preserve"> </w:t>
      </w:r>
      <w:r w:rsidR="00DD12B8">
        <w:rPr>
          <w:rFonts w:cs="ITCFranklinGothicStd-Book"/>
          <w:sz w:val="24"/>
          <w:szCs w:val="24"/>
        </w:rPr>
        <w:t>1200</w:t>
      </w:r>
      <w:r>
        <w:rPr>
          <w:rFonts w:cs="ITCFranklinGothicStd-Book"/>
          <w:sz w:val="24"/>
          <w:szCs w:val="24"/>
        </w:rPr>
        <w:t xml:space="preserve"> = </w:t>
      </w:r>
      <w:r w:rsidR="00DD12B8">
        <w:rPr>
          <w:rFonts w:cs="ITCFranklinGothicStd-Book"/>
          <w:sz w:val="24"/>
          <w:szCs w:val="24"/>
        </w:rPr>
        <w:t>67</w:t>
      </w:r>
      <w:r>
        <w:rPr>
          <w:rFonts w:cs="ITCFranklinGothicStd-Book"/>
          <w:sz w:val="24"/>
          <w:szCs w:val="24"/>
        </w:rPr>
        <w:t xml:space="preserve">%). The remaining </w:t>
      </w:r>
      <w:r w:rsidR="00DD12B8">
        <w:rPr>
          <w:rFonts w:cs="ITCFranklinGothicStd-Book"/>
          <w:sz w:val="24"/>
          <w:szCs w:val="24"/>
        </w:rPr>
        <w:t>33</w:t>
      </w:r>
      <w:r>
        <w:rPr>
          <w:rFonts w:cs="ITCFranklinGothicStd-Book"/>
          <w:sz w:val="24"/>
          <w:szCs w:val="24"/>
        </w:rPr>
        <w:t xml:space="preserve"> percent of the respondents are estimated to come from the federal government.</w:t>
      </w:r>
    </w:p>
    <w:p w:rsidRPr="00D20211" w:rsidR="00B45002" w:rsidP="00601F1A" w:rsidRDefault="00601F1A" w14:paraId="1771BB1B" w14:textId="4B0CAC9F">
      <w:pPr>
        <w:pStyle w:val="Heading1"/>
        <w:pBdr>
          <w:bottom w:val="none" w:color="auto" w:sz="0" w:space="0"/>
        </w:pBdr>
        <w:rPr>
          <w:color w:val="auto"/>
        </w:rPr>
      </w:pPr>
      <w:bookmarkStart w:name="_Toc31301596" w:id="12"/>
      <w:r w:rsidRPr="00D20211">
        <w:rPr>
          <w:color w:val="auto"/>
        </w:rPr>
        <w:t>A.</w:t>
      </w:r>
      <w:r w:rsidRPr="00D20211" w:rsidR="004D21C9">
        <w:rPr>
          <w:color w:val="auto"/>
        </w:rPr>
        <w:t xml:space="preserve">6.  </w:t>
      </w:r>
      <w:r w:rsidRPr="00D20211" w:rsidR="00B45002">
        <w:rPr>
          <w:color w:val="auto"/>
        </w:rPr>
        <w:t>Consequences of Collecting the Information Less Frequently</w:t>
      </w:r>
      <w:bookmarkEnd w:id="12"/>
    </w:p>
    <w:p w:rsidR="00F82AF2" w:rsidP="002930EC" w:rsidRDefault="00F82AF2" w14:paraId="4B9CAA11" w14:textId="167FA6AA">
      <w:pPr>
        <w:spacing w:after="0" w:line="240" w:lineRule="auto"/>
        <w:rPr>
          <w:sz w:val="24"/>
          <w:szCs w:val="24"/>
        </w:rPr>
      </w:pPr>
    </w:p>
    <w:p w:rsidRPr="00D20211" w:rsidR="0085726D" w:rsidP="002930EC" w:rsidRDefault="0085726D" w14:paraId="159BB875" w14:textId="7F57214B">
      <w:pPr>
        <w:spacing w:after="0" w:line="240" w:lineRule="auto"/>
        <w:rPr>
          <w:sz w:val="24"/>
          <w:szCs w:val="24"/>
        </w:rPr>
      </w:pPr>
      <w:r w:rsidRPr="00351A8D">
        <w:rPr>
          <w:sz w:val="24"/>
          <w:szCs w:val="24"/>
        </w:rPr>
        <w:t xml:space="preserve">The respondents will </w:t>
      </w:r>
      <w:r w:rsidR="000826BD">
        <w:rPr>
          <w:sz w:val="24"/>
          <w:szCs w:val="24"/>
        </w:rPr>
        <w:t xml:space="preserve">be able to </w:t>
      </w:r>
      <w:r w:rsidR="00614F19">
        <w:rPr>
          <w:sz w:val="24"/>
          <w:szCs w:val="24"/>
        </w:rPr>
        <w:t>follow the links from the CDC TOM Kit</w:t>
      </w:r>
      <w:r w:rsidR="00DD12B8">
        <w:rPr>
          <w:sz w:val="24"/>
          <w:szCs w:val="24"/>
        </w:rPr>
        <w:t>s*</w:t>
      </w:r>
      <w:r w:rsidR="00614F19">
        <w:rPr>
          <w:sz w:val="24"/>
          <w:szCs w:val="24"/>
        </w:rPr>
        <w:t xml:space="preserve"> Fact</w:t>
      </w:r>
      <w:r w:rsidR="00CC4BAA">
        <w:rPr>
          <w:sz w:val="24"/>
          <w:szCs w:val="24"/>
        </w:rPr>
        <w:t>s</w:t>
      </w:r>
      <w:r w:rsidR="00614F19">
        <w:rPr>
          <w:sz w:val="24"/>
          <w:szCs w:val="24"/>
        </w:rPr>
        <w:t>heet (</w:t>
      </w:r>
      <w:r w:rsidR="00614F19">
        <w:rPr>
          <w:b/>
          <w:sz w:val="24"/>
          <w:szCs w:val="24"/>
        </w:rPr>
        <w:t>Attachment 3</w:t>
      </w:r>
      <w:r w:rsidR="00614F19">
        <w:rPr>
          <w:sz w:val="24"/>
          <w:szCs w:val="24"/>
        </w:rPr>
        <w:t>)</w:t>
      </w:r>
      <w:r w:rsidR="00CC4BAA">
        <w:rPr>
          <w:sz w:val="24"/>
          <w:szCs w:val="24"/>
        </w:rPr>
        <w:t xml:space="preserve"> and website </w:t>
      </w:r>
      <w:r w:rsidR="00CC4BAA">
        <w:rPr>
          <w:sz w:val="24"/>
          <w:szCs w:val="24"/>
          <w:vertAlign w:val="superscript"/>
        </w:rPr>
        <w:t>1</w:t>
      </w:r>
      <w:r w:rsidR="00614F19">
        <w:rPr>
          <w:sz w:val="24"/>
          <w:szCs w:val="24"/>
        </w:rPr>
        <w:t xml:space="preserve"> to the vendor websites</w:t>
      </w:r>
      <w:r w:rsidR="000826BD">
        <w:rPr>
          <w:sz w:val="24"/>
          <w:szCs w:val="24"/>
          <w:vertAlign w:val="superscript"/>
        </w:rPr>
        <w:t>2,3</w:t>
      </w:r>
      <w:r w:rsidR="00614F19">
        <w:rPr>
          <w:sz w:val="24"/>
          <w:szCs w:val="24"/>
        </w:rPr>
        <w:t xml:space="preserve"> </w:t>
      </w:r>
      <w:r w:rsidR="006B17C1">
        <w:rPr>
          <w:sz w:val="24"/>
          <w:szCs w:val="24"/>
        </w:rPr>
        <w:t xml:space="preserve">to </w:t>
      </w:r>
      <w:r w:rsidRPr="00614F19" w:rsidR="00D01B8D">
        <w:rPr>
          <w:sz w:val="24"/>
          <w:szCs w:val="24"/>
        </w:rPr>
        <w:t>fill</w:t>
      </w:r>
      <w:r w:rsidR="00D01B8D">
        <w:rPr>
          <w:sz w:val="24"/>
          <w:szCs w:val="24"/>
        </w:rPr>
        <w:t xml:space="preserve"> out the </w:t>
      </w:r>
      <w:r w:rsidR="006B17C1">
        <w:rPr>
          <w:sz w:val="24"/>
          <w:szCs w:val="24"/>
        </w:rPr>
        <w:t>appropriate TOM Kit</w:t>
      </w:r>
      <w:r w:rsidR="00DD12B8">
        <w:rPr>
          <w:sz w:val="24"/>
          <w:szCs w:val="24"/>
        </w:rPr>
        <w:t>s*</w:t>
      </w:r>
      <w:r w:rsidR="006B17C1">
        <w:rPr>
          <w:sz w:val="24"/>
          <w:szCs w:val="24"/>
        </w:rPr>
        <w:t xml:space="preserve"> online survey </w:t>
      </w:r>
      <w:r w:rsidRPr="006B17C1" w:rsidR="006B17C1">
        <w:rPr>
          <w:sz w:val="24"/>
          <w:szCs w:val="24"/>
        </w:rPr>
        <w:t>(</w:t>
      </w:r>
      <w:r w:rsidR="006B17C1">
        <w:rPr>
          <w:b/>
          <w:sz w:val="24"/>
          <w:szCs w:val="24"/>
        </w:rPr>
        <w:t xml:space="preserve">Attachment </w:t>
      </w:r>
      <w:r w:rsidRPr="006B17C1" w:rsidR="006B17C1">
        <w:rPr>
          <w:b/>
          <w:sz w:val="24"/>
          <w:szCs w:val="24"/>
        </w:rPr>
        <w:t>6</w:t>
      </w:r>
      <w:r w:rsidR="006B17C1">
        <w:rPr>
          <w:sz w:val="24"/>
          <w:szCs w:val="24"/>
        </w:rPr>
        <w:t>)</w:t>
      </w:r>
      <w:r w:rsidRPr="00351A8D">
        <w:rPr>
          <w:sz w:val="24"/>
          <w:szCs w:val="24"/>
        </w:rPr>
        <w:t>. This information collection is itself used as a</w:t>
      </w:r>
      <w:r w:rsidRPr="00351A8D" w:rsidR="006107F2">
        <w:rPr>
          <w:sz w:val="24"/>
          <w:szCs w:val="24"/>
        </w:rPr>
        <w:t xml:space="preserve"> </w:t>
      </w:r>
      <w:r w:rsidR="006B17C1">
        <w:rPr>
          <w:sz w:val="24"/>
          <w:szCs w:val="24"/>
        </w:rPr>
        <w:t xml:space="preserve">voluntary but </w:t>
      </w:r>
      <w:r w:rsidRPr="00351A8D" w:rsidR="006107F2">
        <w:rPr>
          <w:sz w:val="24"/>
          <w:szCs w:val="24"/>
        </w:rPr>
        <w:t>formal</w:t>
      </w:r>
      <w:r w:rsidRPr="00351A8D">
        <w:rPr>
          <w:sz w:val="24"/>
          <w:szCs w:val="24"/>
        </w:rPr>
        <w:t xml:space="preserve"> request for the TOM </w:t>
      </w:r>
      <w:r w:rsidR="00DD12B8">
        <w:rPr>
          <w:sz w:val="24"/>
          <w:szCs w:val="24"/>
        </w:rPr>
        <w:t>K</w:t>
      </w:r>
      <w:r w:rsidRPr="00351A8D">
        <w:rPr>
          <w:sz w:val="24"/>
          <w:szCs w:val="24"/>
        </w:rPr>
        <w:t>its</w:t>
      </w:r>
      <w:r w:rsidR="00DD12B8">
        <w:rPr>
          <w:sz w:val="24"/>
          <w:szCs w:val="24"/>
        </w:rPr>
        <w:t>*</w:t>
      </w:r>
      <w:r w:rsidRPr="00351A8D">
        <w:rPr>
          <w:sz w:val="24"/>
          <w:szCs w:val="24"/>
        </w:rPr>
        <w:t xml:space="preserve">. </w:t>
      </w:r>
      <w:r w:rsidR="006B17C1">
        <w:rPr>
          <w:sz w:val="24"/>
          <w:szCs w:val="24"/>
        </w:rPr>
        <w:t>The respondent</w:t>
      </w:r>
      <w:r w:rsidR="00F8699B">
        <w:rPr>
          <w:sz w:val="24"/>
          <w:szCs w:val="24"/>
        </w:rPr>
        <w:t>s</w:t>
      </w:r>
      <w:r w:rsidR="006B17C1">
        <w:rPr>
          <w:sz w:val="24"/>
          <w:szCs w:val="24"/>
        </w:rPr>
        <w:t xml:space="preserve"> must complete the</w:t>
      </w:r>
      <w:r w:rsidR="00F8699B">
        <w:rPr>
          <w:sz w:val="24"/>
          <w:szCs w:val="24"/>
        </w:rPr>
        <w:t>ir</w:t>
      </w:r>
      <w:r w:rsidR="006B17C1">
        <w:rPr>
          <w:sz w:val="24"/>
          <w:szCs w:val="24"/>
        </w:rPr>
        <w:t xml:space="preserve"> </w:t>
      </w:r>
      <w:r w:rsidR="00F8699B">
        <w:rPr>
          <w:sz w:val="24"/>
          <w:szCs w:val="24"/>
        </w:rPr>
        <w:t xml:space="preserve">online </w:t>
      </w:r>
      <w:r w:rsidR="006B17C1">
        <w:rPr>
          <w:sz w:val="24"/>
          <w:szCs w:val="24"/>
        </w:rPr>
        <w:t>request</w:t>
      </w:r>
      <w:r w:rsidR="00F8699B">
        <w:rPr>
          <w:sz w:val="24"/>
          <w:szCs w:val="24"/>
        </w:rPr>
        <w:t>s</w:t>
      </w:r>
      <w:r w:rsidR="006B17C1">
        <w:rPr>
          <w:sz w:val="24"/>
          <w:szCs w:val="24"/>
        </w:rPr>
        <w:t xml:space="preserve"> to be </w:t>
      </w:r>
      <w:r w:rsidR="00F8699B">
        <w:rPr>
          <w:sz w:val="24"/>
          <w:szCs w:val="24"/>
        </w:rPr>
        <w:t>considered to receive the requested TOM Kit</w:t>
      </w:r>
      <w:r w:rsidR="00DD12B8">
        <w:rPr>
          <w:sz w:val="24"/>
          <w:szCs w:val="24"/>
        </w:rPr>
        <w:t>s*</w:t>
      </w:r>
      <w:r w:rsidR="00F8699B">
        <w:rPr>
          <w:sz w:val="24"/>
          <w:szCs w:val="24"/>
        </w:rPr>
        <w:t xml:space="preserve">. </w:t>
      </w:r>
    </w:p>
    <w:p w:rsidRPr="00D20211" w:rsidR="00B45002" w:rsidP="00601F1A" w:rsidRDefault="00601F1A" w14:paraId="0123AC1E" w14:textId="25EB32E8">
      <w:pPr>
        <w:pStyle w:val="Heading1"/>
        <w:pBdr>
          <w:bottom w:val="none" w:color="auto" w:sz="0" w:space="0"/>
        </w:pBdr>
        <w:rPr>
          <w:color w:val="auto"/>
        </w:rPr>
      </w:pPr>
      <w:bookmarkStart w:name="_Toc31301597" w:id="13"/>
      <w:r w:rsidRPr="00D20211">
        <w:rPr>
          <w:color w:val="auto"/>
        </w:rPr>
        <w:t>A.</w:t>
      </w:r>
      <w:r w:rsidRPr="00D20211" w:rsidR="00B45002">
        <w:rPr>
          <w:color w:val="auto"/>
        </w:rPr>
        <w:t>7.</w:t>
      </w:r>
      <w:r w:rsidRPr="00D20211" w:rsidR="004D21C9">
        <w:rPr>
          <w:color w:val="auto"/>
        </w:rPr>
        <w:t xml:space="preserve">  </w:t>
      </w:r>
      <w:r w:rsidRPr="00D20211" w:rsidR="00B45002">
        <w:rPr>
          <w:color w:val="auto"/>
        </w:rPr>
        <w:t>Special Circumstances Relating to the Guidelines of 5 CFR 1320.5</w:t>
      </w:r>
      <w:bookmarkEnd w:id="13"/>
    </w:p>
    <w:p w:rsidR="0014151A" w:rsidP="00FB3333" w:rsidRDefault="0014151A" w14:paraId="2A9759C6" w14:textId="7AF5B384">
      <w:pPr>
        <w:autoSpaceDE w:val="0"/>
        <w:autoSpaceDN w:val="0"/>
        <w:adjustRightInd w:val="0"/>
        <w:spacing w:line="240" w:lineRule="auto"/>
        <w:rPr>
          <w:sz w:val="24"/>
          <w:szCs w:val="24"/>
        </w:rPr>
      </w:pPr>
    </w:p>
    <w:p w:rsidRPr="00FD6CDE" w:rsidR="00CE76C1" w:rsidP="00FD6CDE" w:rsidRDefault="00D21E16" w14:paraId="090F5463" w14:textId="1A43CD84">
      <w:pPr>
        <w:autoSpaceDE w:val="0"/>
        <w:autoSpaceDN w:val="0"/>
        <w:adjustRightInd w:val="0"/>
        <w:spacing w:line="240" w:lineRule="auto"/>
        <w:rPr>
          <w:sz w:val="24"/>
          <w:szCs w:val="24"/>
        </w:rPr>
      </w:pPr>
      <w:r w:rsidRPr="00D20211">
        <w:rPr>
          <w:rFonts w:cs="ITCFranklinGothicStd-Book"/>
          <w:sz w:val="24"/>
          <w:szCs w:val="24"/>
        </w:rPr>
        <w:t>This request fully complies with the regulation 5 CFR 1320.5.</w:t>
      </w:r>
    </w:p>
    <w:p w:rsidR="00B45002" w:rsidP="00601F1A" w:rsidRDefault="00601F1A" w14:paraId="508E9BF1" w14:textId="574A41CD">
      <w:pPr>
        <w:pStyle w:val="Heading1"/>
        <w:pBdr>
          <w:bottom w:val="none" w:color="auto" w:sz="0" w:space="0"/>
        </w:pBdr>
        <w:rPr>
          <w:color w:val="auto"/>
        </w:rPr>
      </w:pPr>
      <w:bookmarkStart w:name="_Toc31301598" w:id="14"/>
      <w:r w:rsidRPr="00B25A7D">
        <w:rPr>
          <w:color w:val="auto"/>
        </w:rPr>
        <w:lastRenderedPageBreak/>
        <w:t>A.</w:t>
      </w:r>
      <w:r w:rsidRPr="00B25A7D" w:rsidR="004D21C9">
        <w:rPr>
          <w:color w:val="auto"/>
        </w:rPr>
        <w:t xml:space="preserve">8.  </w:t>
      </w:r>
      <w:r w:rsidRPr="00B25A7D" w:rsidR="00B45002">
        <w:rPr>
          <w:color w:val="auto"/>
        </w:rPr>
        <w:t>Comments in Response to the Federal Register Notice and Efforts to Consult Outside the Agency</w:t>
      </w:r>
      <w:bookmarkEnd w:id="14"/>
    </w:p>
    <w:p w:rsidRPr="00A8385F" w:rsidR="00A8385F" w:rsidP="00A8385F" w:rsidRDefault="00A8385F" w14:paraId="56CB2C04" w14:textId="77777777"/>
    <w:p w:rsidRPr="005F5FF7" w:rsidR="00E002EC" w:rsidP="005F5FF7" w:rsidRDefault="00E002EC" w14:paraId="3B186F4A" w14:textId="11EB06F4">
      <w:pPr>
        <w:pStyle w:val="ListParagraph"/>
        <w:numPr>
          <w:ilvl w:val="0"/>
          <w:numId w:val="11"/>
        </w:numPr>
        <w:autoSpaceDE w:val="0"/>
        <w:autoSpaceDN w:val="0"/>
        <w:adjustRightInd w:val="0"/>
        <w:spacing w:line="240" w:lineRule="auto"/>
        <w:contextualSpacing w:val="0"/>
        <w:rPr>
          <w:sz w:val="24"/>
          <w:szCs w:val="24"/>
        </w:rPr>
      </w:pPr>
      <w:r w:rsidRPr="005F5FF7">
        <w:rPr>
          <w:rFonts w:cs="ITCFranklinGothicStd-Book"/>
          <w:sz w:val="24"/>
          <w:szCs w:val="24"/>
        </w:rPr>
        <w:t xml:space="preserve">A 60-day Federal Register Notice was published in the </w:t>
      </w:r>
      <w:r w:rsidRPr="005F5FF7">
        <w:rPr>
          <w:rFonts w:cs="ITCFranklinGothicStd-BookIt"/>
          <w:i/>
          <w:iCs/>
          <w:sz w:val="24"/>
          <w:szCs w:val="24"/>
        </w:rPr>
        <w:t xml:space="preserve">Federal Register </w:t>
      </w:r>
      <w:r w:rsidRPr="005F5FF7">
        <w:rPr>
          <w:rFonts w:cs="ITCFranklinGothicStd-Book"/>
          <w:sz w:val="24"/>
          <w:szCs w:val="24"/>
        </w:rPr>
        <w:t xml:space="preserve">on </w:t>
      </w:r>
      <w:r w:rsidRPr="005F5FF7" w:rsidR="00A84D6A">
        <w:rPr>
          <w:rFonts w:cs="ITCFranklinGothicStd-Book"/>
          <w:sz w:val="24"/>
          <w:szCs w:val="24"/>
        </w:rPr>
        <w:t>02/28/2020</w:t>
      </w:r>
      <w:r w:rsidRPr="005F5FF7">
        <w:rPr>
          <w:rFonts w:cs="ITCFranklinGothicStd-Book"/>
          <w:sz w:val="24"/>
          <w:szCs w:val="24"/>
        </w:rPr>
        <w:t xml:space="preserve">, </w:t>
      </w:r>
      <w:r w:rsidRPr="005F5FF7" w:rsidR="00A84D6A">
        <w:rPr>
          <w:rFonts w:cs="ITCFranklinGothicStd-Book"/>
          <w:sz w:val="24"/>
          <w:szCs w:val="24"/>
        </w:rPr>
        <w:t>V</w:t>
      </w:r>
      <w:r w:rsidRPr="005F5FF7">
        <w:rPr>
          <w:rFonts w:cs="ITCFranklinGothicStd-Book"/>
          <w:sz w:val="24"/>
          <w:szCs w:val="24"/>
        </w:rPr>
        <w:t xml:space="preserve">ol. </w:t>
      </w:r>
      <w:r w:rsidRPr="005F5FF7" w:rsidR="00A84D6A">
        <w:rPr>
          <w:rFonts w:cs="ITCFranklinGothicStd-Book"/>
          <w:sz w:val="24"/>
          <w:szCs w:val="24"/>
        </w:rPr>
        <w:t>85</w:t>
      </w:r>
      <w:r w:rsidRPr="005F5FF7">
        <w:rPr>
          <w:rFonts w:cs="ITCFranklinGothicStd-Book"/>
          <w:sz w:val="24"/>
          <w:szCs w:val="24"/>
        </w:rPr>
        <w:t xml:space="preserve">, No. </w:t>
      </w:r>
      <w:r w:rsidRPr="005F5FF7" w:rsidR="00A84D6A">
        <w:rPr>
          <w:rFonts w:cs="ITCFranklinGothicStd-Book"/>
          <w:sz w:val="24"/>
          <w:szCs w:val="24"/>
        </w:rPr>
        <w:t>40</w:t>
      </w:r>
      <w:r w:rsidRPr="005F5FF7">
        <w:rPr>
          <w:rFonts w:cs="ITCFranklinGothicStd-Book"/>
          <w:sz w:val="24"/>
          <w:szCs w:val="24"/>
        </w:rPr>
        <w:t xml:space="preserve">, pp. </w:t>
      </w:r>
      <w:r w:rsidRPr="005F5FF7" w:rsidR="00A84D6A">
        <w:rPr>
          <w:rFonts w:cs="ITCFranklinGothicStd-Book"/>
          <w:sz w:val="24"/>
          <w:szCs w:val="24"/>
        </w:rPr>
        <w:t>11991</w:t>
      </w:r>
      <w:r w:rsidRPr="005F5FF7">
        <w:rPr>
          <w:rFonts w:cs="ITCFranklinGothicStd-Book"/>
          <w:sz w:val="24"/>
          <w:szCs w:val="24"/>
        </w:rPr>
        <w:t xml:space="preserve"> (</w:t>
      </w:r>
      <w:r w:rsidRPr="005F5FF7">
        <w:rPr>
          <w:rFonts w:cs="ITCFranklinGothicStd-Book"/>
          <w:b/>
          <w:sz w:val="24"/>
          <w:szCs w:val="24"/>
        </w:rPr>
        <w:t>Attachment 2</w:t>
      </w:r>
      <w:r w:rsidRPr="005F5FF7">
        <w:rPr>
          <w:rFonts w:cs="ITCFranklinGothicStd-Book"/>
          <w:sz w:val="24"/>
          <w:szCs w:val="24"/>
        </w:rPr>
        <w:t xml:space="preserve">). </w:t>
      </w:r>
      <w:bookmarkStart w:name="_Hlk40087599" w:id="15"/>
      <w:r w:rsidRPr="005F5FF7">
        <w:rPr>
          <w:sz w:val="24"/>
          <w:szCs w:val="24"/>
        </w:rPr>
        <w:t xml:space="preserve">CDC/ATSDR received </w:t>
      </w:r>
      <w:r w:rsidR="00CD5C72">
        <w:rPr>
          <w:sz w:val="24"/>
          <w:szCs w:val="24"/>
        </w:rPr>
        <w:t>three</w:t>
      </w:r>
      <w:r w:rsidRPr="005F5FF7" w:rsidR="00E159B2">
        <w:rPr>
          <w:sz w:val="24"/>
          <w:szCs w:val="24"/>
        </w:rPr>
        <w:t xml:space="preserve"> </w:t>
      </w:r>
      <w:r w:rsidRPr="005F5FF7">
        <w:rPr>
          <w:sz w:val="24"/>
          <w:szCs w:val="24"/>
        </w:rPr>
        <w:t>comment</w:t>
      </w:r>
      <w:r w:rsidRPr="005F5FF7" w:rsidR="00E159B2">
        <w:rPr>
          <w:sz w:val="24"/>
          <w:szCs w:val="24"/>
        </w:rPr>
        <w:t xml:space="preserve">s </w:t>
      </w:r>
      <w:r w:rsidRPr="005F5FF7" w:rsidR="00636036">
        <w:rPr>
          <w:sz w:val="24"/>
          <w:szCs w:val="24"/>
        </w:rPr>
        <w:t>in support of this information collection</w:t>
      </w:r>
      <w:r w:rsidR="00CD5C72">
        <w:rPr>
          <w:sz w:val="24"/>
          <w:szCs w:val="24"/>
        </w:rPr>
        <w:t xml:space="preserve"> and a fourth comment that did not address the posted project</w:t>
      </w:r>
      <w:r w:rsidRPr="005F5FF7">
        <w:rPr>
          <w:sz w:val="24"/>
          <w:szCs w:val="24"/>
        </w:rPr>
        <w:t xml:space="preserve"> </w:t>
      </w:r>
      <w:bookmarkEnd w:id="15"/>
      <w:r w:rsidRPr="005F5FF7">
        <w:rPr>
          <w:sz w:val="24"/>
          <w:szCs w:val="24"/>
        </w:rPr>
        <w:t>(</w:t>
      </w:r>
      <w:r w:rsidRPr="005F5FF7">
        <w:rPr>
          <w:b/>
          <w:sz w:val="24"/>
          <w:szCs w:val="24"/>
        </w:rPr>
        <w:t>Attachment 2a</w:t>
      </w:r>
      <w:r w:rsidRPr="005F5FF7">
        <w:rPr>
          <w:sz w:val="24"/>
          <w:szCs w:val="24"/>
        </w:rPr>
        <w:t>).</w:t>
      </w:r>
      <w:r w:rsidRPr="005F5FF7" w:rsidR="00E159B2">
        <w:rPr>
          <w:sz w:val="24"/>
          <w:szCs w:val="24"/>
        </w:rPr>
        <w:t xml:space="preserve"> </w:t>
      </w:r>
      <w:r w:rsidRPr="005F5FF7" w:rsidR="005A17F8">
        <w:rPr>
          <w:sz w:val="24"/>
          <w:szCs w:val="24"/>
        </w:rPr>
        <w:t>Because th</w:t>
      </w:r>
      <w:r w:rsidR="00CD5C72">
        <w:rPr>
          <w:sz w:val="24"/>
          <w:szCs w:val="24"/>
        </w:rPr>
        <w:t>ree</w:t>
      </w:r>
      <w:r w:rsidRPr="005F5FF7" w:rsidR="005A17F8">
        <w:rPr>
          <w:sz w:val="24"/>
          <w:szCs w:val="24"/>
        </w:rPr>
        <w:t xml:space="preserve"> comments were supportive of the work</w:t>
      </w:r>
      <w:r w:rsidR="00CD5C72">
        <w:rPr>
          <w:sz w:val="24"/>
          <w:szCs w:val="24"/>
        </w:rPr>
        <w:t xml:space="preserve"> and a fourth was not a comment on the posted project</w:t>
      </w:r>
      <w:r w:rsidRPr="005F5FF7" w:rsidR="005A17F8">
        <w:rPr>
          <w:sz w:val="24"/>
          <w:szCs w:val="24"/>
        </w:rPr>
        <w:t>, no further revision to the information collection was required.</w:t>
      </w:r>
    </w:p>
    <w:p w:rsidRPr="000B54F0" w:rsidR="00E43C6B" w:rsidP="0097091A" w:rsidRDefault="00B25A7D" w14:paraId="770CB21B" w14:textId="37835760">
      <w:pPr>
        <w:pStyle w:val="ListParagraph"/>
        <w:numPr>
          <w:ilvl w:val="0"/>
          <w:numId w:val="11"/>
        </w:numPr>
      </w:pPr>
      <w:r w:rsidRPr="0097091A">
        <w:rPr>
          <w:sz w:val="24"/>
          <w:szCs w:val="24"/>
        </w:rPr>
        <w:t xml:space="preserve">The data collection </w:t>
      </w:r>
      <w:r w:rsidRPr="0097091A" w:rsidR="0067462C">
        <w:rPr>
          <w:sz w:val="24"/>
          <w:szCs w:val="24"/>
        </w:rPr>
        <w:t>survey</w:t>
      </w:r>
      <w:r w:rsidR="00E002EC">
        <w:rPr>
          <w:sz w:val="24"/>
          <w:szCs w:val="24"/>
        </w:rPr>
        <w:t>s</w:t>
      </w:r>
      <w:r w:rsidRPr="0097091A">
        <w:rPr>
          <w:sz w:val="24"/>
          <w:szCs w:val="24"/>
        </w:rPr>
        <w:t xml:space="preserve"> were designed collaboratively by CDC personnel.  Consultation will continue throughout the implementation process.  There were no external consultations.</w:t>
      </w:r>
    </w:p>
    <w:p w:rsidRPr="00B25A7D" w:rsidR="00E43C6B" w:rsidP="00B25A7D" w:rsidRDefault="00E43C6B" w14:paraId="1FC9F302" w14:textId="77777777">
      <w:pPr>
        <w:pStyle w:val="ListParagraph"/>
        <w:rPr>
          <w:rFonts w:cs="ITCFranklinGothicStd-Book"/>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1440"/>
        <w:gridCol w:w="1620"/>
        <w:gridCol w:w="1570"/>
        <w:gridCol w:w="2390"/>
      </w:tblGrid>
      <w:tr w:rsidRPr="00D20211" w:rsidR="00B25A7D" w:rsidTr="0097091A" w14:paraId="7A7448D2" w14:textId="77777777">
        <w:tc>
          <w:tcPr>
            <w:tcW w:w="2340" w:type="dxa"/>
            <w:tcBorders>
              <w:top w:val="single" w:color="auto" w:sz="8" w:space="0"/>
              <w:left w:val="nil"/>
              <w:bottom w:val="single" w:color="auto" w:sz="8" w:space="0"/>
              <w:right w:val="nil"/>
            </w:tcBorders>
          </w:tcPr>
          <w:p w:rsidRPr="00D20211" w:rsidR="00B25A7D" w:rsidP="00B25A7D" w:rsidRDefault="00B25A7D" w14:paraId="1EFAABC9" w14:textId="77777777">
            <w:pPr>
              <w:autoSpaceDE w:val="0"/>
              <w:autoSpaceDN w:val="0"/>
              <w:adjustRightInd w:val="0"/>
              <w:spacing w:after="0" w:line="240" w:lineRule="auto"/>
              <w:jc w:val="both"/>
              <w:rPr>
                <w:rFonts w:cstheme="minorHAnsi"/>
                <w:b/>
              </w:rPr>
            </w:pPr>
            <w:r w:rsidRPr="00D20211">
              <w:rPr>
                <w:rFonts w:cstheme="minorHAnsi"/>
                <w:b/>
              </w:rPr>
              <w:t>Name</w:t>
            </w:r>
          </w:p>
        </w:tc>
        <w:tc>
          <w:tcPr>
            <w:tcW w:w="1440" w:type="dxa"/>
            <w:tcBorders>
              <w:top w:val="single" w:color="auto" w:sz="8" w:space="0"/>
              <w:left w:val="nil"/>
              <w:bottom w:val="single" w:color="auto" w:sz="8" w:space="0"/>
              <w:right w:val="nil"/>
            </w:tcBorders>
          </w:tcPr>
          <w:p w:rsidRPr="00D20211" w:rsidR="00B25A7D" w:rsidP="00B25A7D" w:rsidRDefault="00B25A7D" w14:paraId="119D0FD8"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620" w:type="dxa"/>
            <w:tcBorders>
              <w:top w:val="single" w:color="auto" w:sz="8" w:space="0"/>
              <w:left w:val="nil"/>
              <w:bottom w:val="single" w:color="auto" w:sz="8" w:space="0"/>
              <w:right w:val="nil"/>
            </w:tcBorders>
          </w:tcPr>
          <w:p w:rsidRPr="00D20211" w:rsidR="00B25A7D" w:rsidP="00B25A7D" w:rsidRDefault="00B25A7D" w14:paraId="5175926E"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1570" w:type="dxa"/>
            <w:tcBorders>
              <w:top w:val="single" w:color="auto" w:sz="8" w:space="0"/>
              <w:left w:val="nil"/>
              <w:bottom w:val="single" w:color="auto" w:sz="8" w:space="0"/>
              <w:right w:val="nil"/>
            </w:tcBorders>
          </w:tcPr>
          <w:p w:rsidRPr="00D20211" w:rsidR="00B25A7D" w:rsidP="00B25A7D" w:rsidRDefault="00B25A7D" w14:paraId="267F724F" w14:textId="77777777">
            <w:pPr>
              <w:autoSpaceDE w:val="0"/>
              <w:autoSpaceDN w:val="0"/>
              <w:adjustRightInd w:val="0"/>
              <w:spacing w:after="0" w:line="240" w:lineRule="auto"/>
              <w:jc w:val="both"/>
              <w:rPr>
                <w:rFonts w:cstheme="minorHAnsi"/>
                <w:b/>
              </w:rPr>
            </w:pPr>
            <w:r w:rsidRPr="00D20211">
              <w:rPr>
                <w:rFonts w:cstheme="minorHAnsi"/>
                <w:b/>
              </w:rPr>
              <w:t>Phone</w:t>
            </w:r>
          </w:p>
        </w:tc>
        <w:tc>
          <w:tcPr>
            <w:tcW w:w="2390" w:type="dxa"/>
            <w:tcBorders>
              <w:top w:val="single" w:color="auto" w:sz="8" w:space="0"/>
              <w:left w:val="nil"/>
              <w:bottom w:val="single" w:color="auto" w:sz="8" w:space="0"/>
              <w:right w:val="nil"/>
            </w:tcBorders>
          </w:tcPr>
          <w:p w:rsidRPr="00D20211" w:rsidR="00B25A7D" w:rsidP="00B25A7D" w:rsidRDefault="00B25A7D" w14:paraId="02510D35" w14:textId="77777777">
            <w:pPr>
              <w:autoSpaceDE w:val="0"/>
              <w:autoSpaceDN w:val="0"/>
              <w:adjustRightInd w:val="0"/>
              <w:spacing w:after="0" w:line="240" w:lineRule="auto"/>
              <w:jc w:val="both"/>
              <w:rPr>
                <w:rFonts w:cstheme="minorHAnsi"/>
                <w:b/>
              </w:rPr>
            </w:pPr>
            <w:r w:rsidRPr="00D20211">
              <w:rPr>
                <w:rFonts w:cstheme="minorHAnsi"/>
                <w:b/>
              </w:rPr>
              <w:t>Email</w:t>
            </w:r>
          </w:p>
        </w:tc>
      </w:tr>
      <w:tr w:rsidRPr="00D20211" w:rsidR="00B25A7D" w:rsidTr="0097091A" w14:paraId="32C3FAB2" w14:textId="77777777">
        <w:tc>
          <w:tcPr>
            <w:tcW w:w="2340" w:type="dxa"/>
            <w:tcBorders>
              <w:top w:val="single" w:color="auto" w:sz="8" w:space="0"/>
              <w:left w:val="nil"/>
              <w:bottom w:val="single" w:color="auto" w:sz="8" w:space="0"/>
              <w:right w:val="nil"/>
            </w:tcBorders>
            <w:vAlign w:val="center"/>
          </w:tcPr>
          <w:p w:rsidRPr="00D20211" w:rsidR="00B25A7D" w:rsidP="00B25A7D" w:rsidRDefault="00B25A7D" w14:paraId="5A1AA4B0" w14:textId="45841071">
            <w:pPr>
              <w:autoSpaceDE w:val="0"/>
              <w:autoSpaceDN w:val="0"/>
              <w:adjustRightInd w:val="0"/>
              <w:spacing w:after="0" w:line="240" w:lineRule="auto"/>
              <w:rPr>
                <w:rFonts w:cstheme="minorHAnsi"/>
                <w:sz w:val="20"/>
                <w:szCs w:val="20"/>
              </w:rPr>
            </w:pPr>
            <w:r>
              <w:rPr>
                <w:rFonts w:cstheme="minorHAnsi"/>
                <w:sz w:val="20"/>
                <w:szCs w:val="20"/>
              </w:rPr>
              <w:t>Melissa Carter, PhD</w:t>
            </w:r>
            <w:r w:rsidR="006F5A1C">
              <w:rPr>
                <w:rFonts w:cstheme="minorHAnsi"/>
                <w:sz w:val="20"/>
                <w:szCs w:val="20"/>
              </w:rPr>
              <w:t>, MBA</w:t>
            </w:r>
          </w:p>
        </w:tc>
        <w:tc>
          <w:tcPr>
            <w:tcW w:w="1440" w:type="dxa"/>
            <w:tcBorders>
              <w:top w:val="single" w:color="auto" w:sz="8" w:space="0"/>
              <w:left w:val="nil"/>
              <w:bottom w:val="single" w:color="auto" w:sz="8" w:space="0"/>
              <w:right w:val="nil"/>
            </w:tcBorders>
            <w:vAlign w:val="center"/>
          </w:tcPr>
          <w:p w:rsidRPr="00D20211" w:rsidR="00B25A7D" w:rsidP="00B25A7D" w:rsidRDefault="007E09C3" w14:paraId="4B2CE335" w14:textId="59445793">
            <w:pPr>
              <w:autoSpaceDE w:val="0"/>
              <w:autoSpaceDN w:val="0"/>
              <w:adjustRightInd w:val="0"/>
              <w:spacing w:after="0" w:line="240" w:lineRule="auto"/>
              <w:rPr>
                <w:rFonts w:cstheme="minorHAnsi"/>
                <w:sz w:val="20"/>
                <w:szCs w:val="20"/>
              </w:rPr>
            </w:pPr>
            <w:r>
              <w:rPr>
                <w:rFonts w:cstheme="minorHAnsi"/>
                <w:sz w:val="20"/>
                <w:szCs w:val="20"/>
              </w:rPr>
              <w:t xml:space="preserve">Senior </w:t>
            </w:r>
            <w:r w:rsidR="00B25A7D">
              <w:rPr>
                <w:rFonts w:cstheme="minorHAnsi"/>
                <w:sz w:val="20"/>
                <w:szCs w:val="20"/>
              </w:rPr>
              <w:t>Service Fellow</w:t>
            </w:r>
          </w:p>
        </w:tc>
        <w:tc>
          <w:tcPr>
            <w:tcW w:w="1620" w:type="dxa"/>
            <w:tcBorders>
              <w:top w:val="single" w:color="auto" w:sz="8" w:space="0"/>
              <w:left w:val="nil"/>
              <w:bottom w:val="single" w:color="auto" w:sz="8" w:space="0"/>
              <w:right w:val="nil"/>
            </w:tcBorders>
            <w:vAlign w:val="center"/>
          </w:tcPr>
          <w:p w:rsidRPr="00D20211" w:rsidR="00B25A7D" w:rsidP="00B25A7D" w:rsidRDefault="00B25A7D" w14:paraId="141537FB" w14:textId="1F33FE04">
            <w:pPr>
              <w:autoSpaceDE w:val="0"/>
              <w:autoSpaceDN w:val="0"/>
              <w:adjustRightInd w:val="0"/>
              <w:spacing w:after="0" w:line="240" w:lineRule="auto"/>
              <w:rPr>
                <w:rFonts w:cstheme="minorHAnsi"/>
                <w:sz w:val="20"/>
                <w:szCs w:val="20"/>
              </w:rPr>
            </w:pPr>
            <w:r>
              <w:rPr>
                <w:rFonts w:cstheme="minorHAnsi"/>
                <w:sz w:val="20"/>
                <w:szCs w:val="20"/>
              </w:rPr>
              <w:t>Emergency Response Branch</w:t>
            </w:r>
          </w:p>
        </w:tc>
        <w:tc>
          <w:tcPr>
            <w:tcW w:w="1570" w:type="dxa"/>
            <w:tcBorders>
              <w:top w:val="single" w:color="auto" w:sz="8" w:space="0"/>
              <w:left w:val="nil"/>
              <w:bottom w:val="single" w:color="auto" w:sz="8" w:space="0"/>
              <w:right w:val="nil"/>
            </w:tcBorders>
            <w:vAlign w:val="center"/>
          </w:tcPr>
          <w:p w:rsidRPr="00D20211" w:rsidR="00B25A7D" w:rsidP="00645834" w:rsidRDefault="00B25A7D" w14:paraId="0D1155DA" w14:textId="01B2CE86">
            <w:pPr>
              <w:autoSpaceDE w:val="0"/>
              <w:autoSpaceDN w:val="0"/>
              <w:adjustRightInd w:val="0"/>
              <w:spacing w:after="0" w:line="240" w:lineRule="auto"/>
              <w:jc w:val="center"/>
              <w:rPr>
                <w:rStyle w:val="Emphasis"/>
                <w:rFonts w:cstheme="minorHAnsi"/>
                <w:i w:val="0"/>
                <w:sz w:val="20"/>
                <w:szCs w:val="20"/>
              </w:rPr>
            </w:pPr>
            <w:r w:rsidRPr="00D20211">
              <w:rPr>
                <w:rFonts w:cstheme="minorHAnsi"/>
                <w:i/>
                <w:sz w:val="20"/>
                <w:szCs w:val="20"/>
              </w:rPr>
              <w:t>(</w:t>
            </w:r>
            <w:r>
              <w:rPr>
                <w:rFonts w:cstheme="minorHAnsi"/>
                <w:i/>
                <w:sz w:val="20"/>
                <w:szCs w:val="20"/>
              </w:rPr>
              <w:t>770) 488-7263</w:t>
            </w:r>
          </w:p>
        </w:tc>
        <w:tc>
          <w:tcPr>
            <w:tcW w:w="2390" w:type="dxa"/>
            <w:tcBorders>
              <w:top w:val="single" w:color="auto" w:sz="8" w:space="0"/>
              <w:left w:val="nil"/>
              <w:bottom w:val="single" w:color="auto" w:sz="8" w:space="0"/>
              <w:right w:val="nil"/>
            </w:tcBorders>
            <w:vAlign w:val="center"/>
          </w:tcPr>
          <w:p w:rsidRPr="00D20211" w:rsidR="00B25A7D" w:rsidP="00B25A7D" w:rsidRDefault="00755ED1" w14:paraId="6D17527A" w14:textId="779A30B7">
            <w:pPr>
              <w:autoSpaceDE w:val="0"/>
              <w:autoSpaceDN w:val="0"/>
              <w:adjustRightInd w:val="0"/>
              <w:spacing w:after="0" w:line="240" w:lineRule="auto"/>
              <w:jc w:val="both"/>
              <w:rPr>
                <w:rStyle w:val="Emphasis"/>
                <w:rFonts w:cstheme="minorHAnsi"/>
                <w:sz w:val="20"/>
                <w:szCs w:val="20"/>
              </w:rPr>
            </w:pPr>
            <w:hyperlink w:history="1" r:id="rId13">
              <w:r w:rsidRPr="00ED5341" w:rsidR="00B25A7D">
                <w:rPr>
                  <w:rStyle w:val="Hyperlink"/>
                </w:rPr>
                <w:t>VSM8@cdc.gov</w:t>
              </w:r>
            </w:hyperlink>
            <w:r w:rsidRPr="00D20211" w:rsidR="00B25A7D">
              <w:t xml:space="preserve"> </w:t>
            </w:r>
            <w:r w:rsidRPr="00D20211" w:rsidR="00B25A7D">
              <w:rPr>
                <w:rStyle w:val="Emphasis"/>
                <w:rFonts w:cstheme="minorHAnsi"/>
                <w:sz w:val="20"/>
                <w:szCs w:val="20"/>
              </w:rPr>
              <w:t xml:space="preserve"> </w:t>
            </w:r>
          </w:p>
        </w:tc>
      </w:tr>
      <w:tr w:rsidRPr="00D20211" w:rsidR="00B25A7D" w:rsidTr="0097091A" w14:paraId="782BFD9A" w14:textId="77777777">
        <w:tc>
          <w:tcPr>
            <w:tcW w:w="2340" w:type="dxa"/>
            <w:tcBorders>
              <w:top w:val="nil"/>
              <w:left w:val="nil"/>
              <w:bottom w:val="nil"/>
              <w:right w:val="nil"/>
            </w:tcBorders>
            <w:vAlign w:val="center"/>
          </w:tcPr>
          <w:p w:rsidRPr="00D20211" w:rsidR="00B25A7D" w:rsidP="00B25A7D" w:rsidRDefault="0097222A" w14:paraId="7C58FF01" w14:textId="0E4F7053">
            <w:pPr>
              <w:autoSpaceDE w:val="0"/>
              <w:autoSpaceDN w:val="0"/>
              <w:adjustRightInd w:val="0"/>
              <w:spacing w:after="0" w:line="240" w:lineRule="auto"/>
              <w:jc w:val="both"/>
              <w:rPr>
                <w:rFonts w:cstheme="minorHAnsi"/>
                <w:sz w:val="20"/>
                <w:szCs w:val="20"/>
              </w:rPr>
            </w:pPr>
            <w:r>
              <w:rPr>
                <w:rFonts w:cstheme="minorHAnsi"/>
                <w:sz w:val="20"/>
                <w:szCs w:val="20"/>
              </w:rPr>
              <w:t>Rudolph, Johnson</w:t>
            </w:r>
            <w:r w:rsidRPr="00D20211" w:rsidR="00B25A7D">
              <w:rPr>
                <w:rFonts w:cstheme="minorHAnsi"/>
                <w:sz w:val="20"/>
                <w:szCs w:val="20"/>
              </w:rPr>
              <w:t>, PhD</w:t>
            </w:r>
          </w:p>
        </w:tc>
        <w:tc>
          <w:tcPr>
            <w:tcW w:w="1440" w:type="dxa"/>
            <w:tcBorders>
              <w:top w:val="nil"/>
              <w:left w:val="nil"/>
              <w:bottom w:val="nil"/>
              <w:right w:val="nil"/>
            </w:tcBorders>
            <w:vAlign w:val="center"/>
          </w:tcPr>
          <w:p w:rsidRPr="00D20211" w:rsidR="00B25A7D" w:rsidP="00B25A7D" w:rsidRDefault="006F5A1C" w14:paraId="7D3BB3E8" w14:textId="44BBDBAF">
            <w:pPr>
              <w:autoSpaceDE w:val="0"/>
              <w:autoSpaceDN w:val="0"/>
              <w:adjustRightInd w:val="0"/>
              <w:spacing w:after="0" w:line="240" w:lineRule="auto"/>
              <w:jc w:val="both"/>
              <w:rPr>
                <w:rFonts w:cstheme="minorHAnsi"/>
                <w:sz w:val="20"/>
                <w:szCs w:val="20"/>
              </w:rPr>
            </w:pPr>
            <w:r>
              <w:rPr>
                <w:rFonts w:cstheme="minorHAnsi"/>
                <w:sz w:val="20"/>
                <w:szCs w:val="20"/>
              </w:rPr>
              <w:t xml:space="preserve">Supervisory </w:t>
            </w:r>
            <w:r w:rsidR="0097222A">
              <w:rPr>
                <w:rFonts w:cstheme="minorHAnsi"/>
                <w:sz w:val="20"/>
                <w:szCs w:val="20"/>
              </w:rPr>
              <w:t>Research Chemist</w:t>
            </w:r>
          </w:p>
        </w:tc>
        <w:tc>
          <w:tcPr>
            <w:tcW w:w="1620" w:type="dxa"/>
            <w:tcBorders>
              <w:top w:val="nil"/>
              <w:left w:val="nil"/>
              <w:bottom w:val="nil"/>
              <w:right w:val="nil"/>
            </w:tcBorders>
            <w:vAlign w:val="center"/>
          </w:tcPr>
          <w:p w:rsidRPr="00D20211" w:rsidR="00B25A7D" w:rsidP="00B25A7D" w:rsidRDefault="0097222A" w14:paraId="7671D6DF" w14:textId="03644950">
            <w:pPr>
              <w:autoSpaceDE w:val="0"/>
              <w:autoSpaceDN w:val="0"/>
              <w:adjustRightInd w:val="0"/>
              <w:spacing w:after="0" w:line="240" w:lineRule="auto"/>
              <w:jc w:val="both"/>
              <w:rPr>
                <w:rFonts w:cstheme="minorHAnsi"/>
                <w:sz w:val="20"/>
                <w:szCs w:val="20"/>
              </w:rPr>
            </w:pPr>
            <w:r>
              <w:rPr>
                <w:rFonts w:cstheme="minorHAnsi"/>
                <w:sz w:val="20"/>
                <w:szCs w:val="20"/>
              </w:rPr>
              <w:t>Emergency Response Branch</w:t>
            </w:r>
          </w:p>
        </w:tc>
        <w:tc>
          <w:tcPr>
            <w:tcW w:w="1570" w:type="dxa"/>
            <w:tcBorders>
              <w:top w:val="nil"/>
              <w:left w:val="nil"/>
              <w:bottom w:val="nil"/>
              <w:right w:val="nil"/>
            </w:tcBorders>
            <w:vAlign w:val="center"/>
          </w:tcPr>
          <w:p w:rsidRPr="00D20211" w:rsidR="00B25A7D" w:rsidP="00645834" w:rsidRDefault="0097222A" w14:paraId="084D1224" w14:textId="05AF8912">
            <w:pPr>
              <w:autoSpaceDE w:val="0"/>
              <w:autoSpaceDN w:val="0"/>
              <w:adjustRightInd w:val="0"/>
              <w:spacing w:after="0" w:line="240" w:lineRule="auto"/>
              <w:jc w:val="center"/>
              <w:rPr>
                <w:rStyle w:val="Emphasis"/>
                <w:rFonts w:cstheme="minorHAnsi"/>
                <w:i w:val="0"/>
                <w:sz w:val="20"/>
                <w:szCs w:val="20"/>
              </w:rPr>
            </w:pPr>
            <w:r>
              <w:rPr>
                <w:rFonts w:cstheme="minorHAnsi"/>
                <w:i/>
                <w:sz w:val="20"/>
                <w:szCs w:val="20"/>
              </w:rPr>
              <w:t>(770</w:t>
            </w:r>
            <w:r w:rsidRPr="00D20211" w:rsidR="00B25A7D">
              <w:rPr>
                <w:rFonts w:cstheme="minorHAnsi"/>
                <w:i/>
                <w:sz w:val="20"/>
                <w:szCs w:val="20"/>
              </w:rPr>
              <w:t xml:space="preserve">) </w:t>
            </w:r>
            <w:r>
              <w:rPr>
                <w:rFonts w:cstheme="minorHAnsi"/>
                <w:i/>
                <w:sz w:val="20"/>
                <w:szCs w:val="20"/>
              </w:rPr>
              <w:t>488-</w:t>
            </w:r>
            <w:r w:rsidRPr="0097222A">
              <w:rPr>
                <w:rFonts w:cstheme="minorHAnsi"/>
                <w:i/>
                <w:sz w:val="20"/>
                <w:szCs w:val="20"/>
              </w:rPr>
              <w:t>3543</w:t>
            </w:r>
          </w:p>
        </w:tc>
        <w:tc>
          <w:tcPr>
            <w:tcW w:w="2390" w:type="dxa"/>
            <w:tcBorders>
              <w:top w:val="nil"/>
              <w:left w:val="nil"/>
              <w:bottom w:val="nil"/>
              <w:right w:val="nil"/>
            </w:tcBorders>
            <w:vAlign w:val="center"/>
          </w:tcPr>
          <w:p w:rsidRPr="00D20211" w:rsidR="00B25A7D" w:rsidP="0097222A" w:rsidRDefault="00755ED1" w14:paraId="0FBD9C90" w14:textId="08E52BDF">
            <w:pPr>
              <w:autoSpaceDE w:val="0"/>
              <w:autoSpaceDN w:val="0"/>
              <w:adjustRightInd w:val="0"/>
              <w:spacing w:after="0" w:line="240" w:lineRule="auto"/>
              <w:jc w:val="both"/>
              <w:rPr>
                <w:rStyle w:val="Emphasis"/>
                <w:rFonts w:cstheme="minorHAnsi"/>
                <w:sz w:val="20"/>
                <w:szCs w:val="20"/>
              </w:rPr>
            </w:pPr>
            <w:hyperlink w:history="1" r:id="rId14">
              <w:r w:rsidRPr="00ED5341" w:rsidR="0097222A">
                <w:rPr>
                  <w:rStyle w:val="Hyperlink"/>
                  <w:rFonts w:cstheme="minorHAnsi"/>
                  <w:sz w:val="20"/>
                  <w:szCs w:val="20"/>
                </w:rPr>
                <w:t>RMJ6@cdc.gov</w:t>
              </w:r>
            </w:hyperlink>
            <w:r w:rsidRPr="00D20211" w:rsidR="00B25A7D">
              <w:rPr>
                <w:rStyle w:val="Emphasis"/>
                <w:rFonts w:cstheme="minorHAnsi"/>
                <w:sz w:val="20"/>
                <w:szCs w:val="20"/>
              </w:rPr>
              <w:t xml:space="preserve"> </w:t>
            </w:r>
          </w:p>
        </w:tc>
      </w:tr>
      <w:tr w:rsidRPr="00D20211" w:rsidR="00B25A7D" w:rsidTr="0097091A" w14:paraId="40632293" w14:textId="77777777">
        <w:tc>
          <w:tcPr>
            <w:tcW w:w="2340" w:type="dxa"/>
            <w:tcBorders>
              <w:top w:val="nil"/>
              <w:left w:val="nil"/>
              <w:bottom w:val="nil"/>
              <w:right w:val="nil"/>
            </w:tcBorders>
            <w:vAlign w:val="center"/>
          </w:tcPr>
          <w:p w:rsidRPr="00D20211" w:rsidR="00B25A7D" w:rsidP="005E77A5" w:rsidRDefault="005E77A5" w14:paraId="4AACED1D" w14:textId="006651E7">
            <w:pPr>
              <w:autoSpaceDE w:val="0"/>
              <w:autoSpaceDN w:val="0"/>
              <w:adjustRightInd w:val="0"/>
              <w:spacing w:after="0" w:line="240" w:lineRule="auto"/>
              <w:jc w:val="both"/>
              <w:rPr>
                <w:rFonts w:cstheme="minorHAnsi"/>
                <w:sz w:val="20"/>
                <w:szCs w:val="20"/>
              </w:rPr>
            </w:pPr>
            <w:r>
              <w:rPr>
                <w:rFonts w:cstheme="minorHAnsi"/>
                <w:sz w:val="20"/>
                <w:szCs w:val="20"/>
              </w:rPr>
              <w:t>Mike Mojica</w:t>
            </w:r>
            <w:r w:rsidRPr="00D20211" w:rsidR="00B25A7D">
              <w:rPr>
                <w:rFonts w:cstheme="minorHAnsi"/>
                <w:sz w:val="20"/>
                <w:szCs w:val="20"/>
              </w:rPr>
              <w:t>, PhD</w:t>
            </w:r>
          </w:p>
        </w:tc>
        <w:tc>
          <w:tcPr>
            <w:tcW w:w="1440" w:type="dxa"/>
            <w:tcBorders>
              <w:top w:val="nil"/>
              <w:left w:val="nil"/>
              <w:bottom w:val="nil"/>
              <w:right w:val="nil"/>
            </w:tcBorders>
            <w:vAlign w:val="center"/>
          </w:tcPr>
          <w:p w:rsidRPr="00D20211" w:rsidR="00B25A7D" w:rsidP="00B25A7D" w:rsidRDefault="005E77A5" w14:paraId="6711483A" w14:textId="746C9319">
            <w:pPr>
              <w:autoSpaceDE w:val="0"/>
              <w:autoSpaceDN w:val="0"/>
              <w:adjustRightInd w:val="0"/>
              <w:spacing w:after="0" w:line="240" w:lineRule="auto"/>
              <w:jc w:val="both"/>
              <w:rPr>
                <w:rFonts w:cstheme="minorHAnsi"/>
                <w:sz w:val="20"/>
                <w:szCs w:val="20"/>
              </w:rPr>
            </w:pPr>
            <w:r>
              <w:rPr>
                <w:rFonts w:cstheme="minorHAnsi"/>
                <w:sz w:val="20"/>
                <w:szCs w:val="20"/>
              </w:rPr>
              <w:t>Associate Service Fellow</w:t>
            </w:r>
          </w:p>
        </w:tc>
        <w:tc>
          <w:tcPr>
            <w:tcW w:w="1620" w:type="dxa"/>
            <w:tcBorders>
              <w:top w:val="nil"/>
              <w:left w:val="nil"/>
              <w:bottom w:val="nil"/>
              <w:right w:val="nil"/>
            </w:tcBorders>
            <w:vAlign w:val="center"/>
          </w:tcPr>
          <w:p w:rsidRPr="00D20211" w:rsidR="00B25A7D" w:rsidP="00B25A7D" w:rsidRDefault="005E77A5" w14:paraId="1D0CB8FB" w14:textId="435EED64">
            <w:pPr>
              <w:autoSpaceDE w:val="0"/>
              <w:autoSpaceDN w:val="0"/>
              <w:adjustRightInd w:val="0"/>
              <w:spacing w:after="0" w:line="240" w:lineRule="auto"/>
              <w:jc w:val="both"/>
              <w:rPr>
                <w:rFonts w:cstheme="minorHAnsi"/>
                <w:sz w:val="20"/>
                <w:szCs w:val="20"/>
              </w:rPr>
            </w:pPr>
            <w:r>
              <w:rPr>
                <w:rFonts w:cstheme="minorHAnsi"/>
                <w:sz w:val="20"/>
                <w:szCs w:val="20"/>
              </w:rPr>
              <w:t>Emergency Response Branch</w:t>
            </w:r>
          </w:p>
        </w:tc>
        <w:tc>
          <w:tcPr>
            <w:tcW w:w="1570" w:type="dxa"/>
            <w:tcBorders>
              <w:top w:val="nil"/>
              <w:left w:val="nil"/>
              <w:bottom w:val="nil"/>
              <w:right w:val="nil"/>
            </w:tcBorders>
            <w:vAlign w:val="center"/>
          </w:tcPr>
          <w:p w:rsidRPr="00D20211" w:rsidR="00B25A7D" w:rsidP="00645834" w:rsidRDefault="005E77A5" w14:paraId="0C213BD8" w14:textId="385F37A1">
            <w:pPr>
              <w:autoSpaceDE w:val="0"/>
              <w:autoSpaceDN w:val="0"/>
              <w:adjustRightInd w:val="0"/>
              <w:spacing w:after="0" w:line="240" w:lineRule="auto"/>
              <w:jc w:val="center"/>
              <w:rPr>
                <w:rStyle w:val="Emphasis"/>
                <w:rFonts w:cstheme="minorHAnsi"/>
                <w:i w:val="0"/>
                <w:sz w:val="20"/>
                <w:szCs w:val="20"/>
              </w:rPr>
            </w:pPr>
            <w:r>
              <w:rPr>
                <w:rFonts w:cstheme="minorHAnsi"/>
                <w:i/>
                <w:sz w:val="20"/>
                <w:szCs w:val="20"/>
              </w:rPr>
              <w:t>(</w:t>
            </w:r>
            <w:r w:rsidRPr="005E77A5">
              <w:rPr>
                <w:rFonts w:cstheme="minorHAnsi"/>
                <w:i/>
                <w:sz w:val="20"/>
                <w:szCs w:val="20"/>
              </w:rPr>
              <w:t>404</w:t>
            </w:r>
            <w:r>
              <w:rPr>
                <w:rFonts w:cstheme="minorHAnsi"/>
                <w:i/>
                <w:sz w:val="20"/>
                <w:szCs w:val="20"/>
              </w:rPr>
              <w:t xml:space="preserve">) </w:t>
            </w:r>
            <w:r w:rsidRPr="005E77A5">
              <w:rPr>
                <w:rFonts w:cstheme="minorHAnsi"/>
                <w:i/>
                <w:sz w:val="20"/>
                <w:szCs w:val="20"/>
              </w:rPr>
              <w:t>498-1404</w:t>
            </w:r>
          </w:p>
        </w:tc>
        <w:tc>
          <w:tcPr>
            <w:tcW w:w="2390" w:type="dxa"/>
            <w:tcBorders>
              <w:top w:val="nil"/>
              <w:left w:val="nil"/>
              <w:bottom w:val="nil"/>
              <w:right w:val="nil"/>
            </w:tcBorders>
            <w:vAlign w:val="center"/>
          </w:tcPr>
          <w:p w:rsidRPr="00D20211" w:rsidR="00645834" w:rsidP="00B25A7D" w:rsidRDefault="00755ED1" w14:paraId="72018BF5" w14:textId="437DB9F6">
            <w:pPr>
              <w:autoSpaceDE w:val="0"/>
              <w:autoSpaceDN w:val="0"/>
              <w:adjustRightInd w:val="0"/>
              <w:spacing w:after="0" w:line="240" w:lineRule="auto"/>
              <w:jc w:val="both"/>
              <w:rPr>
                <w:rStyle w:val="Emphasis"/>
                <w:rFonts w:cstheme="minorHAnsi"/>
                <w:sz w:val="20"/>
                <w:szCs w:val="20"/>
              </w:rPr>
            </w:pPr>
            <w:hyperlink w:history="1" r:id="rId15">
              <w:r w:rsidRPr="00066C83" w:rsidR="00645834">
                <w:rPr>
                  <w:rStyle w:val="Hyperlink"/>
                  <w:rFonts w:cstheme="minorHAnsi"/>
                  <w:sz w:val="20"/>
                  <w:szCs w:val="20"/>
                </w:rPr>
                <w:t>lta4@CDC.gov</w:t>
              </w:r>
            </w:hyperlink>
          </w:p>
        </w:tc>
      </w:tr>
      <w:tr w:rsidRPr="00D20211" w:rsidR="007E09C3" w:rsidTr="0097091A" w14:paraId="6A34189C" w14:textId="77777777">
        <w:tc>
          <w:tcPr>
            <w:tcW w:w="2340" w:type="dxa"/>
            <w:tcBorders>
              <w:top w:val="nil"/>
              <w:left w:val="nil"/>
              <w:bottom w:val="single" w:color="auto" w:sz="8" w:space="0"/>
              <w:right w:val="nil"/>
            </w:tcBorders>
            <w:vAlign w:val="center"/>
          </w:tcPr>
          <w:p w:rsidR="007E09C3" w:rsidP="005E77A5" w:rsidRDefault="007E09C3" w14:paraId="330265DF" w14:textId="79D65F09">
            <w:pPr>
              <w:autoSpaceDE w:val="0"/>
              <w:autoSpaceDN w:val="0"/>
              <w:adjustRightInd w:val="0"/>
              <w:spacing w:after="0" w:line="240" w:lineRule="auto"/>
              <w:jc w:val="both"/>
              <w:rPr>
                <w:rFonts w:cstheme="minorHAnsi"/>
                <w:sz w:val="20"/>
                <w:szCs w:val="20"/>
              </w:rPr>
            </w:pPr>
            <w:r>
              <w:rPr>
                <w:rFonts w:cstheme="minorHAnsi"/>
                <w:sz w:val="20"/>
                <w:szCs w:val="20"/>
              </w:rPr>
              <w:t>Samantha Isenberg, PhD</w:t>
            </w:r>
          </w:p>
        </w:tc>
        <w:tc>
          <w:tcPr>
            <w:tcW w:w="1440" w:type="dxa"/>
            <w:tcBorders>
              <w:top w:val="nil"/>
              <w:left w:val="nil"/>
              <w:bottom w:val="single" w:color="auto" w:sz="8" w:space="0"/>
              <w:right w:val="nil"/>
            </w:tcBorders>
            <w:vAlign w:val="center"/>
          </w:tcPr>
          <w:p w:rsidR="007E09C3" w:rsidP="00B25A7D" w:rsidRDefault="007E09C3" w14:paraId="7E0AE73C" w14:textId="4998BEF3">
            <w:pPr>
              <w:autoSpaceDE w:val="0"/>
              <w:autoSpaceDN w:val="0"/>
              <w:adjustRightInd w:val="0"/>
              <w:spacing w:after="0" w:line="240" w:lineRule="auto"/>
              <w:jc w:val="both"/>
              <w:rPr>
                <w:rFonts w:cstheme="minorHAnsi"/>
                <w:sz w:val="20"/>
                <w:szCs w:val="20"/>
              </w:rPr>
            </w:pPr>
            <w:r>
              <w:rPr>
                <w:rFonts w:cstheme="minorHAnsi"/>
                <w:sz w:val="20"/>
                <w:szCs w:val="20"/>
              </w:rPr>
              <w:t>Associate Service Fellow</w:t>
            </w:r>
          </w:p>
        </w:tc>
        <w:tc>
          <w:tcPr>
            <w:tcW w:w="1620" w:type="dxa"/>
            <w:tcBorders>
              <w:top w:val="nil"/>
              <w:left w:val="nil"/>
              <w:bottom w:val="single" w:color="auto" w:sz="8" w:space="0"/>
              <w:right w:val="nil"/>
            </w:tcBorders>
            <w:vAlign w:val="center"/>
          </w:tcPr>
          <w:p w:rsidR="007E09C3" w:rsidP="00B25A7D" w:rsidRDefault="007E09C3" w14:paraId="0355F717" w14:textId="3A732218">
            <w:pPr>
              <w:autoSpaceDE w:val="0"/>
              <w:autoSpaceDN w:val="0"/>
              <w:adjustRightInd w:val="0"/>
              <w:spacing w:after="0" w:line="240" w:lineRule="auto"/>
              <w:jc w:val="both"/>
              <w:rPr>
                <w:rFonts w:cstheme="minorHAnsi"/>
                <w:sz w:val="20"/>
                <w:szCs w:val="20"/>
              </w:rPr>
            </w:pPr>
            <w:r>
              <w:rPr>
                <w:rFonts w:cstheme="minorHAnsi"/>
                <w:sz w:val="20"/>
                <w:szCs w:val="20"/>
              </w:rPr>
              <w:t>Emergency Response Branch</w:t>
            </w:r>
          </w:p>
        </w:tc>
        <w:tc>
          <w:tcPr>
            <w:tcW w:w="1570" w:type="dxa"/>
            <w:tcBorders>
              <w:top w:val="nil"/>
              <w:left w:val="nil"/>
              <w:bottom w:val="single" w:color="auto" w:sz="8" w:space="0"/>
              <w:right w:val="nil"/>
            </w:tcBorders>
            <w:vAlign w:val="center"/>
          </w:tcPr>
          <w:p w:rsidR="007E09C3" w:rsidP="00645834" w:rsidRDefault="007E09C3" w14:paraId="13F4DE70" w14:textId="2EF25B96">
            <w:pPr>
              <w:autoSpaceDE w:val="0"/>
              <w:autoSpaceDN w:val="0"/>
              <w:adjustRightInd w:val="0"/>
              <w:spacing w:after="0" w:line="240" w:lineRule="auto"/>
              <w:jc w:val="center"/>
              <w:rPr>
                <w:rFonts w:cstheme="minorHAnsi"/>
                <w:i/>
                <w:sz w:val="20"/>
                <w:szCs w:val="20"/>
              </w:rPr>
            </w:pPr>
            <w:r>
              <w:rPr>
                <w:rFonts w:cstheme="minorHAnsi"/>
                <w:i/>
                <w:sz w:val="20"/>
                <w:szCs w:val="20"/>
              </w:rPr>
              <w:t>(770) 488-3435</w:t>
            </w:r>
          </w:p>
        </w:tc>
        <w:tc>
          <w:tcPr>
            <w:tcW w:w="2390" w:type="dxa"/>
            <w:tcBorders>
              <w:top w:val="nil"/>
              <w:left w:val="nil"/>
              <w:bottom w:val="single" w:color="auto" w:sz="8" w:space="0"/>
              <w:right w:val="nil"/>
            </w:tcBorders>
            <w:vAlign w:val="center"/>
          </w:tcPr>
          <w:p w:rsidR="007E09C3" w:rsidP="00B25A7D" w:rsidRDefault="00755ED1" w14:paraId="34062131" w14:textId="79B45EC6">
            <w:pPr>
              <w:autoSpaceDE w:val="0"/>
              <w:autoSpaceDN w:val="0"/>
              <w:adjustRightInd w:val="0"/>
              <w:spacing w:after="0" w:line="240" w:lineRule="auto"/>
              <w:jc w:val="both"/>
            </w:pPr>
            <w:hyperlink w:history="1" r:id="rId16">
              <w:r w:rsidRPr="00CC059D" w:rsidR="007E09C3">
                <w:rPr>
                  <w:rStyle w:val="Hyperlink"/>
                </w:rPr>
                <w:t>yhx1@cdc.gov</w:t>
              </w:r>
            </w:hyperlink>
            <w:r w:rsidR="007E09C3">
              <w:t xml:space="preserve"> </w:t>
            </w:r>
          </w:p>
        </w:tc>
      </w:tr>
    </w:tbl>
    <w:p w:rsidRPr="00D20211" w:rsidR="00D62EE3" w:rsidP="00D62EE3" w:rsidRDefault="00D62EE3" w14:paraId="1633E94E" w14:textId="362FEE96">
      <w:pPr>
        <w:autoSpaceDE w:val="0"/>
        <w:autoSpaceDN w:val="0"/>
        <w:adjustRightInd w:val="0"/>
        <w:spacing w:after="0" w:line="240" w:lineRule="auto"/>
        <w:rPr>
          <w:rFonts w:cs="ITCFranklinGothicStd-Demi"/>
          <w:sz w:val="24"/>
          <w:szCs w:val="24"/>
        </w:rPr>
      </w:pPr>
    </w:p>
    <w:p w:rsidR="00B45002" w:rsidP="00601F1A" w:rsidRDefault="00601F1A" w14:paraId="0A014A5E" w14:textId="655A7FF8">
      <w:pPr>
        <w:pStyle w:val="Heading1"/>
        <w:pBdr>
          <w:bottom w:val="none" w:color="auto" w:sz="0" w:space="0"/>
        </w:pBdr>
        <w:rPr>
          <w:color w:val="auto"/>
        </w:rPr>
      </w:pPr>
      <w:bookmarkStart w:name="_Toc31301599" w:id="16"/>
      <w:r w:rsidRPr="00D20211">
        <w:rPr>
          <w:color w:val="auto"/>
        </w:rPr>
        <w:t>A.</w:t>
      </w:r>
      <w:r w:rsidRPr="00D20211" w:rsidR="004D21C9">
        <w:rPr>
          <w:color w:val="auto"/>
        </w:rPr>
        <w:t xml:space="preserve">9.  </w:t>
      </w:r>
      <w:r w:rsidRPr="00D20211" w:rsidR="00B45002">
        <w:rPr>
          <w:color w:val="auto"/>
        </w:rPr>
        <w:t>Explanation of Any Payment or Gift to Respondents</w:t>
      </w:r>
      <w:bookmarkEnd w:id="16"/>
    </w:p>
    <w:p w:rsidR="00D21E16" w:rsidP="00D21E16" w:rsidRDefault="00D21E16" w14:paraId="5BEC4AF9" w14:textId="1305124B"/>
    <w:p w:rsidRPr="00FD6CDE" w:rsidR="00100D0E" w:rsidP="00FD6CDE" w:rsidRDefault="00D21E16" w14:paraId="043F830F" w14:textId="54AFF2C3">
      <w:pPr>
        <w:autoSpaceDE w:val="0"/>
        <w:autoSpaceDN w:val="0"/>
        <w:adjustRightInd w:val="0"/>
        <w:spacing w:line="240" w:lineRule="auto"/>
        <w:rPr>
          <w:rFonts w:cs="ITCFranklinGothicStd-Book"/>
          <w:sz w:val="24"/>
          <w:szCs w:val="24"/>
        </w:rPr>
      </w:pPr>
      <w:r>
        <w:rPr>
          <w:rFonts w:cs="ITCFranklinGothicStd-Book"/>
          <w:sz w:val="24"/>
          <w:szCs w:val="24"/>
        </w:rPr>
        <w:t>Respondents will not receive payments</w:t>
      </w:r>
      <w:r w:rsidR="00FD6CDE">
        <w:rPr>
          <w:rFonts w:cs="ITCFranklinGothicStd-Book"/>
          <w:sz w:val="24"/>
          <w:szCs w:val="24"/>
        </w:rPr>
        <w:t xml:space="preserve"> for providing information. </w:t>
      </w:r>
      <w:r w:rsidR="00DC37AE">
        <w:rPr>
          <w:rFonts w:cs="ITCFranklinGothicStd-Book"/>
          <w:sz w:val="24"/>
          <w:szCs w:val="24"/>
        </w:rPr>
        <w:t>Selected recipient laboratories will receive the TOM Kits</w:t>
      </w:r>
      <w:r w:rsidR="006F5A1C">
        <w:rPr>
          <w:rFonts w:cs="ITCFranklinGothicStd-Book"/>
          <w:sz w:val="24"/>
          <w:szCs w:val="24"/>
        </w:rPr>
        <w:t>*</w:t>
      </w:r>
      <w:r w:rsidR="00DC37AE">
        <w:rPr>
          <w:rFonts w:cs="ITCFranklinGothicStd-Book"/>
          <w:sz w:val="24"/>
          <w:szCs w:val="24"/>
        </w:rPr>
        <w:t xml:space="preserve"> </w:t>
      </w:r>
      <w:r w:rsidR="00576BE3">
        <w:rPr>
          <w:rFonts w:cs="ITCFranklinGothicStd-Book"/>
          <w:sz w:val="24"/>
          <w:szCs w:val="24"/>
        </w:rPr>
        <w:t>at no</w:t>
      </w:r>
      <w:r w:rsidR="00DC37AE">
        <w:rPr>
          <w:rFonts w:cs="ITCFranklinGothicStd-Book"/>
          <w:sz w:val="24"/>
          <w:szCs w:val="24"/>
        </w:rPr>
        <w:t xml:space="preserve"> cost as described in </w:t>
      </w:r>
      <w:r w:rsidR="00DC37AE">
        <w:rPr>
          <w:rFonts w:cs="ITCFranklinGothicStd-Book"/>
          <w:b/>
          <w:sz w:val="24"/>
          <w:szCs w:val="24"/>
        </w:rPr>
        <w:t>Section A.2</w:t>
      </w:r>
      <w:r w:rsidR="00DC37AE">
        <w:rPr>
          <w:rFonts w:cs="ITCFranklinGothicStd-Book"/>
          <w:sz w:val="24"/>
          <w:szCs w:val="24"/>
        </w:rPr>
        <w:t>.</w:t>
      </w:r>
    </w:p>
    <w:p w:rsidRPr="00D20211" w:rsidR="00B45002" w:rsidP="00601F1A" w:rsidRDefault="00601F1A" w14:paraId="6E8EA09B" w14:textId="11C3C329">
      <w:pPr>
        <w:pStyle w:val="Heading1"/>
        <w:pBdr>
          <w:bottom w:val="none" w:color="auto" w:sz="0" w:space="0"/>
        </w:pBdr>
        <w:rPr>
          <w:color w:val="auto"/>
        </w:rPr>
      </w:pPr>
      <w:bookmarkStart w:name="_Toc31301600" w:id="17"/>
      <w:r w:rsidRPr="00E70802">
        <w:rPr>
          <w:color w:val="auto"/>
        </w:rPr>
        <w:t>A.</w:t>
      </w:r>
      <w:r w:rsidRPr="00E70802" w:rsidR="004D21C9">
        <w:rPr>
          <w:color w:val="auto"/>
        </w:rPr>
        <w:t xml:space="preserve">10.  </w:t>
      </w:r>
      <w:r w:rsidRPr="00E70802" w:rsidR="00B45002">
        <w:rPr>
          <w:color w:val="auto"/>
        </w:rPr>
        <w:t>Protection of the Privacy and Confidentiality of Information Provided by Respondents</w:t>
      </w:r>
      <w:bookmarkEnd w:id="17"/>
    </w:p>
    <w:p w:rsidR="00CF7455" w:rsidP="00CF7455" w:rsidRDefault="00CF7455" w14:paraId="24BF9EC4" w14:textId="441F4B95">
      <w:pPr>
        <w:autoSpaceDE w:val="0"/>
        <w:autoSpaceDN w:val="0"/>
        <w:adjustRightInd w:val="0"/>
        <w:spacing w:line="240" w:lineRule="auto"/>
        <w:rPr>
          <w:rFonts w:cs="ITCFranklinGothicStd-Book"/>
          <w:sz w:val="24"/>
          <w:szCs w:val="24"/>
          <w:u w:val="single"/>
        </w:rPr>
      </w:pPr>
    </w:p>
    <w:p w:rsidRPr="00E96F1E" w:rsidR="002361EE" w:rsidP="00E70802" w:rsidRDefault="002361EE" w14:paraId="2A37BCBF" w14:textId="34F8AF10">
      <w:pPr>
        <w:autoSpaceDE w:val="0"/>
        <w:autoSpaceDN w:val="0"/>
        <w:adjustRightInd w:val="0"/>
        <w:spacing w:line="240" w:lineRule="auto"/>
        <w:rPr>
          <w:rFonts w:cs="ITCFranklinGothicStd-Book"/>
          <w:sz w:val="24"/>
          <w:szCs w:val="24"/>
        </w:rPr>
      </w:pPr>
      <w:r w:rsidRPr="00D20211">
        <w:rPr>
          <w:rFonts w:cs="ITCFranklinGothicStd-Book"/>
          <w:sz w:val="24"/>
          <w:szCs w:val="24"/>
        </w:rPr>
        <w:t xml:space="preserve">The </w:t>
      </w:r>
      <w:r>
        <w:rPr>
          <w:rFonts w:cs="ITCFranklinGothicStd-Book"/>
          <w:sz w:val="24"/>
          <w:szCs w:val="24"/>
        </w:rPr>
        <w:t xml:space="preserve">CDC Chief Privacy Officer has </w:t>
      </w:r>
      <w:r w:rsidRPr="00D20211">
        <w:rPr>
          <w:rFonts w:cs="ITCFranklinGothicStd-Book"/>
          <w:sz w:val="24"/>
          <w:szCs w:val="24"/>
        </w:rPr>
        <w:t>reviewed this submission and determined that the Privacy Act does not apply</w:t>
      </w:r>
      <w:r w:rsidR="002E5C52">
        <w:rPr>
          <w:rFonts w:cs="ITCFranklinGothicStd-Book"/>
          <w:sz w:val="24"/>
          <w:szCs w:val="24"/>
        </w:rPr>
        <w:t xml:space="preserve"> (</w:t>
      </w:r>
      <w:r w:rsidR="002E5C52">
        <w:rPr>
          <w:rFonts w:cs="ITCFranklinGothicStd-Book"/>
          <w:b/>
          <w:sz w:val="24"/>
          <w:szCs w:val="24"/>
        </w:rPr>
        <w:t>Attachment 8</w:t>
      </w:r>
      <w:r w:rsidR="002E5C52">
        <w:rPr>
          <w:rFonts w:cs="ITCFranklinGothicStd-Book"/>
          <w:sz w:val="24"/>
          <w:szCs w:val="24"/>
        </w:rPr>
        <w:t>)</w:t>
      </w:r>
      <w:r w:rsidRPr="00D20211">
        <w:rPr>
          <w:rFonts w:cs="ITCFranklinGothicStd-Book"/>
          <w:sz w:val="24"/>
          <w:szCs w:val="24"/>
        </w:rPr>
        <w:t>.</w:t>
      </w:r>
      <w:r>
        <w:rPr>
          <w:rFonts w:cs="ITCFranklinGothicStd-Book"/>
          <w:sz w:val="24"/>
          <w:szCs w:val="24"/>
        </w:rPr>
        <w:t xml:space="preserve"> </w:t>
      </w:r>
    </w:p>
    <w:p w:rsidR="00CB2814" w:rsidP="002361EE" w:rsidRDefault="006F5A1C" w14:paraId="65195496" w14:textId="1B449DB7">
      <w:pPr>
        <w:autoSpaceDE w:val="0"/>
        <w:autoSpaceDN w:val="0"/>
        <w:adjustRightInd w:val="0"/>
        <w:spacing w:line="240" w:lineRule="auto"/>
        <w:rPr>
          <w:rFonts w:cs="ITCFranklinGothicStd-Book"/>
          <w:sz w:val="24"/>
          <w:szCs w:val="24"/>
        </w:rPr>
      </w:pPr>
      <w:r>
        <w:rPr>
          <w:rFonts w:cs="ITCFranklinGothicStd-Book"/>
          <w:sz w:val="24"/>
          <w:szCs w:val="24"/>
        </w:rPr>
        <w:t>Any business information provided to a TOM Kits* manufacturer is for distribution mailing purposes only and will not be used by CDC.</w:t>
      </w:r>
    </w:p>
    <w:p w:rsidR="00586B0B" w:rsidP="0097091A" w:rsidRDefault="00586B0B" w14:paraId="0842FC6C" w14:textId="202E81BD">
      <w:pPr>
        <w:rPr>
          <w:rFonts w:cs="ITCFranklinGothicStd-Book"/>
          <w:b/>
          <w:sz w:val="24"/>
          <w:szCs w:val="24"/>
        </w:rPr>
        <w:sectPr w:rsidR="00586B0B" w:rsidSect="002928DF">
          <w:footerReference w:type="default" r:id="rId17"/>
          <w:type w:val="continuous"/>
          <w:pgSz w:w="12240" w:h="15840" w:code="1"/>
          <w:pgMar w:top="1440" w:right="1440" w:bottom="1440" w:left="1440" w:header="720" w:footer="720" w:gutter="0"/>
          <w:cols w:space="720"/>
          <w:docGrid w:linePitch="360"/>
        </w:sectPr>
      </w:pPr>
    </w:p>
    <w:p w:rsidR="00B45002" w:rsidP="00601F1A" w:rsidRDefault="00601F1A" w14:paraId="70B45DCE" w14:textId="10C62045">
      <w:pPr>
        <w:pStyle w:val="Heading1"/>
        <w:pBdr>
          <w:bottom w:val="none" w:color="auto" w:sz="0" w:space="0"/>
        </w:pBdr>
        <w:rPr>
          <w:color w:val="auto"/>
        </w:rPr>
      </w:pPr>
      <w:bookmarkStart w:name="_Toc31301601" w:id="18"/>
      <w:r w:rsidRPr="00D20211">
        <w:rPr>
          <w:color w:val="auto"/>
        </w:rPr>
        <w:lastRenderedPageBreak/>
        <w:t>A.</w:t>
      </w:r>
      <w:r w:rsidRPr="00D20211" w:rsidR="004D21C9">
        <w:rPr>
          <w:color w:val="auto"/>
        </w:rPr>
        <w:t xml:space="preserve">11.  </w:t>
      </w:r>
      <w:r w:rsidRPr="00D20211" w:rsidR="00B45002">
        <w:rPr>
          <w:color w:val="auto"/>
        </w:rPr>
        <w:t>Institutional Review Board (IRB) and Justification for Sensitive Questions</w:t>
      </w:r>
      <w:bookmarkEnd w:id="18"/>
    </w:p>
    <w:p w:rsidR="00153EA7" w:rsidP="00153EA7" w:rsidRDefault="00153EA7" w14:paraId="43FE77BE" w14:textId="3A3AD1D2">
      <w:pPr>
        <w:spacing w:line="240" w:lineRule="auto"/>
      </w:pPr>
    </w:p>
    <w:p w:rsidR="00A32FB3" w:rsidP="00A32FB3" w:rsidRDefault="00A32FB3" w14:paraId="088F1F7C" w14:textId="3564F5CE">
      <w:pPr>
        <w:autoSpaceDE w:val="0"/>
        <w:autoSpaceDN w:val="0"/>
        <w:adjustRightInd w:val="0"/>
        <w:spacing w:line="240" w:lineRule="auto"/>
        <w:rPr>
          <w:rFonts w:cs="ITCFranklinGothicStd-Book"/>
          <w:sz w:val="24"/>
          <w:szCs w:val="24"/>
        </w:rPr>
      </w:pPr>
      <w:r>
        <w:rPr>
          <w:rFonts w:cs="ITCFranklinGothicStd-Book"/>
          <w:sz w:val="24"/>
          <w:szCs w:val="24"/>
        </w:rPr>
        <w:t>The NCEH/ATSDR Human Subjects Advisor has determined that this information collection</w:t>
      </w:r>
      <w:r w:rsidRPr="00A32FB3" w:rsidR="007C3632">
        <w:rPr>
          <w:rFonts w:cs="ITCFranklinGothicStd-Book"/>
          <w:sz w:val="24"/>
          <w:szCs w:val="24"/>
        </w:rPr>
        <w:t xml:space="preserve"> is not research involving human subjects</w:t>
      </w:r>
      <w:r>
        <w:rPr>
          <w:rFonts w:cs="ITCFranklinGothicStd-Book"/>
          <w:sz w:val="24"/>
          <w:szCs w:val="24"/>
        </w:rPr>
        <w:t xml:space="preserve"> and </w:t>
      </w:r>
      <w:r w:rsidRPr="00A32FB3" w:rsidR="007C3632">
        <w:rPr>
          <w:rFonts w:cs="ITCFranklinGothicStd-Book"/>
          <w:sz w:val="24"/>
          <w:szCs w:val="24"/>
        </w:rPr>
        <w:t>that IRB approval is not required</w:t>
      </w:r>
      <w:r>
        <w:rPr>
          <w:rFonts w:cs="ITCFranklinGothicStd-Book"/>
          <w:sz w:val="24"/>
          <w:szCs w:val="24"/>
        </w:rPr>
        <w:t xml:space="preserve"> (</w:t>
      </w:r>
      <w:bookmarkStart w:name="_GoBack" w:id="19"/>
      <w:r>
        <w:rPr>
          <w:rFonts w:cs="ITCFranklinGothicStd-Book"/>
          <w:b/>
          <w:sz w:val="24"/>
          <w:szCs w:val="24"/>
        </w:rPr>
        <w:t>Attachment 7</w:t>
      </w:r>
      <w:r>
        <w:rPr>
          <w:rFonts w:cs="ITCFranklinGothicStd-Book"/>
          <w:sz w:val="24"/>
          <w:szCs w:val="24"/>
        </w:rPr>
        <w:t>).</w:t>
      </w:r>
      <w:bookmarkEnd w:id="19"/>
    </w:p>
    <w:p w:rsidRPr="00FD6CDE" w:rsidR="009857F3" w:rsidP="0097091A" w:rsidRDefault="00AC361C" w14:paraId="684B3ECF" w14:textId="21C249B2">
      <w:pPr>
        <w:autoSpaceDE w:val="0"/>
        <w:autoSpaceDN w:val="0"/>
        <w:adjustRightInd w:val="0"/>
        <w:spacing w:line="240" w:lineRule="auto"/>
        <w:rPr>
          <w:rFonts w:cs="ITCFranklinGothicStd-Book"/>
          <w:sz w:val="24"/>
          <w:szCs w:val="24"/>
        </w:rPr>
      </w:pPr>
      <w:r>
        <w:rPr>
          <w:rFonts w:cs="ITCFranklinGothicStd-Book"/>
          <w:sz w:val="24"/>
          <w:szCs w:val="24"/>
        </w:rPr>
        <w:t>CDC</w:t>
      </w:r>
      <w:r w:rsidR="00153EA7">
        <w:rPr>
          <w:rFonts w:cs="ITCFranklinGothicStd-Book"/>
          <w:sz w:val="24"/>
          <w:szCs w:val="24"/>
        </w:rPr>
        <w:t xml:space="preserve"> </w:t>
      </w:r>
      <w:r w:rsidR="000B54F0">
        <w:rPr>
          <w:rFonts w:cs="ITCFranklinGothicStd-Book"/>
          <w:sz w:val="24"/>
          <w:szCs w:val="24"/>
        </w:rPr>
        <w:t xml:space="preserve">collects information about laboratories and </w:t>
      </w:r>
      <w:r w:rsidR="00153EA7">
        <w:rPr>
          <w:rFonts w:cs="ITCFranklinGothicStd-Book"/>
          <w:sz w:val="24"/>
          <w:szCs w:val="24"/>
        </w:rPr>
        <w:t xml:space="preserve">does not collect </w:t>
      </w:r>
      <w:r w:rsidR="009C3C7B">
        <w:rPr>
          <w:rFonts w:cs="ITCFranklinGothicStd-Book"/>
          <w:sz w:val="24"/>
          <w:szCs w:val="24"/>
        </w:rPr>
        <w:t xml:space="preserve">personally </w:t>
      </w:r>
      <w:r w:rsidR="00153EA7">
        <w:rPr>
          <w:rFonts w:cs="ITCFranklinGothicStd-Book"/>
          <w:sz w:val="24"/>
          <w:szCs w:val="24"/>
        </w:rPr>
        <w:t>sensitive information</w:t>
      </w:r>
      <w:r>
        <w:rPr>
          <w:rFonts w:cs="ITCFranklinGothicStd-Book"/>
          <w:sz w:val="24"/>
          <w:szCs w:val="24"/>
        </w:rPr>
        <w:t xml:space="preserve"> (</w:t>
      </w:r>
      <w:r>
        <w:rPr>
          <w:rFonts w:cs="ITCFranklinGothicStd-Book"/>
          <w:b/>
          <w:sz w:val="24"/>
          <w:szCs w:val="24"/>
        </w:rPr>
        <w:t>Attachment 6</w:t>
      </w:r>
      <w:r>
        <w:rPr>
          <w:rFonts w:cs="ITCFranklinGothicStd-Book"/>
          <w:sz w:val="24"/>
          <w:szCs w:val="24"/>
        </w:rPr>
        <w:t>)</w:t>
      </w:r>
      <w:r w:rsidR="00153EA7">
        <w:rPr>
          <w:rFonts w:cs="ITCFranklinGothicStd-Book"/>
          <w:sz w:val="24"/>
          <w:szCs w:val="24"/>
        </w:rPr>
        <w:t xml:space="preserve">. </w:t>
      </w:r>
      <w:r w:rsidR="007C3632">
        <w:rPr>
          <w:rFonts w:cs="ITCFranklinGothicStd-Book"/>
          <w:sz w:val="24"/>
          <w:szCs w:val="24"/>
        </w:rPr>
        <w:t>Laboratories may</w:t>
      </w:r>
      <w:r w:rsidRPr="00D20211" w:rsidR="007C3632">
        <w:rPr>
          <w:rFonts w:cs="ITCFranklinGothicStd-Book"/>
          <w:sz w:val="24"/>
          <w:szCs w:val="24"/>
        </w:rPr>
        <w:t xml:space="preserve"> view information collections pertaining to organizational policies, performance data, or other practices as sensitive</w:t>
      </w:r>
      <w:r w:rsidR="007C3632">
        <w:rPr>
          <w:rFonts w:cs="ITCFranklinGothicStd-Book"/>
          <w:sz w:val="24"/>
          <w:szCs w:val="24"/>
        </w:rPr>
        <w:t>; however, the information</w:t>
      </w:r>
      <w:r w:rsidRPr="00D20211" w:rsidR="007C3632">
        <w:rPr>
          <w:rFonts w:cs="ITCFranklinGothicStd-Book"/>
          <w:sz w:val="24"/>
          <w:szCs w:val="24"/>
        </w:rPr>
        <w:t xml:space="preserve"> </w:t>
      </w:r>
      <w:r w:rsidR="007C3632">
        <w:rPr>
          <w:rFonts w:cs="ITCFranklinGothicStd-Book"/>
          <w:sz w:val="24"/>
          <w:szCs w:val="24"/>
        </w:rPr>
        <w:t>that</w:t>
      </w:r>
      <w:r w:rsidRPr="00D20211" w:rsidR="007C3632">
        <w:rPr>
          <w:rFonts w:cs="ITCFranklinGothicStd-Book"/>
          <w:sz w:val="24"/>
          <w:szCs w:val="24"/>
        </w:rPr>
        <w:t xml:space="preserve"> </w:t>
      </w:r>
      <w:r w:rsidR="007C3632">
        <w:rPr>
          <w:rFonts w:cs="ITCFranklinGothicStd-Book"/>
          <w:sz w:val="24"/>
          <w:szCs w:val="24"/>
        </w:rPr>
        <w:t>CDC is requesting is</w:t>
      </w:r>
      <w:r w:rsidR="00A32FB3">
        <w:rPr>
          <w:rFonts w:cs="ITCFranklinGothicStd-Book"/>
          <w:sz w:val="24"/>
          <w:szCs w:val="24"/>
        </w:rPr>
        <w:t xml:space="preserve"> not anticipat</w:t>
      </w:r>
      <w:r w:rsidR="00B97CE4">
        <w:rPr>
          <w:rFonts w:cs="ITCFranklinGothicStd-Book"/>
          <w:sz w:val="24"/>
          <w:szCs w:val="24"/>
        </w:rPr>
        <w:t>ed</w:t>
      </w:r>
      <w:r w:rsidR="007C3632">
        <w:rPr>
          <w:rFonts w:cs="ITCFranklinGothicStd-Book"/>
          <w:sz w:val="24"/>
          <w:szCs w:val="24"/>
        </w:rPr>
        <w:t xml:space="preserve"> to</w:t>
      </w:r>
      <w:r w:rsidRPr="00D20211" w:rsidR="007C3632">
        <w:rPr>
          <w:rFonts w:cs="ITCFranklinGothicStd-Book"/>
          <w:sz w:val="24"/>
          <w:szCs w:val="24"/>
        </w:rPr>
        <w:t xml:space="preserve"> result in liability or competitive disadvantage </w:t>
      </w:r>
      <w:r w:rsidR="007C3632">
        <w:rPr>
          <w:rFonts w:cs="ITCFranklinGothicStd-Book"/>
          <w:sz w:val="24"/>
          <w:szCs w:val="24"/>
        </w:rPr>
        <w:t>if a breach should occur.</w:t>
      </w:r>
    </w:p>
    <w:p w:rsidRPr="00D20211" w:rsidR="00B45002" w:rsidP="00601F1A" w:rsidRDefault="00601F1A" w14:paraId="527F9FA5" w14:textId="5106D654">
      <w:pPr>
        <w:pStyle w:val="Heading1"/>
        <w:pBdr>
          <w:bottom w:val="none" w:color="auto" w:sz="0" w:space="0"/>
        </w:pBdr>
        <w:rPr>
          <w:color w:val="auto"/>
        </w:rPr>
      </w:pPr>
      <w:bookmarkStart w:name="_Toc31301602" w:id="20"/>
      <w:r w:rsidRPr="00A30707">
        <w:rPr>
          <w:color w:val="auto"/>
        </w:rPr>
        <w:t>A.</w:t>
      </w:r>
      <w:r w:rsidRPr="00A30707" w:rsidR="004D21C9">
        <w:rPr>
          <w:color w:val="auto"/>
        </w:rPr>
        <w:t xml:space="preserve">12.  </w:t>
      </w:r>
      <w:r w:rsidRPr="00A30707" w:rsidR="00B45002">
        <w:rPr>
          <w:color w:val="auto"/>
        </w:rPr>
        <w:t>Estimates of Annualized Burden Hours and Costs</w:t>
      </w:r>
      <w:bookmarkEnd w:id="20"/>
    </w:p>
    <w:p w:rsidR="0049456C" w:rsidP="00ED72E9" w:rsidRDefault="0049456C" w14:paraId="7CB435EC" w14:textId="28859C8A">
      <w:pPr>
        <w:spacing w:line="240" w:lineRule="auto"/>
        <w:rPr>
          <w:rFonts w:cstheme="minorHAnsi"/>
          <w:sz w:val="24"/>
          <w:szCs w:val="24"/>
        </w:rPr>
      </w:pPr>
    </w:p>
    <w:p w:rsidR="00E43C6B" w:rsidP="0097091A" w:rsidRDefault="00BA7856" w14:paraId="32740637" w14:textId="1E45D343">
      <w:pPr>
        <w:spacing w:line="240" w:lineRule="auto"/>
        <w:rPr>
          <w:rFonts w:cstheme="minorHAnsi"/>
          <w:color w:val="000000"/>
          <w:sz w:val="24"/>
          <w:szCs w:val="24"/>
          <w:u w:val="single"/>
        </w:rPr>
      </w:pPr>
      <w:r w:rsidRPr="002361A8">
        <w:rPr>
          <w:rFonts w:cstheme="minorHAnsi"/>
          <w:sz w:val="24"/>
          <w:szCs w:val="24"/>
        </w:rPr>
        <w:t>The following burden hours and</w:t>
      </w:r>
      <w:r w:rsidRPr="002361A8" w:rsidR="00132221">
        <w:rPr>
          <w:rFonts w:cstheme="minorHAnsi"/>
          <w:sz w:val="24"/>
          <w:szCs w:val="24"/>
        </w:rPr>
        <w:t xml:space="preserve"> number of annualized</w:t>
      </w:r>
      <w:r w:rsidRPr="002361A8">
        <w:rPr>
          <w:rFonts w:cstheme="minorHAnsi"/>
          <w:sz w:val="24"/>
          <w:szCs w:val="24"/>
        </w:rPr>
        <w:t xml:space="preserve"> responses were estimated from</w:t>
      </w:r>
      <w:r w:rsidRPr="002361A8" w:rsidR="00132221">
        <w:rPr>
          <w:rFonts w:cstheme="minorHAnsi"/>
          <w:sz w:val="24"/>
          <w:szCs w:val="24"/>
        </w:rPr>
        <w:t xml:space="preserve"> </w:t>
      </w:r>
      <w:r w:rsidRPr="002361A8" w:rsidR="00F7410D">
        <w:rPr>
          <w:rFonts w:cstheme="minorHAnsi"/>
          <w:sz w:val="24"/>
          <w:szCs w:val="24"/>
        </w:rPr>
        <w:t xml:space="preserve">CDC’s </w:t>
      </w:r>
      <w:r w:rsidR="00B97CE4">
        <w:rPr>
          <w:rFonts w:cstheme="minorHAnsi"/>
          <w:sz w:val="24"/>
          <w:szCs w:val="24"/>
        </w:rPr>
        <w:t>2019</w:t>
      </w:r>
      <w:r w:rsidRPr="002361A8" w:rsidR="00F7410D">
        <w:rPr>
          <w:rFonts w:cstheme="minorHAnsi"/>
          <w:sz w:val="24"/>
          <w:szCs w:val="24"/>
        </w:rPr>
        <w:t xml:space="preserve"> experience with the information collected under the PHE PRA Waiver (03/20/2019 to 05/10/2019</w:t>
      </w:r>
      <w:r w:rsidRPr="002361A8" w:rsidR="002361A8">
        <w:rPr>
          <w:rFonts w:cstheme="minorHAnsi"/>
          <w:sz w:val="24"/>
          <w:szCs w:val="24"/>
        </w:rPr>
        <w:t xml:space="preserve">) </w:t>
      </w:r>
      <w:r w:rsidRPr="002361A8" w:rsidR="00F7410D">
        <w:rPr>
          <w:rFonts w:cstheme="minorHAnsi"/>
          <w:sz w:val="24"/>
          <w:szCs w:val="24"/>
        </w:rPr>
        <w:t>and</w:t>
      </w:r>
      <w:r w:rsidRPr="002361A8" w:rsidR="00132221">
        <w:rPr>
          <w:rFonts w:cstheme="minorHAnsi"/>
          <w:sz w:val="24"/>
          <w:szCs w:val="24"/>
        </w:rPr>
        <w:t xml:space="preserve"> the </w:t>
      </w:r>
      <w:proofErr w:type="spellStart"/>
      <w:r w:rsidRPr="002361A8" w:rsidR="00132221">
        <w:rPr>
          <w:rFonts w:cstheme="minorHAnsi"/>
          <w:sz w:val="24"/>
          <w:szCs w:val="24"/>
        </w:rPr>
        <w:t>GenIC</w:t>
      </w:r>
      <w:proofErr w:type="spellEnd"/>
      <w:r w:rsidRPr="002361A8" w:rsidR="00132221">
        <w:rPr>
          <w:rFonts w:cstheme="minorHAnsi"/>
          <w:sz w:val="24"/>
          <w:szCs w:val="24"/>
        </w:rPr>
        <w:t xml:space="preserve"> approved on 05/10/2019 and conducted under </w:t>
      </w:r>
      <w:r w:rsidRPr="0097091A" w:rsidR="00132221">
        <w:rPr>
          <w:rFonts w:cstheme="minorHAnsi"/>
          <w:sz w:val="24"/>
          <w:szCs w:val="24"/>
        </w:rPr>
        <w:t>“Generic Clearance for the Collection of Qualitative Feedback on Agency Service Delivery” (OMB Control No. 0923-0047; expiration date 01/31/2022)</w:t>
      </w:r>
      <w:r w:rsidRPr="002361A8" w:rsidR="00132221">
        <w:rPr>
          <w:rFonts w:cstheme="minorHAnsi"/>
          <w:sz w:val="24"/>
          <w:szCs w:val="24"/>
        </w:rPr>
        <w:t>.</w:t>
      </w:r>
    </w:p>
    <w:p w:rsidRPr="00B97CE4" w:rsidR="00E70802" w:rsidP="00E70802" w:rsidRDefault="00E70802" w14:paraId="2EF0AC74" w14:textId="18D8C7DC">
      <w:pPr>
        <w:widowControl w:val="0"/>
        <w:tabs>
          <w:tab w:val="left" w:pos="0"/>
        </w:tabs>
        <w:autoSpaceDE w:val="0"/>
        <w:autoSpaceDN w:val="0"/>
        <w:adjustRightInd w:val="0"/>
        <w:rPr>
          <w:rFonts w:cstheme="minorHAnsi"/>
          <w:color w:val="000000"/>
          <w:sz w:val="24"/>
          <w:szCs w:val="24"/>
        </w:rPr>
      </w:pPr>
      <w:bookmarkStart w:name="_Hlk32493225" w:id="21"/>
      <w:r w:rsidRPr="0049456C">
        <w:rPr>
          <w:rFonts w:cstheme="minorHAnsi"/>
          <w:color w:val="000000"/>
          <w:sz w:val="24"/>
          <w:szCs w:val="24"/>
          <w:u w:val="single"/>
        </w:rPr>
        <w:t>Estimated Annualized Burden Hours</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59"/>
        <w:gridCol w:w="1559"/>
        <w:gridCol w:w="1559"/>
        <w:gridCol w:w="1559"/>
        <w:gridCol w:w="1589"/>
        <w:gridCol w:w="1530"/>
      </w:tblGrid>
      <w:tr w:rsidRPr="000830C4" w:rsidR="00E70802" w:rsidTr="00F7410D" w14:paraId="2D71BFB8" w14:textId="77777777">
        <w:tc>
          <w:tcPr>
            <w:tcW w:w="1559" w:type="dxa"/>
            <w:shd w:val="clear" w:color="auto" w:fill="auto"/>
          </w:tcPr>
          <w:p w:rsidRPr="00F7410D" w:rsidR="00E70802" w:rsidP="00B25A7D" w:rsidRDefault="00E70802" w14:paraId="6214A09A" w14:textId="77777777">
            <w:pPr>
              <w:widowControl w:val="0"/>
              <w:tabs>
                <w:tab w:val="left" w:pos="0"/>
              </w:tabs>
              <w:autoSpaceDE w:val="0"/>
              <w:autoSpaceDN w:val="0"/>
              <w:adjustRightInd w:val="0"/>
              <w:jc w:val="center"/>
              <w:rPr>
                <w:rFonts w:cstheme="minorHAnsi"/>
                <w:color w:val="000000"/>
                <w:sz w:val="20"/>
                <w:szCs w:val="20"/>
              </w:rPr>
            </w:pPr>
            <w:r w:rsidRPr="00F7410D">
              <w:rPr>
                <w:rFonts w:cstheme="minorHAnsi"/>
                <w:color w:val="000000"/>
                <w:sz w:val="20"/>
                <w:szCs w:val="20"/>
              </w:rPr>
              <w:t>Type of Respondents</w:t>
            </w:r>
          </w:p>
        </w:tc>
        <w:tc>
          <w:tcPr>
            <w:tcW w:w="1559" w:type="dxa"/>
            <w:shd w:val="clear" w:color="auto" w:fill="auto"/>
          </w:tcPr>
          <w:p w:rsidRPr="00F7410D" w:rsidR="00E70802" w:rsidP="00B25A7D" w:rsidRDefault="00E70802" w14:paraId="4C621234" w14:textId="77777777">
            <w:pPr>
              <w:widowControl w:val="0"/>
              <w:tabs>
                <w:tab w:val="left" w:pos="0"/>
              </w:tabs>
              <w:autoSpaceDE w:val="0"/>
              <w:autoSpaceDN w:val="0"/>
              <w:adjustRightInd w:val="0"/>
              <w:jc w:val="center"/>
              <w:rPr>
                <w:rFonts w:cstheme="minorHAnsi"/>
                <w:color w:val="000000"/>
                <w:sz w:val="20"/>
                <w:szCs w:val="20"/>
              </w:rPr>
            </w:pPr>
            <w:r w:rsidRPr="00F7410D">
              <w:rPr>
                <w:rFonts w:cstheme="minorHAnsi"/>
                <w:color w:val="000000"/>
                <w:sz w:val="20"/>
                <w:szCs w:val="20"/>
              </w:rPr>
              <w:t>Form Name</w:t>
            </w:r>
          </w:p>
        </w:tc>
        <w:tc>
          <w:tcPr>
            <w:tcW w:w="1559" w:type="dxa"/>
            <w:shd w:val="clear" w:color="auto" w:fill="auto"/>
          </w:tcPr>
          <w:p w:rsidRPr="00F7410D" w:rsidR="00E70802" w:rsidP="00B25A7D" w:rsidRDefault="00E70802" w14:paraId="6961420F" w14:textId="77777777">
            <w:pPr>
              <w:widowControl w:val="0"/>
              <w:tabs>
                <w:tab w:val="left" w:pos="0"/>
              </w:tabs>
              <w:autoSpaceDE w:val="0"/>
              <w:autoSpaceDN w:val="0"/>
              <w:adjustRightInd w:val="0"/>
              <w:jc w:val="center"/>
              <w:rPr>
                <w:rFonts w:cstheme="minorHAnsi"/>
                <w:color w:val="000000"/>
                <w:sz w:val="20"/>
                <w:szCs w:val="20"/>
              </w:rPr>
            </w:pPr>
            <w:r w:rsidRPr="00F7410D">
              <w:rPr>
                <w:rFonts w:cstheme="minorHAnsi"/>
                <w:color w:val="000000"/>
                <w:sz w:val="20"/>
                <w:szCs w:val="20"/>
              </w:rPr>
              <w:t>Number of Respondents</w:t>
            </w:r>
          </w:p>
        </w:tc>
        <w:tc>
          <w:tcPr>
            <w:tcW w:w="1559" w:type="dxa"/>
            <w:shd w:val="clear" w:color="auto" w:fill="auto"/>
          </w:tcPr>
          <w:p w:rsidRPr="00F7410D" w:rsidR="00E70802" w:rsidP="00B25A7D" w:rsidRDefault="00E70802" w14:paraId="53302C3D" w14:textId="77777777">
            <w:pPr>
              <w:widowControl w:val="0"/>
              <w:tabs>
                <w:tab w:val="left" w:pos="0"/>
              </w:tabs>
              <w:autoSpaceDE w:val="0"/>
              <w:autoSpaceDN w:val="0"/>
              <w:adjustRightInd w:val="0"/>
              <w:jc w:val="center"/>
              <w:rPr>
                <w:rFonts w:cstheme="minorHAnsi"/>
                <w:color w:val="000000"/>
                <w:sz w:val="20"/>
                <w:szCs w:val="20"/>
              </w:rPr>
            </w:pPr>
            <w:r w:rsidRPr="00F7410D">
              <w:rPr>
                <w:rFonts w:cstheme="minorHAnsi"/>
                <w:color w:val="000000"/>
                <w:sz w:val="20"/>
                <w:szCs w:val="20"/>
              </w:rPr>
              <w:t>Number of Responses per Respondent</w:t>
            </w:r>
          </w:p>
        </w:tc>
        <w:tc>
          <w:tcPr>
            <w:tcW w:w="1589" w:type="dxa"/>
            <w:shd w:val="clear" w:color="auto" w:fill="auto"/>
          </w:tcPr>
          <w:p w:rsidRPr="00F7410D" w:rsidR="00E70802" w:rsidP="00B25A7D" w:rsidRDefault="00E70802" w14:paraId="7A1E047C" w14:textId="77777777">
            <w:pPr>
              <w:widowControl w:val="0"/>
              <w:tabs>
                <w:tab w:val="left" w:pos="0"/>
              </w:tabs>
              <w:autoSpaceDE w:val="0"/>
              <w:autoSpaceDN w:val="0"/>
              <w:adjustRightInd w:val="0"/>
              <w:jc w:val="center"/>
              <w:rPr>
                <w:rFonts w:cstheme="minorHAnsi"/>
                <w:color w:val="000000"/>
                <w:sz w:val="20"/>
                <w:szCs w:val="20"/>
              </w:rPr>
            </w:pPr>
            <w:r w:rsidRPr="00F7410D">
              <w:rPr>
                <w:rFonts w:cstheme="minorHAnsi"/>
                <w:color w:val="000000"/>
                <w:sz w:val="20"/>
                <w:szCs w:val="20"/>
              </w:rPr>
              <w:t>Average Burden per Response (in hours)</w:t>
            </w:r>
          </w:p>
        </w:tc>
        <w:tc>
          <w:tcPr>
            <w:tcW w:w="1530" w:type="dxa"/>
            <w:shd w:val="clear" w:color="auto" w:fill="auto"/>
          </w:tcPr>
          <w:p w:rsidRPr="00F7410D" w:rsidR="00E70802" w:rsidP="00B25A7D" w:rsidRDefault="00E70802" w14:paraId="6C9F1190" w14:textId="77777777">
            <w:pPr>
              <w:widowControl w:val="0"/>
              <w:tabs>
                <w:tab w:val="left" w:pos="0"/>
              </w:tabs>
              <w:autoSpaceDE w:val="0"/>
              <w:autoSpaceDN w:val="0"/>
              <w:adjustRightInd w:val="0"/>
              <w:jc w:val="center"/>
              <w:rPr>
                <w:rFonts w:cstheme="minorHAnsi"/>
                <w:color w:val="000000"/>
                <w:sz w:val="20"/>
                <w:szCs w:val="20"/>
              </w:rPr>
            </w:pPr>
            <w:r w:rsidRPr="00F7410D">
              <w:rPr>
                <w:rFonts w:cstheme="minorHAnsi"/>
                <w:color w:val="000000"/>
                <w:sz w:val="20"/>
                <w:szCs w:val="20"/>
              </w:rPr>
              <w:t>Total Burden (in hours)</w:t>
            </w:r>
          </w:p>
        </w:tc>
      </w:tr>
      <w:tr w:rsidRPr="000830C4" w:rsidR="00F7410D" w:rsidTr="00F7410D" w14:paraId="13DB01FA" w14:textId="77777777">
        <w:tc>
          <w:tcPr>
            <w:tcW w:w="1559" w:type="dxa"/>
            <w:shd w:val="clear" w:color="auto" w:fill="FFFFFF" w:themeFill="background1"/>
            <w:vAlign w:val="center"/>
          </w:tcPr>
          <w:p w:rsidRPr="00F7410D" w:rsidR="00F7410D" w:rsidP="00F7410D" w:rsidRDefault="00F7410D" w14:paraId="7FD4B9CD" w14:textId="77C6742C">
            <w:pPr>
              <w:widowControl w:val="0"/>
              <w:tabs>
                <w:tab w:val="left" w:pos="0"/>
              </w:tabs>
              <w:autoSpaceDE w:val="0"/>
              <w:autoSpaceDN w:val="0"/>
              <w:adjustRightInd w:val="0"/>
              <w:rPr>
                <w:rFonts w:cstheme="minorHAnsi"/>
                <w:color w:val="000000"/>
                <w:sz w:val="20"/>
                <w:szCs w:val="20"/>
              </w:rPr>
            </w:pPr>
            <w:r w:rsidRPr="00F7410D">
              <w:rPr>
                <w:rFonts w:cstheme="minorHAnsi"/>
                <w:color w:val="000000"/>
                <w:sz w:val="20"/>
                <w:szCs w:val="20"/>
              </w:rPr>
              <w:t>Federal Laboratories</w:t>
            </w:r>
          </w:p>
        </w:tc>
        <w:tc>
          <w:tcPr>
            <w:tcW w:w="1559" w:type="dxa"/>
            <w:shd w:val="clear" w:color="auto" w:fill="FFFFFF" w:themeFill="background1"/>
            <w:vAlign w:val="center"/>
          </w:tcPr>
          <w:p w:rsidRPr="00F7410D" w:rsidR="00F7410D" w:rsidP="0097091A" w:rsidRDefault="005069E4" w14:paraId="1EE8E403" w14:textId="3591EC55">
            <w:pPr>
              <w:widowControl w:val="0"/>
              <w:tabs>
                <w:tab w:val="left" w:pos="0"/>
              </w:tabs>
              <w:autoSpaceDE w:val="0"/>
              <w:autoSpaceDN w:val="0"/>
              <w:adjustRightInd w:val="0"/>
              <w:jc w:val="center"/>
              <w:rPr>
                <w:rFonts w:cstheme="minorHAnsi"/>
                <w:color w:val="000000"/>
                <w:sz w:val="20"/>
                <w:szCs w:val="20"/>
              </w:rPr>
            </w:pPr>
            <w:r>
              <w:rPr>
                <w:rFonts w:cs="ITCFranklinGothicStd-Book"/>
                <w:sz w:val="20"/>
                <w:szCs w:val="20"/>
              </w:rPr>
              <w:t>TOM Kits*</w:t>
            </w:r>
            <w:r w:rsidRPr="0097091A" w:rsidR="00F7410D">
              <w:rPr>
                <w:rFonts w:cs="ITCFranklinGothicStd-Book"/>
                <w:sz w:val="20"/>
                <w:szCs w:val="20"/>
              </w:rPr>
              <w:t xml:space="preserve"> </w:t>
            </w:r>
            <w:r w:rsidR="00894DCC">
              <w:rPr>
                <w:rFonts w:cs="ITCFranklinGothicStd-Book"/>
                <w:sz w:val="20"/>
                <w:szCs w:val="20"/>
              </w:rPr>
              <w:t>Questions</w:t>
            </w:r>
            <w:r w:rsidRPr="00F7410D" w:rsidDel="0046193B" w:rsidR="00F7410D">
              <w:rPr>
                <w:rFonts w:cstheme="minorHAnsi"/>
                <w:sz w:val="20"/>
                <w:szCs w:val="20"/>
              </w:rPr>
              <w:t xml:space="preserve"> </w:t>
            </w:r>
          </w:p>
        </w:tc>
        <w:tc>
          <w:tcPr>
            <w:tcW w:w="1559" w:type="dxa"/>
            <w:shd w:val="clear" w:color="auto" w:fill="FFFFFF" w:themeFill="background1"/>
            <w:vAlign w:val="center"/>
          </w:tcPr>
          <w:p w:rsidRPr="00F7410D" w:rsidR="00F7410D" w:rsidP="0097091A" w:rsidRDefault="005069E4" w14:paraId="6780085A" w14:textId="6F7D3B78">
            <w:pPr>
              <w:widowControl w:val="0"/>
              <w:tabs>
                <w:tab w:val="left" w:pos="0"/>
              </w:tabs>
              <w:autoSpaceDE w:val="0"/>
              <w:autoSpaceDN w:val="0"/>
              <w:adjustRightInd w:val="0"/>
              <w:jc w:val="center"/>
              <w:rPr>
                <w:rFonts w:cstheme="minorHAnsi"/>
                <w:color w:val="000000"/>
                <w:sz w:val="20"/>
                <w:szCs w:val="20"/>
              </w:rPr>
            </w:pPr>
            <w:r>
              <w:rPr>
                <w:rFonts w:cstheme="minorHAnsi"/>
                <w:color w:val="000000"/>
                <w:sz w:val="20"/>
                <w:szCs w:val="20"/>
              </w:rPr>
              <w:t>400</w:t>
            </w:r>
          </w:p>
        </w:tc>
        <w:tc>
          <w:tcPr>
            <w:tcW w:w="1559" w:type="dxa"/>
            <w:shd w:val="clear" w:color="auto" w:fill="FFFFFF" w:themeFill="background1"/>
            <w:vAlign w:val="center"/>
          </w:tcPr>
          <w:p w:rsidRPr="00F7410D" w:rsidR="00F7410D" w:rsidP="0097091A" w:rsidRDefault="00F7410D" w14:paraId="35CD468D" w14:textId="77777777">
            <w:pPr>
              <w:widowControl w:val="0"/>
              <w:tabs>
                <w:tab w:val="left" w:pos="0"/>
              </w:tabs>
              <w:autoSpaceDE w:val="0"/>
              <w:autoSpaceDN w:val="0"/>
              <w:adjustRightInd w:val="0"/>
              <w:jc w:val="center"/>
              <w:rPr>
                <w:rFonts w:cstheme="minorHAnsi"/>
                <w:color w:val="000000"/>
                <w:sz w:val="20"/>
                <w:szCs w:val="20"/>
              </w:rPr>
            </w:pPr>
            <w:r w:rsidRPr="00F7410D">
              <w:rPr>
                <w:rFonts w:cstheme="minorHAnsi"/>
                <w:color w:val="000000"/>
                <w:sz w:val="20"/>
                <w:szCs w:val="20"/>
              </w:rPr>
              <w:t>1</w:t>
            </w:r>
          </w:p>
        </w:tc>
        <w:tc>
          <w:tcPr>
            <w:tcW w:w="1589" w:type="dxa"/>
            <w:shd w:val="clear" w:color="auto" w:fill="FFFFFF" w:themeFill="background1"/>
            <w:vAlign w:val="center"/>
          </w:tcPr>
          <w:p w:rsidRPr="00F7410D" w:rsidR="00F7410D" w:rsidP="0097091A" w:rsidRDefault="00F7410D" w14:paraId="1F18719B" w14:textId="325F4E1A">
            <w:pPr>
              <w:widowControl w:val="0"/>
              <w:tabs>
                <w:tab w:val="left" w:pos="0"/>
              </w:tabs>
              <w:autoSpaceDE w:val="0"/>
              <w:autoSpaceDN w:val="0"/>
              <w:adjustRightInd w:val="0"/>
              <w:jc w:val="center"/>
              <w:rPr>
                <w:rFonts w:cstheme="minorHAnsi"/>
                <w:color w:val="000000"/>
                <w:sz w:val="20"/>
                <w:szCs w:val="20"/>
              </w:rPr>
            </w:pPr>
            <w:r w:rsidRPr="00F7410D">
              <w:rPr>
                <w:rFonts w:cstheme="minorHAnsi"/>
                <w:color w:val="000000"/>
                <w:sz w:val="20"/>
                <w:szCs w:val="20"/>
              </w:rPr>
              <w:t>6/60</w:t>
            </w:r>
          </w:p>
        </w:tc>
        <w:tc>
          <w:tcPr>
            <w:tcW w:w="1530" w:type="dxa"/>
            <w:shd w:val="clear" w:color="auto" w:fill="FFFFFF" w:themeFill="background1"/>
            <w:vAlign w:val="center"/>
          </w:tcPr>
          <w:p w:rsidRPr="00F7410D" w:rsidR="00F7410D" w:rsidP="0097091A" w:rsidRDefault="005069E4" w14:paraId="07CB0DBF" w14:textId="037396ED">
            <w:pPr>
              <w:widowControl w:val="0"/>
              <w:tabs>
                <w:tab w:val="left" w:pos="0"/>
              </w:tabs>
              <w:autoSpaceDE w:val="0"/>
              <w:autoSpaceDN w:val="0"/>
              <w:adjustRightInd w:val="0"/>
              <w:jc w:val="center"/>
              <w:rPr>
                <w:rFonts w:cstheme="minorHAnsi"/>
                <w:color w:val="000000"/>
                <w:sz w:val="20"/>
                <w:szCs w:val="20"/>
              </w:rPr>
            </w:pPr>
            <w:r>
              <w:rPr>
                <w:rFonts w:cstheme="minorHAnsi"/>
                <w:color w:val="000000"/>
                <w:sz w:val="20"/>
                <w:szCs w:val="20"/>
              </w:rPr>
              <w:t>40</w:t>
            </w:r>
          </w:p>
        </w:tc>
      </w:tr>
      <w:tr w:rsidRPr="000830C4" w:rsidR="006B7C14" w:rsidTr="00F7410D" w14:paraId="32FC2FC3" w14:textId="77777777">
        <w:tc>
          <w:tcPr>
            <w:tcW w:w="1559" w:type="dxa"/>
            <w:shd w:val="clear" w:color="auto" w:fill="FFFFFF" w:themeFill="background1"/>
            <w:vAlign w:val="center"/>
          </w:tcPr>
          <w:p w:rsidRPr="00F7410D" w:rsidR="006B7C14" w:rsidP="006B7C14" w:rsidRDefault="006B7C14" w14:paraId="53E78007" w14:textId="19105CEC">
            <w:pPr>
              <w:widowControl w:val="0"/>
              <w:tabs>
                <w:tab w:val="left" w:pos="0"/>
              </w:tabs>
              <w:autoSpaceDE w:val="0"/>
              <w:autoSpaceDN w:val="0"/>
              <w:adjustRightInd w:val="0"/>
              <w:rPr>
                <w:rFonts w:cstheme="minorHAnsi"/>
                <w:color w:val="000000"/>
                <w:sz w:val="20"/>
                <w:szCs w:val="20"/>
              </w:rPr>
            </w:pPr>
            <w:r w:rsidRPr="00F7410D">
              <w:rPr>
                <w:rFonts w:cstheme="minorHAnsi"/>
                <w:color w:val="000000"/>
                <w:sz w:val="20"/>
                <w:szCs w:val="20"/>
              </w:rPr>
              <w:t>State, Local, and Tribal Government Laboratories</w:t>
            </w:r>
          </w:p>
        </w:tc>
        <w:tc>
          <w:tcPr>
            <w:tcW w:w="1559" w:type="dxa"/>
            <w:shd w:val="clear" w:color="auto" w:fill="FFFFFF" w:themeFill="background1"/>
            <w:vAlign w:val="center"/>
          </w:tcPr>
          <w:p w:rsidRPr="00F7410D" w:rsidR="006B7C14" w:rsidP="0097091A" w:rsidRDefault="005069E4" w14:paraId="73276CD3" w14:textId="3A245B56">
            <w:pPr>
              <w:widowControl w:val="0"/>
              <w:tabs>
                <w:tab w:val="left" w:pos="0"/>
              </w:tabs>
              <w:autoSpaceDE w:val="0"/>
              <w:autoSpaceDN w:val="0"/>
              <w:adjustRightInd w:val="0"/>
              <w:jc w:val="center"/>
              <w:rPr>
                <w:rFonts w:cstheme="minorHAnsi"/>
                <w:color w:val="000000"/>
                <w:sz w:val="20"/>
                <w:szCs w:val="20"/>
              </w:rPr>
            </w:pPr>
            <w:r>
              <w:rPr>
                <w:rFonts w:cs="ITCFranklinGothicStd-Book"/>
                <w:sz w:val="20"/>
                <w:szCs w:val="20"/>
              </w:rPr>
              <w:t>TOM Kits*</w:t>
            </w:r>
            <w:r w:rsidRPr="0097091A" w:rsidR="006B7C14">
              <w:rPr>
                <w:rFonts w:cs="ITCFranklinGothicStd-Book"/>
                <w:sz w:val="20"/>
                <w:szCs w:val="20"/>
              </w:rPr>
              <w:t xml:space="preserve"> </w:t>
            </w:r>
            <w:r w:rsidR="00894DCC">
              <w:rPr>
                <w:rFonts w:cs="ITCFranklinGothicStd-Book"/>
                <w:sz w:val="20"/>
                <w:szCs w:val="20"/>
              </w:rPr>
              <w:t>Questions</w:t>
            </w:r>
            <w:r w:rsidRPr="00F7410D" w:rsidDel="0046193B" w:rsidR="006B7C14">
              <w:rPr>
                <w:rFonts w:cstheme="minorHAnsi"/>
                <w:sz w:val="20"/>
                <w:szCs w:val="20"/>
              </w:rPr>
              <w:t xml:space="preserve"> </w:t>
            </w:r>
          </w:p>
        </w:tc>
        <w:tc>
          <w:tcPr>
            <w:tcW w:w="1559" w:type="dxa"/>
            <w:shd w:val="clear" w:color="auto" w:fill="FFFFFF" w:themeFill="background1"/>
            <w:vAlign w:val="center"/>
          </w:tcPr>
          <w:p w:rsidRPr="00F7410D" w:rsidR="006B7C14" w:rsidP="0097091A" w:rsidRDefault="005069E4" w14:paraId="4A86C427" w14:textId="640BB033">
            <w:pPr>
              <w:widowControl w:val="0"/>
              <w:tabs>
                <w:tab w:val="left" w:pos="0"/>
              </w:tabs>
              <w:autoSpaceDE w:val="0"/>
              <w:autoSpaceDN w:val="0"/>
              <w:adjustRightInd w:val="0"/>
              <w:jc w:val="center"/>
              <w:rPr>
                <w:rFonts w:cstheme="minorHAnsi"/>
                <w:color w:val="000000"/>
                <w:sz w:val="20"/>
                <w:szCs w:val="20"/>
              </w:rPr>
            </w:pPr>
            <w:r>
              <w:rPr>
                <w:rFonts w:cstheme="minorHAnsi"/>
                <w:color w:val="000000"/>
                <w:sz w:val="20"/>
                <w:szCs w:val="20"/>
              </w:rPr>
              <w:t>400</w:t>
            </w:r>
          </w:p>
        </w:tc>
        <w:tc>
          <w:tcPr>
            <w:tcW w:w="1559" w:type="dxa"/>
            <w:shd w:val="clear" w:color="auto" w:fill="FFFFFF" w:themeFill="background1"/>
            <w:vAlign w:val="center"/>
          </w:tcPr>
          <w:p w:rsidRPr="00F7410D" w:rsidR="006B7C14" w:rsidP="0097091A" w:rsidRDefault="006B7C14" w14:paraId="2F1FDC6B" w14:textId="77777777">
            <w:pPr>
              <w:widowControl w:val="0"/>
              <w:tabs>
                <w:tab w:val="left" w:pos="0"/>
              </w:tabs>
              <w:autoSpaceDE w:val="0"/>
              <w:autoSpaceDN w:val="0"/>
              <w:adjustRightInd w:val="0"/>
              <w:jc w:val="center"/>
              <w:rPr>
                <w:rFonts w:cstheme="minorHAnsi"/>
                <w:color w:val="000000"/>
                <w:sz w:val="20"/>
                <w:szCs w:val="20"/>
              </w:rPr>
            </w:pPr>
            <w:r w:rsidRPr="00F7410D">
              <w:rPr>
                <w:rFonts w:cstheme="minorHAnsi"/>
                <w:color w:val="000000"/>
                <w:sz w:val="20"/>
                <w:szCs w:val="20"/>
              </w:rPr>
              <w:t>1</w:t>
            </w:r>
          </w:p>
        </w:tc>
        <w:tc>
          <w:tcPr>
            <w:tcW w:w="1589" w:type="dxa"/>
            <w:shd w:val="clear" w:color="auto" w:fill="FFFFFF" w:themeFill="background1"/>
            <w:vAlign w:val="center"/>
          </w:tcPr>
          <w:p w:rsidRPr="00F7410D" w:rsidR="006B7C14" w:rsidP="0097091A" w:rsidRDefault="006B7C14" w14:paraId="7457BCF3" w14:textId="2F739329">
            <w:pPr>
              <w:widowControl w:val="0"/>
              <w:tabs>
                <w:tab w:val="left" w:pos="0"/>
              </w:tabs>
              <w:autoSpaceDE w:val="0"/>
              <w:autoSpaceDN w:val="0"/>
              <w:adjustRightInd w:val="0"/>
              <w:jc w:val="center"/>
              <w:rPr>
                <w:rFonts w:cstheme="minorHAnsi"/>
                <w:color w:val="000000"/>
                <w:sz w:val="20"/>
                <w:szCs w:val="20"/>
              </w:rPr>
            </w:pPr>
            <w:r w:rsidRPr="00F7410D">
              <w:rPr>
                <w:rFonts w:cstheme="minorHAnsi"/>
                <w:color w:val="000000"/>
                <w:sz w:val="20"/>
                <w:szCs w:val="20"/>
              </w:rPr>
              <w:t>6/60</w:t>
            </w:r>
          </w:p>
        </w:tc>
        <w:tc>
          <w:tcPr>
            <w:tcW w:w="1530" w:type="dxa"/>
            <w:shd w:val="clear" w:color="auto" w:fill="FFFFFF" w:themeFill="background1"/>
            <w:vAlign w:val="center"/>
          </w:tcPr>
          <w:p w:rsidRPr="00F7410D" w:rsidR="006B7C14" w:rsidP="0097091A" w:rsidRDefault="005069E4" w14:paraId="64F8AC70" w14:textId="012BDB76">
            <w:pPr>
              <w:widowControl w:val="0"/>
              <w:tabs>
                <w:tab w:val="left" w:pos="0"/>
              </w:tabs>
              <w:autoSpaceDE w:val="0"/>
              <w:autoSpaceDN w:val="0"/>
              <w:adjustRightInd w:val="0"/>
              <w:jc w:val="center"/>
              <w:rPr>
                <w:rFonts w:cstheme="minorHAnsi"/>
                <w:color w:val="000000"/>
                <w:sz w:val="20"/>
                <w:szCs w:val="20"/>
              </w:rPr>
            </w:pPr>
            <w:r>
              <w:rPr>
                <w:rFonts w:cstheme="minorHAnsi"/>
                <w:color w:val="000000"/>
                <w:sz w:val="20"/>
                <w:szCs w:val="20"/>
              </w:rPr>
              <w:t>40</w:t>
            </w:r>
          </w:p>
        </w:tc>
      </w:tr>
      <w:tr w:rsidRPr="000830C4" w:rsidR="006B7C14" w:rsidTr="00F7410D" w14:paraId="2F385433" w14:textId="77777777">
        <w:tc>
          <w:tcPr>
            <w:tcW w:w="1559" w:type="dxa"/>
            <w:shd w:val="clear" w:color="auto" w:fill="FFFFFF" w:themeFill="background1"/>
            <w:vAlign w:val="center"/>
          </w:tcPr>
          <w:p w:rsidRPr="00F7410D" w:rsidR="006B7C14" w:rsidP="006B7C14" w:rsidRDefault="006B7C14" w14:paraId="0FC114F9" w14:textId="287D1244">
            <w:pPr>
              <w:widowControl w:val="0"/>
              <w:tabs>
                <w:tab w:val="left" w:pos="0"/>
              </w:tabs>
              <w:autoSpaceDE w:val="0"/>
              <w:autoSpaceDN w:val="0"/>
              <w:adjustRightInd w:val="0"/>
              <w:rPr>
                <w:rFonts w:cstheme="minorHAnsi"/>
                <w:color w:val="000000"/>
                <w:sz w:val="20"/>
                <w:szCs w:val="20"/>
              </w:rPr>
            </w:pPr>
            <w:r w:rsidRPr="00F7410D">
              <w:rPr>
                <w:rFonts w:cstheme="minorHAnsi"/>
                <w:color w:val="000000"/>
                <w:sz w:val="20"/>
                <w:szCs w:val="20"/>
              </w:rPr>
              <w:t xml:space="preserve">Private or Not-for-Profit Institutions  </w:t>
            </w:r>
          </w:p>
        </w:tc>
        <w:tc>
          <w:tcPr>
            <w:tcW w:w="1559" w:type="dxa"/>
            <w:shd w:val="clear" w:color="auto" w:fill="FFFFFF" w:themeFill="background1"/>
            <w:vAlign w:val="center"/>
          </w:tcPr>
          <w:p w:rsidRPr="00F7410D" w:rsidR="006B7C14" w:rsidP="0097091A" w:rsidRDefault="006F18C4" w14:paraId="7D4E52B8" w14:textId="610A0730">
            <w:pPr>
              <w:widowControl w:val="0"/>
              <w:tabs>
                <w:tab w:val="left" w:pos="0"/>
              </w:tabs>
              <w:autoSpaceDE w:val="0"/>
              <w:autoSpaceDN w:val="0"/>
              <w:adjustRightInd w:val="0"/>
              <w:jc w:val="center"/>
              <w:rPr>
                <w:rFonts w:cstheme="minorHAnsi"/>
                <w:color w:val="000000"/>
                <w:sz w:val="20"/>
                <w:szCs w:val="20"/>
              </w:rPr>
            </w:pPr>
            <w:r>
              <w:rPr>
                <w:rFonts w:cs="ITCFranklinGothicStd-Book"/>
                <w:sz w:val="20"/>
                <w:szCs w:val="20"/>
              </w:rPr>
              <w:t>TOM Kits*</w:t>
            </w:r>
            <w:r w:rsidRPr="0097091A">
              <w:rPr>
                <w:rFonts w:cs="ITCFranklinGothicStd-Book"/>
                <w:sz w:val="20"/>
                <w:szCs w:val="20"/>
              </w:rPr>
              <w:t xml:space="preserve"> </w:t>
            </w:r>
            <w:r>
              <w:rPr>
                <w:rFonts w:cs="ITCFranklinGothicStd-Book"/>
                <w:sz w:val="20"/>
                <w:szCs w:val="20"/>
              </w:rPr>
              <w:t>Questions</w:t>
            </w:r>
          </w:p>
        </w:tc>
        <w:tc>
          <w:tcPr>
            <w:tcW w:w="1559" w:type="dxa"/>
            <w:shd w:val="clear" w:color="auto" w:fill="FFFFFF" w:themeFill="background1"/>
            <w:vAlign w:val="center"/>
          </w:tcPr>
          <w:p w:rsidRPr="00F7410D" w:rsidR="006B7C14" w:rsidP="0097091A" w:rsidRDefault="005069E4" w14:paraId="40C85AE0" w14:textId="4DCF5948">
            <w:pPr>
              <w:widowControl w:val="0"/>
              <w:tabs>
                <w:tab w:val="left" w:pos="0"/>
              </w:tabs>
              <w:autoSpaceDE w:val="0"/>
              <w:autoSpaceDN w:val="0"/>
              <w:adjustRightInd w:val="0"/>
              <w:jc w:val="center"/>
              <w:rPr>
                <w:rFonts w:cstheme="minorHAnsi"/>
                <w:color w:val="000000"/>
                <w:sz w:val="20"/>
                <w:szCs w:val="20"/>
              </w:rPr>
            </w:pPr>
            <w:r>
              <w:rPr>
                <w:rFonts w:cstheme="minorHAnsi"/>
                <w:color w:val="000000"/>
                <w:sz w:val="20"/>
                <w:szCs w:val="20"/>
              </w:rPr>
              <w:t>400</w:t>
            </w:r>
          </w:p>
        </w:tc>
        <w:tc>
          <w:tcPr>
            <w:tcW w:w="1559" w:type="dxa"/>
            <w:shd w:val="clear" w:color="auto" w:fill="FFFFFF" w:themeFill="background1"/>
            <w:vAlign w:val="center"/>
          </w:tcPr>
          <w:p w:rsidRPr="00F7410D" w:rsidR="006B7C14" w:rsidP="0097091A" w:rsidRDefault="006B7C14" w14:paraId="61530AEE" w14:textId="77777777">
            <w:pPr>
              <w:widowControl w:val="0"/>
              <w:tabs>
                <w:tab w:val="left" w:pos="0"/>
              </w:tabs>
              <w:autoSpaceDE w:val="0"/>
              <w:autoSpaceDN w:val="0"/>
              <w:adjustRightInd w:val="0"/>
              <w:jc w:val="center"/>
              <w:rPr>
                <w:rFonts w:cstheme="minorHAnsi"/>
                <w:color w:val="000000"/>
                <w:sz w:val="20"/>
                <w:szCs w:val="20"/>
              </w:rPr>
            </w:pPr>
            <w:r w:rsidRPr="00F7410D">
              <w:rPr>
                <w:rFonts w:cstheme="minorHAnsi"/>
                <w:color w:val="000000"/>
                <w:sz w:val="20"/>
                <w:szCs w:val="20"/>
              </w:rPr>
              <w:t>1</w:t>
            </w:r>
          </w:p>
        </w:tc>
        <w:tc>
          <w:tcPr>
            <w:tcW w:w="1589" w:type="dxa"/>
            <w:shd w:val="clear" w:color="auto" w:fill="FFFFFF" w:themeFill="background1"/>
            <w:vAlign w:val="center"/>
          </w:tcPr>
          <w:p w:rsidRPr="00F7410D" w:rsidR="006B7C14" w:rsidP="0097091A" w:rsidRDefault="006B7C14" w14:paraId="49D73835" w14:textId="26A103B6">
            <w:pPr>
              <w:widowControl w:val="0"/>
              <w:tabs>
                <w:tab w:val="left" w:pos="0"/>
              </w:tabs>
              <w:autoSpaceDE w:val="0"/>
              <w:autoSpaceDN w:val="0"/>
              <w:adjustRightInd w:val="0"/>
              <w:jc w:val="center"/>
              <w:rPr>
                <w:rFonts w:cstheme="minorHAnsi"/>
                <w:color w:val="000000"/>
                <w:sz w:val="20"/>
                <w:szCs w:val="20"/>
              </w:rPr>
            </w:pPr>
            <w:r w:rsidRPr="00F7410D">
              <w:rPr>
                <w:rFonts w:cstheme="minorHAnsi"/>
                <w:color w:val="000000"/>
                <w:sz w:val="20"/>
                <w:szCs w:val="20"/>
              </w:rPr>
              <w:t>6/60</w:t>
            </w:r>
          </w:p>
        </w:tc>
        <w:tc>
          <w:tcPr>
            <w:tcW w:w="1530" w:type="dxa"/>
            <w:shd w:val="clear" w:color="auto" w:fill="FFFFFF" w:themeFill="background1"/>
            <w:vAlign w:val="center"/>
          </w:tcPr>
          <w:p w:rsidRPr="00F7410D" w:rsidR="006B7C14" w:rsidP="0097091A" w:rsidRDefault="005069E4" w14:paraId="60942ABC" w14:textId="5CA27674">
            <w:pPr>
              <w:widowControl w:val="0"/>
              <w:tabs>
                <w:tab w:val="left" w:pos="0"/>
              </w:tabs>
              <w:autoSpaceDE w:val="0"/>
              <w:autoSpaceDN w:val="0"/>
              <w:adjustRightInd w:val="0"/>
              <w:jc w:val="center"/>
              <w:rPr>
                <w:rFonts w:cstheme="minorHAnsi"/>
                <w:color w:val="000000"/>
                <w:sz w:val="20"/>
                <w:szCs w:val="20"/>
              </w:rPr>
            </w:pPr>
            <w:r>
              <w:rPr>
                <w:rFonts w:cstheme="minorHAnsi"/>
                <w:color w:val="000000"/>
                <w:sz w:val="20"/>
                <w:szCs w:val="20"/>
              </w:rPr>
              <w:t>40</w:t>
            </w:r>
          </w:p>
        </w:tc>
      </w:tr>
      <w:tr w:rsidRPr="000830C4" w:rsidR="006B7C14" w:rsidTr="00F7410D" w14:paraId="5B54BAAE" w14:textId="77777777">
        <w:tc>
          <w:tcPr>
            <w:tcW w:w="7825" w:type="dxa"/>
            <w:gridSpan w:val="5"/>
            <w:shd w:val="clear" w:color="auto" w:fill="FFFFFF" w:themeFill="background1"/>
          </w:tcPr>
          <w:p w:rsidRPr="0097091A" w:rsidR="006B7C14" w:rsidP="006B7C14" w:rsidRDefault="006B7C14" w14:paraId="51AC9FC0" w14:textId="4F487F21">
            <w:pPr>
              <w:widowControl w:val="0"/>
              <w:tabs>
                <w:tab w:val="left" w:pos="0"/>
              </w:tabs>
              <w:autoSpaceDE w:val="0"/>
              <w:autoSpaceDN w:val="0"/>
              <w:adjustRightInd w:val="0"/>
              <w:rPr>
                <w:rFonts w:cstheme="minorHAnsi"/>
                <w:color w:val="000000"/>
                <w:sz w:val="20"/>
                <w:szCs w:val="20"/>
              </w:rPr>
            </w:pPr>
            <w:r w:rsidRPr="0097091A">
              <w:rPr>
                <w:rFonts w:cstheme="minorHAnsi"/>
                <w:color w:val="000000"/>
                <w:sz w:val="20"/>
                <w:szCs w:val="20"/>
              </w:rPr>
              <w:t>Total</w:t>
            </w:r>
          </w:p>
        </w:tc>
        <w:tc>
          <w:tcPr>
            <w:tcW w:w="1530" w:type="dxa"/>
            <w:shd w:val="clear" w:color="auto" w:fill="FFFFFF" w:themeFill="background1"/>
            <w:vAlign w:val="center"/>
          </w:tcPr>
          <w:p w:rsidRPr="0097091A" w:rsidR="006B7C14" w:rsidP="0097091A" w:rsidRDefault="005069E4" w14:paraId="66796CED" w14:textId="29267DA6">
            <w:pPr>
              <w:widowControl w:val="0"/>
              <w:tabs>
                <w:tab w:val="left" w:pos="0"/>
              </w:tabs>
              <w:autoSpaceDE w:val="0"/>
              <w:autoSpaceDN w:val="0"/>
              <w:adjustRightInd w:val="0"/>
              <w:jc w:val="center"/>
              <w:rPr>
                <w:rFonts w:cstheme="minorHAnsi"/>
                <w:color w:val="000000"/>
                <w:sz w:val="20"/>
                <w:szCs w:val="20"/>
              </w:rPr>
            </w:pPr>
            <w:r>
              <w:rPr>
                <w:rFonts w:cstheme="minorHAnsi"/>
                <w:color w:val="000000"/>
                <w:sz w:val="20"/>
                <w:szCs w:val="20"/>
              </w:rPr>
              <w:t>120</w:t>
            </w:r>
          </w:p>
        </w:tc>
      </w:tr>
    </w:tbl>
    <w:p w:rsidR="00E70802" w:rsidP="00ED72E9" w:rsidRDefault="00E70802" w14:paraId="225F8053" w14:textId="74182706">
      <w:pPr>
        <w:spacing w:line="240" w:lineRule="auto"/>
        <w:rPr>
          <w:sz w:val="24"/>
          <w:szCs w:val="24"/>
        </w:rPr>
      </w:pPr>
    </w:p>
    <w:p w:rsidR="00DC0B71" w:rsidP="00ED72E9" w:rsidRDefault="00DC0B71" w14:paraId="5D9DFC53" w14:textId="77108E5F">
      <w:pPr>
        <w:spacing w:line="240" w:lineRule="auto"/>
        <w:rPr>
          <w:sz w:val="24"/>
          <w:szCs w:val="24"/>
        </w:rPr>
      </w:pPr>
      <w:r w:rsidRPr="00DC0B71">
        <w:rPr>
          <w:sz w:val="24"/>
          <w:szCs w:val="24"/>
        </w:rPr>
        <w:t>Estimates of the annualized cost to respondents were based on the Department of Labor “May 2018 National Occupational Employment and Wage Estimates, United States” mean hourly wages. (</w:t>
      </w:r>
      <w:hyperlink w:history="1" w:anchor="00-0000" r:id="rId18">
        <w:r w:rsidRPr="00D910F5">
          <w:rPr>
            <w:rStyle w:val="Hyperlink"/>
            <w:sz w:val="24"/>
            <w:szCs w:val="24"/>
          </w:rPr>
          <w:t>https://www.bls.gov/oes/current/oes_nat.htm#00-0000</w:t>
        </w:r>
      </w:hyperlink>
      <w:r>
        <w:rPr>
          <w:sz w:val="24"/>
          <w:szCs w:val="24"/>
        </w:rPr>
        <w:t>).</w:t>
      </w:r>
    </w:p>
    <w:p w:rsidR="000830C4" w:rsidP="0097091A" w:rsidRDefault="00DC0B71" w14:paraId="5CDDD04C" w14:textId="44AF1CB3">
      <w:pPr>
        <w:spacing w:before="120" w:line="240" w:lineRule="auto"/>
        <w:rPr>
          <w:rFonts w:eastAsia="Times New Roman"/>
          <w:kern w:val="36"/>
          <w:sz w:val="24"/>
          <w:szCs w:val="24"/>
        </w:rPr>
      </w:pPr>
      <w:r>
        <w:rPr>
          <w:sz w:val="24"/>
          <w:szCs w:val="24"/>
        </w:rPr>
        <w:lastRenderedPageBreak/>
        <w:t>NCEH used</w:t>
      </w:r>
      <w:r w:rsidRPr="00DC0B71">
        <w:rPr>
          <w:rFonts w:eastAsia="Times New Roman"/>
          <w:kern w:val="36"/>
          <w:sz w:val="24"/>
          <w:szCs w:val="24"/>
        </w:rPr>
        <w:t xml:space="preserve"> </w:t>
      </w:r>
      <w:r w:rsidRPr="00626C34">
        <w:rPr>
          <w:rFonts w:eastAsia="Times New Roman"/>
          <w:kern w:val="36"/>
          <w:sz w:val="24"/>
          <w:szCs w:val="24"/>
        </w:rPr>
        <w:t>the following occupation codes and hourly wage estimates to represent each respondent type in the burden table.</w:t>
      </w:r>
    </w:p>
    <w:p w:rsidR="00D14854" w:rsidP="0097091A" w:rsidRDefault="00D14854" w14:paraId="44BAEB3B" w14:textId="77777777">
      <w:pPr>
        <w:spacing w:after="0" w:line="240" w:lineRule="auto"/>
        <w:rPr>
          <w:sz w:val="24"/>
          <w:szCs w:val="24"/>
          <w:u w:val="single"/>
        </w:rPr>
      </w:pPr>
    </w:p>
    <w:p w:rsidRPr="00DC0B71" w:rsidR="00DC0B71" w:rsidP="00DC0B71" w:rsidRDefault="00DC0B71" w14:paraId="39AB1604" w14:textId="781124BA">
      <w:pPr>
        <w:spacing w:line="240" w:lineRule="auto"/>
        <w:rPr>
          <w:sz w:val="24"/>
          <w:szCs w:val="24"/>
          <w:u w:val="single"/>
        </w:rPr>
      </w:pPr>
      <w:r w:rsidRPr="00DC0B71">
        <w:rPr>
          <w:sz w:val="24"/>
          <w:szCs w:val="24"/>
          <w:u w:val="single"/>
        </w:rPr>
        <w:t>Mean Hourly Wages for Respondent Types</w:t>
      </w:r>
    </w:p>
    <w:tbl>
      <w:tblPr>
        <w:tblStyle w:val="TableGrid"/>
        <w:tblW w:w="9348" w:type="dxa"/>
        <w:tblLook w:val="04A0" w:firstRow="1" w:lastRow="0" w:firstColumn="1" w:lastColumn="0" w:noHBand="0" w:noVBand="1"/>
      </w:tblPr>
      <w:tblGrid>
        <w:gridCol w:w="2875"/>
        <w:gridCol w:w="1530"/>
        <w:gridCol w:w="3330"/>
        <w:gridCol w:w="1613"/>
      </w:tblGrid>
      <w:tr w:rsidRPr="00220229" w:rsidR="00DC0B71" w:rsidTr="002D02FE" w14:paraId="3EADCDC4" w14:textId="77777777">
        <w:tc>
          <w:tcPr>
            <w:tcW w:w="2875" w:type="dxa"/>
            <w:tcBorders>
              <w:top w:val="single" w:color="auto" w:sz="4" w:space="0"/>
              <w:left w:val="single" w:color="auto" w:sz="4" w:space="0"/>
              <w:bottom w:val="single" w:color="auto" w:sz="4" w:space="0"/>
              <w:right w:val="single" w:color="auto" w:sz="4" w:space="0"/>
            </w:tcBorders>
            <w:vAlign w:val="center"/>
          </w:tcPr>
          <w:p w:rsidRPr="0095515B" w:rsidR="00DC0B71" w:rsidP="002D02FE" w:rsidRDefault="00DC0B71" w14:paraId="6AA51022" w14:textId="77777777">
            <w:pPr>
              <w:jc w:val="center"/>
              <w:rPr>
                <w:color w:val="183061"/>
                <w:kern w:val="36"/>
                <w:sz w:val="20"/>
              </w:rPr>
            </w:pPr>
            <w:r w:rsidRPr="0095515B">
              <w:rPr>
                <w:sz w:val="20"/>
              </w:rPr>
              <w:t>Respondent Type</w:t>
            </w:r>
          </w:p>
        </w:tc>
        <w:tc>
          <w:tcPr>
            <w:tcW w:w="1530" w:type="dxa"/>
            <w:tcBorders>
              <w:top w:val="single" w:color="auto" w:sz="4" w:space="0"/>
              <w:left w:val="single" w:color="auto" w:sz="4" w:space="0"/>
              <w:bottom w:val="single" w:color="auto" w:sz="4" w:space="0"/>
              <w:right w:val="single" w:color="auto" w:sz="4" w:space="0"/>
            </w:tcBorders>
            <w:vAlign w:val="center"/>
          </w:tcPr>
          <w:p w:rsidRPr="0095515B" w:rsidR="00DC0B71" w:rsidP="002D02FE" w:rsidRDefault="00DC0B71" w14:paraId="5968C7CF" w14:textId="77777777">
            <w:pPr>
              <w:jc w:val="center"/>
              <w:rPr>
                <w:color w:val="183061"/>
                <w:kern w:val="36"/>
                <w:sz w:val="20"/>
              </w:rPr>
            </w:pPr>
            <w:r w:rsidRPr="0095515B">
              <w:rPr>
                <w:sz w:val="20"/>
              </w:rPr>
              <w:t>Occupation Code</w:t>
            </w:r>
          </w:p>
        </w:tc>
        <w:tc>
          <w:tcPr>
            <w:tcW w:w="3330" w:type="dxa"/>
            <w:tcBorders>
              <w:top w:val="single" w:color="auto" w:sz="4" w:space="0"/>
              <w:left w:val="single" w:color="auto" w:sz="4" w:space="0"/>
              <w:bottom w:val="single" w:color="auto" w:sz="4" w:space="0"/>
              <w:right w:val="single" w:color="auto" w:sz="4" w:space="0"/>
            </w:tcBorders>
            <w:vAlign w:val="center"/>
          </w:tcPr>
          <w:p w:rsidRPr="0095515B" w:rsidR="00DC0B71" w:rsidP="002D02FE" w:rsidRDefault="00DC0B71" w14:paraId="23C639C6" w14:textId="77777777">
            <w:pPr>
              <w:jc w:val="center"/>
              <w:rPr>
                <w:color w:val="183061"/>
                <w:kern w:val="36"/>
                <w:sz w:val="20"/>
              </w:rPr>
            </w:pPr>
            <w:r w:rsidRPr="0095515B">
              <w:rPr>
                <w:sz w:val="20"/>
              </w:rPr>
              <w:t>Occupation Title</w:t>
            </w:r>
          </w:p>
        </w:tc>
        <w:tc>
          <w:tcPr>
            <w:tcW w:w="1613" w:type="dxa"/>
            <w:tcBorders>
              <w:top w:val="single" w:color="auto" w:sz="4" w:space="0"/>
              <w:left w:val="single" w:color="auto" w:sz="4" w:space="0"/>
              <w:bottom w:val="single" w:color="auto" w:sz="4" w:space="0"/>
              <w:right w:val="single" w:color="auto" w:sz="4" w:space="0"/>
            </w:tcBorders>
            <w:vAlign w:val="center"/>
          </w:tcPr>
          <w:p w:rsidRPr="0095515B" w:rsidR="00DC0B71" w:rsidP="002D02FE" w:rsidRDefault="00DC0B71" w14:paraId="06A33826" w14:textId="77777777">
            <w:pPr>
              <w:jc w:val="center"/>
              <w:rPr>
                <w:color w:val="183061"/>
                <w:kern w:val="36"/>
                <w:sz w:val="20"/>
              </w:rPr>
            </w:pPr>
            <w:r w:rsidRPr="0095515B">
              <w:rPr>
                <w:sz w:val="20"/>
              </w:rPr>
              <w:t>Mean Hourly Wage</w:t>
            </w:r>
          </w:p>
        </w:tc>
      </w:tr>
      <w:tr w:rsidRPr="00220229" w:rsidR="00DC0B71" w:rsidTr="002D02FE" w14:paraId="22069014" w14:textId="77777777">
        <w:tc>
          <w:tcPr>
            <w:tcW w:w="2875" w:type="dxa"/>
            <w:tcBorders>
              <w:top w:val="single" w:color="auto" w:sz="4" w:space="0"/>
              <w:left w:val="single" w:color="auto" w:sz="4" w:space="0"/>
              <w:bottom w:val="single" w:color="auto" w:sz="4" w:space="0"/>
              <w:right w:val="single" w:color="auto" w:sz="4" w:space="0"/>
            </w:tcBorders>
            <w:vAlign w:val="center"/>
          </w:tcPr>
          <w:p w:rsidRPr="0095515B" w:rsidR="00DC0B71" w:rsidP="002D02FE" w:rsidRDefault="00DC0B71" w14:paraId="2CBBA861" w14:textId="3F01E067">
            <w:pPr>
              <w:rPr>
                <w:color w:val="183061"/>
                <w:kern w:val="36"/>
                <w:sz w:val="20"/>
              </w:rPr>
            </w:pPr>
            <w:r>
              <w:rPr>
                <w:sz w:val="20"/>
              </w:rPr>
              <w:t>Laboratorians and laboratory directors</w:t>
            </w:r>
          </w:p>
        </w:tc>
        <w:tc>
          <w:tcPr>
            <w:tcW w:w="1530" w:type="dxa"/>
            <w:tcBorders>
              <w:top w:val="single" w:color="auto" w:sz="4" w:space="0"/>
              <w:left w:val="single" w:color="auto" w:sz="4" w:space="0"/>
              <w:bottom w:val="single" w:color="auto" w:sz="4" w:space="0"/>
              <w:right w:val="single" w:color="auto" w:sz="4" w:space="0"/>
            </w:tcBorders>
            <w:vAlign w:val="center"/>
          </w:tcPr>
          <w:p w:rsidRPr="0095515B" w:rsidR="00DC0B71" w:rsidP="000830C4" w:rsidRDefault="00DC0B71" w14:paraId="3637525A" w14:textId="2C303868">
            <w:pPr>
              <w:jc w:val="center"/>
              <w:rPr>
                <w:color w:val="183061"/>
                <w:kern w:val="36"/>
                <w:sz w:val="20"/>
              </w:rPr>
            </w:pPr>
            <w:r>
              <w:rPr>
                <w:sz w:val="20"/>
              </w:rPr>
              <w:t>19</w:t>
            </w:r>
            <w:r w:rsidRPr="0095515B">
              <w:rPr>
                <w:sz w:val="20"/>
              </w:rPr>
              <w:t>-0000</w:t>
            </w:r>
          </w:p>
        </w:tc>
        <w:tc>
          <w:tcPr>
            <w:tcW w:w="3330" w:type="dxa"/>
            <w:tcBorders>
              <w:top w:val="single" w:color="auto" w:sz="4" w:space="0"/>
              <w:left w:val="single" w:color="auto" w:sz="4" w:space="0"/>
              <w:bottom w:val="single" w:color="auto" w:sz="4" w:space="0"/>
              <w:right w:val="single" w:color="auto" w:sz="4" w:space="0"/>
            </w:tcBorders>
            <w:vAlign w:val="center"/>
          </w:tcPr>
          <w:p w:rsidRPr="0095515B" w:rsidR="00DC0B71" w:rsidP="0097091A" w:rsidRDefault="00DC0B71" w14:paraId="035F1A9E" w14:textId="042B4565">
            <w:pPr>
              <w:jc w:val="center"/>
              <w:rPr>
                <w:color w:val="183061"/>
                <w:kern w:val="36"/>
                <w:sz w:val="20"/>
              </w:rPr>
            </w:pPr>
            <w:r>
              <w:rPr>
                <w:sz w:val="20"/>
              </w:rPr>
              <w:t>Life, Physical, and Social Science Occupations</w:t>
            </w:r>
          </w:p>
        </w:tc>
        <w:tc>
          <w:tcPr>
            <w:tcW w:w="1613" w:type="dxa"/>
            <w:tcBorders>
              <w:top w:val="single" w:color="auto" w:sz="4" w:space="0"/>
              <w:left w:val="single" w:color="auto" w:sz="4" w:space="0"/>
              <w:bottom w:val="single" w:color="auto" w:sz="4" w:space="0"/>
              <w:right w:val="single" w:color="auto" w:sz="4" w:space="0"/>
            </w:tcBorders>
            <w:vAlign w:val="center"/>
          </w:tcPr>
          <w:p w:rsidRPr="0095515B" w:rsidR="00DC0B71" w:rsidP="000830C4" w:rsidRDefault="00DC0B71" w14:paraId="728CE3A8" w14:textId="07B4A4D1">
            <w:pPr>
              <w:jc w:val="center"/>
              <w:rPr>
                <w:color w:val="183061"/>
                <w:kern w:val="36"/>
                <w:sz w:val="20"/>
              </w:rPr>
            </w:pPr>
            <w:r w:rsidRPr="0095515B">
              <w:rPr>
                <w:sz w:val="20"/>
              </w:rPr>
              <w:t>$</w:t>
            </w:r>
            <w:r>
              <w:rPr>
                <w:sz w:val="20"/>
              </w:rPr>
              <w:t>36</w:t>
            </w:r>
            <w:r w:rsidRPr="0095515B">
              <w:rPr>
                <w:sz w:val="20"/>
              </w:rPr>
              <w:t>.</w:t>
            </w:r>
            <w:r>
              <w:rPr>
                <w:sz w:val="20"/>
              </w:rPr>
              <w:t>62</w:t>
            </w:r>
          </w:p>
        </w:tc>
      </w:tr>
    </w:tbl>
    <w:p w:rsidR="00DC0B71" w:rsidP="00ED72E9" w:rsidRDefault="00DC0B71" w14:paraId="609F1148" w14:textId="5C2DA427">
      <w:pPr>
        <w:spacing w:line="240" w:lineRule="auto"/>
        <w:rPr>
          <w:sz w:val="24"/>
          <w:szCs w:val="24"/>
        </w:rPr>
      </w:pPr>
    </w:p>
    <w:p w:rsidRPr="0097091A" w:rsidR="00DC0B71" w:rsidP="00ED72E9" w:rsidRDefault="00DC0B71" w14:paraId="5DFF4196" w14:textId="6629A684">
      <w:pPr>
        <w:spacing w:line="240" w:lineRule="auto"/>
        <w:rPr>
          <w:sz w:val="24"/>
          <w:szCs w:val="24"/>
        </w:rPr>
      </w:pPr>
      <w:r w:rsidRPr="00DC0B71">
        <w:rPr>
          <w:sz w:val="24"/>
          <w:szCs w:val="24"/>
          <w:u w:val="single"/>
        </w:rPr>
        <w:t>Estimated Annualized Burden Costs</w:t>
      </w:r>
      <w:r w:rsidR="005069E4">
        <w:rPr>
          <w:sz w:val="24"/>
          <w:szCs w:val="24"/>
        </w:rPr>
        <w:t xml:space="preserve"> (Based on 2019 requests)</w:t>
      </w:r>
    </w:p>
    <w:tbl>
      <w:tblPr>
        <w:tblStyle w:val="TableGrid"/>
        <w:tblW w:w="0" w:type="auto"/>
        <w:tblLayout w:type="fixed"/>
        <w:tblLook w:val="04A0" w:firstRow="1" w:lastRow="0" w:firstColumn="1" w:lastColumn="0" w:noHBand="0" w:noVBand="1"/>
      </w:tblPr>
      <w:tblGrid>
        <w:gridCol w:w="1168"/>
        <w:gridCol w:w="1169"/>
        <w:gridCol w:w="1169"/>
        <w:gridCol w:w="1169"/>
        <w:gridCol w:w="1168"/>
        <w:gridCol w:w="1169"/>
        <w:gridCol w:w="1169"/>
        <w:gridCol w:w="1169"/>
      </w:tblGrid>
      <w:tr w:rsidRPr="000830C4" w:rsidR="00DC0B71" w:rsidTr="0097091A" w14:paraId="3CFAF949" w14:textId="77777777">
        <w:tc>
          <w:tcPr>
            <w:tcW w:w="1168" w:type="dxa"/>
            <w:vAlign w:val="center"/>
          </w:tcPr>
          <w:p w:rsidRPr="000830C4" w:rsidR="00DC0B71" w:rsidP="002D02FE" w:rsidRDefault="00DC0B71" w14:paraId="0017AE4D" w14:textId="77777777">
            <w:pPr>
              <w:jc w:val="center"/>
              <w:rPr>
                <w:sz w:val="20"/>
                <w:szCs w:val="20"/>
              </w:rPr>
            </w:pPr>
            <w:r w:rsidRPr="000830C4">
              <w:rPr>
                <w:sz w:val="20"/>
                <w:szCs w:val="20"/>
              </w:rPr>
              <w:t>Type of Respondent</w:t>
            </w:r>
          </w:p>
        </w:tc>
        <w:tc>
          <w:tcPr>
            <w:tcW w:w="1169" w:type="dxa"/>
            <w:vAlign w:val="center"/>
          </w:tcPr>
          <w:p w:rsidRPr="00132221" w:rsidR="00DC0B71" w:rsidP="002D02FE" w:rsidRDefault="00DC0B71" w14:paraId="278664D7" w14:textId="77777777">
            <w:pPr>
              <w:jc w:val="center"/>
              <w:rPr>
                <w:sz w:val="20"/>
                <w:szCs w:val="20"/>
              </w:rPr>
            </w:pPr>
            <w:r w:rsidRPr="00132221">
              <w:rPr>
                <w:sz w:val="20"/>
                <w:szCs w:val="20"/>
              </w:rPr>
              <w:t>Form Name</w:t>
            </w:r>
          </w:p>
        </w:tc>
        <w:tc>
          <w:tcPr>
            <w:tcW w:w="1169" w:type="dxa"/>
            <w:vAlign w:val="center"/>
          </w:tcPr>
          <w:p w:rsidRPr="000B54F0" w:rsidR="00DC0B71" w:rsidP="002D02FE" w:rsidRDefault="00DC0B71" w14:paraId="69D74DAB" w14:textId="77777777">
            <w:pPr>
              <w:jc w:val="center"/>
              <w:rPr>
                <w:sz w:val="20"/>
                <w:szCs w:val="20"/>
              </w:rPr>
            </w:pPr>
            <w:r w:rsidRPr="000B54F0">
              <w:rPr>
                <w:sz w:val="20"/>
                <w:szCs w:val="20"/>
              </w:rPr>
              <w:t>Number of Respondents</w:t>
            </w:r>
          </w:p>
        </w:tc>
        <w:tc>
          <w:tcPr>
            <w:tcW w:w="1169" w:type="dxa"/>
            <w:vAlign w:val="center"/>
          </w:tcPr>
          <w:p w:rsidRPr="003833C5" w:rsidR="00DC0B71" w:rsidP="002D02FE" w:rsidRDefault="00DC0B71" w14:paraId="03CB7E21" w14:textId="77777777">
            <w:pPr>
              <w:jc w:val="center"/>
              <w:rPr>
                <w:sz w:val="20"/>
                <w:szCs w:val="20"/>
              </w:rPr>
            </w:pPr>
            <w:r w:rsidRPr="003833C5">
              <w:rPr>
                <w:sz w:val="20"/>
                <w:szCs w:val="20"/>
              </w:rPr>
              <w:t>Number of Responses per Respondent</w:t>
            </w:r>
          </w:p>
        </w:tc>
        <w:tc>
          <w:tcPr>
            <w:tcW w:w="1168" w:type="dxa"/>
            <w:vAlign w:val="center"/>
          </w:tcPr>
          <w:p w:rsidRPr="00276CD8" w:rsidR="00DC0B71" w:rsidP="002D02FE" w:rsidRDefault="00DC0B71" w14:paraId="30B265C5" w14:textId="77777777">
            <w:pPr>
              <w:jc w:val="center"/>
              <w:rPr>
                <w:sz w:val="20"/>
                <w:szCs w:val="20"/>
              </w:rPr>
            </w:pPr>
            <w:r w:rsidRPr="00276CD8">
              <w:rPr>
                <w:sz w:val="20"/>
                <w:szCs w:val="20"/>
              </w:rPr>
              <w:t>Average Burden per Response</w:t>
            </w:r>
          </w:p>
          <w:p w:rsidRPr="009857F3" w:rsidR="00DC0B71" w:rsidP="002D02FE" w:rsidRDefault="00DC0B71" w14:paraId="46F70FBB" w14:textId="77777777">
            <w:pPr>
              <w:jc w:val="center"/>
              <w:rPr>
                <w:sz w:val="20"/>
                <w:szCs w:val="20"/>
              </w:rPr>
            </w:pPr>
            <w:r w:rsidRPr="009857F3">
              <w:rPr>
                <w:sz w:val="20"/>
                <w:szCs w:val="20"/>
              </w:rPr>
              <w:t>(in hours)</w:t>
            </w:r>
          </w:p>
        </w:tc>
        <w:tc>
          <w:tcPr>
            <w:tcW w:w="1169" w:type="dxa"/>
            <w:vAlign w:val="center"/>
          </w:tcPr>
          <w:p w:rsidRPr="007C3632" w:rsidR="00DC0B71" w:rsidP="002D02FE" w:rsidRDefault="00DC0B71" w14:paraId="0F23589F" w14:textId="77777777">
            <w:pPr>
              <w:jc w:val="center"/>
              <w:rPr>
                <w:sz w:val="20"/>
                <w:szCs w:val="20"/>
              </w:rPr>
            </w:pPr>
            <w:r w:rsidRPr="007C3632">
              <w:rPr>
                <w:sz w:val="20"/>
                <w:szCs w:val="20"/>
              </w:rPr>
              <w:t>Total Burden Hours</w:t>
            </w:r>
          </w:p>
        </w:tc>
        <w:tc>
          <w:tcPr>
            <w:tcW w:w="1169" w:type="dxa"/>
            <w:vAlign w:val="center"/>
          </w:tcPr>
          <w:p w:rsidRPr="007C3632" w:rsidR="00DC0B71" w:rsidP="002D02FE" w:rsidRDefault="00DC0B71" w14:paraId="5A0B7D83" w14:textId="77777777">
            <w:pPr>
              <w:jc w:val="center"/>
              <w:rPr>
                <w:sz w:val="20"/>
                <w:szCs w:val="20"/>
              </w:rPr>
            </w:pPr>
            <w:r w:rsidRPr="007C3632">
              <w:rPr>
                <w:sz w:val="20"/>
                <w:szCs w:val="20"/>
              </w:rPr>
              <w:t>Hourly Wage Rate</w:t>
            </w:r>
          </w:p>
        </w:tc>
        <w:tc>
          <w:tcPr>
            <w:tcW w:w="1169" w:type="dxa"/>
            <w:vAlign w:val="center"/>
          </w:tcPr>
          <w:p w:rsidRPr="007C3632" w:rsidR="00DC0B71" w:rsidP="002D02FE" w:rsidRDefault="00DC0B71" w14:paraId="05DAFBCF" w14:textId="77777777">
            <w:pPr>
              <w:jc w:val="center"/>
              <w:rPr>
                <w:sz w:val="20"/>
                <w:szCs w:val="20"/>
              </w:rPr>
            </w:pPr>
            <w:r w:rsidRPr="007C3632">
              <w:rPr>
                <w:sz w:val="20"/>
                <w:szCs w:val="20"/>
              </w:rPr>
              <w:t>Total Respondent Costs</w:t>
            </w:r>
          </w:p>
        </w:tc>
      </w:tr>
      <w:tr w:rsidRPr="000830C4" w:rsidR="00F7410D" w:rsidTr="00F7410D" w14:paraId="221625B1" w14:textId="77777777">
        <w:tc>
          <w:tcPr>
            <w:tcW w:w="1168" w:type="dxa"/>
            <w:vAlign w:val="center"/>
          </w:tcPr>
          <w:p w:rsidRPr="000830C4" w:rsidR="00F7410D" w:rsidP="00F7410D" w:rsidRDefault="00F7410D" w14:paraId="026AACAE" w14:textId="0CECDF3D">
            <w:pPr>
              <w:rPr>
                <w:sz w:val="20"/>
                <w:szCs w:val="20"/>
              </w:rPr>
            </w:pPr>
            <w:r w:rsidRPr="0097091A">
              <w:rPr>
                <w:rFonts w:cstheme="minorHAnsi"/>
                <w:color w:val="000000"/>
                <w:sz w:val="20"/>
                <w:szCs w:val="20"/>
              </w:rPr>
              <w:t>Federal Laboratories</w:t>
            </w:r>
          </w:p>
        </w:tc>
        <w:tc>
          <w:tcPr>
            <w:tcW w:w="1169" w:type="dxa"/>
            <w:vAlign w:val="center"/>
          </w:tcPr>
          <w:p w:rsidRPr="000830C4" w:rsidR="00F7410D" w:rsidP="0097091A" w:rsidRDefault="005069E4" w14:paraId="516F4EAD" w14:textId="2654E8C5">
            <w:pPr>
              <w:jc w:val="center"/>
              <w:rPr>
                <w:sz w:val="20"/>
                <w:szCs w:val="20"/>
              </w:rPr>
            </w:pPr>
            <w:r>
              <w:rPr>
                <w:rFonts w:cs="ITCFranklinGothicStd-Book"/>
                <w:sz w:val="20"/>
                <w:szCs w:val="20"/>
              </w:rPr>
              <w:t>TOM Kits*</w:t>
            </w:r>
            <w:r w:rsidRPr="0027509E" w:rsidR="00F7410D">
              <w:rPr>
                <w:rFonts w:cs="ITCFranklinGothicStd-Book"/>
                <w:sz w:val="20"/>
                <w:szCs w:val="20"/>
              </w:rPr>
              <w:t xml:space="preserve"> </w:t>
            </w:r>
            <w:r w:rsidR="00894DCC">
              <w:rPr>
                <w:rFonts w:cs="ITCFranklinGothicStd-Book"/>
                <w:sz w:val="20"/>
                <w:szCs w:val="20"/>
              </w:rPr>
              <w:t>Questions</w:t>
            </w:r>
            <w:r w:rsidRPr="00F7410D" w:rsidDel="0046193B" w:rsidR="00F7410D">
              <w:rPr>
                <w:rFonts w:cstheme="minorHAnsi"/>
                <w:sz w:val="20"/>
                <w:szCs w:val="20"/>
              </w:rPr>
              <w:t xml:space="preserve"> </w:t>
            </w:r>
          </w:p>
        </w:tc>
        <w:tc>
          <w:tcPr>
            <w:tcW w:w="1169" w:type="dxa"/>
            <w:vAlign w:val="center"/>
          </w:tcPr>
          <w:p w:rsidRPr="000830C4" w:rsidR="00F7410D" w:rsidP="00F7410D" w:rsidRDefault="005069E4" w14:paraId="362A16EC" w14:textId="071FF00D">
            <w:pPr>
              <w:jc w:val="center"/>
              <w:rPr>
                <w:color w:val="000000"/>
                <w:sz w:val="20"/>
                <w:szCs w:val="20"/>
              </w:rPr>
            </w:pPr>
            <w:r>
              <w:rPr>
                <w:rFonts w:cstheme="minorHAnsi"/>
                <w:color w:val="000000"/>
                <w:sz w:val="20"/>
                <w:szCs w:val="20"/>
              </w:rPr>
              <w:t>400</w:t>
            </w:r>
          </w:p>
        </w:tc>
        <w:tc>
          <w:tcPr>
            <w:tcW w:w="1169" w:type="dxa"/>
            <w:vAlign w:val="center"/>
          </w:tcPr>
          <w:p w:rsidRPr="000830C4" w:rsidR="00F7410D" w:rsidP="00F7410D" w:rsidRDefault="00F7410D" w14:paraId="07BE1E93" w14:textId="13E7DB23">
            <w:pPr>
              <w:jc w:val="center"/>
              <w:rPr>
                <w:color w:val="000000"/>
                <w:sz w:val="20"/>
                <w:szCs w:val="20"/>
              </w:rPr>
            </w:pPr>
            <w:r w:rsidRPr="000830C4">
              <w:rPr>
                <w:color w:val="000000"/>
                <w:sz w:val="20"/>
                <w:szCs w:val="20"/>
              </w:rPr>
              <w:t>1</w:t>
            </w:r>
          </w:p>
        </w:tc>
        <w:tc>
          <w:tcPr>
            <w:tcW w:w="1168" w:type="dxa"/>
            <w:vAlign w:val="center"/>
          </w:tcPr>
          <w:p w:rsidRPr="00F51527" w:rsidR="00F7410D" w:rsidP="00F7410D" w:rsidRDefault="00F7410D" w14:paraId="23A7A1C7" w14:textId="6F48CD5B">
            <w:pPr>
              <w:jc w:val="center"/>
              <w:rPr>
                <w:color w:val="000000"/>
                <w:sz w:val="20"/>
                <w:szCs w:val="20"/>
              </w:rPr>
            </w:pPr>
            <w:r w:rsidRPr="000830C4">
              <w:rPr>
                <w:color w:val="000000"/>
                <w:sz w:val="20"/>
                <w:szCs w:val="20"/>
              </w:rPr>
              <w:t>6/60</w:t>
            </w:r>
          </w:p>
        </w:tc>
        <w:tc>
          <w:tcPr>
            <w:tcW w:w="1169" w:type="dxa"/>
            <w:vAlign w:val="center"/>
          </w:tcPr>
          <w:p w:rsidRPr="000830C4" w:rsidR="00F7410D" w:rsidP="00F7410D" w:rsidRDefault="005069E4" w14:paraId="70F627DB" w14:textId="76C092D1">
            <w:pPr>
              <w:jc w:val="center"/>
              <w:rPr>
                <w:color w:val="000000"/>
                <w:sz w:val="20"/>
                <w:szCs w:val="20"/>
              </w:rPr>
            </w:pPr>
            <w:r>
              <w:rPr>
                <w:rFonts w:cstheme="minorHAnsi"/>
                <w:color w:val="000000"/>
                <w:sz w:val="20"/>
                <w:szCs w:val="20"/>
              </w:rPr>
              <w:t>40</w:t>
            </w:r>
          </w:p>
        </w:tc>
        <w:tc>
          <w:tcPr>
            <w:tcW w:w="1169" w:type="dxa"/>
            <w:vAlign w:val="center"/>
          </w:tcPr>
          <w:p w:rsidRPr="00F51527" w:rsidR="00F7410D" w:rsidP="00F7410D" w:rsidRDefault="00F7410D" w14:paraId="2E63F139" w14:textId="398C8A2B">
            <w:pPr>
              <w:jc w:val="center"/>
              <w:rPr>
                <w:sz w:val="20"/>
                <w:szCs w:val="20"/>
              </w:rPr>
            </w:pPr>
            <w:r w:rsidRPr="000830C4">
              <w:rPr>
                <w:sz w:val="20"/>
                <w:szCs w:val="20"/>
              </w:rPr>
              <w:t>$36.6</w:t>
            </w:r>
            <w:r w:rsidRPr="00F51527">
              <w:rPr>
                <w:sz w:val="20"/>
                <w:szCs w:val="20"/>
              </w:rPr>
              <w:t>2</w:t>
            </w:r>
          </w:p>
        </w:tc>
        <w:tc>
          <w:tcPr>
            <w:tcW w:w="1169" w:type="dxa"/>
            <w:vAlign w:val="center"/>
          </w:tcPr>
          <w:p w:rsidRPr="000830C4" w:rsidR="00F7410D" w:rsidP="00F7410D" w:rsidRDefault="00F7410D" w14:paraId="4B29EA81" w14:textId="2272A084">
            <w:pPr>
              <w:jc w:val="center"/>
              <w:rPr>
                <w:color w:val="000000"/>
                <w:sz w:val="20"/>
                <w:szCs w:val="20"/>
              </w:rPr>
            </w:pPr>
            <w:r w:rsidRPr="0097091A">
              <w:rPr>
                <w:color w:val="000000"/>
                <w:sz w:val="20"/>
                <w:szCs w:val="20"/>
              </w:rPr>
              <w:t>$</w:t>
            </w:r>
            <w:r w:rsidR="005069E4">
              <w:rPr>
                <w:color w:val="000000"/>
                <w:sz w:val="20"/>
                <w:szCs w:val="20"/>
              </w:rPr>
              <w:t>1,464.</w:t>
            </w:r>
            <w:r w:rsidR="0067446A">
              <w:rPr>
                <w:color w:val="000000"/>
                <w:sz w:val="20"/>
                <w:szCs w:val="20"/>
              </w:rPr>
              <w:t>8</w:t>
            </w:r>
            <w:r w:rsidR="005069E4">
              <w:rPr>
                <w:color w:val="000000"/>
                <w:sz w:val="20"/>
                <w:szCs w:val="20"/>
              </w:rPr>
              <w:t>0</w:t>
            </w:r>
          </w:p>
        </w:tc>
      </w:tr>
      <w:tr w:rsidRPr="000830C4" w:rsidR="006B7C14" w:rsidTr="00F7410D" w14:paraId="6B85EC2B" w14:textId="77777777">
        <w:tc>
          <w:tcPr>
            <w:tcW w:w="1168" w:type="dxa"/>
            <w:vAlign w:val="center"/>
          </w:tcPr>
          <w:p w:rsidRPr="000830C4" w:rsidR="006B7C14" w:rsidP="006B7C14" w:rsidRDefault="006B7C14" w14:paraId="07E1DBC9" w14:textId="60F43005">
            <w:pPr>
              <w:rPr>
                <w:sz w:val="20"/>
                <w:szCs w:val="20"/>
              </w:rPr>
            </w:pPr>
            <w:r w:rsidRPr="0097091A">
              <w:rPr>
                <w:rFonts w:cstheme="minorHAnsi"/>
                <w:color w:val="000000"/>
                <w:sz w:val="20"/>
                <w:szCs w:val="20"/>
              </w:rPr>
              <w:t>State, Local, and Tribal Government Laboratories</w:t>
            </w:r>
          </w:p>
        </w:tc>
        <w:tc>
          <w:tcPr>
            <w:tcW w:w="1169" w:type="dxa"/>
            <w:vAlign w:val="center"/>
          </w:tcPr>
          <w:p w:rsidRPr="000830C4" w:rsidR="006B7C14" w:rsidP="0097091A" w:rsidRDefault="005069E4" w14:paraId="7EB9744C" w14:textId="22849E5A">
            <w:pPr>
              <w:jc w:val="center"/>
              <w:rPr>
                <w:sz w:val="20"/>
                <w:szCs w:val="20"/>
              </w:rPr>
            </w:pPr>
            <w:r>
              <w:rPr>
                <w:rFonts w:cs="ITCFranklinGothicStd-Book"/>
                <w:sz w:val="20"/>
                <w:szCs w:val="20"/>
              </w:rPr>
              <w:t>TOM Kits*</w:t>
            </w:r>
            <w:r w:rsidRPr="0027509E" w:rsidR="006B7C14">
              <w:rPr>
                <w:rFonts w:cs="ITCFranklinGothicStd-Book"/>
                <w:sz w:val="20"/>
                <w:szCs w:val="20"/>
              </w:rPr>
              <w:t xml:space="preserve"> </w:t>
            </w:r>
            <w:r w:rsidR="00894DCC">
              <w:rPr>
                <w:rFonts w:cs="ITCFranklinGothicStd-Book"/>
                <w:sz w:val="20"/>
                <w:szCs w:val="20"/>
              </w:rPr>
              <w:t>Questions</w:t>
            </w:r>
            <w:r w:rsidRPr="00F7410D" w:rsidDel="0046193B" w:rsidR="006B7C14">
              <w:rPr>
                <w:rFonts w:cstheme="minorHAnsi"/>
                <w:sz w:val="20"/>
                <w:szCs w:val="20"/>
              </w:rPr>
              <w:t xml:space="preserve"> </w:t>
            </w:r>
          </w:p>
        </w:tc>
        <w:tc>
          <w:tcPr>
            <w:tcW w:w="1169" w:type="dxa"/>
            <w:vAlign w:val="center"/>
          </w:tcPr>
          <w:p w:rsidRPr="000830C4" w:rsidR="006B7C14" w:rsidP="006B7C14" w:rsidRDefault="005069E4" w14:paraId="2BAF9659" w14:textId="26E26812">
            <w:pPr>
              <w:jc w:val="center"/>
              <w:rPr>
                <w:sz w:val="20"/>
                <w:szCs w:val="20"/>
              </w:rPr>
            </w:pPr>
            <w:r>
              <w:rPr>
                <w:rFonts w:cstheme="minorHAnsi"/>
                <w:color w:val="000000"/>
                <w:sz w:val="20"/>
                <w:szCs w:val="20"/>
              </w:rPr>
              <w:t>400</w:t>
            </w:r>
          </w:p>
        </w:tc>
        <w:tc>
          <w:tcPr>
            <w:tcW w:w="1169" w:type="dxa"/>
            <w:vAlign w:val="center"/>
          </w:tcPr>
          <w:p w:rsidRPr="000830C4" w:rsidR="006B7C14" w:rsidP="006B7C14" w:rsidRDefault="006B7C14" w14:paraId="0A27AF39" w14:textId="2994BE50">
            <w:pPr>
              <w:jc w:val="center"/>
              <w:rPr>
                <w:sz w:val="20"/>
                <w:szCs w:val="20"/>
              </w:rPr>
            </w:pPr>
            <w:r w:rsidRPr="000830C4">
              <w:rPr>
                <w:sz w:val="20"/>
                <w:szCs w:val="20"/>
              </w:rPr>
              <w:t>1</w:t>
            </w:r>
          </w:p>
        </w:tc>
        <w:tc>
          <w:tcPr>
            <w:tcW w:w="1168" w:type="dxa"/>
            <w:vAlign w:val="center"/>
          </w:tcPr>
          <w:p w:rsidRPr="00F51527" w:rsidR="006B7C14" w:rsidP="006B7C14" w:rsidRDefault="006B7C14" w14:paraId="2F79DDD9" w14:textId="26104F01">
            <w:pPr>
              <w:jc w:val="center"/>
              <w:rPr>
                <w:sz w:val="20"/>
                <w:szCs w:val="20"/>
              </w:rPr>
            </w:pPr>
            <w:r w:rsidRPr="00F51527">
              <w:rPr>
                <w:sz w:val="20"/>
                <w:szCs w:val="20"/>
              </w:rPr>
              <w:t>6/60</w:t>
            </w:r>
          </w:p>
        </w:tc>
        <w:tc>
          <w:tcPr>
            <w:tcW w:w="1169" w:type="dxa"/>
            <w:vAlign w:val="center"/>
          </w:tcPr>
          <w:p w:rsidRPr="000830C4" w:rsidR="006B7C14" w:rsidP="006B7C14" w:rsidRDefault="005069E4" w14:paraId="714093E3" w14:textId="56BF4517">
            <w:pPr>
              <w:jc w:val="center"/>
              <w:rPr>
                <w:sz w:val="20"/>
                <w:szCs w:val="20"/>
              </w:rPr>
            </w:pPr>
            <w:r>
              <w:rPr>
                <w:rFonts w:cstheme="minorHAnsi"/>
                <w:color w:val="000000"/>
                <w:sz w:val="20"/>
                <w:szCs w:val="20"/>
              </w:rPr>
              <w:t>40</w:t>
            </w:r>
          </w:p>
        </w:tc>
        <w:tc>
          <w:tcPr>
            <w:tcW w:w="1169" w:type="dxa"/>
            <w:vAlign w:val="center"/>
          </w:tcPr>
          <w:p w:rsidRPr="00F51527" w:rsidR="006B7C14" w:rsidP="006B7C14" w:rsidRDefault="006B7C14" w14:paraId="5576654C" w14:textId="48CFCBEF">
            <w:pPr>
              <w:jc w:val="center"/>
              <w:rPr>
                <w:sz w:val="20"/>
                <w:szCs w:val="20"/>
              </w:rPr>
            </w:pPr>
            <w:r w:rsidRPr="000830C4">
              <w:rPr>
                <w:sz w:val="20"/>
                <w:szCs w:val="20"/>
              </w:rPr>
              <w:t>$36.6</w:t>
            </w:r>
            <w:r w:rsidRPr="00F51527">
              <w:rPr>
                <w:sz w:val="20"/>
                <w:szCs w:val="20"/>
              </w:rPr>
              <w:t>2</w:t>
            </w:r>
          </w:p>
        </w:tc>
        <w:tc>
          <w:tcPr>
            <w:tcW w:w="1169" w:type="dxa"/>
            <w:vAlign w:val="center"/>
          </w:tcPr>
          <w:p w:rsidRPr="000830C4" w:rsidR="006B7C14" w:rsidP="006B7C14" w:rsidRDefault="006B7C14" w14:paraId="3A18FBF0" w14:textId="54BBB797">
            <w:pPr>
              <w:jc w:val="center"/>
              <w:rPr>
                <w:color w:val="000000"/>
                <w:sz w:val="20"/>
                <w:szCs w:val="20"/>
              </w:rPr>
            </w:pPr>
            <w:r w:rsidRPr="0097091A">
              <w:rPr>
                <w:color w:val="000000"/>
                <w:sz w:val="20"/>
                <w:szCs w:val="20"/>
              </w:rPr>
              <w:t>$</w:t>
            </w:r>
            <w:r w:rsidR="005069E4">
              <w:rPr>
                <w:color w:val="000000"/>
                <w:sz w:val="20"/>
                <w:szCs w:val="20"/>
              </w:rPr>
              <w:t>1,464.</w:t>
            </w:r>
            <w:r w:rsidR="0067446A">
              <w:rPr>
                <w:color w:val="000000"/>
                <w:sz w:val="20"/>
                <w:szCs w:val="20"/>
              </w:rPr>
              <w:t>8</w:t>
            </w:r>
            <w:r w:rsidR="005069E4">
              <w:rPr>
                <w:color w:val="000000"/>
                <w:sz w:val="20"/>
                <w:szCs w:val="20"/>
              </w:rPr>
              <w:t>0</w:t>
            </w:r>
          </w:p>
        </w:tc>
      </w:tr>
      <w:tr w:rsidRPr="000830C4" w:rsidR="006B7C14" w:rsidTr="00F7410D" w14:paraId="5BAA777B" w14:textId="77777777">
        <w:tc>
          <w:tcPr>
            <w:tcW w:w="1168" w:type="dxa"/>
            <w:vAlign w:val="center"/>
          </w:tcPr>
          <w:p w:rsidRPr="000830C4" w:rsidR="006B7C14" w:rsidP="006B7C14" w:rsidRDefault="006B7C14" w14:paraId="411DA702" w14:textId="12E31D97">
            <w:pPr>
              <w:rPr>
                <w:sz w:val="20"/>
                <w:szCs w:val="20"/>
              </w:rPr>
            </w:pPr>
            <w:r w:rsidRPr="0097091A">
              <w:rPr>
                <w:rFonts w:cstheme="minorHAnsi"/>
                <w:color w:val="000000"/>
                <w:sz w:val="20"/>
                <w:szCs w:val="20"/>
              </w:rPr>
              <w:t xml:space="preserve">Private or Not-for-Profit Institutions  </w:t>
            </w:r>
          </w:p>
        </w:tc>
        <w:tc>
          <w:tcPr>
            <w:tcW w:w="1169" w:type="dxa"/>
            <w:vAlign w:val="center"/>
          </w:tcPr>
          <w:p w:rsidRPr="000830C4" w:rsidR="006B7C14" w:rsidP="0097091A" w:rsidRDefault="005069E4" w14:paraId="299CD863" w14:textId="407EEDFA">
            <w:pPr>
              <w:jc w:val="center"/>
              <w:rPr>
                <w:sz w:val="20"/>
                <w:szCs w:val="20"/>
              </w:rPr>
            </w:pPr>
            <w:r>
              <w:rPr>
                <w:rFonts w:cs="ITCFranklinGothicStd-Book"/>
                <w:sz w:val="20"/>
                <w:szCs w:val="20"/>
              </w:rPr>
              <w:t>TOM Kits*</w:t>
            </w:r>
            <w:r w:rsidRPr="0027509E" w:rsidR="006B7C14">
              <w:rPr>
                <w:rFonts w:cs="ITCFranklinGothicStd-Book"/>
                <w:sz w:val="20"/>
                <w:szCs w:val="20"/>
              </w:rPr>
              <w:t xml:space="preserve"> </w:t>
            </w:r>
            <w:r w:rsidR="00894DCC">
              <w:rPr>
                <w:rFonts w:cs="ITCFranklinGothicStd-Book"/>
                <w:sz w:val="20"/>
                <w:szCs w:val="20"/>
              </w:rPr>
              <w:t>Questions</w:t>
            </w:r>
            <w:r w:rsidRPr="00F7410D" w:rsidDel="0046193B" w:rsidR="006B7C14">
              <w:rPr>
                <w:rFonts w:cstheme="minorHAnsi"/>
                <w:sz w:val="20"/>
                <w:szCs w:val="20"/>
              </w:rPr>
              <w:t xml:space="preserve"> </w:t>
            </w:r>
          </w:p>
        </w:tc>
        <w:tc>
          <w:tcPr>
            <w:tcW w:w="1169" w:type="dxa"/>
            <w:vAlign w:val="center"/>
          </w:tcPr>
          <w:p w:rsidRPr="000830C4" w:rsidR="006B7C14" w:rsidP="006B7C14" w:rsidRDefault="005069E4" w14:paraId="01260D95" w14:textId="78F8C021">
            <w:pPr>
              <w:jc w:val="center"/>
              <w:rPr>
                <w:sz w:val="20"/>
                <w:szCs w:val="20"/>
              </w:rPr>
            </w:pPr>
            <w:r>
              <w:rPr>
                <w:rFonts w:cstheme="minorHAnsi"/>
                <w:color w:val="000000"/>
                <w:sz w:val="20"/>
                <w:szCs w:val="20"/>
              </w:rPr>
              <w:t>400</w:t>
            </w:r>
          </w:p>
        </w:tc>
        <w:tc>
          <w:tcPr>
            <w:tcW w:w="1169" w:type="dxa"/>
            <w:vAlign w:val="center"/>
          </w:tcPr>
          <w:p w:rsidRPr="000830C4" w:rsidR="006B7C14" w:rsidP="006B7C14" w:rsidRDefault="006B7C14" w14:paraId="2BE3C8C6" w14:textId="4A55DA34">
            <w:pPr>
              <w:jc w:val="center"/>
              <w:rPr>
                <w:sz w:val="20"/>
                <w:szCs w:val="20"/>
              </w:rPr>
            </w:pPr>
            <w:r w:rsidRPr="000830C4">
              <w:rPr>
                <w:sz w:val="20"/>
                <w:szCs w:val="20"/>
              </w:rPr>
              <w:t>1</w:t>
            </w:r>
          </w:p>
        </w:tc>
        <w:tc>
          <w:tcPr>
            <w:tcW w:w="1168" w:type="dxa"/>
            <w:vAlign w:val="center"/>
          </w:tcPr>
          <w:p w:rsidRPr="00132221" w:rsidR="006B7C14" w:rsidP="006B7C14" w:rsidRDefault="006B7C14" w14:paraId="5C9A1DE2" w14:textId="78AC48FA">
            <w:pPr>
              <w:jc w:val="center"/>
              <w:rPr>
                <w:sz w:val="20"/>
                <w:szCs w:val="20"/>
              </w:rPr>
            </w:pPr>
            <w:r w:rsidRPr="00132221">
              <w:rPr>
                <w:sz w:val="20"/>
                <w:szCs w:val="20"/>
              </w:rPr>
              <w:t>6/60</w:t>
            </w:r>
          </w:p>
        </w:tc>
        <w:tc>
          <w:tcPr>
            <w:tcW w:w="1169" w:type="dxa"/>
            <w:vAlign w:val="center"/>
          </w:tcPr>
          <w:p w:rsidRPr="000830C4" w:rsidR="006B7C14" w:rsidP="006B7C14" w:rsidRDefault="005069E4" w14:paraId="1F795729" w14:textId="79EFB09D">
            <w:pPr>
              <w:jc w:val="center"/>
              <w:rPr>
                <w:sz w:val="20"/>
                <w:szCs w:val="20"/>
              </w:rPr>
            </w:pPr>
            <w:r>
              <w:rPr>
                <w:rFonts w:cstheme="minorHAnsi"/>
                <w:color w:val="000000"/>
                <w:sz w:val="20"/>
                <w:szCs w:val="20"/>
              </w:rPr>
              <w:t>40</w:t>
            </w:r>
          </w:p>
        </w:tc>
        <w:tc>
          <w:tcPr>
            <w:tcW w:w="1169" w:type="dxa"/>
            <w:vAlign w:val="center"/>
          </w:tcPr>
          <w:p w:rsidRPr="00132221" w:rsidR="006B7C14" w:rsidP="006B7C14" w:rsidRDefault="006B7C14" w14:paraId="0D1178D8" w14:textId="66CF7C8B">
            <w:pPr>
              <w:jc w:val="center"/>
              <w:rPr>
                <w:sz w:val="20"/>
                <w:szCs w:val="20"/>
              </w:rPr>
            </w:pPr>
            <w:r w:rsidRPr="000830C4">
              <w:rPr>
                <w:sz w:val="20"/>
                <w:szCs w:val="20"/>
              </w:rPr>
              <w:t>$3</w:t>
            </w:r>
            <w:r w:rsidRPr="00132221">
              <w:rPr>
                <w:sz w:val="20"/>
                <w:szCs w:val="20"/>
              </w:rPr>
              <w:t>6.62</w:t>
            </w:r>
          </w:p>
        </w:tc>
        <w:tc>
          <w:tcPr>
            <w:tcW w:w="1169" w:type="dxa"/>
            <w:vAlign w:val="center"/>
          </w:tcPr>
          <w:p w:rsidRPr="000830C4" w:rsidR="006B7C14" w:rsidP="006B7C14" w:rsidRDefault="006B7C14" w14:paraId="7255ABBD" w14:textId="607C6CA8">
            <w:pPr>
              <w:jc w:val="center"/>
              <w:rPr>
                <w:color w:val="000000"/>
                <w:sz w:val="20"/>
                <w:szCs w:val="20"/>
              </w:rPr>
            </w:pPr>
            <w:r w:rsidRPr="0097091A">
              <w:rPr>
                <w:color w:val="000000"/>
                <w:sz w:val="20"/>
                <w:szCs w:val="20"/>
              </w:rPr>
              <w:t>$</w:t>
            </w:r>
            <w:r w:rsidR="005069E4">
              <w:rPr>
                <w:color w:val="000000"/>
                <w:sz w:val="20"/>
                <w:szCs w:val="20"/>
              </w:rPr>
              <w:t>1,464.</w:t>
            </w:r>
            <w:r w:rsidR="0067446A">
              <w:rPr>
                <w:color w:val="000000"/>
                <w:sz w:val="20"/>
                <w:szCs w:val="20"/>
              </w:rPr>
              <w:t>8</w:t>
            </w:r>
            <w:r w:rsidR="005069E4">
              <w:rPr>
                <w:color w:val="000000"/>
                <w:sz w:val="20"/>
                <w:szCs w:val="20"/>
              </w:rPr>
              <w:t>0</w:t>
            </w:r>
          </w:p>
        </w:tc>
      </w:tr>
      <w:tr w:rsidRPr="000830C4" w:rsidR="006B7C14" w:rsidTr="002D02FE" w14:paraId="7BE16ECA" w14:textId="77777777">
        <w:tc>
          <w:tcPr>
            <w:tcW w:w="8181" w:type="dxa"/>
            <w:gridSpan w:val="7"/>
            <w:vAlign w:val="center"/>
          </w:tcPr>
          <w:p w:rsidRPr="000830C4" w:rsidR="006B7C14" w:rsidP="0097091A" w:rsidRDefault="006B7C14" w14:paraId="77550A78" w14:textId="11E61ED6">
            <w:pPr>
              <w:rPr>
                <w:sz w:val="20"/>
                <w:szCs w:val="20"/>
              </w:rPr>
            </w:pPr>
            <w:r w:rsidRPr="000830C4">
              <w:rPr>
                <w:sz w:val="20"/>
                <w:szCs w:val="20"/>
              </w:rPr>
              <w:t>Total</w:t>
            </w:r>
          </w:p>
        </w:tc>
        <w:tc>
          <w:tcPr>
            <w:tcW w:w="1169" w:type="dxa"/>
            <w:vAlign w:val="center"/>
          </w:tcPr>
          <w:p w:rsidRPr="000830C4" w:rsidR="006B7C14" w:rsidP="006B7C14" w:rsidRDefault="006B7C14" w14:paraId="147F8A18" w14:textId="4E9CD331">
            <w:pPr>
              <w:jc w:val="center"/>
              <w:rPr>
                <w:b/>
                <w:sz w:val="20"/>
                <w:szCs w:val="20"/>
              </w:rPr>
            </w:pPr>
            <w:r w:rsidRPr="0097091A">
              <w:rPr>
                <w:color w:val="000000"/>
                <w:sz w:val="20"/>
                <w:szCs w:val="20"/>
              </w:rPr>
              <w:t>$</w:t>
            </w:r>
            <w:r w:rsidR="005069E4">
              <w:rPr>
                <w:color w:val="000000"/>
                <w:sz w:val="20"/>
                <w:szCs w:val="20"/>
              </w:rPr>
              <w:t>4,39</w:t>
            </w:r>
            <w:r w:rsidR="0067446A">
              <w:rPr>
                <w:color w:val="000000"/>
                <w:sz w:val="20"/>
                <w:szCs w:val="20"/>
              </w:rPr>
              <w:t>4</w:t>
            </w:r>
            <w:r w:rsidR="005069E4">
              <w:rPr>
                <w:color w:val="000000"/>
                <w:sz w:val="20"/>
                <w:szCs w:val="20"/>
              </w:rPr>
              <w:t>.</w:t>
            </w:r>
            <w:r w:rsidR="0067446A">
              <w:rPr>
                <w:color w:val="000000"/>
                <w:sz w:val="20"/>
                <w:szCs w:val="20"/>
              </w:rPr>
              <w:t>4</w:t>
            </w:r>
            <w:r w:rsidR="005069E4">
              <w:rPr>
                <w:color w:val="000000"/>
                <w:sz w:val="20"/>
                <w:szCs w:val="20"/>
              </w:rPr>
              <w:t>0</w:t>
            </w:r>
          </w:p>
        </w:tc>
      </w:tr>
    </w:tbl>
    <w:p w:rsidRPr="00DC0B71" w:rsidR="00DC0B71" w:rsidP="00ED72E9" w:rsidRDefault="00DC0B71" w14:paraId="1FEB8A55" w14:textId="77777777">
      <w:pPr>
        <w:spacing w:line="240" w:lineRule="auto"/>
        <w:rPr>
          <w:sz w:val="24"/>
          <w:szCs w:val="24"/>
        </w:rPr>
      </w:pPr>
    </w:p>
    <w:p w:rsidR="00B45002" w:rsidP="00601F1A" w:rsidRDefault="00601F1A" w14:paraId="051C67DE" w14:textId="7470A550">
      <w:pPr>
        <w:pStyle w:val="Heading1"/>
        <w:pBdr>
          <w:bottom w:val="none" w:color="auto" w:sz="0" w:space="0"/>
        </w:pBdr>
        <w:rPr>
          <w:color w:val="auto"/>
        </w:rPr>
      </w:pPr>
      <w:bookmarkStart w:name="_Toc31301603" w:id="22"/>
      <w:bookmarkEnd w:id="21"/>
      <w:r w:rsidRPr="00330F0A">
        <w:rPr>
          <w:color w:val="auto"/>
        </w:rPr>
        <w:t>A.</w:t>
      </w:r>
      <w:r w:rsidRPr="00330F0A" w:rsidR="00AC62CC">
        <w:rPr>
          <w:color w:val="auto"/>
        </w:rPr>
        <w:t xml:space="preserve">13.  </w:t>
      </w:r>
      <w:r w:rsidRPr="00330F0A" w:rsidR="00B45002">
        <w:rPr>
          <w:color w:val="auto"/>
        </w:rPr>
        <w:t>Estimates of Other Total Annual Cost Burden to Respondents and Record Keepers</w:t>
      </w:r>
      <w:bookmarkEnd w:id="22"/>
    </w:p>
    <w:p w:rsidR="00A30707" w:rsidP="00A30707" w:rsidRDefault="00A30707" w14:paraId="2082F277" w14:textId="5A9C7135"/>
    <w:p w:rsidRPr="00063261" w:rsidR="00A30707" w:rsidP="00063261" w:rsidRDefault="00A30707" w14:paraId="3EAFDE03" w14:textId="713F5245">
      <w:pPr>
        <w:autoSpaceDE w:val="0"/>
        <w:autoSpaceDN w:val="0"/>
        <w:adjustRightInd w:val="0"/>
        <w:spacing w:after="0" w:line="240" w:lineRule="auto"/>
        <w:rPr>
          <w:rFonts w:cs="ITCFranklinGothicStd-Book"/>
          <w:sz w:val="24"/>
          <w:szCs w:val="24"/>
        </w:rPr>
      </w:pPr>
      <w:r>
        <w:rPr>
          <w:rFonts w:cs="ITCFranklinGothicStd-Book"/>
          <w:sz w:val="24"/>
          <w:szCs w:val="24"/>
        </w:rPr>
        <w:t>The information system is designed to use existing hardware within funded sites. No capital or maintenance costs are expected. Additionally, there are no start-</w:t>
      </w:r>
      <w:r w:rsidR="00063261">
        <w:rPr>
          <w:rFonts w:cs="ITCFranklinGothicStd-Book"/>
          <w:sz w:val="24"/>
          <w:szCs w:val="24"/>
        </w:rPr>
        <w:t>up, hardware or software costs.</w:t>
      </w:r>
    </w:p>
    <w:p w:rsidR="00B45002" w:rsidP="00601F1A" w:rsidRDefault="00601F1A" w14:paraId="2DC96AD8" w14:textId="5EAE1718">
      <w:pPr>
        <w:pStyle w:val="Heading1"/>
        <w:pBdr>
          <w:bottom w:val="none" w:color="auto" w:sz="0" w:space="0"/>
        </w:pBdr>
        <w:rPr>
          <w:color w:val="auto"/>
        </w:rPr>
      </w:pPr>
      <w:bookmarkStart w:name="_Toc31301604" w:id="23"/>
      <w:r w:rsidRPr="00653814">
        <w:rPr>
          <w:color w:val="auto"/>
        </w:rPr>
        <w:t>A.</w:t>
      </w:r>
      <w:r w:rsidRPr="00653814" w:rsidR="00AC62CC">
        <w:rPr>
          <w:color w:val="auto"/>
        </w:rPr>
        <w:t xml:space="preserve">14.  </w:t>
      </w:r>
      <w:r w:rsidRPr="00653814" w:rsidR="00B45002">
        <w:rPr>
          <w:color w:val="auto"/>
        </w:rPr>
        <w:t>Annualized Cost to the Federal Government</w:t>
      </w:r>
      <w:bookmarkEnd w:id="23"/>
    </w:p>
    <w:p w:rsidR="00A30707" w:rsidP="00A30707" w:rsidRDefault="00A30707" w14:paraId="57B8D08E" w14:textId="6825B372"/>
    <w:p w:rsidR="00236267" w:rsidP="00236267" w:rsidRDefault="00653814" w14:paraId="6A7F210C" w14:textId="7E06BF1E">
      <w:pPr>
        <w:autoSpaceDE w:val="0"/>
        <w:autoSpaceDN w:val="0"/>
        <w:adjustRightInd w:val="0"/>
        <w:spacing w:line="240" w:lineRule="auto"/>
        <w:rPr>
          <w:rFonts w:cs="ITCFranklinGothicStd-Book"/>
          <w:sz w:val="24"/>
          <w:szCs w:val="24"/>
        </w:rPr>
      </w:pPr>
      <w:r>
        <w:rPr>
          <w:rFonts w:cs="ITCFranklinGothicStd-Book"/>
          <w:sz w:val="24"/>
          <w:szCs w:val="24"/>
        </w:rPr>
        <w:t>Average annualized cost is $</w:t>
      </w:r>
      <w:r w:rsidR="00A96936">
        <w:rPr>
          <w:rFonts w:cs="ITCFranklinGothicStd-Book"/>
          <w:sz w:val="24"/>
          <w:szCs w:val="24"/>
        </w:rPr>
        <w:t>5,000,000</w:t>
      </w:r>
      <w:r>
        <w:rPr>
          <w:rFonts w:cs="ITCFranklinGothicStd-Book"/>
          <w:sz w:val="24"/>
          <w:szCs w:val="24"/>
        </w:rPr>
        <w:t xml:space="preserve"> or less.</w:t>
      </w:r>
      <w:r w:rsidR="007704BD">
        <w:rPr>
          <w:rFonts w:cs="ITCFranklinGothicStd-Book"/>
          <w:sz w:val="24"/>
          <w:szCs w:val="24"/>
        </w:rPr>
        <w:t xml:space="preserve"> This estimate was based on the following table:</w:t>
      </w:r>
    </w:p>
    <w:tbl>
      <w:tblPr>
        <w:tblStyle w:val="TableGrid"/>
        <w:tblW w:w="0" w:type="auto"/>
        <w:jc w:val="center"/>
        <w:tblLayout w:type="fixed"/>
        <w:tblLook w:val="04A0" w:firstRow="1" w:lastRow="0" w:firstColumn="1" w:lastColumn="0" w:noHBand="0" w:noVBand="1"/>
      </w:tblPr>
      <w:tblGrid>
        <w:gridCol w:w="3235"/>
        <w:gridCol w:w="1094"/>
        <w:gridCol w:w="1514"/>
        <w:gridCol w:w="1468"/>
        <w:gridCol w:w="1504"/>
      </w:tblGrid>
      <w:tr w:rsidRPr="008479E5" w:rsidR="007704BD" w:rsidTr="0060321C" w14:paraId="13D461FF" w14:textId="77777777">
        <w:trPr>
          <w:jc w:val="center"/>
        </w:trPr>
        <w:tc>
          <w:tcPr>
            <w:tcW w:w="3235" w:type="dxa"/>
            <w:tcBorders>
              <w:top w:val="single" w:color="auto" w:sz="4" w:space="0"/>
              <w:left w:val="single" w:color="auto" w:sz="4" w:space="0"/>
              <w:bottom w:val="single" w:color="auto" w:sz="4" w:space="0"/>
              <w:right w:val="single" w:color="auto" w:sz="4" w:space="0"/>
            </w:tcBorders>
            <w:hideMark/>
          </w:tcPr>
          <w:p w:rsidRPr="0046348B" w:rsidR="007704BD" w:rsidP="002D02FE" w:rsidRDefault="007704BD" w14:paraId="54F8688C" w14:textId="77777777">
            <w:pPr>
              <w:rPr>
                <w:sz w:val="20"/>
              </w:rPr>
            </w:pPr>
            <w:r w:rsidRPr="0046348B">
              <w:rPr>
                <w:sz w:val="20"/>
              </w:rPr>
              <w:lastRenderedPageBreak/>
              <w:t>Staff</w:t>
            </w:r>
          </w:p>
        </w:tc>
        <w:tc>
          <w:tcPr>
            <w:tcW w:w="1094" w:type="dxa"/>
            <w:tcBorders>
              <w:top w:val="single" w:color="auto" w:sz="4" w:space="0"/>
              <w:left w:val="single" w:color="auto" w:sz="4" w:space="0"/>
              <w:bottom w:val="single" w:color="auto" w:sz="4" w:space="0"/>
              <w:right w:val="single" w:color="auto" w:sz="4" w:space="0"/>
            </w:tcBorders>
            <w:hideMark/>
          </w:tcPr>
          <w:p w:rsidRPr="0046348B" w:rsidR="007704BD" w:rsidP="002D02FE" w:rsidRDefault="007704BD" w14:paraId="58CF9607" w14:textId="77777777">
            <w:pPr>
              <w:jc w:val="center"/>
              <w:rPr>
                <w:sz w:val="20"/>
              </w:rPr>
            </w:pPr>
            <w:r w:rsidRPr="0046348B">
              <w:rPr>
                <w:sz w:val="20"/>
              </w:rPr>
              <w:t>GS Level</w:t>
            </w:r>
          </w:p>
        </w:tc>
        <w:tc>
          <w:tcPr>
            <w:tcW w:w="1514" w:type="dxa"/>
            <w:tcBorders>
              <w:top w:val="single" w:color="auto" w:sz="4" w:space="0"/>
              <w:left w:val="single" w:color="auto" w:sz="4" w:space="0"/>
              <w:bottom w:val="single" w:color="auto" w:sz="4" w:space="0"/>
              <w:right w:val="single" w:color="auto" w:sz="4" w:space="0"/>
            </w:tcBorders>
            <w:hideMark/>
          </w:tcPr>
          <w:p w:rsidRPr="0046348B" w:rsidR="007704BD" w:rsidP="002D02FE" w:rsidRDefault="007704BD" w14:paraId="2EBB7C36" w14:textId="77777777">
            <w:pPr>
              <w:jc w:val="center"/>
              <w:rPr>
                <w:sz w:val="20"/>
              </w:rPr>
            </w:pPr>
            <w:r w:rsidRPr="0046348B">
              <w:rPr>
                <w:sz w:val="20"/>
              </w:rPr>
              <w:t>Salary (2018)</w:t>
            </w:r>
          </w:p>
        </w:tc>
        <w:tc>
          <w:tcPr>
            <w:tcW w:w="1468" w:type="dxa"/>
            <w:tcBorders>
              <w:top w:val="single" w:color="auto" w:sz="4" w:space="0"/>
              <w:left w:val="single" w:color="auto" w:sz="4" w:space="0"/>
              <w:bottom w:val="single" w:color="auto" w:sz="4" w:space="0"/>
              <w:right w:val="single" w:color="auto" w:sz="4" w:space="0"/>
            </w:tcBorders>
            <w:hideMark/>
          </w:tcPr>
          <w:p w:rsidRPr="0046348B" w:rsidR="007704BD" w:rsidP="002D02FE" w:rsidRDefault="007704BD" w14:paraId="6998EC25" w14:textId="77777777">
            <w:pPr>
              <w:jc w:val="center"/>
              <w:rPr>
                <w:sz w:val="20"/>
              </w:rPr>
            </w:pPr>
            <w:r w:rsidRPr="0046348B">
              <w:rPr>
                <w:sz w:val="20"/>
              </w:rPr>
              <w:t>% FTE</w:t>
            </w:r>
          </w:p>
        </w:tc>
        <w:tc>
          <w:tcPr>
            <w:tcW w:w="1504" w:type="dxa"/>
            <w:tcBorders>
              <w:top w:val="single" w:color="auto" w:sz="4" w:space="0"/>
              <w:left w:val="single" w:color="auto" w:sz="4" w:space="0"/>
              <w:bottom w:val="single" w:color="auto" w:sz="4" w:space="0"/>
              <w:right w:val="single" w:color="auto" w:sz="4" w:space="0"/>
            </w:tcBorders>
            <w:hideMark/>
          </w:tcPr>
          <w:p w:rsidRPr="0046348B" w:rsidR="007704BD" w:rsidP="002D02FE" w:rsidRDefault="007704BD" w14:paraId="2AA8410D" w14:textId="77777777">
            <w:pPr>
              <w:jc w:val="center"/>
              <w:rPr>
                <w:sz w:val="20"/>
              </w:rPr>
            </w:pPr>
            <w:r w:rsidRPr="0046348B">
              <w:rPr>
                <w:sz w:val="20"/>
              </w:rPr>
              <w:t>$ Cost</w:t>
            </w:r>
          </w:p>
        </w:tc>
      </w:tr>
      <w:tr w:rsidRPr="008479E5" w:rsidR="007704BD" w:rsidTr="0060321C" w14:paraId="36DA5EAB" w14:textId="77777777">
        <w:trPr>
          <w:jc w:val="center"/>
        </w:trPr>
        <w:tc>
          <w:tcPr>
            <w:tcW w:w="3235" w:type="dxa"/>
            <w:tcBorders>
              <w:top w:val="single" w:color="auto" w:sz="4" w:space="0"/>
              <w:left w:val="single" w:color="auto" w:sz="4" w:space="0"/>
              <w:bottom w:val="single" w:color="auto" w:sz="4" w:space="0"/>
              <w:right w:val="single" w:color="auto" w:sz="4" w:space="0"/>
            </w:tcBorders>
          </w:tcPr>
          <w:p w:rsidRPr="0046348B" w:rsidR="007704BD" w:rsidP="002D02FE" w:rsidRDefault="007704BD" w14:paraId="47740C8A" w14:textId="7313ADD7">
            <w:pPr>
              <w:rPr>
                <w:sz w:val="20"/>
              </w:rPr>
            </w:pPr>
            <w:r w:rsidRPr="0046348B">
              <w:rPr>
                <w:sz w:val="20"/>
              </w:rPr>
              <w:t xml:space="preserve">Project Officer, </w:t>
            </w:r>
            <w:r>
              <w:rPr>
                <w:sz w:val="20"/>
              </w:rPr>
              <w:t>Senior Service Fellow</w:t>
            </w:r>
          </w:p>
        </w:tc>
        <w:tc>
          <w:tcPr>
            <w:tcW w:w="1094" w:type="dxa"/>
            <w:tcBorders>
              <w:top w:val="single" w:color="auto" w:sz="4" w:space="0"/>
              <w:left w:val="single" w:color="auto" w:sz="4" w:space="0"/>
              <w:bottom w:val="single" w:color="auto" w:sz="4" w:space="0"/>
              <w:right w:val="single" w:color="auto" w:sz="4" w:space="0"/>
            </w:tcBorders>
            <w:vAlign w:val="center"/>
          </w:tcPr>
          <w:p w:rsidRPr="0046348B" w:rsidR="007704BD" w:rsidP="002D02FE" w:rsidRDefault="007704BD" w14:paraId="4A11DD01" w14:textId="25B9CD2C">
            <w:pPr>
              <w:jc w:val="center"/>
              <w:rPr>
                <w:sz w:val="20"/>
              </w:rPr>
            </w:pPr>
            <w:r w:rsidRPr="0046348B">
              <w:rPr>
                <w:sz w:val="20"/>
              </w:rPr>
              <w:t>1</w:t>
            </w:r>
            <w:r>
              <w:rPr>
                <w:sz w:val="20"/>
              </w:rPr>
              <w:t>3</w:t>
            </w:r>
          </w:p>
        </w:tc>
        <w:tc>
          <w:tcPr>
            <w:tcW w:w="1514" w:type="dxa"/>
            <w:tcBorders>
              <w:top w:val="single" w:color="auto" w:sz="4" w:space="0"/>
              <w:left w:val="single" w:color="auto" w:sz="4" w:space="0"/>
              <w:bottom w:val="single" w:color="auto" w:sz="4" w:space="0"/>
              <w:right w:val="single" w:color="auto" w:sz="4" w:space="0"/>
            </w:tcBorders>
            <w:vAlign w:val="center"/>
          </w:tcPr>
          <w:p w:rsidRPr="0046348B" w:rsidR="007704BD" w:rsidP="002D02FE" w:rsidRDefault="007704BD" w14:paraId="2A584528" w14:textId="7F019FFC">
            <w:pPr>
              <w:jc w:val="center"/>
              <w:rPr>
                <w:sz w:val="20"/>
              </w:rPr>
            </w:pPr>
            <w:r w:rsidRPr="0046348B">
              <w:rPr>
                <w:sz w:val="20"/>
              </w:rPr>
              <w:t>$</w:t>
            </w:r>
            <w:r>
              <w:rPr>
                <w:sz w:val="20"/>
              </w:rPr>
              <w:t>97</w:t>
            </w:r>
            <w:r w:rsidRPr="0046348B">
              <w:rPr>
                <w:sz w:val="20"/>
              </w:rPr>
              <w:t>,</w:t>
            </w:r>
            <w:r>
              <w:rPr>
                <w:sz w:val="20"/>
              </w:rPr>
              <w:t>740</w:t>
            </w:r>
          </w:p>
        </w:tc>
        <w:tc>
          <w:tcPr>
            <w:tcW w:w="1468" w:type="dxa"/>
            <w:tcBorders>
              <w:top w:val="single" w:color="auto" w:sz="4" w:space="0"/>
              <w:left w:val="single" w:color="auto" w:sz="4" w:space="0"/>
              <w:bottom w:val="single" w:color="auto" w:sz="4" w:space="0"/>
              <w:right w:val="single" w:color="auto" w:sz="4" w:space="0"/>
            </w:tcBorders>
            <w:vAlign w:val="center"/>
          </w:tcPr>
          <w:p w:rsidRPr="0046348B" w:rsidR="007704BD" w:rsidP="002D02FE" w:rsidRDefault="007704BD" w14:paraId="1761E88D" w14:textId="3AC9613D">
            <w:pPr>
              <w:jc w:val="center"/>
              <w:rPr>
                <w:sz w:val="20"/>
              </w:rPr>
            </w:pPr>
            <w:r>
              <w:rPr>
                <w:sz w:val="20"/>
              </w:rPr>
              <w:t>10%</w:t>
            </w:r>
          </w:p>
        </w:tc>
        <w:tc>
          <w:tcPr>
            <w:tcW w:w="1504" w:type="dxa"/>
            <w:tcBorders>
              <w:top w:val="single" w:color="auto" w:sz="4" w:space="0"/>
              <w:left w:val="single" w:color="auto" w:sz="4" w:space="0"/>
              <w:bottom w:val="single" w:color="auto" w:sz="4" w:space="0"/>
              <w:right w:val="single" w:color="auto" w:sz="4" w:space="0"/>
            </w:tcBorders>
            <w:vAlign w:val="center"/>
          </w:tcPr>
          <w:p w:rsidRPr="0046348B" w:rsidR="007704BD" w:rsidP="002D02FE" w:rsidRDefault="007704BD" w14:paraId="2223149C" w14:textId="0B7F913E">
            <w:pPr>
              <w:jc w:val="right"/>
              <w:rPr>
                <w:color w:val="000000"/>
                <w:sz w:val="20"/>
              </w:rPr>
            </w:pPr>
            <w:r w:rsidRPr="0046348B">
              <w:rPr>
                <w:color w:val="000000"/>
                <w:sz w:val="20"/>
              </w:rPr>
              <w:t>$</w:t>
            </w:r>
            <w:r>
              <w:rPr>
                <w:color w:val="000000"/>
                <w:sz w:val="20"/>
              </w:rPr>
              <w:t>9,774.0</w:t>
            </w:r>
            <w:r w:rsidRPr="0046348B">
              <w:rPr>
                <w:color w:val="000000"/>
                <w:sz w:val="20"/>
              </w:rPr>
              <w:t xml:space="preserve">0 </w:t>
            </w:r>
          </w:p>
        </w:tc>
      </w:tr>
      <w:tr w:rsidRPr="008479E5" w:rsidR="007704BD" w:rsidTr="0060321C" w14:paraId="568FD165" w14:textId="77777777">
        <w:trPr>
          <w:jc w:val="center"/>
        </w:trPr>
        <w:tc>
          <w:tcPr>
            <w:tcW w:w="3235" w:type="dxa"/>
            <w:tcBorders>
              <w:top w:val="single" w:color="auto" w:sz="4" w:space="0"/>
              <w:left w:val="single" w:color="auto" w:sz="4" w:space="0"/>
              <w:bottom w:val="single" w:color="auto" w:sz="4" w:space="0"/>
              <w:right w:val="single" w:color="auto" w:sz="4" w:space="0"/>
            </w:tcBorders>
          </w:tcPr>
          <w:p w:rsidRPr="0046348B" w:rsidR="007704BD" w:rsidP="002D02FE" w:rsidRDefault="007704BD" w14:paraId="726E9039" w14:textId="77777777">
            <w:pPr>
              <w:rPr>
                <w:sz w:val="20"/>
              </w:rPr>
            </w:pPr>
            <w:r w:rsidRPr="0046348B">
              <w:rPr>
                <w:sz w:val="20"/>
              </w:rPr>
              <w:t>Associate Service Fellow</w:t>
            </w:r>
          </w:p>
        </w:tc>
        <w:tc>
          <w:tcPr>
            <w:tcW w:w="1094" w:type="dxa"/>
            <w:tcBorders>
              <w:top w:val="single" w:color="auto" w:sz="4" w:space="0"/>
              <w:left w:val="single" w:color="auto" w:sz="4" w:space="0"/>
              <w:bottom w:val="single" w:color="auto" w:sz="4" w:space="0"/>
              <w:right w:val="single" w:color="auto" w:sz="4" w:space="0"/>
            </w:tcBorders>
            <w:vAlign w:val="center"/>
          </w:tcPr>
          <w:p w:rsidRPr="0046348B" w:rsidR="007704BD" w:rsidP="002D02FE" w:rsidRDefault="007704BD" w14:paraId="169FCD33" w14:textId="0E2FC104">
            <w:pPr>
              <w:jc w:val="center"/>
              <w:rPr>
                <w:sz w:val="20"/>
              </w:rPr>
            </w:pPr>
            <w:r w:rsidRPr="0046348B">
              <w:rPr>
                <w:sz w:val="20"/>
              </w:rPr>
              <w:t>1</w:t>
            </w:r>
            <w:r>
              <w:rPr>
                <w:sz w:val="20"/>
              </w:rPr>
              <w:t>2</w:t>
            </w:r>
          </w:p>
        </w:tc>
        <w:tc>
          <w:tcPr>
            <w:tcW w:w="1514" w:type="dxa"/>
            <w:tcBorders>
              <w:top w:val="single" w:color="auto" w:sz="4" w:space="0"/>
              <w:left w:val="single" w:color="auto" w:sz="4" w:space="0"/>
              <w:bottom w:val="single" w:color="auto" w:sz="4" w:space="0"/>
              <w:right w:val="single" w:color="auto" w:sz="4" w:space="0"/>
            </w:tcBorders>
            <w:vAlign w:val="center"/>
          </w:tcPr>
          <w:p w:rsidRPr="0046348B" w:rsidR="007704BD" w:rsidP="002D02FE" w:rsidRDefault="007704BD" w14:paraId="0B8FE5FD" w14:textId="0CB34B9C">
            <w:pPr>
              <w:jc w:val="center"/>
              <w:rPr>
                <w:sz w:val="20"/>
              </w:rPr>
            </w:pPr>
            <w:r w:rsidRPr="0046348B">
              <w:rPr>
                <w:sz w:val="20"/>
              </w:rPr>
              <w:t>$7</w:t>
            </w:r>
            <w:r>
              <w:rPr>
                <w:sz w:val="20"/>
              </w:rPr>
              <w:t>9,626</w:t>
            </w:r>
          </w:p>
        </w:tc>
        <w:tc>
          <w:tcPr>
            <w:tcW w:w="1468" w:type="dxa"/>
            <w:tcBorders>
              <w:top w:val="single" w:color="auto" w:sz="4" w:space="0"/>
              <w:left w:val="single" w:color="auto" w:sz="4" w:space="0"/>
              <w:bottom w:val="single" w:color="auto" w:sz="4" w:space="0"/>
              <w:right w:val="single" w:color="auto" w:sz="4" w:space="0"/>
            </w:tcBorders>
            <w:vAlign w:val="center"/>
          </w:tcPr>
          <w:p w:rsidRPr="0046348B" w:rsidR="007704BD" w:rsidP="002D02FE" w:rsidRDefault="007704BD" w14:paraId="2A76C0D3" w14:textId="5AA4312F">
            <w:pPr>
              <w:jc w:val="center"/>
              <w:rPr>
                <w:sz w:val="20"/>
              </w:rPr>
            </w:pPr>
            <w:r>
              <w:rPr>
                <w:sz w:val="20"/>
              </w:rPr>
              <w:t>10%</w:t>
            </w:r>
          </w:p>
        </w:tc>
        <w:tc>
          <w:tcPr>
            <w:tcW w:w="1504" w:type="dxa"/>
            <w:tcBorders>
              <w:top w:val="single" w:color="auto" w:sz="4" w:space="0"/>
              <w:left w:val="single" w:color="auto" w:sz="4" w:space="0"/>
              <w:bottom w:val="single" w:color="auto" w:sz="4" w:space="0"/>
              <w:right w:val="single" w:color="auto" w:sz="4" w:space="0"/>
            </w:tcBorders>
            <w:vAlign w:val="center"/>
          </w:tcPr>
          <w:p w:rsidRPr="0046348B" w:rsidR="007704BD" w:rsidP="002D02FE" w:rsidRDefault="007704BD" w14:paraId="28D0350C" w14:textId="456D31CD">
            <w:pPr>
              <w:jc w:val="right"/>
              <w:rPr>
                <w:color w:val="000000"/>
                <w:sz w:val="20"/>
              </w:rPr>
            </w:pPr>
            <w:r w:rsidRPr="0046348B">
              <w:rPr>
                <w:color w:val="000000"/>
                <w:sz w:val="20"/>
              </w:rPr>
              <w:t>$</w:t>
            </w:r>
            <w:r>
              <w:rPr>
                <w:color w:val="000000"/>
                <w:sz w:val="20"/>
              </w:rPr>
              <w:t>7</w:t>
            </w:r>
            <w:r w:rsidRPr="0046348B">
              <w:rPr>
                <w:color w:val="000000"/>
                <w:sz w:val="20"/>
              </w:rPr>
              <w:t>,</w:t>
            </w:r>
            <w:r>
              <w:rPr>
                <w:color w:val="000000"/>
                <w:sz w:val="20"/>
              </w:rPr>
              <w:t>962</w:t>
            </w:r>
            <w:r w:rsidRPr="0046348B">
              <w:rPr>
                <w:color w:val="000000"/>
                <w:sz w:val="20"/>
              </w:rPr>
              <w:t>.</w:t>
            </w:r>
            <w:r>
              <w:rPr>
                <w:color w:val="000000"/>
                <w:sz w:val="20"/>
              </w:rPr>
              <w:t>6</w:t>
            </w:r>
            <w:r w:rsidRPr="0046348B">
              <w:rPr>
                <w:color w:val="000000"/>
                <w:sz w:val="20"/>
              </w:rPr>
              <w:t xml:space="preserve">0 </w:t>
            </w:r>
          </w:p>
        </w:tc>
      </w:tr>
      <w:tr w:rsidRPr="008479E5" w:rsidR="007704BD" w:rsidTr="0060321C" w14:paraId="64A29F5A" w14:textId="77777777">
        <w:trPr>
          <w:jc w:val="center"/>
        </w:trPr>
        <w:tc>
          <w:tcPr>
            <w:tcW w:w="3235" w:type="dxa"/>
            <w:tcBorders>
              <w:top w:val="single" w:color="auto" w:sz="4" w:space="0"/>
              <w:left w:val="single" w:color="auto" w:sz="4" w:space="0"/>
              <w:bottom w:val="double" w:color="auto" w:sz="4" w:space="0"/>
              <w:right w:val="single" w:color="auto" w:sz="4" w:space="0"/>
            </w:tcBorders>
          </w:tcPr>
          <w:p w:rsidRPr="0046348B" w:rsidR="007704BD" w:rsidP="002D02FE" w:rsidRDefault="00B51D5C" w14:paraId="6660E6D5" w14:textId="0294B2BF">
            <w:pPr>
              <w:rPr>
                <w:sz w:val="20"/>
              </w:rPr>
            </w:pPr>
            <w:r>
              <w:rPr>
                <w:sz w:val="20"/>
              </w:rPr>
              <w:t xml:space="preserve">Salary </w:t>
            </w:r>
            <w:r w:rsidR="00D87867">
              <w:rPr>
                <w:sz w:val="20"/>
              </w:rPr>
              <w:t>Sub-total</w:t>
            </w:r>
          </w:p>
        </w:tc>
        <w:tc>
          <w:tcPr>
            <w:tcW w:w="1094" w:type="dxa"/>
            <w:tcBorders>
              <w:top w:val="single" w:color="auto" w:sz="4" w:space="0"/>
              <w:left w:val="single" w:color="auto" w:sz="4" w:space="0"/>
              <w:bottom w:val="double" w:color="auto" w:sz="4" w:space="0"/>
              <w:right w:val="single" w:color="auto" w:sz="4" w:space="0"/>
            </w:tcBorders>
          </w:tcPr>
          <w:p w:rsidRPr="0046348B" w:rsidR="007704BD" w:rsidP="002D02FE" w:rsidRDefault="007704BD" w14:paraId="2E845CBC" w14:textId="77777777">
            <w:pPr>
              <w:jc w:val="center"/>
              <w:rPr>
                <w:sz w:val="20"/>
              </w:rPr>
            </w:pPr>
          </w:p>
        </w:tc>
        <w:tc>
          <w:tcPr>
            <w:tcW w:w="1514" w:type="dxa"/>
            <w:tcBorders>
              <w:top w:val="single" w:color="auto" w:sz="4" w:space="0"/>
              <w:left w:val="single" w:color="auto" w:sz="4" w:space="0"/>
              <w:bottom w:val="double" w:color="auto" w:sz="4" w:space="0"/>
              <w:right w:val="single" w:color="auto" w:sz="4" w:space="0"/>
            </w:tcBorders>
          </w:tcPr>
          <w:p w:rsidRPr="0046348B" w:rsidR="007704BD" w:rsidP="002D02FE" w:rsidRDefault="007704BD" w14:paraId="26E66C98" w14:textId="77777777">
            <w:pPr>
              <w:jc w:val="center"/>
              <w:rPr>
                <w:sz w:val="20"/>
              </w:rPr>
            </w:pPr>
          </w:p>
        </w:tc>
        <w:tc>
          <w:tcPr>
            <w:tcW w:w="1468" w:type="dxa"/>
            <w:tcBorders>
              <w:top w:val="single" w:color="auto" w:sz="4" w:space="0"/>
              <w:left w:val="single" w:color="auto" w:sz="4" w:space="0"/>
              <w:bottom w:val="double" w:color="auto" w:sz="4" w:space="0"/>
              <w:right w:val="single" w:color="auto" w:sz="4" w:space="0"/>
            </w:tcBorders>
          </w:tcPr>
          <w:p w:rsidRPr="0046348B" w:rsidR="007704BD" w:rsidP="002D02FE" w:rsidRDefault="007704BD" w14:paraId="70E0C3F4" w14:textId="77777777">
            <w:pPr>
              <w:jc w:val="center"/>
              <w:rPr>
                <w:sz w:val="20"/>
              </w:rPr>
            </w:pPr>
          </w:p>
        </w:tc>
        <w:tc>
          <w:tcPr>
            <w:tcW w:w="1504" w:type="dxa"/>
            <w:tcBorders>
              <w:top w:val="single" w:color="auto" w:sz="4" w:space="0"/>
              <w:left w:val="single" w:color="auto" w:sz="4" w:space="0"/>
              <w:bottom w:val="double" w:color="auto" w:sz="4" w:space="0"/>
              <w:right w:val="single" w:color="auto" w:sz="4" w:space="0"/>
            </w:tcBorders>
            <w:vAlign w:val="center"/>
          </w:tcPr>
          <w:p w:rsidRPr="0046348B" w:rsidR="007704BD" w:rsidP="0067446A" w:rsidRDefault="00D87867" w14:paraId="79CA6571" w14:textId="715EDC02">
            <w:pPr>
              <w:jc w:val="right"/>
              <w:rPr>
                <w:color w:val="000000"/>
                <w:sz w:val="20"/>
              </w:rPr>
            </w:pPr>
            <w:r w:rsidRPr="0046348B">
              <w:rPr>
                <w:sz w:val="20"/>
              </w:rPr>
              <w:t>$</w:t>
            </w:r>
            <w:r>
              <w:rPr>
                <w:sz w:val="20"/>
              </w:rPr>
              <w:t>17,736.60</w:t>
            </w:r>
          </w:p>
        </w:tc>
      </w:tr>
      <w:tr w:rsidRPr="008479E5" w:rsidR="007704BD" w:rsidTr="002D02FE" w14:paraId="42D2CC54" w14:textId="77777777">
        <w:trPr>
          <w:jc w:val="center"/>
        </w:trPr>
        <w:tc>
          <w:tcPr>
            <w:tcW w:w="7311" w:type="dxa"/>
            <w:gridSpan w:val="4"/>
            <w:tcBorders>
              <w:top w:val="double" w:color="auto" w:sz="4" w:space="0"/>
              <w:left w:val="single" w:color="auto" w:sz="4" w:space="0"/>
              <w:bottom w:val="single" w:color="auto" w:sz="4" w:space="0"/>
              <w:right w:val="single" w:color="auto" w:sz="4" w:space="0"/>
            </w:tcBorders>
            <w:hideMark/>
          </w:tcPr>
          <w:p w:rsidRPr="0046348B" w:rsidR="007704BD" w:rsidP="002D02FE" w:rsidRDefault="007704BD" w14:paraId="4DC830E9" w14:textId="77777777">
            <w:pPr>
              <w:rPr>
                <w:sz w:val="20"/>
              </w:rPr>
            </w:pPr>
            <w:r w:rsidRPr="0046348B">
              <w:rPr>
                <w:sz w:val="20"/>
              </w:rPr>
              <w:t>Other</w:t>
            </w:r>
            <w:r>
              <w:rPr>
                <w:sz w:val="20"/>
              </w:rPr>
              <w:t xml:space="preserve"> Annualized Costs</w:t>
            </w:r>
          </w:p>
        </w:tc>
        <w:tc>
          <w:tcPr>
            <w:tcW w:w="1504" w:type="dxa"/>
            <w:tcBorders>
              <w:top w:val="double" w:color="auto" w:sz="4" w:space="0"/>
              <w:left w:val="single" w:color="auto" w:sz="4" w:space="0"/>
              <w:bottom w:val="single" w:color="auto" w:sz="4" w:space="0"/>
              <w:right w:val="single" w:color="auto" w:sz="4" w:space="0"/>
            </w:tcBorders>
            <w:hideMark/>
          </w:tcPr>
          <w:p w:rsidRPr="0046348B" w:rsidR="007704BD" w:rsidP="002D02FE" w:rsidRDefault="007704BD" w14:paraId="14094618" w14:textId="77777777">
            <w:pPr>
              <w:jc w:val="center"/>
              <w:rPr>
                <w:sz w:val="20"/>
              </w:rPr>
            </w:pPr>
            <w:r w:rsidRPr="0046348B">
              <w:rPr>
                <w:sz w:val="20"/>
              </w:rPr>
              <w:t>$ Cost</w:t>
            </w:r>
          </w:p>
        </w:tc>
      </w:tr>
      <w:tr w:rsidRPr="008479E5" w:rsidR="00A96936" w:rsidTr="002D02FE" w14:paraId="751D005A" w14:textId="77777777">
        <w:trPr>
          <w:jc w:val="center"/>
        </w:trPr>
        <w:tc>
          <w:tcPr>
            <w:tcW w:w="7311" w:type="dxa"/>
            <w:gridSpan w:val="4"/>
            <w:tcBorders>
              <w:top w:val="double" w:color="auto" w:sz="4" w:space="0"/>
              <w:left w:val="single" w:color="auto" w:sz="4" w:space="0"/>
              <w:bottom w:val="single" w:color="auto" w:sz="4" w:space="0"/>
              <w:right w:val="single" w:color="auto" w:sz="4" w:space="0"/>
            </w:tcBorders>
          </w:tcPr>
          <w:p w:rsidRPr="0046348B" w:rsidR="00A96936" w:rsidP="002D02FE" w:rsidRDefault="00A96936" w14:paraId="63CEE6DA" w14:textId="4DA98942">
            <w:pPr>
              <w:rPr>
                <w:sz w:val="20"/>
              </w:rPr>
            </w:pPr>
            <w:r>
              <w:rPr>
                <w:sz w:val="20"/>
              </w:rPr>
              <w:t>Travel</w:t>
            </w:r>
          </w:p>
        </w:tc>
        <w:tc>
          <w:tcPr>
            <w:tcW w:w="1504" w:type="dxa"/>
            <w:tcBorders>
              <w:top w:val="double" w:color="auto" w:sz="4" w:space="0"/>
              <w:left w:val="single" w:color="auto" w:sz="4" w:space="0"/>
              <w:bottom w:val="single" w:color="auto" w:sz="4" w:space="0"/>
              <w:right w:val="single" w:color="auto" w:sz="4" w:space="0"/>
            </w:tcBorders>
          </w:tcPr>
          <w:p w:rsidRPr="0046348B" w:rsidR="00A96936" w:rsidP="0060321C" w:rsidRDefault="00A96936" w14:paraId="137B1D3A" w14:textId="6A186E2D">
            <w:pPr>
              <w:jc w:val="right"/>
              <w:rPr>
                <w:sz w:val="20"/>
              </w:rPr>
            </w:pPr>
            <w:r>
              <w:rPr>
                <w:sz w:val="20"/>
              </w:rPr>
              <w:t>$20,000.00</w:t>
            </w:r>
          </w:p>
        </w:tc>
      </w:tr>
      <w:tr w:rsidRPr="008479E5" w:rsidR="007704BD" w:rsidTr="002D02FE" w14:paraId="331BBFA6" w14:textId="77777777">
        <w:trPr>
          <w:jc w:val="center"/>
        </w:trPr>
        <w:tc>
          <w:tcPr>
            <w:tcW w:w="7311" w:type="dxa"/>
            <w:gridSpan w:val="4"/>
            <w:tcBorders>
              <w:top w:val="single" w:color="auto" w:sz="4" w:space="0"/>
              <w:left w:val="single" w:color="auto" w:sz="4" w:space="0"/>
              <w:bottom w:val="single" w:color="auto" w:sz="4" w:space="0"/>
              <w:right w:val="single" w:color="auto" w:sz="4" w:space="0"/>
            </w:tcBorders>
            <w:hideMark/>
          </w:tcPr>
          <w:p w:rsidRPr="0046348B" w:rsidR="007704BD" w:rsidP="002D02FE" w:rsidRDefault="007704BD" w14:paraId="2BF5828A" w14:textId="77777777">
            <w:pPr>
              <w:rPr>
                <w:sz w:val="20"/>
              </w:rPr>
            </w:pPr>
            <w:r w:rsidRPr="0046348B">
              <w:rPr>
                <w:sz w:val="20"/>
              </w:rPr>
              <w:t>Contracts</w:t>
            </w:r>
          </w:p>
        </w:tc>
        <w:tc>
          <w:tcPr>
            <w:tcW w:w="1504" w:type="dxa"/>
            <w:tcBorders>
              <w:top w:val="single" w:color="auto" w:sz="4" w:space="0"/>
              <w:left w:val="single" w:color="auto" w:sz="4" w:space="0"/>
              <w:bottom w:val="single" w:color="auto" w:sz="4" w:space="0"/>
              <w:right w:val="single" w:color="auto" w:sz="4" w:space="0"/>
            </w:tcBorders>
          </w:tcPr>
          <w:p w:rsidRPr="0046348B" w:rsidR="007704BD" w:rsidP="002D02FE" w:rsidRDefault="007704BD" w14:paraId="049DC1AD" w14:textId="77777777">
            <w:pPr>
              <w:jc w:val="right"/>
              <w:rPr>
                <w:sz w:val="20"/>
              </w:rPr>
            </w:pPr>
          </w:p>
        </w:tc>
      </w:tr>
      <w:tr w:rsidRPr="008479E5" w:rsidR="007704BD" w:rsidTr="002D02FE" w14:paraId="6C8058E5" w14:textId="77777777">
        <w:trPr>
          <w:trHeight w:val="251"/>
          <w:jc w:val="center"/>
        </w:trPr>
        <w:tc>
          <w:tcPr>
            <w:tcW w:w="7311" w:type="dxa"/>
            <w:gridSpan w:val="4"/>
            <w:tcBorders>
              <w:top w:val="single" w:color="auto" w:sz="4" w:space="0"/>
              <w:left w:val="single" w:color="auto" w:sz="4" w:space="0"/>
              <w:bottom w:val="single" w:color="auto" w:sz="4" w:space="0"/>
              <w:right w:val="single" w:color="auto" w:sz="4" w:space="0"/>
            </w:tcBorders>
          </w:tcPr>
          <w:p w:rsidRPr="0046348B" w:rsidR="007704BD" w:rsidP="0097091A" w:rsidRDefault="007704BD" w14:paraId="4A9406D1" w14:textId="63DED42A">
            <w:pPr>
              <w:ind w:left="518" w:hanging="518"/>
              <w:rPr>
                <w:sz w:val="20"/>
              </w:rPr>
            </w:pPr>
            <w:r>
              <w:rPr>
                <w:rFonts w:cstheme="minorHAnsi"/>
                <w:sz w:val="20"/>
                <w:szCs w:val="20"/>
              </w:rPr>
              <w:t xml:space="preserve">          </w:t>
            </w:r>
            <w:r w:rsidR="005069E4">
              <w:rPr>
                <w:sz w:val="20"/>
              </w:rPr>
              <w:t>Procurement of Traceable Opioid Material* Kit Materials and Recipient Laboratory Support, 75D301-19-D-06776</w:t>
            </w:r>
          </w:p>
          <w:p w:rsidRPr="0046348B" w:rsidR="007704BD" w:rsidP="002D02FE" w:rsidRDefault="007704BD" w14:paraId="2BD64CA7" w14:textId="52A918F5">
            <w:pPr>
              <w:rPr>
                <w:sz w:val="20"/>
              </w:rPr>
            </w:pPr>
          </w:p>
        </w:tc>
        <w:tc>
          <w:tcPr>
            <w:tcW w:w="1504" w:type="dxa"/>
            <w:tcBorders>
              <w:top w:val="single" w:color="auto" w:sz="4" w:space="0"/>
              <w:left w:val="single" w:color="auto" w:sz="4" w:space="0"/>
              <w:bottom w:val="single" w:color="auto" w:sz="4" w:space="0"/>
              <w:right w:val="single" w:color="auto" w:sz="4" w:space="0"/>
            </w:tcBorders>
          </w:tcPr>
          <w:p w:rsidRPr="0046348B" w:rsidR="007704BD" w:rsidP="002D02FE" w:rsidRDefault="00A96936" w14:paraId="57477C82" w14:textId="48F3317E">
            <w:pPr>
              <w:jc w:val="right"/>
              <w:rPr>
                <w:sz w:val="20"/>
              </w:rPr>
            </w:pPr>
            <w:r>
              <w:rPr>
                <w:sz w:val="20"/>
              </w:rPr>
              <w:t>$4,700,000.00</w:t>
            </w:r>
          </w:p>
        </w:tc>
      </w:tr>
      <w:tr w:rsidRPr="008479E5" w:rsidR="007704BD" w:rsidTr="002D02FE" w14:paraId="2A646F28" w14:textId="77777777">
        <w:trPr>
          <w:jc w:val="center"/>
        </w:trPr>
        <w:tc>
          <w:tcPr>
            <w:tcW w:w="7311" w:type="dxa"/>
            <w:gridSpan w:val="4"/>
            <w:tcBorders>
              <w:top w:val="double" w:color="auto" w:sz="4" w:space="0"/>
              <w:left w:val="single" w:color="auto" w:sz="4" w:space="0"/>
              <w:bottom w:val="single" w:color="auto" w:sz="4" w:space="0"/>
              <w:right w:val="single" w:color="auto" w:sz="4" w:space="0"/>
            </w:tcBorders>
            <w:vAlign w:val="center"/>
            <w:hideMark/>
          </w:tcPr>
          <w:p w:rsidRPr="0046348B" w:rsidR="007704BD" w:rsidP="002D02FE" w:rsidRDefault="007704BD" w14:paraId="72A60516" w14:textId="77777777">
            <w:pPr>
              <w:rPr>
                <w:sz w:val="20"/>
              </w:rPr>
            </w:pPr>
            <w:r w:rsidRPr="0046348B">
              <w:rPr>
                <w:sz w:val="20"/>
              </w:rPr>
              <w:t>Total</w:t>
            </w:r>
          </w:p>
        </w:tc>
        <w:tc>
          <w:tcPr>
            <w:tcW w:w="1504" w:type="dxa"/>
            <w:tcBorders>
              <w:top w:val="double" w:color="auto" w:sz="4" w:space="0"/>
              <w:left w:val="single" w:color="auto" w:sz="4" w:space="0"/>
              <w:bottom w:val="single" w:color="auto" w:sz="4" w:space="0"/>
              <w:right w:val="single" w:color="auto" w:sz="4" w:space="0"/>
            </w:tcBorders>
          </w:tcPr>
          <w:p w:rsidRPr="0060321C" w:rsidR="007704BD" w:rsidP="00D87867" w:rsidRDefault="007704BD" w14:paraId="661E104E" w14:textId="0F20E2F7">
            <w:pPr>
              <w:jc w:val="right"/>
              <w:rPr>
                <w:rFonts w:ascii="Calibri" w:hAnsi="Calibri" w:cs="Calibri"/>
                <w:color w:val="000000"/>
                <w:sz w:val="20"/>
                <w:szCs w:val="20"/>
              </w:rPr>
            </w:pPr>
            <w:r w:rsidRPr="0060321C">
              <w:rPr>
                <w:rFonts w:ascii="Calibri" w:hAnsi="Calibri" w:cs="Calibri"/>
                <w:color w:val="000000"/>
                <w:sz w:val="20"/>
                <w:szCs w:val="20"/>
              </w:rPr>
              <w:t>$</w:t>
            </w:r>
            <w:r w:rsidRPr="0060321C" w:rsidR="00A96936">
              <w:rPr>
                <w:rFonts w:ascii="Calibri" w:hAnsi="Calibri" w:cs="Calibri"/>
                <w:color w:val="000000"/>
                <w:sz w:val="20"/>
                <w:szCs w:val="20"/>
              </w:rPr>
              <w:t>4,737,736.60</w:t>
            </w:r>
            <w:r w:rsidRPr="0060321C">
              <w:rPr>
                <w:rFonts w:ascii="Calibri" w:hAnsi="Calibri" w:cs="Calibri"/>
                <w:color w:val="000000"/>
                <w:sz w:val="20"/>
                <w:szCs w:val="20"/>
              </w:rPr>
              <w:t xml:space="preserve"> </w:t>
            </w:r>
            <w:r w:rsidRPr="0067446A">
              <w:rPr>
                <w:color w:val="000000"/>
                <w:sz w:val="20"/>
                <w:szCs w:val="20"/>
              </w:rPr>
              <w:t xml:space="preserve"> </w:t>
            </w:r>
          </w:p>
        </w:tc>
      </w:tr>
    </w:tbl>
    <w:p w:rsidRPr="00D20211" w:rsidR="007704BD" w:rsidP="00236267" w:rsidRDefault="007704BD" w14:paraId="3779E8C9" w14:textId="77777777">
      <w:pPr>
        <w:autoSpaceDE w:val="0"/>
        <w:autoSpaceDN w:val="0"/>
        <w:adjustRightInd w:val="0"/>
        <w:spacing w:line="240" w:lineRule="auto"/>
        <w:rPr>
          <w:rFonts w:cs="ITCFranklinGothicStd-Book"/>
          <w:sz w:val="24"/>
          <w:szCs w:val="24"/>
        </w:rPr>
      </w:pPr>
    </w:p>
    <w:p w:rsidRPr="00D20211" w:rsidR="00B45002" w:rsidP="0097091A" w:rsidRDefault="00601F1A" w14:paraId="2314A6FA" w14:textId="58EF1C4D">
      <w:pPr>
        <w:pStyle w:val="Heading1"/>
        <w:pBdr>
          <w:bottom w:val="none" w:color="auto" w:sz="0" w:space="0"/>
        </w:pBdr>
        <w:rPr>
          <w:rFonts w:cs="ITCFranklinGothicStd-Demi"/>
          <w:color w:val="auto"/>
          <w:sz w:val="24"/>
          <w:szCs w:val="24"/>
        </w:rPr>
      </w:pPr>
      <w:bookmarkStart w:name="_Toc31301605" w:id="24"/>
      <w:r w:rsidRPr="00330F0A">
        <w:rPr>
          <w:color w:val="auto"/>
        </w:rPr>
        <w:t>A.</w:t>
      </w:r>
      <w:r w:rsidRPr="00330F0A" w:rsidR="00AC62CC">
        <w:rPr>
          <w:color w:val="auto"/>
        </w:rPr>
        <w:t xml:space="preserve">15.  </w:t>
      </w:r>
      <w:r w:rsidRPr="00330F0A" w:rsidR="00B45002">
        <w:rPr>
          <w:color w:val="auto"/>
        </w:rPr>
        <w:t>Explanation for Program Changes or Adjustments</w:t>
      </w:r>
      <w:bookmarkEnd w:id="24"/>
    </w:p>
    <w:p w:rsidRPr="00330F0A" w:rsidR="00330F0A" w:rsidP="00330F0A" w:rsidRDefault="00330F0A" w14:paraId="336EB577" w14:textId="77777777">
      <w:pPr>
        <w:spacing w:line="240" w:lineRule="auto"/>
        <w:rPr>
          <w:sz w:val="24"/>
          <w:szCs w:val="24"/>
        </w:rPr>
      </w:pPr>
    </w:p>
    <w:p w:rsidR="00330F0A" w:rsidP="00330F0A" w:rsidRDefault="00330F0A" w14:paraId="76D157D3" w14:textId="16D495B7">
      <w:pPr>
        <w:spacing w:line="240" w:lineRule="auto"/>
        <w:rPr>
          <w:sz w:val="24"/>
          <w:szCs w:val="24"/>
        </w:rPr>
      </w:pPr>
      <w:r w:rsidRPr="00330F0A">
        <w:rPr>
          <w:sz w:val="24"/>
          <w:szCs w:val="24"/>
        </w:rPr>
        <w:t xml:space="preserve">This is a new </w:t>
      </w:r>
      <w:r>
        <w:rPr>
          <w:sz w:val="24"/>
          <w:szCs w:val="24"/>
        </w:rPr>
        <w:t>ICR</w:t>
      </w:r>
      <w:r w:rsidRPr="00330F0A">
        <w:rPr>
          <w:sz w:val="24"/>
          <w:szCs w:val="24"/>
        </w:rPr>
        <w:t xml:space="preserve">.  </w:t>
      </w:r>
    </w:p>
    <w:p w:rsidRPr="00653814" w:rsidR="00B45002" w:rsidP="00601F1A" w:rsidRDefault="00601F1A" w14:paraId="6A569BBC" w14:textId="7FC870CA">
      <w:pPr>
        <w:pStyle w:val="Heading1"/>
        <w:pBdr>
          <w:bottom w:val="none" w:color="auto" w:sz="0" w:space="0"/>
        </w:pBdr>
        <w:rPr>
          <w:color w:val="auto"/>
        </w:rPr>
      </w:pPr>
      <w:bookmarkStart w:name="_Toc31301606" w:id="25"/>
      <w:r w:rsidRPr="00653814">
        <w:rPr>
          <w:color w:val="auto"/>
        </w:rPr>
        <w:t>A.</w:t>
      </w:r>
      <w:r w:rsidRPr="00653814" w:rsidR="00AC62CC">
        <w:rPr>
          <w:color w:val="auto"/>
        </w:rPr>
        <w:t xml:space="preserve">16.  </w:t>
      </w:r>
      <w:r w:rsidRPr="00653814" w:rsidR="00B45002">
        <w:rPr>
          <w:color w:val="auto"/>
        </w:rPr>
        <w:t>Plans for Tabulation and Publication and Project Time Schedule</w:t>
      </w:r>
      <w:bookmarkEnd w:id="25"/>
    </w:p>
    <w:p w:rsidRPr="00653814" w:rsidR="003248A4" w:rsidP="003248A4" w:rsidRDefault="003248A4" w14:paraId="04966E2D" w14:textId="77777777"/>
    <w:p w:rsidRPr="00653814" w:rsidR="003248A4" w:rsidP="003248A4" w:rsidRDefault="00653814" w14:paraId="1A0D6FEC" w14:textId="5CE3611D">
      <w:pPr>
        <w:spacing w:line="240" w:lineRule="auto"/>
        <w:rPr>
          <w:rFonts w:cs="ITCFranklinGothicStd-Book"/>
          <w:sz w:val="24"/>
          <w:szCs w:val="24"/>
        </w:rPr>
      </w:pPr>
      <w:r w:rsidRPr="00653814">
        <w:rPr>
          <w:rFonts w:cs="ITCFranklinGothicStd-Book"/>
          <w:sz w:val="24"/>
          <w:szCs w:val="24"/>
        </w:rPr>
        <w:t>Information collected will be used to prioritize requests received by the CDC. If this prioritization is discussed within a manuscript describing kit distribution, then it may be published with other data.</w:t>
      </w:r>
    </w:p>
    <w:p w:rsidRPr="00653814" w:rsidR="003C21A1" w:rsidP="003248A4" w:rsidRDefault="003C21A1" w14:paraId="5776BDC1" w14:textId="77777777">
      <w:pPr>
        <w:spacing w:line="240" w:lineRule="auto"/>
        <w:rPr>
          <w:rFonts w:cs="ITCFranklinGothicStd-Book"/>
          <w:sz w:val="24"/>
          <w:szCs w:val="24"/>
        </w:rPr>
      </w:pPr>
    </w:p>
    <w:p w:rsidRPr="00653814" w:rsidR="003C21A1" w:rsidP="003248A4" w:rsidRDefault="003C21A1" w14:paraId="015A75DA" w14:textId="7BAFDBFE">
      <w:pPr>
        <w:spacing w:line="240" w:lineRule="auto"/>
        <w:rPr>
          <w:rFonts w:cs="ITCFranklinGothicStd-Book"/>
          <w:sz w:val="24"/>
          <w:szCs w:val="24"/>
        </w:rPr>
      </w:pPr>
      <w:r w:rsidRPr="00653814">
        <w:rPr>
          <w:rFonts w:cs="ITCFranklinGothicStd-Book"/>
          <w:sz w:val="24"/>
          <w:szCs w:val="24"/>
        </w:rPr>
        <w:t>Table A.16.1</w:t>
      </w:r>
    </w:p>
    <w:tbl>
      <w:tblPr>
        <w:tblStyle w:val="TableGrid"/>
        <w:tblW w:w="0" w:type="auto"/>
        <w:tblLook w:val="04A0" w:firstRow="1" w:lastRow="0" w:firstColumn="1" w:lastColumn="0" w:noHBand="0" w:noVBand="1"/>
      </w:tblPr>
      <w:tblGrid>
        <w:gridCol w:w="4675"/>
        <w:gridCol w:w="4675"/>
      </w:tblGrid>
      <w:tr w:rsidRPr="00653814" w:rsidR="00D20211" w:rsidTr="003C21A1" w14:paraId="46E66349" w14:textId="77777777">
        <w:tc>
          <w:tcPr>
            <w:tcW w:w="9350" w:type="dxa"/>
            <w:gridSpan w:val="2"/>
          </w:tcPr>
          <w:p w:rsidRPr="00653814" w:rsidR="003C21A1" w:rsidP="003C21A1" w:rsidRDefault="003C21A1" w14:paraId="129A5CCA" w14:textId="5719DC65">
            <w:pPr>
              <w:jc w:val="center"/>
              <w:rPr>
                <w:sz w:val="24"/>
                <w:szCs w:val="24"/>
              </w:rPr>
            </w:pPr>
            <w:r w:rsidRPr="00653814">
              <w:rPr>
                <w:sz w:val="24"/>
                <w:szCs w:val="24"/>
              </w:rPr>
              <w:t>Project Time Schedule</w:t>
            </w:r>
          </w:p>
        </w:tc>
      </w:tr>
      <w:tr w:rsidRPr="00653814" w:rsidR="00D20211" w:rsidTr="003C21A1" w14:paraId="638A7FA3" w14:textId="77777777">
        <w:tc>
          <w:tcPr>
            <w:tcW w:w="4675" w:type="dxa"/>
          </w:tcPr>
          <w:p w:rsidRPr="00653814" w:rsidR="003C21A1" w:rsidP="003C21A1" w:rsidRDefault="003C21A1" w14:paraId="0F7BC050" w14:textId="1628E485">
            <w:pPr>
              <w:jc w:val="center"/>
              <w:rPr>
                <w:sz w:val="24"/>
                <w:szCs w:val="24"/>
              </w:rPr>
            </w:pPr>
            <w:r w:rsidRPr="00653814">
              <w:rPr>
                <w:sz w:val="24"/>
                <w:szCs w:val="24"/>
              </w:rPr>
              <w:t>Activity</w:t>
            </w:r>
          </w:p>
        </w:tc>
        <w:tc>
          <w:tcPr>
            <w:tcW w:w="4675" w:type="dxa"/>
          </w:tcPr>
          <w:p w:rsidRPr="00653814" w:rsidR="003C21A1" w:rsidP="003C21A1" w:rsidRDefault="003C21A1" w14:paraId="198D79E8" w14:textId="39D38407">
            <w:pPr>
              <w:jc w:val="center"/>
              <w:rPr>
                <w:sz w:val="24"/>
                <w:szCs w:val="24"/>
              </w:rPr>
            </w:pPr>
            <w:r w:rsidRPr="00653814">
              <w:rPr>
                <w:sz w:val="24"/>
                <w:szCs w:val="24"/>
              </w:rPr>
              <w:t>Time Schedule</w:t>
            </w:r>
          </w:p>
        </w:tc>
      </w:tr>
      <w:tr w:rsidRPr="00653814" w:rsidR="00D20211" w:rsidTr="003C21A1" w14:paraId="67DDDE7C" w14:textId="77777777">
        <w:tc>
          <w:tcPr>
            <w:tcW w:w="4675" w:type="dxa"/>
          </w:tcPr>
          <w:p w:rsidRPr="00653814" w:rsidR="00F30919" w:rsidP="00F30919" w:rsidRDefault="00653814" w14:paraId="534F7F8F" w14:textId="13AAA03E">
            <w:pPr>
              <w:jc w:val="center"/>
              <w:rPr>
                <w:sz w:val="24"/>
                <w:szCs w:val="24"/>
              </w:rPr>
            </w:pPr>
            <w:r w:rsidRPr="00653814">
              <w:rPr>
                <w:rFonts w:cs="ITCFranklinGothicStd-BkCd"/>
                <w:sz w:val="24"/>
                <w:szCs w:val="24"/>
              </w:rPr>
              <w:t xml:space="preserve">Collection begins when </w:t>
            </w:r>
            <w:proofErr w:type="spellStart"/>
            <w:r w:rsidRPr="00653814">
              <w:rPr>
                <w:rFonts w:cs="ITCFranklinGothicStd-BkCd"/>
                <w:sz w:val="24"/>
                <w:szCs w:val="24"/>
              </w:rPr>
              <w:t>GenIC</w:t>
            </w:r>
            <w:proofErr w:type="spellEnd"/>
            <w:r w:rsidRPr="00653814">
              <w:rPr>
                <w:rFonts w:cs="ITCFranklinGothicStd-BkCd"/>
                <w:sz w:val="24"/>
                <w:szCs w:val="24"/>
              </w:rPr>
              <w:t xml:space="preserve"> expires</w:t>
            </w:r>
          </w:p>
        </w:tc>
        <w:tc>
          <w:tcPr>
            <w:tcW w:w="4675" w:type="dxa"/>
          </w:tcPr>
          <w:p w:rsidRPr="00653814" w:rsidR="00F30919" w:rsidP="00F30919" w:rsidRDefault="0046193B" w14:paraId="2BDD67A5" w14:textId="24979D4E">
            <w:pPr>
              <w:jc w:val="center"/>
              <w:rPr>
                <w:sz w:val="24"/>
                <w:szCs w:val="24"/>
              </w:rPr>
            </w:pPr>
            <w:r>
              <w:rPr>
                <w:rFonts w:cs="ITCFranklinGothicStd-BkCd"/>
                <w:sz w:val="24"/>
                <w:szCs w:val="24"/>
              </w:rPr>
              <w:t>May</w:t>
            </w:r>
            <w:r w:rsidRPr="00653814" w:rsidR="00653814">
              <w:rPr>
                <w:rFonts w:cs="ITCFranklinGothicStd-BkCd"/>
                <w:sz w:val="24"/>
                <w:szCs w:val="24"/>
              </w:rPr>
              <w:t xml:space="preserve"> 2020</w:t>
            </w:r>
          </w:p>
        </w:tc>
      </w:tr>
      <w:tr w:rsidRPr="00653814" w:rsidR="00D20211" w:rsidTr="003C21A1" w14:paraId="6E24D274" w14:textId="77777777">
        <w:tc>
          <w:tcPr>
            <w:tcW w:w="4675" w:type="dxa"/>
          </w:tcPr>
          <w:p w:rsidRPr="00653814" w:rsidR="00F30919" w:rsidP="00F30919" w:rsidRDefault="00F30919" w14:paraId="6ED5C938" w14:textId="59643BCD">
            <w:pPr>
              <w:jc w:val="center"/>
              <w:rPr>
                <w:sz w:val="24"/>
                <w:szCs w:val="24"/>
              </w:rPr>
            </w:pPr>
            <w:r w:rsidRPr="00653814">
              <w:rPr>
                <w:rFonts w:cs="ITCFranklinGothicStd-BkCd"/>
                <w:sz w:val="24"/>
                <w:szCs w:val="24"/>
              </w:rPr>
              <w:t>Analyses</w:t>
            </w:r>
          </w:p>
        </w:tc>
        <w:tc>
          <w:tcPr>
            <w:tcW w:w="4675" w:type="dxa"/>
          </w:tcPr>
          <w:p w:rsidRPr="00653814" w:rsidR="00F30919" w:rsidP="00F30919" w:rsidRDefault="00653814" w14:paraId="1A955684" w14:textId="4989071B">
            <w:pPr>
              <w:jc w:val="center"/>
              <w:rPr>
                <w:sz w:val="24"/>
                <w:szCs w:val="24"/>
              </w:rPr>
            </w:pPr>
            <w:r w:rsidRPr="00653814">
              <w:rPr>
                <w:rFonts w:cs="ITCFranklinGothicStd-BkCd"/>
                <w:sz w:val="24"/>
                <w:szCs w:val="24"/>
              </w:rPr>
              <w:t>As needed</w:t>
            </w:r>
          </w:p>
        </w:tc>
      </w:tr>
      <w:tr w:rsidRPr="00D20211" w:rsidR="00F30919" w:rsidTr="003C21A1" w14:paraId="78FD6E78" w14:textId="77777777">
        <w:tc>
          <w:tcPr>
            <w:tcW w:w="4675" w:type="dxa"/>
          </w:tcPr>
          <w:p w:rsidRPr="00653814" w:rsidR="00F30919" w:rsidP="00F30919" w:rsidRDefault="00F30919" w14:paraId="15AA9771" w14:textId="68F542E9">
            <w:pPr>
              <w:jc w:val="center"/>
              <w:rPr>
                <w:sz w:val="24"/>
                <w:szCs w:val="24"/>
              </w:rPr>
            </w:pPr>
            <w:r w:rsidRPr="00653814">
              <w:rPr>
                <w:rFonts w:cs="ITCFranklinGothicStd-BkCd"/>
                <w:sz w:val="24"/>
                <w:szCs w:val="24"/>
              </w:rPr>
              <w:t>Publication</w:t>
            </w:r>
          </w:p>
        </w:tc>
        <w:tc>
          <w:tcPr>
            <w:tcW w:w="4675" w:type="dxa"/>
          </w:tcPr>
          <w:p w:rsidRPr="006065B9" w:rsidR="00F30919" w:rsidP="00F30919" w:rsidRDefault="00653814" w14:paraId="4C8081B9" w14:textId="092B998C">
            <w:pPr>
              <w:jc w:val="center"/>
              <w:rPr>
                <w:sz w:val="24"/>
                <w:szCs w:val="24"/>
              </w:rPr>
            </w:pPr>
            <w:r w:rsidRPr="00653814">
              <w:rPr>
                <w:rFonts w:cs="ITCFranklinGothicStd-BkCd"/>
                <w:sz w:val="24"/>
                <w:szCs w:val="24"/>
              </w:rPr>
              <w:t>TBD if applicable</w:t>
            </w:r>
          </w:p>
        </w:tc>
      </w:tr>
    </w:tbl>
    <w:p w:rsidRPr="00D20211" w:rsidR="003C21A1" w:rsidP="003248A4" w:rsidRDefault="003C21A1" w14:paraId="53C48A52" w14:textId="77777777">
      <w:pPr>
        <w:spacing w:line="240" w:lineRule="auto"/>
        <w:rPr>
          <w:sz w:val="24"/>
          <w:szCs w:val="24"/>
        </w:rPr>
      </w:pPr>
    </w:p>
    <w:p w:rsidRPr="00D20211" w:rsidR="00B45002" w:rsidP="00601F1A" w:rsidRDefault="00601F1A" w14:paraId="17A1701D" w14:textId="44715584">
      <w:pPr>
        <w:pStyle w:val="Heading1"/>
        <w:pBdr>
          <w:bottom w:val="none" w:color="auto" w:sz="0" w:space="0"/>
        </w:pBdr>
        <w:rPr>
          <w:color w:val="auto"/>
        </w:rPr>
      </w:pPr>
      <w:bookmarkStart w:name="_Toc31301607" w:id="26"/>
      <w:r w:rsidRPr="00330F0A">
        <w:rPr>
          <w:color w:val="auto"/>
        </w:rPr>
        <w:t>A.</w:t>
      </w:r>
      <w:r w:rsidRPr="00330F0A" w:rsidR="00AC62CC">
        <w:rPr>
          <w:color w:val="auto"/>
        </w:rPr>
        <w:t xml:space="preserve">17.  </w:t>
      </w:r>
      <w:r w:rsidRPr="00330F0A" w:rsidR="00B45002">
        <w:rPr>
          <w:color w:val="auto"/>
        </w:rPr>
        <w:t>Reason(s) Display of OMB Expiration Date is Inappropriate</w:t>
      </w:r>
      <w:bookmarkEnd w:id="26"/>
    </w:p>
    <w:p w:rsidRPr="00330F0A" w:rsidR="005B6E55" w:rsidP="005B6E55" w:rsidRDefault="005B6E55" w14:paraId="7135D023" w14:textId="6FA3FB0F">
      <w:pPr>
        <w:rPr>
          <w:sz w:val="24"/>
        </w:rPr>
      </w:pPr>
    </w:p>
    <w:p w:rsidR="00330F0A" w:rsidP="005B6E55" w:rsidRDefault="00330F0A" w14:paraId="7DE99353" w14:textId="677A80E4">
      <w:pPr>
        <w:rPr>
          <w:sz w:val="24"/>
        </w:rPr>
      </w:pPr>
      <w:r w:rsidRPr="00330F0A">
        <w:rPr>
          <w:sz w:val="24"/>
        </w:rPr>
        <w:t>The display of the OMB expiration date is appropriate.</w:t>
      </w:r>
    </w:p>
    <w:p w:rsidR="008C154D" w:rsidP="0097091A" w:rsidRDefault="00601F1A" w14:paraId="661E4960" w14:textId="61AF9693">
      <w:pPr>
        <w:pStyle w:val="Heading1"/>
        <w:pBdr>
          <w:bottom w:val="none" w:color="auto" w:sz="0" w:space="0"/>
        </w:pBdr>
      </w:pPr>
      <w:bookmarkStart w:name="_Toc31301608" w:id="27"/>
      <w:r w:rsidRPr="00330F0A">
        <w:rPr>
          <w:color w:val="auto"/>
        </w:rPr>
        <w:lastRenderedPageBreak/>
        <w:t>A.</w:t>
      </w:r>
      <w:r w:rsidRPr="00330F0A" w:rsidR="00B45002">
        <w:rPr>
          <w:color w:val="auto"/>
        </w:rPr>
        <w:t>18</w:t>
      </w:r>
      <w:r w:rsidRPr="00330F0A" w:rsidR="00AC62CC">
        <w:rPr>
          <w:color w:val="auto"/>
        </w:rPr>
        <w:t xml:space="preserve">.  </w:t>
      </w:r>
      <w:r w:rsidRPr="00330F0A" w:rsidR="00B45002">
        <w:rPr>
          <w:color w:val="auto"/>
        </w:rPr>
        <w:t>Exceptions to Certification for Paperwork Reduction Act Submissions</w:t>
      </w:r>
      <w:bookmarkEnd w:id="27"/>
    </w:p>
    <w:p w:rsidR="00330F0A" w:rsidP="00330F0A" w:rsidRDefault="00330F0A" w14:paraId="332CDD15" w14:textId="77777777">
      <w:pPr>
        <w:tabs>
          <w:tab w:val="right" w:pos="9360"/>
        </w:tabs>
        <w:spacing w:after="0" w:line="276" w:lineRule="auto"/>
        <w:rPr>
          <w:rFonts w:ascii="Cambria" w:hAnsi="Cambria"/>
          <w:b/>
          <w:sz w:val="24"/>
        </w:rPr>
      </w:pPr>
    </w:p>
    <w:p w:rsidR="00620087" w:rsidP="00E43C6B" w:rsidRDefault="00330F0A" w14:paraId="00A0B253" w14:textId="4BE779A5">
      <w:pPr>
        <w:tabs>
          <w:tab w:val="right" w:pos="9360"/>
        </w:tabs>
        <w:spacing w:after="0" w:line="276" w:lineRule="auto"/>
        <w:rPr>
          <w:sz w:val="24"/>
        </w:rPr>
      </w:pPr>
      <w:r>
        <w:rPr>
          <w:sz w:val="24"/>
        </w:rPr>
        <w:t>There are no exceptions to the certification.  These activities comply with the requirements in 5 CFR 1320.9.</w:t>
      </w:r>
    </w:p>
    <w:p w:rsidRPr="00E43C6B" w:rsidR="000D7A3D" w:rsidP="00E43C6B" w:rsidRDefault="000D7A3D" w14:paraId="0A329692" w14:textId="77777777">
      <w:pPr>
        <w:tabs>
          <w:tab w:val="right" w:pos="9360"/>
        </w:tabs>
        <w:spacing w:after="0" w:line="276" w:lineRule="auto"/>
        <w:rPr>
          <w:sz w:val="24"/>
        </w:rPr>
      </w:pPr>
    </w:p>
    <w:p w:rsidRPr="00276CD8" w:rsidR="001E595A" w:rsidP="0097091A" w:rsidRDefault="00E43C6B" w14:paraId="0CC1ADDF" w14:textId="1EAD40B3">
      <w:pPr>
        <w:pStyle w:val="Heading1"/>
        <w:pBdr>
          <w:bottom w:val="none" w:color="auto" w:sz="0" w:space="0"/>
        </w:pBdr>
        <w:spacing w:after="240"/>
      </w:pPr>
      <w:bookmarkStart w:name="_Toc31301609" w:id="28"/>
      <w:r w:rsidRPr="0097091A">
        <w:rPr>
          <w:color w:val="auto"/>
        </w:rPr>
        <w:t>References</w:t>
      </w:r>
      <w:bookmarkEnd w:id="28"/>
    </w:p>
    <w:p w:rsidRPr="00A60D52" w:rsidR="00A60D52" w:rsidP="008C154D" w:rsidRDefault="00755ED1" w14:paraId="716F72F1" w14:textId="3281281E">
      <w:pPr>
        <w:rPr>
          <w:sz w:val="24"/>
          <w:szCs w:val="24"/>
        </w:rPr>
      </w:pPr>
      <w:hyperlink w:history="1" r:id="rId19">
        <w:r w:rsidRPr="00A60D52" w:rsidR="00A60D52">
          <w:rPr>
            <w:rStyle w:val="Hyperlink"/>
            <w:sz w:val="24"/>
            <w:szCs w:val="24"/>
          </w:rPr>
          <w:t>https://www.cdc.gov/nceh/dls/erb_opioid_kits.html</w:t>
        </w:r>
      </w:hyperlink>
    </w:p>
    <w:p w:rsidRPr="00A60D52" w:rsidR="00A60D52" w:rsidP="008C154D" w:rsidRDefault="00755ED1" w14:paraId="48E9AD5D" w14:textId="4FD5E970">
      <w:pPr>
        <w:rPr>
          <w:sz w:val="24"/>
          <w:szCs w:val="24"/>
        </w:rPr>
      </w:pPr>
      <w:hyperlink w:history="1" r:id="rId20">
        <w:r w:rsidRPr="00A60D52" w:rsidR="00A60D52">
          <w:rPr>
            <w:rStyle w:val="Hyperlink"/>
            <w:sz w:val="24"/>
            <w:szCs w:val="24"/>
          </w:rPr>
          <w:t>https://www.cdc.gov/nceh/dls/pdf/Opiod_Factsheet-508.pdf</w:t>
        </w:r>
      </w:hyperlink>
    </w:p>
    <w:p w:rsidRPr="00A60D52" w:rsidR="00A60D52" w:rsidP="008C154D" w:rsidRDefault="00755ED1" w14:paraId="5C694833" w14:textId="35AE1027">
      <w:pPr>
        <w:rPr>
          <w:sz w:val="24"/>
          <w:szCs w:val="24"/>
        </w:rPr>
      </w:pPr>
      <w:hyperlink w:history="1" r:id="rId21">
        <w:r w:rsidRPr="00A60D52" w:rsidR="00A60D52">
          <w:rPr>
            <w:rStyle w:val="Hyperlink"/>
            <w:sz w:val="24"/>
            <w:szCs w:val="24"/>
          </w:rPr>
          <w:t>http://www.cerilliant.com/ShopOnline/CDC.aspx</w:t>
        </w:r>
      </w:hyperlink>
    </w:p>
    <w:p w:rsidRPr="00A60D52" w:rsidR="00A60D52" w:rsidP="008C154D" w:rsidRDefault="00755ED1" w14:paraId="71AE853A" w14:textId="3E67C42C">
      <w:pPr>
        <w:rPr>
          <w:sz w:val="24"/>
          <w:szCs w:val="24"/>
        </w:rPr>
      </w:pPr>
      <w:hyperlink w:history="1" r:id="rId22">
        <w:r w:rsidRPr="00A60D52" w:rsidR="00A60D52">
          <w:rPr>
            <w:rStyle w:val="Hyperlink"/>
            <w:sz w:val="24"/>
            <w:szCs w:val="24"/>
          </w:rPr>
          <w:t>https://www.caymanchem.com/forensics/faskit/?q=*%3A*</w:t>
        </w:r>
      </w:hyperlink>
    </w:p>
    <w:p w:rsidRPr="008B24CB" w:rsidR="008C154D" w:rsidP="008C154D" w:rsidRDefault="008C154D" w14:paraId="000E963E" w14:textId="71C8CDB5">
      <w:pPr>
        <w:rPr>
          <w:rFonts w:ascii="Cambria" w:hAnsi="Cambria"/>
          <w:sz w:val="32"/>
          <w:szCs w:val="32"/>
        </w:rPr>
      </w:pPr>
    </w:p>
    <w:sectPr w:rsidRPr="008B24CB" w:rsidR="008C154D" w:rsidSect="00F91C38">
      <w:footerReference w:type="default" r:id="rId2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5CB7E" w14:textId="77777777" w:rsidR="00AD6861" w:rsidRDefault="00AD6861" w:rsidP="008B5D54">
      <w:r>
        <w:separator/>
      </w:r>
    </w:p>
  </w:endnote>
  <w:endnote w:type="continuationSeparator" w:id="0">
    <w:p w14:paraId="1B76F542" w14:textId="77777777" w:rsidR="00AD6861" w:rsidRDefault="00AD686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ITCFranklinGothicStd-BookIt">
    <w:panose1 w:val="00000000000000000000"/>
    <w:charset w:val="00"/>
    <w:family w:val="swiss"/>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7D8B" w14:textId="77777777" w:rsidR="00AD6861" w:rsidRPr="0060321C" w:rsidRDefault="00AD6861">
    <w:pPr>
      <w:pStyle w:val="Footer"/>
      <w:rPr>
        <w:sz w:val="18"/>
        <w:szCs w:val="18"/>
      </w:rPr>
    </w:pPr>
  </w:p>
  <w:p w14:paraId="3DADE1B6" w14:textId="6B60772A" w:rsidR="00AD6861" w:rsidRPr="0060321C" w:rsidRDefault="00AD6861">
    <w:pPr>
      <w:pStyle w:val="Footer"/>
      <w:rPr>
        <w:sz w:val="18"/>
        <w:szCs w:val="18"/>
      </w:rPr>
    </w:pPr>
    <w:r w:rsidRPr="0060321C">
      <w:rPr>
        <w:sz w:val="18"/>
        <w:szCs w:val="18"/>
      </w:rPr>
      <w:t>*TRACEABLE OPIOID MATERIAL, TOM KITS, and the TOM KITS logo are marks of the U.S. Department of Health and Human Services</w:t>
    </w:r>
  </w:p>
  <w:p w14:paraId="751456A5" w14:textId="77777777" w:rsidR="00AD6861" w:rsidRDefault="00AD6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903"/>
      <w:docPartObj>
        <w:docPartGallery w:val="Page Numbers (Bottom of Page)"/>
        <w:docPartUnique/>
      </w:docPartObj>
    </w:sdtPr>
    <w:sdtEndPr>
      <w:rPr>
        <w:noProof/>
      </w:rPr>
    </w:sdtEndPr>
    <w:sdtContent>
      <w:p w14:paraId="7F766B5B" w14:textId="3E289380" w:rsidR="00AD6861" w:rsidRDefault="00AD68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F2E181" w14:textId="77777777" w:rsidR="00AD6861" w:rsidRDefault="00AD6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D2F05" w14:textId="77777777" w:rsidR="00AD6861" w:rsidRDefault="00AD6861" w:rsidP="008B5D54">
      <w:r>
        <w:separator/>
      </w:r>
    </w:p>
  </w:footnote>
  <w:footnote w:type="continuationSeparator" w:id="0">
    <w:p w14:paraId="13B21A51" w14:textId="77777777" w:rsidR="00AD6861" w:rsidRDefault="00AD6861" w:rsidP="008B5D54">
      <w:r>
        <w:continuationSeparator/>
      </w:r>
    </w:p>
  </w:footnote>
  <w:footnote w:id="1">
    <w:p w14:paraId="02A97128" w14:textId="7ECD5DC0" w:rsidR="00AD6861" w:rsidRDefault="00AD6861">
      <w:pPr>
        <w:pStyle w:val="FootnoteText"/>
      </w:pPr>
      <w:r>
        <w:rPr>
          <w:rStyle w:val="FootnoteReference"/>
        </w:rPr>
        <w:footnoteRef/>
      </w:r>
      <w:r>
        <w:t xml:space="preserve"> See CDC TOM Kits website at </w:t>
      </w:r>
      <w:r w:rsidRPr="00CC4BAA">
        <w:t>https://www.cdc.gov/nceh/dls/erb_opioid_kits.html</w:t>
      </w:r>
    </w:p>
  </w:footnote>
  <w:footnote w:id="2">
    <w:p w14:paraId="0EAC6444" w14:textId="1B5DBC00" w:rsidR="00AD6861" w:rsidRDefault="00AD6861">
      <w:pPr>
        <w:pStyle w:val="FootnoteText"/>
      </w:pPr>
      <w:r>
        <w:rPr>
          <w:rStyle w:val="FootnoteReference"/>
        </w:rPr>
        <w:footnoteRef/>
      </w:r>
      <w:r>
        <w:t xml:space="preserve"> </w:t>
      </w:r>
      <w:proofErr w:type="spellStart"/>
      <w:r>
        <w:t>Cerilliant</w:t>
      </w:r>
      <w:proofErr w:type="spellEnd"/>
      <w:r>
        <w:t xml:space="preserve"> Corporation - </w:t>
      </w:r>
      <w:hyperlink r:id="rId1" w:history="1">
        <w:r w:rsidRPr="00891FA4">
          <w:rPr>
            <w:rStyle w:val="Hyperlink"/>
          </w:rPr>
          <w:t>http://www.cerilliant.com/default.aspx</w:t>
        </w:r>
      </w:hyperlink>
      <w:r>
        <w:t xml:space="preserve"> </w:t>
      </w:r>
    </w:p>
  </w:footnote>
  <w:footnote w:id="3">
    <w:p w14:paraId="195DF699" w14:textId="2F5B7467" w:rsidR="00AD6861" w:rsidRDefault="00AD6861">
      <w:pPr>
        <w:pStyle w:val="FootnoteText"/>
      </w:pPr>
      <w:r>
        <w:rPr>
          <w:rStyle w:val="FootnoteReference"/>
        </w:rPr>
        <w:footnoteRef/>
      </w:r>
      <w:r>
        <w:t xml:space="preserve"> Cayman Chemical - </w:t>
      </w:r>
      <w:hyperlink r:id="rId2" w:history="1">
        <w:r w:rsidRPr="00405102">
          <w:rPr>
            <w:rStyle w:val="Hyperlink"/>
          </w:rPr>
          <w:t>https://www.caymanchem.com/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35B00"/>
    <w:multiLevelType w:val="multilevel"/>
    <w:tmpl w:val="CC80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34595"/>
    <w:multiLevelType w:val="hybridMultilevel"/>
    <w:tmpl w:val="437082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94290"/>
    <w:multiLevelType w:val="hybridMultilevel"/>
    <w:tmpl w:val="5DDAC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654CB"/>
    <w:multiLevelType w:val="hybridMultilevel"/>
    <w:tmpl w:val="843EE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63F1E"/>
    <w:multiLevelType w:val="multilevel"/>
    <w:tmpl w:val="53F6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B2897"/>
    <w:multiLevelType w:val="hybridMultilevel"/>
    <w:tmpl w:val="F4CA81DA"/>
    <w:lvl w:ilvl="0" w:tplc="1B004E44">
      <w:numFmt w:val="bullet"/>
      <w:lvlText w:val="-"/>
      <w:lvlJc w:val="left"/>
      <w:pPr>
        <w:ind w:left="720" w:hanging="360"/>
      </w:pPr>
      <w:rPr>
        <w:rFonts w:ascii="Times New Roman" w:eastAsia="Times New Roman" w:hAnsi="Times New Roman" w:hint="default"/>
        <w:color w:val="000000"/>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1"/>
  </w:num>
  <w:num w:numId="2">
    <w:abstractNumId w:val="32"/>
  </w:num>
  <w:num w:numId="3">
    <w:abstractNumId w:val="34"/>
  </w:num>
  <w:num w:numId="4">
    <w:abstractNumId w:val="4"/>
  </w:num>
  <w:num w:numId="5">
    <w:abstractNumId w:val="23"/>
  </w:num>
  <w:num w:numId="6">
    <w:abstractNumId w:val="0"/>
  </w:num>
  <w:num w:numId="7">
    <w:abstractNumId w:val="42"/>
  </w:num>
  <w:num w:numId="8">
    <w:abstractNumId w:val="30"/>
  </w:num>
  <w:num w:numId="9">
    <w:abstractNumId w:val="12"/>
  </w:num>
  <w:num w:numId="10">
    <w:abstractNumId w:val="43"/>
  </w:num>
  <w:num w:numId="11">
    <w:abstractNumId w:val="20"/>
  </w:num>
  <w:num w:numId="12">
    <w:abstractNumId w:val="29"/>
  </w:num>
  <w:num w:numId="13">
    <w:abstractNumId w:val="33"/>
  </w:num>
  <w:num w:numId="14">
    <w:abstractNumId w:val="1"/>
  </w:num>
  <w:num w:numId="15">
    <w:abstractNumId w:val="37"/>
  </w:num>
  <w:num w:numId="16">
    <w:abstractNumId w:val="5"/>
  </w:num>
  <w:num w:numId="17">
    <w:abstractNumId w:val="13"/>
  </w:num>
  <w:num w:numId="18">
    <w:abstractNumId w:val="31"/>
  </w:num>
  <w:num w:numId="19">
    <w:abstractNumId w:val="36"/>
  </w:num>
  <w:num w:numId="20">
    <w:abstractNumId w:val="26"/>
  </w:num>
  <w:num w:numId="21">
    <w:abstractNumId w:val="6"/>
  </w:num>
  <w:num w:numId="22">
    <w:abstractNumId w:val="38"/>
  </w:num>
  <w:num w:numId="23">
    <w:abstractNumId w:val="44"/>
  </w:num>
  <w:num w:numId="24">
    <w:abstractNumId w:val="10"/>
  </w:num>
  <w:num w:numId="25">
    <w:abstractNumId w:val="25"/>
  </w:num>
  <w:num w:numId="26">
    <w:abstractNumId w:val="9"/>
  </w:num>
  <w:num w:numId="27">
    <w:abstractNumId w:val="14"/>
  </w:num>
  <w:num w:numId="28">
    <w:abstractNumId w:val="27"/>
  </w:num>
  <w:num w:numId="29">
    <w:abstractNumId w:val="41"/>
  </w:num>
  <w:num w:numId="30">
    <w:abstractNumId w:val="7"/>
  </w:num>
  <w:num w:numId="31">
    <w:abstractNumId w:val="19"/>
  </w:num>
  <w:num w:numId="32">
    <w:abstractNumId w:val="35"/>
  </w:num>
  <w:num w:numId="33">
    <w:abstractNumId w:val="40"/>
  </w:num>
  <w:num w:numId="34">
    <w:abstractNumId w:val="22"/>
  </w:num>
  <w:num w:numId="35">
    <w:abstractNumId w:val="15"/>
  </w:num>
  <w:num w:numId="36">
    <w:abstractNumId w:val="2"/>
  </w:num>
  <w:num w:numId="37">
    <w:abstractNumId w:val="3"/>
  </w:num>
  <w:num w:numId="38">
    <w:abstractNumId w:val="24"/>
  </w:num>
  <w:num w:numId="39">
    <w:abstractNumId w:val="28"/>
  </w:num>
  <w:num w:numId="40">
    <w:abstractNumId w:val="39"/>
  </w:num>
  <w:num w:numId="41">
    <w:abstractNumId w:val="11"/>
  </w:num>
  <w:num w:numId="42">
    <w:abstractNumId w:val="16"/>
  </w:num>
  <w:num w:numId="43">
    <w:abstractNumId w:val="17"/>
  </w:num>
  <w:num w:numId="44">
    <w:abstractNumId w:val="8"/>
  </w:num>
  <w:num w:numId="45">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1F18"/>
    <w:rsid w:val="0000689D"/>
    <w:rsid w:val="000071D1"/>
    <w:rsid w:val="00007F77"/>
    <w:rsid w:val="00013DB5"/>
    <w:rsid w:val="0002168F"/>
    <w:rsid w:val="00026800"/>
    <w:rsid w:val="000273E9"/>
    <w:rsid w:val="00027B1B"/>
    <w:rsid w:val="00040E13"/>
    <w:rsid w:val="00040F4A"/>
    <w:rsid w:val="0004487B"/>
    <w:rsid w:val="00045A02"/>
    <w:rsid w:val="00047490"/>
    <w:rsid w:val="00051810"/>
    <w:rsid w:val="00051816"/>
    <w:rsid w:val="00051B38"/>
    <w:rsid w:val="00056CD6"/>
    <w:rsid w:val="000602B8"/>
    <w:rsid w:val="000607D2"/>
    <w:rsid w:val="0006228C"/>
    <w:rsid w:val="00063261"/>
    <w:rsid w:val="00064766"/>
    <w:rsid w:val="00065509"/>
    <w:rsid w:val="000712F6"/>
    <w:rsid w:val="00072010"/>
    <w:rsid w:val="000743BE"/>
    <w:rsid w:val="00075A8C"/>
    <w:rsid w:val="00076C74"/>
    <w:rsid w:val="000771B9"/>
    <w:rsid w:val="0007753E"/>
    <w:rsid w:val="00077A0C"/>
    <w:rsid w:val="000826BD"/>
    <w:rsid w:val="000830C4"/>
    <w:rsid w:val="00094108"/>
    <w:rsid w:val="00094E12"/>
    <w:rsid w:val="000A08F7"/>
    <w:rsid w:val="000A14F8"/>
    <w:rsid w:val="000A16FA"/>
    <w:rsid w:val="000A204D"/>
    <w:rsid w:val="000A30A8"/>
    <w:rsid w:val="000A4BD7"/>
    <w:rsid w:val="000A5AC6"/>
    <w:rsid w:val="000A6E17"/>
    <w:rsid w:val="000A77B0"/>
    <w:rsid w:val="000B0207"/>
    <w:rsid w:val="000B14F2"/>
    <w:rsid w:val="000B54F0"/>
    <w:rsid w:val="000D7A3D"/>
    <w:rsid w:val="000E7FAD"/>
    <w:rsid w:val="00100D0E"/>
    <w:rsid w:val="00103DFD"/>
    <w:rsid w:val="00104051"/>
    <w:rsid w:val="00106836"/>
    <w:rsid w:val="00107476"/>
    <w:rsid w:val="00110D29"/>
    <w:rsid w:val="0011321F"/>
    <w:rsid w:val="00116841"/>
    <w:rsid w:val="001232E4"/>
    <w:rsid w:val="00123A3D"/>
    <w:rsid w:val="00124561"/>
    <w:rsid w:val="001317DF"/>
    <w:rsid w:val="00132004"/>
    <w:rsid w:val="00132221"/>
    <w:rsid w:val="001324C6"/>
    <w:rsid w:val="00133BEC"/>
    <w:rsid w:val="001346BF"/>
    <w:rsid w:val="00134BEF"/>
    <w:rsid w:val="0013662A"/>
    <w:rsid w:val="001372DB"/>
    <w:rsid w:val="0013764F"/>
    <w:rsid w:val="0014151A"/>
    <w:rsid w:val="001417E6"/>
    <w:rsid w:val="00141C4C"/>
    <w:rsid w:val="00142483"/>
    <w:rsid w:val="001434C6"/>
    <w:rsid w:val="0014763A"/>
    <w:rsid w:val="00147AEA"/>
    <w:rsid w:val="00150025"/>
    <w:rsid w:val="0015103C"/>
    <w:rsid w:val="00151318"/>
    <w:rsid w:val="00152CB2"/>
    <w:rsid w:val="00153EA7"/>
    <w:rsid w:val="00154573"/>
    <w:rsid w:val="001550C9"/>
    <w:rsid w:val="00160A9B"/>
    <w:rsid w:val="001626E8"/>
    <w:rsid w:val="00163C21"/>
    <w:rsid w:val="00167A15"/>
    <w:rsid w:val="001727C1"/>
    <w:rsid w:val="00176AF4"/>
    <w:rsid w:val="00177ABE"/>
    <w:rsid w:val="00181EF2"/>
    <w:rsid w:val="00185386"/>
    <w:rsid w:val="001855E3"/>
    <w:rsid w:val="001872E6"/>
    <w:rsid w:val="00194487"/>
    <w:rsid w:val="001963A2"/>
    <w:rsid w:val="00196C12"/>
    <w:rsid w:val="001A15F9"/>
    <w:rsid w:val="001A5EC6"/>
    <w:rsid w:val="001B2712"/>
    <w:rsid w:val="001B3522"/>
    <w:rsid w:val="001C040F"/>
    <w:rsid w:val="001C066E"/>
    <w:rsid w:val="001C1DD5"/>
    <w:rsid w:val="001C268C"/>
    <w:rsid w:val="001C27CC"/>
    <w:rsid w:val="001C3EBE"/>
    <w:rsid w:val="001D2A80"/>
    <w:rsid w:val="001D305C"/>
    <w:rsid w:val="001D373B"/>
    <w:rsid w:val="001D391B"/>
    <w:rsid w:val="001D56E7"/>
    <w:rsid w:val="001D75CC"/>
    <w:rsid w:val="001E27D7"/>
    <w:rsid w:val="001E595A"/>
    <w:rsid w:val="001F19FD"/>
    <w:rsid w:val="001F1D97"/>
    <w:rsid w:val="001F23DF"/>
    <w:rsid w:val="001F3995"/>
    <w:rsid w:val="001F4FFA"/>
    <w:rsid w:val="001F53D2"/>
    <w:rsid w:val="001F5BDA"/>
    <w:rsid w:val="00201308"/>
    <w:rsid w:val="00203018"/>
    <w:rsid w:val="00203A62"/>
    <w:rsid w:val="00203F51"/>
    <w:rsid w:val="00204DD3"/>
    <w:rsid w:val="002064EF"/>
    <w:rsid w:val="00206A3D"/>
    <w:rsid w:val="00206AAE"/>
    <w:rsid w:val="00215202"/>
    <w:rsid w:val="00216DF6"/>
    <w:rsid w:val="002203E0"/>
    <w:rsid w:val="00227817"/>
    <w:rsid w:val="0023081C"/>
    <w:rsid w:val="00231951"/>
    <w:rsid w:val="002361A8"/>
    <w:rsid w:val="002361EE"/>
    <w:rsid w:val="00236267"/>
    <w:rsid w:val="0023630E"/>
    <w:rsid w:val="002369DA"/>
    <w:rsid w:val="002379B5"/>
    <w:rsid w:val="0024399D"/>
    <w:rsid w:val="00243BD5"/>
    <w:rsid w:val="00244F46"/>
    <w:rsid w:val="00252161"/>
    <w:rsid w:val="00257CB9"/>
    <w:rsid w:val="002605A1"/>
    <w:rsid w:val="00261399"/>
    <w:rsid w:val="00265663"/>
    <w:rsid w:val="00271C0C"/>
    <w:rsid w:val="00274D11"/>
    <w:rsid w:val="0027619F"/>
    <w:rsid w:val="00276CD8"/>
    <w:rsid w:val="002771FE"/>
    <w:rsid w:val="00283881"/>
    <w:rsid w:val="0028491D"/>
    <w:rsid w:val="00287A8C"/>
    <w:rsid w:val="00287B5A"/>
    <w:rsid w:val="00290F85"/>
    <w:rsid w:val="002928DF"/>
    <w:rsid w:val="002930EC"/>
    <w:rsid w:val="00294E11"/>
    <w:rsid w:val="0029799D"/>
    <w:rsid w:val="002A1AB0"/>
    <w:rsid w:val="002A253F"/>
    <w:rsid w:val="002A3655"/>
    <w:rsid w:val="002A674E"/>
    <w:rsid w:val="002B1D7C"/>
    <w:rsid w:val="002C06A1"/>
    <w:rsid w:val="002C1279"/>
    <w:rsid w:val="002C2A8D"/>
    <w:rsid w:val="002C645E"/>
    <w:rsid w:val="002C6753"/>
    <w:rsid w:val="002D02FE"/>
    <w:rsid w:val="002D3A9E"/>
    <w:rsid w:val="002E0397"/>
    <w:rsid w:val="002E2E4E"/>
    <w:rsid w:val="002E368A"/>
    <w:rsid w:val="002E3C81"/>
    <w:rsid w:val="002E3C96"/>
    <w:rsid w:val="002E4498"/>
    <w:rsid w:val="002E48A7"/>
    <w:rsid w:val="002E5C52"/>
    <w:rsid w:val="002F1EC0"/>
    <w:rsid w:val="002F3924"/>
    <w:rsid w:val="002F7146"/>
    <w:rsid w:val="003012B5"/>
    <w:rsid w:val="00302CC4"/>
    <w:rsid w:val="00306DDE"/>
    <w:rsid w:val="00307FE7"/>
    <w:rsid w:val="003113D2"/>
    <w:rsid w:val="00312BAA"/>
    <w:rsid w:val="00316980"/>
    <w:rsid w:val="00316ADF"/>
    <w:rsid w:val="00320135"/>
    <w:rsid w:val="003210B3"/>
    <w:rsid w:val="00323C10"/>
    <w:rsid w:val="003248A4"/>
    <w:rsid w:val="00326844"/>
    <w:rsid w:val="00327181"/>
    <w:rsid w:val="00330703"/>
    <w:rsid w:val="00330F0A"/>
    <w:rsid w:val="00332993"/>
    <w:rsid w:val="0033469A"/>
    <w:rsid w:val="00340E99"/>
    <w:rsid w:val="00342BA4"/>
    <w:rsid w:val="00346C4C"/>
    <w:rsid w:val="00346E41"/>
    <w:rsid w:val="003506B8"/>
    <w:rsid w:val="003507B3"/>
    <w:rsid w:val="00351A8D"/>
    <w:rsid w:val="00354A4E"/>
    <w:rsid w:val="00354E0E"/>
    <w:rsid w:val="00355B97"/>
    <w:rsid w:val="00357FB5"/>
    <w:rsid w:val="00360896"/>
    <w:rsid w:val="00360BBB"/>
    <w:rsid w:val="00361201"/>
    <w:rsid w:val="00361AF0"/>
    <w:rsid w:val="003648A2"/>
    <w:rsid w:val="00364CCC"/>
    <w:rsid w:val="0036566F"/>
    <w:rsid w:val="00365B89"/>
    <w:rsid w:val="00367138"/>
    <w:rsid w:val="003712EB"/>
    <w:rsid w:val="00373456"/>
    <w:rsid w:val="003810E2"/>
    <w:rsid w:val="003833C5"/>
    <w:rsid w:val="00383848"/>
    <w:rsid w:val="003846F9"/>
    <w:rsid w:val="00385207"/>
    <w:rsid w:val="00386C3A"/>
    <w:rsid w:val="00387C4A"/>
    <w:rsid w:val="00390B2D"/>
    <w:rsid w:val="00391007"/>
    <w:rsid w:val="00391972"/>
    <w:rsid w:val="003924FB"/>
    <w:rsid w:val="003A007B"/>
    <w:rsid w:val="003A0349"/>
    <w:rsid w:val="003A1D58"/>
    <w:rsid w:val="003A2F76"/>
    <w:rsid w:val="003A4B8F"/>
    <w:rsid w:val="003A5DD1"/>
    <w:rsid w:val="003B1968"/>
    <w:rsid w:val="003B2A57"/>
    <w:rsid w:val="003B3057"/>
    <w:rsid w:val="003C0795"/>
    <w:rsid w:val="003C0CED"/>
    <w:rsid w:val="003C21A1"/>
    <w:rsid w:val="003C4886"/>
    <w:rsid w:val="003C530B"/>
    <w:rsid w:val="003D1A64"/>
    <w:rsid w:val="003D2E1D"/>
    <w:rsid w:val="003D3E78"/>
    <w:rsid w:val="003D702E"/>
    <w:rsid w:val="003D7C7F"/>
    <w:rsid w:val="003E092D"/>
    <w:rsid w:val="003E2707"/>
    <w:rsid w:val="003E6595"/>
    <w:rsid w:val="003E7D3C"/>
    <w:rsid w:val="003F2C06"/>
    <w:rsid w:val="003F51BF"/>
    <w:rsid w:val="003F612D"/>
    <w:rsid w:val="003F6A54"/>
    <w:rsid w:val="003F7043"/>
    <w:rsid w:val="00400C55"/>
    <w:rsid w:val="0040594D"/>
    <w:rsid w:val="00407B3E"/>
    <w:rsid w:val="0041047D"/>
    <w:rsid w:val="00411D9C"/>
    <w:rsid w:val="00412B31"/>
    <w:rsid w:val="00413951"/>
    <w:rsid w:val="004154B7"/>
    <w:rsid w:val="00416242"/>
    <w:rsid w:val="0042567B"/>
    <w:rsid w:val="00425DC6"/>
    <w:rsid w:val="004302E3"/>
    <w:rsid w:val="004302E9"/>
    <w:rsid w:val="00434368"/>
    <w:rsid w:val="00434825"/>
    <w:rsid w:val="00434990"/>
    <w:rsid w:val="00434A3F"/>
    <w:rsid w:val="00436064"/>
    <w:rsid w:val="0044037B"/>
    <w:rsid w:val="004417A7"/>
    <w:rsid w:val="00441874"/>
    <w:rsid w:val="0044654D"/>
    <w:rsid w:val="00451BBD"/>
    <w:rsid w:val="00455158"/>
    <w:rsid w:val="00455277"/>
    <w:rsid w:val="004558AD"/>
    <w:rsid w:val="0046193B"/>
    <w:rsid w:val="00462755"/>
    <w:rsid w:val="00462CB7"/>
    <w:rsid w:val="00463291"/>
    <w:rsid w:val="00465813"/>
    <w:rsid w:val="004677EB"/>
    <w:rsid w:val="0047610D"/>
    <w:rsid w:val="00476284"/>
    <w:rsid w:val="0047778A"/>
    <w:rsid w:val="00477BB5"/>
    <w:rsid w:val="00480FC6"/>
    <w:rsid w:val="004834F8"/>
    <w:rsid w:val="004837AB"/>
    <w:rsid w:val="00483E2D"/>
    <w:rsid w:val="004863C6"/>
    <w:rsid w:val="0049091C"/>
    <w:rsid w:val="004939F0"/>
    <w:rsid w:val="0049456C"/>
    <w:rsid w:val="00496470"/>
    <w:rsid w:val="00496C37"/>
    <w:rsid w:val="004976CC"/>
    <w:rsid w:val="004A0C8C"/>
    <w:rsid w:val="004A3C34"/>
    <w:rsid w:val="004A7B18"/>
    <w:rsid w:val="004B091D"/>
    <w:rsid w:val="004B1388"/>
    <w:rsid w:val="004B1E79"/>
    <w:rsid w:val="004B2746"/>
    <w:rsid w:val="004B597B"/>
    <w:rsid w:val="004B63AD"/>
    <w:rsid w:val="004B69EF"/>
    <w:rsid w:val="004B7E0F"/>
    <w:rsid w:val="004C37C5"/>
    <w:rsid w:val="004C78BB"/>
    <w:rsid w:val="004D194E"/>
    <w:rsid w:val="004D21C9"/>
    <w:rsid w:val="004D224F"/>
    <w:rsid w:val="004D3245"/>
    <w:rsid w:val="004D5F3D"/>
    <w:rsid w:val="004D621C"/>
    <w:rsid w:val="004D6B87"/>
    <w:rsid w:val="004D7237"/>
    <w:rsid w:val="004E0F3F"/>
    <w:rsid w:val="004E1D4C"/>
    <w:rsid w:val="004E29A9"/>
    <w:rsid w:val="004E3771"/>
    <w:rsid w:val="004E3F14"/>
    <w:rsid w:val="004E40CE"/>
    <w:rsid w:val="004E580C"/>
    <w:rsid w:val="004E5B73"/>
    <w:rsid w:val="004E62B1"/>
    <w:rsid w:val="004E7FB2"/>
    <w:rsid w:val="004F0165"/>
    <w:rsid w:val="004F0C5D"/>
    <w:rsid w:val="004F1D6F"/>
    <w:rsid w:val="004F3917"/>
    <w:rsid w:val="004F7591"/>
    <w:rsid w:val="005069E4"/>
    <w:rsid w:val="00523A2A"/>
    <w:rsid w:val="00524D01"/>
    <w:rsid w:val="00525695"/>
    <w:rsid w:val="00533675"/>
    <w:rsid w:val="0054047D"/>
    <w:rsid w:val="0054053A"/>
    <w:rsid w:val="005407DB"/>
    <w:rsid w:val="00541808"/>
    <w:rsid w:val="00543DCF"/>
    <w:rsid w:val="00544418"/>
    <w:rsid w:val="005459BB"/>
    <w:rsid w:val="0055030C"/>
    <w:rsid w:val="00551931"/>
    <w:rsid w:val="00554201"/>
    <w:rsid w:val="0056388A"/>
    <w:rsid w:val="005655A6"/>
    <w:rsid w:val="00566D2A"/>
    <w:rsid w:val="00567B7B"/>
    <w:rsid w:val="00572450"/>
    <w:rsid w:val="00576B16"/>
    <w:rsid w:val="00576BE3"/>
    <w:rsid w:val="005773F6"/>
    <w:rsid w:val="00581C29"/>
    <w:rsid w:val="0058290A"/>
    <w:rsid w:val="00583B69"/>
    <w:rsid w:val="00585152"/>
    <w:rsid w:val="00586B0B"/>
    <w:rsid w:val="005918F7"/>
    <w:rsid w:val="00597B55"/>
    <w:rsid w:val="005A033A"/>
    <w:rsid w:val="005A17F8"/>
    <w:rsid w:val="005A1E38"/>
    <w:rsid w:val="005A5FA1"/>
    <w:rsid w:val="005B03EC"/>
    <w:rsid w:val="005B07B8"/>
    <w:rsid w:val="005B191C"/>
    <w:rsid w:val="005B1AD5"/>
    <w:rsid w:val="005B610F"/>
    <w:rsid w:val="005B6E55"/>
    <w:rsid w:val="005B7771"/>
    <w:rsid w:val="005C33C7"/>
    <w:rsid w:val="005C34DF"/>
    <w:rsid w:val="005C465C"/>
    <w:rsid w:val="005C7CF0"/>
    <w:rsid w:val="005D2176"/>
    <w:rsid w:val="005D29F7"/>
    <w:rsid w:val="005D31AE"/>
    <w:rsid w:val="005E0182"/>
    <w:rsid w:val="005E0AD5"/>
    <w:rsid w:val="005E2138"/>
    <w:rsid w:val="005E24DB"/>
    <w:rsid w:val="005E69D1"/>
    <w:rsid w:val="005E7243"/>
    <w:rsid w:val="005E77A5"/>
    <w:rsid w:val="005F0539"/>
    <w:rsid w:val="005F5FF7"/>
    <w:rsid w:val="00601F1A"/>
    <w:rsid w:val="0060321C"/>
    <w:rsid w:val="0060347C"/>
    <w:rsid w:val="00603C64"/>
    <w:rsid w:val="006065B9"/>
    <w:rsid w:val="00606634"/>
    <w:rsid w:val="00607BC0"/>
    <w:rsid w:val="006107F2"/>
    <w:rsid w:val="00610DFB"/>
    <w:rsid w:val="00611F76"/>
    <w:rsid w:val="006145BC"/>
    <w:rsid w:val="00614A15"/>
    <w:rsid w:val="00614ABC"/>
    <w:rsid w:val="00614F19"/>
    <w:rsid w:val="00617C0E"/>
    <w:rsid w:val="00620087"/>
    <w:rsid w:val="006206E1"/>
    <w:rsid w:val="006223BF"/>
    <w:rsid w:val="00622886"/>
    <w:rsid w:val="00623105"/>
    <w:rsid w:val="00623EE7"/>
    <w:rsid w:val="006253E1"/>
    <w:rsid w:val="006316B5"/>
    <w:rsid w:val="006322DF"/>
    <w:rsid w:val="00636036"/>
    <w:rsid w:val="00636A45"/>
    <w:rsid w:val="00637DF7"/>
    <w:rsid w:val="0064011A"/>
    <w:rsid w:val="00641218"/>
    <w:rsid w:val="0064474F"/>
    <w:rsid w:val="00645834"/>
    <w:rsid w:val="0064662B"/>
    <w:rsid w:val="00647EBF"/>
    <w:rsid w:val="00653814"/>
    <w:rsid w:val="00653F5D"/>
    <w:rsid w:val="00654A1D"/>
    <w:rsid w:val="006562A8"/>
    <w:rsid w:val="006570C6"/>
    <w:rsid w:val="00664763"/>
    <w:rsid w:val="00664ABF"/>
    <w:rsid w:val="00666272"/>
    <w:rsid w:val="00670118"/>
    <w:rsid w:val="0067446A"/>
    <w:rsid w:val="0067462C"/>
    <w:rsid w:val="0068062A"/>
    <w:rsid w:val="006806D2"/>
    <w:rsid w:val="00681BC2"/>
    <w:rsid w:val="00684E9A"/>
    <w:rsid w:val="006851AD"/>
    <w:rsid w:val="006859E6"/>
    <w:rsid w:val="006971FA"/>
    <w:rsid w:val="006A05D1"/>
    <w:rsid w:val="006A1D99"/>
    <w:rsid w:val="006A1E30"/>
    <w:rsid w:val="006A7C98"/>
    <w:rsid w:val="006B1727"/>
    <w:rsid w:val="006B17C1"/>
    <w:rsid w:val="006B3ACC"/>
    <w:rsid w:val="006B486C"/>
    <w:rsid w:val="006B5B71"/>
    <w:rsid w:val="006B6A68"/>
    <w:rsid w:val="006B7C14"/>
    <w:rsid w:val="006B7E68"/>
    <w:rsid w:val="006C00B3"/>
    <w:rsid w:val="006C448B"/>
    <w:rsid w:val="006C4FDD"/>
    <w:rsid w:val="006C51A7"/>
    <w:rsid w:val="006C5B84"/>
    <w:rsid w:val="006C6445"/>
    <w:rsid w:val="006C6578"/>
    <w:rsid w:val="006C6F2C"/>
    <w:rsid w:val="006D1B41"/>
    <w:rsid w:val="006D35F6"/>
    <w:rsid w:val="006D3D2C"/>
    <w:rsid w:val="006D432C"/>
    <w:rsid w:val="006D4FB7"/>
    <w:rsid w:val="006E334B"/>
    <w:rsid w:val="006E4729"/>
    <w:rsid w:val="006F1213"/>
    <w:rsid w:val="006F125A"/>
    <w:rsid w:val="006F18C4"/>
    <w:rsid w:val="006F2B95"/>
    <w:rsid w:val="006F5A1C"/>
    <w:rsid w:val="006F66B2"/>
    <w:rsid w:val="00702423"/>
    <w:rsid w:val="00702996"/>
    <w:rsid w:val="00702BFD"/>
    <w:rsid w:val="007157E4"/>
    <w:rsid w:val="0071784C"/>
    <w:rsid w:val="0072106B"/>
    <w:rsid w:val="0072405E"/>
    <w:rsid w:val="00725912"/>
    <w:rsid w:val="00726E14"/>
    <w:rsid w:val="00727EDB"/>
    <w:rsid w:val="00734F65"/>
    <w:rsid w:val="00740EDF"/>
    <w:rsid w:val="007504EA"/>
    <w:rsid w:val="00752773"/>
    <w:rsid w:val="007532D4"/>
    <w:rsid w:val="007541E5"/>
    <w:rsid w:val="00754C47"/>
    <w:rsid w:val="00754F1A"/>
    <w:rsid w:val="00755987"/>
    <w:rsid w:val="00755ED1"/>
    <w:rsid w:val="007565A5"/>
    <w:rsid w:val="007666F6"/>
    <w:rsid w:val="007704BD"/>
    <w:rsid w:val="00771A9A"/>
    <w:rsid w:val="007756CB"/>
    <w:rsid w:val="00777753"/>
    <w:rsid w:val="007829B4"/>
    <w:rsid w:val="00783896"/>
    <w:rsid w:val="00790966"/>
    <w:rsid w:val="0079260A"/>
    <w:rsid w:val="00794160"/>
    <w:rsid w:val="00797B1C"/>
    <w:rsid w:val="007A1283"/>
    <w:rsid w:val="007A2363"/>
    <w:rsid w:val="007A4BAC"/>
    <w:rsid w:val="007A5A11"/>
    <w:rsid w:val="007A5A47"/>
    <w:rsid w:val="007A6725"/>
    <w:rsid w:val="007A7A76"/>
    <w:rsid w:val="007B1E0A"/>
    <w:rsid w:val="007B5AA7"/>
    <w:rsid w:val="007C145D"/>
    <w:rsid w:val="007C25FE"/>
    <w:rsid w:val="007C3632"/>
    <w:rsid w:val="007C40BD"/>
    <w:rsid w:val="007C46F5"/>
    <w:rsid w:val="007D206B"/>
    <w:rsid w:val="007D4F53"/>
    <w:rsid w:val="007D55AD"/>
    <w:rsid w:val="007E09C3"/>
    <w:rsid w:val="007E36E8"/>
    <w:rsid w:val="007E62E1"/>
    <w:rsid w:val="007E6427"/>
    <w:rsid w:val="007F1D07"/>
    <w:rsid w:val="007F3330"/>
    <w:rsid w:val="007F5C80"/>
    <w:rsid w:val="007F6841"/>
    <w:rsid w:val="007F6CB2"/>
    <w:rsid w:val="0080091A"/>
    <w:rsid w:val="00803390"/>
    <w:rsid w:val="00807133"/>
    <w:rsid w:val="00815268"/>
    <w:rsid w:val="00817403"/>
    <w:rsid w:val="00820DBF"/>
    <w:rsid w:val="0082222A"/>
    <w:rsid w:val="008235B0"/>
    <w:rsid w:val="008235B2"/>
    <w:rsid w:val="0082388A"/>
    <w:rsid w:val="00824698"/>
    <w:rsid w:val="008266BD"/>
    <w:rsid w:val="00830EB8"/>
    <w:rsid w:val="00832C83"/>
    <w:rsid w:val="00835983"/>
    <w:rsid w:val="00837C67"/>
    <w:rsid w:val="00841F6B"/>
    <w:rsid w:val="00845576"/>
    <w:rsid w:val="008458FA"/>
    <w:rsid w:val="00846F82"/>
    <w:rsid w:val="00847DB7"/>
    <w:rsid w:val="0085194F"/>
    <w:rsid w:val="00853428"/>
    <w:rsid w:val="00853C63"/>
    <w:rsid w:val="0085726D"/>
    <w:rsid w:val="00861D3A"/>
    <w:rsid w:val="008705D5"/>
    <w:rsid w:val="008734A9"/>
    <w:rsid w:val="00877C8E"/>
    <w:rsid w:val="00877F7C"/>
    <w:rsid w:val="00882793"/>
    <w:rsid w:val="008843C5"/>
    <w:rsid w:val="00887415"/>
    <w:rsid w:val="008913CA"/>
    <w:rsid w:val="0089388E"/>
    <w:rsid w:val="00893B3E"/>
    <w:rsid w:val="00894DCC"/>
    <w:rsid w:val="008960B8"/>
    <w:rsid w:val="0089651E"/>
    <w:rsid w:val="008A254B"/>
    <w:rsid w:val="008A6EA6"/>
    <w:rsid w:val="008B24CB"/>
    <w:rsid w:val="008B5D54"/>
    <w:rsid w:val="008B6A7E"/>
    <w:rsid w:val="008C0677"/>
    <w:rsid w:val="008C154D"/>
    <w:rsid w:val="008C36BB"/>
    <w:rsid w:val="008C46E9"/>
    <w:rsid w:val="008C536A"/>
    <w:rsid w:val="008C6811"/>
    <w:rsid w:val="008D1AE4"/>
    <w:rsid w:val="008D678D"/>
    <w:rsid w:val="008D7BCD"/>
    <w:rsid w:val="008E1058"/>
    <w:rsid w:val="008E3A6C"/>
    <w:rsid w:val="008E47E6"/>
    <w:rsid w:val="008E49FD"/>
    <w:rsid w:val="008E7A31"/>
    <w:rsid w:val="008E7AAE"/>
    <w:rsid w:val="008F0707"/>
    <w:rsid w:val="008F26E1"/>
    <w:rsid w:val="008F6D26"/>
    <w:rsid w:val="008F6E48"/>
    <w:rsid w:val="009001C1"/>
    <w:rsid w:val="0090078A"/>
    <w:rsid w:val="00901E43"/>
    <w:rsid w:val="00904FB6"/>
    <w:rsid w:val="0090515B"/>
    <w:rsid w:val="00906B16"/>
    <w:rsid w:val="0091320B"/>
    <w:rsid w:val="00913909"/>
    <w:rsid w:val="00915629"/>
    <w:rsid w:val="009163A4"/>
    <w:rsid w:val="0091651D"/>
    <w:rsid w:val="00917B52"/>
    <w:rsid w:val="00925F13"/>
    <w:rsid w:val="00930D68"/>
    <w:rsid w:val="00931D17"/>
    <w:rsid w:val="00932BF5"/>
    <w:rsid w:val="009363D4"/>
    <w:rsid w:val="00940376"/>
    <w:rsid w:val="00941F15"/>
    <w:rsid w:val="00943FCF"/>
    <w:rsid w:val="00945D53"/>
    <w:rsid w:val="009462BD"/>
    <w:rsid w:val="00952841"/>
    <w:rsid w:val="00952BF9"/>
    <w:rsid w:val="009535EC"/>
    <w:rsid w:val="00955922"/>
    <w:rsid w:val="009577A5"/>
    <w:rsid w:val="00962A73"/>
    <w:rsid w:val="009633EF"/>
    <w:rsid w:val="00963A1F"/>
    <w:rsid w:val="00964F8C"/>
    <w:rsid w:val="00965C2A"/>
    <w:rsid w:val="0097091A"/>
    <w:rsid w:val="0097222A"/>
    <w:rsid w:val="00975121"/>
    <w:rsid w:val="009758DC"/>
    <w:rsid w:val="00976EBB"/>
    <w:rsid w:val="00982413"/>
    <w:rsid w:val="0098257E"/>
    <w:rsid w:val="009857F3"/>
    <w:rsid w:val="00987AF5"/>
    <w:rsid w:val="009906BA"/>
    <w:rsid w:val="00993AAD"/>
    <w:rsid w:val="009948CC"/>
    <w:rsid w:val="009977B4"/>
    <w:rsid w:val="009A107B"/>
    <w:rsid w:val="009A379F"/>
    <w:rsid w:val="009A57A2"/>
    <w:rsid w:val="009B1521"/>
    <w:rsid w:val="009B26BF"/>
    <w:rsid w:val="009B46AF"/>
    <w:rsid w:val="009B4E9B"/>
    <w:rsid w:val="009B6BCE"/>
    <w:rsid w:val="009B6C89"/>
    <w:rsid w:val="009B6DBA"/>
    <w:rsid w:val="009B765E"/>
    <w:rsid w:val="009C3C7B"/>
    <w:rsid w:val="009C4626"/>
    <w:rsid w:val="009C49EF"/>
    <w:rsid w:val="009C654B"/>
    <w:rsid w:val="009C7ACF"/>
    <w:rsid w:val="009D0E8F"/>
    <w:rsid w:val="009D2718"/>
    <w:rsid w:val="009D6EBD"/>
    <w:rsid w:val="009D7F7F"/>
    <w:rsid w:val="009E313A"/>
    <w:rsid w:val="009E4B22"/>
    <w:rsid w:val="009E7B1B"/>
    <w:rsid w:val="00A007C5"/>
    <w:rsid w:val="00A05282"/>
    <w:rsid w:val="00A076CE"/>
    <w:rsid w:val="00A10A8C"/>
    <w:rsid w:val="00A131F4"/>
    <w:rsid w:val="00A148A3"/>
    <w:rsid w:val="00A150EF"/>
    <w:rsid w:val="00A17C8D"/>
    <w:rsid w:val="00A22372"/>
    <w:rsid w:val="00A22B44"/>
    <w:rsid w:val="00A22E60"/>
    <w:rsid w:val="00A30192"/>
    <w:rsid w:val="00A30707"/>
    <w:rsid w:val="00A321C9"/>
    <w:rsid w:val="00A32FB3"/>
    <w:rsid w:val="00A35131"/>
    <w:rsid w:val="00A40E0B"/>
    <w:rsid w:val="00A414FE"/>
    <w:rsid w:val="00A43C9D"/>
    <w:rsid w:val="00A446D4"/>
    <w:rsid w:val="00A45AE6"/>
    <w:rsid w:val="00A50F29"/>
    <w:rsid w:val="00A51051"/>
    <w:rsid w:val="00A54359"/>
    <w:rsid w:val="00A54B7A"/>
    <w:rsid w:val="00A550DC"/>
    <w:rsid w:val="00A561BB"/>
    <w:rsid w:val="00A6012F"/>
    <w:rsid w:val="00A609A6"/>
    <w:rsid w:val="00A60D52"/>
    <w:rsid w:val="00A61F45"/>
    <w:rsid w:val="00A635F0"/>
    <w:rsid w:val="00A64299"/>
    <w:rsid w:val="00A65244"/>
    <w:rsid w:val="00A6592C"/>
    <w:rsid w:val="00A65BAD"/>
    <w:rsid w:val="00A66313"/>
    <w:rsid w:val="00A664B4"/>
    <w:rsid w:val="00A6728E"/>
    <w:rsid w:val="00A70A6F"/>
    <w:rsid w:val="00A71627"/>
    <w:rsid w:val="00A73D78"/>
    <w:rsid w:val="00A766E9"/>
    <w:rsid w:val="00A76EB9"/>
    <w:rsid w:val="00A81AAF"/>
    <w:rsid w:val="00A8385F"/>
    <w:rsid w:val="00A84859"/>
    <w:rsid w:val="00A84D6A"/>
    <w:rsid w:val="00A85F25"/>
    <w:rsid w:val="00A866D5"/>
    <w:rsid w:val="00A931CD"/>
    <w:rsid w:val="00A94610"/>
    <w:rsid w:val="00A96936"/>
    <w:rsid w:val="00A96F70"/>
    <w:rsid w:val="00AA03E9"/>
    <w:rsid w:val="00AA0D3D"/>
    <w:rsid w:val="00AA208A"/>
    <w:rsid w:val="00AA2343"/>
    <w:rsid w:val="00AA2F28"/>
    <w:rsid w:val="00AA31BE"/>
    <w:rsid w:val="00AA54F3"/>
    <w:rsid w:val="00AA6ABC"/>
    <w:rsid w:val="00AB09FF"/>
    <w:rsid w:val="00AB12D6"/>
    <w:rsid w:val="00AB18A6"/>
    <w:rsid w:val="00AB2DFE"/>
    <w:rsid w:val="00AB3C31"/>
    <w:rsid w:val="00AB3CEB"/>
    <w:rsid w:val="00AB46DB"/>
    <w:rsid w:val="00AC361C"/>
    <w:rsid w:val="00AC4C7D"/>
    <w:rsid w:val="00AC5BD1"/>
    <w:rsid w:val="00AC5C74"/>
    <w:rsid w:val="00AC62CC"/>
    <w:rsid w:val="00AC76C2"/>
    <w:rsid w:val="00AD362D"/>
    <w:rsid w:val="00AD4E9D"/>
    <w:rsid w:val="00AD5E41"/>
    <w:rsid w:val="00AD6861"/>
    <w:rsid w:val="00AD6A63"/>
    <w:rsid w:val="00AE1D9F"/>
    <w:rsid w:val="00AE5246"/>
    <w:rsid w:val="00AF0689"/>
    <w:rsid w:val="00AF0D5E"/>
    <w:rsid w:val="00AF3796"/>
    <w:rsid w:val="00AF60E9"/>
    <w:rsid w:val="00AF781A"/>
    <w:rsid w:val="00AF7E84"/>
    <w:rsid w:val="00B01DC0"/>
    <w:rsid w:val="00B04C37"/>
    <w:rsid w:val="00B04CD7"/>
    <w:rsid w:val="00B0727E"/>
    <w:rsid w:val="00B10E0C"/>
    <w:rsid w:val="00B128A4"/>
    <w:rsid w:val="00B15E05"/>
    <w:rsid w:val="00B1789C"/>
    <w:rsid w:val="00B209BD"/>
    <w:rsid w:val="00B2287C"/>
    <w:rsid w:val="00B25A7D"/>
    <w:rsid w:val="00B266F0"/>
    <w:rsid w:val="00B3235B"/>
    <w:rsid w:val="00B32586"/>
    <w:rsid w:val="00B33C10"/>
    <w:rsid w:val="00B362F9"/>
    <w:rsid w:val="00B405D8"/>
    <w:rsid w:val="00B40DFF"/>
    <w:rsid w:val="00B415C5"/>
    <w:rsid w:val="00B45002"/>
    <w:rsid w:val="00B45779"/>
    <w:rsid w:val="00B459A6"/>
    <w:rsid w:val="00B4706E"/>
    <w:rsid w:val="00B4734F"/>
    <w:rsid w:val="00B5095A"/>
    <w:rsid w:val="00B50EA9"/>
    <w:rsid w:val="00B51D5C"/>
    <w:rsid w:val="00B53975"/>
    <w:rsid w:val="00B55735"/>
    <w:rsid w:val="00B56D3E"/>
    <w:rsid w:val="00B56E8A"/>
    <w:rsid w:val="00B572CF"/>
    <w:rsid w:val="00B608AC"/>
    <w:rsid w:val="00B62148"/>
    <w:rsid w:val="00B655CA"/>
    <w:rsid w:val="00B65C2F"/>
    <w:rsid w:val="00B65C54"/>
    <w:rsid w:val="00B67D13"/>
    <w:rsid w:val="00B7588B"/>
    <w:rsid w:val="00B81631"/>
    <w:rsid w:val="00B82913"/>
    <w:rsid w:val="00B82B61"/>
    <w:rsid w:val="00B855BC"/>
    <w:rsid w:val="00B909F9"/>
    <w:rsid w:val="00B9184D"/>
    <w:rsid w:val="00B9186E"/>
    <w:rsid w:val="00B91B41"/>
    <w:rsid w:val="00B92BFB"/>
    <w:rsid w:val="00B9370C"/>
    <w:rsid w:val="00B95957"/>
    <w:rsid w:val="00B95D90"/>
    <w:rsid w:val="00B97C3B"/>
    <w:rsid w:val="00B97CE4"/>
    <w:rsid w:val="00BA0C28"/>
    <w:rsid w:val="00BA0CB2"/>
    <w:rsid w:val="00BA1042"/>
    <w:rsid w:val="00BA2D35"/>
    <w:rsid w:val="00BA2DBE"/>
    <w:rsid w:val="00BA4A65"/>
    <w:rsid w:val="00BA60FD"/>
    <w:rsid w:val="00BA6BB7"/>
    <w:rsid w:val="00BA7856"/>
    <w:rsid w:val="00BB0E8E"/>
    <w:rsid w:val="00BB3447"/>
    <w:rsid w:val="00BB375A"/>
    <w:rsid w:val="00BB5AE3"/>
    <w:rsid w:val="00BC17AA"/>
    <w:rsid w:val="00BC4969"/>
    <w:rsid w:val="00BC54B1"/>
    <w:rsid w:val="00BD24A8"/>
    <w:rsid w:val="00BD4653"/>
    <w:rsid w:val="00BD4D7F"/>
    <w:rsid w:val="00BD70C4"/>
    <w:rsid w:val="00BD7198"/>
    <w:rsid w:val="00BE035C"/>
    <w:rsid w:val="00BE14E2"/>
    <w:rsid w:val="00BE223E"/>
    <w:rsid w:val="00BE23D8"/>
    <w:rsid w:val="00BE580E"/>
    <w:rsid w:val="00BE5BD0"/>
    <w:rsid w:val="00BE6013"/>
    <w:rsid w:val="00BE6F95"/>
    <w:rsid w:val="00BE7F98"/>
    <w:rsid w:val="00BF3E5B"/>
    <w:rsid w:val="00BF6C67"/>
    <w:rsid w:val="00C000CD"/>
    <w:rsid w:val="00C00DE8"/>
    <w:rsid w:val="00C03179"/>
    <w:rsid w:val="00C0357E"/>
    <w:rsid w:val="00C0417E"/>
    <w:rsid w:val="00C0561A"/>
    <w:rsid w:val="00C10248"/>
    <w:rsid w:val="00C10594"/>
    <w:rsid w:val="00C10AE3"/>
    <w:rsid w:val="00C1136E"/>
    <w:rsid w:val="00C11E84"/>
    <w:rsid w:val="00C1323F"/>
    <w:rsid w:val="00C13936"/>
    <w:rsid w:val="00C13959"/>
    <w:rsid w:val="00C14779"/>
    <w:rsid w:val="00C17718"/>
    <w:rsid w:val="00C17A31"/>
    <w:rsid w:val="00C264D7"/>
    <w:rsid w:val="00C26766"/>
    <w:rsid w:val="00C27BA5"/>
    <w:rsid w:val="00C314B6"/>
    <w:rsid w:val="00C32985"/>
    <w:rsid w:val="00C36D37"/>
    <w:rsid w:val="00C36D9E"/>
    <w:rsid w:val="00C376E3"/>
    <w:rsid w:val="00C409FC"/>
    <w:rsid w:val="00C42CF5"/>
    <w:rsid w:val="00C50474"/>
    <w:rsid w:val="00C54298"/>
    <w:rsid w:val="00C564AD"/>
    <w:rsid w:val="00C56C35"/>
    <w:rsid w:val="00C610F6"/>
    <w:rsid w:val="00C63466"/>
    <w:rsid w:val="00C63A84"/>
    <w:rsid w:val="00C63AD7"/>
    <w:rsid w:val="00C70072"/>
    <w:rsid w:val="00C72C51"/>
    <w:rsid w:val="00C7696E"/>
    <w:rsid w:val="00C773A9"/>
    <w:rsid w:val="00C829E4"/>
    <w:rsid w:val="00C836A1"/>
    <w:rsid w:val="00C9159E"/>
    <w:rsid w:val="00C929D2"/>
    <w:rsid w:val="00C92BCB"/>
    <w:rsid w:val="00C952A8"/>
    <w:rsid w:val="00CA2658"/>
    <w:rsid w:val="00CA4658"/>
    <w:rsid w:val="00CA72CD"/>
    <w:rsid w:val="00CA736B"/>
    <w:rsid w:val="00CB0BD9"/>
    <w:rsid w:val="00CB14BD"/>
    <w:rsid w:val="00CB17F2"/>
    <w:rsid w:val="00CB18A3"/>
    <w:rsid w:val="00CB2814"/>
    <w:rsid w:val="00CB2A9E"/>
    <w:rsid w:val="00CB4B3C"/>
    <w:rsid w:val="00CB4EE6"/>
    <w:rsid w:val="00CB747C"/>
    <w:rsid w:val="00CC4BAA"/>
    <w:rsid w:val="00CD11AD"/>
    <w:rsid w:val="00CD2300"/>
    <w:rsid w:val="00CD5C72"/>
    <w:rsid w:val="00CD7A35"/>
    <w:rsid w:val="00CE4B47"/>
    <w:rsid w:val="00CE70D0"/>
    <w:rsid w:val="00CE71F8"/>
    <w:rsid w:val="00CE76C1"/>
    <w:rsid w:val="00CF24E4"/>
    <w:rsid w:val="00CF603B"/>
    <w:rsid w:val="00CF7455"/>
    <w:rsid w:val="00CF766A"/>
    <w:rsid w:val="00D00836"/>
    <w:rsid w:val="00D01949"/>
    <w:rsid w:val="00D01B8D"/>
    <w:rsid w:val="00D02999"/>
    <w:rsid w:val="00D05D04"/>
    <w:rsid w:val="00D07EA8"/>
    <w:rsid w:val="00D12B9C"/>
    <w:rsid w:val="00D14854"/>
    <w:rsid w:val="00D14962"/>
    <w:rsid w:val="00D150A8"/>
    <w:rsid w:val="00D16598"/>
    <w:rsid w:val="00D179EA"/>
    <w:rsid w:val="00D20211"/>
    <w:rsid w:val="00D2041B"/>
    <w:rsid w:val="00D21504"/>
    <w:rsid w:val="00D21E16"/>
    <w:rsid w:val="00D22285"/>
    <w:rsid w:val="00D22A94"/>
    <w:rsid w:val="00D234B1"/>
    <w:rsid w:val="00D23859"/>
    <w:rsid w:val="00D30BDF"/>
    <w:rsid w:val="00D312D8"/>
    <w:rsid w:val="00D32500"/>
    <w:rsid w:val="00D400C0"/>
    <w:rsid w:val="00D408B1"/>
    <w:rsid w:val="00D40D1B"/>
    <w:rsid w:val="00D431BD"/>
    <w:rsid w:val="00D476FA"/>
    <w:rsid w:val="00D51816"/>
    <w:rsid w:val="00D5249F"/>
    <w:rsid w:val="00D5424F"/>
    <w:rsid w:val="00D54C0F"/>
    <w:rsid w:val="00D5583A"/>
    <w:rsid w:val="00D62EE3"/>
    <w:rsid w:val="00D6587B"/>
    <w:rsid w:val="00D67B08"/>
    <w:rsid w:val="00D7035D"/>
    <w:rsid w:val="00D72EA8"/>
    <w:rsid w:val="00D7437A"/>
    <w:rsid w:val="00D80860"/>
    <w:rsid w:val="00D815D4"/>
    <w:rsid w:val="00D83A5F"/>
    <w:rsid w:val="00D84506"/>
    <w:rsid w:val="00D86483"/>
    <w:rsid w:val="00D87867"/>
    <w:rsid w:val="00D91D4C"/>
    <w:rsid w:val="00D938F7"/>
    <w:rsid w:val="00D9512F"/>
    <w:rsid w:val="00DA1FD9"/>
    <w:rsid w:val="00DA2BC4"/>
    <w:rsid w:val="00DA54A6"/>
    <w:rsid w:val="00DA5A96"/>
    <w:rsid w:val="00DA6118"/>
    <w:rsid w:val="00DB2341"/>
    <w:rsid w:val="00DB40A8"/>
    <w:rsid w:val="00DB4709"/>
    <w:rsid w:val="00DC0B71"/>
    <w:rsid w:val="00DC337F"/>
    <w:rsid w:val="00DC352E"/>
    <w:rsid w:val="00DC37AE"/>
    <w:rsid w:val="00DC57CC"/>
    <w:rsid w:val="00DC7E2A"/>
    <w:rsid w:val="00DD046B"/>
    <w:rsid w:val="00DD12B8"/>
    <w:rsid w:val="00DD160E"/>
    <w:rsid w:val="00DD30E1"/>
    <w:rsid w:val="00DD5C03"/>
    <w:rsid w:val="00DD7989"/>
    <w:rsid w:val="00DD7ABB"/>
    <w:rsid w:val="00DE0E6C"/>
    <w:rsid w:val="00DE5708"/>
    <w:rsid w:val="00DE5B37"/>
    <w:rsid w:val="00DF2BF4"/>
    <w:rsid w:val="00DF5F5A"/>
    <w:rsid w:val="00E002EC"/>
    <w:rsid w:val="00E00EAC"/>
    <w:rsid w:val="00E073FF"/>
    <w:rsid w:val="00E11F63"/>
    <w:rsid w:val="00E159B2"/>
    <w:rsid w:val="00E22E3A"/>
    <w:rsid w:val="00E25AB9"/>
    <w:rsid w:val="00E25E4F"/>
    <w:rsid w:val="00E26D57"/>
    <w:rsid w:val="00E2725E"/>
    <w:rsid w:val="00E278FC"/>
    <w:rsid w:val="00E3707E"/>
    <w:rsid w:val="00E41F32"/>
    <w:rsid w:val="00E42C3E"/>
    <w:rsid w:val="00E43C6B"/>
    <w:rsid w:val="00E443DB"/>
    <w:rsid w:val="00E44C4F"/>
    <w:rsid w:val="00E44D74"/>
    <w:rsid w:val="00E47940"/>
    <w:rsid w:val="00E50EC4"/>
    <w:rsid w:val="00E52761"/>
    <w:rsid w:val="00E53CD8"/>
    <w:rsid w:val="00E54167"/>
    <w:rsid w:val="00E64C21"/>
    <w:rsid w:val="00E70802"/>
    <w:rsid w:val="00E71A5F"/>
    <w:rsid w:val="00E733C0"/>
    <w:rsid w:val="00E73437"/>
    <w:rsid w:val="00E73BE0"/>
    <w:rsid w:val="00E747E6"/>
    <w:rsid w:val="00E75B19"/>
    <w:rsid w:val="00E7619C"/>
    <w:rsid w:val="00E82C63"/>
    <w:rsid w:val="00E85215"/>
    <w:rsid w:val="00E857BB"/>
    <w:rsid w:val="00E93F09"/>
    <w:rsid w:val="00E94C11"/>
    <w:rsid w:val="00E95E60"/>
    <w:rsid w:val="00E96F1E"/>
    <w:rsid w:val="00EA0849"/>
    <w:rsid w:val="00EA2AFC"/>
    <w:rsid w:val="00EA3339"/>
    <w:rsid w:val="00EA52EC"/>
    <w:rsid w:val="00EA538D"/>
    <w:rsid w:val="00EA55C0"/>
    <w:rsid w:val="00EA7430"/>
    <w:rsid w:val="00EB0B5C"/>
    <w:rsid w:val="00EB246C"/>
    <w:rsid w:val="00EB5E6E"/>
    <w:rsid w:val="00EB6CC4"/>
    <w:rsid w:val="00EC1D86"/>
    <w:rsid w:val="00EC31D7"/>
    <w:rsid w:val="00EC5E2E"/>
    <w:rsid w:val="00EC639B"/>
    <w:rsid w:val="00EC64FB"/>
    <w:rsid w:val="00ED0D0E"/>
    <w:rsid w:val="00ED4142"/>
    <w:rsid w:val="00ED614F"/>
    <w:rsid w:val="00ED72E9"/>
    <w:rsid w:val="00ED73C0"/>
    <w:rsid w:val="00EE2130"/>
    <w:rsid w:val="00EE2348"/>
    <w:rsid w:val="00EE7CF9"/>
    <w:rsid w:val="00EF0F25"/>
    <w:rsid w:val="00EF1ECD"/>
    <w:rsid w:val="00EF4047"/>
    <w:rsid w:val="00EF674C"/>
    <w:rsid w:val="00F0210B"/>
    <w:rsid w:val="00F024E8"/>
    <w:rsid w:val="00F02D04"/>
    <w:rsid w:val="00F11EF3"/>
    <w:rsid w:val="00F1279E"/>
    <w:rsid w:val="00F12AD6"/>
    <w:rsid w:val="00F13451"/>
    <w:rsid w:val="00F1603C"/>
    <w:rsid w:val="00F16DA0"/>
    <w:rsid w:val="00F1710D"/>
    <w:rsid w:val="00F17368"/>
    <w:rsid w:val="00F20B48"/>
    <w:rsid w:val="00F219A6"/>
    <w:rsid w:val="00F226AD"/>
    <w:rsid w:val="00F23A4F"/>
    <w:rsid w:val="00F2476B"/>
    <w:rsid w:val="00F262CE"/>
    <w:rsid w:val="00F30919"/>
    <w:rsid w:val="00F323E9"/>
    <w:rsid w:val="00F32FA5"/>
    <w:rsid w:val="00F33B65"/>
    <w:rsid w:val="00F35385"/>
    <w:rsid w:val="00F4116A"/>
    <w:rsid w:val="00F44453"/>
    <w:rsid w:val="00F450FF"/>
    <w:rsid w:val="00F51527"/>
    <w:rsid w:val="00F546BB"/>
    <w:rsid w:val="00F55293"/>
    <w:rsid w:val="00F557E4"/>
    <w:rsid w:val="00F6029C"/>
    <w:rsid w:val="00F61266"/>
    <w:rsid w:val="00F63FAF"/>
    <w:rsid w:val="00F643DD"/>
    <w:rsid w:val="00F71763"/>
    <w:rsid w:val="00F7214F"/>
    <w:rsid w:val="00F7410D"/>
    <w:rsid w:val="00F74623"/>
    <w:rsid w:val="00F74A04"/>
    <w:rsid w:val="00F77C21"/>
    <w:rsid w:val="00F8030A"/>
    <w:rsid w:val="00F82AF2"/>
    <w:rsid w:val="00F84FB5"/>
    <w:rsid w:val="00F8699B"/>
    <w:rsid w:val="00F86B2F"/>
    <w:rsid w:val="00F86B72"/>
    <w:rsid w:val="00F90B8D"/>
    <w:rsid w:val="00F916B5"/>
    <w:rsid w:val="00F91C38"/>
    <w:rsid w:val="00F9520F"/>
    <w:rsid w:val="00FA029C"/>
    <w:rsid w:val="00FA4342"/>
    <w:rsid w:val="00FA4DE0"/>
    <w:rsid w:val="00FA77F8"/>
    <w:rsid w:val="00FB0989"/>
    <w:rsid w:val="00FB25EB"/>
    <w:rsid w:val="00FB3333"/>
    <w:rsid w:val="00FB6BD6"/>
    <w:rsid w:val="00FC2B23"/>
    <w:rsid w:val="00FC2F2A"/>
    <w:rsid w:val="00FC3011"/>
    <w:rsid w:val="00FC5B5A"/>
    <w:rsid w:val="00FD00E5"/>
    <w:rsid w:val="00FD0FB4"/>
    <w:rsid w:val="00FD6CDE"/>
    <w:rsid w:val="00FE3F77"/>
    <w:rsid w:val="00FE5AEA"/>
    <w:rsid w:val="00FE60F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8FBF9"/>
  <w15:chartTrackingRefBased/>
  <w15:docId w15:val="{53B7564B-3823-49FF-915B-CCF48C4D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UnresolvedMention">
    <w:name w:val="Unresolved Mention"/>
    <w:basedOn w:val="DefaultParagraphFont"/>
    <w:uiPriority w:val="99"/>
    <w:semiHidden/>
    <w:unhideWhenUsed/>
    <w:rsid w:val="00A60D52"/>
    <w:rPr>
      <w:color w:val="605E5C"/>
      <w:shd w:val="clear" w:color="auto" w:fill="E1DFDD"/>
    </w:rPr>
  </w:style>
  <w:style w:type="paragraph" w:styleId="Revision">
    <w:name w:val="Revision"/>
    <w:hidden/>
    <w:uiPriority w:val="99"/>
    <w:semiHidden/>
    <w:rsid w:val="007C3632"/>
    <w:pPr>
      <w:spacing w:after="0" w:line="240" w:lineRule="auto"/>
    </w:pPr>
  </w:style>
  <w:style w:type="character" w:customStyle="1" w:styleId="sr-only">
    <w:name w:val="sr-only"/>
    <w:basedOn w:val="DefaultParagraphFont"/>
    <w:rsid w:val="0089388E"/>
  </w:style>
  <w:style w:type="paragraph" w:styleId="FootnoteText">
    <w:name w:val="footnote text"/>
    <w:basedOn w:val="Normal"/>
    <w:link w:val="FootnoteTextChar"/>
    <w:uiPriority w:val="99"/>
    <w:semiHidden/>
    <w:unhideWhenUsed/>
    <w:rsid w:val="00CC4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BAA"/>
    <w:rPr>
      <w:sz w:val="20"/>
      <w:szCs w:val="20"/>
    </w:rPr>
  </w:style>
  <w:style w:type="character" w:styleId="FootnoteReference">
    <w:name w:val="footnote reference"/>
    <w:basedOn w:val="DefaultParagraphFont"/>
    <w:uiPriority w:val="99"/>
    <w:semiHidden/>
    <w:unhideWhenUsed/>
    <w:rsid w:val="00CC4B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9210">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265479">
      <w:bodyDiv w:val="1"/>
      <w:marLeft w:val="0"/>
      <w:marRight w:val="0"/>
      <w:marTop w:val="0"/>
      <w:marBottom w:val="0"/>
      <w:divBdr>
        <w:top w:val="none" w:sz="0" w:space="0" w:color="auto"/>
        <w:left w:val="none" w:sz="0" w:space="0" w:color="auto"/>
        <w:bottom w:val="none" w:sz="0" w:space="0" w:color="auto"/>
        <w:right w:val="none" w:sz="0" w:space="0" w:color="auto"/>
      </w:divBdr>
    </w:div>
    <w:div w:id="287929773">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118569">
      <w:bodyDiv w:val="1"/>
      <w:marLeft w:val="0"/>
      <w:marRight w:val="0"/>
      <w:marTop w:val="0"/>
      <w:marBottom w:val="0"/>
      <w:divBdr>
        <w:top w:val="none" w:sz="0" w:space="0" w:color="auto"/>
        <w:left w:val="none" w:sz="0" w:space="0" w:color="auto"/>
        <w:bottom w:val="none" w:sz="0" w:space="0" w:color="auto"/>
        <w:right w:val="none" w:sz="0" w:space="0" w:color="auto"/>
      </w:divBdr>
    </w:div>
    <w:div w:id="466514432">
      <w:bodyDiv w:val="1"/>
      <w:marLeft w:val="0"/>
      <w:marRight w:val="0"/>
      <w:marTop w:val="0"/>
      <w:marBottom w:val="0"/>
      <w:divBdr>
        <w:top w:val="none" w:sz="0" w:space="0" w:color="auto"/>
        <w:left w:val="none" w:sz="0" w:space="0" w:color="auto"/>
        <w:bottom w:val="none" w:sz="0" w:space="0" w:color="auto"/>
        <w:right w:val="none" w:sz="0" w:space="0" w:color="auto"/>
      </w:divBdr>
      <w:divsChild>
        <w:div w:id="605886990">
          <w:marLeft w:val="0"/>
          <w:marRight w:val="0"/>
          <w:marTop w:val="0"/>
          <w:marBottom w:val="0"/>
          <w:divBdr>
            <w:top w:val="none" w:sz="0" w:space="0" w:color="auto"/>
            <w:left w:val="none" w:sz="0" w:space="0" w:color="auto"/>
            <w:bottom w:val="none" w:sz="0" w:space="0" w:color="auto"/>
            <w:right w:val="none" w:sz="0" w:space="0" w:color="auto"/>
          </w:divBdr>
          <w:divsChild>
            <w:div w:id="960723514">
              <w:marLeft w:val="0"/>
              <w:marRight w:val="0"/>
              <w:marTop w:val="0"/>
              <w:marBottom w:val="0"/>
              <w:divBdr>
                <w:top w:val="none" w:sz="0" w:space="0" w:color="auto"/>
                <w:left w:val="none" w:sz="0" w:space="0" w:color="auto"/>
                <w:bottom w:val="none" w:sz="0" w:space="0" w:color="auto"/>
                <w:right w:val="none" w:sz="0" w:space="0" w:color="auto"/>
              </w:divBdr>
              <w:divsChild>
                <w:div w:id="779227235">
                  <w:marLeft w:val="0"/>
                  <w:marRight w:val="0"/>
                  <w:marTop w:val="0"/>
                  <w:marBottom w:val="0"/>
                  <w:divBdr>
                    <w:top w:val="none" w:sz="0" w:space="0" w:color="auto"/>
                    <w:left w:val="none" w:sz="0" w:space="0" w:color="auto"/>
                    <w:bottom w:val="none" w:sz="0" w:space="0" w:color="auto"/>
                    <w:right w:val="none" w:sz="0" w:space="0" w:color="auto"/>
                  </w:divBdr>
                  <w:divsChild>
                    <w:div w:id="698900144">
                      <w:marLeft w:val="0"/>
                      <w:marRight w:val="0"/>
                      <w:marTop w:val="0"/>
                      <w:marBottom w:val="0"/>
                      <w:divBdr>
                        <w:top w:val="none" w:sz="0" w:space="0" w:color="auto"/>
                        <w:left w:val="none" w:sz="0" w:space="0" w:color="auto"/>
                        <w:bottom w:val="none" w:sz="0" w:space="0" w:color="auto"/>
                        <w:right w:val="none" w:sz="0" w:space="0" w:color="auto"/>
                      </w:divBdr>
                      <w:divsChild>
                        <w:div w:id="595946965">
                          <w:marLeft w:val="0"/>
                          <w:marRight w:val="0"/>
                          <w:marTop w:val="0"/>
                          <w:marBottom w:val="0"/>
                          <w:divBdr>
                            <w:top w:val="none" w:sz="0" w:space="0" w:color="auto"/>
                            <w:left w:val="none" w:sz="0" w:space="0" w:color="auto"/>
                            <w:bottom w:val="none" w:sz="0" w:space="0" w:color="auto"/>
                            <w:right w:val="none" w:sz="0" w:space="0" w:color="auto"/>
                          </w:divBdr>
                          <w:divsChild>
                            <w:div w:id="7644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4176">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143813030">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229113">
      <w:bodyDiv w:val="1"/>
      <w:marLeft w:val="0"/>
      <w:marRight w:val="0"/>
      <w:marTop w:val="0"/>
      <w:marBottom w:val="0"/>
      <w:divBdr>
        <w:top w:val="none" w:sz="0" w:space="0" w:color="auto"/>
        <w:left w:val="none" w:sz="0" w:space="0" w:color="auto"/>
        <w:bottom w:val="none" w:sz="0" w:space="0" w:color="auto"/>
        <w:right w:val="none" w:sz="0" w:space="0" w:color="auto"/>
      </w:divBdr>
    </w:div>
    <w:div w:id="1386760309">
      <w:bodyDiv w:val="1"/>
      <w:marLeft w:val="0"/>
      <w:marRight w:val="0"/>
      <w:marTop w:val="0"/>
      <w:marBottom w:val="0"/>
      <w:divBdr>
        <w:top w:val="none" w:sz="0" w:space="0" w:color="auto"/>
        <w:left w:val="none" w:sz="0" w:space="0" w:color="auto"/>
        <w:bottom w:val="none" w:sz="0" w:space="0" w:color="auto"/>
        <w:right w:val="none" w:sz="0" w:space="0" w:color="auto"/>
      </w:divBdr>
      <w:divsChild>
        <w:div w:id="1767724263">
          <w:marLeft w:val="0"/>
          <w:marRight w:val="0"/>
          <w:marTop w:val="0"/>
          <w:marBottom w:val="0"/>
          <w:divBdr>
            <w:top w:val="none" w:sz="0" w:space="0" w:color="auto"/>
            <w:left w:val="none" w:sz="0" w:space="0" w:color="auto"/>
            <w:bottom w:val="none" w:sz="0" w:space="0" w:color="auto"/>
            <w:right w:val="none" w:sz="0" w:space="0" w:color="auto"/>
          </w:divBdr>
          <w:divsChild>
            <w:div w:id="420878410">
              <w:marLeft w:val="0"/>
              <w:marRight w:val="0"/>
              <w:marTop w:val="0"/>
              <w:marBottom w:val="0"/>
              <w:divBdr>
                <w:top w:val="none" w:sz="0" w:space="0" w:color="auto"/>
                <w:left w:val="none" w:sz="0" w:space="0" w:color="auto"/>
                <w:bottom w:val="none" w:sz="0" w:space="0" w:color="auto"/>
                <w:right w:val="none" w:sz="0" w:space="0" w:color="auto"/>
              </w:divBdr>
              <w:divsChild>
                <w:div w:id="654341809">
                  <w:marLeft w:val="0"/>
                  <w:marRight w:val="0"/>
                  <w:marTop w:val="0"/>
                  <w:marBottom w:val="0"/>
                  <w:divBdr>
                    <w:top w:val="none" w:sz="0" w:space="0" w:color="auto"/>
                    <w:left w:val="none" w:sz="0" w:space="0" w:color="auto"/>
                    <w:bottom w:val="none" w:sz="0" w:space="0" w:color="auto"/>
                    <w:right w:val="none" w:sz="0" w:space="0" w:color="auto"/>
                  </w:divBdr>
                  <w:divsChild>
                    <w:div w:id="454638877">
                      <w:marLeft w:val="0"/>
                      <w:marRight w:val="0"/>
                      <w:marTop w:val="0"/>
                      <w:marBottom w:val="0"/>
                      <w:divBdr>
                        <w:top w:val="none" w:sz="0" w:space="0" w:color="auto"/>
                        <w:left w:val="none" w:sz="0" w:space="0" w:color="auto"/>
                        <w:bottom w:val="none" w:sz="0" w:space="0" w:color="auto"/>
                        <w:right w:val="none" w:sz="0" w:space="0" w:color="auto"/>
                      </w:divBdr>
                      <w:divsChild>
                        <w:div w:id="212664804">
                          <w:marLeft w:val="0"/>
                          <w:marRight w:val="0"/>
                          <w:marTop w:val="0"/>
                          <w:marBottom w:val="0"/>
                          <w:divBdr>
                            <w:top w:val="none" w:sz="0" w:space="0" w:color="auto"/>
                            <w:left w:val="none" w:sz="0" w:space="0" w:color="auto"/>
                            <w:bottom w:val="none" w:sz="0" w:space="0" w:color="auto"/>
                            <w:right w:val="none" w:sz="0" w:space="0" w:color="auto"/>
                          </w:divBdr>
                          <w:divsChild>
                            <w:div w:id="9609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660501">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illiant.com/ShopOnline/CDC.aspx" TargetMode="External"/><Relationship Id="rId13" Type="http://schemas.openxmlformats.org/officeDocument/2006/relationships/hyperlink" Target="mailto:VSM8@cdc.gov" TargetMode="External"/><Relationship Id="rId18" Type="http://schemas.openxmlformats.org/officeDocument/2006/relationships/hyperlink" Target="https://www.bls.gov/oes/current/oes_nat.htm" TargetMode="External"/><Relationship Id="rId3" Type="http://schemas.openxmlformats.org/officeDocument/2006/relationships/styles" Target="styles.xml"/><Relationship Id="rId21" Type="http://schemas.openxmlformats.org/officeDocument/2006/relationships/hyperlink" Target="http://www.cerilliant.com/ShopOnline/CDC.aspx" TargetMode="External"/><Relationship Id="rId7" Type="http://schemas.openxmlformats.org/officeDocument/2006/relationships/endnotes" Target="endnotes.xml"/><Relationship Id="rId12" Type="http://schemas.openxmlformats.org/officeDocument/2006/relationships/hyperlink" Target="https://www.cdc.gov/nceh/dls/erb_opioid_kits.html"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yhx1@cdc.gov" TargetMode="External"/><Relationship Id="rId20" Type="http://schemas.openxmlformats.org/officeDocument/2006/relationships/hyperlink" Target="https://www.cdc.gov/nceh/dls/pdf/Opiod_Factsheet-5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ymanchem.com/forensics/faskit/?q=*%3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ta4@CDC.gov" TargetMode="External"/><Relationship Id="rId23" Type="http://schemas.openxmlformats.org/officeDocument/2006/relationships/footer" Target="footer2.xml"/><Relationship Id="rId10" Type="http://schemas.openxmlformats.org/officeDocument/2006/relationships/hyperlink" Target="https://www.caymanchem.com/" TargetMode="External"/><Relationship Id="rId19" Type="http://schemas.openxmlformats.org/officeDocument/2006/relationships/hyperlink" Target="https://www.cdc.gov/nceh/dls/erb_opioid_kits.html" TargetMode="External"/><Relationship Id="rId4" Type="http://schemas.openxmlformats.org/officeDocument/2006/relationships/settings" Target="settings.xml"/><Relationship Id="rId9" Type="http://schemas.openxmlformats.org/officeDocument/2006/relationships/hyperlink" Target="http://www.cerilliant.com/ShopOnline/CDCRequest.aspx" TargetMode="External"/><Relationship Id="rId14" Type="http://schemas.openxmlformats.org/officeDocument/2006/relationships/hyperlink" Target="mailto:RMJ6@cdc.gov" TargetMode="External"/><Relationship Id="rId22" Type="http://schemas.openxmlformats.org/officeDocument/2006/relationships/hyperlink" Target="https://www.caymanchem.com/forensics/faskit/?q=*%3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aymanchem.com/" TargetMode="External"/><Relationship Id="rId1" Type="http://schemas.openxmlformats.org/officeDocument/2006/relationships/hyperlink" Target="http://www.cerilliant.com/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F382C-D358-4A7E-A5C4-50EFE857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3026</Words>
  <Characters>17251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Joyce, Kevin J. (CDC/DDPHSS/OS/OSI)</cp:lastModifiedBy>
  <cp:revision>3</cp:revision>
  <dcterms:created xsi:type="dcterms:W3CDTF">2020-05-11T15:21:00Z</dcterms:created>
  <dcterms:modified xsi:type="dcterms:W3CDTF">2020-05-11T15:22:00Z</dcterms:modified>
</cp:coreProperties>
</file>