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8538AA" w:rsidP="008538AA" w:rsidRDefault="008538AA" w14:paraId="01A21397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41D63BEE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52C5FC84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10753E34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7CE01A1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3C55F65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48D754F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07E39C3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41EDAA73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:rsidRDefault="008538AA" w14:paraId="55B0D2E5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:rsidRDefault="008538AA" w14:paraId="7B978237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7E6B6ED0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7A87250F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2DA5A84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4734D6E6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5125171C" w14:textId="7777777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 w:rsidR="0095424F"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and 20</w:t>
      </w:r>
      <w:r w:rsidR="0095424F">
        <w:rPr>
          <w:rFonts w:ascii="CG Times" w:hAnsi="CG Times"/>
          <w:bCs/>
          <w:szCs w:val="28"/>
        </w:rPr>
        <w:t>23</w:t>
      </w:r>
      <w:r w:rsidRPr="008538AA">
        <w:rPr>
          <w:rFonts w:ascii="CG Times" w:hAnsi="CG Times"/>
          <w:bCs/>
          <w:szCs w:val="28"/>
        </w:rPr>
        <w:t xml:space="preserve"> National Youth Risk Behavior Survey</w:t>
      </w:r>
    </w:p>
    <w:p w:rsidRPr="008538AA" w:rsidR="008538AA" w:rsidP="008538AA" w:rsidRDefault="008538AA" w14:paraId="16F47A0C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3BFACEE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1FE0B57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0A9E2A2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3116E" w14:paraId="70C44CDF" w14:textId="7777777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A</w:t>
      </w:r>
      <w:r>
        <w:rPr>
          <w:rFonts w:ascii="CG Times" w:hAnsi="CG Times"/>
          <w:bCs/>
          <w:szCs w:val="28"/>
        </w:rPr>
        <w:t>ttachment</w:t>
      </w:r>
      <w:r w:rsidRPr="008538AA">
        <w:rPr>
          <w:rFonts w:ascii="CG Times" w:hAnsi="CG Times"/>
          <w:bCs/>
          <w:szCs w:val="28"/>
        </w:rPr>
        <w:t xml:space="preserve"> </w:t>
      </w:r>
      <w:r w:rsidR="009C2D59">
        <w:rPr>
          <w:rFonts w:ascii="CG Times" w:hAnsi="CG Times"/>
          <w:bCs/>
          <w:szCs w:val="28"/>
        </w:rPr>
        <w:t>D</w:t>
      </w:r>
    </w:p>
    <w:p w:rsidRPr="008538AA" w:rsidR="008538AA" w:rsidP="008538AA" w:rsidRDefault="008538AA" w14:paraId="35C5E90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9C2D59" w14:paraId="04892EC6" w14:textId="77777777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Rationale for Survey Questions</w:t>
      </w:r>
    </w:p>
    <w:p w:rsidR="006C795F" w:rsidRDefault="006C795F" w14:paraId="1DD4201F" w14:textId="21465BA6">
      <w:pPr>
        <w:widowControl/>
        <w:autoSpaceDE/>
        <w:autoSpaceDN/>
        <w:adjustRightInd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br w:type="page"/>
      </w:r>
    </w:p>
    <w:p w:rsidR="008538AA" w:rsidP="008538AA" w:rsidRDefault="008538AA" w14:paraId="2336B211" w14:textId="115B890D">
      <w:pPr>
        <w:rPr>
          <w:rFonts w:ascii="CG Times" w:hAnsi="CG Times"/>
          <w:bCs/>
          <w:szCs w:val="28"/>
        </w:rPr>
      </w:pPr>
    </w:p>
    <w:p w:rsidR="006C795F" w:rsidP="006C795F" w:rsidRDefault="006C795F" w14:paraId="7FA56008" w14:textId="4F10BB1E">
      <w:pPr>
        <w:jc w:val="center"/>
        <w:rPr>
          <w:rFonts w:ascii="CG Times" w:hAnsi="CG Times"/>
          <w:b/>
          <w:sz w:val="26"/>
          <w:szCs w:val="32"/>
        </w:rPr>
      </w:pPr>
      <w:r w:rsidRPr="00051858">
        <w:rPr>
          <w:rFonts w:ascii="CG Times" w:hAnsi="CG Times"/>
          <w:b/>
          <w:sz w:val="26"/>
          <w:szCs w:val="32"/>
        </w:rPr>
        <w:t>Rationale for Survey Questions</w:t>
      </w:r>
    </w:p>
    <w:p w:rsidRPr="00051858" w:rsidR="00051858" w:rsidP="006C795F" w:rsidRDefault="00051858" w14:paraId="4FE75BF8" w14:textId="77777777">
      <w:pPr>
        <w:jc w:val="center"/>
        <w:rPr>
          <w:rFonts w:ascii="CG Times" w:hAnsi="CG Times"/>
          <w:b/>
          <w:sz w:val="26"/>
          <w:szCs w:val="32"/>
        </w:rPr>
      </w:pPr>
    </w:p>
    <w:tbl>
      <w:tblPr>
        <w:tblW w:w="9990" w:type="dxa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13"/>
        <w:gridCol w:w="2593"/>
        <w:gridCol w:w="1304"/>
        <w:gridCol w:w="3397"/>
      </w:tblGrid>
      <w:tr w:rsidRPr="00051858" w:rsidR="006C795F" w:rsidTr="009E6ACB" w14:paraId="3F4B0183" w14:textId="77777777">
        <w:trPr>
          <w:trHeight w:val="886"/>
        </w:trPr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051858" w:rsidR="006C795F" w:rsidP="00051858" w:rsidRDefault="006C795F" w14:paraId="773F1CA4" w14:textId="77777777">
            <w:pPr>
              <w:widowControl/>
              <w:adjustRightInd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051858">
              <w:rPr>
                <w:b/>
                <w:bCs/>
              </w:rPr>
              <w:t>Att</w:t>
            </w:r>
            <w:proofErr w:type="spellEnd"/>
            <w:r w:rsidRPr="00051858">
              <w:rPr>
                <w:b/>
                <w:bCs/>
              </w:rPr>
              <w:t xml:space="preserve"> # and title of form</w:t>
            </w:r>
          </w:p>
        </w:tc>
        <w:tc>
          <w:tcPr>
            <w:tcW w:w="13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051858" w:rsidR="006C795F" w:rsidP="00051858" w:rsidRDefault="006C795F" w14:paraId="4B3AA9E7" w14:textId="77777777">
            <w:pPr>
              <w:widowControl/>
              <w:adjustRightInd/>
              <w:jc w:val="center"/>
              <w:rPr>
                <w:rFonts w:ascii="Calibri" w:hAnsi="Calibri" w:cs="Calibri"/>
                <w:b/>
                <w:bCs/>
              </w:rPr>
            </w:pPr>
            <w:r w:rsidRPr="00051858">
              <w:rPr>
                <w:b/>
                <w:bCs/>
                <w:color w:val="000000"/>
              </w:rPr>
              <w:t>Question #/ Page #</w:t>
            </w:r>
          </w:p>
        </w:tc>
        <w:tc>
          <w:tcPr>
            <w:tcW w:w="26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051858" w:rsidR="006C795F" w:rsidP="00051858" w:rsidRDefault="006C795F" w14:paraId="2494D32B" w14:textId="77777777">
            <w:pPr>
              <w:widowControl/>
              <w:adjustRightInd/>
              <w:jc w:val="center"/>
              <w:rPr>
                <w:rFonts w:ascii="Calibri" w:hAnsi="Calibri" w:cs="Calibri"/>
                <w:b/>
                <w:bCs/>
              </w:rPr>
            </w:pPr>
            <w:r w:rsidRPr="00051858">
              <w:rPr>
                <w:b/>
                <w:bCs/>
                <w:color w:val="000000"/>
              </w:rPr>
              <w:t>Question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051858" w:rsidR="006C795F" w:rsidP="00051858" w:rsidRDefault="006C795F" w14:paraId="7C75E0B3" w14:textId="77777777">
            <w:pPr>
              <w:widowControl/>
              <w:adjustRightInd/>
              <w:jc w:val="center"/>
              <w:rPr>
                <w:rFonts w:ascii="Calibri" w:hAnsi="Calibri" w:cs="Calibri"/>
                <w:b/>
                <w:bCs/>
              </w:rPr>
            </w:pPr>
            <w:r w:rsidRPr="00051858">
              <w:rPr>
                <w:b/>
                <w:bCs/>
                <w:color w:val="000000"/>
              </w:rPr>
              <w:t>Respondent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051858" w:rsidR="006C795F" w:rsidP="00051858" w:rsidRDefault="006C795F" w14:paraId="513A2930" w14:textId="77777777">
            <w:pPr>
              <w:widowControl/>
              <w:adjustRightInd/>
              <w:jc w:val="center"/>
              <w:rPr>
                <w:rFonts w:ascii="Calibri" w:hAnsi="Calibri" w:cs="Calibri"/>
                <w:b/>
                <w:bCs/>
              </w:rPr>
            </w:pPr>
            <w:r w:rsidRPr="00051858">
              <w:rPr>
                <w:b/>
                <w:bCs/>
                <w:color w:val="000000"/>
              </w:rPr>
              <w:t>Justification for question</w:t>
            </w:r>
          </w:p>
        </w:tc>
      </w:tr>
      <w:tr w:rsidRPr="006C795F" w:rsidR="006C795F" w:rsidTr="009E6ACB" w14:paraId="3AE8B293" w14:textId="77777777">
        <w:trPr>
          <w:trHeight w:val="997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795F" w:rsidP="006C795F" w:rsidRDefault="00235FEB" w14:paraId="6077D169" w14:textId="6C369D24">
            <w:pPr>
              <w:widowControl/>
              <w:adjustRightInd/>
            </w:pPr>
            <w:proofErr w:type="spellStart"/>
            <w:r>
              <w:t>Att</w:t>
            </w:r>
            <w:proofErr w:type="spellEnd"/>
            <w:r>
              <w:t xml:space="preserve"> K,</w:t>
            </w:r>
          </w:p>
          <w:p w:rsidRPr="006C795F" w:rsidR="00235FEB" w:rsidP="006C795F" w:rsidRDefault="00235FEB" w14:paraId="3B85C7B8" w14:textId="027B2D98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YRBS questionnaire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95F" w:rsidR="006C795F" w:rsidP="006C795F" w:rsidRDefault="00235FEB" w14:paraId="164BC27A" w14:textId="2A1816F7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t>#67/page 16</w:t>
            </w:r>
            <w:r w:rsidRPr="006C795F" w:rsidR="006C795F">
              <w:t> 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35FEB" w:rsidR="00235FEB" w:rsidP="00235FEB" w:rsidRDefault="00235FEB" w14:paraId="2D85E5DC" w14:textId="664DCD11">
            <w:pPr>
              <w:widowControl/>
              <w:adjustRightInd/>
            </w:pPr>
            <w:r w:rsidRPr="00235FEB">
              <w:t xml:space="preserve">During your life, with whom have you had sexual contact? </w:t>
            </w:r>
          </w:p>
          <w:p w:rsidRPr="00235FEB" w:rsidR="00235FEB" w:rsidP="00235FEB" w:rsidRDefault="00235FEB" w14:paraId="04CFF55A" w14:textId="77777777">
            <w:pPr>
              <w:widowControl/>
              <w:adjustRightInd/>
            </w:pPr>
            <w:r w:rsidRPr="00235FEB">
              <w:t xml:space="preserve">A. I have never had sexual contact </w:t>
            </w:r>
          </w:p>
          <w:p w:rsidRPr="00235FEB" w:rsidR="00235FEB" w:rsidP="00235FEB" w:rsidRDefault="00235FEB" w14:paraId="39043BA9" w14:textId="77777777">
            <w:pPr>
              <w:widowControl/>
              <w:adjustRightInd/>
            </w:pPr>
            <w:r w:rsidRPr="00235FEB">
              <w:t xml:space="preserve">B. Females </w:t>
            </w:r>
          </w:p>
          <w:p w:rsidRPr="00235FEB" w:rsidR="00235FEB" w:rsidP="00235FEB" w:rsidRDefault="00235FEB" w14:paraId="7271A48C" w14:textId="77777777">
            <w:pPr>
              <w:widowControl/>
              <w:adjustRightInd/>
            </w:pPr>
            <w:r w:rsidRPr="00235FEB">
              <w:t xml:space="preserve">C. Males </w:t>
            </w:r>
          </w:p>
          <w:p w:rsidRPr="00235FEB" w:rsidR="00235FEB" w:rsidP="00235FEB" w:rsidRDefault="00235FEB" w14:paraId="0CC28D1E" w14:textId="77777777">
            <w:pPr>
              <w:widowControl/>
              <w:adjustRightInd/>
            </w:pPr>
            <w:r w:rsidRPr="00235FEB">
              <w:t xml:space="preserve">D. Females and males </w:t>
            </w:r>
          </w:p>
          <w:p w:rsidRPr="006C795F" w:rsidR="006C795F" w:rsidP="00235FEB" w:rsidRDefault="006C795F" w14:paraId="7370739F" w14:textId="172AEB83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95F" w:rsidR="006C795F" w:rsidP="006C795F" w:rsidRDefault="00235FEB" w14:paraId="3C108888" w14:textId="168CDC46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High school students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95F" w:rsidR="006C795F" w:rsidP="006C795F" w:rsidRDefault="00E95D1D" w14:paraId="6152A74A" w14:textId="7DB61DFA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t>This question assesses the</w:t>
            </w:r>
            <w:r w:rsidRPr="00E7107E">
              <w:rPr>
                <w:bCs/>
                <w:szCs w:val="23"/>
              </w:rPr>
              <w:t xml:space="preserve"> sex of </w:t>
            </w:r>
            <w:r w:rsidR="00DA5791">
              <w:rPr>
                <w:bCs/>
                <w:szCs w:val="23"/>
              </w:rPr>
              <w:t xml:space="preserve">one’s </w:t>
            </w:r>
            <w:r w:rsidRPr="00E7107E">
              <w:rPr>
                <w:bCs/>
                <w:szCs w:val="23"/>
              </w:rPr>
              <w:t xml:space="preserve">sexual partners. </w:t>
            </w:r>
            <w:r>
              <w:rPr>
                <w:bCs/>
                <w:szCs w:val="23"/>
              </w:rPr>
              <w:t xml:space="preserve">Measuring this construct along with the one below enables identification of youth who are sexual minorities.  Sexual minority refers to individuals </w:t>
            </w:r>
            <w:r w:rsidRPr="00E7107E">
              <w:rPr>
                <w:bCs/>
                <w:szCs w:val="23"/>
              </w:rPr>
              <w:t>who identify as gay, lesbian, or bisexual</w:t>
            </w:r>
            <w:r>
              <w:rPr>
                <w:bCs/>
                <w:szCs w:val="23"/>
              </w:rPr>
              <w:t xml:space="preserve"> (i.e., not heterosexual), as well as those </w:t>
            </w:r>
            <w:r w:rsidRPr="00E7107E">
              <w:rPr>
                <w:bCs/>
                <w:szCs w:val="23"/>
              </w:rPr>
              <w:t>who have sexual contact with persons of the same or both sexes</w:t>
            </w:r>
            <w:r>
              <w:rPr>
                <w:bCs/>
                <w:szCs w:val="23"/>
              </w:rPr>
              <w:t xml:space="preserve">. </w:t>
            </w:r>
            <w:r w:rsidR="00760066">
              <w:rPr>
                <w:bCs/>
                <w:szCs w:val="23"/>
              </w:rPr>
              <w:t>D</w:t>
            </w:r>
            <w:r>
              <w:rPr>
                <w:bCs/>
                <w:szCs w:val="23"/>
              </w:rPr>
              <w:t>ata are needed to further support th</w:t>
            </w:r>
            <w:r w:rsidR="00207F47">
              <w:rPr>
                <w:bCs/>
                <w:szCs w:val="23"/>
              </w:rPr>
              <w:t>e</w:t>
            </w:r>
            <w:r>
              <w:rPr>
                <w:bCs/>
                <w:szCs w:val="23"/>
              </w:rPr>
              <w:t xml:space="preserve"> finding that sexual minority yout</w:t>
            </w:r>
            <w:r w:rsidR="00760066">
              <w:rPr>
                <w:bCs/>
                <w:szCs w:val="23"/>
              </w:rPr>
              <w:t xml:space="preserve">h </w:t>
            </w:r>
            <w:r>
              <w:rPr>
                <w:bCs/>
                <w:szCs w:val="23"/>
              </w:rPr>
              <w:t>have higher rates of violence victimization than youth who identify as heterosexual or only report opposite sex sexual contacts.</w:t>
            </w:r>
            <w:r w:rsidRPr="00E7107E">
              <w:rPr>
                <w:bCs/>
                <w:szCs w:val="23"/>
                <w:vertAlign w:val="superscript"/>
              </w:rPr>
              <w:t xml:space="preserve"> </w:t>
            </w:r>
            <w:r w:rsidRPr="00E7107E">
              <w:rPr>
                <w:bCs/>
                <w:szCs w:val="23"/>
              </w:rPr>
              <w:t xml:space="preserve">Sexual minority youth </w:t>
            </w:r>
            <w:r>
              <w:rPr>
                <w:bCs/>
                <w:szCs w:val="23"/>
              </w:rPr>
              <w:t>also face well-documented health disparities.</w:t>
            </w:r>
            <w:r w:rsidRPr="00E7107E">
              <w:rPr>
                <w:bCs/>
                <w:szCs w:val="23"/>
              </w:rPr>
              <w:t xml:space="preserve"> Data on the sexual minority status of young people </w:t>
            </w:r>
            <w:r>
              <w:rPr>
                <w:bCs/>
                <w:szCs w:val="23"/>
              </w:rPr>
              <w:t>are</w:t>
            </w:r>
            <w:r w:rsidRPr="00E7107E">
              <w:rPr>
                <w:bCs/>
                <w:szCs w:val="23"/>
              </w:rPr>
              <w:t xml:space="preserve"> critical for continuing to demonstrate the disproportionate rates at which sexual minority students experience many health risks compared to non-sexual minority students and for developing, implementing, and evaluating policies and programs designed to mitigate these disparities.</w:t>
            </w:r>
          </w:p>
        </w:tc>
      </w:tr>
      <w:tr w:rsidRPr="006C795F" w:rsidR="00235FEB" w:rsidTr="009E6ACB" w14:paraId="502CE650" w14:textId="77777777">
        <w:trPr>
          <w:trHeight w:val="1053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5FEB" w:rsidP="00235FEB" w:rsidRDefault="00235FEB" w14:paraId="479D699E" w14:textId="063752DC">
            <w:pPr>
              <w:widowControl/>
              <w:adjustRightInd/>
            </w:pPr>
            <w:proofErr w:type="spellStart"/>
            <w:r>
              <w:t>Att</w:t>
            </w:r>
            <w:proofErr w:type="spellEnd"/>
            <w:r>
              <w:t xml:space="preserve"> K,</w:t>
            </w:r>
          </w:p>
          <w:p w:rsidRPr="006C795F" w:rsidR="00235FEB" w:rsidP="00235FEB" w:rsidRDefault="00235FEB" w14:paraId="0C179270" w14:textId="7CE9AAE3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YRBS questionnaire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95F" w:rsidR="00235FEB" w:rsidP="00235FEB" w:rsidRDefault="00235FEB" w14:paraId="7F598EC7" w14:textId="3C11AD39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t>#68/page 16</w:t>
            </w:r>
            <w:r w:rsidRPr="006C795F">
              <w:t> 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35FEB" w:rsidR="00235FEB" w:rsidP="00235FEB" w:rsidRDefault="00235FEB" w14:paraId="6499AED2" w14:textId="51C0F3B2">
            <w:pPr>
              <w:widowControl/>
              <w:adjustRightInd/>
            </w:pPr>
            <w:r w:rsidRPr="00235FEB">
              <w:t xml:space="preserve">Which of the following best describes you? </w:t>
            </w:r>
          </w:p>
          <w:p w:rsidRPr="00235FEB" w:rsidR="00235FEB" w:rsidP="00235FEB" w:rsidRDefault="00235FEB" w14:paraId="76D48AE6" w14:textId="77777777">
            <w:pPr>
              <w:widowControl/>
              <w:adjustRightInd/>
            </w:pPr>
            <w:r w:rsidRPr="00235FEB">
              <w:t xml:space="preserve">A. Heterosexual (straight) </w:t>
            </w:r>
          </w:p>
          <w:p w:rsidRPr="00235FEB" w:rsidR="00235FEB" w:rsidP="00235FEB" w:rsidRDefault="00235FEB" w14:paraId="52E186E0" w14:textId="77777777">
            <w:pPr>
              <w:widowControl/>
              <w:adjustRightInd/>
            </w:pPr>
            <w:r w:rsidRPr="00235FEB">
              <w:t xml:space="preserve">B. Gay or lesbian </w:t>
            </w:r>
          </w:p>
          <w:p w:rsidRPr="00235FEB" w:rsidR="00235FEB" w:rsidP="00235FEB" w:rsidRDefault="00235FEB" w14:paraId="310019D1" w14:textId="77777777">
            <w:pPr>
              <w:widowControl/>
              <w:adjustRightInd/>
            </w:pPr>
            <w:r w:rsidRPr="00235FEB">
              <w:t xml:space="preserve">C. Bisexual </w:t>
            </w:r>
          </w:p>
          <w:p w:rsidRPr="006C795F" w:rsidR="00235FEB" w:rsidP="00235FEB" w:rsidRDefault="00235FEB" w14:paraId="29C75C0F" w14:textId="6BEB239E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35FEB">
              <w:t>D. Not sure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95F" w:rsidR="00235FEB" w:rsidP="00235FEB" w:rsidRDefault="00235FEB" w14:paraId="6023775A" w14:textId="546086FA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High school students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95F" w:rsidR="00235FEB" w:rsidP="00235FEB" w:rsidRDefault="00207F47" w14:paraId="4BA6919C" w14:textId="32640F66">
            <w:pPr>
              <w:widowControl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t xml:space="preserve">This question assesses sexual identity. Because </w:t>
            </w:r>
            <w:r w:rsidR="00BE3C55">
              <w:t>sexual identity</w:t>
            </w:r>
            <w:r>
              <w:t xml:space="preserve"> may or may not correspond to a high school student’s</w:t>
            </w:r>
            <w:r w:rsidRPr="00E7107E">
              <w:rPr>
                <w:bCs/>
                <w:szCs w:val="23"/>
              </w:rPr>
              <w:t xml:space="preserve"> sex of sexual partners</w:t>
            </w:r>
            <w:r>
              <w:rPr>
                <w:bCs/>
                <w:szCs w:val="23"/>
              </w:rPr>
              <w:t xml:space="preserve">, measuring this construct along with the one above enables </w:t>
            </w:r>
            <w:r w:rsidR="003A20A0">
              <w:rPr>
                <w:bCs/>
                <w:szCs w:val="23"/>
              </w:rPr>
              <w:t xml:space="preserve">a more complete </w:t>
            </w:r>
            <w:r>
              <w:rPr>
                <w:bCs/>
                <w:szCs w:val="23"/>
              </w:rPr>
              <w:t xml:space="preserve">identification of youth who are sexual minorities. </w:t>
            </w:r>
          </w:p>
        </w:tc>
      </w:tr>
    </w:tbl>
    <w:p w:rsidR="00593CF8" w:rsidP="008538AA" w:rsidRDefault="00593CF8" w14:paraId="5BE3DAC7" w14:textId="77777777">
      <w:pPr>
        <w:rPr>
          <w:sz w:val="14"/>
          <w:szCs w:val="14"/>
        </w:rPr>
      </w:pPr>
    </w:p>
    <w:p w:rsidR="00593CF8" w:rsidP="008538AA" w:rsidRDefault="00593CF8" w14:paraId="4F4CDECF" w14:textId="77777777">
      <w:pPr>
        <w:rPr>
          <w:sz w:val="14"/>
          <w:szCs w:val="14"/>
        </w:rPr>
      </w:pPr>
    </w:p>
    <w:p w:rsidR="00593CF8" w:rsidP="008538AA" w:rsidRDefault="00593CF8" w14:paraId="530C85DD" w14:textId="77777777">
      <w:pPr>
        <w:rPr>
          <w:sz w:val="14"/>
          <w:szCs w:val="14"/>
        </w:rPr>
      </w:pPr>
    </w:p>
    <w:p w:rsidR="00593CF8" w:rsidP="008538AA" w:rsidRDefault="00593CF8" w14:paraId="227840E2" w14:textId="77777777">
      <w:pPr>
        <w:rPr>
          <w:sz w:val="14"/>
          <w:szCs w:val="14"/>
        </w:rPr>
      </w:pPr>
    </w:p>
    <w:p w:rsidRPr="00A6408C" w:rsidR="00902B93" w:rsidP="00593CF8" w:rsidRDefault="00902B93" w14:paraId="64B5B7CB" w14:textId="127BF2F9">
      <w:pPr>
        <w:rPr>
          <w:rFonts w:ascii="CG Times" w:hAnsi="CG Times"/>
          <w:bCs/>
          <w:sz w:val="28"/>
          <w:szCs w:val="28"/>
        </w:rPr>
      </w:pPr>
      <w:bookmarkStart w:name="_GoBack" w:id="0"/>
      <w:bookmarkEnd w:id="0"/>
    </w:p>
    <w:sectPr w:rsidRPr="00A6408C" w:rsidR="00902B93" w:rsidSect="00902B93">
      <w:pgSz w:w="11907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51858"/>
    <w:rsid w:val="000707F4"/>
    <w:rsid w:val="000D0D7B"/>
    <w:rsid w:val="000F01EA"/>
    <w:rsid w:val="000F49F8"/>
    <w:rsid w:val="00135D6F"/>
    <w:rsid w:val="001C3341"/>
    <w:rsid w:val="001D6E85"/>
    <w:rsid w:val="00207F47"/>
    <w:rsid w:val="00235FEB"/>
    <w:rsid w:val="0025469F"/>
    <w:rsid w:val="003A20A0"/>
    <w:rsid w:val="004929FB"/>
    <w:rsid w:val="004D1B70"/>
    <w:rsid w:val="004D3EC4"/>
    <w:rsid w:val="00523DC4"/>
    <w:rsid w:val="00593CF8"/>
    <w:rsid w:val="00595B09"/>
    <w:rsid w:val="0059603D"/>
    <w:rsid w:val="00610520"/>
    <w:rsid w:val="00663B22"/>
    <w:rsid w:val="0068088B"/>
    <w:rsid w:val="006C795F"/>
    <w:rsid w:val="00706800"/>
    <w:rsid w:val="00707F2A"/>
    <w:rsid w:val="00760066"/>
    <w:rsid w:val="007D2D0B"/>
    <w:rsid w:val="0083116E"/>
    <w:rsid w:val="008538AA"/>
    <w:rsid w:val="00902B93"/>
    <w:rsid w:val="0095424F"/>
    <w:rsid w:val="009C2D59"/>
    <w:rsid w:val="009E6ACB"/>
    <w:rsid w:val="00A06622"/>
    <w:rsid w:val="00AA42FF"/>
    <w:rsid w:val="00B30075"/>
    <w:rsid w:val="00B86760"/>
    <w:rsid w:val="00BE3C55"/>
    <w:rsid w:val="00C0759D"/>
    <w:rsid w:val="00C16E19"/>
    <w:rsid w:val="00C250DB"/>
    <w:rsid w:val="00CD07C3"/>
    <w:rsid w:val="00D108A2"/>
    <w:rsid w:val="00D1491F"/>
    <w:rsid w:val="00D5047C"/>
    <w:rsid w:val="00D878A9"/>
    <w:rsid w:val="00DA5791"/>
    <w:rsid w:val="00DB3C46"/>
    <w:rsid w:val="00DF1DAD"/>
    <w:rsid w:val="00E05937"/>
    <w:rsid w:val="00E72094"/>
    <w:rsid w:val="00E75123"/>
    <w:rsid w:val="00E9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35B8"/>
  <w15:chartTrackingRefBased/>
  <w15:docId w15:val="{E619C6D3-134D-418F-BB54-7FD32D77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5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B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B0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B0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Roberts, Alice</cp:lastModifiedBy>
  <cp:revision>3</cp:revision>
  <cp:lastPrinted>2012-12-20T17:36:00Z</cp:lastPrinted>
  <dcterms:created xsi:type="dcterms:W3CDTF">2020-01-28T16:45:00Z</dcterms:created>
  <dcterms:modified xsi:type="dcterms:W3CDTF">2020-01-31T13:08:00Z</dcterms:modified>
</cp:coreProperties>
</file>