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7FCA" w:rsidR="00A412FE" w:rsidP="00A71240" w:rsidRDefault="00A412FE" w14:paraId="1E9D44B6" w14:textId="77777777">
      <w:pPr>
        <w:pStyle w:val="Heading1"/>
        <w:keepNext w:val="0"/>
        <w:rPr>
          <w:rFonts w:ascii="Times New Roman" w:hAnsi="Times New Roman" w:cs="Times New Roman"/>
        </w:rPr>
      </w:pPr>
      <w:bookmarkStart w:name="_Toc115077596" w:id="0"/>
      <w:bookmarkStart w:name="_Toc236553893" w:id="1"/>
      <w:r w:rsidRPr="00377FCA">
        <w:rPr>
          <w:rFonts w:ascii="Times New Roman" w:hAnsi="Times New Roman" w:cs="Times New Roman"/>
        </w:rPr>
        <w:t>In-Home Food Safety Behaviors and Consumer Education: Annual Observational Study</w:t>
      </w:r>
      <w:r w:rsidRPr="00377FCA" w:rsidDel="00377FCA">
        <w:rPr>
          <w:rFonts w:ascii="Times New Roman" w:hAnsi="Times New Roman" w:cs="Times New Roman"/>
        </w:rPr>
        <w:t xml:space="preserve"> </w:t>
      </w:r>
      <w:r w:rsidRPr="00377FCA">
        <w:rPr>
          <w:rFonts w:ascii="Times New Roman" w:hAnsi="Times New Roman" w:cs="Times New Roman"/>
        </w:rPr>
        <w:t>OMB No. 0583-NEW</w:t>
      </w:r>
    </w:p>
    <w:p w:rsidRPr="002003D1" w:rsidR="00A412FE" w:rsidP="00A71240" w:rsidRDefault="00A412FE" w14:paraId="1261B550" w14:textId="77777777">
      <w:pPr>
        <w:pStyle w:val="Heading1"/>
        <w:keepNext w:val="0"/>
        <w:rPr>
          <w:rFonts w:ascii="Times New Roman" w:hAnsi="Times New Roman" w:cs="Times New Roman"/>
        </w:rPr>
      </w:pPr>
      <w:r w:rsidRPr="002003D1">
        <w:rPr>
          <w:rFonts w:ascii="Times New Roman" w:hAnsi="Times New Roman" w:cs="Times New Roman"/>
        </w:rPr>
        <w:t>Supporting Statement</w:t>
      </w:r>
      <w:r w:rsidR="003B15E3">
        <w:rPr>
          <w:rFonts w:ascii="Times New Roman" w:hAnsi="Times New Roman" w:cs="Times New Roman"/>
        </w:rPr>
        <w:t xml:space="preserve"> </w:t>
      </w:r>
    </w:p>
    <w:p w:rsidR="00AD4E83" w:rsidP="00A71240" w:rsidRDefault="00E27B10" w14:paraId="49758492" w14:textId="77777777">
      <w:pPr>
        <w:pStyle w:val="Heading2centered"/>
        <w:keepNext w:val="0"/>
      </w:pPr>
      <w:r>
        <w:t>B.</w:t>
      </w:r>
      <w:r w:rsidR="00AD4E83">
        <w:t xml:space="preserve"> Statistical Methods</w:t>
      </w:r>
    </w:p>
    <w:p w:rsidR="00E27B10" w:rsidP="00A71240" w:rsidRDefault="00D02F0C" w14:paraId="3C6BABF5" w14:textId="77777777">
      <w:pPr>
        <w:pStyle w:val="Heading2"/>
        <w:keepNext w:val="0"/>
      </w:pPr>
      <w:r>
        <w:t>B.</w:t>
      </w:r>
      <w:r w:rsidR="00AD4E83">
        <w:t>1.</w:t>
      </w:r>
      <w:r w:rsidR="00601AE1">
        <w:tab/>
      </w:r>
      <w:r w:rsidR="00E27B10">
        <w:t xml:space="preserve">Respondent Universe and </w:t>
      </w:r>
      <w:r w:rsidRPr="00E20F8E" w:rsidR="00E27B10">
        <w:t>Sampling</w:t>
      </w:r>
      <w:r w:rsidR="00E27B10">
        <w:t xml:space="preserve"> Method</w:t>
      </w:r>
      <w:bookmarkEnd w:id="0"/>
      <w:r w:rsidR="00E27B10">
        <w:t>s</w:t>
      </w:r>
      <w:bookmarkEnd w:id="1"/>
    </w:p>
    <w:p w:rsidR="00E521A0" w:rsidP="00A71240" w:rsidRDefault="00E521A0" w14:paraId="09B0A475" w14:textId="77777777">
      <w:pPr>
        <w:pStyle w:val="BodyText0"/>
        <w:widowControl/>
      </w:pPr>
      <w:bookmarkStart w:name="_Toc115077597" w:id="2"/>
      <w:r>
        <w:t xml:space="preserve">The observational study </w:t>
      </w:r>
      <w:r w:rsidR="00B86FB4">
        <w:t xml:space="preserve">will </w:t>
      </w:r>
      <w:r>
        <w:t xml:space="preserve">employ an experimental design in which participants are randomly assigned </w:t>
      </w:r>
      <w:r w:rsidR="008E1EDF">
        <w:t xml:space="preserve">to </w:t>
      </w:r>
      <w:r w:rsidR="00173962">
        <w:t xml:space="preserve">a </w:t>
      </w:r>
      <w:r w:rsidR="004C238F">
        <w:t xml:space="preserve">treatment </w:t>
      </w:r>
      <w:r>
        <w:t>group</w:t>
      </w:r>
      <w:r w:rsidR="00173962">
        <w:t xml:space="preserve"> (exposure to food safety messaging) </w:t>
      </w:r>
      <w:r w:rsidR="008E1EDF">
        <w:t xml:space="preserve">or </w:t>
      </w:r>
      <w:r>
        <w:t xml:space="preserve">to a </w:t>
      </w:r>
      <w:r w:rsidRPr="002B756B">
        <w:t>control group</w:t>
      </w:r>
      <w:r>
        <w:t xml:space="preserve"> (no expos</w:t>
      </w:r>
      <w:r w:rsidR="008E1EDF">
        <w:t>ure to food safety messaging). The observational study will be conducted in test kitchen facilit</w:t>
      </w:r>
      <w:r w:rsidR="00DB1AB9">
        <w:t>ies</w:t>
      </w:r>
      <w:r w:rsidR="008E1EDF">
        <w:t xml:space="preserve"> located at North Carolina State University (NCSU</w:t>
      </w:r>
      <w:r w:rsidR="00173962">
        <w:t xml:space="preserve">); </w:t>
      </w:r>
      <w:r w:rsidR="008E1EDF">
        <w:t>thus</w:t>
      </w:r>
      <w:r w:rsidR="00173962">
        <w:t>,</w:t>
      </w:r>
      <w:r w:rsidR="008E1EDF">
        <w:t xml:space="preserve"> it will be necessary to recruit stud</w:t>
      </w:r>
      <w:r w:rsidR="00BE26F3">
        <w:t>y</w:t>
      </w:r>
      <w:r w:rsidR="008E1EDF">
        <w:t xml:space="preserve"> participants </w:t>
      </w:r>
      <w:r w:rsidR="00173962">
        <w:t xml:space="preserve">who </w:t>
      </w:r>
      <w:r w:rsidR="008E1EDF">
        <w:t xml:space="preserve">live within driving distance of the facility in the Raleigh-Durham area of North Carolina. As described below, convenience sampling will be used with quotas to ensure that study participants reflect the demographic characteristics of the U.S. population. When randomly assigning participants to the </w:t>
      </w:r>
      <w:r w:rsidR="00E214BD">
        <w:t xml:space="preserve">treatment and control </w:t>
      </w:r>
      <w:r w:rsidR="008E1EDF">
        <w:t xml:space="preserve">groups, we will </w:t>
      </w:r>
      <w:r w:rsidR="005B4531">
        <w:t xml:space="preserve">take necessary and reasonable steps to </w:t>
      </w:r>
      <w:r w:rsidR="008E1EDF">
        <w:t>ensure that the demographic characteristics of each group are similar.</w:t>
      </w:r>
      <w:r w:rsidR="00E214BD">
        <w:t xml:space="preserve"> Because probability-based sampling </w:t>
      </w:r>
      <w:r w:rsidR="00FC5B67">
        <w:t xml:space="preserve">will </w:t>
      </w:r>
      <w:r w:rsidR="00E214BD">
        <w:t>not b</w:t>
      </w:r>
      <w:r w:rsidR="00FC5B67">
        <w:t>e</w:t>
      </w:r>
      <w:r w:rsidR="00E214BD">
        <w:t xml:space="preserve"> used, inferences cannot be made to the U.S. population; however, by using an experimental design that is powered to detect change in the desired outcome (the power analysis is described </w:t>
      </w:r>
      <w:r w:rsidR="00173962">
        <w:t xml:space="preserve">in </w:t>
      </w:r>
      <w:r w:rsidR="00E214BD">
        <w:t>B.2)</w:t>
      </w:r>
      <w:r w:rsidR="00173962">
        <w:t>,</w:t>
      </w:r>
      <w:r w:rsidR="00E214BD">
        <w:t xml:space="preserve"> we can assess whether the food safety messaging has an impact on the desired outcome</w:t>
      </w:r>
      <w:r w:rsidR="00537C29">
        <w:t xml:space="preserve"> among study participants</w:t>
      </w:r>
      <w:r w:rsidR="00B216FF">
        <w:t>.</w:t>
      </w:r>
    </w:p>
    <w:p w:rsidR="002D5E9D" w:rsidP="002D5E9D" w:rsidRDefault="002D5E9D" w14:paraId="58A1D6CC" w14:textId="77777777">
      <w:pPr>
        <w:pStyle w:val="bodytext"/>
      </w:pPr>
      <w:r>
        <w:t xml:space="preserve">Assuming COVID-19 infection rates do not increase above the current level in Raleigh, North Carolina (the location for the in-person data collection) and as long as North Carolina State University’s (NCSU), the subcontractor for the in-person data collection, is permitted to do so by state, local, and university policy, which is based on continuous review of COVID-19 </w:t>
      </w:r>
      <w:r>
        <w:lastRenderedPageBreak/>
        <w:t xml:space="preserve">community transmission and adherence to social distancing guidelines, data collection for fiscal year </w:t>
      </w:r>
      <w:r w:rsidRPr="009C2370">
        <w:t>2020</w:t>
      </w:r>
      <w:r>
        <w:t xml:space="preserve"> will take place (starting in October 2020 and continuing through spring 2021). </w:t>
      </w:r>
    </w:p>
    <w:p w:rsidR="002D5E9D" w:rsidP="002D5E9D" w:rsidRDefault="002D5E9D" w14:paraId="53BA3616" w14:textId="77777777">
      <w:pPr>
        <w:pStyle w:val="bodytext"/>
      </w:pPr>
      <w:r>
        <w:t xml:space="preserve">Procedures will be in place to protect data collectors and study staff from being infected with COVID-19 and to prevent the transmission of COVID-19. Recruiting materials will indicate that COVID-19 screening will be part of the screening and eligibility process. Participants who have tested positive for COVID-19, have symptoms of COVID-19 (including temperature above 100°F), </w:t>
      </w:r>
      <w:r w:rsidRPr="00764ADB">
        <w:t>interacted with someone who has been diagnosed with</w:t>
      </w:r>
      <w:r w:rsidRPr="00764ADB">
        <w:rPr>
          <w:spacing w:val="-20"/>
        </w:rPr>
        <w:t xml:space="preserve"> </w:t>
      </w:r>
      <w:r w:rsidRPr="00764ADB">
        <w:t>COVID-19</w:t>
      </w:r>
      <w:r>
        <w:t>, or are age 65 or older will not be eligible to take part in the study. On the day of the observation, a COVID-19 screening tool will be administered, and participants must pass this screening to take part in the study (Appendix N). Data collectors and participants will be required to follow the COVID-19 procedures specifically established for this study (see Appendix M) and approved by NCSU’s Institutional Review Board. These procedures include wearing a mask, practicing social distancing, limiting the number of individuals allowed at the kitchen facility, disinfecting in between observations, and following the other procedures as detailed in Appendix M.</w:t>
      </w:r>
    </w:p>
    <w:p w:rsidRPr="00E214BD" w:rsidR="00E521A0" w:rsidP="00A71240" w:rsidRDefault="00E214BD" w14:paraId="29B9CC00" w14:textId="77777777">
      <w:pPr>
        <w:pStyle w:val="BodyText0"/>
        <w:widowControl/>
        <w:ind w:firstLine="0"/>
        <w:rPr>
          <w:b/>
        </w:rPr>
      </w:pPr>
      <w:r w:rsidRPr="00E214BD">
        <w:rPr>
          <w:b/>
        </w:rPr>
        <w:t>Respondent Selection Methods</w:t>
      </w:r>
    </w:p>
    <w:p w:rsidRPr="00B216FF" w:rsidR="00504D76" w:rsidP="00A71240" w:rsidRDefault="00504D76" w14:paraId="57D3E5F4" w14:textId="77777777">
      <w:pPr>
        <w:pStyle w:val="BodyText0"/>
        <w:widowControl/>
        <w:rPr>
          <w:szCs w:val="24"/>
        </w:rPr>
      </w:pPr>
      <w:r>
        <w:t>Observation</w:t>
      </w:r>
      <w:r w:rsidR="00B86FB4">
        <w:t>al</w:t>
      </w:r>
      <w:r>
        <w:t xml:space="preserve"> study participants will be recruited from the Raleigh-Durham area of North Carolina using convenience sampling via social media </w:t>
      </w:r>
      <w:r w:rsidR="004A37BB">
        <w:t xml:space="preserve">(see Appendix B) </w:t>
      </w:r>
      <w:r>
        <w:t>outlets and by sending emails to Expanded Food and Nutrition Education Program (EFNEP) participants to reach low-income consumers</w:t>
      </w:r>
      <w:r w:rsidR="004A37BB">
        <w:t xml:space="preserve"> (see Appendix C)</w:t>
      </w:r>
      <w:r>
        <w:t xml:space="preserve">. </w:t>
      </w:r>
      <w:r w:rsidR="00537C29">
        <w:t>If needed, n</w:t>
      </w:r>
      <w:r w:rsidRPr="00F76F3E" w:rsidR="00537C29">
        <w:t>otices about the study will also be posted in grocery stores</w:t>
      </w:r>
      <w:r w:rsidR="00B86FB4">
        <w:t xml:space="preserve">; </w:t>
      </w:r>
      <w:r w:rsidRPr="00F76F3E" w:rsidR="00537C29">
        <w:t>food retailers</w:t>
      </w:r>
      <w:r w:rsidR="00B86FB4">
        <w:t xml:space="preserve">; </w:t>
      </w:r>
      <w:r w:rsidRPr="00F70D10" w:rsidR="00537C29">
        <w:t>Women, Infant, and Children</w:t>
      </w:r>
      <w:r w:rsidR="00537C29">
        <w:t xml:space="preserve"> </w:t>
      </w:r>
      <w:r w:rsidRPr="00F70D10" w:rsidR="00537C29">
        <w:t>(WIC) clinics</w:t>
      </w:r>
      <w:r w:rsidR="00B86FB4">
        <w:t xml:space="preserve">; </w:t>
      </w:r>
      <w:r w:rsidR="00537C29">
        <w:t xml:space="preserve">and other organizations </w:t>
      </w:r>
      <w:r w:rsidRPr="00F76F3E" w:rsidR="00537C29">
        <w:t xml:space="preserve">throughout the Raleigh-Durham area of North Carolina (see Appendix D). </w:t>
      </w:r>
      <w:r w:rsidRPr="003336E9">
        <w:t xml:space="preserve">Recruitment materials will direct prospective participants to </w:t>
      </w:r>
      <w:r w:rsidR="00212636">
        <w:t xml:space="preserve">call or email the study </w:t>
      </w:r>
      <w:r w:rsidRPr="00212636" w:rsidR="00212636">
        <w:t xml:space="preserve">team to </w:t>
      </w:r>
      <w:r w:rsidRPr="000F7E30" w:rsidR="00212636">
        <w:t xml:space="preserve">be screened for eligibility or to </w:t>
      </w:r>
      <w:r w:rsidRPr="000F7E30">
        <w:t xml:space="preserve">a web link that will host the screening questionnaire </w:t>
      </w:r>
      <w:r w:rsidRPr="00720ABD">
        <w:t xml:space="preserve">(see Appendix </w:t>
      </w:r>
      <w:r w:rsidRPr="00720ABD" w:rsidR="00173962">
        <w:lastRenderedPageBreak/>
        <w:t>E</w:t>
      </w:r>
      <w:r w:rsidRPr="00720ABD">
        <w:t>).</w:t>
      </w:r>
      <w:r w:rsidRPr="00212636" w:rsidR="00173962">
        <w:t xml:space="preserve"> </w:t>
      </w:r>
      <w:r w:rsidRPr="00212636" w:rsidR="00212636">
        <w:t>For participants screened by phone, eligible participants will be inv</w:t>
      </w:r>
      <w:r w:rsidRPr="000F7E30" w:rsidR="00212636">
        <w:t xml:space="preserve">ited to participate in the </w:t>
      </w:r>
      <w:r w:rsidR="000F7E30">
        <w:t xml:space="preserve">study </w:t>
      </w:r>
      <w:r w:rsidRPr="000F7E30" w:rsidR="00212636">
        <w:t>and an appointment scheduled</w:t>
      </w:r>
      <w:r w:rsidR="000F7E30">
        <w:t xml:space="preserve"> during the screening call</w:t>
      </w:r>
      <w:r w:rsidRPr="000F7E30" w:rsidR="00212636">
        <w:t>. For participants who complete the web-</w:t>
      </w:r>
      <w:r w:rsidR="00212636">
        <w:t xml:space="preserve">based screener, </w:t>
      </w:r>
      <w:r w:rsidR="00212636">
        <w:rPr>
          <w:szCs w:val="24"/>
        </w:rPr>
        <w:t>e</w:t>
      </w:r>
      <w:r w:rsidRPr="00973D43" w:rsidR="00B216FF">
        <w:rPr>
          <w:szCs w:val="24"/>
        </w:rPr>
        <w:t xml:space="preserve">ligible participants will be </w:t>
      </w:r>
      <w:r w:rsidR="00B216FF">
        <w:rPr>
          <w:szCs w:val="24"/>
        </w:rPr>
        <w:t xml:space="preserve">contacted by phone and </w:t>
      </w:r>
      <w:r w:rsidRPr="00973D43" w:rsidR="00B216FF">
        <w:rPr>
          <w:szCs w:val="24"/>
        </w:rPr>
        <w:t>invited to participate in the study</w:t>
      </w:r>
      <w:r w:rsidR="00212636">
        <w:rPr>
          <w:szCs w:val="24"/>
        </w:rPr>
        <w:t xml:space="preserve"> and an appointment scheduled</w:t>
      </w:r>
      <w:r w:rsidR="004A37BB">
        <w:rPr>
          <w:szCs w:val="24"/>
        </w:rPr>
        <w:t xml:space="preserve"> </w:t>
      </w:r>
      <w:r w:rsidRPr="00720ABD" w:rsidR="004A37BB">
        <w:t xml:space="preserve">(see Appendix </w:t>
      </w:r>
      <w:r w:rsidR="004A37BB">
        <w:t>F</w:t>
      </w:r>
      <w:r w:rsidRPr="00720ABD" w:rsidR="004A37BB">
        <w:t>)</w:t>
      </w:r>
      <w:r w:rsidRPr="00973D43" w:rsidR="00B216FF">
        <w:rPr>
          <w:szCs w:val="24"/>
        </w:rPr>
        <w:t xml:space="preserve">. Appointments will be scheduled during work hours, evenings, and weekends to allow for a broader participant pool. </w:t>
      </w:r>
    </w:p>
    <w:p w:rsidR="00973D43" w:rsidP="00A71240" w:rsidRDefault="00714C6C" w14:paraId="7729A631" w14:textId="77777777">
      <w:pPr>
        <w:pStyle w:val="BodyText0"/>
        <w:widowControl/>
      </w:pPr>
      <w:r>
        <w:t xml:space="preserve">The respondent universe is English-speaking adults living in the Raleigh-Durham area </w:t>
      </w:r>
      <w:r w:rsidR="00463056">
        <w:t>of North Carolina</w:t>
      </w:r>
      <w:r w:rsidR="00537C29">
        <w:t>.</w:t>
      </w:r>
      <w:r w:rsidR="00B86FB4">
        <w:t xml:space="preserve"> </w:t>
      </w:r>
      <w:r w:rsidR="00174610">
        <w:t>P</w:t>
      </w:r>
      <w:r w:rsidR="00973D43">
        <w:t>articipants</w:t>
      </w:r>
      <w:r w:rsidR="00174610">
        <w:t xml:space="preserve"> must </w:t>
      </w:r>
      <w:r w:rsidR="00973D43">
        <w:t>meet specific inclusion and exclusion criteria. The inclusion criteria are as follows:</w:t>
      </w:r>
    </w:p>
    <w:p w:rsidR="00973D43" w:rsidP="00B45713" w:rsidRDefault="00973D43" w14:paraId="13D99CDD" w14:textId="77777777">
      <w:pPr>
        <w:pStyle w:val="bullets"/>
      </w:pPr>
      <w:r>
        <w:t>A</w:t>
      </w:r>
      <w:r w:rsidR="00B20ABD">
        <w:t>re a</w:t>
      </w:r>
      <w:r>
        <w:t>ge</w:t>
      </w:r>
      <w:r w:rsidR="00B20ABD">
        <w:t>d</w:t>
      </w:r>
      <w:r>
        <w:t xml:space="preserve"> 18 </w:t>
      </w:r>
      <w:r w:rsidR="00FC4D29">
        <w:t>to 64</w:t>
      </w:r>
    </w:p>
    <w:p w:rsidR="00973D43" w:rsidP="00B45713" w:rsidRDefault="00973D43" w14:paraId="1E6395E4" w14:textId="77777777">
      <w:pPr>
        <w:pStyle w:val="bullets"/>
      </w:pPr>
      <w:r>
        <w:t>Speak English</w:t>
      </w:r>
      <w:r w:rsidR="001026B4">
        <w:t xml:space="preserve"> </w:t>
      </w:r>
    </w:p>
    <w:p w:rsidR="00973D43" w:rsidP="00B45713" w:rsidRDefault="00973D43" w14:paraId="6D7A09DE" w14:textId="77777777">
      <w:pPr>
        <w:pStyle w:val="bullets"/>
      </w:pPr>
      <w:r>
        <w:t xml:space="preserve">Have primary </w:t>
      </w:r>
      <w:r w:rsidR="00714C6C">
        <w:t>r</w:t>
      </w:r>
      <w:r>
        <w:t>esponsibility for preparing food in the household</w:t>
      </w:r>
    </w:p>
    <w:p w:rsidR="00973D43" w:rsidP="00B45713" w:rsidRDefault="00B20ABD" w14:paraId="7DD972C5" w14:textId="77777777">
      <w:pPr>
        <w:pStyle w:val="bullets"/>
      </w:pPr>
      <w:r>
        <w:t xml:space="preserve">Have cooked </w:t>
      </w:r>
      <w:r w:rsidR="00463056">
        <w:t>meat or</w:t>
      </w:r>
      <w:r w:rsidR="00973D43">
        <w:t xml:space="preserve"> poultry at home </w:t>
      </w:r>
      <w:r w:rsidR="00E04A41">
        <w:t>in the past 3 months</w:t>
      </w:r>
    </w:p>
    <w:p w:rsidR="00973D43" w:rsidP="00A71240" w:rsidRDefault="00973D43" w14:paraId="1A14E9C7" w14:textId="77777777">
      <w:pPr>
        <w:pStyle w:val="BodyText0"/>
        <w:widowControl/>
      </w:pPr>
      <w:r>
        <w:t>The exclusion criteria are as follows:</w:t>
      </w:r>
    </w:p>
    <w:p w:rsidR="00537C29" w:rsidP="00B45713" w:rsidRDefault="00973D43" w14:paraId="2F5934A9" w14:textId="77777777">
      <w:pPr>
        <w:pStyle w:val="bullets"/>
      </w:pPr>
      <w:r>
        <w:t>Have taken ServSafe training</w:t>
      </w:r>
      <w:r w:rsidR="00537C29">
        <w:t xml:space="preserve"> in the past 5 years</w:t>
      </w:r>
    </w:p>
    <w:p w:rsidR="00537C29" w:rsidP="00B45713" w:rsidRDefault="00973D43" w14:paraId="0C46082C" w14:textId="77777777">
      <w:pPr>
        <w:pStyle w:val="bullets"/>
        <w:rPr>
          <w:bCs/>
          <w:snapToGrid w:val="0"/>
        </w:rPr>
      </w:pPr>
      <w:r w:rsidRPr="00B45713">
        <w:rPr>
          <w:bCs/>
          <w:snapToGrid w:val="0"/>
        </w:rPr>
        <w:t xml:space="preserve">Have </w:t>
      </w:r>
      <w:r w:rsidRPr="00B45713" w:rsidR="00537C29">
        <w:rPr>
          <w:bCs/>
          <w:snapToGrid w:val="0"/>
        </w:rPr>
        <w:t>cooked or worked professionally in a food preparation setting in the past 5 years</w:t>
      </w:r>
    </w:p>
    <w:p w:rsidRPr="00B45713" w:rsidR="002D5E9D" w:rsidP="00B45713" w:rsidRDefault="002D5E9D" w14:paraId="75B42C1D" w14:textId="77777777">
      <w:pPr>
        <w:pStyle w:val="bullets"/>
        <w:rPr>
          <w:bCs/>
          <w:snapToGrid w:val="0"/>
        </w:rPr>
      </w:pPr>
      <w:r>
        <w:rPr>
          <w:bCs/>
          <w:snapToGrid w:val="0"/>
        </w:rPr>
        <w:t>Do not pass COVID-19 screening criteria</w:t>
      </w:r>
    </w:p>
    <w:p w:rsidR="00973D43" w:rsidP="00A71240" w:rsidRDefault="00973D43" w14:paraId="1C0D5437" w14:textId="77777777">
      <w:pPr>
        <w:pStyle w:val="BodyText0"/>
        <w:widowControl/>
      </w:pPr>
      <w:r>
        <w:t xml:space="preserve">As part of the screening process, we will also collect information on participant and household </w:t>
      </w:r>
      <w:r w:rsidRPr="00407DFA">
        <w:t xml:space="preserve">demographic characteristics </w:t>
      </w:r>
      <w:r>
        <w:t xml:space="preserve">to ensure that the demographics of recruited participants are </w:t>
      </w:r>
      <w:proofErr w:type="gramStart"/>
      <w:r>
        <w:t>similar to</w:t>
      </w:r>
      <w:proofErr w:type="gramEnd"/>
      <w:r>
        <w:t xml:space="preserve"> those of the U.S. population based on Census data. Table </w:t>
      </w:r>
      <w:r w:rsidR="00174610">
        <w:t>B-1</w:t>
      </w:r>
      <w:r>
        <w:t xml:space="preserve"> identifies the demographic characteristics and the distribution of these characteristics for the U.S. population. Participants will not be asked specifically about </w:t>
      </w:r>
      <w:proofErr w:type="gramStart"/>
      <w:r>
        <w:t>income, but</w:t>
      </w:r>
      <w:proofErr w:type="gramEnd"/>
      <w:r>
        <w:t xml:space="preserve"> including recruitment from the </w:t>
      </w:r>
      <w:r w:rsidR="00B216FF">
        <w:t xml:space="preserve">EFNEP list will help ensure that low-income individuals </w:t>
      </w:r>
      <w:r w:rsidR="00B20ABD">
        <w:t>participate</w:t>
      </w:r>
      <w:r w:rsidR="00B216FF">
        <w:t xml:space="preserve">, </w:t>
      </w:r>
      <w:r w:rsidR="00173962">
        <w:t xml:space="preserve">because </w:t>
      </w:r>
      <w:r w:rsidR="00B216FF">
        <w:t>there is a maximum income requirement for program eligibility.</w:t>
      </w:r>
    </w:p>
    <w:p w:rsidRPr="00504D76" w:rsidR="00504D76" w:rsidP="00A71240" w:rsidRDefault="00504D76" w14:paraId="4664893D" w14:textId="77777777">
      <w:pPr>
        <w:pStyle w:val="TableTitle"/>
        <w:pageBreakBefore w:val="0"/>
        <w:widowControl/>
        <w:ind w:left="0" w:firstLine="0"/>
        <w:rPr>
          <w:rFonts w:cs="Times New Roman"/>
          <w:color w:val="000000"/>
        </w:rPr>
      </w:pPr>
      <w:r w:rsidRPr="00504D76">
        <w:rPr>
          <w:rFonts w:cs="Times New Roman"/>
        </w:rPr>
        <w:t>Table B-1.</w:t>
      </w:r>
      <w:r w:rsidR="00173962">
        <w:rPr>
          <w:rFonts w:cs="Times New Roman"/>
        </w:rPr>
        <w:t xml:space="preserve"> </w:t>
      </w:r>
      <w:r w:rsidRPr="00504D76">
        <w:rPr>
          <w:rFonts w:cs="Times New Roman"/>
        </w:rPr>
        <w:t>Demographic Characteristics for</w:t>
      </w:r>
      <w:r w:rsidRPr="00504D76">
        <w:rPr>
          <w:rFonts w:cs="Times New Roman"/>
          <w:color w:val="000000"/>
        </w:rPr>
        <w:t xml:space="preserve"> the U.S. Population (201</w:t>
      </w:r>
      <w:r w:rsidR="00D61ECB">
        <w:rPr>
          <w:rFonts w:cs="Times New Roman"/>
          <w:color w:val="000000"/>
        </w:rPr>
        <w:t>8</w:t>
      </w:r>
      <w:r w:rsidRPr="00504D76">
        <w:rPr>
          <w:rFonts w:cs="Times New Roman"/>
          <w:color w:val="000000"/>
        </w:rPr>
        <w:t>)</w:t>
      </w:r>
    </w:p>
    <w:tbl>
      <w:tblPr>
        <w:tblW w:w="9360" w:type="dxa"/>
        <w:tblBorders>
          <w:top w:val="single" w:color="auto" w:sz="12" w:space="0"/>
          <w:bottom w:val="single" w:color="auto" w:sz="12" w:space="0"/>
        </w:tblBorders>
        <w:tblLook w:val="04A0" w:firstRow="1" w:lastRow="0" w:firstColumn="1" w:lastColumn="0" w:noHBand="0" w:noVBand="1"/>
      </w:tblPr>
      <w:tblGrid>
        <w:gridCol w:w="2112"/>
        <w:gridCol w:w="5647"/>
        <w:gridCol w:w="1601"/>
      </w:tblGrid>
      <w:tr w:rsidRPr="00B80BC6" w:rsidR="00504D76" w:rsidTr="00B80BC6" w14:paraId="3A985FA2" w14:textId="77777777">
        <w:tc>
          <w:tcPr>
            <w:tcW w:w="2112" w:type="dxa"/>
            <w:tcBorders>
              <w:bottom w:val="single" w:color="auto" w:sz="4" w:space="0"/>
            </w:tcBorders>
            <w:shd w:val="clear" w:color="auto" w:fill="auto"/>
            <w:noWrap/>
            <w:hideMark/>
          </w:tcPr>
          <w:p w:rsidRPr="00B80BC6" w:rsidR="00504D76" w:rsidP="00A71240" w:rsidRDefault="00504D76" w14:paraId="19F1B909" w14:textId="77777777">
            <w:pPr>
              <w:pStyle w:val="TableHeaders"/>
              <w:keepNext w:val="0"/>
              <w:rPr>
                <w:rFonts w:ascii="Times New Roman" w:hAnsi="Times New Roman" w:eastAsia="MS Mincho"/>
                <w:sz w:val="24"/>
                <w:szCs w:val="24"/>
              </w:rPr>
            </w:pPr>
            <w:r w:rsidRPr="00B80BC6">
              <w:rPr>
                <w:rFonts w:ascii="Times New Roman" w:hAnsi="Times New Roman" w:eastAsia="MS Mincho"/>
                <w:sz w:val="24"/>
                <w:szCs w:val="24"/>
              </w:rPr>
              <w:t>Characteristic</w:t>
            </w:r>
          </w:p>
        </w:tc>
        <w:tc>
          <w:tcPr>
            <w:tcW w:w="5647" w:type="dxa"/>
            <w:tcBorders>
              <w:bottom w:val="single" w:color="auto" w:sz="4" w:space="0"/>
            </w:tcBorders>
            <w:shd w:val="clear" w:color="auto" w:fill="auto"/>
            <w:hideMark/>
          </w:tcPr>
          <w:p w:rsidRPr="00B80BC6" w:rsidR="00504D76" w:rsidP="00A71240" w:rsidRDefault="00504D76" w14:paraId="695459DF" w14:textId="77777777">
            <w:pPr>
              <w:pStyle w:val="TableHeaders"/>
              <w:keepNext w:val="0"/>
              <w:rPr>
                <w:rFonts w:ascii="Times New Roman" w:hAnsi="Times New Roman" w:eastAsia="MS Mincho"/>
                <w:sz w:val="24"/>
                <w:szCs w:val="24"/>
              </w:rPr>
            </w:pPr>
            <w:r w:rsidRPr="00B80BC6">
              <w:rPr>
                <w:rFonts w:ascii="Times New Roman" w:hAnsi="Times New Roman" w:eastAsia="MS Mincho"/>
                <w:sz w:val="24"/>
                <w:szCs w:val="24"/>
              </w:rPr>
              <w:t>Response Categories</w:t>
            </w:r>
          </w:p>
        </w:tc>
        <w:tc>
          <w:tcPr>
            <w:tcW w:w="1601" w:type="dxa"/>
            <w:tcBorders>
              <w:bottom w:val="single" w:color="auto" w:sz="4" w:space="0"/>
            </w:tcBorders>
            <w:shd w:val="clear" w:color="auto" w:fill="auto"/>
            <w:noWrap/>
            <w:hideMark/>
          </w:tcPr>
          <w:p w:rsidRPr="00B80BC6" w:rsidR="00504D76" w:rsidP="00A71240" w:rsidRDefault="00504D76" w14:paraId="6408A46A" w14:textId="77777777">
            <w:pPr>
              <w:pStyle w:val="TableHeaders"/>
              <w:keepNext w:val="0"/>
              <w:rPr>
                <w:rFonts w:ascii="Times New Roman" w:hAnsi="Times New Roman" w:eastAsia="MS Mincho"/>
                <w:sz w:val="24"/>
                <w:szCs w:val="24"/>
              </w:rPr>
            </w:pPr>
            <w:r w:rsidRPr="00B80BC6">
              <w:rPr>
                <w:rFonts w:ascii="Times New Roman" w:hAnsi="Times New Roman" w:eastAsia="MS Mincho"/>
                <w:sz w:val="24"/>
                <w:szCs w:val="24"/>
              </w:rPr>
              <w:t>Percentage</w:t>
            </w:r>
          </w:p>
        </w:tc>
      </w:tr>
      <w:tr w:rsidRPr="00B80BC6" w:rsidR="00504D76" w:rsidTr="00810AF1" w14:paraId="16CD6CA4" w14:textId="77777777">
        <w:tc>
          <w:tcPr>
            <w:tcW w:w="2112" w:type="dxa"/>
            <w:tcBorders>
              <w:top w:val="single" w:color="auto" w:sz="4" w:space="0"/>
            </w:tcBorders>
            <w:shd w:val="clear" w:color="auto" w:fill="auto"/>
            <w:noWrap/>
            <w:hideMark/>
          </w:tcPr>
          <w:p w:rsidRPr="00831B1A" w:rsidR="00504D76" w:rsidP="00A71240" w:rsidRDefault="00504D76" w14:paraId="02999DA0" w14:textId="77777777">
            <w:pPr>
              <w:pStyle w:val="TableText"/>
              <w:rPr>
                <w:rFonts w:ascii="Times New Roman" w:hAnsi="Times New Roman"/>
                <w:sz w:val="24"/>
                <w:szCs w:val="24"/>
              </w:rPr>
            </w:pPr>
            <w:r w:rsidRPr="00831B1A">
              <w:rPr>
                <w:rFonts w:ascii="Times New Roman" w:hAnsi="Times New Roman"/>
                <w:sz w:val="24"/>
                <w:szCs w:val="24"/>
              </w:rPr>
              <w:t>Race</w:t>
            </w:r>
          </w:p>
        </w:tc>
        <w:tc>
          <w:tcPr>
            <w:tcW w:w="5647" w:type="dxa"/>
            <w:tcBorders>
              <w:top w:val="single" w:color="auto" w:sz="4" w:space="0"/>
            </w:tcBorders>
            <w:shd w:val="clear" w:color="auto" w:fill="auto"/>
            <w:hideMark/>
          </w:tcPr>
          <w:p w:rsidRPr="00810AF1" w:rsidR="00504D76" w:rsidP="00A71240" w:rsidRDefault="00504D76" w14:paraId="5A40B972" w14:textId="77777777">
            <w:pPr>
              <w:pStyle w:val="TableText"/>
              <w:rPr>
                <w:rFonts w:ascii="Times New Roman" w:hAnsi="Times New Roman"/>
                <w:sz w:val="24"/>
                <w:szCs w:val="24"/>
              </w:rPr>
            </w:pPr>
            <w:r w:rsidRPr="00810AF1">
              <w:rPr>
                <w:rFonts w:ascii="Times New Roman" w:hAnsi="Times New Roman"/>
                <w:sz w:val="24"/>
                <w:szCs w:val="24"/>
              </w:rPr>
              <w:t>White</w:t>
            </w:r>
          </w:p>
        </w:tc>
        <w:tc>
          <w:tcPr>
            <w:tcW w:w="1601" w:type="dxa"/>
            <w:tcBorders>
              <w:top w:val="single" w:color="auto" w:sz="4" w:space="0"/>
            </w:tcBorders>
            <w:shd w:val="clear" w:color="auto" w:fill="auto"/>
            <w:noWrap/>
          </w:tcPr>
          <w:p w:rsidRPr="00B80BC6" w:rsidR="00504D76" w:rsidP="009554D6" w:rsidRDefault="00831B1A" w14:paraId="00173EB6" w14:textId="77777777">
            <w:pPr>
              <w:pStyle w:val="TableText"/>
              <w:tabs>
                <w:tab w:val="decimal" w:pos="734"/>
              </w:tabs>
              <w:rPr>
                <w:rFonts w:ascii="Times New Roman" w:hAnsi="Times New Roman"/>
                <w:sz w:val="24"/>
                <w:szCs w:val="24"/>
              </w:rPr>
            </w:pPr>
            <w:r>
              <w:rPr>
                <w:rFonts w:ascii="Times New Roman" w:hAnsi="Times New Roman"/>
                <w:sz w:val="24"/>
                <w:szCs w:val="24"/>
              </w:rPr>
              <w:t>76%</w:t>
            </w:r>
          </w:p>
        </w:tc>
      </w:tr>
      <w:tr w:rsidRPr="00B80BC6" w:rsidR="00504D76" w:rsidTr="00810AF1" w14:paraId="601AF40A" w14:textId="77777777">
        <w:tc>
          <w:tcPr>
            <w:tcW w:w="2112" w:type="dxa"/>
            <w:shd w:val="clear" w:color="auto" w:fill="auto"/>
            <w:noWrap/>
            <w:hideMark/>
          </w:tcPr>
          <w:p w:rsidRPr="00831B1A" w:rsidR="00504D76" w:rsidP="00A71240" w:rsidRDefault="00504D76" w14:paraId="61CD7C9C" w14:textId="77777777">
            <w:pPr>
              <w:pStyle w:val="TableText"/>
              <w:rPr>
                <w:rFonts w:ascii="Times New Roman" w:hAnsi="Times New Roman"/>
                <w:sz w:val="24"/>
                <w:szCs w:val="24"/>
              </w:rPr>
            </w:pPr>
            <w:r w:rsidRPr="00831B1A">
              <w:rPr>
                <w:rFonts w:ascii="Times New Roman" w:hAnsi="Times New Roman"/>
                <w:sz w:val="24"/>
                <w:szCs w:val="24"/>
              </w:rPr>
              <w:t> </w:t>
            </w:r>
          </w:p>
        </w:tc>
        <w:tc>
          <w:tcPr>
            <w:tcW w:w="5647" w:type="dxa"/>
            <w:shd w:val="clear" w:color="auto" w:fill="auto"/>
            <w:hideMark/>
          </w:tcPr>
          <w:p w:rsidRPr="00810AF1" w:rsidR="00504D76" w:rsidP="00A71240" w:rsidRDefault="00504D76" w14:paraId="23325A8A" w14:textId="77777777">
            <w:pPr>
              <w:pStyle w:val="TableText"/>
              <w:rPr>
                <w:rFonts w:ascii="Times New Roman" w:hAnsi="Times New Roman"/>
                <w:sz w:val="24"/>
                <w:szCs w:val="24"/>
              </w:rPr>
            </w:pPr>
            <w:r w:rsidRPr="00810AF1">
              <w:rPr>
                <w:rFonts w:ascii="Times New Roman" w:hAnsi="Times New Roman"/>
                <w:sz w:val="24"/>
                <w:szCs w:val="24"/>
              </w:rPr>
              <w:t>Non-</w:t>
            </w:r>
            <w:proofErr w:type="spellStart"/>
            <w:r w:rsidR="00B86FB4">
              <w:rPr>
                <w:rFonts w:ascii="Times New Roman" w:hAnsi="Times New Roman"/>
                <w:sz w:val="24"/>
                <w:szCs w:val="24"/>
              </w:rPr>
              <w:t>W</w:t>
            </w:r>
            <w:r w:rsidRPr="00810AF1" w:rsidR="00B86FB4">
              <w:rPr>
                <w:rFonts w:ascii="Times New Roman" w:hAnsi="Times New Roman"/>
                <w:sz w:val="24"/>
                <w:szCs w:val="24"/>
              </w:rPr>
              <w:t>hite</w:t>
            </w:r>
            <w:r w:rsidRPr="00810AF1" w:rsidR="00B86FB4">
              <w:rPr>
                <w:rFonts w:ascii="Times New Roman" w:hAnsi="Times New Roman"/>
                <w:sz w:val="24"/>
                <w:szCs w:val="24"/>
                <w:vertAlign w:val="superscript"/>
              </w:rPr>
              <w:t>a</w:t>
            </w:r>
            <w:proofErr w:type="spellEnd"/>
          </w:p>
        </w:tc>
        <w:tc>
          <w:tcPr>
            <w:tcW w:w="1601" w:type="dxa"/>
            <w:shd w:val="clear" w:color="auto" w:fill="auto"/>
            <w:noWrap/>
          </w:tcPr>
          <w:p w:rsidRPr="00B80BC6" w:rsidR="00504D76" w:rsidP="009554D6" w:rsidRDefault="00831B1A" w14:paraId="5DC816AE" w14:textId="77777777">
            <w:pPr>
              <w:pStyle w:val="TableText"/>
              <w:tabs>
                <w:tab w:val="decimal" w:pos="734"/>
              </w:tabs>
              <w:rPr>
                <w:rFonts w:ascii="Times New Roman" w:hAnsi="Times New Roman"/>
                <w:sz w:val="24"/>
                <w:szCs w:val="24"/>
              </w:rPr>
            </w:pPr>
            <w:r>
              <w:rPr>
                <w:rFonts w:ascii="Times New Roman" w:hAnsi="Times New Roman"/>
                <w:sz w:val="24"/>
                <w:szCs w:val="24"/>
              </w:rPr>
              <w:t>24%</w:t>
            </w:r>
          </w:p>
        </w:tc>
      </w:tr>
      <w:tr w:rsidRPr="00B80BC6" w:rsidR="00504D76" w:rsidTr="00810AF1" w14:paraId="26656398" w14:textId="77777777">
        <w:tc>
          <w:tcPr>
            <w:tcW w:w="2112" w:type="dxa"/>
            <w:shd w:val="clear" w:color="auto" w:fill="auto"/>
            <w:noWrap/>
            <w:hideMark/>
          </w:tcPr>
          <w:p w:rsidRPr="00B80BC6" w:rsidR="00504D76" w:rsidP="00A71240" w:rsidRDefault="00504D76" w14:paraId="051113E1" w14:textId="77777777">
            <w:pPr>
              <w:pStyle w:val="TableText"/>
              <w:rPr>
                <w:rFonts w:ascii="Times New Roman" w:hAnsi="Times New Roman"/>
                <w:sz w:val="24"/>
                <w:szCs w:val="24"/>
              </w:rPr>
            </w:pPr>
            <w:r w:rsidRPr="00B80BC6">
              <w:rPr>
                <w:rFonts w:ascii="Times New Roman" w:hAnsi="Times New Roman"/>
                <w:sz w:val="24"/>
                <w:szCs w:val="24"/>
              </w:rPr>
              <w:t>Ethnicity</w:t>
            </w:r>
          </w:p>
        </w:tc>
        <w:tc>
          <w:tcPr>
            <w:tcW w:w="5647" w:type="dxa"/>
            <w:shd w:val="clear" w:color="auto" w:fill="auto"/>
            <w:hideMark/>
          </w:tcPr>
          <w:p w:rsidRPr="00B80BC6" w:rsidR="00504D76" w:rsidP="00A71240" w:rsidRDefault="00504D76" w14:paraId="7B3455F5" w14:textId="77777777">
            <w:pPr>
              <w:pStyle w:val="TableText"/>
              <w:rPr>
                <w:rFonts w:ascii="Times New Roman" w:hAnsi="Times New Roman"/>
                <w:sz w:val="24"/>
                <w:szCs w:val="24"/>
              </w:rPr>
            </w:pPr>
            <w:r w:rsidRPr="00B80BC6">
              <w:rPr>
                <w:rFonts w:ascii="Times New Roman" w:hAnsi="Times New Roman"/>
                <w:sz w:val="24"/>
                <w:szCs w:val="24"/>
              </w:rPr>
              <w:t>Not Hispanic or Latino</w:t>
            </w:r>
          </w:p>
        </w:tc>
        <w:tc>
          <w:tcPr>
            <w:tcW w:w="1601" w:type="dxa"/>
            <w:shd w:val="clear" w:color="auto" w:fill="auto"/>
            <w:noWrap/>
          </w:tcPr>
          <w:p w:rsidRPr="00B80BC6" w:rsidR="00504D76" w:rsidP="009554D6" w:rsidRDefault="00831B1A" w14:paraId="21D29330" w14:textId="77777777">
            <w:pPr>
              <w:pStyle w:val="TableText"/>
              <w:tabs>
                <w:tab w:val="decimal" w:pos="734"/>
              </w:tabs>
              <w:rPr>
                <w:rFonts w:ascii="Times New Roman" w:hAnsi="Times New Roman"/>
                <w:sz w:val="24"/>
                <w:szCs w:val="24"/>
              </w:rPr>
            </w:pPr>
            <w:r>
              <w:rPr>
                <w:rFonts w:ascii="Times New Roman" w:hAnsi="Times New Roman"/>
                <w:sz w:val="24"/>
                <w:szCs w:val="24"/>
              </w:rPr>
              <w:t>8</w:t>
            </w:r>
            <w:r w:rsidR="001A4682">
              <w:rPr>
                <w:rFonts w:ascii="Times New Roman" w:hAnsi="Times New Roman"/>
                <w:sz w:val="24"/>
                <w:szCs w:val="24"/>
              </w:rPr>
              <w:t>2</w:t>
            </w:r>
            <w:r>
              <w:rPr>
                <w:rFonts w:ascii="Times New Roman" w:hAnsi="Times New Roman"/>
                <w:sz w:val="24"/>
                <w:szCs w:val="24"/>
              </w:rPr>
              <w:t>%</w:t>
            </w:r>
          </w:p>
        </w:tc>
      </w:tr>
      <w:tr w:rsidRPr="00B80BC6" w:rsidR="00504D76" w:rsidTr="00810AF1" w14:paraId="4B5C4757" w14:textId="77777777">
        <w:tc>
          <w:tcPr>
            <w:tcW w:w="2112" w:type="dxa"/>
            <w:shd w:val="clear" w:color="auto" w:fill="auto"/>
            <w:noWrap/>
            <w:hideMark/>
          </w:tcPr>
          <w:p w:rsidRPr="00B80BC6" w:rsidR="00504D76" w:rsidP="00A71240" w:rsidRDefault="00504D76" w14:paraId="1AAA78D1"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504D76" w:rsidP="00A71240" w:rsidRDefault="00504D76" w14:paraId="18E99F0D" w14:textId="77777777">
            <w:pPr>
              <w:pStyle w:val="TableText"/>
              <w:rPr>
                <w:rFonts w:ascii="Times New Roman" w:hAnsi="Times New Roman"/>
                <w:sz w:val="24"/>
                <w:szCs w:val="24"/>
              </w:rPr>
            </w:pPr>
            <w:r w:rsidRPr="00B80BC6">
              <w:rPr>
                <w:rFonts w:ascii="Times New Roman" w:hAnsi="Times New Roman"/>
                <w:sz w:val="24"/>
                <w:szCs w:val="24"/>
              </w:rPr>
              <w:t>Hispanic or Latino</w:t>
            </w:r>
          </w:p>
        </w:tc>
        <w:tc>
          <w:tcPr>
            <w:tcW w:w="1601" w:type="dxa"/>
            <w:shd w:val="clear" w:color="auto" w:fill="auto"/>
            <w:noWrap/>
          </w:tcPr>
          <w:p w:rsidRPr="00B80BC6" w:rsidR="00504D76" w:rsidP="009554D6" w:rsidRDefault="00831B1A" w14:paraId="5587873E" w14:textId="77777777">
            <w:pPr>
              <w:pStyle w:val="TableText"/>
              <w:tabs>
                <w:tab w:val="decimal" w:pos="734"/>
              </w:tabs>
              <w:rPr>
                <w:rFonts w:ascii="Times New Roman" w:hAnsi="Times New Roman"/>
                <w:sz w:val="24"/>
                <w:szCs w:val="24"/>
              </w:rPr>
            </w:pPr>
            <w:r>
              <w:rPr>
                <w:rFonts w:ascii="Times New Roman" w:hAnsi="Times New Roman"/>
                <w:sz w:val="24"/>
                <w:szCs w:val="24"/>
              </w:rPr>
              <w:t>1</w:t>
            </w:r>
            <w:r w:rsidR="001A4682">
              <w:rPr>
                <w:rFonts w:ascii="Times New Roman" w:hAnsi="Times New Roman"/>
                <w:sz w:val="24"/>
                <w:szCs w:val="24"/>
              </w:rPr>
              <w:t>8</w:t>
            </w:r>
            <w:r>
              <w:rPr>
                <w:rFonts w:ascii="Times New Roman" w:hAnsi="Times New Roman"/>
                <w:sz w:val="24"/>
                <w:szCs w:val="24"/>
              </w:rPr>
              <w:t>%</w:t>
            </w:r>
          </w:p>
        </w:tc>
      </w:tr>
      <w:tr w:rsidRPr="00B80BC6" w:rsidR="00504D76" w:rsidTr="00810AF1" w14:paraId="58D29AB3" w14:textId="77777777">
        <w:tc>
          <w:tcPr>
            <w:tcW w:w="2112" w:type="dxa"/>
            <w:shd w:val="clear" w:color="auto" w:fill="auto"/>
            <w:noWrap/>
            <w:hideMark/>
          </w:tcPr>
          <w:p w:rsidRPr="00B80BC6" w:rsidR="00504D76" w:rsidP="00A71240" w:rsidRDefault="00504D76" w14:paraId="2E29AB13" w14:textId="77777777">
            <w:pPr>
              <w:pStyle w:val="TableText"/>
              <w:rPr>
                <w:rFonts w:ascii="Times New Roman" w:hAnsi="Times New Roman"/>
                <w:sz w:val="24"/>
                <w:szCs w:val="24"/>
              </w:rPr>
            </w:pPr>
            <w:r w:rsidRPr="00B80BC6">
              <w:rPr>
                <w:rFonts w:ascii="Times New Roman" w:hAnsi="Times New Roman"/>
                <w:sz w:val="24"/>
                <w:szCs w:val="24"/>
              </w:rPr>
              <w:t>Age</w:t>
            </w:r>
          </w:p>
        </w:tc>
        <w:tc>
          <w:tcPr>
            <w:tcW w:w="5647" w:type="dxa"/>
            <w:shd w:val="clear" w:color="auto" w:fill="auto"/>
            <w:hideMark/>
          </w:tcPr>
          <w:p w:rsidRPr="00B80BC6" w:rsidR="00504D76" w:rsidP="00A71240" w:rsidRDefault="00504D76" w14:paraId="0F94C2E9" w14:textId="77777777">
            <w:pPr>
              <w:pStyle w:val="TableText"/>
              <w:rPr>
                <w:rFonts w:ascii="Times New Roman" w:hAnsi="Times New Roman"/>
                <w:sz w:val="24"/>
                <w:szCs w:val="24"/>
              </w:rPr>
            </w:pPr>
            <w:r w:rsidRPr="00B80BC6">
              <w:rPr>
                <w:rFonts w:ascii="Times New Roman" w:hAnsi="Times New Roman"/>
                <w:sz w:val="24"/>
                <w:szCs w:val="24"/>
              </w:rPr>
              <w:t>20</w:t>
            </w:r>
            <w:r w:rsidR="00173962">
              <w:rPr>
                <w:rFonts w:ascii="Times New Roman" w:hAnsi="Times New Roman"/>
                <w:sz w:val="24"/>
                <w:szCs w:val="24"/>
              </w:rPr>
              <w:t>–</w:t>
            </w:r>
            <w:r w:rsidRPr="00B80BC6">
              <w:rPr>
                <w:rFonts w:ascii="Times New Roman" w:hAnsi="Times New Roman"/>
                <w:sz w:val="24"/>
                <w:szCs w:val="24"/>
              </w:rPr>
              <w:t>34</w:t>
            </w:r>
            <w:r w:rsidRPr="00B80BC6">
              <w:rPr>
                <w:rFonts w:ascii="Times New Roman" w:hAnsi="Times New Roman"/>
                <w:sz w:val="24"/>
                <w:szCs w:val="24"/>
                <w:vertAlign w:val="superscript"/>
              </w:rPr>
              <w:t>b</w:t>
            </w:r>
          </w:p>
        </w:tc>
        <w:tc>
          <w:tcPr>
            <w:tcW w:w="1601" w:type="dxa"/>
            <w:shd w:val="clear" w:color="auto" w:fill="auto"/>
            <w:noWrap/>
          </w:tcPr>
          <w:p w:rsidRPr="00B80BC6" w:rsidR="00504D76" w:rsidP="009554D6" w:rsidRDefault="00831B1A" w14:paraId="5906114D" w14:textId="77777777">
            <w:pPr>
              <w:pStyle w:val="TableText"/>
              <w:tabs>
                <w:tab w:val="decimal" w:pos="734"/>
              </w:tabs>
              <w:rPr>
                <w:rFonts w:ascii="Times New Roman" w:hAnsi="Times New Roman"/>
                <w:sz w:val="24"/>
                <w:szCs w:val="24"/>
              </w:rPr>
            </w:pPr>
            <w:r>
              <w:rPr>
                <w:rFonts w:ascii="Times New Roman" w:hAnsi="Times New Roman"/>
                <w:sz w:val="24"/>
                <w:szCs w:val="24"/>
              </w:rPr>
              <w:t>2</w:t>
            </w:r>
            <w:r w:rsidR="001A4682">
              <w:rPr>
                <w:rFonts w:ascii="Times New Roman" w:hAnsi="Times New Roman"/>
                <w:sz w:val="24"/>
                <w:szCs w:val="24"/>
              </w:rPr>
              <w:t>8</w:t>
            </w:r>
            <w:r>
              <w:rPr>
                <w:rFonts w:ascii="Times New Roman" w:hAnsi="Times New Roman"/>
                <w:sz w:val="24"/>
                <w:szCs w:val="24"/>
              </w:rPr>
              <w:t>%</w:t>
            </w:r>
          </w:p>
        </w:tc>
      </w:tr>
      <w:tr w:rsidRPr="00B80BC6" w:rsidR="00504D76" w:rsidTr="00810AF1" w14:paraId="496F4538" w14:textId="77777777">
        <w:tc>
          <w:tcPr>
            <w:tcW w:w="2112" w:type="dxa"/>
            <w:shd w:val="clear" w:color="auto" w:fill="auto"/>
            <w:noWrap/>
            <w:hideMark/>
          </w:tcPr>
          <w:p w:rsidRPr="00B80BC6" w:rsidR="00504D76" w:rsidP="00A71240" w:rsidRDefault="00504D76" w14:paraId="2285BC2A" w14:textId="77777777">
            <w:pPr>
              <w:pStyle w:val="TableText"/>
              <w:rPr>
                <w:rFonts w:ascii="Times New Roman" w:hAnsi="Times New Roman"/>
                <w:sz w:val="24"/>
                <w:szCs w:val="24"/>
              </w:rPr>
            </w:pPr>
          </w:p>
        </w:tc>
        <w:tc>
          <w:tcPr>
            <w:tcW w:w="5647" w:type="dxa"/>
            <w:shd w:val="clear" w:color="auto" w:fill="auto"/>
            <w:hideMark/>
          </w:tcPr>
          <w:p w:rsidRPr="00B80BC6" w:rsidR="00504D76" w:rsidP="00A71240" w:rsidRDefault="00504D76" w14:paraId="7F9069C0" w14:textId="77777777">
            <w:pPr>
              <w:pStyle w:val="TableText"/>
              <w:rPr>
                <w:rFonts w:ascii="Times New Roman" w:hAnsi="Times New Roman"/>
                <w:sz w:val="24"/>
                <w:szCs w:val="24"/>
              </w:rPr>
            </w:pPr>
            <w:r w:rsidRPr="00B80BC6">
              <w:rPr>
                <w:rFonts w:ascii="Times New Roman" w:hAnsi="Times New Roman"/>
                <w:sz w:val="24"/>
                <w:szCs w:val="24"/>
              </w:rPr>
              <w:t>35</w:t>
            </w:r>
            <w:r w:rsidR="00173962">
              <w:rPr>
                <w:rFonts w:ascii="Times New Roman" w:hAnsi="Times New Roman"/>
                <w:sz w:val="24"/>
                <w:szCs w:val="24"/>
              </w:rPr>
              <w:t>–</w:t>
            </w:r>
            <w:r w:rsidRPr="00B80BC6">
              <w:rPr>
                <w:rFonts w:ascii="Times New Roman" w:hAnsi="Times New Roman"/>
                <w:sz w:val="24"/>
                <w:szCs w:val="24"/>
              </w:rPr>
              <w:t>54</w:t>
            </w:r>
          </w:p>
        </w:tc>
        <w:tc>
          <w:tcPr>
            <w:tcW w:w="1601" w:type="dxa"/>
            <w:shd w:val="clear" w:color="auto" w:fill="auto"/>
            <w:noWrap/>
          </w:tcPr>
          <w:p w:rsidRPr="00B80BC6" w:rsidR="00504D76" w:rsidP="009554D6" w:rsidRDefault="00831B1A" w14:paraId="6235EA6D" w14:textId="77777777">
            <w:pPr>
              <w:pStyle w:val="TableText"/>
              <w:tabs>
                <w:tab w:val="decimal" w:pos="734"/>
              </w:tabs>
              <w:rPr>
                <w:rFonts w:ascii="Times New Roman" w:hAnsi="Times New Roman"/>
                <w:sz w:val="24"/>
                <w:szCs w:val="24"/>
              </w:rPr>
            </w:pPr>
            <w:r>
              <w:rPr>
                <w:rFonts w:ascii="Times New Roman" w:hAnsi="Times New Roman"/>
                <w:sz w:val="24"/>
                <w:szCs w:val="24"/>
              </w:rPr>
              <w:t>3</w:t>
            </w:r>
            <w:r w:rsidR="001A4682">
              <w:rPr>
                <w:rFonts w:ascii="Times New Roman" w:hAnsi="Times New Roman"/>
                <w:sz w:val="24"/>
                <w:szCs w:val="24"/>
              </w:rPr>
              <w:t>5</w:t>
            </w:r>
            <w:r>
              <w:rPr>
                <w:rFonts w:ascii="Times New Roman" w:hAnsi="Times New Roman"/>
                <w:sz w:val="24"/>
                <w:szCs w:val="24"/>
              </w:rPr>
              <w:t>%</w:t>
            </w:r>
          </w:p>
        </w:tc>
      </w:tr>
      <w:tr w:rsidRPr="00B80BC6" w:rsidR="00504D76" w:rsidTr="00810AF1" w14:paraId="0CDDD48E" w14:textId="77777777">
        <w:tc>
          <w:tcPr>
            <w:tcW w:w="2112" w:type="dxa"/>
            <w:shd w:val="clear" w:color="auto" w:fill="auto"/>
            <w:noWrap/>
            <w:hideMark/>
          </w:tcPr>
          <w:p w:rsidRPr="00B80BC6" w:rsidR="00504D76" w:rsidP="00A71240" w:rsidRDefault="00504D76" w14:paraId="4CBF4538" w14:textId="77777777">
            <w:pPr>
              <w:pStyle w:val="TableText"/>
              <w:rPr>
                <w:rFonts w:ascii="Times New Roman" w:hAnsi="Times New Roman"/>
                <w:sz w:val="24"/>
                <w:szCs w:val="24"/>
              </w:rPr>
            </w:pPr>
          </w:p>
        </w:tc>
        <w:tc>
          <w:tcPr>
            <w:tcW w:w="5647" w:type="dxa"/>
            <w:shd w:val="clear" w:color="auto" w:fill="auto"/>
            <w:hideMark/>
          </w:tcPr>
          <w:p w:rsidRPr="00B80BC6" w:rsidR="00504D76" w:rsidP="00A71240" w:rsidRDefault="00504D76" w14:paraId="60CF40F2" w14:textId="77777777">
            <w:pPr>
              <w:pStyle w:val="TableText"/>
              <w:rPr>
                <w:rFonts w:ascii="Times New Roman" w:hAnsi="Times New Roman"/>
                <w:sz w:val="24"/>
                <w:szCs w:val="24"/>
              </w:rPr>
            </w:pPr>
            <w:r w:rsidRPr="00B80BC6">
              <w:rPr>
                <w:rFonts w:ascii="Times New Roman" w:hAnsi="Times New Roman"/>
                <w:sz w:val="24"/>
                <w:szCs w:val="24"/>
              </w:rPr>
              <w:t>55+</w:t>
            </w:r>
          </w:p>
        </w:tc>
        <w:tc>
          <w:tcPr>
            <w:tcW w:w="1601" w:type="dxa"/>
            <w:shd w:val="clear" w:color="auto" w:fill="auto"/>
            <w:noWrap/>
          </w:tcPr>
          <w:p w:rsidRPr="00B80BC6" w:rsidR="00504D76" w:rsidP="009554D6" w:rsidRDefault="001A4682" w14:paraId="09FB6852" w14:textId="77777777">
            <w:pPr>
              <w:pStyle w:val="TableText"/>
              <w:tabs>
                <w:tab w:val="decimal" w:pos="734"/>
              </w:tabs>
              <w:rPr>
                <w:rFonts w:ascii="Times New Roman" w:hAnsi="Times New Roman"/>
                <w:sz w:val="24"/>
                <w:szCs w:val="24"/>
              </w:rPr>
            </w:pPr>
            <w:r>
              <w:rPr>
                <w:rFonts w:ascii="Times New Roman" w:hAnsi="Times New Roman"/>
                <w:sz w:val="24"/>
                <w:szCs w:val="24"/>
              </w:rPr>
              <w:t>3</w:t>
            </w:r>
            <w:r w:rsidR="00220BBB">
              <w:rPr>
                <w:rFonts w:ascii="Times New Roman" w:hAnsi="Times New Roman"/>
                <w:sz w:val="24"/>
                <w:szCs w:val="24"/>
              </w:rPr>
              <w:t>7</w:t>
            </w:r>
            <w:r w:rsidR="00831B1A">
              <w:rPr>
                <w:rFonts w:ascii="Times New Roman" w:hAnsi="Times New Roman"/>
                <w:sz w:val="24"/>
                <w:szCs w:val="24"/>
              </w:rPr>
              <w:t>%</w:t>
            </w:r>
          </w:p>
        </w:tc>
      </w:tr>
      <w:tr w:rsidRPr="00B80BC6" w:rsidR="00504D76" w:rsidTr="00810AF1" w14:paraId="4E6C567D" w14:textId="77777777">
        <w:tc>
          <w:tcPr>
            <w:tcW w:w="2112" w:type="dxa"/>
            <w:shd w:val="clear" w:color="auto" w:fill="auto"/>
            <w:noWrap/>
            <w:hideMark/>
          </w:tcPr>
          <w:p w:rsidRPr="00B80BC6" w:rsidR="00504D76" w:rsidP="00A71240" w:rsidRDefault="00504D76" w14:paraId="352FF8FE" w14:textId="77777777">
            <w:pPr>
              <w:pStyle w:val="TableText"/>
              <w:rPr>
                <w:rFonts w:ascii="Times New Roman" w:hAnsi="Times New Roman"/>
                <w:sz w:val="24"/>
                <w:szCs w:val="24"/>
              </w:rPr>
            </w:pPr>
            <w:r w:rsidRPr="00B80BC6">
              <w:rPr>
                <w:rFonts w:ascii="Times New Roman" w:hAnsi="Times New Roman"/>
                <w:sz w:val="24"/>
                <w:szCs w:val="24"/>
              </w:rPr>
              <w:t>Education</w:t>
            </w:r>
          </w:p>
        </w:tc>
        <w:tc>
          <w:tcPr>
            <w:tcW w:w="5647" w:type="dxa"/>
            <w:shd w:val="clear" w:color="auto" w:fill="auto"/>
            <w:hideMark/>
          </w:tcPr>
          <w:p w:rsidRPr="00B80BC6" w:rsidR="00504D76" w:rsidP="00A71240" w:rsidRDefault="00504D76" w14:paraId="0C7004F7" w14:textId="77777777">
            <w:pPr>
              <w:pStyle w:val="TableText"/>
              <w:rPr>
                <w:rFonts w:ascii="Times New Roman" w:hAnsi="Times New Roman"/>
                <w:sz w:val="24"/>
                <w:szCs w:val="24"/>
              </w:rPr>
            </w:pPr>
            <w:r w:rsidRPr="00B80BC6">
              <w:rPr>
                <w:rFonts w:ascii="Times New Roman" w:hAnsi="Times New Roman"/>
                <w:sz w:val="24"/>
                <w:szCs w:val="24"/>
              </w:rPr>
              <w:t xml:space="preserve">Less than </w:t>
            </w:r>
            <w:r w:rsidRPr="00B80BC6" w:rsidR="00173962">
              <w:rPr>
                <w:rFonts w:ascii="Times New Roman" w:hAnsi="Times New Roman"/>
                <w:sz w:val="24"/>
                <w:szCs w:val="24"/>
              </w:rPr>
              <w:t>high school or high school diploma</w:t>
            </w:r>
            <w:r w:rsidRPr="00B80BC6">
              <w:rPr>
                <w:rFonts w:ascii="Times New Roman" w:hAnsi="Times New Roman"/>
                <w:sz w:val="24"/>
                <w:szCs w:val="24"/>
              </w:rPr>
              <w:t>/GED</w:t>
            </w:r>
          </w:p>
        </w:tc>
        <w:tc>
          <w:tcPr>
            <w:tcW w:w="1601" w:type="dxa"/>
            <w:shd w:val="clear" w:color="auto" w:fill="auto"/>
            <w:noWrap/>
          </w:tcPr>
          <w:p w:rsidRPr="00B80BC6" w:rsidR="00504D76" w:rsidP="009554D6" w:rsidRDefault="00831B1A" w14:paraId="407B1F4B" w14:textId="77777777">
            <w:pPr>
              <w:pStyle w:val="TableText"/>
              <w:tabs>
                <w:tab w:val="decimal" w:pos="734"/>
              </w:tabs>
              <w:rPr>
                <w:rFonts w:ascii="Times New Roman" w:hAnsi="Times New Roman"/>
                <w:sz w:val="24"/>
                <w:szCs w:val="24"/>
              </w:rPr>
            </w:pPr>
            <w:r>
              <w:rPr>
                <w:rFonts w:ascii="Times New Roman" w:hAnsi="Times New Roman"/>
                <w:sz w:val="24"/>
                <w:szCs w:val="24"/>
              </w:rPr>
              <w:t>40%</w:t>
            </w:r>
          </w:p>
        </w:tc>
      </w:tr>
      <w:tr w:rsidRPr="00B80BC6" w:rsidR="00504D76" w:rsidTr="00810AF1" w14:paraId="5EA052F2" w14:textId="77777777">
        <w:tc>
          <w:tcPr>
            <w:tcW w:w="2112" w:type="dxa"/>
            <w:shd w:val="clear" w:color="auto" w:fill="auto"/>
            <w:noWrap/>
            <w:hideMark/>
          </w:tcPr>
          <w:p w:rsidRPr="00B80BC6" w:rsidR="00504D76" w:rsidP="00A71240" w:rsidRDefault="00504D76" w14:paraId="2D3ED5E0" w14:textId="77777777">
            <w:pPr>
              <w:pStyle w:val="TableText"/>
              <w:rPr>
                <w:rFonts w:ascii="Times New Roman" w:hAnsi="Times New Roman"/>
                <w:sz w:val="24"/>
                <w:szCs w:val="24"/>
              </w:rPr>
            </w:pPr>
          </w:p>
        </w:tc>
        <w:tc>
          <w:tcPr>
            <w:tcW w:w="5647" w:type="dxa"/>
            <w:shd w:val="clear" w:color="auto" w:fill="auto"/>
            <w:hideMark/>
          </w:tcPr>
          <w:p w:rsidRPr="00B80BC6" w:rsidR="00504D76" w:rsidP="00A71240" w:rsidRDefault="00504D76" w14:paraId="5E9FAB65" w14:textId="77777777">
            <w:pPr>
              <w:pStyle w:val="TableText"/>
              <w:rPr>
                <w:rFonts w:ascii="Times New Roman" w:hAnsi="Times New Roman"/>
                <w:sz w:val="24"/>
                <w:szCs w:val="24"/>
              </w:rPr>
            </w:pPr>
            <w:r w:rsidRPr="00B80BC6">
              <w:rPr>
                <w:rFonts w:ascii="Times New Roman" w:hAnsi="Times New Roman"/>
                <w:sz w:val="24"/>
                <w:szCs w:val="24"/>
              </w:rPr>
              <w:t xml:space="preserve">Some </w:t>
            </w:r>
            <w:r w:rsidRPr="00B80BC6" w:rsidR="00173962">
              <w:rPr>
                <w:rFonts w:ascii="Times New Roman" w:hAnsi="Times New Roman"/>
                <w:sz w:val="24"/>
                <w:szCs w:val="24"/>
              </w:rPr>
              <w:t>college</w:t>
            </w:r>
          </w:p>
        </w:tc>
        <w:tc>
          <w:tcPr>
            <w:tcW w:w="1601" w:type="dxa"/>
            <w:shd w:val="clear" w:color="auto" w:fill="auto"/>
            <w:noWrap/>
          </w:tcPr>
          <w:p w:rsidRPr="00B80BC6" w:rsidR="00504D76" w:rsidP="009554D6" w:rsidRDefault="00831B1A" w14:paraId="2E7F244C" w14:textId="77777777">
            <w:pPr>
              <w:pStyle w:val="TableText"/>
              <w:tabs>
                <w:tab w:val="decimal" w:pos="734"/>
              </w:tabs>
              <w:rPr>
                <w:rFonts w:ascii="Times New Roman" w:hAnsi="Times New Roman"/>
                <w:sz w:val="24"/>
                <w:szCs w:val="24"/>
              </w:rPr>
            </w:pPr>
            <w:r>
              <w:rPr>
                <w:rFonts w:ascii="Times New Roman" w:hAnsi="Times New Roman"/>
                <w:sz w:val="24"/>
                <w:szCs w:val="24"/>
              </w:rPr>
              <w:t>29%</w:t>
            </w:r>
          </w:p>
        </w:tc>
      </w:tr>
      <w:tr w:rsidRPr="00B80BC6" w:rsidR="00504D76" w:rsidTr="00810AF1" w14:paraId="166CE5F8" w14:textId="77777777">
        <w:tc>
          <w:tcPr>
            <w:tcW w:w="2112" w:type="dxa"/>
            <w:shd w:val="clear" w:color="auto" w:fill="auto"/>
            <w:noWrap/>
            <w:hideMark/>
          </w:tcPr>
          <w:p w:rsidRPr="00B80BC6" w:rsidR="00504D76" w:rsidP="00A71240" w:rsidRDefault="00504D76" w14:paraId="479AF7DD" w14:textId="77777777">
            <w:pPr>
              <w:pStyle w:val="TableText"/>
              <w:rPr>
                <w:rFonts w:ascii="Times New Roman" w:hAnsi="Times New Roman"/>
                <w:sz w:val="24"/>
                <w:szCs w:val="24"/>
              </w:rPr>
            </w:pPr>
          </w:p>
        </w:tc>
        <w:tc>
          <w:tcPr>
            <w:tcW w:w="5647" w:type="dxa"/>
            <w:shd w:val="clear" w:color="auto" w:fill="auto"/>
            <w:hideMark/>
          </w:tcPr>
          <w:p w:rsidRPr="00B80BC6" w:rsidR="00504D76" w:rsidP="00A71240" w:rsidRDefault="00504D76" w14:paraId="1F23ACFB" w14:textId="77777777">
            <w:pPr>
              <w:pStyle w:val="TableText"/>
              <w:rPr>
                <w:rFonts w:ascii="Times New Roman" w:hAnsi="Times New Roman"/>
                <w:sz w:val="24"/>
                <w:szCs w:val="24"/>
              </w:rPr>
            </w:pPr>
            <w:r w:rsidRPr="00B80BC6">
              <w:rPr>
                <w:rFonts w:ascii="Times New Roman" w:hAnsi="Times New Roman"/>
                <w:sz w:val="24"/>
                <w:szCs w:val="24"/>
              </w:rPr>
              <w:t>Bachelor</w:t>
            </w:r>
            <w:r w:rsidR="008A7E10">
              <w:rPr>
                <w:rFonts w:ascii="Times New Roman" w:hAnsi="Times New Roman"/>
                <w:sz w:val="24"/>
                <w:szCs w:val="24"/>
              </w:rPr>
              <w:t>’</w:t>
            </w:r>
            <w:r w:rsidRPr="00B80BC6">
              <w:rPr>
                <w:rFonts w:ascii="Times New Roman" w:hAnsi="Times New Roman"/>
                <w:sz w:val="24"/>
                <w:szCs w:val="24"/>
              </w:rPr>
              <w:t xml:space="preserve">s </w:t>
            </w:r>
            <w:r w:rsidRPr="00B80BC6" w:rsidR="00173962">
              <w:rPr>
                <w:rFonts w:ascii="Times New Roman" w:hAnsi="Times New Roman"/>
                <w:sz w:val="24"/>
                <w:szCs w:val="24"/>
              </w:rPr>
              <w:t xml:space="preserve">degree </w:t>
            </w:r>
          </w:p>
        </w:tc>
        <w:tc>
          <w:tcPr>
            <w:tcW w:w="1601" w:type="dxa"/>
            <w:shd w:val="clear" w:color="auto" w:fill="auto"/>
            <w:noWrap/>
          </w:tcPr>
          <w:p w:rsidRPr="00B80BC6" w:rsidR="00504D76" w:rsidP="009554D6" w:rsidRDefault="00831B1A" w14:paraId="36AFEEE7" w14:textId="77777777">
            <w:pPr>
              <w:pStyle w:val="TableText"/>
              <w:tabs>
                <w:tab w:val="decimal" w:pos="734"/>
              </w:tabs>
              <w:rPr>
                <w:rFonts w:ascii="Times New Roman" w:hAnsi="Times New Roman"/>
                <w:sz w:val="24"/>
                <w:szCs w:val="24"/>
              </w:rPr>
            </w:pPr>
            <w:r>
              <w:rPr>
                <w:rFonts w:ascii="Times New Roman" w:hAnsi="Times New Roman"/>
                <w:sz w:val="24"/>
                <w:szCs w:val="24"/>
              </w:rPr>
              <w:t>19%</w:t>
            </w:r>
          </w:p>
        </w:tc>
      </w:tr>
      <w:tr w:rsidRPr="00B80BC6" w:rsidR="00504D76" w:rsidTr="00810AF1" w14:paraId="5AD3F9B4" w14:textId="77777777">
        <w:tc>
          <w:tcPr>
            <w:tcW w:w="2112" w:type="dxa"/>
            <w:shd w:val="clear" w:color="auto" w:fill="auto"/>
            <w:noWrap/>
            <w:hideMark/>
          </w:tcPr>
          <w:p w:rsidRPr="00B80BC6" w:rsidR="00504D76" w:rsidP="00A71240" w:rsidRDefault="00504D76" w14:paraId="6ABF0A99"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504D76" w:rsidP="00A71240" w:rsidRDefault="00504D76" w14:paraId="3E066F91" w14:textId="77777777">
            <w:pPr>
              <w:pStyle w:val="TableText"/>
              <w:rPr>
                <w:rFonts w:ascii="Times New Roman" w:hAnsi="Times New Roman"/>
                <w:sz w:val="24"/>
                <w:szCs w:val="24"/>
              </w:rPr>
            </w:pPr>
            <w:r w:rsidRPr="00B80BC6">
              <w:rPr>
                <w:rFonts w:ascii="Times New Roman" w:hAnsi="Times New Roman"/>
                <w:sz w:val="24"/>
                <w:szCs w:val="24"/>
              </w:rPr>
              <w:t xml:space="preserve">Graduate or </w:t>
            </w:r>
            <w:r w:rsidRPr="00B80BC6" w:rsidR="00173962">
              <w:rPr>
                <w:rFonts w:ascii="Times New Roman" w:hAnsi="Times New Roman"/>
                <w:sz w:val="24"/>
                <w:szCs w:val="24"/>
              </w:rPr>
              <w:t>professional degree</w:t>
            </w:r>
          </w:p>
        </w:tc>
        <w:tc>
          <w:tcPr>
            <w:tcW w:w="1601" w:type="dxa"/>
            <w:shd w:val="clear" w:color="auto" w:fill="auto"/>
            <w:noWrap/>
          </w:tcPr>
          <w:p w:rsidRPr="00B80BC6" w:rsidR="00504D76" w:rsidP="009554D6" w:rsidRDefault="00831B1A" w14:paraId="17F2DB4E" w14:textId="77777777">
            <w:pPr>
              <w:pStyle w:val="TableText"/>
              <w:tabs>
                <w:tab w:val="decimal" w:pos="734"/>
              </w:tabs>
              <w:rPr>
                <w:rFonts w:ascii="Times New Roman" w:hAnsi="Times New Roman"/>
                <w:sz w:val="24"/>
                <w:szCs w:val="24"/>
              </w:rPr>
            </w:pPr>
            <w:r>
              <w:rPr>
                <w:rFonts w:ascii="Times New Roman" w:hAnsi="Times New Roman"/>
                <w:sz w:val="24"/>
                <w:szCs w:val="24"/>
              </w:rPr>
              <w:t>12%</w:t>
            </w:r>
          </w:p>
        </w:tc>
      </w:tr>
      <w:tr w:rsidRPr="00B80BC6" w:rsidR="00504D76" w:rsidTr="00810AF1" w14:paraId="31DCA076" w14:textId="77777777">
        <w:tc>
          <w:tcPr>
            <w:tcW w:w="2112" w:type="dxa"/>
            <w:shd w:val="clear" w:color="auto" w:fill="auto"/>
            <w:noWrap/>
            <w:hideMark/>
          </w:tcPr>
          <w:p w:rsidRPr="00B80BC6" w:rsidR="00504D76" w:rsidP="00A71240" w:rsidRDefault="00537C29" w14:paraId="111F5B57" w14:textId="77777777">
            <w:pPr>
              <w:pStyle w:val="TableText"/>
              <w:rPr>
                <w:rFonts w:ascii="Times New Roman" w:hAnsi="Times New Roman"/>
                <w:sz w:val="24"/>
                <w:szCs w:val="24"/>
              </w:rPr>
            </w:pPr>
            <w:r>
              <w:rPr>
                <w:rFonts w:ascii="Times New Roman" w:hAnsi="Times New Roman"/>
                <w:sz w:val="24"/>
                <w:szCs w:val="24"/>
              </w:rPr>
              <w:t>Children in Household</w:t>
            </w:r>
          </w:p>
        </w:tc>
        <w:tc>
          <w:tcPr>
            <w:tcW w:w="5647" w:type="dxa"/>
            <w:shd w:val="clear" w:color="auto" w:fill="auto"/>
            <w:hideMark/>
          </w:tcPr>
          <w:p w:rsidRPr="00B80BC6" w:rsidR="00504D76" w:rsidP="00A71240" w:rsidRDefault="00537C29" w14:paraId="7AFFD020" w14:textId="77777777">
            <w:pPr>
              <w:pStyle w:val="TableText"/>
              <w:rPr>
                <w:rFonts w:ascii="Times New Roman" w:hAnsi="Times New Roman"/>
                <w:sz w:val="24"/>
                <w:szCs w:val="24"/>
              </w:rPr>
            </w:pPr>
            <w:r>
              <w:rPr>
                <w:rFonts w:ascii="Times New Roman" w:hAnsi="Times New Roman"/>
                <w:sz w:val="24"/>
                <w:szCs w:val="24"/>
              </w:rPr>
              <w:t>Yes</w:t>
            </w:r>
          </w:p>
        </w:tc>
        <w:tc>
          <w:tcPr>
            <w:tcW w:w="1601" w:type="dxa"/>
            <w:shd w:val="clear" w:color="auto" w:fill="auto"/>
            <w:noWrap/>
          </w:tcPr>
          <w:p w:rsidRPr="00B80BC6" w:rsidR="00504D76" w:rsidP="009554D6" w:rsidRDefault="00831B1A" w14:paraId="42E04C51" w14:textId="77777777">
            <w:pPr>
              <w:pStyle w:val="TableText"/>
              <w:tabs>
                <w:tab w:val="decimal" w:pos="734"/>
              </w:tabs>
              <w:rPr>
                <w:rFonts w:ascii="Times New Roman" w:hAnsi="Times New Roman"/>
                <w:sz w:val="24"/>
                <w:szCs w:val="24"/>
              </w:rPr>
            </w:pPr>
            <w:r>
              <w:rPr>
                <w:rFonts w:ascii="Times New Roman" w:hAnsi="Times New Roman"/>
                <w:sz w:val="24"/>
                <w:szCs w:val="24"/>
              </w:rPr>
              <w:t>31%</w:t>
            </w:r>
          </w:p>
        </w:tc>
      </w:tr>
      <w:tr w:rsidRPr="00B80BC6" w:rsidR="00504D76" w:rsidTr="00810AF1" w14:paraId="3DEB6E82" w14:textId="77777777">
        <w:tc>
          <w:tcPr>
            <w:tcW w:w="2112" w:type="dxa"/>
            <w:shd w:val="clear" w:color="auto" w:fill="auto"/>
            <w:noWrap/>
            <w:hideMark/>
          </w:tcPr>
          <w:p w:rsidRPr="00B80BC6" w:rsidR="00504D76" w:rsidP="00A71240" w:rsidRDefault="00504D76" w14:paraId="78048AF5"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504D76" w:rsidP="00A71240" w:rsidRDefault="00537C29" w14:paraId="6153CCC4" w14:textId="77777777">
            <w:pPr>
              <w:pStyle w:val="TableText"/>
              <w:rPr>
                <w:rFonts w:ascii="Times New Roman" w:hAnsi="Times New Roman"/>
                <w:sz w:val="24"/>
                <w:szCs w:val="24"/>
              </w:rPr>
            </w:pPr>
            <w:r>
              <w:rPr>
                <w:rFonts w:ascii="Times New Roman" w:hAnsi="Times New Roman"/>
                <w:sz w:val="24"/>
                <w:szCs w:val="24"/>
              </w:rPr>
              <w:t>No</w:t>
            </w:r>
          </w:p>
        </w:tc>
        <w:tc>
          <w:tcPr>
            <w:tcW w:w="1601" w:type="dxa"/>
            <w:shd w:val="clear" w:color="auto" w:fill="auto"/>
            <w:noWrap/>
          </w:tcPr>
          <w:p w:rsidRPr="00B80BC6" w:rsidR="00504D76" w:rsidP="009554D6" w:rsidRDefault="00831B1A" w14:paraId="66E36D77" w14:textId="77777777">
            <w:pPr>
              <w:pStyle w:val="TableText"/>
              <w:tabs>
                <w:tab w:val="decimal" w:pos="734"/>
              </w:tabs>
              <w:rPr>
                <w:rFonts w:ascii="Times New Roman" w:hAnsi="Times New Roman"/>
                <w:sz w:val="24"/>
                <w:szCs w:val="24"/>
              </w:rPr>
            </w:pPr>
            <w:r>
              <w:rPr>
                <w:rFonts w:ascii="Times New Roman" w:hAnsi="Times New Roman"/>
                <w:sz w:val="24"/>
                <w:szCs w:val="24"/>
              </w:rPr>
              <w:t>69%</w:t>
            </w:r>
          </w:p>
        </w:tc>
      </w:tr>
    </w:tbl>
    <w:p w:rsidRPr="00C3031F" w:rsidR="00504D76" w:rsidP="00A71240" w:rsidRDefault="00504D76" w14:paraId="0BFB49DF" w14:textId="77777777">
      <w:pPr>
        <w:pStyle w:val="TableText"/>
        <w:rPr>
          <w:rFonts w:ascii="Times New Roman" w:hAnsi="Times New Roman"/>
          <w:color w:val="0563C1"/>
          <w:szCs w:val="18"/>
          <w:u w:val="single"/>
        </w:rPr>
      </w:pPr>
      <w:r w:rsidRPr="00C3031F">
        <w:rPr>
          <w:rFonts w:ascii="Times New Roman" w:hAnsi="Times New Roman"/>
          <w:szCs w:val="18"/>
        </w:rPr>
        <w:t>Source:</w:t>
      </w:r>
      <w:r w:rsidRPr="00C3031F" w:rsidR="00173962">
        <w:rPr>
          <w:rFonts w:ascii="Times New Roman" w:hAnsi="Times New Roman"/>
          <w:szCs w:val="18"/>
        </w:rPr>
        <w:t xml:space="preserve"> </w:t>
      </w:r>
      <w:r w:rsidRPr="00831B1A" w:rsidR="00831B1A">
        <w:rPr>
          <w:rFonts w:ascii="Times New Roman" w:hAnsi="Times New Roman"/>
          <w:szCs w:val="18"/>
        </w:rPr>
        <w:t>U.S. Census Bureau. (n.d.). 2014-2018 American Community Survey 5-year data profiles. Retrieved from https://www.census.gov/acs/www/data/data-tables-and-tools/data-profiles/2018/</w:t>
      </w:r>
    </w:p>
    <w:p w:rsidR="00504D76" w:rsidP="00A71240" w:rsidRDefault="00504D76" w14:paraId="424D9EEB" w14:textId="77777777">
      <w:pPr>
        <w:pStyle w:val="Source"/>
        <w:keepLines w:val="0"/>
      </w:pPr>
      <w:proofErr w:type="spellStart"/>
      <w:r w:rsidRPr="00653587">
        <w:rPr>
          <w:vertAlign w:val="superscript"/>
        </w:rPr>
        <w:t>a</w:t>
      </w:r>
      <w:r>
        <w:t>Non</w:t>
      </w:r>
      <w:proofErr w:type="spellEnd"/>
      <w:r>
        <w:t>-</w:t>
      </w:r>
      <w:r w:rsidR="00B86FB4">
        <w:t xml:space="preserve">White </w:t>
      </w:r>
      <w:r>
        <w:t xml:space="preserve">includes </w:t>
      </w:r>
      <w:r w:rsidR="00B86FB4">
        <w:t>B</w:t>
      </w:r>
      <w:r w:rsidRPr="001A275A" w:rsidR="00B86FB4">
        <w:t xml:space="preserve">lack </w:t>
      </w:r>
      <w:r w:rsidRPr="001A275A">
        <w:t xml:space="preserve">or African American, American </w:t>
      </w:r>
      <w:proofErr w:type="gramStart"/>
      <w:r w:rsidRPr="001A275A">
        <w:t>Indian</w:t>
      </w:r>
      <w:proofErr w:type="gramEnd"/>
      <w:r w:rsidRPr="001A275A">
        <w:t xml:space="preserve"> or Alaska Native, Asian, Native Hawaiian and Other Pacific Islander, </w:t>
      </w:r>
      <w:r w:rsidRPr="001A275A" w:rsidR="00173962">
        <w:t>other</w:t>
      </w:r>
      <w:r w:rsidR="00173962">
        <w:t xml:space="preserve"> races</w:t>
      </w:r>
      <w:r w:rsidRPr="001A275A">
        <w:t xml:space="preserve">, or 2 or </w:t>
      </w:r>
      <w:r w:rsidRPr="001A275A" w:rsidR="00173962">
        <w:t>more</w:t>
      </w:r>
      <w:r w:rsidR="00173962">
        <w:t xml:space="preserve"> races</w:t>
      </w:r>
      <w:r>
        <w:t>.</w:t>
      </w:r>
    </w:p>
    <w:p w:rsidR="00504D76" w:rsidP="00A71240" w:rsidRDefault="00504D76" w14:paraId="36D66BF9" w14:textId="77777777">
      <w:pPr>
        <w:pStyle w:val="Source"/>
        <w:keepLines w:val="0"/>
      </w:pPr>
      <w:r>
        <w:rPr>
          <w:vertAlign w:val="superscript"/>
        </w:rPr>
        <w:t>b</w:t>
      </w:r>
      <w:r>
        <w:t>Age is reported as ≤ 19</w:t>
      </w:r>
      <w:r w:rsidR="00173962">
        <w:t xml:space="preserve">; </w:t>
      </w:r>
      <w:r>
        <w:t>thus</w:t>
      </w:r>
      <w:r w:rsidR="00173962">
        <w:t>,</w:t>
      </w:r>
      <w:r>
        <w:t xml:space="preserve"> the first age category starts at age 20; however, we will enroll individuals who are 18 or older</w:t>
      </w:r>
      <w:r w:rsidR="00810AF1">
        <w:t>.</w:t>
      </w:r>
    </w:p>
    <w:p w:rsidR="008B62C2" w:rsidP="00A71240" w:rsidRDefault="008B62C2" w14:paraId="5AF8F7B0" w14:textId="77777777">
      <w:pPr>
        <w:pStyle w:val="Source"/>
        <w:keepLines w:val="0"/>
      </w:pPr>
    </w:p>
    <w:p w:rsidR="00463056" w:rsidP="00A71240" w:rsidRDefault="00463056" w14:paraId="1C42F8AD" w14:textId="77777777">
      <w:pPr>
        <w:pStyle w:val="BodyText0"/>
        <w:widowControl/>
        <w:spacing w:before="240"/>
        <w:ind w:firstLine="0"/>
        <w:rPr>
          <w:b/>
        </w:rPr>
      </w:pPr>
      <w:r>
        <w:rPr>
          <w:b/>
        </w:rPr>
        <w:t>Sample Size</w:t>
      </w:r>
      <w:r w:rsidR="00210263">
        <w:rPr>
          <w:b/>
        </w:rPr>
        <w:t xml:space="preserve"> and Allocation</w:t>
      </w:r>
    </w:p>
    <w:p w:rsidR="00463056" w:rsidP="00A71240" w:rsidRDefault="00463056" w14:paraId="504AC13D" w14:textId="77777777">
      <w:pPr>
        <w:pStyle w:val="BodyText0"/>
        <w:widowControl/>
      </w:pPr>
      <w:r>
        <w:rPr>
          <w:szCs w:val="24"/>
        </w:rPr>
        <w:t>The power analysis (described in B.2)</w:t>
      </w:r>
      <w:r w:rsidR="00817174">
        <w:rPr>
          <w:szCs w:val="24"/>
        </w:rPr>
        <w:t xml:space="preserve"> indicates a required sample size of 400 participants</w:t>
      </w:r>
      <w:r w:rsidR="00BE26F3">
        <w:rPr>
          <w:szCs w:val="24"/>
        </w:rPr>
        <w:t xml:space="preserve"> for each iteration of the observational study</w:t>
      </w:r>
      <w:r w:rsidR="00817174">
        <w:rPr>
          <w:szCs w:val="24"/>
        </w:rPr>
        <w:t xml:space="preserve">, divided equally between a treatment group and a control group, so 200 participants per </w:t>
      </w:r>
      <w:r w:rsidR="00C4268F">
        <w:rPr>
          <w:szCs w:val="24"/>
        </w:rPr>
        <w:t xml:space="preserve">group. </w:t>
      </w:r>
      <w:r w:rsidR="00B86FB4">
        <w:rPr>
          <w:szCs w:val="24"/>
        </w:rPr>
        <w:t xml:space="preserve">We will use convenience </w:t>
      </w:r>
      <w:r w:rsidR="00C4268F">
        <w:rPr>
          <w:szCs w:val="24"/>
        </w:rPr>
        <w:t xml:space="preserve">sampling with set quotas. The expected allocation of the sample is shown in Table B-2. </w:t>
      </w:r>
      <w:r w:rsidR="00BE26F3">
        <w:t xml:space="preserve">When randomly assigning participants to the treatment and control groups, we will </w:t>
      </w:r>
      <w:r w:rsidR="005B4531">
        <w:t xml:space="preserve">take necessary and reasonable steps to </w:t>
      </w:r>
      <w:r w:rsidR="00BE26F3">
        <w:t>ensure that the demographic characteristics of each group are similar.</w:t>
      </w:r>
    </w:p>
    <w:p w:rsidR="008749DA" w:rsidP="00A71240" w:rsidRDefault="008749DA" w14:paraId="5EE42A6F" w14:textId="77777777">
      <w:pPr>
        <w:pStyle w:val="BodyText0"/>
        <w:widowControl/>
      </w:pPr>
    </w:p>
    <w:p w:rsidRPr="00714C6C" w:rsidR="00714C6C" w:rsidP="00A71240" w:rsidRDefault="00714C6C" w14:paraId="723CC607" w14:textId="77777777">
      <w:pPr>
        <w:pStyle w:val="BodyText0"/>
        <w:widowControl/>
        <w:ind w:firstLine="0"/>
        <w:rPr>
          <w:b/>
          <w:color w:val="000000"/>
        </w:rPr>
      </w:pPr>
      <w:r>
        <w:rPr>
          <w:b/>
        </w:rPr>
        <w:t>Table B-2</w:t>
      </w:r>
      <w:r w:rsidRPr="00714C6C">
        <w:rPr>
          <w:b/>
        </w:rPr>
        <w:t>.</w:t>
      </w:r>
      <w:r w:rsidR="00173962">
        <w:rPr>
          <w:b/>
        </w:rPr>
        <w:t xml:space="preserve"> </w:t>
      </w:r>
      <w:r w:rsidR="00BE26F3">
        <w:rPr>
          <w:b/>
        </w:rPr>
        <w:t xml:space="preserve">Sample Allocation for Each Iteration of the Observational Study </w:t>
      </w:r>
    </w:p>
    <w:tbl>
      <w:tblPr>
        <w:tblW w:w="9360" w:type="dxa"/>
        <w:tblBorders>
          <w:top w:val="single" w:color="auto" w:sz="12" w:space="0"/>
          <w:bottom w:val="single" w:color="auto" w:sz="12" w:space="0"/>
        </w:tblBorders>
        <w:tblLook w:val="04A0" w:firstRow="1" w:lastRow="0" w:firstColumn="1" w:lastColumn="0" w:noHBand="0" w:noVBand="1"/>
      </w:tblPr>
      <w:tblGrid>
        <w:gridCol w:w="2112"/>
        <w:gridCol w:w="5647"/>
        <w:gridCol w:w="1601"/>
      </w:tblGrid>
      <w:tr w:rsidRPr="00B80BC6" w:rsidR="00714C6C" w:rsidTr="0051645C" w14:paraId="44ED349F" w14:textId="77777777">
        <w:tc>
          <w:tcPr>
            <w:tcW w:w="2112" w:type="dxa"/>
            <w:tcBorders>
              <w:bottom w:val="single" w:color="auto" w:sz="4" w:space="0"/>
            </w:tcBorders>
            <w:shd w:val="clear" w:color="auto" w:fill="auto"/>
            <w:noWrap/>
            <w:hideMark/>
          </w:tcPr>
          <w:p w:rsidRPr="00B80BC6" w:rsidR="00714C6C" w:rsidP="00A71240" w:rsidRDefault="00714C6C" w14:paraId="2085F55A" w14:textId="77777777">
            <w:pPr>
              <w:pStyle w:val="TableHeaders"/>
              <w:keepNext w:val="0"/>
              <w:rPr>
                <w:rFonts w:ascii="Times New Roman" w:hAnsi="Times New Roman" w:eastAsia="MS Mincho"/>
                <w:sz w:val="24"/>
                <w:szCs w:val="24"/>
              </w:rPr>
            </w:pPr>
            <w:r w:rsidRPr="00B80BC6">
              <w:rPr>
                <w:rFonts w:ascii="Times New Roman" w:hAnsi="Times New Roman" w:eastAsia="MS Mincho"/>
                <w:sz w:val="24"/>
                <w:szCs w:val="24"/>
              </w:rPr>
              <w:t>Characteristic</w:t>
            </w:r>
          </w:p>
        </w:tc>
        <w:tc>
          <w:tcPr>
            <w:tcW w:w="5647" w:type="dxa"/>
            <w:tcBorders>
              <w:bottom w:val="single" w:color="auto" w:sz="4" w:space="0"/>
            </w:tcBorders>
            <w:shd w:val="clear" w:color="auto" w:fill="auto"/>
            <w:hideMark/>
          </w:tcPr>
          <w:p w:rsidRPr="00B80BC6" w:rsidR="00714C6C" w:rsidP="00A71240" w:rsidRDefault="00714C6C" w14:paraId="4E224C72" w14:textId="77777777">
            <w:pPr>
              <w:pStyle w:val="TableHeaders"/>
              <w:keepNext w:val="0"/>
              <w:rPr>
                <w:rFonts w:ascii="Times New Roman" w:hAnsi="Times New Roman" w:eastAsia="MS Mincho"/>
                <w:sz w:val="24"/>
                <w:szCs w:val="24"/>
              </w:rPr>
            </w:pPr>
            <w:r w:rsidRPr="00B80BC6">
              <w:rPr>
                <w:rFonts w:ascii="Times New Roman" w:hAnsi="Times New Roman" w:eastAsia="MS Mincho"/>
                <w:sz w:val="24"/>
                <w:szCs w:val="24"/>
              </w:rPr>
              <w:t>Response Categories</w:t>
            </w:r>
          </w:p>
        </w:tc>
        <w:tc>
          <w:tcPr>
            <w:tcW w:w="1601" w:type="dxa"/>
            <w:tcBorders>
              <w:bottom w:val="single" w:color="auto" w:sz="4" w:space="0"/>
            </w:tcBorders>
            <w:shd w:val="clear" w:color="auto" w:fill="auto"/>
            <w:noWrap/>
            <w:hideMark/>
          </w:tcPr>
          <w:p w:rsidRPr="00B80BC6" w:rsidR="00714C6C" w:rsidP="00A71240" w:rsidRDefault="00BE26F3" w14:paraId="14DB8796" w14:textId="77777777">
            <w:pPr>
              <w:pStyle w:val="TableHeaders"/>
              <w:keepNext w:val="0"/>
              <w:rPr>
                <w:rFonts w:ascii="Times New Roman" w:hAnsi="Times New Roman" w:eastAsia="MS Mincho"/>
                <w:sz w:val="24"/>
                <w:szCs w:val="24"/>
              </w:rPr>
            </w:pPr>
            <w:r>
              <w:rPr>
                <w:rFonts w:ascii="Times New Roman" w:hAnsi="Times New Roman" w:eastAsia="MS Mincho"/>
                <w:sz w:val="24"/>
                <w:szCs w:val="24"/>
              </w:rPr>
              <w:t xml:space="preserve">Number </w:t>
            </w:r>
          </w:p>
        </w:tc>
      </w:tr>
      <w:tr w:rsidRPr="00B80BC6" w:rsidR="00220BBB" w:rsidTr="00810AF1" w14:paraId="327ACDEA" w14:textId="77777777">
        <w:tc>
          <w:tcPr>
            <w:tcW w:w="2112" w:type="dxa"/>
            <w:tcBorders>
              <w:top w:val="single" w:color="auto" w:sz="4" w:space="0"/>
            </w:tcBorders>
            <w:shd w:val="clear" w:color="auto" w:fill="auto"/>
            <w:noWrap/>
            <w:hideMark/>
          </w:tcPr>
          <w:p w:rsidRPr="00B80BC6" w:rsidR="00220BBB" w:rsidP="00220BBB" w:rsidRDefault="00220BBB" w14:paraId="5B089B44" w14:textId="77777777">
            <w:pPr>
              <w:pStyle w:val="TableText"/>
              <w:rPr>
                <w:rFonts w:ascii="Times New Roman" w:hAnsi="Times New Roman"/>
                <w:sz w:val="24"/>
                <w:szCs w:val="24"/>
              </w:rPr>
            </w:pPr>
            <w:r w:rsidRPr="00B80BC6">
              <w:rPr>
                <w:rFonts w:ascii="Times New Roman" w:hAnsi="Times New Roman"/>
                <w:sz w:val="24"/>
                <w:szCs w:val="24"/>
              </w:rPr>
              <w:t>Race</w:t>
            </w:r>
          </w:p>
        </w:tc>
        <w:tc>
          <w:tcPr>
            <w:tcW w:w="5647" w:type="dxa"/>
            <w:tcBorders>
              <w:top w:val="single" w:color="auto" w:sz="4" w:space="0"/>
            </w:tcBorders>
            <w:shd w:val="clear" w:color="auto" w:fill="auto"/>
            <w:hideMark/>
          </w:tcPr>
          <w:p w:rsidRPr="00B80BC6" w:rsidR="00220BBB" w:rsidP="00220BBB" w:rsidRDefault="00220BBB" w14:paraId="743961EE" w14:textId="77777777">
            <w:pPr>
              <w:pStyle w:val="TableText"/>
              <w:rPr>
                <w:rFonts w:ascii="Times New Roman" w:hAnsi="Times New Roman"/>
                <w:sz w:val="24"/>
                <w:szCs w:val="24"/>
              </w:rPr>
            </w:pPr>
            <w:r w:rsidRPr="00B80BC6">
              <w:rPr>
                <w:rFonts w:ascii="Times New Roman" w:hAnsi="Times New Roman"/>
                <w:sz w:val="24"/>
                <w:szCs w:val="24"/>
              </w:rPr>
              <w:t>White</w:t>
            </w:r>
          </w:p>
        </w:tc>
        <w:tc>
          <w:tcPr>
            <w:tcW w:w="1601" w:type="dxa"/>
            <w:tcBorders>
              <w:top w:val="single" w:color="auto" w:sz="4" w:space="0"/>
            </w:tcBorders>
            <w:shd w:val="clear" w:color="auto" w:fill="auto"/>
            <w:noWrap/>
          </w:tcPr>
          <w:p w:rsidRPr="00B80BC6" w:rsidR="00220BBB" w:rsidP="00220BBB" w:rsidRDefault="00220BBB" w14:paraId="586EECAF"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304</w:t>
            </w:r>
          </w:p>
        </w:tc>
      </w:tr>
      <w:tr w:rsidRPr="00B80BC6" w:rsidR="00220BBB" w:rsidTr="00810AF1" w14:paraId="4DBA76DB" w14:textId="77777777">
        <w:tc>
          <w:tcPr>
            <w:tcW w:w="2112" w:type="dxa"/>
            <w:shd w:val="clear" w:color="auto" w:fill="auto"/>
            <w:noWrap/>
            <w:hideMark/>
          </w:tcPr>
          <w:p w:rsidRPr="00B80BC6" w:rsidR="00220BBB" w:rsidP="00220BBB" w:rsidRDefault="00220BBB" w14:paraId="2C3A69C5"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220BBB" w:rsidP="00220BBB" w:rsidRDefault="00220BBB" w14:paraId="57F86349" w14:textId="77777777">
            <w:pPr>
              <w:pStyle w:val="TableText"/>
              <w:rPr>
                <w:rFonts w:ascii="Times New Roman" w:hAnsi="Times New Roman"/>
                <w:sz w:val="24"/>
                <w:szCs w:val="24"/>
              </w:rPr>
            </w:pPr>
            <w:r w:rsidRPr="00B80BC6">
              <w:rPr>
                <w:rFonts w:ascii="Times New Roman" w:hAnsi="Times New Roman"/>
                <w:sz w:val="24"/>
                <w:szCs w:val="24"/>
              </w:rPr>
              <w:t>Non-</w:t>
            </w:r>
            <w:proofErr w:type="spellStart"/>
            <w:r>
              <w:rPr>
                <w:rFonts w:ascii="Times New Roman" w:hAnsi="Times New Roman"/>
                <w:sz w:val="24"/>
                <w:szCs w:val="24"/>
              </w:rPr>
              <w:t>W</w:t>
            </w:r>
            <w:r w:rsidRPr="00B80BC6">
              <w:rPr>
                <w:rFonts w:ascii="Times New Roman" w:hAnsi="Times New Roman"/>
                <w:sz w:val="24"/>
                <w:szCs w:val="24"/>
              </w:rPr>
              <w:t>hite</w:t>
            </w:r>
            <w:r w:rsidRPr="00B80BC6">
              <w:rPr>
                <w:rFonts w:ascii="Times New Roman" w:hAnsi="Times New Roman"/>
                <w:sz w:val="24"/>
                <w:szCs w:val="24"/>
                <w:vertAlign w:val="superscript"/>
              </w:rPr>
              <w:t>a</w:t>
            </w:r>
            <w:proofErr w:type="spellEnd"/>
          </w:p>
        </w:tc>
        <w:tc>
          <w:tcPr>
            <w:tcW w:w="1601" w:type="dxa"/>
            <w:shd w:val="clear" w:color="auto" w:fill="auto"/>
            <w:noWrap/>
          </w:tcPr>
          <w:p w:rsidRPr="00B80BC6" w:rsidR="00220BBB" w:rsidP="00220BBB" w:rsidRDefault="00220BBB" w14:paraId="6F05D49D"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96</w:t>
            </w:r>
          </w:p>
        </w:tc>
      </w:tr>
      <w:tr w:rsidRPr="00B80BC6" w:rsidR="00220BBB" w:rsidTr="00810AF1" w14:paraId="5A2D0268" w14:textId="77777777">
        <w:tc>
          <w:tcPr>
            <w:tcW w:w="2112" w:type="dxa"/>
            <w:shd w:val="clear" w:color="auto" w:fill="auto"/>
            <w:noWrap/>
            <w:hideMark/>
          </w:tcPr>
          <w:p w:rsidRPr="00B80BC6" w:rsidR="00220BBB" w:rsidP="00220BBB" w:rsidRDefault="00220BBB" w14:paraId="056E9816" w14:textId="77777777">
            <w:pPr>
              <w:pStyle w:val="TableText"/>
              <w:rPr>
                <w:rFonts w:ascii="Times New Roman" w:hAnsi="Times New Roman"/>
                <w:sz w:val="24"/>
                <w:szCs w:val="24"/>
              </w:rPr>
            </w:pPr>
            <w:r w:rsidRPr="00B80BC6">
              <w:rPr>
                <w:rFonts w:ascii="Times New Roman" w:hAnsi="Times New Roman"/>
                <w:sz w:val="24"/>
                <w:szCs w:val="24"/>
              </w:rPr>
              <w:t>Ethnicity</w:t>
            </w:r>
          </w:p>
        </w:tc>
        <w:tc>
          <w:tcPr>
            <w:tcW w:w="5647" w:type="dxa"/>
            <w:shd w:val="clear" w:color="auto" w:fill="auto"/>
            <w:hideMark/>
          </w:tcPr>
          <w:p w:rsidRPr="00B80BC6" w:rsidR="00220BBB" w:rsidP="00220BBB" w:rsidRDefault="00220BBB" w14:paraId="7ECD4660" w14:textId="77777777">
            <w:pPr>
              <w:pStyle w:val="TableText"/>
              <w:rPr>
                <w:rFonts w:ascii="Times New Roman" w:hAnsi="Times New Roman"/>
                <w:sz w:val="24"/>
                <w:szCs w:val="24"/>
              </w:rPr>
            </w:pPr>
            <w:r w:rsidRPr="00B80BC6">
              <w:rPr>
                <w:rFonts w:ascii="Times New Roman" w:hAnsi="Times New Roman"/>
                <w:sz w:val="24"/>
                <w:szCs w:val="24"/>
              </w:rPr>
              <w:t>Not Hispanic or Latino</w:t>
            </w:r>
          </w:p>
        </w:tc>
        <w:tc>
          <w:tcPr>
            <w:tcW w:w="1601" w:type="dxa"/>
            <w:shd w:val="clear" w:color="auto" w:fill="auto"/>
            <w:noWrap/>
          </w:tcPr>
          <w:p w:rsidRPr="00B80BC6" w:rsidR="00220BBB" w:rsidP="00220BBB" w:rsidRDefault="00220BBB" w14:paraId="2411CE88"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328</w:t>
            </w:r>
          </w:p>
        </w:tc>
      </w:tr>
      <w:tr w:rsidRPr="00B80BC6" w:rsidR="00220BBB" w:rsidTr="00810AF1" w14:paraId="70092911" w14:textId="77777777">
        <w:tc>
          <w:tcPr>
            <w:tcW w:w="2112" w:type="dxa"/>
            <w:shd w:val="clear" w:color="auto" w:fill="auto"/>
            <w:noWrap/>
            <w:hideMark/>
          </w:tcPr>
          <w:p w:rsidRPr="00B80BC6" w:rsidR="00220BBB" w:rsidP="00220BBB" w:rsidRDefault="00220BBB" w14:paraId="0BC2492B"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220BBB" w:rsidP="00220BBB" w:rsidRDefault="00220BBB" w14:paraId="377DB3FD" w14:textId="77777777">
            <w:pPr>
              <w:pStyle w:val="TableText"/>
              <w:rPr>
                <w:rFonts w:ascii="Times New Roman" w:hAnsi="Times New Roman"/>
                <w:sz w:val="24"/>
                <w:szCs w:val="24"/>
              </w:rPr>
            </w:pPr>
            <w:r w:rsidRPr="00B80BC6">
              <w:rPr>
                <w:rFonts w:ascii="Times New Roman" w:hAnsi="Times New Roman"/>
                <w:sz w:val="24"/>
                <w:szCs w:val="24"/>
              </w:rPr>
              <w:t>Hispanic or Latino</w:t>
            </w:r>
          </w:p>
        </w:tc>
        <w:tc>
          <w:tcPr>
            <w:tcW w:w="1601" w:type="dxa"/>
            <w:shd w:val="clear" w:color="auto" w:fill="auto"/>
            <w:noWrap/>
          </w:tcPr>
          <w:p w:rsidRPr="00B80BC6" w:rsidR="00220BBB" w:rsidP="00220BBB" w:rsidRDefault="00220BBB" w14:paraId="6C6EC1AE"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72</w:t>
            </w:r>
          </w:p>
        </w:tc>
      </w:tr>
      <w:tr w:rsidRPr="00B80BC6" w:rsidR="00220BBB" w:rsidTr="00810AF1" w14:paraId="648FC32B" w14:textId="77777777">
        <w:tc>
          <w:tcPr>
            <w:tcW w:w="2112" w:type="dxa"/>
            <w:shd w:val="clear" w:color="auto" w:fill="auto"/>
            <w:noWrap/>
            <w:hideMark/>
          </w:tcPr>
          <w:p w:rsidRPr="00B80BC6" w:rsidR="00220BBB" w:rsidP="00220BBB" w:rsidRDefault="00220BBB" w14:paraId="2A7970EE" w14:textId="77777777">
            <w:pPr>
              <w:pStyle w:val="TableText"/>
              <w:rPr>
                <w:rFonts w:ascii="Times New Roman" w:hAnsi="Times New Roman"/>
                <w:sz w:val="24"/>
                <w:szCs w:val="24"/>
              </w:rPr>
            </w:pPr>
            <w:r w:rsidRPr="00B80BC6">
              <w:rPr>
                <w:rFonts w:ascii="Times New Roman" w:hAnsi="Times New Roman"/>
                <w:sz w:val="24"/>
                <w:szCs w:val="24"/>
              </w:rPr>
              <w:t>Age</w:t>
            </w:r>
          </w:p>
        </w:tc>
        <w:tc>
          <w:tcPr>
            <w:tcW w:w="5647" w:type="dxa"/>
            <w:shd w:val="clear" w:color="auto" w:fill="auto"/>
            <w:hideMark/>
          </w:tcPr>
          <w:p w:rsidRPr="00B80BC6" w:rsidR="00220BBB" w:rsidP="00220BBB" w:rsidRDefault="00220BBB" w14:paraId="0FEE28C4" w14:textId="77777777">
            <w:pPr>
              <w:pStyle w:val="TableText"/>
              <w:rPr>
                <w:rFonts w:ascii="Times New Roman" w:hAnsi="Times New Roman"/>
                <w:sz w:val="24"/>
                <w:szCs w:val="24"/>
              </w:rPr>
            </w:pPr>
            <w:r w:rsidRPr="00B80BC6">
              <w:rPr>
                <w:rFonts w:ascii="Times New Roman" w:hAnsi="Times New Roman"/>
                <w:sz w:val="24"/>
                <w:szCs w:val="24"/>
              </w:rPr>
              <w:t>20</w:t>
            </w:r>
            <w:r>
              <w:rPr>
                <w:rFonts w:ascii="Times New Roman" w:hAnsi="Times New Roman"/>
                <w:sz w:val="24"/>
                <w:szCs w:val="24"/>
              </w:rPr>
              <w:t>–</w:t>
            </w:r>
            <w:r w:rsidRPr="00B80BC6">
              <w:rPr>
                <w:rFonts w:ascii="Times New Roman" w:hAnsi="Times New Roman"/>
                <w:sz w:val="24"/>
                <w:szCs w:val="24"/>
              </w:rPr>
              <w:t>34</w:t>
            </w:r>
            <w:r w:rsidRPr="00B80BC6">
              <w:rPr>
                <w:rFonts w:ascii="Times New Roman" w:hAnsi="Times New Roman"/>
                <w:sz w:val="24"/>
                <w:szCs w:val="24"/>
                <w:vertAlign w:val="superscript"/>
              </w:rPr>
              <w:t>b</w:t>
            </w:r>
          </w:p>
        </w:tc>
        <w:tc>
          <w:tcPr>
            <w:tcW w:w="1601" w:type="dxa"/>
            <w:shd w:val="clear" w:color="auto" w:fill="auto"/>
            <w:noWrap/>
          </w:tcPr>
          <w:p w:rsidRPr="00B80BC6" w:rsidR="00220BBB" w:rsidP="00220BBB" w:rsidRDefault="00220BBB" w14:paraId="3E9E9390"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112</w:t>
            </w:r>
          </w:p>
        </w:tc>
      </w:tr>
      <w:tr w:rsidRPr="00B80BC6" w:rsidR="00220BBB" w:rsidTr="00810AF1" w14:paraId="421CFBD9" w14:textId="77777777">
        <w:tc>
          <w:tcPr>
            <w:tcW w:w="2112" w:type="dxa"/>
            <w:shd w:val="clear" w:color="auto" w:fill="auto"/>
            <w:noWrap/>
            <w:hideMark/>
          </w:tcPr>
          <w:p w:rsidRPr="00B80BC6" w:rsidR="00220BBB" w:rsidP="00220BBB" w:rsidRDefault="00220BBB" w14:paraId="7A3F29E0" w14:textId="77777777">
            <w:pPr>
              <w:pStyle w:val="TableText"/>
              <w:rPr>
                <w:rFonts w:ascii="Times New Roman" w:hAnsi="Times New Roman"/>
                <w:sz w:val="24"/>
                <w:szCs w:val="24"/>
              </w:rPr>
            </w:pPr>
          </w:p>
        </w:tc>
        <w:tc>
          <w:tcPr>
            <w:tcW w:w="5647" w:type="dxa"/>
            <w:shd w:val="clear" w:color="auto" w:fill="auto"/>
            <w:hideMark/>
          </w:tcPr>
          <w:p w:rsidRPr="00B80BC6" w:rsidR="00220BBB" w:rsidP="00220BBB" w:rsidRDefault="00220BBB" w14:paraId="64366DBC" w14:textId="77777777">
            <w:pPr>
              <w:pStyle w:val="TableText"/>
              <w:rPr>
                <w:rFonts w:ascii="Times New Roman" w:hAnsi="Times New Roman"/>
                <w:sz w:val="24"/>
                <w:szCs w:val="24"/>
              </w:rPr>
            </w:pPr>
            <w:r w:rsidRPr="00B80BC6">
              <w:rPr>
                <w:rFonts w:ascii="Times New Roman" w:hAnsi="Times New Roman"/>
                <w:sz w:val="24"/>
                <w:szCs w:val="24"/>
              </w:rPr>
              <w:t>35</w:t>
            </w:r>
            <w:r>
              <w:rPr>
                <w:rFonts w:ascii="Times New Roman" w:hAnsi="Times New Roman"/>
                <w:sz w:val="24"/>
                <w:szCs w:val="24"/>
              </w:rPr>
              <w:t>–</w:t>
            </w:r>
            <w:r w:rsidRPr="00B80BC6">
              <w:rPr>
                <w:rFonts w:ascii="Times New Roman" w:hAnsi="Times New Roman"/>
                <w:sz w:val="24"/>
                <w:szCs w:val="24"/>
              </w:rPr>
              <w:t>54</w:t>
            </w:r>
          </w:p>
        </w:tc>
        <w:tc>
          <w:tcPr>
            <w:tcW w:w="1601" w:type="dxa"/>
            <w:shd w:val="clear" w:color="auto" w:fill="auto"/>
            <w:noWrap/>
          </w:tcPr>
          <w:p w:rsidRPr="00B80BC6" w:rsidR="00220BBB" w:rsidP="00220BBB" w:rsidRDefault="00220BBB" w14:paraId="171CACC7"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140</w:t>
            </w:r>
          </w:p>
        </w:tc>
      </w:tr>
      <w:tr w:rsidRPr="00B80BC6" w:rsidR="00220BBB" w:rsidTr="00810AF1" w14:paraId="4D3C4D1F" w14:textId="77777777">
        <w:tc>
          <w:tcPr>
            <w:tcW w:w="2112" w:type="dxa"/>
            <w:shd w:val="clear" w:color="auto" w:fill="auto"/>
            <w:noWrap/>
            <w:hideMark/>
          </w:tcPr>
          <w:p w:rsidRPr="00B80BC6" w:rsidR="00220BBB" w:rsidP="00220BBB" w:rsidRDefault="00220BBB" w14:paraId="6CF69E74" w14:textId="77777777">
            <w:pPr>
              <w:pStyle w:val="TableText"/>
              <w:rPr>
                <w:rFonts w:ascii="Times New Roman" w:hAnsi="Times New Roman"/>
                <w:sz w:val="24"/>
                <w:szCs w:val="24"/>
              </w:rPr>
            </w:pPr>
          </w:p>
        </w:tc>
        <w:tc>
          <w:tcPr>
            <w:tcW w:w="5647" w:type="dxa"/>
            <w:shd w:val="clear" w:color="auto" w:fill="auto"/>
            <w:hideMark/>
          </w:tcPr>
          <w:p w:rsidRPr="00B80BC6" w:rsidR="00220BBB" w:rsidP="00220BBB" w:rsidRDefault="00220BBB" w14:paraId="4C29B430" w14:textId="77777777">
            <w:pPr>
              <w:pStyle w:val="TableText"/>
              <w:rPr>
                <w:rFonts w:ascii="Times New Roman" w:hAnsi="Times New Roman"/>
                <w:sz w:val="24"/>
                <w:szCs w:val="24"/>
              </w:rPr>
            </w:pPr>
            <w:r w:rsidRPr="00B80BC6">
              <w:rPr>
                <w:rFonts w:ascii="Times New Roman" w:hAnsi="Times New Roman"/>
                <w:sz w:val="24"/>
                <w:szCs w:val="24"/>
              </w:rPr>
              <w:t>55</w:t>
            </w:r>
            <w:r w:rsidR="008749DA">
              <w:rPr>
                <w:rFonts w:ascii="Times New Roman" w:hAnsi="Times New Roman"/>
                <w:sz w:val="24"/>
                <w:szCs w:val="24"/>
              </w:rPr>
              <w:t xml:space="preserve"> to 64</w:t>
            </w:r>
          </w:p>
        </w:tc>
        <w:tc>
          <w:tcPr>
            <w:tcW w:w="1601" w:type="dxa"/>
            <w:shd w:val="clear" w:color="auto" w:fill="auto"/>
            <w:noWrap/>
          </w:tcPr>
          <w:p w:rsidRPr="00B80BC6" w:rsidR="00220BBB" w:rsidP="00220BBB" w:rsidRDefault="00220BBB" w14:paraId="76F26C93"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148</w:t>
            </w:r>
          </w:p>
        </w:tc>
      </w:tr>
      <w:tr w:rsidRPr="00B80BC6" w:rsidR="00220BBB" w:rsidTr="00810AF1" w14:paraId="06FE5583" w14:textId="77777777">
        <w:tc>
          <w:tcPr>
            <w:tcW w:w="2112" w:type="dxa"/>
            <w:shd w:val="clear" w:color="auto" w:fill="auto"/>
            <w:noWrap/>
            <w:hideMark/>
          </w:tcPr>
          <w:p w:rsidRPr="00B80BC6" w:rsidR="00220BBB" w:rsidP="00220BBB" w:rsidRDefault="00220BBB" w14:paraId="1D6772B5" w14:textId="77777777">
            <w:pPr>
              <w:pStyle w:val="TableText"/>
              <w:rPr>
                <w:rFonts w:ascii="Times New Roman" w:hAnsi="Times New Roman"/>
                <w:sz w:val="24"/>
                <w:szCs w:val="24"/>
              </w:rPr>
            </w:pPr>
            <w:r w:rsidRPr="00B80BC6">
              <w:rPr>
                <w:rFonts w:ascii="Times New Roman" w:hAnsi="Times New Roman"/>
                <w:sz w:val="24"/>
                <w:szCs w:val="24"/>
              </w:rPr>
              <w:t>Education</w:t>
            </w:r>
          </w:p>
        </w:tc>
        <w:tc>
          <w:tcPr>
            <w:tcW w:w="5647" w:type="dxa"/>
            <w:shd w:val="clear" w:color="auto" w:fill="auto"/>
            <w:hideMark/>
          </w:tcPr>
          <w:p w:rsidRPr="00B80BC6" w:rsidR="00220BBB" w:rsidP="00220BBB" w:rsidRDefault="00220BBB" w14:paraId="24A8586E" w14:textId="77777777">
            <w:pPr>
              <w:pStyle w:val="TableText"/>
              <w:rPr>
                <w:rFonts w:ascii="Times New Roman" w:hAnsi="Times New Roman"/>
                <w:sz w:val="24"/>
                <w:szCs w:val="24"/>
              </w:rPr>
            </w:pPr>
            <w:r w:rsidRPr="00B80BC6">
              <w:rPr>
                <w:rFonts w:ascii="Times New Roman" w:hAnsi="Times New Roman"/>
                <w:sz w:val="24"/>
                <w:szCs w:val="24"/>
              </w:rPr>
              <w:t>Less than high school or high school diploma/GED</w:t>
            </w:r>
          </w:p>
        </w:tc>
        <w:tc>
          <w:tcPr>
            <w:tcW w:w="1601" w:type="dxa"/>
            <w:shd w:val="clear" w:color="auto" w:fill="auto"/>
            <w:noWrap/>
          </w:tcPr>
          <w:p w:rsidRPr="00B80BC6" w:rsidR="00220BBB" w:rsidP="00220BBB" w:rsidRDefault="00220BBB" w14:paraId="69554328"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160</w:t>
            </w:r>
          </w:p>
        </w:tc>
      </w:tr>
      <w:tr w:rsidRPr="00B80BC6" w:rsidR="00220BBB" w:rsidTr="00810AF1" w14:paraId="4C146B26" w14:textId="77777777">
        <w:tc>
          <w:tcPr>
            <w:tcW w:w="2112" w:type="dxa"/>
            <w:shd w:val="clear" w:color="auto" w:fill="auto"/>
            <w:noWrap/>
            <w:hideMark/>
          </w:tcPr>
          <w:p w:rsidRPr="00B80BC6" w:rsidR="00220BBB" w:rsidP="00220BBB" w:rsidRDefault="00220BBB" w14:paraId="66233F5B" w14:textId="77777777">
            <w:pPr>
              <w:pStyle w:val="TableText"/>
              <w:rPr>
                <w:rFonts w:ascii="Times New Roman" w:hAnsi="Times New Roman"/>
                <w:sz w:val="24"/>
                <w:szCs w:val="24"/>
              </w:rPr>
            </w:pPr>
          </w:p>
        </w:tc>
        <w:tc>
          <w:tcPr>
            <w:tcW w:w="5647" w:type="dxa"/>
            <w:shd w:val="clear" w:color="auto" w:fill="auto"/>
            <w:hideMark/>
          </w:tcPr>
          <w:p w:rsidRPr="00B80BC6" w:rsidR="00220BBB" w:rsidP="00220BBB" w:rsidRDefault="00220BBB" w14:paraId="71426BCF" w14:textId="77777777">
            <w:pPr>
              <w:pStyle w:val="TableText"/>
              <w:rPr>
                <w:rFonts w:ascii="Times New Roman" w:hAnsi="Times New Roman"/>
                <w:sz w:val="24"/>
                <w:szCs w:val="24"/>
              </w:rPr>
            </w:pPr>
            <w:r w:rsidRPr="00B80BC6">
              <w:rPr>
                <w:rFonts w:ascii="Times New Roman" w:hAnsi="Times New Roman"/>
                <w:sz w:val="24"/>
                <w:szCs w:val="24"/>
              </w:rPr>
              <w:t>Some college</w:t>
            </w:r>
          </w:p>
        </w:tc>
        <w:tc>
          <w:tcPr>
            <w:tcW w:w="1601" w:type="dxa"/>
            <w:shd w:val="clear" w:color="auto" w:fill="auto"/>
            <w:noWrap/>
          </w:tcPr>
          <w:p w:rsidRPr="00B80BC6" w:rsidR="00220BBB" w:rsidP="00220BBB" w:rsidRDefault="00220BBB" w14:paraId="1C2ED7AB"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116</w:t>
            </w:r>
          </w:p>
        </w:tc>
      </w:tr>
      <w:tr w:rsidRPr="00B80BC6" w:rsidR="00220BBB" w:rsidTr="00810AF1" w14:paraId="3C3B75A2" w14:textId="77777777">
        <w:tc>
          <w:tcPr>
            <w:tcW w:w="2112" w:type="dxa"/>
            <w:shd w:val="clear" w:color="auto" w:fill="auto"/>
            <w:noWrap/>
            <w:hideMark/>
          </w:tcPr>
          <w:p w:rsidRPr="00B80BC6" w:rsidR="00220BBB" w:rsidP="00220BBB" w:rsidRDefault="00220BBB" w14:paraId="465F7B34" w14:textId="77777777">
            <w:pPr>
              <w:pStyle w:val="TableText"/>
              <w:rPr>
                <w:rFonts w:ascii="Times New Roman" w:hAnsi="Times New Roman"/>
                <w:sz w:val="24"/>
                <w:szCs w:val="24"/>
              </w:rPr>
            </w:pPr>
          </w:p>
        </w:tc>
        <w:tc>
          <w:tcPr>
            <w:tcW w:w="5647" w:type="dxa"/>
            <w:shd w:val="clear" w:color="auto" w:fill="auto"/>
            <w:hideMark/>
          </w:tcPr>
          <w:p w:rsidRPr="00B80BC6" w:rsidR="00220BBB" w:rsidP="00220BBB" w:rsidRDefault="00220BBB" w14:paraId="58065108" w14:textId="77777777">
            <w:pPr>
              <w:pStyle w:val="TableText"/>
              <w:rPr>
                <w:rFonts w:ascii="Times New Roman" w:hAnsi="Times New Roman"/>
                <w:sz w:val="24"/>
                <w:szCs w:val="24"/>
              </w:rPr>
            </w:pPr>
            <w:r w:rsidRPr="00B80BC6">
              <w:rPr>
                <w:rFonts w:ascii="Times New Roman" w:hAnsi="Times New Roman"/>
                <w:sz w:val="24"/>
                <w:szCs w:val="24"/>
              </w:rPr>
              <w:t>Bachelor</w:t>
            </w:r>
            <w:r>
              <w:rPr>
                <w:rFonts w:ascii="Times New Roman" w:hAnsi="Times New Roman"/>
                <w:sz w:val="24"/>
                <w:szCs w:val="24"/>
              </w:rPr>
              <w:t>’</w:t>
            </w:r>
            <w:r w:rsidRPr="00B80BC6">
              <w:rPr>
                <w:rFonts w:ascii="Times New Roman" w:hAnsi="Times New Roman"/>
                <w:sz w:val="24"/>
                <w:szCs w:val="24"/>
              </w:rPr>
              <w:t xml:space="preserve">s degree </w:t>
            </w:r>
          </w:p>
        </w:tc>
        <w:tc>
          <w:tcPr>
            <w:tcW w:w="1601" w:type="dxa"/>
            <w:shd w:val="clear" w:color="auto" w:fill="auto"/>
            <w:noWrap/>
          </w:tcPr>
          <w:p w:rsidRPr="00B80BC6" w:rsidR="00220BBB" w:rsidP="00220BBB" w:rsidRDefault="00220BBB" w14:paraId="055F8344"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76</w:t>
            </w:r>
          </w:p>
        </w:tc>
      </w:tr>
      <w:tr w:rsidRPr="00B80BC6" w:rsidR="00220BBB" w:rsidTr="00810AF1" w14:paraId="1DB52019" w14:textId="77777777">
        <w:tc>
          <w:tcPr>
            <w:tcW w:w="2112" w:type="dxa"/>
            <w:shd w:val="clear" w:color="auto" w:fill="auto"/>
            <w:noWrap/>
            <w:hideMark/>
          </w:tcPr>
          <w:p w:rsidRPr="00B80BC6" w:rsidR="00220BBB" w:rsidP="00220BBB" w:rsidRDefault="00220BBB" w14:paraId="501CAEF4"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220BBB" w:rsidP="00220BBB" w:rsidRDefault="00220BBB" w14:paraId="77709E14" w14:textId="77777777">
            <w:pPr>
              <w:pStyle w:val="TableText"/>
              <w:rPr>
                <w:rFonts w:ascii="Times New Roman" w:hAnsi="Times New Roman"/>
                <w:sz w:val="24"/>
                <w:szCs w:val="24"/>
              </w:rPr>
            </w:pPr>
            <w:r w:rsidRPr="00B80BC6">
              <w:rPr>
                <w:rFonts w:ascii="Times New Roman" w:hAnsi="Times New Roman"/>
                <w:sz w:val="24"/>
                <w:szCs w:val="24"/>
              </w:rPr>
              <w:t>Graduate or professional degree</w:t>
            </w:r>
          </w:p>
        </w:tc>
        <w:tc>
          <w:tcPr>
            <w:tcW w:w="1601" w:type="dxa"/>
            <w:shd w:val="clear" w:color="auto" w:fill="auto"/>
            <w:noWrap/>
          </w:tcPr>
          <w:p w:rsidRPr="00B80BC6" w:rsidR="00220BBB" w:rsidP="00220BBB" w:rsidRDefault="00220BBB" w14:paraId="366D647F"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48</w:t>
            </w:r>
          </w:p>
        </w:tc>
      </w:tr>
      <w:tr w:rsidRPr="00B80BC6" w:rsidR="00220BBB" w:rsidTr="00810AF1" w14:paraId="66C74E0D" w14:textId="77777777">
        <w:tc>
          <w:tcPr>
            <w:tcW w:w="2112" w:type="dxa"/>
            <w:shd w:val="clear" w:color="auto" w:fill="auto"/>
            <w:noWrap/>
            <w:hideMark/>
          </w:tcPr>
          <w:p w:rsidRPr="00B80BC6" w:rsidR="00220BBB" w:rsidP="00220BBB" w:rsidRDefault="00220BBB" w14:paraId="489D2F41" w14:textId="77777777">
            <w:pPr>
              <w:pStyle w:val="TableText"/>
              <w:rPr>
                <w:rFonts w:ascii="Times New Roman" w:hAnsi="Times New Roman"/>
                <w:sz w:val="24"/>
                <w:szCs w:val="24"/>
              </w:rPr>
            </w:pPr>
            <w:r>
              <w:rPr>
                <w:rFonts w:ascii="Times New Roman" w:hAnsi="Times New Roman"/>
                <w:sz w:val="24"/>
                <w:szCs w:val="24"/>
              </w:rPr>
              <w:t xml:space="preserve">Children in Household </w:t>
            </w:r>
          </w:p>
        </w:tc>
        <w:tc>
          <w:tcPr>
            <w:tcW w:w="5647" w:type="dxa"/>
            <w:shd w:val="clear" w:color="auto" w:fill="auto"/>
            <w:hideMark/>
          </w:tcPr>
          <w:p w:rsidRPr="00B80BC6" w:rsidR="00220BBB" w:rsidP="00220BBB" w:rsidRDefault="00220BBB" w14:paraId="512AB817" w14:textId="77777777">
            <w:pPr>
              <w:pStyle w:val="TableText"/>
              <w:rPr>
                <w:rFonts w:ascii="Times New Roman" w:hAnsi="Times New Roman"/>
                <w:sz w:val="24"/>
                <w:szCs w:val="24"/>
              </w:rPr>
            </w:pPr>
            <w:r>
              <w:rPr>
                <w:rFonts w:ascii="Times New Roman" w:hAnsi="Times New Roman"/>
                <w:sz w:val="24"/>
                <w:szCs w:val="24"/>
              </w:rPr>
              <w:t>Yes</w:t>
            </w:r>
          </w:p>
        </w:tc>
        <w:tc>
          <w:tcPr>
            <w:tcW w:w="1601" w:type="dxa"/>
            <w:shd w:val="clear" w:color="auto" w:fill="auto"/>
            <w:noWrap/>
          </w:tcPr>
          <w:p w:rsidRPr="00B80BC6" w:rsidR="00220BBB" w:rsidP="00220BBB" w:rsidRDefault="00220BBB" w14:paraId="6EE51E46"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124</w:t>
            </w:r>
          </w:p>
        </w:tc>
      </w:tr>
      <w:tr w:rsidRPr="00B80BC6" w:rsidR="00220BBB" w:rsidTr="00810AF1" w14:paraId="45CCD9E3" w14:textId="77777777">
        <w:tc>
          <w:tcPr>
            <w:tcW w:w="2112" w:type="dxa"/>
            <w:shd w:val="clear" w:color="auto" w:fill="auto"/>
            <w:noWrap/>
            <w:hideMark/>
          </w:tcPr>
          <w:p w:rsidRPr="00B80BC6" w:rsidR="00220BBB" w:rsidP="00220BBB" w:rsidRDefault="00220BBB" w14:paraId="070A34D9" w14:textId="77777777">
            <w:pPr>
              <w:pStyle w:val="TableText"/>
              <w:rPr>
                <w:rFonts w:ascii="Times New Roman" w:hAnsi="Times New Roman"/>
                <w:sz w:val="24"/>
                <w:szCs w:val="24"/>
              </w:rPr>
            </w:pPr>
            <w:r w:rsidRPr="00B80BC6">
              <w:rPr>
                <w:rFonts w:ascii="Times New Roman" w:hAnsi="Times New Roman"/>
                <w:sz w:val="24"/>
                <w:szCs w:val="24"/>
              </w:rPr>
              <w:t> </w:t>
            </w:r>
          </w:p>
        </w:tc>
        <w:tc>
          <w:tcPr>
            <w:tcW w:w="5647" w:type="dxa"/>
            <w:shd w:val="clear" w:color="auto" w:fill="auto"/>
            <w:hideMark/>
          </w:tcPr>
          <w:p w:rsidRPr="00B80BC6" w:rsidR="00220BBB" w:rsidP="00220BBB" w:rsidRDefault="00220BBB" w14:paraId="2D9A206E" w14:textId="77777777">
            <w:pPr>
              <w:pStyle w:val="TableText"/>
              <w:rPr>
                <w:rFonts w:ascii="Times New Roman" w:hAnsi="Times New Roman"/>
                <w:sz w:val="24"/>
                <w:szCs w:val="24"/>
              </w:rPr>
            </w:pPr>
            <w:r>
              <w:rPr>
                <w:rFonts w:ascii="Times New Roman" w:hAnsi="Times New Roman"/>
                <w:sz w:val="24"/>
                <w:szCs w:val="24"/>
              </w:rPr>
              <w:t>No</w:t>
            </w:r>
          </w:p>
        </w:tc>
        <w:tc>
          <w:tcPr>
            <w:tcW w:w="1601" w:type="dxa"/>
            <w:shd w:val="clear" w:color="auto" w:fill="auto"/>
            <w:noWrap/>
          </w:tcPr>
          <w:p w:rsidRPr="00B80BC6" w:rsidR="00220BBB" w:rsidP="00220BBB" w:rsidRDefault="00220BBB" w14:paraId="0CDAED43" w14:textId="77777777">
            <w:pPr>
              <w:pStyle w:val="TableText"/>
              <w:tabs>
                <w:tab w:val="decimal" w:pos="835"/>
              </w:tabs>
              <w:rPr>
                <w:rFonts w:ascii="Times New Roman" w:hAnsi="Times New Roman"/>
                <w:sz w:val="24"/>
                <w:szCs w:val="24"/>
              </w:rPr>
            </w:pPr>
            <w:r w:rsidRPr="00220BBB">
              <w:rPr>
                <w:rFonts w:ascii="Times New Roman" w:hAnsi="Times New Roman"/>
                <w:sz w:val="24"/>
                <w:szCs w:val="24"/>
              </w:rPr>
              <w:t>276</w:t>
            </w:r>
          </w:p>
        </w:tc>
      </w:tr>
    </w:tbl>
    <w:p w:rsidRPr="003D0DAC" w:rsidR="00714C6C" w:rsidP="00A71240" w:rsidRDefault="00714C6C" w14:paraId="5ECFBC4B" w14:textId="77777777">
      <w:pPr>
        <w:pStyle w:val="TableText"/>
        <w:rPr>
          <w:rFonts w:ascii="Times New Roman" w:hAnsi="Times New Roman"/>
          <w:color w:val="0563C1"/>
          <w:szCs w:val="18"/>
          <w:u w:val="single"/>
        </w:rPr>
      </w:pPr>
      <w:r w:rsidRPr="003D0DAC">
        <w:rPr>
          <w:rFonts w:ascii="Times New Roman" w:hAnsi="Times New Roman"/>
          <w:szCs w:val="18"/>
        </w:rPr>
        <w:t>Source:</w:t>
      </w:r>
      <w:r w:rsidRPr="003D0DAC" w:rsidR="00173962">
        <w:rPr>
          <w:rFonts w:ascii="Times New Roman" w:hAnsi="Times New Roman"/>
          <w:szCs w:val="18"/>
        </w:rPr>
        <w:t xml:space="preserve"> </w:t>
      </w:r>
      <w:r w:rsidRPr="00831B1A" w:rsidR="00810AF1">
        <w:rPr>
          <w:rFonts w:ascii="Times New Roman" w:hAnsi="Times New Roman"/>
          <w:szCs w:val="18"/>
        </w:rPr>
        <w:t>U.S. Census Bureau. (n.d.). 2014-2018 American Community Survey 5-year data profiles. Retrieved from https://www.census.gov/acs/www/data/data-tables-and-tools/data-profiles/2018/</w:t>
      </w:r>
    </w:p>
    <w:p w:rsidR="00714C6C" w:rsidP="00A71240" w:rsidRDefault="00714C6C" w14:paraId="6277797D" w14:textId="77777777">
      <w:pPr>
        <w:pStyle w:val="Source"/>
        <w:keepLines w:val="0"/>
      </w:pPr>
      <w:proofErr w:type="spellStart"/>
      <w:r w:rsidRPr="00653587">
        <w:rPr>
          <w:vertAlign w:val="superscript"/>
        </w:rPr>
        <w:t>a</w:t>
      </w:r>
      <w:r>
        <w:t>Non</w:t>
      </w:r>
      <w:proofErr w:type="spellEnd"/>
      <w:r>
        <w:t>-</w:t>
      </w:r>
      <w:r w:rsidR="00237C97">
        <w:t xml:space="preserve">White </w:t>
      </w:r>
      <w:r>
        <w:t xml:space="preserve">includes </w:t>
      </w:r>
      <w:r w:rsidR="00237C97">
        <w:t>B</w:t>
      </w:r>
      <w:r w:rsidRPr="001A275A" w:rsidR="00237C97">
        <w:t xml:space="preserve">lack </w:t>
      </w:r>
      <w:r w:rsidRPr="001A275A">
        <w:t xml:space="preserve">or African American, American </w:t>
      </w:r>
      <w:proofErr w:type="gramStart"/>
      <w:r w:rsidRPr="001A275A">
        <w:t>Indian</w:t>
      </w:r>
      <w:proofErr w:type="gramEnd"/>
      <w:r w:rsidRPr="001A275A">
        <w:t xml:space="preserve"> or Alaska Native, Asian, Native Hawaiian and Other Pacific Islander, </w:t>
      </w:r>
      <w:r w:rsidRPr="001A275A" w:rsidR="00173962">
        <w:t>other</w:t>
      </w:r>
      <w:r w:rsidR="00173962">
        <w:t xml:space="preserve"> races</w:t>
      </w:r>
      <w:r w:rsidRPr="001A275A">
        <w:t xml:space="preserve">, or 2 or </w:t>
      </w:r>
      <w:r w:rsidRPr="001A275A" w:rsidR="00173962">
        <w:t>more</w:t>
      </w:r>
      <w:r w:rsidR="00173962">
        <w:t xml:space="preserve"> races</w:t>
      </w:r>
      <w:r>
        <w:t>.</w:t>
      </w:r>
    </w:p>
    <w:p w:rsidR="00714C6C" w:rsidP="00A71240" w:rsidRDefault="00714C6C" w14:paraId="1C7C8E00" w14:textId="77777777">
      <w:pPr>
        <w:pStyle w:val="Source"/>
        <w:keepLines w:val="0"/>
      </w:pPr>
      <w:r>
        <w:rPr>
          <w:vertAlign w:val="superscript"/>
        </w:rPr>
        <w:t>b</w:t>
      </w:r>
      <w:r>
        <w:t>Age is reported as ≤ 19</w:t>
      </w:r>
      <w:r w:rsidR="00173962">
        <w:t xml:space="preserve">; </w:t>
      </w:r>
      <w:r>
        <w:t>thus</w:t>
      </w:r>
      <w:r w:rsidR="00173962">
        <w:t>,</w:t>
      </w:r>
      <w:r>
        <w:t xml:space="preserve"> the first age category starts at age 20; however, we will </w:t>
      </w:r>
      <w:r w:rsidR="00810AF1">
        <w:t xml:space="preserve">only </w:t>
      </w:r>
      <w:r>
        <w:t>enroll individuals who are 18 or older</w:t>
      </w:r>
      <w:r w:rsidR="00810AF1">
        <w:t>.</w:t>
      </w:r>
    </w:p>
    <w:p w:rsidR="00C4268F" w:rsidP="00A71240" w:rsidRDefault="00C4268F" w14:paraId="71604474" w14:textId="77777777">
      <w:pPr>
        <w:pStyle w:val="Source"/>
        <w:keepLines w:val="0"/>
      </w:pPr>
      <w:r>
        <w:t xml:space="preserve">Note: When randomly assigning participants to the treatment and control groups, we will </w:t>
      </w:r>
      <w:r w:rsidR="000F7E30">
        <w:t xml:space="preserve">take steps to </w:t>
      </w:r>
      <w:r>
        <w:t>ensure that the demographic characteristics of each group are similar.</w:t>
      </w:r>
    </w:p>
    <w:p w:rsidRPr="00C4268F" w:rsidR="00B216FF" w:rsidP="00A71240" w:rsidRDefault="00B216FF" w14:paraId="152F07A9" w14:textId="77777777">
      <w:pPr>
        <w:pStyle w:val="BodyText0"/>
        <w:widowControl/>
        <w:spacing w:before="240"/>
        <w:ind w:firstLine="0"/>
        <w:rPr>
          <w:b/>
        </w:rPr>
      </w:pPr>
      <w:r>
        <w:rPr>
          <w:b/>
        </w:rPr>
        <w:t>Response Rate</w:t>
      </w:r>
    </w:p>
    <w:p w:rsidRPr="00BE26F3" w:rsidR="00B216FF" w:rsidP="00A71240" w:rsidRDefault="00B216FF" w14:paraId="48459910" w14:textId="77777777">
      <w:pPr>
        <w:pStyle w:val="BodyText0"/>
        <w:widowControl/>
        <w:rPr>
          <w:szCs w:val="24"/>
        </w:rPr>
      </w:pPr>
      <w:r>
        <w:t>The expected response rate (show rate) for the observation study is 80</w:t>
      </w:r>
      <w:r w:rsidR="00173962">
        <w:t xml:space="preserve">% </w:t>
      </w:r>
      <w:r>
        <w:t>based on the contractor</w:t>
      </w:r>
      <w:r w:rsidR="00B34ED9">
        <w:t>’s</w:t>
      </w:r>
      <w:r>
        <w:t xml:space="preserve"> experience with similar studies. Thus, the starting sample size for each iteration of the observational study is 500</w:t>
      </w:r>
      <w:r w:rsidR="00EE5C5E">
        <w:t>, yielding 400 completed observations (500 x 0.80)</w:t>
      </w:r>
      <w:r>
        <w:t>.</w:t>
      </w:r>
    </w:p>
    <w:p w:rsidRPr="00A412FE" w:rsidR="00174610" w:rsidP="004A37BB" w:rsidRDefault="00174610" w14:paraId="310DDD45" w14:textId="77777777">
      <w:pPr>
        <w:pStyle w:val="Heading2"/>
      </w:pPr>
      <w:bookmarkStart w:name="_Toc236553894" w:id="3"/>
      <w:r w:rsidRPr="00A412FE">
        <w:t>B.2.</w:t>
      </w:r>
      <w:r w:rsidR="00173962">
        <w:t xml:space="preserve"> </w:t>
      </w:r>
      <w:r w:rsidRPr="00A412FE">
        <w:t>Procedures for the Collection of Information</w:t>
      </w:r>
      <w:bookmarkEnd w:id="3"/>
    </w:p>
    <w:p w:rsidRPr="00DE22F1" w:rsidR="00DE22F1" w:rsidP="00A71240" w:rsidRDefault="00DE22F1" w14:paraId="7BEE6D77" w14:textId="77777777">
      <w:pPr>
        <w:pStyle w:val="BodyText0"/>
        <w:keepNext/>
        <w:keepLines/>
        <w:widowControl/>
      </w:pPr>
      <w:r w:rsidRPr="00DE22F1">
        <w:t xml:space="preserve">This </w:t>
      </w:r>
      <w:r>
        <w:t>section provides an overview of the study procedures, provides information on the degree of accuracy required for the study, and discusses the estimation procedures. The observational study is not employing statistical methodology for stratification and sample selection. There are no unusual problems requiring specialized sampling procedures. Participants are only being contacted one time</w:t>
      </w:r>
      <w:r w:rsidR="00697388">
        <w:t>,</w:t>
      </w:r>
      <w:r>
        <w:t xml:space="preserve"> so periodic data collection cycles are not applicable.</w:t>
      </w:r>
    </w:p>
    <w:p w:rsidRPr="00FC4E3F" w:rsidR="00FC4E3F" w:rsidP="00A71240" w:rsidRDefault="00FC4E3F" w14:paraId="04EA606D" w14:textId="77777777">
      <w:pPr>
        <w:pStyle w:val="BodyText0"/>
        <w:widowControl/>
        <w:ind w:firstLine="0"/>
        <w:rPr>
          <w:b/>
        </w:rPr>
      </w:pPr>
      <w:r>
        <w:rPr>
          <w:b/>
        </w:rPr>
        <w:t>Study Procedures</w:t>
      </w:r>
    </w:p>
    <w:p w:rsidR="00FC4E3F" w:rsidP="00A71240" w:rsidRDefault="00697388" w14:paraId="2E81E22E" w14:textId="77777777">
      <w:pPr>
        <w:pStyle w:val="bodytext"/>
      </w:pPr>
      <w:r>
        <w:t>Before</w:t>
      </w:r>
      <w:r w:rsidR="00FC4E3F">
        <w:t xml:space="preserve"> the observation and food preparation, the meat/poultry products will be inoculated with a harmless, realistic</w:t>
      </w:r>
      <w:r>
        <w:t>,</w:t>
      </w:r>
      <w:r w:rsidR="00FC4E3F">
        <w:t xml:space="preserve"> </w:t>
      </w:r>
      <w:r w:rsidRPr="00A01921" w:rsidR="00FC4E3F">
        <w:t>and known amount of tracer bacteria</w:t>
      </w:r>
      <w:r w:rsidR="00537C29">
        <w:t xml:space="preserve">. </w:t>
      </w:r>
      <w:r w:rsidRPr="00A01921" w:rsidR="00FC4E3F">
        <w:t>Under video</w:t>
      </w:r>
      <w:r w:rsidR="00FC4E3F">
        <w:t xml:space="preserve"> observation, participants will be asked to prepare </w:t>
      </w:r>
      <w:r w:rsidR="00DB1AB9">
        <w:t xml:space="preserve">two </w:t>
      </w:r>
      <w:r w:rsidR="00FC4E3F">
        <w:t xml:space="preserve">recipes: one made with a raw meat </w:t>
      </w:r>
      <w:r w:rsidR="00A74154">
        <w:t xml:space="preserve">or poultry </w:t>
      </w:r>
      <w:r w:rsidR="00FC4E3F">
        <w:t>product</w:t>
      </w:r>
      <w:r w:rsidR="00DB1AB9">
        <w:t xml:space="preserve"> </w:t>
      </w:r>
      <w:r w:rsidR="00FC4E3F">
        <w:t>and one made with a ready-to-eat product</w:t>
      </w:r>
      <w:r w:rsidR="00216919">
        <w:t xml:space="preserve"> (recipes and instructions</w:t>
      </w:r>
      <w:r w:rsidR="00DB1AB9">
        <w:t xml:space="preserve"> for the first iteration of </w:t>
      </w:r>
      <w:r w:rsidR="00DD484F">
        <w:t xml:space="preserve">the study are </w:t>
      </w:r>
      <w:r w:rsidR="00216919">
        <w:t>provided as Appendix L)</w:t>
      </w:r>
      <w:r w:rsidR="00B34ED9">
        <w:t xml:space="preserve">. </w:t>
      </w:r>
      <w:r w:rsidR="00FC4E3F">
        <w:t xml:space="preserve">After receiving the appropriately assigned messaging (the treatment group will receive messaging on food safety specific to the behavior of interest), participants will receive instruction to cook the recipes </w:t>
      </w:r>
      <w:r w:rsidR="00537C29">
        <w:t xml:space="preserve">as </w:t>
      </w:r>
      <w:r w:rsidR="00DB1AB9">
        <w:t>they would usually do so at home</w:t>
      </w:r>
      <w:r w:rsidR="00FC4E3F">
        <w:t xml:space="preserve">. </w:t>
      </w:r>
    </w:p>
    <w:p w:rsidR="00FC4E3F" w:rsidP="00A71240" w:rsidRDefault="00FC4E3F" w14:paraId="47CEDB79" w14:textId="77777777">
      <w:pPr>
        <w:pStyle w:val="BodyText0"/>
        <w:widowControl/>
      </w:pPr>
      <w:r>
        <w:t>T</w:t>
      </w:r>
      <w:r>
        <w:rPr>
          <w:szCs w:val="24"/>
        </w:rPr>
        <w:t xml:space="preserve">he study will </w:t>
      </w:r>
      <w:r>
        <w:t xml:space="preserve">be </w:t>
      </w:r>
      <w:r>
        <w:rPr>
          <w:szCs w:val="24"/>
        </w:rPr>
        <w:t>conduct</w:t>
      </w:r>
      <w:r>
        <w:t>ed</w:t>
      </w:r>
      <w:r>
        <w:rPr>
          <w:szCs w:val="24"/>
        </w:rPr>
        <w:t xml:space="preserve"> in </w:t>
      </w:r>
      <w:r>
        <w:t>NCSU</w:t>
      </w:r>
      <w:r>
        <w:rPr>
          <w:szCs w:val="24"/>
        </w:rPr>
        <w:t xml:space="preserve"> test kitchen</w:t>
      </w:r>
      <w:r w:rsidR="00DB1AB9">
        <w:rPr>
          <w:szCs w:val="24"/>
        </w:rPr>
        <w:t>s</w:t>
      </w:r>
      <w:r>
        <w:rPr>
          <w:szCs w:val="24"/>
        </w:rPr>
        <w:t xml:space="preserve"> (located in Raleigh, North Carolina) specifically designed for observation studies.</w:t>
      </w:r>
      <w:r w:rsidRPr="00A05C61">
        <w:t xml:space="preserve"> </w:t>
      </w:r>
      <w:r>
        <w:t>V</w:t>
      </w:r>
      <w:r w:rsidRPr="00EB3D04">
        <w:t xml:space="preserve">ideo recording equipment will be set up to record </w:t>
      </w:r>
      <w:r>
        <w:t>meal preparation</w:t>
      </w:r>
      <w:r w:rsidRPr="00EB3D04">
        <w:t>. Trained research staff will conduct the video recording</w:t>
      </w:r>
      <w:r>
        <w:t xml:space="preserve">. </w:t>
      </w:r>
      <w:r w:rsidRPr="00EB3D04">
        <w:t xml:space="preserve">Following the meal preparation and </w:t>
      </w:r>
      <w:r w:rsidR="00FB76EF">
        <w:t>before</w:t>
      </w:r>
      <w:r w:rsidRPr="00EB3D04">
        <w:t xml:space="preserve"> cleanup, </w:t>
      </w:r>
      <w:r w:rsidR="00FB76EF">
        <w:t>trained sample collectors will conduct</w:t>
      </w:r>
      <w:r w:rsidRPr="00EB3D04" w:rsidR="00FB76EF">
        <w:t xml:space="preserve"> </w:t>
      </w:r>
      <w:r w:rsidRPr="00EB3D04">
        <w:t xml:space="preserve">surface </w:t>
      </w:r>
      <w:r>
        <w:t>swab sampling, and s</w:t>
      </w:r>
      <w:r w:rsidRPr="00EB3D04">
        <w:t>amples will be transported to a</w:t>
      </w:r>
      <w:r w:rsidR="00FB76EF">
        <w:t>n</w:t>
      </w:r>
      <w:r w:rsidRPr="00EB3D04">
        <w:t xml:space="preserve"> NCSU </w:t>
      </w:r>
      <w:r>
        <w:t>testing</w:t>
      </w:r>
      <w:r w:rsidR="000F7E30">
        <w:t xml:space="preserve"> laboratory</w:t>
      </w:r>
      <w:r>
        <w:t>.</w:t>
      </w:r>
    </w:p>
    <w:p w:rsidR="00FC4E3F" w:rsidP="00A71240" w:rsidRDefault="00FC4E3F" w14:paraId="65C685D9" w14:textId="77777777">
      <w:pPr>
        <w:pStyle w:val="bodytext"/>
      </w:pPr>
      <w:r>
        <w:t>Recording of</w:t>
      </w:r>
      <w:r w:rsidRPr="002B756B">
        <w:t xml:space="preserve"> </w:t>
      </w:r>
      <w:r>
        <w:t xml:space="preserve">food </w:t>
      </w:r>
      <w:r w:rsidRPr="002B756B">
        <w:t xml:space="preserve">handling and meal preparation </w:t>
      </w:r>
      <w:r>
        <w:t xml:space="preserve">will begin </w:t>
      </w:r>
      <w:r w:rsidRPr="002B756B">
        <w:t>as soon as the participant enters the</w:t>
      </w:r>
      <w:r>
        <w:t xml:space="preserve"> test</w:t>
      </w:r>
      <w:r w:rsidRPr="002B756B">
        <w:t xml:space="preserve"> kitchen and will end after the participant leaves. </w:t>
      </w:r>
      <w:r>
        <w:t>Participants</w:t>
      </w:r>
      <w:r w:rsidR="008A7E10">
        <w:t>’</w:t>
      </w:r>
      <w:r>
        <w:t xml:space="preserve"> c</w:t>
      </w:r>
      <w:r w:rsidRPr="002B756B">
        <w:t xml:space="preserve">leaning and sanitizing of equipment and environment </w:t>
      </w:r>
      <w:r w:rsidR="00FB76EF">
        <w:t>before</w:t>
      </w:r>
      <w:r w:rsidRPr="002B756B">
        <w:t xml:space="preserve"> and </w:t>
      </w:r>
      <w:r>
        <w:t>after preparation</w:t>
      </w:r>
      <w:r w:rsidRPr="002B756B">
        <w:t xml:space="preserve"> </w:t>
      </w:r>
      <w:r>
        <w:t>w</w:t>
      </w:r>
      <w:r w:rsidRPr="002B756B">
        <w:t xml:space="preserve">ill also be </w:t>
      </w:r>
      <w:r>
        <w:t>recorded</w:t>
      </w:r>
      <w:r w:rsidRPr="002B756B">
        <w:t xml:space="preserve"> to evaluate intrameal and </w:t>
      </w:r>
      <w:proofErr w:type="spellStart"/>
      <w:r w:rsidRPr="002B756B">
        <w:t>intermeal</w:t>
      </w:r>
      <w:proofErr w:type="spellEnd"/>
      <w:r w:rsidRPr="002B756B">
        <w:t xml:space="preserve"> contaminat</w:t>
      </w:r>
      <w:r>
        <w:t>ion risks</w:t>
      </w:r>
      <w:r w:rsidRPr="002B756B">
        <w:t xml:space="preserve">. </w:t>
      </w:r>
      <w:r w:rsidRPr="008877A1">
        <w:t>Following the observation portion of the study,</w:t>
      </w:r>
      <w:r>
        <w:t xml:space="preserve"> trained sample collectors will take surface swab </w:t>
      </w:r>
      <w:r w:rsidRPr="008877A1">
        <w:t xml:space="preserve">samples from </w:t>
      </w:r>
      <w:r w:rsidR="00537C29">
        <w:t xml:space="preserve">surfaces such as </w:t>
      </w:r>
      <w:r w:rsidRPr="008877A1">
        <w:t>kitchen surfaces, utensils, food containers, appliance handles, kitchen towels,</w:t>
      </w:r>
      <w:r>
        <w:t xml:space="preserve"> </w:t>
      </w:r>
      <w:r w:rsidRPr="008877A1">
        <w:t>cutting boards</w:t>
      </w:r>
      <w:r w:rsidR="00216183">
        <w:t>,</w:t>
      </w:r>
      <w:r w:rsidR="00537C29">
        <w:t xml:space="preserve"> </w:t>
      </w:r>
      <w:r w:rsidRPr="008877A1">
        <w:t>and the ready-to-eat dish (</w:t>
      </w:r>
      <w:r w:rsidR="00537C29">
        <w:t>up to</w:t>
      </w:r>
      <w:r w:rsidR="00B20ABD">
        <w:t xml:space="preserve"> </w:t>
      </w:r>
      <w:r>
        <w:t>15</w:t>
      </w:r>
      <w:r w:rsidRPr="008877A1">
        <w:t xml:space="preserve"> sites in total). The</w:t>
      </w:r>
      <w:r>
        <w:t xml:space="preserve"> swabs will be delivered to the </w:t>
      </w:r>
      <w:r w:rsidR="000F7E30">
        <w:t xml:space="preserve">NCSU testing </w:t>
      </w:r>
      <w:r>
        <w:t>laboratory and plated</w:t>
      </w:r>
      <w:r w:rsidRPr="008877A1">
        <w:t xml:space="preserve"> </w:t>
      </w:r>
      <w:r>
        <w:t xml:space="preserve">to determine </w:t>
      </w:r>
      <w:r w:rsidRPr="008877A1">
        <w:t>presence</w:t>
      </w:r>
      <w:r>
        <w:t xml:space="preserve"> and concentration</w:t>
      </w:r>
      <w:r w:rsidRPr="008877A1">
        <w:t xml:space="preserve"> </w:t>
      </w:r>
      <w:r w:rsidRPr="00A01921">
        <w:t>of the tracer.</w:t>
      </w:r>
      <w:r>
        <w:t xml:space="preserve"> The presence of the</w:t>
      </w:r>
      <w:r w:rsidRPr="008877A1">
        <w:t xml:space="preserve"> trac</w:t>
      </w:r>
      <w:r>
        <w:t>er</w:t>
      </w:r>
      <w:r w:rsidRPr="008877A1">
        <w:t xml:space="preserve"> </w:t>
      </w:r>
      <w:r>
        <w:t xml:space="preserve">will </w:t>
      </w:r>
      <w:r w:rsidRPr="008877A1">
        <w:t>indicate that cross-contamination occurred during food preparation</w:t>
      </w:r>
      <w:r>
        <w:t>. The</w:t>
      </w:r>
      <w:r w:rsidRPr="008877A1">
        <w:t xml:space="preserve"> level of cross-contamination will be compared across the sampling sites to determine the highest risk areas. Kitchen surfaces, appliances, and other potentially contaminated sites will be cleaned and sanitized after each participant</w:t>
      </w:r>
      <w:r w:rsidR="00810AF1">
        <w:t>.</w:t>
      </w:r>
    </w:p>
    <w:p w:rsidR="00810AF1" w:rsidP="00810AF1" w:rsidRDefault="00FC4E3F" w14:paraId="0C09CE52" w14:textId="77777777">
      <w:pPr>
        <w:pStyle w:val="bodytext"/>
      </w:pPr>
      <w:r w:rsidRPr="00212636">
        <w:t xml:space="preserve">Supplementing the </w:t>
      </w:r>
      <w:r w:rsidRPr="000F7E30">
        <w:t xml:space="preserve">observations, post-observation interviews </w:t>
      </w:r>
      <w:r w:rsidRPr="00720ABD">
        <w:t xml:space="preserve">(see Appendix </w:t>
      </w:r>
      <w:r w:rsidR="000F7E30">
        <w:t>I</w:t>
      </w:r>
      <w:r w:rsidRPr="00720ABD">
        <w:t>)</w:t>
      </w:r>
      <w:r w:rsidRPr="00212636">
        <w:t xml:space="preserve"> will be</w:t>
      </w:r>
      <w:r>
        <w:t xml:space="preserve"> </w:t>
      </w:r>
      <w:r w:rsidR="00810AF1">
        <w:t>conducted to</w:t>
      </w:r>
      <w:r w:rsidRPr="002B756B" w:rsidR="00810AF1">
        <w:t xml:space="preserve"> provid</w:t>
      </w:r>
      <w:r w:rsidR="00810AF1">
        <w:t xml:space="preserve">e </w:t>
      </w:r>
      <w:r w:rsidRPr="002B756B" w:rsidR="00810AF1">
        <w:t xml:space="preserve">insight into </w:t>
      </w:r>
      <w:r w:rsidR="00810AF1">
        <w:t xml:space="preserve">participants’ </w:t>
      </w:r>
      <w:r w:rsidRPr="002B756B" w:rsidR="00810AF1">
        <w:t>views, opinions, and experiences of their preparation practices of these products</w:t>
      </w:r>
      <w:r w:rsidR="00810AF1">
        <w:t xml:space="preserve"> and their usual practices for preparing the products at home</w:t>
      </w:r>
      <w:r w:rsidRPr="002B756B" w:rsidR="00810AF1">
        <w:t xml:space="preserve">. </w:t>
      </w:r>
      <w:r w:rsidR="00810AF1">
        <w:t xml:space="preserve">Participants in the treatment group will also be asked about their exposure to the intervention. </w:t>
      </w:r>
      <w:r w:rsidRPr="002B756B" w:rsidR="00810AF1">
        <w:t>Collecting qualitative data will allow the project team to connect the knowledge, attitude</w:t>
      </w:r>
      <w:r w:rsidR="00216183">
        <w:t>s</w:t>
      </w:r>
      <w:r w:rsidRPr="002B756B" w:rsidR="00810AF1">
        <w:t>, and perceived behavior</w:t>
      </w:r>
      <w:r w:rsidR="00FC5B67">
        <w:t>s</w:t>
      </w:r>
      <w:r w:rsidRPr="002B756B" w:rsidR="00810AF1">
        <w:t xml:space="preserve"> with actual observed practices</w:t>
      </w:r>
      <w:r w:rsidR="00810AF1">
        <w:t>,</w:t>
      </w:r>
      <w:r w:rsidRPr="002B756B" w:rsidR="00810AF1">
        <w:t xml:space="preserve"> allowing for more targeted intervention </w:t>
      </w:r>
      <w:r w:rsidR="00810AF1">
        <w:t xml:space="preserve">refinement or </w:t>
      </w:r>
      <w:r w:rsidRPr="002B756B" w:rsidR="00810AF1">
        <w:t xml:space="preserve">development. </w:t>
      </w:r>
    </w:p>
    <w:p w:rsidR="00FC4E3F" w:rsidP="00A71240" w:rsidRDefault="00FC4E3F" w14:paraId="6F3CD642" w14:textId="77777777">
      <w:pPr>
        <w:pStyle w:val="bodytext"/>
      </w:pPr>
      <w:r>
        <w:t xml:space="preserve">Trained coders will use a </w:t>
      </w:r>
      <w:r w:rsidRPr="008877A1">
        <w:t>coding rubric</w:t>
      </w:r>
      <w:r w:rsidR="00216919">
        <w:t xml:space="preserve"> </w:t>
      </w:r>
      <w:r w:rsidRPr="008877A1">
        <w:t>to evaluate the video observation</w:t>
      </w:r>
      <w:r>
        <w:t>s</w:t>
      </w:r>
      <w:r w:rsidRPr="008877A1">
        <w:t xml:space="preserve"> based on the four food safety handling behaviors of clean,</w:t>
      </w:r>
      <w:r>
        <w:t xml:space="preserve"> separate, cook, and chill</w:t>
      </w:r>
      <w:r w:rsidR="00B216FF">
        <w:t xml:space="preserve">. </w:t>
      </w:r>
      <w:r>
        <w:t>T</w:t>
      </w:r>
      <w:r w:rsidRPr="008877A1">
        <w:t xml:space="preserve">his rubric will be used to consistently define when </w:t>
      </w:r>
      <w:r>
        <w:t>the recommended</w:t>
      </w:r>
      <w:r w:rsidRPr="008877A1">
        <w:t xml:space="preserve"> behavior occurred</w:t>
      </w:r>
      <w:r>
        <w:t xml:space="preserve"> </w:t>
      </w:r>
      <w:r w:rsidRPr="008877A1">
        <w:t xml:space="preserve">or when one did not </w:t>
      </w:r>
      <w:r>
        <w:t xml:space="preserve">occur </w:t>
      </w:r>
      <w:r w:rsidRPr="008877A1">
        <w:t>when it should have</w:t>
      </w:r>
      <w:r>
        <w:t xml:space="preserve">. Additionally, the coders will use notational analysis to assess recorded actions and their frequencies. </w:t>
      </w:r>
    </w:p>
    <w:p w:rsidR="00DE22F1" w:rsidP="00A71240" w:rsidRDefault="00DE22F1" w14:paraId="0BF4A435" w14:textId="77777777">
      <w:pPr>
        <w:pStyle w:val="BodyText0"/>
        <w:widowControl/>
        <w:ind w:firstLine="0"/>
        <w:rPr>
          <w:b/>
        </w:rPr>
      </w:pPr>
      <w:r>
        <w:rPr>
          <w:b/>
        </w:rPr>
        <w:t>Degree of Accuracy Required for the Study</w:t>
      </w:r>
    </w:p>
    <w:p w:rsidR="004C238F" w:rsidP="00A71240" w:rsidRDefault="004C238F" w14:paraId="434C2D0A" w14:textId="77777777">
      <w:pPr>
        <w:pStyle w:val="BodyText0"/>
        <w:widowControl/>
      </w:pPr>
      <w:r>
        <w:t>Sample size calculations were conducted to</w:t>
      </w:r>
      <w:r w:rsidRPr="00630232">
        <w:t xml:space="preserve"> determine the minimum number of</w:t>
      </w:r>
      <w:r>
        <w:t xml:space="preserve"> participants needed to provide a level of confidence that the experimental component of the observational study is </w:t>
      </w:r>
      <w:r w:rsidR="00EE5C5E">
        <w:t xml:space="preserve">sufficiently </w:t>
      </w:r>
      <w:r>
        <w:t xml:space="preserve">powered, meaning that a change of the anticipated size or greater would be interpreted as occurring beyond chance (i.e., statistically significant). By convention, we aim for </w:t>
      </w:r>
      <w:r w:rsidRPr="00630232">
        <w:t>80% statistical power</w:t>
      </w:r>
      <w:r>
        <w:t xml:space="preserve"> and a </w:t>
      </w:r>
      <w:r w:rsidRPr="00630232">
        <w:t>95%</w:t>
      </w:r>
      <w:r>
        <w:t xml:space="preserve"> </w:t>
      </w:r>
      <w:r w:rsidRPr="00630232">
        <w:t>level of confidence</w:t>
      </w:r>
      <w:r>
        <w:t xml:space="preserve">. </w:t>
      </w:r>
    </w:p>
    <w:p w:rsidR="004C238F" w:rsidP="00A71240" w:rsidRDefault="004C238F" w14:paraId="5C68C3C7" w14:textId="77777777">
      <w:pPr>
        <w:pStyle w:val="bodytext"/>
      </w:pPr>
      <w:r>
        <w:t>The purpose of the observational study is to evaluate the impact of FSIS educational materials on consumers</w:t>
      </w:r>
      <w:r w:rsidR="008A7E10">
        <w:t>’</w:t>
      </w:r>
      <w:r>
        <w:t xml:space="preserve"> demonstrated use of recommended safe food handling practices (clean, separate, cook, and chill). </w:t>
      </w:r>
      <w:r w:rsidR="00810AF1">
        <w:t xml:space="preserve">As noted in the initial approval for information collection, </w:t>
      </w:r>
      <w:r>
        <w:t xml:space="preserve">the primary outcome of interest </w:t>
      </w:r>
      <w:r w:rsidR="00810AF1">
        <w:t>for the first observation</w:t>
      </w:r>
      <w:r w:rsidR="00FC5B67">
        <w:t>al</w:t>
      </w:r>
      <w:r w:rsidR="00810AF1">
        <w:t xml:space="preserve"> study was </w:t>
      </w:r>
      <w:r>
        <w:t>use of a food thermometer to check the doneness of meat and poultry</w:t>
      </w:r>
      <w:r w:rsidR="005B4531">
        <w:t xml:space="preserve">. </w:t>
      </w:r>
      <w:r>
        <w:t>This is an important</w:t>
      </w:r>
      <w:r w:rsidR="00A44A3A">
        <w:t xml:space="preserve"> </w:t>
      </w:r>
      <w:r>
        <w:t>but not commonly practiced behavior in American kitchen</w:t>
      </w:r>
      <w:r w:rsidR="009F7874">
        <w:t>s. Based on recent estimate</w:t>
      </w:r>
      <w:r w:rsidR="005B4531">
        <w:t>s</w:t>
      </w:r>
      <w:r w:rsidR="009F7874">
        <w:t>,</w:t>
      </w:r>
      <w:r w:rsidR="005B4531">
        <w:t xml:space="preserve"> it is</w:t>
      </w:r>
      <w:r w:rsidR="009F7874">
        <w:t xml:space="preserve"> </w:t>
      </w:r>
      <w:r>
        <w:t>anticipate</w:t>
      </w:r>
      <w:r w:rsidR="009F7874">
        <w:t>d that</w:t>
      </w:r>
      <w:r>
        <w:t xml:space="preserve"> food thermometer use will be observed 5% of the time among the control grou</w:t>
      </w:r>
      <w:r w:rsidR="009F7874">
        <w:t>p participants (Anderson</w:t>
      </w:r>
      <w:r w:rsidR="00B20ABD">
        <w:t>,</w:t>
      </w:r>
      <w:r w:rsidRPr="00B20ABD" w:rsidR="00B20ABD">
        <w:t xml:space="preserve"> </w:t>
      </w:r>
      <w:r w:rsidRPr="00BC12D1" w:rsidR="00B20ABD">
        <w:t>Shuster, Hansen, Levy, &amp; Volk</w:t>
      </w:r>
      <w:r w:rsidR="009F7874">
        <w:t>, 2004;</w:t>
      </w:r>
      <w:r w:rsidRPr="00886AA9" w:rsidR="009F7874">
        <w:t xml:space="preserve"> </w:t>
      </w:r>
      <w:proofErr w:type="spellStart"/>
      <w:r w:rsidR="009F7874">
        <w:t>Phang</w:t>
      </w:r>
      <w:proofErr w:type="spellEnd"/>
      <w:r w:rsidR="009F7874">
        <w:t xml:space="preserve"> &amp; Bruhn, 2011; Bruhn, 2014; </w:t>
      </w:r>
      <w:r w:rsidRPr="00BC12D1" w:rsidR="00B20ABD">
        <w:t xml:space="preserve">Mazengia, Fisk, Liao, Huang, &amp; </w:t>
      </w:r>
      <w:proofErr w:type="spellStart"/>
      <w:r w:rsidRPr="00BC12D1" w:rsidR="00B20ABD">
        <w:t>Meschke</w:t>
      </w:r>
      <w:proofErr w:type="spellEnd"/>
      <w:r w:rsidR="009F7874">
        <w:t>, 2015; Scott &amp; Herbold, 2010). Additionally, it is anticipated that the food safety messaging</w:t>
      </w:r>
      <w:r>
        <w:t xml:space="preserve"> materials will provide medium effects among the treat</w:t>
      </w:r>
      <w:r w:rsidR="005B4531">
        <w:t>ment group participants. Table B-3</w:t>
      </w:r>
      <w:r>
        <w:t xml:space="preserve"> provides potential </w:t>
      </w:r>
      <w:r w:rsidR="00EE5C5E">
        <w:t xml:space="preserve">observed </w:t>
      </w:r>
      <w:r>
        <w:t xml:space="preserve">differences between </w:t>
      </w:r>
      <w:r w:rsidR="00280DCB">
        <w:t xml:space="preserve">control and treatment </w:t>
      </w:r>
      <w:r>
        <w:t xml:space="preserve">groups ranging from </w:t>
      </w:r>
      <w:r w:rsidR="00A44A3A">
        <w:t xml:space="preserve">4 </w:t>
      </w:r>
      <w:r>
        <w:t xml:space="preserve">to </w:t>
      </w:r>
      <w:r w:rsidR="00A44A3A">
        <w:t xml:space="preserve">12 </w:t>
      </w:r>
      <w:r>
        <w:t xml:space="preserve">percentage points. </w:t>
      </w:r>
      <w:r w:rsidR="005B4531">
        <w:t xml:space="preserve">It is anticipated that the food safety messaging </w:t>
      </w:r>
      <w:r>
        <w:t>materials will be sufficient to generate differences in the middle of this range</w:t>
      </w:r>
      <w:r w:rsidR="00280DCB">
        <w:t xml:space="preserve"> (i.e., the observed difference between the control and treatment groups is 8</w:t>
      </w:r>
      <w:r w:rsidR="005B4531">
        <w:t xml:space="preserve"> percen</w:t>
      </w:r>
      <w:r w:rsidR="00280DCB">
        <w:t>tage points).</w:t>
      </w:r>
    </w:p>
    <w:p w:rsidRPr="00BC12D1" w:rsidR="004C238F" w:rsidP="00A71240" w:rsidRDefault="00B45713" w14:paraId="3A2B9FC1" w14:textId="77777777">
      <w:pPr>
        <w:pStyle w:val="BodyText0"/>
        <w:widowControl/>
        <w:ind w:firstLine="0"/>
        <w:rPr>
          <w:b/>
          <w:color w:val="000000"/>
        </w:rPr>
      </w:pPr>
      <w:r>
        <w:rPr>
          <w:b/>
        </w:rPr>
        <w:br w:type="page"/>
      </w:r>
      <w:r w:rsidR="005B4531">
        <w:rPr>
          <w:b/>
        </w:rPr>
        <w:t>Table B-3</w:t>
      </w:r>
      <w:r w:rsidRPr="00714C6C" w:rsidR="005B4531">
        <w:rPr>
          <w:b/>
        </w:rPr>
        <w:t>.</w:t>
      </w:r>
      <w:r w:rsidR="00173962">
        <w:rPr>
          <w:b/>
        </w:rPr>
        <w:t xml:space="preserve"> </w:t>
      </w:r>
      <w:r w:rsidR="005B4531">
        <w:rPr>
          <w:b/>
        </w:rPr>
        <w:t xml:space="preserve">Sample Size Requirements for </w:t>
      </w:r>
      <w:r w:rsidR="00280DCB">
        <w:rPr>
          <w:b/>
        </w:rPr>
        <w:t>Different Observed Differences between the Control and Treatment Groups</w:t>
      </w:r>
    </w:p>
    <w:tbl>
      <w:tblPr>
        <w:tblW w:w="5000" w:type="pct"/>
        <w:tblInd w:w="108"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2340"/>
        <w:gridCol w:w="2340"/>
        <w:gridCol w:w="2340"/>
        <w:gridCol w:w="2340"/>
      </w:tblGrid>
      <w:tr w:rsidRPr="00720ABD" w:rsidR="00280DCB" w:rsidTr="00EE5C5E" w14:paraId="77A529BD" w14:textId="77777777">
        <w:trPr>
          <w:cantSplit/>
        </w:trPr>
        <w:tc>
          <w:tcPr>
            <w:tcW w:w="2397" w:type="dxa"/>
            <w:tcBorders>
              <w:top w:val="single" w:color="auto" w:sz="12" w:space="0"/>
              <w:bottom w:val="single" w:color="auto" w:sz="4" w:space="0"/>
            </w:tcBorders>
            <w:shd w:val="clear" w:color="auto" w:fill="auto"/>
            <w:vAlign w:val="bottom"/>
            <w:hideMark/>
          </w:tcPr>
          <w:p w:rsidRPr="00EE5C5E" w:rsidR="00280DCB" w:rsidP="00A71240" w:rsidRDefault="00280DCB" w14:paraId="369C8F9F" w14:textId="77777777">
            <w:pPr>
              <w:widowControl/>
              <w:spacing w:before="60" w:after="60"/>
              <w:jc w:val="center"/>
              <w:rPr>
                <w:b/>
                <w:snapToGrid/>
                <w:color w:val="000000"/>
                <w:szCs w:val="24"/>
              </w:rPr>
            </w:pPr>
            <w:r w:rsidRPr="00EE5C5E">
              <w:rPr>
                <w:b/>
                <w:snapToGrid/>
                <w:color w:val="000000"/>
                <w:szCs w:val="24"/>
              </w:rPr>
              <w:t>Proper Thermometer Use: Control Group</w:t>
            </w:r>
          </w:p>
        </w:tc>
        <w:tc>
          <w:tcPr>
            <w:tcW w:w="2398" w:type="dxa"/>
            <w:tcBorders>
              <w:top w:val="single" w:color="auto" w:sz="12" w:space="0"/>
              <w:bottom w:val="single" w:color="auto" w:sz="4" w:space="0"/>
            </w:tcBorders>
            <w:shd w:val="clear" w:color="auto" w:fill="auto"/>
            <w:vAlign w:val="bottom"/>
            <w:hideMark/>
          </w:tcPr>
          <w:p w:rsidRPr="00EE5C5E" w:rsidR="00280DCB" w:rsidP="00A71240" w:rsidRDefault="00280DCB" w14:paraId="2F3E9ECE" w14:textId="77777777">
            <w:pPr>
              <w:widowControl/>
              <w:spacing w:before="60" w:after="60"/>
              <w:jc w:val="center"/>
              <w:rPr>
                <w:b/>
                <w:snapToGrid/>
                <w:color w:val="000000"/>
                <w:szCs w:val="24"/>
              </w:rPr>
            </w:pPr>
            <w:r w:rsidRPr="00EE5C5E">
              <w:rPr>
                <w:b/>
                <w:snapToGrid/>
                <w:color w:val="000000"/>
                <w:szCs w:val="24"/>
              </w:rPr>
              <w:t>Proper Thermometer Use: Treatment</w:t>
            </w:r>
            <w:r w:rsidRPr="00EE5C5E" w:rsidR="00173962">
              <w:rPr>
                <w:b/>
                <w:snapToGrid/>
                <w:color w:val="000000"/>
                <w:szCs w:val="24"/>
              </w:rPr>
              <w:t xml:space="preserve"> </w:t>
            </w:r>
            <w:r w:rsidRPr="00EE5C5E">
              <w:rPr>
                <w:b/>
                <w:snapToGrid/>
                <w:color w:val="000000"/>
                <w:szCs w:val="24"/>
              </w:rPr>
              <w:t>Group</w:t>
            </w:r>
          </w:p>
        </w:tc>
        <w:tc>
          <w:tcPr>
            <w:tcW w:w="2397" w:type="dxa"/>
            <w:tcBorders>
              <w:top w:val="single" w:color="auto" w:sz="12" w:space="0"/>
              <w:bottom w:val="single" w:color="auto" w:sz="4" w:space="0"/>
            </w:tcBorders>
          </w:tcPr>
          <w:p w:rsidRPr="00EE5C5E" w:rsidR="00280DCB" w:rsidP="00A71240" w:rsidRDefault="00280DCB" w14:paraId="105F08B9" w14:textId="77777777">
            <w:pPr>
              <w:widowControl/>
              <w:spacing w:before="60" w:after="60"/>
              <w:jc w:val="center"/>
              <w:rPr>
                <w:b/>
                <w:snapToGrid/>
                <w:color w:val="000000"/>
                <w:szCs w:val="24"/>
              </w:rPr>
            </w:pPr>
            <w:r w:rsidRPr="00EE5C5E">
              <w:rPr>
                <w:b/>
                <w:snapToGrid/>
                <w:color w:val="000000"/>
                <w:szCs w:val="24"/>
              </w:rPr>
              <w:t>Observed Difference Between Control and Treatment Groups</w:t>
            </w:r>
          </w:p>
        </w:tc>
        <w:tc>
          <w:tcPr>
            <w:tcW w:w="2398" w:type="dxa"/>
            <w:tcBorders>
              <w:top w:val="single" w:color="auto" w:sz="12" w:space="0"/>
              <w:bottom w:val="single" w:color="auto" w:sz="4" w:space="0"/>
            </w:tcBorders>
            <w:shd w:val="clear" w:color="auto" w:fill="auto"/>
            <w:vAlign w:val="bottom"/>
            <w:hideMark/>
          </w:tcPr>
          <w:p w:rsidRPr="00EE5C5E" w:rsidR="00280DCB" w:rsidP="00A71240" w:rsidRDefault="00280DCB" w14:paraId="28DE6A6A" w14:textId="77777777">
            <w:pPr>
              <w:widowControl/>
              <w:spacing w:before="60" w:after="60"/>
              <w:jc w:val="center"/>
              <w:rPr>
                <w:b/>
                <w:snapToGrid/>
                <w:color w:val="000000"/>
                <w:szCs w:val="24"/>
              </w:rPr>
            </w:pPr>
            <w:r w:rsidRPr="00EE5C5E">
              <w:rPr>
                <w:b/>
                <w:snapToGrid/>
                <w:color w:val="000000"/>
                <w:szCs w:val="24"/>
              </w:rPr>
              <w:t>Total Sample Size (</w:t>
            </w:r>
            <w:r w:rsidRPr="004C1110">
              <w:rPr>
                <w:b/>
                <w:i/>
                <w:iCs/>
                <w:snapToGrid/>
                <w:color w:val="000000"/>
                <w:szCs w:val="24"/>
              </w:rPr>
              <w:t>N</w:t>
            </w:r>
            <w:r w:rsidRPr="00EE5C5E">
              <w:rPr>
                <w:b/>
                <w:snapToGrid/>
                <w:color w:val="000000"/>
                <w:szCs w:val="24"/>
              </w:rPr>
              <w:t>)</w:t>
            </w:r>
          </w:p>
        </w:tc>
      </w:tr>
      <w:tr w:rsidRPr="00720ABD" w:rsidR="00280DCB" w:rsidTr="00EE5C5E" w14:paraId="32107A55" w14:textId="77777777">
        <w:trPr>
          <w:cantSplit/>
        </w:trPr>
        <w:tc>
          <w:tcPr>
            <w:tcW w:w="2397" w:type="dxa"/>
            <w:tcBorders>
              <w:top w:val="single" w:color="auto" w:sz="4" w:space="0"/>
            </w:tcBorders>
            <w:shd w:val="clear" w:color="auto" w:fill="auto"/>
            <w:noWrap/>
            <w:vAlign w:val="bottom"/>
            <w:hideMark/>
          </w:tcPr>
          <w:p w:rsidRPr="00EE5C5E" w:rsidR="00280DCB" w:rsidP="00A71240" w:rsidRDefault="00280DCB" w14:paraId="163F3192" w14:textId="77777777">
            <w:pPr>
              <w:widowControl/>
              <w:spacing w:before="60" w:after="60"/>
              <w:jc w:val="center"/>
              <w:rPr>
                <w:snapToGrid/>
                <w:color w:val="000000"/>
                <w:szCs w:val="24"/>
              </w:rPr>
            </w:pPr>
            <w:r w:rsidRPr="00EE5C5E">
              <w:rPr>
                <w:snapToGrid/>
                <w:color w:val="000000"/>
                <w:szCs w:val="24"/>
              </w:rPr>
              <w:t>5%</w:t>
            </w:r>
          </w:p>
        </w:tc>
        <w:tc>
          <w:tcPr>
            <w:tcW w:w="2398" w:type="dxa"/>
            <w:tcBorders>
              <w:top w:val="single" w:color="auto" w:sz="4" w:space="0"/>
            </w:tcBorders>
            <w:shd w:val="clear" w:color="auto" w:fill="auto"/>
            <w:noWrap/>
            <w:vAlign w:val="bottom"/>
            <w:hideMark/>
          </w:tcPr>
          <w:p w:rsidRPr="00EE5C5E" w:rsidR="00280DCB" w:rsidP="00A71240" w:rsidRDefault="00280DCB" w14:paraId="115D75E6" w14:textId="77777777">
            <w:pPr>
              <w:widowControl/>
              <w:tabs>
                <w:tab w:val="decimal" w:pos="1005"/>
              </w:tabs>
              <w:spacing w:before="60" w:after="60"/>
              <w:rPr>
                <w:snapToGrid/>
                <w:color w:val="000000"/>
                <w:szCs w:val="24"/>
              </w:rPr>
            </w:pPr>
            <w:r w:rsidRPr="00EE5C5E">
              <w:rPr>
                <w:snapToGrid/>
                <w:color w:val="000000"/>
                <w:szCs w:val="24"/>
              </w:rPr>
              <w:t>9%</w:t>
            </w:r>
          </w:p>
        </w:tc>
        <w:tc>
          <w:tcPr>
            <w:tcW w:w="2397" w:type="dxa"/>
            <w:tcBorders>
              <w:top w:val="single" w:color="auto" w:sz="4" w:space="0"/>
            </w:tcBorders>
          </w:tcPr>
          <w:p w:rsidRPr="00EE5C5E" w:rsidR="00280DCB" w:rsidP="00A71240" w:rsidRDefault="00280DCB" w14:paraId="4980B373" w14:textId="77777777">
            <w:pPr>
              <w:widowControl/>
              <w:tabs>
                <w:tab w:val="decimal" w:pos="1037"/>
              </w:tabs>
              <w:spacing w:before="60" w:after="60"/>
              <w:rPr>
                <w:snapToGrid/>
                <w:color w:val="000000"/>
                <w:szCs w:val="24"/>
              </w:rPr>
            </w:pPr>
            <w:r w:rsidRPr="00EE5C5E">
              <w:rPr>
                <w:snapToGrid/>
                <w:color w:val="000000"/>
                <w:szCs w:val="24"/>
              </w:rPr>
              <w:t>4%</w:t>
            </w:r>
          </w:p>
        </w:tc>
        <w:tc>
          <w:tcPr>
            <w:tcW w:w="2398" w:type="dxa"/>
            <w:tcBorders>
              <w:top w:val="single" w:color="auto" w:sz="4" w:space="0"/>
            </w:tcBorders>
            <w:shd w:val="clear" w:color="auto" w:fill="auto"/>
            <w:noWrap/>
            <w:vAlign w:val="bottom"/>
            <w:hideMark/>
          </w:tcPr>
          <w:p w:rsidRPr="00EE5C5E" w:rsidR="00280DCB" w:rsidP="00A71240" w:rsidRDefault="00280DCB" w14:paraId="697113C6" w14:textId="77777777">
            <w:pPr>
              <w:widowControl/>
              <w:tabs>
                <w:tab w:val="decimal" w:pos="1295"/>
              </w:tabs>
              <w:spacing w:before="60" w:after="60"/>
              <w:rPr>
                <w:snapToGrid/>
                <w:color w:val="000000"/>
                <w:szCs w:val="24"/>
              </w:rPr>
            </w:pPr>
            <w:r w:rsidRPr="00EE5C5E">
              <w:rPr>
                <w:snapToGrid/>
                <w:color w:val="000000"/>
                <w:szCs w:val="24"/>
              </w:rPr>
              <w:t>1,270</w:t>
            </w:r>
          </w:p>
        </w:tc>
      </w:tr>
      <w:tr w:rsidRPr="00720ABD" w:rsidR="00280DCB" w:rsidTr="00EE5C5E" w14:paraId="69A4A172" w14:textId="77777777">
        <w:trPr>
          <w:cantSplit/>
        </w:trPr>
        <w:tc>
          <w:tcPr>
            <w:tcW w:w="2397" w:type="dxa"/>
            <w:shd w:val="clear" w:color="auto" w:fill="auto"/>
            <w:noWrap/>
            <w:vAlign w:val="bottom"/>
            <w:hideMark/>
          </w:tcPr>
          <w:p w:rsidRPr="00EE5C5E" w:rsidR="00280DCB" w:rsidP="00A71240" w:rsidRDefault="00280DCB" w14:paraId="3D31DBD5" w14:textId="77777777">
            <w:pPr>
              <w:widowControl/>
              <w:spacing w:before="60" w:after="60"/>
              <w:jc w:val="center"/>
              <w:rPr>
                <w:snapToGrid/>
                <w:color w:val="000000"/>
                <w:szCs w:val="24"/>
              </w:rPr>
            </w:pPr>
            <w:r w:rsidRPr="00EE5C5E">
              <w:rPr>
                <w:snapToGrid/>
                <w:color w:val="000000"/>
                <w:szCs w:val="24"/>
              </w:rPr>
              <w:t>5%</w:t>
            </w:r>
          </w:p>
        </w:tc>
        <w:tc>
          <w:tcPr>
            <w:tcW w:w="2398" w:type="dxa"/>
            <w:shd w:val="clear" w:color="auto" w:fill="auto"/>
            <w:noWrap/>
            <w:vAlign w:val="bottom"/>
            <w:hideMark/>
          </w:tcPr>
          <w:p w:rsidRPr="00EE5C5E" w:rsidR="00280DCB" w:rsidP="00A71240" w:rsidRDefault="00280DCB" w14:paraId="3CCB42C3" w14:textId="77777777">
            <w:pPr>
              <w:widowControl/>
              <w:tabs>
                <w:tab w:val="decimal" w:pos="1005"/>
              </w:tabs>
              <w:spacing w:before="60" w:after="60"/>
              <w:rPr>
                <w:snapToGrid/>
                <w:color w:val="000000"/>
                <w:szCs w:val="24"/>
              </w:rPr>
            </w:pPr>
            <w:r w:rsidRPr="00EE5C5E">
              <w:rPr>
                <w:snapToGrid/>
                <w:color w:val="000000"/>
                <w:szCs w:val="24"/>
              </w:rPr>
              <w:t>11%</w:t>
            </w:r>
          </w:p>
        </w:tc>
        <w:tc>
          <w:tcPr>
            <w:tcW w:w="2397" w:type="dxa"/>
          </w:tcPr>
          <w:p w:rsidRPr="00EE5C5E" w:rsidR="00280DCB" w:rsidP="00A71240" w:rsidRDefault="00280DCB" w14:paraId="5CCCF826" w14:textId="77777777">
            <w:pPr>
              <w:widowControl/>
              <w:tabs>
                <w:tab w:val="decimal" w:pos="1037"/>
              </w:tabs>
              <w:spacing w:before="60" w:after="60"/>
              <w:rPr>
                <w:snapToGrid/>
                <w:color w:val="000000"/>
                <w:szCs w:val="24"/>
              </w:rPr>
            </w:pPr>
            <w:r w:rsidRPr="00EE5C5E">
              <w:rPr>
                <w:snapToGrid/>
                <w:color w:val="000000"/>
                <w:szCs w:val="24"/>
              </w:rPr>
              <w:t>6%</w:t>
            </w:r>
          </w:p>
        </w:tc>
        <w:tc>
          <w:tcPr>
            <w:tcW w:w="2398" w:type="dxa"/>
            <w:shd w:val="clear" w:color="auto" w:fill="auto"/>
            <w:noWrap/>
            <w:vAlign w:val="bottom"/>
            <w:hideMark/>
          </w:tcPr>
          <w:p w:rsidRPr="00EE5C5E" w:rsidR="00280DCB" w:rsidP="00A71240" w:rsidRDefault="00280DCB" w14:paraId="3E58A452" w14:textId="77777777">
            <w:pPr>
              <w:widowControl/>
              <w:tabs>
                <w:tab w:val="decimal" w:pos="1295"/>
              </w:tabs>
              <w:spacing w:before="60" w:after="60"/>
              <w:rPr>
                <w:snapToGrid/>
                <w:color w:val="000000"/>
                <w:szCs w:val="24"/>
              </w:rPr>
            </w:pPr>
            <w:r w:rsidRPr="00EE5C5E">
              <w:rPr>
                <w:snapToGrid/>
                <w:color w:val="000000"/>
                <w:szCs w:val="24"/>
              </w:rPr>
              <w:t>636</w:t>
            </w:r>
          </w:p>
        </w:tc>
      </w:tr>
      <w:tr w:rsidRPr="00720ABD" w:rsidR="00280DCB" w:rsidTr="00EE5C5E" w14:paraId="0A2B3EA5" w14:textId="77777777">
        <w:trPr>
          <w:cantSplit/>
        </w:trPr>
        <w:tc>
          <w:tcPr>
            <w:tcW w:w="2397" w:type="dxa"/>
            <w:shd w:val="clear" w:color="auto" w:fill="auto"/>
            <w:noWrap/>
            <w:vAlign w:val="bottom"/>
            <w:hideMark/>
          </w:tcPr>
          <w:p w:rsidRPr="00EE5C5E" w:rsidR="00280DCB" w:rsidP="00A71240" w:rsidRDefault="00280DCB" w14:paraId="6BD29370" w14:textId="77777777">
            <w:pPr>
              <w:widowControl/>
              <w:spacing w:before="60" w:after="60"/>
              <w:jc w:val="center"/>
              <w:rPr>
                <w:b/>
                <w:bCs/>
                <w:i/>
                <w:snapToGrid/>
                <w:color w:val="000000"/>
                <w:szCs w:val="24"/>
              </w:rPr>
            </w:pPr>
            <w:r w:rsidRPr="00EE5C5E">
              <w:rPr>
                <w:b/>
                <w:bCs/>
                <w:i/>
                <w:snapToGrid/>
                <w:color w:val="000000"/>
                <w:szCs w:val="24"/>
              </w:rPr>
              <w:t>5%</w:t>
            </w:r>
          </w:p>
        </w:tc>
        <w:tc>
          <w:tcPr>
            <w:tcW w:w="2398" w:type="dxa"/>
            <w:shd w:val="clear" w:color="auto" w:fill="auto"/>
            <w:noWrap/>
            <w:vAlign w:val="bottom"/>
            <w:hideMark/>
          </w:tcPr>
          <w:p w:rsidRPr="00EE5C5E" w:rsidR="00280DCB" w:rsidP="00A71240" w:rsidRDefault="00280DCB" w14:paraId="086F27A7" w14:textId="77777777">
            <w:pPr>
              <w:widowControl/>
              <w:tabs>
                <w:tab w:val="decimal" w:pos="1005"/>
              </w:tabs>
              <w:spacing w:before="60" w:after="60"/>
              <w:rPr>
                <w:b/>
                <w:bCs/>
                <w:i/>
                <w:snapToGrid/>
                <w:color w:val="000000"/>
                <w:szCs w:val="24"/>
              </w:rPr>
            </w:pPr>
            <w:r w:rsidRPr="00EE5C5E">
              <w:rPr>
                <w:b/>
                <w:bCs/>
                <w:i/>
                <w:snapToGrid/>
                <w:color w:val="000000"/>
                <w:szCs w:val="24"/>
              </w:rPr>
              <w:t>13%</w:t>
            </w:r>
          </w:p>
        </w:tc>
        <w:tc>
          <w:tcPr>
            <w:tcW w:w="2397" w:type="dxa"/>
          </w:tcPr>
          <w:p w:rsidRPr="00EE5C5E" w:rsidR="00280DCB" w:rsidP="00A71240" w:rsidRDefault="00280DCB" w14:paraId="2B50DDCD" w14:textId="77777777">
            <w:pPr>
              <w:widowControl/>
              <w:tabs>
                <w:tab w:val="decimal" w:pos="1037"/>
              </w:tabs>
              <w:spacing w:before="60" w:after="60"/>
              <w:rPr>
                <w:b/>
                <w:bCs/>
                <w:i/>
                <w:snapToGrid/>
                <w:color w:val="000000"/>
                <w:szCs w:val="24"/>
              </w:rPr>
            </w:pPr>
            <w:r w:rsidRPr="00EE5C5E">
              <w:rPr>
                <w:b/>
                <w:bCs/>
                <w:i/>
                <w:snapToGrid/>
                <w:color w:val="000000"/>
                <w:szCs w:val="24"/>
              </w:rPr>
              <w:t>8%</w:t>
            </w:r>
          </w:p>
        </w:tc>
        <w:tc>
          <w:tcPr>
            <w:tcW w:w="2398" w:type="dxa"/>
            <w:shd w:val="clear" w:color="auto" w:fill="auto"/>
            <w:noWrap/>
            <w:vAlign w:val="bottom"/>
            <w:hideMark/>
          </w:tcPr>
          <w:p w:rsidRPr="00EE5C5E" w:rsidR="00280DCB" w:rsidP="00A71240" w:rsidRDefault="00280DCB" w14:paraId="5859DAC9" w14:textId="77777777">
            <w:pPr>
              <w:widowControl/>
              <w:tabs>
                <w:tab w:val="decimal" w:pos="1295"/>
              </w:tabs>
              <w:spacing w:before="60" w:after="60"/>
              <w:rPr>
                <w:b/>
                <w:bCs/>
                <w:i/>
                <w:snapToGrid/>
                <w:color w:val="000000"/>
                <w:szCs w:val="24"/>
              </w:rPr>
            </w:pPr>
            <w:r w:rsidRPr="00EE5C5E">
              <w:rPr>
                <w:b/>
                <w:bCs/>
                <w:i/>
                <w:snapToGrid/>
                <w:color w:val="000000"/>
                <w:szCs w:val="24"/>
              </w:rPr>
              <w:t>394</w:t>
            </w:r>
          </w:p>
        </w:tc>
      </w:tr>
      <w:tr w:rsidRPr="00720ABD" w:rsidR="00280DCB" w:rsidTr="00EE5C5E" w14:paraId="21C931FB" w14:textId="77777777">
        <w:trPr>
          <w:cantSplit/>
        </w:trPr>
        <w:tc>
          <w:tcPr>
            <w:tcW w:w="2397" w:type="dxa"/>
            <w:shd w:val="clear" w:color="auto" w:fill="auto"/>
            <w:noWrap/>
            <w:vAlign w:val="bottom"/>
            <w:hideMark/>
          </w:tcPr>
          <w:p w:rsidRPr="00EE5C5E" w:rsidR="00280DCB" w:rsidP="00A71240" w:rsidRDefault="00280DCB" w14:paraId="380EE974" w14:textId="77777777">
            <w:pPr>
              <w:widowControl/>
              <w:spacing w:before="60" w:after="60"/>
              <w:jc w:val="center"/>
              <w:rPr>
                <w:snapToGrid/>
                <w:color w:val="000000"/>
                <w:szCs w:val="24"/>
              </w:rPr>
            </w:pPr>
            <w:r w:rsidRPr="00EE5C5E">
              <w:rPr>
                <w:snapToGrid/>
                <w:color w:val="000000"/>
                <w:szCs w:val="24"/>
              </w:rPr>
              <w:t>5%</w:t>
            </w:r>
          </w:p>
        </w:tc>
        <w:tc>
          <w:tcPr>
            <w:tcW w:w="2398" w:type="dxa"/>
            <w:shd w:val="clear" w:color="auto" w:fill="auto"/>
            <w:noWrap/>
            <w:vAlign w:val="bottom"/>
            <w:hideMark/>
          </w:tcPr>
          <w:p w:rsidRPr="00EE5C5E" w:rsidR="00280DCB" w:rsidP="00A71240" w:rsidRDefault="00280DCB" w14:paraId="2F1ED2BF" w14:textId="77777777">
            <w:pPr>
              <w:widowControl/>
              <w:tabs>
                <w:tab w:val="decimal" w:pos="1005"/>
              </w:tabs>
              <w:spacing w:before="60" w:after="60"/>
              <w:rPr>
                <w:snapToGrid/>
                <w:color w:val="000000"/>
                <w:szCs w:val="24"/>
              </w:rPr>
            </w:pPr>
            <w:r w:rsidRPr="00EE5C5E">
              <w:rPr>
                <w:snapToGrid/>
                <w:color w:val="000000"/>
                <w:szCs w:val="24"/>
              </w:rPr>
              <w:t>15%</w:t>
            </w:r>
          </w:p>
        </w:tc>
        <w:tc>
          <w:tcPr>
            <w:tcW w:w="2397" w:type="dxa"/>
          </w:tcPr>
          <w:p w:rsidRPr="00EE5C5E" w:rsidR="00280DCB" w:rsidP="00A71240" w:rsidRDefault="00280DCB" w14:paraId="4C87A76D" w14:textId="77777777">
            <w:pPr>
              <w:widowControl/>
              <w:tabs>
                <w:tab w:val="decimal" w:pos="1037"/>
              </w:tabs>
              <w:spacing w:before="60" w:after="60"/>
              <w:rPr>
                <w:snapToGrid/>
                <w:color w:val="000000"/>
                <w:szCs w:val="24"/>
              </w:rPr>
            </w:pPr>
            <w:r w:rsidRPr="00EE5C5E">
              <w:rPr>
                <w:snapToGrid/>
                <w:color w:val="000000"/>
                <w:szCs w:val="24"/>
              </w:rPr>
              <w:t>10%</w:t>
            </w:r>
          </w:p>
        </w:tc>
        <w:tc>
          <w:tcPr>
            <w:tcW w:w="2398" w:type="dxa"/>
            <w:shd w:val="clear" w:color="auto" w:fill="auto"/>
            <w:noWrap/>
            <w:vAlign w:val="bottom"/>
            <w:hideMark/>
          </w:tcPr>
          <w:p w:rsidRPr="00EE5C5E" w:rsidR="00280DCB" w:rsidP="00A71240" w:rsidRDefault="00280DCB" w14:paraId="0B2EE9BA" w14:textId="77777777">
            <w:pPr>
              <w:widowControl/>
              <w:tabs>
                <w:tab w:val="decimal" w:pos="1295"/>
              </w:tabs>
              <w:spacing w:before="60" w:after="60"/>
              <w:rPr>
                <w:snapToGrid/>
                <w:color w:val="000000"/>
                <w:szCs w:val="24"/>
              </w:rPr>
            </w:pPr>
            <w:r w:rsidRPr="00EE5C5E">
              <w:rPr>
                <w:snapToGrid/>
                <w:color w:val="000000"/>
                <w:szCs w:val="24"/>
              </w:rPr>
              <w:t>276</w:t>
            </w:r>
          </w:p>
        </w:tc>
      </w:tr>
      <w:tr w:rsidRPr="00720ABD" w:rsidR="00280DCB" w:rsidTr="00EE5C5E" w14:paraId="259A7CB2" w14:textId="77777777">
        <w:trPr>
          <w:cantSplit/>
        </w:trPr>
        <w:tc>
          <w:tcPr>
            <w:tcW w:w="2397" w:type="dxa"/>
            <w:shd w:val="clear" w:color="auto" w:fill="auto"/>
            <w:noWrap/>
            <w:vAlign w:val="bottom"/>
            <w:hideMark/>
          </w:tcPr>
          <w:p w:rsidRPr="00EE5C5E" w:rsidR="00280DCB" w:rsidP="00A71240" w:rsidRDefault="00280DCB" w14:paraId="3E8F2082" w14:textId="77777777">
            <w:pPr>
              <w:widowControl/>
              <w:spacing w:before="60" w:after="60"/>
              <w:jc w:val="center"/>
              <w:rPr>
                <w:snapToGrid/>
                <w:color w:val="000000"/>
                <w:szCs w:val="24"/>
              </w:rPr>
            </w:pPr>
            <w:r w:rsidRPr="00EE5C5E">
              <w:rPr>
                <w:snapToGrid/>
                <w:color w:val="000000"/>
                <w:szCs w:val="24"/>
              </w:rPr>
              <w:t>5%</w:t>
            </w:r>
          </w:p>
        </w:tc>
        <w:tc>
          <w:tcPr>
            <w:tcW w:w="2398" w:type="dxa"/>
            <w:shd w:val="clear" w:color="auto" w:fill="auto"/>
            <w:noWrap/>
            <w:vAlign w:val="bottom"/>
            <w:hideMark/>
          </w:tcPr>
          <w:p w:rsidRPr="00EE5C5E" w:rsidR="00280DCB" w:rsidP="00A71240" w:rsidRDefault="00280DCB" w14:paraId="13DEE928" w14:textId="77777777">
            <w:pPr>
              <w:widowControl/>
              <w:tabs>
                <w:tab w:val="decimal" w:pos="1005"/>
              </w:tabs>
              <w:spacing w:before="60" w:after="60"/>
              <w:rPr>
                <w:snapToGrid/>
                <w:color w:val="000000"/>
                <w:szCs w:val="24"/>
              </w:rPr>
            </w:pPr>
            <w:r w:rsidRPr="00EE5C5E">
              <w:rPr>
                <w:snapToGrid/>
                <w:color w:val="000000"/>
                <w:szCs w:val="24"/>
              </w:rPr>
              <w:t>17%</w:t>
            </w:r>
          </w:p>
        </w:tc>
        <w:tc>
          <w:tcPr>
            <w:tcW w:w="2397" w:type="dxa"/>
          </w:tcPr>
          <w:p w:rsidRPr="00EE5C5E" w:rsidR="00280DCB" w:rsidP="00A71240" w:rsidRDefault="00280DCB" w14:paraId="69A35369" w14:textId="77777777">
            <w:pPr>
              <w:widowControl/>
              <w:tabs>
                <w:tab w:val="decimal" w:pos="1037"/>
              </w:tabs>
              <w:spacing w:before="60" w:after="60"/>
              <w:rPr>
                <w:snapToGrid/>
                <w:color w:val="000000"/>
                <w:szCs w:val="24"/>
              </w:rPr>
            </w:pPr>
            <w:r w:rsidRPr="00EE5C5E">
              <w:rPr>
                <w:snapToGrid/>
                <w:color w:val="000000"/>
                <w:szCs w:val="24"/>
              </w:rPr>
              <w:t>12%</w:t>
            </w:r>
          </w:p>
        </w:tc>
        <w:tc>
          <w:tcPr>
            <w:tcW w:w="2398" w:type="dxa"/>
            <w:shd w:val="clear" w:color="auto" w:fill="auto"/>
            <w:noWrap/>
            <w:vAlign w:val="bottom"/>
            <w:hideMark/>
          </w:tcPr>
          <w:p w:rsidRPr="00EE5C5E" w:rsidR="00280DCB" w:rsidP="00A71240" w:rsidRDefault="00280DCB" w14:paraId="39C3BF9B" w14:textId="77777777">
            <w:pPr>
              <w:widowControl/>
              <w:tabs>
                <w:tab w:val="decimal" w:pos="1295"/>
              </w:tabs>
              <w:spacing w:before="60" w:after="60"/>
              <w:rPr>
                <w:snapToGrid/>
                <w:color w:val="000000"/>
                <w:szCs w:val="24"/>
              </w:rPr>
            </w:pPr>
            <w:r w:rsidRPr="00EE5C5E">
              <w:rPr>
                <w:snapToGrid/>
                <w:color w:val="000000"/>
                <w:szCs w:val="24"/>
              </w:rPr>
              <w:t>206</w:t>
            </w:r>
          </w:p>
        </w:tc>
      </w:tr>
    </w:tbl>
    <w:p w:rsidRPr="00A44A3A" w:rsidR="004C238F" w:rsidP="00A71240" w:rsidRDefault="004C238F" w14:paraId="32AE74E8" w14:textId="77777777">
      <w:pPr>
        <w:pStyle w:val="BodyText0"/>
        <w:widowControl/>
      </w:pPr>
    </w:p>
    <w:p w:rsidRPr="00BC12D1" w:rsidR="004C238F" w:rsidP="00A71240" w:rsidRDefault="004C238F" w14:paraId="69C7C39E" w14:textId="77777777">
      <w:pPr>
        <w:pStyle w:val="bodytext"/>
      </w:pPr>
      <w:r>
        <w:t>Accordingly, the proposed sample size of 400 participants (200 per group) takes into consideration</w:t>
      </w:r>
      <w:r w:rsidR="00EE5C5E">
        <w:t xml:space="preserve"> several important features of the project:</w:t>
      </w:r>
      <w:r w:rsidR="00B86FB4">
        <w:t xml:space="preserve"> </w:t>
      </w:r>
      <w:r>
        <w:t xml:space="preserve">the anticipated base rate </w:t>
      </w:r>
      <w:r w:rsidR="00280DCB">
        <w:t xml:space="preserve">for thermometer use </w:t>
      </w:r>
      <w:r>
        <w:t xml:space="preserve">and </w:t>
      </w:r>
      <w:r w:rsidR="00EE5C5E">
        <w:t xml:space="preserve">the anticipated </w:t>
      </w:r>
      <w:r>
        <w:t>distributional characteristics of a dichotomous outcome</w:t>
      </w:r>
      <w:r w:rsidR="00216183">
        <w:t xml:space="preserve">, </w:t>
      </w:r>
      <w:r>
        <w:t>what</w:t>
      </w:r>
      <w:r w:rsidR="00EE5C5E">
        <w:t xml:space="preserve"> research design</w:t>
      </w:r>
      <w:r>
        <w:t xml:space="preserve"> is feasible given the logistical constraints of conducting an observational study</w:t>
      </w:r>
      <w:r w:rsidR="00EE5C5E">
        <w:t xml:space="preserve"> at one</w:t>
      </w:r>
      <w:r w:rsidR="000F7E30">
        <w:t xml:space="preserve"> location</w:t>
      </w:r>
      <w:r w:rsidR="00216183">
        <w:t xml:space="preserve">, </w:t>
      </w:r>
      <w:r>
        <w:t>and FSIS</w:t>
      </w:r>
      <w:r w:rsidR="008A7E10">
        <w:t>’</w:t>
      </w:r>
      <w:r>
        <w:t xml:space="preserve"> future plan</w:t>
      </w:r>
      <w:r w:rsidR="00EE5C5E">
        <w:t>s for researching food safety education</w:t>
      </w:r>
      <w:r>
        <w:t>.</w:t>
      </w:r>
    </w:p>
    <w:p w:rsidRPr="00AE670E" w:rsidR="00AE670E" w:rsidP="00A71240" w:rsidRDefault="00AE670E" w14:paraId="2FA86E59" w14:textId="77777777">
      <w:pPr>
        <w:pStyle w:val="BodyText0"/>
        <w:widowControl/>
        <w:ind w:firstLine="0"/>
        <w:rPr>
          <w:b/>
        </w:rPr>
      </w:pPr>
      <w:r>
        <w:rPr>
          <w:b/>
        </w:rPr>
        <w:t>Estimation Procedures</w:t>
      </w:r>
    </w:p>
    <w:p w:rsidR="004D46BD" w:rsidP="00A71240" w:rsidRDefault="00216183" w14:paraId="6B9E2006" w14:textId="77777777">
      <w:pPr>
        <w:pStyle w:val="bodytext"/>
      </w:pPr>
      <w:r>
        <w:t xml:space="preserve">We will conduct statistical </w:t>
      </w:r>
      <w:r w:rsidR="004D46BD">
        <w:t>analys</w:t>
      </w:r>
      <w:r>
        <w:t>e</w:t>
      </w:r>
      <w:r w:rsidR="004D46BD">
        <w:t>s</w:t>
      </w:r>
      <w:r w:rsidR="00AE670E">
        <w:t xml:space="preserve"> </w:t>
      </w:r>
      <w:r w:rsidR="004D46BD">
        <w:t xml:space="preserve">comparing the differences in handling behavior scores between the control and treatment groups for the </w:t>
      </w:r>
      <w:r w:rsidRPr="008877A1" w:rsidR="004D46BD">
        <w:t>four food handling behaviors</w:t>
      </w:r>
      <w:r w:rsidR="004D46BD">
        <w:t xml:space="preserve">. A comparative analysis will also be conducted on the samples collected from the designated kitchen sites and food samples to determine whether </w:t>
      </w:r>
      <w:r w:rsidRPr="008877A1" w:rsidR="004D46BD">
        <w:t>levels of cross-contamination</w:t>
      </w:r>
      <w:r w:rsidR="004D46BD">
        <w:t xml:space="preserve"> differed</w:t>
      </w:r>
      <w:r w:rsidRPr="008877A1" w:rsidR="004D46BD">
        <w:t xml:space="preserve"> between the two groups</w:t>
      </w:r>
      <w:r>
        <w:t xml:space="preserve"> and</w:t>
      </w:r>
      <w:r w:rsidR="004D46BD">
        <w:t xml:space="preserve"> to identify the kitchen sites with the highest levels of contamination.</w:t>
      </w:r>
      <w:r w:rsidRPr="008877A1" w:rsidR="004D46BD">
        <w:t xml:space="preserve"> </w:t>
      </w:r>
    </w:p>
    <w:p w:rsidRPr="00852654" w:rsidR="00E27B10" w:rsidP="00B45713" w:rsidRDefault="00D02F0C" w14:paraId="2C3F8243" w14:textId="77777777">
      <w:pPr>
        <w:pStyle w:val="Heading2"/>
      </w:pPr>
      <w:bookmarkStart w:name="_Toc115077598" w:id="4"/>
      <w:bookmarkStart w:name="_Toc236553895" w:id="5"/>
      <w:bookmarkEnd w:id="2"/>
      <w:r>
        <w:t>B.</w:t>
      </w:r>
      <w:r w:rsidR="00E27B10">
        <w:t>3</w:t>
      </w:r>
      <w:r>
        <w:t>.</w:t>
      </w:r>
      <w:r w:rsidR="00E27B10">
        <w:tab/>
        <w:t>Methods to Maximize Response Rate</w:t>
      </w:r>
      <w:bookmarkEnd w:id="4"/>
      <w:r w:rsidR="00E27B10">
        <w:t xml:space="preserve"> and Deal with Non</w:t>
      </w:r>
      <w:r>
        <w:t>r</w:t>
      </w:r>
      <w:r w:rsidR="00E27B10">
        <w:t>esponse</w:t>
      </w:r>
      <w:bookmarkEnd w:id="5"/>
    </w:p>
    <w:p w:rsidRPr="000F036A" w:rsidR="004725FA" w:rsidP="00A71240" w:rsidRDefault="004725FA" w14:paraId="1B751664" w14:textId="77777777">
      <w:pPr>
        <w:pStyle w:val="bodytext"/>
      </w:pPr>
      <w:r w:rsidRPr="00212636">
        <w:t xml:space="preserve">To maximize response rate and </w:t>
      </w:r>
      <w:r w:rsidR="00DB1AB9">
        <w:t>address</w:t>
      </w:r>
      <w:r w:rsidRPr="00212636">
        <w:t xml:space="preserve"> nonresponse, each participant will receive </w:t>
      </w:r>
      <w:r w:rsidR="00216183">
        <w:t xml:space="preserve">an </w:t>
      </w:r>
      <w:r w:rsidRPr="00212636">
        <w:t xml:space="preserve">honorarium of </w:t>
      </w:r>
      <w:r w:rsidR="00D3208E">
        <w:t xml:space="preserve">a </w:t>
      </w:r>
      <w:r w:rsidRPr="00212636">
        <w:t>$75</w:t>
      </w:r>
      <w:r w:rsidRPr="000F7E30" w:rsidR="00E65777">
        <w:t xml:space="preserve"> </w:t>
      </w:r>
      <w:r w:rsidR="00D3208E">
        <w:t xml:space="preserve">gift card </w:t>
      </w:r>
      <w:r w:rsidRPr="000F7E30" w:rsidR="00E65777">
        <w:t xml:space="preserve">and a </w:t>
      </w:r>
      <w:r w:rsidRPr="000F7E30" w:rsidR="009F7874">
        <w:t>small</w:t>
      </w:r>
      <w:r w:rsidRPr="000F7E30" w:rsidR="00E65777">
        <w:t xml:space="preserve"> gift (food thermometer</w:t>
      </w:r>
      <w:r w:rsidRPr="000F7E30" w:rsidR="00C37CB3">
        <w:t xml:space="preserve"> valued at </w:t>
      </w:r>
      <w:r w:rsidRPr="000F7E30" w:rsidR="009F7874">
        <w:t>$5.38)</w:t>
      </w:r>
      <w:r w:rsidRPr="000F7E30" w:rsidR="00E65777">
        <w:t xml:space="preserve"> </w:t>
      </w:r>
      <w:r w:rsidRPr="000F7E30">
        <w:t xml:space="preserve">for their participation. In addition, </w:t>
      </w:r>
      <w:r w:rsidRPr="000F7E30" w:rsidR="00E65777">
        <w:t>we</w:t>
      </w:r>
      <w:r w:rsidRPr="000F7E30">
        <w:t xml:space="preserve"> will send confirmation </w:t>
      </w:r>
      <w:r w:rsidR="004A37BB">
        <w:t xml:space="preserve">emails or </w:t>
      </w:r>
      <w:r w:rsidRPr="000F7E30">
        <w:t xml:space="preserve">letters </w:t>
      </w:r>
      <w:r w:rsidRPr="000F7E30" w:rsidR="00A7559D">
        <w:t>(</w:t>
      </w:r>
      <w:r w:rsidRPr="00720ABD" w:rsidR="00A7559D">
        <w:t xml:space="preserve">see Appendix </w:t>
      </w:r>
      <w:r w:rsidRPr="00212636" w:rsidR="00212636">
        <w:t>G</w:t>
      </w:r>
      <w:r w:rsidRPr="00212636" w:rsidR="00A7559D">
        <w:t xml:space="preserve">) </w:t>
      </w:r>
      <w:r w:rsidRPr="00212636">
        <w:t>with directions and make</w:t>
      </w:r>
      <w:r w:rsidRPr="000F7E30">
        <w:t xml:space="preserve"> reminder calls </w:t>
      </w:r>
      <w:r w:rsidRPr="000F7E30" w:rsidR="00E65777">
        <w:t>(</w:t>
      </w:r>
      <w:r w:rsidRPr="00720ABD" w:rsidR="00E65777">
        <w:t xml:space="preserve">see Appendix </w:t>
      </w:r>
      <w:r w:rsidRPr="00212636" w:rsidR="00212636">
        <w:t>H</w:t>
      </w:r>
      <w:r w:rsidRPr="00212636" w:rsidR="00E65777">
        <w:t xml:space="preserve">) </w:t>
      </w:r>
      <w:r w:rsidRPr="00212636">
        <w:t>to recruited individuals before the</w:t>
      </w:r>
      <w:r w:rsidRPr="000F7E30" w:rsidR="00E65777">
        <w:t>ir scheduled appointment</w:t>
      </w:r>
      <w:r w:rsidRPr="000F7E30">
        <w:t>.</w:t>
      </w:r>
      <w:r w:rsidR="00630232">
        <w:t xml:space="preserve"> </w:t>
      </w:r>
    </w:p>
    <w:p w:rsidRPr="00852654" w:rsidR="00E27B10" w:rsidP="00A71240" w:rsidRDefault="00D02F0C" w14:paraId="75E8A9D4" w14:textId="77777777">
      <w:pPr>
        <w:pStyle w:val="Heading2"/>
        <w:keepNext w:val="0"/>
      </w:pPr>
      <w:bookmarkStart w:name="_Toc115077599" w:id="6"/>
      <w:bookmarkStart w:name="_Toc236553896" w:id="7"/>
      <w:r>
        <w:t>B.</w:t>
      </w:r>
      <w:r w:rsidR="00E27B10">
        <w:t>4</w:t>
      </w:r>
      <w:r>
        <w:t>.</w:t>
      </w:r>
      <w:r w:rsidR="00E27B10">
        <w:tab/>
        <w:t>Tests of Procedures</w:t>
      </w:r>
      <w:bookmarkEnd w:id="6"/>
      <w:r w:rsidR="00E27B10">
        <w:t xml:space="preserve"> or Methods to be </w:t>
      </w:r>
      <w:bookmarkEnd w:id="7"/>
      <w:r w:rsidR="00973D43">
        <w:t>Undertaken</w:t>
      </w:r>
    </w:p>
    <w:p w:rsidRPr="00927AF1" w:rsidR="00A56BC2" w:rsidP="00A71240" w:rsidRDefault="00A56BC2" w14:paraId="79C8305C" w14:textId="77777777">
      <w:pPr>
        <w:pStyle w:val="BodyText0"/>
        <w:widowControl/>
      </w:pPr>
      <w:bookmarkStart w:name="_Toc115077600" w:id="8"/>
      <w:r w:rsidRPr="00E455DB">
        <w:t>On</w:t>
      </w:r>
      <w:r w:rsidRPr="00E455DB" w:rsidR="00E455DB">
        <w:t xml:space="preserve"> May 22, 2020</w:t>
      </w:r>
      <w:r w:rsidRPr="00E455DB">
        <w:t xml:space="preserve">, </w:t>
      </w:r>
      <w:r w:rsidRPr="00E455DB" w:rsidR="00810AF1">
        <w:t xml:space="preserve">the contractor </w:t>
      </w:r>
      <w:r w:rsidRPr="00E455DB">
        <w:t xml:space="preserve">conducted </w:t>
      </w:r>
      <w:r w:rsidRPr="00E455DB" w:rsidR="00E455DB">
        <w:t xml:space="preserve">instrument testing with three individuals. </w:t>
      </w:r>
      <w:r w:rsidRPr="00E455DB" w:rsidR="003B20A5">
        <w:t xml:space="preserve">The purpose of the </w:t>
      </w:r>
      <w:r w:rsidR="00E455DB">
        <w:t xml:space="preserve">instrument testing </w:t>
      </w:r>
      <w:r w:rsidRPr="00E455DB" w:rsidR="003B20A5">
        <w:t xml:space="preserve">was to test all study materials and the time allotted for each observation. </w:t>
      </w:r>
      <w:r w:rsidR="00F06D83">
        <w:t>The instrument testing confirmed the burden estimate of 2 hours for participation in the meal preparation and post-observation interview.</w:t>
      </w:r>
    </w:p>
    <w:p w:rsidRPr="00FE457A" w:rsidR="00E27B10" w:rsidP="00A71240" w:rsidRDefault="00D02F0C" w14:paraId="0FF42D7D" w14:textId="77777777">
      <w:pPr>
        <w:pStyle w:val="Heading2"/>
        <w:keepNext w:val="0"/>
      </w:pPr>
      <w:bookmarkStart w:name="_Toc236553897" w:id="9"/>
      <w:r>
        <w:t>B.</w:t>
      </w:r>
      <w:r w:rsidRPr="00FE457A" w:rsidR="00E27B10">
        <w:t>5</w:t>
      </w:r>
      <w:r>
        <w:t>.</w:t>
      </w:r>
      <w:r w:rsidRPr="00FE457A" w:rsidR="00E27B10">
        <w:tab/>
      </w:r>
      <w:r w:rsidR="00E27B10">
        <w:t xml:space="preserve">Individuals Consulted on </w:t>
      </w:r>
      <w:r w:rsidRPr="00FE457A" w:rsidR="00E27B10">
        <w:t xml:space="preserve">Statistical </w:t>
      </w:r>
      <w:r w:rsidR="00E27B10">
        <w:t>Aspects and Individuals Collecting and/or Analyzing Data</w:t>
      </w:r>
      <w:bookmarkEnd w:id="8"/>
      <w:bookmarkEnd w:id="9"/>
    </w:p>
    <w:p w:rsidR="00E27B10" w:rsidP="00A71240" w:rsidRDefault="008D3B4D" w14:paraId="2581D5D3" w14:textId="77777777">
      <w:pPr>
        <w:pStyle w:val="bodytext"/>
      </w:pPr>
      <w:r w:rsidRPr="00F40258">
        <w:t>Sheryl Cates</w:t>
      </w:r>
      <w:r w:rsidR="008C257A">
        <w:t xml:space="preserve"> is the RTI Project Director and will manage the study</w:t>
      </w:r>
      <w:r w:rsidRPr="00F40258" w:rsidR="00F40258">
        <w:t xml:space="preserve">. </w:t>
      </w:r>
      <w:r w:rsidR="008C257A">
        <w:t xml:space="preserve">Dr. Jonathan Blitstein of RTI conducted the power analysis and is providing guidance on statistical aspects of the study. </w:t>
      </w:r>
      <w:r w:rsidRPr="00F40258" w:rsidR="00F40258">
        <w:t>Dr. Ben</w:t>
      </w:r>
      <w:r w:rsidR="008C257A">
        <w:t>jamin</w:t>
      </w:r>
      <w:r w:rsidRPr="00F40258" w:rsidR="00F40258">
        <w:t xml:space="preserve"> Chapman </w:t>
      </w:r>
      <w:r w:rsidR="008C257A">
        <w:t xml:space="preserve">of NCSU </w:t>
      </w:r>
      <w:r w:rsidRPr="00F40258" w:rsidR="00F40258">
        <w:t xml:space="preserve">will manage </w:t>
      </w:r>
      <w:r w:rsidRPr="00F40258">
        <w:t>the</w:t>
      </w:r>
      <w:r w:rsidRPr="00F40258" w:rsidR="00F40258">
        <w:t xml:space="preserve"> data collection</w:t>
      </w:r>
      <w:r w:rsidRPr="00F40258">
        <w:t xml:space="preserve"> </w:t>
      </w:r>
      <w:r w:rsidR="008C257A">
        <w:t xml:space="preserve">for the observational study </w:t>
      </w:r>
      <w:r w:rsidRPr="00F40258">
        <w:t xml:space="preserve">and </w:t>
      </w:r>
      <w:r w:rsidR="008C257A">
        <w:t xml:space="preserve">oversee the </w:t>
      </w:r>
      <w:r w:rsidRPr="00F40258">
        <w:t>analysis</w:t>
      </w:r>
      <w:r w:rsidRPr="00F40258" w:rsidR="00F40258">
        <w:t xml:space="preserve">. </w:t>
      </w:r>
      <w:r w:rsidRPr="00F40258" w:rsidR="007A15F5">
        <w:t>Christopher Bernstein</w:t>
      </w:r>
      <w:r w:rsidRPr="00F40258">
        <w:t xml:space="preserve">, an </w:t>
      </w:r>
      <w:r w:rsidRPr="00F40258" w:rsidR="00E27B10">
        <w:t>FSIS employee</w:t>
      </w:r>
      <w:r w:rsidRPr="00F40258" w:rsidR="0061337B">
        <w:t>,</w:t>
      </w:r>
      <w:r w:rsidRPr="00F40258" w:rsidR="00E27B10">
        <w:t xml:space="preserve"> will review the results of the </w:t>
      </w:r>
      <w:r w:rsidRPr="00F40258" w:rsidR="00F40258">
        <w:t>observation</w:t>
      </w:r>
      <w:r w:rsidR="00216183">
        <w:t>al</w:t>
      </w:r>
      <w:r w:rsidRPr="00F40258" w:rsidR="00F40258">
        <w:t xml:space="preserve"> study</w:t>
      </w:r>
      <w:r w:rsidRPr="00F40258">
        <w:t>.</w:t>
      </w:r>
    </w:p>
    <w:p w:rsidRPr="00BC12D1" w:rsidR="009F7874" w:rsidP="00A71240" w:rsidRDefault="009F7874" w14:paraId="00F4C916" w14:textId="77777777">
      <w:pPr>
        <w:pStyle w:val="bodytext"/>
        <w:ind w:firstLine="0"/>
        <w:rPr>
          <w:b/>
        </w:rPr>
      </w:pPr>
      <w:r w:rsidRPr="00BC12D1">
        <w:rPr>
          <w:b/>
        </w:rPr>
        <w:t>References</w:t>
      </w:r>
    </w:p>
    <w:p w:rsidRPr="00BC12D1" w:rsidR="00A44A3A" w:rsidP="00A71240" w:rsidRDefault="00A44A3A" w14:paraId="49D304C4" w14:textId="77777777">
      <w:pPr>
        <w:pStyle w:val="biblio0"/>
        <w:keepLines w:val="0"/>
        <w:spacing w:after="0" w:line="480" w:lineRule="auto"/>
        <w:rPr>
          <w:sz w:val="24"/>
          <w:szCs w:val="24"/>
        </w:rPr>
      </w:pPr>
      <w:r w:rsidRPr="00BC12D1">
        <w:rPr>
          <w:sz w:val="24"/>
          <w:szCs w:val="24"/>
        </w:rPr>
        <w:t>Anderson, J. B., Shuster, T. A., Hansen, K. E., Levy, A. S., &amp; Volk, A. (2004). A camera</w:t>
      </w:r>
      <w:r w:rsidR="008A7E10">
        <w:rPr>
          <w:sz w:val="24"/>
          <w:szCs w:val="24"/>
        </w:rPr>
        <w:t>’</w:t>
      </w:r>
      <w:r w:rsidRPr="00BC12D1">
        <w:rPr>
          <w:sz w:val="24"/>
          <w:szCs w:val="24"/>
        </w:rPr>
        <w:t xml:space="preserve">s view of consumer food-handling behaviors. </w:t>
      </w:r>
      <w:r w:rsidRPr="00BC12D1">
        <w:rPr>
          <w:i/>
          <w:sz w:val="24"/>
          <w:szCs w:val="24"/>
        </w:rPr>
        <w:t>Journal of the American Dietetic Association, 104</w:t>
      </w:r>
      <w:r w:rsidRPr="00BC12D1">
        <w:rPr>
          <w:sz w:val="24"/>
          <w:szCs w:val="24"/>
        </w:rPr>
        <w:t>, 186–191.</w:t>
      </w:r>
    </w:p>
    <w:p w:rsidRPr="00BC12D1" w:rsidR="00A44A3A" w:rsidP="00A71240" w:rsidRDefault="00A44A3A" w14:paraId="3F6AC0C0" w14:textId="77777777">
      <w:pPr>
        <w:pStyle w:val="biblio0"/>
        <w:keepLines w:val="0"/>
        <w:spacing w:after="0" w:line="480" w:lineRule="auto"/>
        <w:rPr>
          <w:sz w:val="24"/>
          <w:szCs w:val="24"/>
        </w:rPr>
      </w:pPr>
      <w:r w:rsidRPr="00BC12D1">
        <w:rPr>
          <w:sz w:val="24"/>
          <w:szCs w:val="24"/>
        </w:rPr>
        <w:t xml:space="preserve">Bruhn, C. M. (2014). Chicken preparation in the home: An observational study. </w:t>
      </w:r>
      <w:r w:rsidRPr="00BC12D1">
        <w:rPr>
          <w:i/>
          <w:sz w:val="24"/>
          <w:szCs w:val="24"/>
        </w:rPr>
        <w:t>Food Protection Trends, 34</w:t>
      </w:r>
      <w:r w:rsidRPr="00BC12D1">
        <w:rPr>
          <w:sz w:val="24"/>
          <w:szCs w:val="24"/>
        </w:rPr>
        <w:t>(5), 318–330.</w:t>
      </w:r>
    </w:p>
    <w:p w:rsidRPr="00BC12D1" w:rsidR="00A44A3A" w:rsidP="00A71240" w:rsidRDefault="00A44A3A" w14:paraId="7D715A1E" w14:textId="77777777">
      <w:pPr>
        <w:pStyle w:val="biblio0"/>
        <w:keepLines w:val="0"/>
        <w:spacing w:after="0" w:line="480" w:lineRule="auto"/>
        <w:rPr>
          <w:sz w:val="24"/>
          <w:szCs w:val="24"/>
        </w:rPr>
      </w:pPr>
      <w:r w:rsidRPr="00BC12D1">
        <w:rPr>
          <w:sz w:val="24"/>
          <w:szCs w:val="24"/>
        </w:rPr>
        <w:t xml:space="preserve">Mazengia, E., Fisk, C., Liao, G., Huang, H., &amp; Meschke, J. (2015). Direct observational study of the risk of cross-contamination during raw poultry handling: Practices in private homes. </w:t>
      </w:r>
      <w:r w:rsidRPr="00BC12D1">
        <w:rPr>
          <w:i/>
          <w:sz w:val="24"/>
          <w:szCs w:val="24"/>
        </w:rPr>
        <w:t>Food Protection Trends, 35</w:t>
      </w:r>
      <w:r w:rsidRPr="00BC12D1">
        <w:rPr>
          <w:sz w:val="24"/>
          <w:szCs w:val="24"/>
        </w:rPr>
        <w:t>(1), 8–23.</w:t>
      </w:r>
    </w:p>
    <w:p w:rsidRPr="00BC12D1" w:rsidR="00A44A3A" w:rsidP="00A71240" w:rsidRDefault="00A44A3A" w14:paraId="009B1EF9" w14:textId="77777777">
      <w:pPr>
        <w:pStyle w:val="biblio0"/>
        <w:keepLines w:val="0"/>
        <w:spacing w:after="0" w:line="480" w:lineRule="auto"/>
        <w:rPr>
          <w:sz w:val="24"/>
          <w:szCs w:val="24"/>
        </w:rPr>
      </w:pPr>
      <w:r w:rsidRPr="00BC12D1">
        <w:rPr>
          <w:sz w:val="24"/>
          <w:szCs w:val="24"/>
        </w:rPr>
        <w:t xml:space="preserve">Phang, H. S., &amp; Bruhn, C. M. (2011). Burger preparation: What consumers say and do in the home. </w:t>
      </w:r>
      <w:r w:rsidRPr="00BC12D1">
        <w:rPr>
          <w:i/>
          <w:sz w:val="24"/>
          <w:szCs w:val="24"/>
        </w:rPr>
        <w:t>Journal of Food Protection, 74</w:t>
      </w:r>
      <w:r w:rsidRPr="00BC12D1">
        <w:rPr>
          <w:sz w:val="24"/>
          <w:szCs w:val="24"/>
        </w:rPr>
        <w:t xml:space="preserve">(10), 1708–1716. </w:t>
      </w:r>
    </w:p>
    <w:p w:rsidRPr="00A71240" w:rsidR="00E65777" w:rsidP="00A71240" w:rsidRDefault="00A44A3A" w14:paraId="59FFE37D" w14:textId="77777777">
      <w:pPr>
        <w:pStyle w:val="biblio0"/>
        <w:keepLines w:val="0"/>
        <w:spacing w:after="0" w:line="480" w:lineRule="auto"/>
        <w:rPr>
          <w:sz w:val="24"/>
          <w:szCs w:val="24"/>
        </w:rPr>
      </w:pPr>
      <w:r w:rsidRPr="00BC12D1">
        <w:rPr>
          <w:sz w:val="24"/>
          <w:szCs w:val="24"/>
        </w:rPr>
        <w:t xml:space="preserve">Scott, E., &amp; Herbold, N. (2010). An in-home video study and questionnaire survey of food preparation, kitchen sanitation, and hand washing practices. </w:t>
      </w:r>
      <w:r w:rsidRPr="00BC12D1">
        <w:rPr>
          <w:i/>
          <w:sz w:val="24"/>
          <w:szCs w:val="24"/>
        </w:rPr>
        <w:t>Journal of Environmental Health, 72</w:t>
      </w:r>
      <w:r w:rsidR="00A71240">
        <w:rPr>
          <w:sz w:val="24"/>
          <w:szCs w:val="24"/>
        </w:rPr>
        <w:t>(10), 8–13.</w:t>
      </w:r>
    </w:p>
    <w:sectPr w:rsidRPr="00A71240" w:rsidR="00E65777" w:rsidSect="009F568F">
      <w:headerReference w:type="default" r:id="rId7"/>
      <w:footerReference w:type="default" r:id="rId8"/>
      <w:footerReference w:type="first" r:id="rId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3C90" w14:textId="77777777" w:rsidR="001B6A76" w:rsidRDefault="001B6A76">
      <w:r>
        <w:separator/>
      </w:r>
    </w:p>
  </w:endnote>
  <w:endnote w:type="continuationSeparator" w:id="0">
    <w:p w14:paraId="1EE1A1DD" w14:textId="77777777" w:rsidR="001B6A76" w:rsidRDefault="001B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5299" w14:textId="77777777" w:rsidR="005D1A84" w:rsidRDefault="005D1A84">
    <w:pPr>
      <w:pStyle w:val="Footer"/>
      <w:jc w:val="center"/>
    </w:pPr>
    <w:r>
      <w:fldChar w:fldCharType="begin"/>
    </w:r>
    <w:r>
      <w:instrText xml:space="preserve"> PAGE   \* MERGEFORMAT </w:instrText>
    </w:r>
    <w:r>
      <w:fldChar w:fldCharType="separate"/>
    </w:r>
    <w:r w:rsidR="00655B68">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04953" w14:textId="77777777" w:rsidR="00C02054" w:rsidRPr="002D6F4D" w:rsidRDefault="00C02054" w:rsidP="00E27B10">
    <w:pPr>
      <w:pStyle w:val="Footer"/>
      <w:jc w:val="center"/>
    </w:pPr>
    <w:r w:rsidRPr="002D6F4D">
      <w:fldChar w:fldCharType="begin"/>
    </w:r>
    <w:r w:rsidRPr="002D6F4D">
      <w:instrText xml:space="preserve"> PAGE   \* MERGEFORMAT </w:instrText>
    </w:r>
    <w:r w:rsidRPr="002D6F4D">
      <w:fldChar w:fldCharType="separate"/>
    </w:r>
    <w:r w:rsidR="009F568F">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AB20F" w14:textId="77777777" w:rsidR="001B6A76" w:rsidRDefault="001B6A76">
      <w:r>
        <w:separator/>
      </w:r>
    </w:p>
  </w:footnote>
  <w:footnote w:type="continuationSeparator" w:id="0">
    <w:p w14:paraId="3E497AFD" w14:textId="77777777" w:rsidR="001B6A76" w:rsidRDefault="001B6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7811E" w14:textId="77777777" w:rsidR="00C02054" w:rsidRPr="000319C6" w:rsidRDefault="00C02054" w:rsidP="00E27B10">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5E37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4225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6EE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CD9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E64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70D5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2E2A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6EF1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D8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C8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0F77064D"/>
    <w:multiLevelType w:val="hybridMultilevel"/>
    <w:tmpl w:val="D4FC5E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905A4"/>
    <w:multiLevelType w:val="multilevel"/>
    <w:tmpl w:val="1A60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F7513D4"/>
    <w:multiLevelType w:val="hybridMultilevel"/>
    <w:tmpl w:val="1256D420"/>
    <w:lvl w:ilvl="0" w:tplc="855EE08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3B57F03"/>
    <w:multiLevelType w:val="hybridMultilevel"/>
    <w:tmpl w:val="96CEE08A"/>
    <w:lvl w:ilvl="0" w:tplc="A86258C0">
      <w:start w:val="1"/>
      <w:numFmt w:val="bullet"/>
      <w:pStyle w:val="bodytextChar"/>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CF00D3"/>
    <w:multiLevelType w:val="hybridMultilevel"/>
    <w:tmpl w:val="921C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5D31560"/>
    <w:multiLevelType w:val="hybridMultilevel"/>
    <w:tmpl w:val="60B6C3DE"/>
    <w:lvl w:ilvl="0" w:tplc="C4848874">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F0869"/>
    <w:multiLevelType w:val="hybridMultilevel"/>
    <w:tmpl w:val="BBD2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35E36"/>
    <w:multiLevelType w:val="hybridMultilevel"/>
    <w:tmpl w:val="67A498EE"/>
    <w:lvl w:ilvl="0" w:tplc="91C6051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5"/>
  </w:num>
  <w:num w:numId="2">
    <w:abstractNumId w:val="20"/>
  </w:num>
  <w:num w:numId="3">
    <w:abstractNumId w:val="10"/>
  </w:num>
  <w:num w:numId="4">
    <w:abstractNumId w:val="24"/>
  </w:num>
  <w:num w:numId="5">
    <w:abstractNumId w:val="13"/>
  </w:num>
  <w:num w:numId="6">
    <w:abstractNumId w:val="11"/>
  </w:num>
  <w:num w:numId="7">
    <w:abstractNumId w:val="17"/>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9"/>
  </w:num>
  <w:num w:numId="21">
    <w:abstractNumId w:val="18"/>
  </w:num>
  <w:num w:numId="22">
    <w:abstractNumId w:val="14"/>
  </w:num>
  <w:num w:numId="23">
    <w:abstractNumId w:val="16"/>
  </w:num>
  <w:num w:numId="24">
    <w:abstractNumId w:val="2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10"/>
    <w:rsid w:val="000024DF"/>
    <w:rsid w:val="0000401E"/>
    <w:rsid w:val="00017930"/>
    <w:rsid w:val="0003644D"/>
    <w:rsid w:val="00045FA2"/>
    <w:rsid w:val="00060C37"/>
    <w:rsid w:val="00063B1C"/>
    <w:rsid w:val="00092DBD"/>
    <w:rsid w:val="000A7361"/>
    <w:rsid w:val="000A7B9F"/>
    <w:rsid w:val="000B07D3"/>
    <w:rsid w:val="000B0E4E"/>
    <w:rsid w:val="000B5D42"/>
    <w:rsid w:val="000C2995"/>
    <w:rsid w:val="000E1984"/>
    <w:rsid w:val="000F3CC4"/>
    <w:rsid w:val="000F4B08"/>
    <w:rsid w:val="000F7E30"/>
    <w:rsid w:val="001026B4"/>
    <w:rsid w:val="001049B1"/>
    <w:rsid w:val="001231FB"/>
    <w:rsid w:val="00162DED"/>
    <w:rsid w:val="001637EF"/>
    <w:rsid w:val="00167FF1"/>
    <w:rsid w:val="00171FDB"/>
    <w:rsid w:val="00173962"/>
    <w:rsid w:val="00174610"/>
    <w:rsid w:val="0019221A"/>
    <w:rsid w:val="001A4682"/>
    <w:rsid w:val="001B03B1"/>
    <w:rsid w:val="001B6A76"/>
    <w:rsid w:val="001D2428"/>
    <w:rsid w:val="001D7AD6"/>
    <w:rsid w:val="001E040B"/>
    <w:rsid w:val="001E0E9C"/>
    <w:rsid w:val="001F169E"/>
    <w:rsid w:val="001F4AA2"/>
    <w:rsid w:val="00210263"/>
    <w:rsid w:val="00211239"/>
    <w:rsid w:val="00212636"/>
    <w:rsid w:val="00212985"/>
    <w:rsid w:val="00216183"/>
    <w:rsid w:val="00216919"/>
    <w:rsid w:val="00220BBB"/>
    <w:rsid w:val="0023036A"/>
    <w:rsid w:val="00234F1C"/>
    <w:rsid w:val="00237C97"/>
    <w:rsid w:val="00241155"/>
    <w:rsid w:val="002756C6"/>
    <w:rsid w:val="00280DCB"/>
    <w:rsid w:val="00293BF8"/>
    <w:rsid w:val="002A1B26"/>
    <w:rsid w:val="002A7470"/>
    <w:rsid w:val="002B0B69"/>
    <w:rsid w:val="002B5A7F"/>
    <w:rsid w:val="002C2A81"/>
    <w:rsid w:val="002D566A"/>
    <w:rsid w:val="002D5E9D"/>
    <w:rsid w:val="002E140E"/>
    <w:rsid w:val="002E40B3"/>
    <w:rsid w:val="002F35D5"/>
    <w:rsid w:val="00337874"/>
    <w:rsid w:val="00345748"/>
    <w:rsid w:val="00367D39"/>
    <w:rsid w:val="0037732F"/>
    <w:rsid w:val="0037783D"/>
    <w:rsid w:val="003B12E4"/>
    <w:rsid w:val="003B15E3"/>
    <w:rsid w:val="003B20A5"/>
    <w:rsid w:val="003D0DAC"/>
    <w:rsid w:val="0041620E"/>
    <w:rsid w:val="00426C84"/>
    <w:rsid w:val="00436163"/>
    <w:rsid w:val="004574AB"/>
    <w:rsid w:val="00463056"/>
    <w:rsid w:val="004725FA"/>
    <w:rsid w:val="0047767D"/>
    <w:rsid w:val="00484FA1"/>
    <w:rsid w:val="00493860"/>
    <w:rsid w:val="004A37BB"/>
    <w:rsid w:val="004B6479"/>
    <w:rsid w:val="004C1110"/>
    <w:rsid w:val="004C238F"/>
    <w:rsid w:val="004D46BD"/>
    <w:rsid w:val="00504D76"/>
    <w:rsid w:val="005079AA"/>
    <w:rsid w:val="0051645C"/>
    <w:rsid w:val="005305DB"/>
    <w:rsid w:val="005377A3"/>
    <w:rsid w:val="00537C29"/>
    <w:rsid w:val="00545CF3"/>
    <w:rsid w:val="00570748"/>
    <w:rsid w:val="00571F88"/>
    <w:rsid w:val="00574B08"/>
    <w:rsid w:val="00577BE2"/>
    <w:rsid w:val="005A50C9"/>
    <w:rsid w:val="005A5786"/>
    <w:rsid w:val="005B4531"/>
    <w:rsid w:val="005D1A84"/>
    <w:rsid w:val="005D6A3E"/>
    <w:rsid w:val="005E15D1"/>
    <w:rsid w:val="005E3711"/>
    <w:rsid w:val="00601AE1"/>
    <w:rsid w:val="0061337B"/>
    <w:rsid w:val="00617A38"/>
    <w:rsid w:val="00622782"/>
    <w:rsid w:val="00630232"/>
    <w:rsid w:val="00655B68"/>
    <w:rsid w:val="00666E4D"/>
    <w:rsid w:val="006774AE"/>
    <w:rsid w:val="00696275"/>
    <w:rsid w:val="00697388"/>
    <w:rsid w:val="00697665"/>
    <w:rsid w:val="006A468E"/>
    <w:rsid w:val="006A6A45"/>
    <w:rsid w:val="006A7AE7"/>
    <w:rsid w:val="006B33B1"/>
    <w:rsid w:val="006C5212"/>
    <w:rsid w:val="006D1F4B"/>
    <w:rsid w:val="006F272A"/>
    <w:rsid w:val="00704004"/>
    <w:rsid w:val="00714C6C"/>
    <w:rsid w:val="00720ABD"/>
    <w:rsid w:val="00722958"/>
    <w:rsid w:val="0074338F"/>
    <w:rsid w:val="00743DE2"/>
    <w:rsid w:val="00755F97"/>
    <w:rsid w:val="00770020"/>
    <w:rsid w:val="0077726B"/>
    <w:rsid w:val="0078349E"/>
    <w:rsid w:val="007A10B5"/>
    <w:rsid w:val="007A15F5"/>
    <w:rsid w:val="007C062D"/>
    <w:rsid w:val="007C38AE"/>
    <w:rsid w:val="007D36D8"/>
    <w:rsid w:val="007F4731"/>
    <w:rsid w:val="008001FC"/>
    <w:rsid w:val="00800914"/>
    <w:rsid w:val="00806D84"/>
    <w:rsid w:val="00810AF1"/>
    <w:rsid w:val="00817174"/>
    <w:rsid w:val="00817BFE"/>
    <w:rsid w:val="00831B1A"/>
    <w:rsid w:val="008509AE"/>
    <w:rsid w:val="00857F53"/>
    <w:rsid w:val="00861CFC"/>
    <w:rsid w:val="00863C07"/>
    <w:rsid w:val="00865C29"/>
    <w:rsid w:val="008701D8"/>
    <w:rsid w:val="008749DA"/>
    <w:rsid w:val="00874E1C"/>
    <w:rsid w:val="00882C16"/>
    <w:rsid w:val="00896A99"/>
    <w:rsid w:val="008A4ABE"/>
    <w:rsid w:val="008A7E10"/>
    <w:rsid w:val="008B62C2"/>
    <w:rsid w:val="008C257A"/>
    <w:rsid w:val="008C649B"/>
    <w:rsid w:val="008D3B4D"/>
    <w:rsid w:val="008D7C80"/>
    <w:rsid w:val="008E1EDF"/>
    <w:rsid w:val="008F511F"/>
    <w:rsid w:val="008F6AED"/>
    <w:rsid w:val="00913A31"/>
    <w:rsid w:val="00914A5A"/>
    <w:rsid w:val="00927AF1"/>
    <w:rsid w:val="00930B86"/>
    <w:rsid w:val="00937F54"/>
    <w:rsid w:val="00940281"/>
    <w:rsid w:val="00952B5D"/>
    <w:rsid w:val="009554D6"/>
    <w:rsid w:val="00973289"/>
    <w:rsid w:val="00973D43"/>
    <w:rsid w:val="009908D9"/>
    <w:rsid w:val="0099169D"/>
    <w:rsid w:val="00993E33"/>
    <w:rsid w:val="009B1247"/>
    <w:rsid w:val="009B777E"/>
    <w:rsid w:val="009C3A60"/>
    <w:rsid w:val="009E046C"/>
    <w:rsid w:val="009E3042"/>
    <w:rsid w:val="009F568F"/>
    <w:rsid w:val="009F7874"/>
    <w:rsid w:val="00A00BF4"/>
    <w:rsid w:val="00A412FE"/>
    <w:rsid w:val="00A43249"/>
    <w:rsid w:val="00A44A3A"/>
    <w:rsid w:val="00A46CCC"/>
    <w:rsid w:val="00A56BC2"/>
    <w:rsid w:val="00A71240"/>
    <w:rsid w:val="00A74154"/>
    <w:rsid w:val="00A7559D"/>
    <w:rsid w:val="00A842E8"/>
    <w:rsid w:val="00AA4BF3"/>
    <w:rsid w:val="00AB7B9B"/>
    <w:rsid w:val="00AD02CB"/>
    <w:rsid w:val="00AD1069"/>
    <w:rsid w:val="00AD4E83"/>
    <w:rsid w:val="00AE670E"/>
    <w:rsid w:val="00AF65E4"/>
    <w:rsid w:val="00B20ABD"/>
    <w:rsid w:val="00B216FF"/>
    <w:rsid w:val="00B34ED9"/>
    <w:rsid w:val="00B3681D"/>
    <w:rsid w:val="00B43314"/>
    <w:rsid w:val="00B45713"/>
    <w:rsid w:val="00B53090"/>
    <w:rsid w:val="00B7209A"/>
    <w:rsid w:val="00B80BC6"/>
    <w:rsid w:val="00B86FB4"/>
    <w:rsid w:val="00B9335A"/>
    <w:rsid w:val="00B93AED"/>
    <w:rsid w:val="00BA15A6"/>
    <w:rsid w:val="00BA6E3A"/>
    <w:rsid w:val="00BB50F3"/>
    <w:rsid w:val="00BB6242"/>
    <w:rsid w:val="00BB7728"/>
    <w:rsid w:val="00BC12D1"/>
    <w:rsid w:val="00BE20F2"/>
    <w:rsid w:val="00BE26F3"/>
    <w:rsid w:val="00C02054"/>
    <w:rsid w:val="00C071AA"/>
    <w:rsid w:val="00C15E24"/>
    <w:rsid w:val="00C16ED5"/>
    <w:rsid w:val="00C3031F"/>
    <w:rsid w:val="00C345E7"/>
    <w:rsid w:val="00C37CB3"/>
    <w:rsid w:val="00C40647"/>
    <w:rsid w:val="00C4268F"/>
    <w:rsid w:val="00C47450"/>
    <w:rsid w:val="00C66407"/>
    <w:rsid w:val="00C7344A"/>
    <w:rsid w:val="00CB5236"/>
    <w:rsid w:val="00CC0196"/>
    <w:rsid w:val="00CC60BC"/>
    <w:rsid w:val="00CD4C74"/>
    <w:rsid w:val="00CD6D3C"/>
    <w:rsid w:val="00CF165E"/>
    <w:rsid w:val="00CF2F9A"/>
    <w:rsid w:val="00D02F0C"/>
    <w:rsid w:val="00D06987"/>
    <w:rsid w:val="00D07711"/>
    <w:rsid w:val="00D20635"/>
    <w:rsid w:val="00D26FB5"/>
    <w:rsid w:val="00D3208E"/>
    <w:rsid w:val="00D443E5"/>
    <w:rsid w:val="00D50F69"/>
    <w:rsid w:val="00D543BF"/>
    <w:rsid w:val="00D613FC"/>
    <w:rsid w:val="00D61513"/>
    <w:rsid w:val="00D61ECB"/>
    <w:rsid w:val="00D66C2E"/>
    <w:rsid w:val="00D91F10"/>
    <w:rsid w:val="00DA74AA"/>
    <w:rsid w:val="00DB1AB9"/>
    <w:rsid w:val="00DD484F"/>
    <w:rsid w:val="00DD49EC"/>
    <w:rsid w:val="00DD55A8"/>
    <w:rsid w:val="00DE22F1"/>
    <w:rsid w:val="00DF4174"/>
    <w:rsid w:val="00E04A41"/>
    <w:rsid w:val="00E214BD"/>
    <w:rsid w:val="00E27B10"/>
    <w:rsid w:val="00E411B9"/>
    <w:rsid w:val="00E455DB"/>
    <w:rsid w:val="00E4686F"/>
    <w:rsid w:val="00E521A0"/>
    <w:rsid w:val="00E65777"/>
    <w:rsid w:val="00E817F4"/>
    <w:rsid w:val="00E82175"/>
    <w:rsid w:val="00E874A2"/>
    <w:rsid w:val="00E953C1"/>
    <w:rsid w:val="00E9554D"/>
    <w:rsid w:val="00E95EF6"/>
    <w:rsid w:val="00EA3919"/>
    <w:rsid w:val="00EB0558"/>
    <w:rsid w:val="00ED0B23"/>
    <w:rsid w:val="00EE193E"/>
    <w:rsid w:val="00EE5C5E"/>
    <w:rsid w:val="00EF162A"/>
    <w:rsid w:val="00F03036"/>
    <w:rsid w:val="00F06D83"/>
    <w:rsid w:val="00F240A7"/>
    <w:rsid w:val="00F340A9"/>
    <w:rsid w:val="00F40258"/>
    <w:rsid w:val="00F40636"/>
    <w:rsid w:val="00F47BE2"/>
    <w:rsid w:val="00F57D0D"/>
    <w:rsid w:val="00F603A1"/>
    <w:rsid w:val="00F80612"/>
    <w:rsid w:val="00F81878"/>
    <w:rsid w:val="00FB76EF"/>
    <w:rsid w:val="00FC4D29"/>
    <w:rsid w:val="00FC4E3F"/>
    <w:rsid w:val="00FC5B67"/>
    <w:rsid w:val="00FD3C54"/>
    <w:rsid w:val="00FD4A36"/>
    <w:rsid w:val="00FF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07DD3"/>
  <w15:chartTrackingRefBased/>
  <w15:docId w15:val="{2032C6DE-1718-4B8A-8161-676343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A60"/>
    <w:pPr>
      <w:widowControl w:val="0"/>
    </w:pPr>
    <w:rPr>
      <w:snapToGrid w:val="0"/>
      <w:sz w:val="24"/>
    </w:rPr>
  </w:style>
  <w:style w:type="paragraph" w:styleId="Heading1">
    <w:name w:val="heading 1"/>
    <w:basedOn w:val="Normal"/>
    <w:next w:val="Normal"/>
    <w:qFormat/>
    <w:rsid w:val="006C5212"/>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qFormat/>
    <w:rsid w:val="00E27B10"/>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E27B10"/>
    <w:pPr>
      <w:keepNext/>
      <w:spacing w:before="240" w:after="60"/>
      <w:outlineLvl w:val="2"/>
    </w:pPr>
    <w:rPr>
      <w:rFonts w:ascii="Cambria" w:hAnsi="Cambria"/>
      <w:b/>
      <w:bCs/>
      <w:sz w:val="26"/>
      <w:szCs w:val="26"/>
    </w:rPr>
  </w:style>
  <w:style w:type="paragraph" w:styleId="Heading4">
    <w:name w:val="heading 4"/>
    <w:basedOn w:val="Normal"/>
    <w:next w:val="Normal"/>
    <w:qFormat/>
    <w:rsid w:val="00E27B10"/>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E27B10"/>
    <w:pPr>
      <w:spacing w:before="240" w:after="60"/>
      <w:outlineLvl w:val="8"/>
    </w:pPr>
    <w:rPr>
      <w:b/>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semiHidden/>
    <w:rsid w:val="00E27B10"/>
    <w:rPr>
      <w:rFonts w:ascii="Cambria" w:hAnsi="Cambria"/>
      <w:b/>
      <w:bCs/>
      <w:snapToGrid w:val="0"/>
      <w:sz w:val="26"/>
      <w:szCs w:val="26"/>
      <w:lang w:val="en-US" w:eastAsia="en-US" w:bidi="ar-SA"/>
    </w:rPr>
  </w:style>
  <w:style w:type="character" w:customStyle="1" w:styleId="Heading9Char">
    <w:name w:val="Heading 9 Char"/>
    <w:link w:val="Heading9"/>
    <w:rsid w:val="00E27B10"/>
    <w:rPr>
      <w:b/>
      <w:snapToGrid w:val="0"/>
      <w:sz w:val="24"/>
      <w:szCs w:val="22"/>
      <w:lang w:val="en-US" w:eastAsia="en-US" w:bidi="ar-SA"/>
    </w:rPr>
  </w:style>
  <w:style w:type="paragraph" w:styleId="BodyTextIndent">
    <w:name w:val="Body Text Indent"/>
    <w:basedOn w:val="Normal"/>
    <w:link w:val="BodyTextIndentChar"/>
    <w:rsid w:val="00E27B10"/>
    <w:pPr>
      <w:widowControl/>
      <w:tabs>
        <w:tab w:val="left" w:pos="720"/>
      </w:tabs>
      <w:spacing w:after="80"/>
      <w:ind w:left="720" w:hanging="720"/>
    </w:pPr>
    <w:rPr>
      <w:b/>
      <w:snapToGrid/>
    </w:rPr>
  </w:style>
  <w:style w:type="character" w:customStyle="1" w:styleId="BodyTextIndentChar">
    <w:name w:val="Body Text Indent Char"/>
    <w:link w:val="BodyTextIndent"/>
    <w:rsid w:val="00E27B10"/>
    <w:rPr>
      <w:b/>
      <w:sz w:val="24"/>
      <w:lang w:val="en-US" w:eastAsia="en-US" w:bidi="ar-SA"/>
    </w:rPr>
  </w:style>
  <w:style w:type="paragraph" w:styleId="HTMLPreformatted">
    <w:name w:val="HTML Preformatted"/>
    <w:basedOn w:val="Normal"/>
    <w:rsid w:val="00E27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
    <w:name w:val="body text"/>
    <w:aliases w:val="bt,body tx,indent,flush,indent Char,body 4h,Body Text1"/>
    <w:basedOn w:val="Normal"/>
    <w:link w:val="bodytextChar"/>
    <w:rsid w:val="00E27B10"/>
    <w:pPr>
      <w:widowControl/>
      <w:spacing w:line="480" w:lineRule="auto"/>
      <w:ind w:firstLine="720"/>
    </w:pPr>
    <w:rPr>
      <w:snapToGrid/>
      <w:szCs w:val="24"/>
    </w:rPr>
  </w:style>
  <w:style w:type="character" w:customStyle="1" w:styleId="bodytextChar">
    <w:name w:val="body text Char"/>
    <w:aliases w:val="bt Char,body text Char Char,body tx Char,flush Char"/>
    <w:link w:val="bodytext"/>
    <w:rsid w:val="00E27B10"/>
    <w:rPr>
      <w:sz w:val="24"/>
      <w:szCs w:val="24"/>
      <w:lang w:val="en-US" w:eastAsia="en-US" w:bidi="ar-SA"/>
    </w:rPr>
  </w:style>
  <w:style w:type="paragraph" w:customStyle="1" w:styleId="bullets">
    <w:name w:val="bullets"/>
    <w:aliases w:val="bu"/>
    <w:basedOn w:val="Normal"/>
    <w:link w:val="bulletsChar"/>
    <w:rsid w:val="00601AE1"/>
    <w:pPr>
      <w:widowControl/>
      <w:numPr>
        <w:numId w:val="1"/>
      </w:numPr>
      <w:spacing w:line="480" w:lineRule="auto"/>
    </w:pPr>
    <w:rPr>
      <w:snapToGrid/>
      <w:szCs w:val="24"/>
    </w:rPr>
  </w:style>
  <w:style w:type="paragraph" w:customStyle="1" w:styleId="CharChar2CharCharCharCharCharCharCharCharCharCharCharCharChar">
    <w:name w:val=" Char Char2 Char Char Char Char Char Char Char Char Char Char Char Char Char"/>
    <w:basedOn w:val="Normal"/>
    <w:rsid w:val="00E27B10"/>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E27B10"/>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E27B10"/>
    <w:pPr>
      <w:keepLines/>
      <w:widowControl/>
      <w:spacing w:before="120" w:after="400"/>
      <w:ind w:left="180" w:hanging="180"/>
    </w:pPr>
    <w:rPr>
      <w:rFonts w:ascii="Verdana" w:hAnsi="Verdana"/>
      <w:snapToGrid/>
      <w:sz w:val="16"/>
    </w:rPr>
  </w:style>
  <w:style w:type="paragraph" w:customStyle="1" w:styleId="TableHeaders">
    <w:name w:val="Table Headers"/>
    <w:basedOn w:val="Normal"/>
    <w:qFormat/>
    <w:rsid w:val="00E27B10"/>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E27B10"/>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E27B10"/>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E27B10"/>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E27B10"/>
    <w:rPr>
      <w:rFonts w:ascii="Verdana" w:hAnsi="Verdana"/>
      <w:sz w:val="22"/>
      <w:szCs w:val="22"/>
      <w:lang w:val="en-US" w:eastAsia="en-US" w:bidi="ar-SA"/>
    </w:rPr>
  </w:style>
  <w:style w:type="paragraph" w:customStyle="1" w:styleId="Answer">
    <w:name w:val="Answer"/>
    <w:basedOn w:val="Normal"/>
    <w:rsid w:val="00E27B10"/>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link w:val="QuestionChar"/>
    <w:rsid w:val="00E27B10"/>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E27B10"/>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E27B10"/>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E27B10"/>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E27B10"/>
    <w:pPr>
      <w:numPr>
        <w:numId w:val="3"/>
      </w:numPr>
      <w:spacing w:after="120" w:line="260" w:lineRule="exact"/>
      <w:ind w:left="1440"/>
    </w:pPr>
    <w:rPr>
      <w:sz w:val="24"/>
    </w:rPr>
  </w:style>
  <w:style w:type="paragraph" w:customStyle="1" w:styleId="bullets-3rdlevel">
    <w:name w:val="bullets-3rd level"/>
    <w:rsid w:val="00E27B10"/>
    <w:pPr>
      <w:numPr>
        <w:numId w:val="2"/>
      </w:numPr>
      <w:tabs>
        <w:tab w:val="left" w:pos="1800"/>
      </w:tabs>
      <w:spacing w:after="120" w:line="260" w:lineRule="exact"/>
    </w:pPr>
    <w:rPr>
      <w:sz w:val="24"/>
    </w:rPr>
  </w:style>
  <w:style w:type="paragraph" w:customStyle="1" w:styleId="bullets-3rdlevelapps">
    <w:name w:val="bullets-3rd level apps"/>
    <w:rsid w:val="00E27B10"/>
    <w:pPr>
      <w:spacing w:after="120" w:line="260" w:lineRule="exact"/>
      <w:ind w:left="1710" w:hanging="360"/>
    </w:pPr>
    <w:rPr>
      <w:rFonts w:ascii="Verdana" w:hAnsi="Verdana"/>
      <w:sz w:val="22"/>
    </w:rPr>
  </w:style>
  <w:style w:type="paragraph" w:customStyle="1" w:styleId="Direction">
    <w:name w:val="Direction"/>
    <w:basedOn w:val="Normal"/>
    <w:rsid w:val="00E27B1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E27B10"/>
    <w:pPr>
      <w:widowControl/>
      <w:tabs>
        <w:tab w:val="left" w:pos="720"/>
      </w:tabs>
      <w:ind w:left="720" w:hanging="360"/>
    </w:pPr>
    <w:rPr>
      <w:snapToGrid/>
      <w:szCs w:val="24"/>
    </w:rPr>
  </w:style>
  <w:style w:type="paragraph" w:styleId="BodyText2">
    <w:name w:val="Body Text 2"/>
    <w:basedOn w:val="Normal"/>
    <w:rsid w:val="00E27B10"/>
    <w:pPr>
      <w:spacing w:after="120" w:line="480" w:lineRule="auto"/>
    </w:pPr>
  </w:style>
  <w:style w:type="paragraph" w:styleId="TOC1">
    <w:name w:val="toc 1"/>
    <w:basedOn w:val="Normal"/>
    <w:next w:val="Normal"/>
    <w:rsid w:val="00E27B10"/>
    <w:pPr>
      <w:widowControl/>
      <w:tabs>
        <w:tab w:val="right" w:leader="dot" w:pos="9360"/>
      </w:tabs>
      <w:spacing w:before="240" w:after="240"/>
      <w:ind w:left="907" w:right="720" w:hanging="547"/>
    </w:pPr>
    <w:rPr>
      <w:b/>
      <w:snapToGrid/>
    </w:rPr>
  </w:style>
  <w:style w:type="paragraph" w:styleId="TOC2">
    <w:name w:val="toc 2"/>
    <w:basedOn w:val="Normal"/>
    <w:next w:val="Normal"/>
    <w:rsid w:val="00E27B10"/>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E27B10"/>
    <w:pPr>
      <w:widowControl/>
      <w:tabs>
        <w:tab w:val="right" w:leader="dot" w:pos="9360"/>
      </w:tabs>
      <w:spacing w:before="120" w:after="120"/>
      <w:ind w:left="2160" w:right="720" w:hanging="720"/>
    </w:pPr>
    <w:rPr>
      <w:snapToGrid/>
    </w:rPr>
  </w:style>
  <w:style w:type="paragraph" w:styleId="Header">
    <w:name w:val="header"/>
    <w:basedOn w:val="Normal"/>
    <w:link w:val="HeaderChar"/>
    <w:rsid w:val="00E27B10"/>
    <w:pPr>
      <w:widowControl/>
      <w:tabs>
        <w:tab w:val="center" w:pos="4320"/>
        <w:tab w:val="right" w:pos="8640"/>
      </w:tabs>
    </w:pPr>
    <w:rPr>
      <w:snapToGrid/>
      <w:szCs w:val="24"/>
    </w:rPr>
  </w:style>
  <w:style w:type="character" w:customStyle="1" w:styleId="HeaderChar">
    <w:name w:val="Header Char"/>
    <w:link w:val="Header"/>
    <w:rsid w:val="00E27B10"/>
    <w:rPr>
      <w:sz w:val="24"/>
      <w:szCs w:val="24"/>
      <w:lang w:val="en-US" w:eastAsia="en-US" w:bidi="ar-SA"/>
    </w:rPr>
  </w:style>
  <w:style w:type="character" w:styleId="PageNumber">
    <w:name w:val="page number"/>
    <w:basedOn w:val="DefaultParagraphFont"/>
    <w:rsid w:val="00E27B10"/>
  </w:style>
  <w:style w:type="paragraph" w:styleId="Footer">
    <w:name w:val="footer"/>
    <w:basedOn w:val="Normal"/>
    <w:link w:val="FooterChar"/>
    <w:uiPriority w:val="99"/>
    <w:rsid w:val="00E27B10"/>
    <w:pPr>
      <w:tabs>
        <w:tab w:val="center" w:pos="4680"/>
        <w:tab w:val="right" w:pos="9360"/>
      </w:tabs>
    </w:pPr>
  </w:style>
  <w:style w:type="character" w:customStyle="1" w:styleId="FooterChar">
    <w:name w:val="Footer Char"/>
    <w:link w:val="Footer"/>
    <w:uiPriority w:val="99"/>
    <w:rsid w:val="00E27B10"/>
    <w:rPr>
      <w:rFonts w:ascii="Courier" w:hAnsi="Courier"/>
      <w:snapToGrid w:val="0"/>
      <w:sz w:val="24"/>
      <w:lang w:val="en-US" w:eastAsia="en-US" w:bidi="ar-SA"/>
    </w:rPr>
  </w:style>
  <w:style w:type="paragraph" w:customStyle="1" w:styleId="TableTitle">
    <w:name w:val="Table Title"/>
    <w:basedOn w:val="Normal"/>
    <w:qFormat/>
    <w:rsid w:val="00863C07"/>
    <w:pPr>
      <w:pageBreakBefore/>
      <w:spacing w:line="480" w:lineRule="auto"/>
      <w:ind w:left="1440" w:hanging="1440"/>
    </w:pPr>
    <w:rPr>
      <w:rFonts w:cs="Courier"/>
      <w:b/>
      <w:bCs/>
      <w:szCs w:val="24"/>
    </w:rPr>
  </w:style>
  <w:style w:type="paragraph" w:styleId="TOC5">
    <w:name w:val="toc 5"/>
    <w:basedOn w:val="Normal"/>
    <w:next w:val="Normal"/>
    <w:autoRedefine/>
    <w:rsid w:val="00E27B10"/>
    <w:pPr>
      <w:tabs>
        <w:tab w:val="left" w:pos="2160"/>
        <w:tab w:val="right" w:leader="dot" w:pos="9350"/>
      </w:tabs>
      <w:ind w:left="960" w:hanging="600"/>
    </w:pPr>
  </w:style>
  <w:style w:type="paragraph" w:styleId="TOCHeading">
    <w:name w:val="TOC Heading"/>
    <w:basedOn w:val="Heading1"/>
    <w:next w:val="Normal"/>
    <w:qFormat/>
    <w:rsid w:val="00E27B10"/>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E27B10"/>
    <w:pPr>
      <w:spacing w:before="120"/>
    </w:pPr>
    <w:rPr>
      <w:rFonts w:ascii="Cambria" w:hAnsi="Cambria"/>
      <w:b/>
      <w:bCs/>
      <w:szCs w:val="24"/>
    </w:rPr>
  </w:style>
  <w:style w:type="paragraph" w:styleId="TableofAuthorities">
    <w:name w:val="table of authorities"/>
    <w:basedOn w:val="Normal"/>
    <w:next w:val="Normal"/>
    <w:rsid w:val="00E27B10"/>
    <w:pPr>
      <w:ind w:left="240" w:hanging="240"/>
    </w:pPr>
  </w:style>
  <w:style w:type="paragraph" w:styleId="TOC4">
    <w:name w:val="toc 4"/>
    <w:basedOn w:val="Normal"/>
    <w:next w:val="Normal"/>
    <w:autoRedefine/>
    <w:rsid w:val="00E27B10"/>
    <w:pPr>
      <w:ind w:left="720"/>
    </w:pPr>
  </w:style>
  <w:style w:type="paragraph" w:styleId="TOC9">
    <w:name w:val="toc 9"/>
    <w:basedOn w:val="Normal"/>
    <w:next w:val="Normal"/>
    <w:autoRedefine/>
    <w:rsid w:val="00E27B10"/>
    <w:pPr>
      <w:ind w:left="1920"/>
    </w:pPr>
  </w:style>
  <w:style w:type="paragraph" w:styleId="TOC8">
    <w:name w:val="toc 8"/>
    <w:basedOn w:val="Normal"/>
    <w:next w:val="Normal"/>
    <w:autoRedefine/>
    <w:rsid w:val="00E27B10"/>
    <w:pPr>
      <w:ind w:left="1680"/>
    </w:pPr>
  </w:style>
  <w:style w:type="paragraph" w:styleId="TOC7">
    <w:name w:val="toc 7"/>
    <w:basedOn w:val="Normal"/>
    <w:next w:val="Normal"/>
    <w:autoRedefine/>
    <w:rsid w:val="00E27B10"/>
    <w:pPr>
      <w:ind w:left="1440"/>
    </w:pPr>
  </w:style>
  <w:style w:type="paragraph" w:styleId="TOC6">
    <w:name w:val="toc 6"/>
    <w:basedOn w:val="Normal"/>
    <w:next w:val="Normal"/>
    <w:autoRedefine/>
    <w:rsid w:val="00E27B10"/>
    <w:pPr>
      <w:ind w:left="1200"/>
    </w:pPr>
  </w:style>
  <w:style w:type="paragraph" w:customStyle="1" w:styleId="Cover-Title">
    <w:name w:val="Cover-Title"/>
    <w:basedOn w:val="Normal"/>
    <w:qFormat/>
    <w:rsid w:val="009908D9"/>
    <w:pPr>
      <w:widowControl/>
      <w:spacing w:line="480" w:lineRule="auto"/>
      <w:jc w:val="center"/>
    </w:pPr>
    <w:rPr>
      <w:b/>
      <w:bCs/>
      <w:snapToGrid/>
      <w:color w:val="000000"/>
      <w:spacing w:val="-6"/>
      <w:szCs w:val="24"/>
    </w:rPr>
  </w:style>
  <w:style w:type="character" w:customStyle="1" w:styleId="bulletsChar">
    <w:name w:val="bullets Char"/>
    <w:aliases w:val="bu Char,bullets Char Char"/>
    <w:link w:val="bullets"/>
    <w:rsid w:val="00601AE1"/>
    <w:rPr>
      <w:sz w:val="24"/>
      <w:szCs w:val="24"/>
    </w:rPr>
  </w:style>
  <w:style w:type="paragraph" w:styleId="FootnoteText">
    <w:name w:val="footnote text"/>
    <w:basedOn w:val="Normal"/>
    <w:link w:val="FootnoteTextChar"/>
    <w:rsid w:val="00AD4E83"/>
    <w:pPr>
      <w:widowControl/>
      <w:ind w:left="270" w:hanging="270"/>
    </w:pPr>
    <w:rPr>
      <w:rFonts w:ascii="Verdana" w:hAnsi="Verdana"/>
      <w:snapToGrid/>
      <w:sz w:val="18"/>
    </w:rPr>
  </w:style>
  <w:style w:type="character" w:customStyle="1" w:styleId="FootnoteTextChar">
    <w:name w:val="Footnote Text Char"/>
    <w:link w:val="FootnoteText"/>
    <w:rsid w:val="00AD4E83"/>
    <w:rPr>
      <w:rFonts w:ascii="Verdana" w:hAnsi="Verdana"/>
      <w:sz w:val="18"/>
    </w:rPr>
  </w:style>
  <w:style w:type="paragraph" w:styleId="BalloonText">
    <w:name w:val="Balloon Text"/>
    <w:basedOn w:val="Normal"/>
    <w:link w:val="BalloonTextChar"/>
    <w:uiPriority w:val="99"/>
    <w:rsid w:val="00E4686F"/>
    <w:rPr>
      <w:rFonts w:ascii="Tahoma" w:hAnsi="Tahoma" w:cs="Tahoma"/>
      <w:sz w:val="16"/>
      <w:szCs w:val="16"/>
    </w:rPr>
  </w:style>
  <w:style w:type="character" w:customStyle="1" w:styleId="BalloonTextChar">
    <w:name w:val="Balloon Text Char"/>
    <w:link w:val="BalloonText"/>
    <w:uiPriority w:val="99"/>
    <w:rsid w:val="00E4686F"/>
    <w:rPr>
      <w:rFonts w:ascii="Tahoma" w:hAnsi="Tahoma" w:cs="Tahoma"/>
      <w:snapToGrid w:val="0"/>
      <w:sz w:val="16"/>
      <w:szCs w:val="16"/>
    </w:rPr>
  </w:style>
  <w:style w:type="character" w:styleId="CommentReference">
    <w:name w:val="annotation reference"/>
    <w:rsid w:val="004725FA"/>
    <w:rPr>
      <w:sz w:val="16"/>
      <w:szCs w:val="16"/>
    </w:rPr>
  </w:style>
  <w:style w:type="paragraph" w:styleId="CommentText">
    <w:name w:val="annotation text"/>
    <w:basedOn w:val="Normal"/>
    <w:link w:val="CommentTextChar"/>
    <w:rsid w:val="004725FA"/>
    <w:rPr>
      <w:sz w:val="20"/>
    </w:rPr>
  </w:style>
  <w:style w:type="character" w:customStyle="1" w:styleId="CommentTextChar">
    <w:name w:val="Comment Text Char"/>
    <w:link w:val="CommentText"/>
    <w:rsid w:val="004725FA"/>
    <w:rPr>
      <w:rFonts w:ascii="Courier" w:hAnsi="Courier"/>
      <w:snapToGrid w:val="0"/>
    </w:rPr>
  </w:style>
  <w:style w:type="paragraph" w:styleId="CommentSubject">
    <w:name w:val="annotation subject"/>
    <w:basedOn w:val="CommentText"/>
    <w:next w:val="CommentText"/>
    <w:link w:val="CommentSubjectChar"/>
    <w:rsid w:val="004725FA"/>
    <w:rPr>
      <w:b/>
      <w:bCs/>
    </w:rPr>
  </w:style>
  <w:style w:type="character" w:customStyle="1" w:styleId="CommentSubjectChar">
    <w:name w:val="Comment Subject Char"/>
    <w:link w:val="CommentSubject"/>
    <w:rsid w:val="004725FA"/>
    <w:rPr>
      <w:rFonts w:ascii="Courier" w:hAnsi="Courier"/>
      <w:b/>
      <w:bCs/>
      <w:snapToGrid w:val="0"/>
    </w:rPr>
  </w:style>
  <w:style w:type="paragraph" w:customStyle="1" w:styleId="Heading2centered">
    <w:name w:val="Heading 2 centered"/>
    <w:basedOn w:val="Heading2"/>
    <w:qFormat/>
    <w:rsid w:val="00770020"/>
    <w:pPr>
      <w:spacing w:after="360"/>
      <w:jc w:val="center"/>
    </w:pPr>
  </w:style>
  <w:style w:type="paragraph" w:customStyle="1" w:styleId="Biblio">
    <w:name w:val="Biblio"/>
    <w:basedOn w:val="Normal"/>
    <w:qFormat/>
    <w:rsid w:val="00A842E8"/>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F240A7"/>
    <w:pPr>
      <w:spacing w:line="480" w:lineRule="auto"/>
    </w:pPr>
    <w:rPr>
      <w:rFonts w:eastAsia="SimSun"/>
      <w:szCs w:val="24"/>
      <w:lang w:eastAsia="zh-CN"/>
    </w:rPr>
  </w:style>
  <w:style w:type="paragraph" w:customStyle="1" w:styleId="Default">
    <w:name w:val="Default"/>
    <w:rsid w:val="00927AF1"/>
    <w:pPr>
      <w:autoSpaceDE w:val="0"/>
      <w:autoSpaceDN w:val="0"/>
      <w:adjustRightInd w:val="0"/>
    </w:pPr>
    <w:rPr>
      <w:color w:val="000000"/>
      <w:sz w:val="24"/>
      <w:szCs w:val="24"/>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0">
    <w:name w:val="Body Text"/>
    <w:basedOn w:val="Normal"/>
    <w:link w:val="BodyTextChar0"/>
    <w:rsid w:val="00C3031F"/>
    <w:pPr>
      <w:spacing w:line="480" w:lineRule="auto"/>
      <w:ind w:firstLine="720"/>
    </w:pPr>
  </w:style>
  <w:style w:type="character" w:customStyle="1" w:styleId="BodyTextChar0">
    <w:name w:val="Body Text Char"/>
    <w:link w:val="BodyText0"/>
    <w:rsid w:val="00C3031F"/>
    <w:rPr>
      <w:snapToGrid w:val="0"/>
      <w:sz w:val="24"/>
    </w:rPr>
  </w:style>
  <w:style w:type="paragraph" w:customStyle="1" w:styleId="Source">
    <w:name w:val="Source"/>
    <w:basedOn w:val="Normal"/>
    <w:rsid w:val="00973D43"/>
    <w:pPr>
      <w:keepLines/>
      <w:widowControl/>
      <w:spacing w:before="120"/>
      <w:ind w:left="216" w:hanging="216"/>
    </w:pPr>
    <w:rPr>
      <w:snapToGrid/>
      <w:sz w:val="18"/>
      <w:szCs w:val="18"/>
    </w:rPr>
  </w:style>
  <w:style w:type="table" w:styleId="TableGrid">
    <w:name w:val="Table Grid"/>
    <w:basedOn w:val="TableNormal"/>
    <w:uiPriority w:val="59"/>
    <w:rsid w:val="00973D43"/>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73D43"/>
    <w:pPr>
      <w:widowControl/>
      <w:spacing w:before="60" w:after="60"/>
    </w:pPr>
    <w:rPr>
      <w:rFonts w:ascii="Verdana" w:eastAsia="MS Mincho" w:hAnsi="Verdana"/>
      <w:snapToGrid/>
      <w:sz w:val="18"/>
    </w:rPr>
  </w:style>
  <w:style w:type="character" w:styleId="FootnoteReference">
    <w:name w:val="footnote reference"/>
    <w:rsid w:val="00973D43"/>
    <w:rPr>
      <w:position w:val="6"/>
      <w:sz w:val="16"/>
      <w:szCs w:val="16"/>
    </w:rPr>
  </w:style>
  <w:style w:type="character" w:styleId="Hyperlink">
    <w:name w:val="Hyperlink"/>
    <w:uiPriority w:val="99"/>
    <w:unhideWhenUsed/>
    <w:rsid w:val="00973D43"/>
    <w:rPr>
      <w:color w:val="0563C1"/>
      <w:u w:val="single"/>
    </w:rPr>
  </w:style>
  <w:style w:type="paragraph" w:styleId="Bibliography">
    <w:name w:val="Bibliography"/>
    <w:basedOn w:val="Normal"/>
    <w:next w:val="Normal"/>
    <w:uiPriority w:val="37"/>
    <w:semiHidden/>
    <w:unhideWhenUsed/>
    <w:rsid w:val="00E65777"/>
  </w:style>
  <w:style w:type="paragraph" w:customStyle="1" w:styleId="BulletBlack">
    <w:name w:val="Bullet_Black"/>
    <w:basedOn w:val="Normal"/>
    <w:uiPriority w:val="99"/>
    <w:rsid w:val="00C4268F"/>
    <w:pPr>
      <w:widowControl/>
      <w:numPr>
        <w:numId w:val="22"/>
      </w:numPr>
      <w:tabs>
        <w:tab w:val="left" w:pos="360"/>
      </w:tabs>
      <w:spacing w:after="120"/>
      <w:ind w:left="720" w:right="360" w:hanging="288"/>
      <w:jc w:val="both"/>
    </w:pPr>
    <w:rPr>
      <w:rFonts w:ascii="Garamond" w:hAnsi="Garamond"/>
      <w:snapToGrid/>
      <w:szCs w:val="24"/>
    </w:rPr>
  </w:style>
  <w:style w:type="paragraph" w:customStyle="1" w:styleId="BulletBlackLastDS">
    <w:name w:val="Bullet_Black (Last DS)"/>
    <w:basedOn w:val="Normal"/>
    <w:next w:val="Normal"/>
    <w:uiPriority w:val="99"/>
    <w:rsid w:val="00C4268F"/>
    <w:pPr>
      <w:widowControl/>
      <w:numPr>
        <w:numId w:val="4"/>
      </w:numPr>
      <w:tabs>
        <w:tab w:val="left" w:pos="360"/>
      </w:tabs>
      <w:spacing w:after="320"/>
      <w:ind w:left="720" w:right="360" w:hanging="288"/>
      <w:jc w:val="both"/>
    </w:pPr>
    <w:rPr>
      <w:rFonts w:ascii="Garamond" w:hAnsi="Garamond"/>
      <w:snapToGrid/>
      <w:szCs w:val="24"/>
    </w:rPr>
  </w:style>
  <w:style w:type="paragraph" w:customStyle="1" w:styleId="bodytextnoindnt">
    <w:name w:val="body text_noindnt"/>
    <w:basedOn w:val="Normal"/>
    <w:qFormat/>
    <w:rsid w:val="00C4268F"/>
    <w:pPr>
      <w:widowControl/>
      <w:tabs>
        <w:tab w:val="left" w:pos="432"/>
      </w:tabs>
      <w:spacing w:after="240"/>
      <w:jc w:val="both"/>
    </w:pPr>
    <w:rPr>
      <w:rFonts w:ascii="Garamond" w:hAnsi="Garamond"/>
      <w:b/>
      <w:snapToGrid/>
      <w:szCs w:val="24"/>
    </w:rPr>
  </w:style>
  <w:style w:type="paragraph" w:styleId="ListNumber">
    <w:name w:val="List Number"/>
    <w:basedOn w:val="Normal"/>
    <w:uiPriority w:val="99"/>
    <w:unhideWhenUsed/>
    <w:rsid w:val="00DE22F1"/>
    <w:pPr>
      <w:widowControl/>
      <w:numPr>
        <w:numId w:val="23"/>
      </w:numPr>
      <w:spacing w:after="120"/>
    </w:pPr>
    <w:rPr>
      <w:snapToGrid/>
      <w:sz w:val="22"/>
      <w:szCs w:val="22"/>
    </w:rPr>
  </w:style>
  <w:style w:type="paragraph" w:customStyle="1" w:styleId="biblio0">
    <w:name w:val="biblio"/>
    <w:basedOn w:val="Normal"/>
    <w:rsid w:val="009F7874"/>
    <w:pPr>
      <w:keepLines/>
      <w:widowControl/>
      <w:spacing w:after="240"/>
      <w:ind w:left="720" w:hanging="720"/>
    </w:pPr>
    <w:rPr>
      <w:snapToGrid/>
      <w:sz w:val="22"/>
    </w:rPr>
  </w:style>
  <w:style w:type="paragraph" w:customStyle="1" w:styleId="TOCSubhead">
    <w:name w:val="TOC Subhead"/>
    <w:basedOn w:val="TOC1"/>
    <w:rsid w:val="00537C29"/>
    <w:pPr>
      <w:tabs>
        <w:tab w:val="right" w:pos="9360"/>
      </w:tabs>
      <w:spacing w:before="360" w:after="0"/>
      <w:ind w:left="547"/>
    </w:pPr>
    <w:rPr>
      <w:rFonts w:ascii="Verdana" w:eastAsia="MS Mincho" w:hAnsi="Verdana"/>
      <w:noProof/>
      <w:sz w:val="20"/>
    </w:rPr>
  </w:style>
  <w:style w:type="character" w:customStyle="1" w:styleId="QuestionChar">
    <w:name w:val="Question Char"/>
    <w:link w:val="Question"/>
    <w:rsid w:val="00537C29"/>
    <w:rPr>
      <w:rFonts w:ascii="Verdana" w:hAnsi="Verdana"/>
      <w:sz w:val="22"/>
      <w:szCs w:val="22"/>
    </w:rPr>
  </w:style>
  <w:style w:type="character" w:styleId="Emphasis">
    <w:name w:val="Emphasis"/>
    <w:qFormat/>
    <w:rsid w:val="00E45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754274">
      <w:bodyDiv w:val="1"/>
      <w:marLeft w:val="0"/>
      <w:marRight w:val="0"/>
      <w:marTop w:val="0"/>
      <w:marBottom w:val="0"/>
      <w:divBdr>
        <w:top w:val="none" w:sz="0" w:space="0" w:color="auto"/>
        <w:left w:val="none" w:sz="0" w:space="0" w:color="auto"/>
        <w:bottom w:val="none" w:sz="0" w:space="0" w:color="auto"/>
        <w:right w:val="none" w:sz="0" w:space="0" w:color="auto"/>
      </w:divBdr>
    </w:div>
    <w:div w:id="19132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vt:lpstr>
    </vt:vector>
  </TitlesOfParts>
  <Company>USDA, FSIS</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joconnell</dc:creator>
  <cp:keywords/>
  <cp:lastModifiedBy>Kouba, Gina - FSIS</cp:lastModifiedBy>
  <cp:revision>2</cp:revision>
  <cp:lastPrinted>2016-11-02T14:20:00Z</cp:lastPrinted>
  <dcterms:created xsi:type="dcterms:W3CDTF">2020-08-06T13:29:00Z</dcterms:created>
  <dcterms:modified xsi:type="dcterms:W3CDTF">2020-08-06T13:29:00Z</dcterms:modified>
</cp:coreProperties>
</file>