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0C7" w:rsidP="00CF30C7" w:rsidRDefault="00CF30C7" w14:paraId="34C893E6" w14:textId="0827BF0E">
      <w:pPr>
        <w:jc w:val="center"/>
        <w:rPr>
          <w:sz w:val="24"/>
          <w:szCs w:val="24"/>
        </w:rPr>
      </w:pPr>
      <w:bookmarkStart w:name="_GoBack" w:id="0"/>
      <w:bookmarkEnd w:id="0"/>
      <w:r w:rsidRPr="00167DBD">
        <w:rPr>
          <w:sz w:val="24"/>
          <w:szCs w:val="24"/>
        </w:rPr>
        <w:t>National Credit Union Administration</w:t>
      </w:r>
    </w:p>
    <w:p w:rsidRPr="00CF30C7" w:rsidR="00617479" w:rsidRDefault="00943589" w14:paraId="14492B5B" w14:textId="41AA13DB">
      <w:pPr>
        <w:jc w:val="center"/>
        <w:rPr>
          <w:b/>
          <w:sz w:val="24"/>
          <w:szCs w:val="24"/>
        </w:rPr>
      </w:pPr>
      <w:r w:rsidRPr="00CF30C7">
        <w:rPr>
          <w:b/>
          <w:sz w:val="24"/>
          <w:szCs w:val="24"/>
        </w:rPr>
        <w:t>SUPPORTING STATEMENT</w:t>
      </w:r>
    </w:p>
    <w:p w:rsidR="001F71A7" w:rsidP="001F71A7" w:rsidRDefault="001F71A7" w14:paraId="25B03B2C" w14:textId="111AF9FD">
      <w:pPr>
        <w:jc w:val="center"/>
        <w:rPr>
          <w:b/>
          <w:sz w:val="24"/>
          <w:szCs w:val="24"/>
        </w:rPr>
      </w:pPr>
    </w:p>
    <w:p w:rsidRPr="00CF30C7" w:rsidR="001F71A7" w:rsidP="001F71A7" w:rsidRDefault="001F71A7" w14:paraId="06E54C64" w14:textId="74DACC37">
      <w:pPr>
        <w:jc w:val="center"/>
        <w:rPr>
          <w:sz w:val="24"/>
          <w:szCs w:val="24"/>
        </w:rPr>
      </w:pPr>
      <w:r w:rsidRPr="00CF30C7">
        <w:rPr>
          <w:sz w:val="24"/>
          <w:szCs w:val="24"/>
        </w:rPr>
        <w:t xml:space="preserve">Contractor’s Diversity Profile </w:t>
      </w:r>
    </w:p>
    <w:p w:rsidRPr="00CF30C7" w:rsidR="00FF3CE8" w:rsidP="00FF3CE8" w:rsidRDefault="00992412" w14:paraId="2048AD36" w14:textId="773BECDB">
      <w:pPr>
        <w:jc w:val="center"/>
        <w:rPr>
          <w:sz w:val="24"/>
          <w:szCs w:val="24"/>
        </w:rPr>
      </w:pPr>
      <w:r>
        <w:rPr>
          <w:sz w:val="24"/>
          <w:szCs w:val="24"/>
        </w:rPr>
        <w:t>OMB No. 3133</w:t>
      </w:r>
      <w:r w:rsidRPr="00CF30C7" w:rsidR="00CF30C7">
        <w:rPr>
          <w:sz w:val="24"/>
          <w:szCs w:val="24"/>
        </w:rPr>
        <w:t>-0196</w:t>
      </w:r>
    </w:p>
    <w:p w:rsidRPr="00167DBD" w:rsidR="00FF3CE8" w:rsidRDefault="00FF3CE8" w14:paraId="1F29A418" w14:textId="77777777">
      <w:pPr>
        <w:jc w:val="center"/>
        <w:rPr>
          <w:b/>
          <w:sz w:val="24"/>
          <w:szCs w:val="24"/>
        </w:rPr>
      </w:pPr>
    </w:p>
    <w:p w:rsidRPr="00167DBD" w:rsidR="006713D2" w:rsidRDefault="006713D2" w14:paraId="1B88FE65" w14:textId="77777777">
      <w:pPr>
        <w:rPr>
          <w:b/>
          <w:sz w:val="24"/>
          <w:szCs w:val="24"/>
          <w:u w:val="single"/>
        </w:rPr>
      </w:pPr>
    </w:p>
    <w:p w:rsidRPr="00167DBD" w:rsidR="00943589" w:rsidP="00617479" w:rsidRDefault="00617479" w14:paraId="71941BB7" w14:textId="77777777">
      <w:pPr>
        <w:pStyle w:val="ListParagraph"/>
        <w:numPr>
          <w:ilvl w:val="0"/>
          <w:numId w:val="5"/>
        </w:numPr>
        <w:tabs>
          <w:tab w:val="left" w:pos="720"/>
        </w:tabs>
        <w:ind w:hanging="720"/>
        <w:rPr>
          <w:b/>
          <w:sz w:val="24"/>
          <w:szCs w:val="24"/>
          <w:u w:val="single"/>
        </w:rPr>
      </w:pPr>
      <w:r w:rsidRPr="00167DBD">
        <w:rPr>
          <w:b/>
          <w:sz w:val="24"/>
          <w:szCs w:val="24"/>
          <w:u w:val="single"/>
        </w:rPr>
        <w:t>JUSTIFICATION</w:t>
      </w:r>
    </w:p>
    <w:p w:rsidRPr="00167DBD" w:rsidR="00943589" w:rsidP="00617479" w:rsidRDefault="00943589" w14:paraId="59F83011" w14:textId="77777777">
      <w:pPr>
        <w:tabs>
          <w:tab w:val="left" w:pos="720"/>
        </w:tabs>
        <w:ind w:left="720" w:hanging="720"/>
        <w:rPr>
          <w:sz w:val="24"/>
          <w:szCs w:val="24"/>
        </w:rPr>
      </w:pPr>
    </w:p>
    <w:p w:rsidRPr="00167DBD" w:rsidR="00943589" w:rsidP="00617479" w:rsidRDefault="003F7F78" w14:paraId="2158EE4B" w14:textId="5F82E121">
      <w:pPr>
        <w:pStyle w:val="ListParagraph"/>
        <w:numPr>
          <w:ilvl w:val="0"/>
          <w:numId w:val="6"/>
        </w:numPr>
        <w:tabs>
          <w:tab w:val="left" w:pos="720"/>
        </w:tabs>
        <w:ind w:hanging="720"/>
        <w:rPr>
          <w:sz w:val="24"/>
          <w:szCs w:val="24"/>
        </w:rPr>
      </w:pPr>
      <w:r w:rsidRPr="00167DBD">
        <w:rPr>
          <w:b/>
          <w:sz w:val="24"/>
          <w:szCs w:val="24"/>
        </w:rPr>
        <w:t>C</w:t>
      </w:r>
      <w:r w:rsidRPr="00167DBD" w:rsidR="00943589">
        <w:rPr>
          <w:b/>
          <w:sz w:val="24"/>
          <w:szCs w:val="24"/>
        </w:rPr>
        <w:t>ircumstances necessitat</w:t>
      </w:r>
      <w:r w:rsidRPr="00167DBD">
        <w:rPr>
          <w:b/>
          <w:sz w:val="24"/>
          <w:szCs w:val="24"/>
        </w:rPr>
        <w:t>ing</w:t>
      </w:r>
      <w:r w:rsidRPr="00167DBD" w:rsidR="00943589">
        <w:rPr>
          <w:b/>
          <w:sz w:val="24"/>
          <w:szCs w:val="24"/>
        </w:rPr>
        <w:t xml:space="preserve"> the collection</w:t>
      </w:r>
      <w:r w:rsidRPr="00167DBD">
        <w:rPr>
          <w:b/>
          <w:sz w:val="24"/>
          <w:szCs w:val="24"/>
        </w:rPr>
        <w:t xml:space="preserve"> of information</w:t>
      </w:r>
      <w:r w:rsidRPr="00167DBD" w:rsidR="00943589">
        <w:rPr>
          <w:b/>
          <w:sz w:val="24"/>
          <w:szCs w:val="24"/>
        </w:rPr>
        <w:t xml:space="preserve">.  </w:t>
      </w:r>
    </w:p>
    <w:p w:rsidRPr="00167DBD" w:rsidR="00943589" w:rsidP="00617479" w:rsidRDefault="00943589" w14:paraId="6BBA7F39" w14:textId="77777777">
      <w:pPr>
        <w:tabs>
          <w:tab w:val="left" w:pos="720"/>
        </w:tabs>
        <w:ind w:left="720" w:hanging="720"/>
        <w:rPr>
          <w:sz w:val="24"/>
          <w:szCs w:val="24"/>
        </w:rPr>
      </w:pPr>
    </w:p>
    <w:p w:rsidRPr="00167DBD" w:rsidR="00666348" w:rsidP="00617479" w:rsidRDefault="00617479" w14:paraId="6CAF8E96" w14:textId="77777777">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337453">
        <w:rPr>
          <w:rFonts w:ascii="Times New Roman" w:hAnsi="Times New Roman"/>
          <w:szCs w:val="24"/>
        </w:rPr>
        <w:t xml:space="preserve">In January 2011, NCUA created the Office of Minority and Women Inclusion (OMWI), per the requirements of Section 342 of the Dodd-Frank Act (the “Act”).  As part of its mission, the OMWI “implements standards and procedures to ensure, to the maximum extent possible, the fair inclusion and utilization of minorities, women, and minority-owned and women-owned businesses in all business activities of the agency”.  </w:t>
      </w:r>
    </w:p>
    <w:p w:rsidRPr="00167DBD" w:rsidR="00337453" w:rsidP="00617479" w:rsidRDefault="00337453" w14:paraId="25FE0B74" w14:textId="77777777">
      <w:pPr>
        <w:pStyle w:val="BodyText"/>
        <w:tabs>
          <w:tab w:val="left" w:pos="720"/>
        </w:tabs>
        <w:ind w:left="720" w:hanging="720"/>
        <w:rPr>
          <w:rFonts w:ascii="Times New Roman" w:hAnsi="Times New Roman"/>
          <w:szCs w:val="24"/>
        </w:rPr>
      </w:pPr>
    </w:p>
    <w:p w:rsidRPr="00167DBD" w:rsidR="00337453" w:rsidP="00617479" w:rsidRDefault="00617479" w14:paraId="1E0A1777" w14:textId="77777777">
      <w:pPr>
        <w:tabs>
          <w:tab w:val="left" w:pos="720"/>
        </w:tabs>
        <w:ind w:left="720" w:hanging="720"/>
        <w:rPr>
          <w:sz w:val="24"/>
          <w:szCs w:val="24"/>
        </w:rPr>
      </w:pPr>
      <w:r w:rsidRPr="00167DBD">
        <w:rPr>
          <w:sz w:val="24"/>
          <w:szCs w:val="24"/>
        </w:rPr>
        <w:tab/>
      </w:r>
      <w:r w:rsidRPr="00167DBD" w:rsidR="00337453">
        <w:rPr>
          <w:sz w:val="24"/>
          <w:szCs w:val="24"/>
        </w:rPr>
        <w:t>Paragraph (c) (2) of the Act (Contracts) states the OMWI shall have procedures that “include a written statement, in a form and with such content as the [OMWI] Director shall prescribe, that a contractor shall ensure, to the maximum extent possible, the fair inclusion of women and minorities in the workforce of the contractor and, as applicable, subcontractors.”</w:t>
      </w:r>
    </w:p>
    <w:p w:rsidRPr="00167DBD" w:rsidR="00337453" w:rsidP="00617479" w:rsidRDefault="00337453" w14:paraId="0432FE29" w14:textId="77777777">
      <w:pPr>
        <w:pStyle w:val="BodyText"/>
        <w:tabs>
          <w:tab w:val="left" w:pos="720"/>
        </w:tabs>
        <w:ind w:left="720" w:hanging="720"/>
        <w:rPr>
          <w:rFonts w:ascii="Times New Roman" w:hAnsi="Times New Roman"/>
          <w:szCs w:val="24"/>
        </w:rPr>
      </w:pPr>
    </w:p>
    <w:p w:rsidRPr="00167DBD" w:rsidR="00337453" w:rsidP="00617479" w:rsidRDefault="00617479" w14:paraId="334D1AC6" w14:textId="4EA692A4">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337453">
        <w:rPr>
          <w:rFonts w:ascii="Times New Roman" w:hAnsi="Times New Roman"/>
          <w:szCs w:val="24"/>
        </w:rPr>
        <w:t>Section 342(c)(3</w:t>
      </w:r>
      <w:r w:rsidRPr="00167DBD" w:rsidR="00DA3472">
        <w:rPr>
          <w:rFonts w:ascii="Times New Roman" w:hAnsi="Times New Roman"/>
          <w:szCs w:val="24"/>
        </w:rPr>
        <w:t>)</w:t>
      </w:r>
      <w:r w:rsidRPr="00167DBD" w:rsidR="00337453">
        <w:rPr>
          <w:rFonts w:ascii="Times New Roman" w:hAnsi="Times New Roman"/>
          <w:szCs w:val="24"/>
        </w:rPr>
        <w:t>(A)</w:t>
      </w:r>
      <w:r w:rsidRPr="00167DBD" w:rsidR="00DA3472">
        <w:rPr>
          <w:rFonts w:ascii="Times New Roman" w:hAnsi="Times New Roman"/>
          <w:szCs w:val="24"/>
        </w:rPr>
        <w:t xml:space="preserve"> </w:t>
      </w:r>
      <w:r w:rsidRPr="00167DBD" w:rsidR="003F7F78">
        <w:rPr>
          <w:rFonts w:ascii="Times New Roman" w:hAnsi="Times New Roman"/>
          <w:szCs w:val="24"/>
        </w:rPr>
        <w:t>(Determination)</w:t>
      </w:r>
      <w:r w:rsidRPr="00167DBD" w:rsidR="00DA3472">
        <w:rPr>
          <w:rFonts w:ascii="Times New Roman" w:hAnsi="Times New Roman"/>
          <w:szCs w:val="24"/>
        </w:rPr>
        <w:t xml:space="preserve"> </w:t>
      </w:r>
      <w:r w:rsidRPr="00167DBD" w:rsidR="00337453">
        <w:rPr>
          <w:rFonts w:ascii="Times New Roman" w:hAnsi="Times New Roman"/>
          <w:szCs w:val="24"/>
        </w:rPr>
        <w:t xml:space="preserve">states that “The standards and procedures developed and implemented under this subsection shall include a procedure for the Director to make a determination whether an agency contractor, and, as applicable, a subcontractor has failed to make a good faith effort to include minorities and women in their workforce.”  </w:t>
      </w:r>
    </w:p>
    <w:p w:rsidRPr="00167DBD" w:rsidR="00337453" w:rsidP="00617479" w:rsidRDefault="00337453" w14:paraId="3008FA64" w14:textId="77777777">
      <w:pPr>
        <w:pStyle w:val="BodyText"/>
        <w:tabs>
          <w:tab w:val="left" w:pos="720"/>
        </w:tabs>
        <w:ind w:left="720" w:hanging="720"/>
        <w:rPr>
          <w:rFonts w:ascii="Times New Roman" w:hAnsi="Times New Roman"/>
          <w:szCs w:val="24"/>
        </w:rPr>
      </w:pPr>
    </w:p>
    <w:p w:rsidRPr="00167DBD" w:rsidR="00DA3472" w:rsidP="00617479" w:rsidRDefault="00617479" w14:paraId="637AADB6" w14:textId="77777777">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337453">
        <w:rPr>
          <w:rFonts w:ascii="Times New Roman" w:hAnsi="Times New Roman"/>
          <w:szCs w:val="24"/>
        </w:rPr>
        <w:t xml:space="preserve">In order to meet the requirements of this section, NCUA must collect sufficient relevant information related to an agency contractor’s, and, as applicable, a subcontractor’s good faith efforts to include minorities and women in their workforce.  </w:t>
      </w:r>
    </w:p>
    <w:p w:rsidRPr="00167DBD" w:rsidR="00D05926" w:rsidP="00617479" w:rsidRDefault="00D05926" w14:paraId="746701B8" w14:textId="77777777">
      <w:pPr>
        <w:tabs>
          <w:tab w:val="left" w:pos="720"/>
        </w:tabs>
        <w:ind w:left="720" w:hanging="720"/>
        <w:rPr>
          <w:sz w:val="24"/>
          <w:szCs w:val="24"/>
        </w:rPr>
      </w:pPr>
    </w:p>
    <w:p w:rsidRPr="00167DBD" w:rsidR="00617479" w:rsidP="00617479" w:rsidRDefault="00CF30C7" w14:paraId="2EB9F18C" w14:textId="2E45AAB6">
      <w:pPr>
        <w:pStyle w:val="ListParagraph"/>
        <w:numPr>
          <w:ilvl w:val="0"/>
          <w:numId w:val="6"/>
        </w:numPr>
        <w:tabs>
          <w:tab w:val="left" w:pos="720"/>
        </w:tabs>
        <w:ind w:hanging="720"/>
        <w:rPr>
          <w:b/>
          <w:sz w:val="24"/>
          <w:szCs w:val="24"/>
        </w:rPr>
      </w:pPr>
      <w:r>
        <w:rPr>
          <w:b/>
          <w:sz w:val="24"/>
          <w:szCs w:val="24"/>
        </w:rPr>
        <w:t>Purpose and use of information collection</w:t>
      </w:r>
      <w:r w:rsidRPr="00167DBD" w:rsidR="003F7F78">
        <w:rPr>
          <w:b/>
          <w:sz w:val="24"/>
          <w:szCs w:val="24"/>
        </w:rPr>
        <w:t xml:space="preserve">. </w:t>
      </w:r>
    </w:p>
    <w:p w:rsidRPr="00167DBD" w:rsidR="00943589" w:rsidRDefault="00943589" w14:paraId="3E8207FB" w14:textId="77777777">
      <w:pPr>
        <w:rPr>
          <w:sz w:val="24"/>
          <w:szCs w:val="24"/>
        </w:rPr>
      </w:pPr>
    </w:p>
    <w:p w:rsidR="00737530" w:rsidP="004F128F" w:rsidRDefault="00122D11" w14:paraId="18452FE7" w14:textId="1FE2DBFC">
      <w:pPr>
        <w:ind w:left="720"/>
        <w:rPr>
          <w:sz w:val="24"/>
          <w:szCs w:val="24"/>
        </w:rPr>
      </w:pPr>
      <w:r>
        <w:rPr>
          <w:sz w:val="24"/>
          <w:szCs w:val="24"/>
        </w:rPr>
        <w:t>In</w:t>
      </w:r>
      <w:r w:rsidRPr="00B252AD" w:rsidR="00167DBD">
        <w:rPr>
          <w:sz w:val="24"/>
          <w:szCs w:val="24"/>
        </w:rPr>
        <w:t xml:space="preserve"> </w:t>
      </w:r>
      <w:r w:rsidR="00167DBD">
        <w:rPr>
          <w:sz w:val="24"/>
          <w:szCs w:val="24"/>
        </w:rPr>
        <w:t>order to ensure</w:t>
      </w:r>
      <w:r w:rsidR="009472DE">
        <w:rPr>
          <w:sz w:val="24"/>
          <w:szCs w:val="24"/>
        </w:rPr>
        <w:t xml:space="preserve"> </w:t>
      </w:r>
      <w:r w:rsidR="00167DBD">
        <w:rPr>
          <w:sz w:val="24"/>
          <w:szCs w:val="24"/>
        </w:rPr>
        <w:t>to the maximum extent possible, the fair inclusion of minorities and women in the workforce of NCUA contract</w:t>
      </w:r>
      <w:r w:rsidR="001A5B22">
        <w:rPr>
          <w:sz w:val="24"/>
          <w:szCs w:val="24"/>
        </w:rPr>
        <w:t>ors</w:t>
      </w:r>
      <w:r w:rsidR="00167DBD">
        <w:rPr>
          <w:sz w:val="24"/>
          <w:szCs w:val="24"/>
        </w:rPr>
        <w:t>, and</w:t>
      </w:r>
      <w:r w:rsidR="001A5B22">
        <w:rPr>
          <w:sz w:val="24"/>
          <w:szCs w:val="24"/>
        </w:rPr>
        <w:t>,</w:t>
      </w:r>
      <w:r w:rsidR="00167DBD">
        <w:rPr>
          <w:sz w:val="24"/>
          <w:szCs w:val="24"/>
        </w:rPr>
        <w:t xml:space="preserve"> as applicable, subcontractors, each new contract award whose dollar value exceeds $100,000 </w:t>
      </w:r>
      <w:r w:rsidR="004F128F">
        <w:rPr>
          <w:sz w:val="24"/>
          <w:szCs w:val="24"/>
        </w:rPr>
        <w:t>will</w:t>
      </w:r>
      <w:r w:rsidR="00167DBD">
        <w:rPr>
          <w:sz w:val="24"/>
          <w:szCs w:val="24"/>
        </w:rPr>
        <w:t xml:space="preserve"> include a </w:t>
      </w:r>
      <w:r w:rsidRPr="004F128F" w:rsidR="00167DBD">
        <w:rPr>
          <w:sz w:val="24"/>
          <w:szCs w:val="24"/>
        </w:rPr>
        <w:t xml:space="preserve">Good Faith Effort </w:t>
      </w:r>
      <w:r w:rsidRPr="004F128F" w:rsidR="00E261B6">
        <w:rPr>
          <w:sz w:val="24"/>
          <w:szCs w:val="24"/>
        </w:rPr>
        <w:t>(GFE)</w:t>
      </w:r>
      <w:r w:rsidR="00E261B6">
        <w:rPr>
          <w:b/>
          <w:sz w:val="24"/>
          <w:szCs w:val="24"/>
        </w:rPr>
        <w:t xml:space="preserve"> </w:t>
      </w:r>
      <w:r w:rsidRPr="004F128F" w:rsidR="00167DBD">
        <w:rPr>
          <w:sz w:val="24"/>
          <w:szCs w:val="24"/>
        </w:rPr>
        <w:t>Certification</w:t>
      </w:r>
      <w:r w:rsidR="004F128F">
        <w:rPr>
          <w:sz w:val="24"/>
          <w:szCs w:val="24"/>
        </w:rPr>
        <w:t>.  This</w:t>
      </w:r>
      <w:r w:rsidR="00167DBD">
        <w:rPr>
          <w:sz w:val="24"/>
          <w:szCs w:val="24"/>
        </w:rPr>
        <w:t xml:space="preserve"> certification is included in the solicitation package and returned to NCUA as part</w:t>
      </w:r>
      <w:r w:rsidR="00C37125">
        <w:rPr>
          <w:sz w:val="24"/>
          <w:szCs w:val="24"/>
        </w:rPr>
        <w:t xml:space="preserve"> of</w:t>
      </w:r>
      <w:r w:rsidR="00167DBD">
        <w:rPr>
          <w:sz w:val="24"/>
          <w:szCs w:val="24"/>
        </w:rPr>
        <w:t xml:space="preserve"> the contractor’s proposal</w:t>
      </w:r>
      <w:r w:rsidR="004F128F">
        <w:rPr>
          <w:sz w:val="24"/>
          <w:szCs w:val="24"/>
        </w:rPr>
        <w:t xml:space="preserve">, with the understanding </w:t>
      </w:r>
      <w:r w:rsidR="00737530">
        <w:rPr>
          <w:sz w:val="24"/>
          <w:szCs w:val="24"/>
        </w:rPr>
        <w:t>that the contractor may</w:t>
      </w:r>
      <w:r w:rsidR="00F41CFF">
        <w:rPr>
          <w:sz w:val="24"/>
          <w:szCs w:val="24"/>
        </w:rPr>
        <w:t xml:space="preserve"> </w:t>
      </w:r>
      <w:r w:rsidR="00737530">
        <w:rPr>
          <w:sz w:val="24"/>
          <w:szCs w:val="24"/>
        </w:rPr>
        <w:t>be required to provide documentation in support of certification.</w:t>
      </w:r>
    </w:p>
    <w:p w:rsidR="003B2A00" w:rsidP="00167DBD" w:rsidRDefault="003B2A00" w14:paraId="5DDD733F" w14:textId="77777777">
      <w:pPr>
        <w:ind w:left="720"/>
        <w:rPr>
          <w:sz w:val="24"/>
          <w:szCs w:val="24"/>
        </w:rPr>
      </w:pPr>
    </w:p>
    <w:p w:rsidR="00167DBD" w:rsidP="00167DBD" w:rsidRDefault="00167DBD" w14:paraId="6CE96A29" w14:textId="17A39212">
      <w:pPr>
        <w:ind w:left="720"/>
        <w:rPr>
          <w:sz w:val="24"/>
          <w:szCs w:val="24"/>
        </w:rPr>
      </w:pPr>
      <w:r>
        <w:rPr>
          <w:sz w:val="24"/>
          <w:szCs w:val="24"/>
        </w:rPr>
        <w:t xml:space="preserve">NCUA reviews the purchase requisitions to ensure affected contractors have a valid GFE Certification signed within the 12 months prior to a GFE Contractor’s review. </w:t>
      </w:r>
    </w:p>
    <w:p w:rsidR="00E261B6" w:rsidP="00167DBD" w:rsidRDefault="00E261B6" w14:paraId="04D915F2" w14:textId="77777777">
      <w:pPr>
        <w:ind w:left="720"/>
        <w:rPr>
          <w:sz w:val="24"/>
          <w:szCs w:val="24"/>
        </w:rPr>
      </w:pPr>
    </w:p>
    <w:p w:rsidR="00287994" w:rsidP="00167DBD" w:rsidRDefault="00287994" w14:paraId="6A431DEA" w14:textId="51EF042E">
      <w:pPr>
        <w:ind w:left="720"/>
        <w:rPr>
          <w:sz w:val="24"/>
          <w:szCs w:val="24"/>
        </w:rPr>
      </w:pPr>
      <w:r>
        <w:rPr>
          <w:sz w:val="24"/>
          <w:szCs w:val="24"/>
        </w:rPr>
        <w:lastRenderedPageBreak/>
        <w:t xml:space="preserve">Contractors will be reviewed on their compliance with the clauses of the NCUA GFE Certification on a 2-year cycle.  </w:t>
      </w:r>
      <w:r w:rsidR="00E815D7">
        <w:rPr>
          <w:sz w:val="24"/>
          <w:szCs w:val="24"/>
        </w:rPr>
        <w:t>As part of this compliance review, s</w:t>
      </w:r>
      <w:r>
        <w:rPr>
          <w:sz w:val="24"/>
          <w:szCs w:val="24"/>
        </w:rPr>
        <w:t xml:space="preserve">elected contractors will be sent a </w:t>
      </w:r>
      <w:r w:rsidRPr="00E815D7">
        <w:rPr>
          <w:sz w:val="24"/>
          <w:szCs w:val="24"/>
        </w:rPr>
        <w:t>Contractor Diversity Profile</w:t>
      </w:r>
      <w:r>
        <w:rPr>
          <w:sz w:val="24"/>
          <w:szCs w:val="24"/>
        </w:rPr>
        <w:t xml:space="preserve"> </w:t>
      </w:r>
      <w:r w:rsidR="00E261B6">
        <w:rPr>
          <w:sz w:val="24"/>
          <w:szCs w:val="24"/>
        </w:rPr>
        <w:t>to provide documentation outlined in the GFE certification</w:t>
      </w:r>
      <w:r w:rsidR="00E815D7">
        <w:rPr>
          <w:sz w:val="24"/>
          <w:szCs w:val="24"/>
        </w:rPr>
        <w:t xml:space="preserve"> to NCUA</w:t>
      </w:r>
      <w:r w:rsidR="00E261B6">
        <w:rPr>
          <w:sz w:val="24"/>
          <w:szCs w:val="24"/>
        </w:rPr>
        <w:t xml:space="preserve">.  </w:t>
      </w:r>
      <w:r w:rsidR="00EE2A21">
        <w:rPr>
          <w:sz w:val="24"/>
          <w:szCs w:val="24"/>
        </w:rPr>
        <w:t xml:space="preserve">The contractor </w:t>
      </w:r>
      <w:r w:rsidR="001A5B22">
        <w:rPr>
          <w:sz w:val="24"/>
          <w:szCs w:val="24"/>
        </w:rPr>
        <w:t>will</w:t>
      </w:r>
      <w:r w:rsidR="00EE2A21">
        <w:rPr>
          <w:sz w:val="24"/>
          <w:szCs w:val="24"/>
        </w:rPr>
        <w:t xml:space="preserve"> provide current information on their diversity strategy, policies, recruitment, planning and outreach; and may be required to provide supporting documentation</w:t>
      </w:r>
      <w:r w:rsidR="003A273B">
        <w:rPr>
          <w:sz w:val="24"/>
          <w:szCs w:val="24"/>
        </w:rPr>
        <w:t xml:space="preserve">.  </w:t>
      </w:r>
      <w:r w:rsidR="00EE2A21">
        <w:rPr>
          <w:sz w:val="24"/>
          <w:szCs w:val="24"/>
        </w:rPr>
        <w:t>The completed Profile is returned to NCUA 15 days after receipt by the contractor.</w:t>
      </w:r>
    </w:p>
    <w:p w:rsidRPr="00167DBD" w:rsidR="00337453" w:rsidP="00B11F42" w:rsidRDefault="00337453" w14:paraId="28F82970" w14:textId="77777777">
      <w:pPr>
        <w:pStyle w:val="BodyText"/>
        <w:tabs>
          <w:tab w:val="left" w:pos="720"/>
        </w:tabs>
        <w:ind w:left="720" w:hanging="720"/>
        <w:rPr>
          <w:rFonts w:ascii="Times New Roman" w:hAnsi="Times New Roman"/>
          <w:szCs w:val="24"/>
        </w:rPr>
      </w:pPr>
    </w:p>
    <w:p w:rsidRPr="00167DBD" w:rsidR="00943589" w:rsidP="00B11F42" w:rsidRDefault="007B5AE0" w14:paraId="535A8341" w14:textId="09EA1172">
      <w:pPr>
        <w:pStyle w:val="ListParagraph"/>
        <w:numPr>
          <w:ilvl w:val="0"/>
          <w:numId w:val="6"/>
        </w:numPr>
        <w:tabs>
          <w:tab w:val="left" w:pos="720"/>
        </w:tabs>
        <w:ind w:hanging="720"/>
        <w:rPr>
          <w:b/>
          <w:sz w:val="24"/>
          <w:szCs w:val="24"/>
        </w:rPr>
      </w:pPr>
      <w:r w:rsidRPr="00167DBD">
        <w:rPr>
          <w:b/>
          <w:sz w:val="24"/>
          <w:szCs w:val="24"/>
        </w:rPr>
        <w:t>Use of</w:t>
      </w:r>
      <w:r w:rsidR="00CF30C7">
        <w:rPr>
          <w:b/>
          <w:sz w:val="24"/>
          <w:szCs w:val="24"/>
        </w:rPr>
        <w:t xml:space="preserve"> </w:t>
      </w:r>
      <w:r w:rsidRPr="00167DBD">
        <w:rPr>
          <w:b/>
          <w:sz w:val="24"/>
          <w:szCs w:val="24"/>
        </w:rPr>
        <w:t>information technology.</w:t>
      </w:r>
    </w:p>
    <w:p w:rsidRPr="00167DBD" w:rsidR="00943589" w:rsidP="00B11F42" w:rsidRDefault="00943589" w14:paraId="526A3F16" w14:textId="77777777">
      <w:pPr>
        <w:tabs>
          <w:tab w:val="left" w:pos="720"/>
        </w:tabs>
        <w:ind w:left="720" w:hanging="720"/>
        <w:rPr>
          <w:sz w:val="24"/>
          <w:szCs w:val="24"/>
        </w:rPr>
      </w:pPr>
    </w:p>
    <w:p w:rsidRPr="00167DBD" w:rsidR="00943589" w:rsidP="00B11F42" w:rsidRDefault="00B11F42" w14:paraId="51030D1A" w14:textId="09C6768D">
      <w:pPr>
        <w:tabs>
          <w:tab w:val="left" w:pos="720"/>
        </w:tabs>
        <w:ind w:left="720" w:hanging="720"/>
        <w:rPr>
          <w:sz w:val="24"/>
          <w:szCs w:val="24"/>
        </w:rPr>
      </w:pPr>
      <w:r w:rsidRPr="00167DBD">
        <w:rPr>
          <w:sz w:val="24"/>
          <w:szCs w:val="24"/>
        </w:rPr>
        <w:tab/>
      </w:r>
      <w:r w:rsidRPr="00167DBD" w:rsidR="00C05CA7">
        <w:rPr>
          <w:sz w:val="24"/>
          <w:szCs w:val="24"/>
        </w:rPr>
        <w:t xml:space="preserve">Although this collection </w:t>
      </w:r>
      <w:r w:rsidR="00F41CFF">
        <w:rPr>
          <w:sz w:val="24"/>
          <w:szCs w:val="24"/>
        </w:rPr>
        <w:t>may be</w:t>
      </w:r>
      <w:r w:rsidRPr="00167DBD" w:rsidR="00C05CA7">
        <w:rPr>
          <w:sz w:val="24"/>
          <w:szCs w:val="24"/>
        </w:rPr>
        <w:t xml:space="preserve"> co</w:t>
      </w:r>
      <w:r w:rsidRPr="00167DBD" w:rsidR="00607147">
        <w:rPr>
          <w:sz w:val="24"/>
          <w:szCs w:val="24"/>
        </w:rPr>
        <w:t>mpleted in manual</w:t>
      </w:r>
      <w:r w:rsidR="009472DE">
        <w:rPr>
          <w:sz w:val="24"/>
          <w:szCs w:val="24"/>
        </w:rPr>
        <w:t xml:space="preserve"> </w:t>
      </w:r>
      <w:r w:rsidRPr="00167DBD" w:rsidR="00607147">
        <w:rPr>
          <w:sz w:val="24"/>
          <w:szCs w:val="24"/>
        </w:rPr>
        <w:t xml:space="preserve">paper form, contractors can </w:t>
      </w:r>
      <w:r w:rsidR="00F41CFF">
        <w:rPr>
          <w:sz w:val="24"/>
          <w:szCs w:val="24"/>
        </w:rPr>
        <w:t xml:space="preserve">complete and </w:t>
      </w:r>
      <w:r w:rsidRPr="00167DBD" w:rsidR="00607147">
        <w:rPr>
          <w:sz w:val="24"/>
          <w:szCs w:val="24"/>
        </w:rPr>
        <w:t xml:space="preserve">submit </w:t>
      </w:r>
      <w:r w:rsidR="00F41CFF">
        <w:rPr>
          <w:sz w:val="24"/>
          <w:szCs w:val="24"/>
        </w:rPr>
        <w:t xml:space="preserve">the </w:t>
      </w:r>
      <w:r w:rsidRPr="00167DBD" w:rsidR="00607147">
        <w:rPr>
          <w:sz w:val="24"/>
          <w:szCs w:val="24"/>
        </w:rPr>
        <w:t>information electronically via email.</w:t>
      </w:r>
      <w:r w:rsidRPr="00167DBD" w:rsidR="00C05CA7">
        <w:rPr>
          <w:sz w:val="24"/>
          <w:szCs w:val="24"/>
        </w:rPr>
        <w:t xml:space="preserve">  The use of this electronic format significantly reduces the burden to vendors by avoiding having to print, manually complete,</w:t>
      </w:r>
      <w:r w:rsidR="00A4469A">
        <w:rPr>
          <w:sz w:val="24"/>
          <w:szCs w:val="24"/>
        </w:rPr>
        <w:t xml:space="preserve"> and then fax or </w:t>
      </w:r>
      <w:r w:rsidRPr="00167DBD" w:rsidR="00607147">
        <w:rPr>
          <w:sz w:val="24"/>
          <w:szCs w:val="24"/>
        </w:rPr>
        <w:t>mail the form.</w:t>
      </w:r>
      <w:r w:rsidRPr="00167DBD" w:rsidR="00C05CA7">
        <w:rPr>
          <w:sz w:val="24"/>
          <w:szCs w:val="24"/>
        </w:rPr>
        <w:t xml:space="preserve">  </w:t>
      </w:r>
    </w:p>
    <w:p w:rsidRPr="00167DBD" w:rsidR="009665E1" w:rsidP="00B11F42" w:rsidRDefault="009665E1" w14:paraId="7D1A7DAD" w14:textId="77777777">
      <w:pPr>
        <w:tabs>
          <w:tab w:val="left" w:pos="720"/>
        </w:tabs>
        <w:ind w:left="720" w:hanging="720"/>
        <w:rPr>
          <w:sz w:val="24"/>
          <w:szCs w:val="24"/>
        </w:rPr>
      </w:pPr>
    </w:p>
    <w:p w:rsidRPr="00167DBD" w:rsidR="00943589" w:rsidP="00B11F42" w:rsidRDefault="00B11F42" w14:paraId="49AFAB78" w14:textId="1163DBE3">
      <w:pPr>
        <w:tabs>
          <w:tab w:val="left" w:pos="720"/>
        </w:tabs>
        <w:ind w:left="720" w:hanging="720"/>
        <w:rPr>
          <w:sz w:val="24"/>
          <w:szCs w:val="24"/>
        </w:rPr>
      </w:pPr>
      <w:r w:rsidRPr="00167DBD">
        <w:rPr>
          <w:b/>
          <w:sz w:val="24"/>
          <w:szCs w:val="24"/>
        </w:rPr>
        <w:t>4.</w:t>
      </w:r>
      <w:r w:rsidRPr="00167DBD">
        <w:rPr>
          <w:b/>
          <w:sz w:val="24"/>
          <w:szCs w:val="24"/>
        </w:rPr>
        <w:tab/>
      </w:r>
      <w:r w:rsidR="00CF30C7">
        <w:rPr>
          <w:b/>
          <w:sz w:val="24"/>
          <w:szCs w:val="24"/>
        </w:rPr>
        <w:t>Duplication of information</w:t>
      </w:r>
      <w:r w:rsidRPr="00167DBD" w:rsidR="00943589">
        <w:rPr>
          <w:b/>
          <w:sz w:val="24"/>
          <w:szCs w:val="24"/>
        </w:rPr>
        <w:t xml:space="preserve">.  </w:t>
      </w:r>
    </w:p>
    <w:p w:rsidRPr="00167DBD" w:rsidR="00B11F42" w:rsidP="00B11F42" w:rsidRDefault="00B11F42" w14:paraId="7351EB70" w14:textId="77777777">
      <w:pPr>
        <w:pStyle w:val="BodyText"/>
        <w:tabs>
          <w:tab w:val="left" w:pos="720"/>
        </w:tabs>
        <w:ind w:left="720" w:hanging="720"/>
        <w:rPr>
          <w:rFonts w:ascii="Times New Roman" w:hAnsi="Times New Roman"/>
          <w:szCs w:val="24"/>
        </w:rPr>
      </w:pPr>
    </w:p>
    <w:p w:rsidRPr="00167DBD" w:rsidR="00607147" w:rsidP="00B11F42" w:rsidRDefault="00B11F42" w14:paraId="28C22784" w14:textId="77777777">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607147">
        <w:rPr>
          <w:rFonts w:ascii="Times New Roman" w:hAnsi="Times New Roman"/>
          <w:szCs w:val="24"/>
        </w:rPr>
        <w:t>NCUA’s plan to meet the good faith efforts determination requirement will focus solely on contractors and subcontractors that meet the following requirements:</w:t>
      </w:r>
    </w:p>
    <w:p w:rsidRPr="00167DBD" w:rsidR="00607147" w:rsidP="00B11F42" w:rsidRDefault="00607147" w14:paraId="3B72C84C" w14:textId="77777777">
      <w:pPr>
        <w:pStyle w:val="BodyText"/>
        <w:tabs>
          <w:tab w:val="left" w:pos="720"/>
        </w:tabs>
        <w:ind w:left="720" w:hanging="720"/>
        <w:rPr>
          <w:rFonts w:ascii="Times New Roman" w:hAnsi="Times New Roman"/>
          <w:szCs w:val="24"/>
        </w:rPr>
      </w:pPr>
    </w:p>
    <w:p w:rsidRPr="00167DBD" w:rsidR="00607147" w:rsidP="00B11F42" w:rsidRDefault="00607147" w14:paraId="3D7AE12E" w14:textId="6ADE64A9">
      <w:pPr>
        <w:pStyle w:val="BodyText"/>
        <w:numPr>
          <w:ilvl w:val="0"/>
          <w:numId w:val="4"/>
        </w:numPr>
        <w:tabs>
          <w:tab w:val="left" w:pos="1260"/>
        </w:tabs>
        <w:ind w:left="1260" w:hanging="540"/>
        <w:rPr>
          <w:rFonts w:ascii="Times New Roman" w:hAnsi="Times New Roman"/>
          <w:szCs w:val="24"/>
        </w:rPr>
      </w:pPr>
      <w:r w:rsidRPr="00167DBD">
        <w:rPr>
          <w:rFonts w:ascii="Times New Roman" w:hAnsi="Times New Roman"/>
          <w:szCs w:val="24"/>
        </w:rPr>
        <w:t>Perform on any single contract that exceeds $100,000, and;</w:t>
      </w:r>
    </w:p>
    <w:p w:rsidRPr="00167DBD" w:rsidR="00607147" w:rsidP="00B11F42" w:rsidRDefault="000333CE" w14:paraId="2E1D65D2" w14:textId="77777777">
      <w:pPr>
        <w:pStyle w:val="BodyText"/>
        <w:numPr>
          <w:ilvl w:val="0"/>
          <w:numId w:val="4"/>
        </w:numPr>
        <w:tabs>
          <w:tab w:val="left" w:pos="1260"/>
        </w:tabs>
        <w:ind w:left="1260" w:hanging="540"/>
        <w:rPr>
          <w:rFonts w:ascii="Times New Roman" w:hAnsi="Times New Roman"/>
          <w:szCs w:val="24"/>
        </w:rPr>
      </w:pPr>
      <w:r w:rsidRPr="00167DBD">
        <w:rPr>
          <w:rFonts w:ascii="Times New Roman" w:hAnsi="Times New Roman"/>
          <w:szCs w:val="24"/>
        </w:rPr>
        <w:t>Have 50</w:t>
      </w:r>
      <w:r w:rsidRPr="00167DBD" w:rsidR="00A223C7">
        <w:rPr>
          <w:rFonts w:ascii="Times New Roman" w:hAnsi="Times New Roman"/>
          <w:szCs w:val="24"/>
        </w:rPr>
        <w:t xml:space="preserve"> or more employees.</w:t>
      </w:r>
    </w:p>
    <w:p w:rsidRPr="00167DBD" w:rsidR="00A223C7" w:rsidP="00B11F42" w:rsidRDefault="00A223C7" w14:paraId="38D80766" w14:textId="77777777">
      <w:pPr>
        <w:pStyle w:val="BodyText"/>
        <w:tabs>
          <w:tab w:val="left" w:pos="720"/>
        </w:tabs>
        <w:ind w:left="720" w:hanging="720"/>
        <w:rPr>
          <w:rFonts w:ascii="Times New Roman" w:hAnsi="Times New Roman"/>
          <w:szCs w:val="24"/>
        </w:rPr>
      </w:pPr>
    </w:p>
    <w:p w:rsidR="00D05926" w:rsidP="003B2A00" w:rsidRDefault="00B11F42" w14:paraId="7A0AF28C" w14:textId="3B39EEF1">
      <w:pPr>
        <w:pStyle w:val="BodyText"/>
        <w:tabs>
          <w:tab w:val="left" w:pos="720"/>
        </w:tabs>
        <w:ind w:left="720" w:hanging="720"/>
        <w:rPr>
          <w:rFonts w:ascii="Times New Roman" w:hAnsi="Times New Roman"/>
          <w:szCs w:val="24"/>
        </w:rPr>
      </w:pPr>
      <w:r w:rsidRPr="00167DBD">
        <w:rPr>
          <w:rFonts w:ascii="Times New Roman" w:hAnsi="Times New Roman"/>
          <w:szCs w:val="24"/>
        </w:rPr>
        <w:tab/>
      </w:r>
      <w:r w:rsidRPr="00167DBD" w:rsidR="00A223C7">
        <w:rPr>
          <w:rFonts w:ascii="Times New Roman" w:hAnsi="Times New Roman"/>
          <w:szCs w:val="24"/>
        </w:rPr>
        <w:t xml:space="preserve">NCUA’s purpose in focusing on contractors and subcontractors meeting </w:t>
      </w:r>
      <w:r w:rsidR="00F41CFF">
        <w:rPr>
          <w:rFonts w:ascii="Times New Roman" w:hAnsi="Times New Roman"/>
          <w:szCs w:val="24"/>
        </w:rPr>
        <w:t>these</w:t>
      </w:r>
      <w:r w:rsidRPr="00167DBD" w:rsidR="00A223C7">
        <w:rPr>
          <w:rFonts w:ascii="Times New Roman" w:hAnsi="Times New Roman"/>
          <w:szCs w:val="24"/>
        </w:rPr>
        <w:t xml:space="preserve"> requirement</w:t>
      </w:r>
      <w:r w:rsidR="00F41CFF">
        <w:rPr>
          <w:rFonts w:ascii="Times New Roman" w:hAnsi="Times New Roman"/>
          <w:szCs w:val="24"/>
        </w:rPr>
        <w:t>s</w:t>
      </w:r>
      <w:r w:rsidRPr="00167DBD" w:rsidR="00A223C7">
        <w:rPr>
          <w:rFonts w:ascii="Times New Roman" w:hAnsi="Times New Roman"/>
          <w:szCs w:val="24"/>
        </w:rPr>
        <w:t xml:space="preserve"> is to reduce the administrative burden.  Contractors and subcontractors meeting these requirements are already </w:t>
      </w:r>
      <w:r w:rsidRPr="00167DBD" w:rsidR="000333CE">
        <w:rPr>
          <w:rFonts w:ascii="Times New Roman" w:hAnsi="Times New Roman"/>
          <w:szCs w:val="24"/>
        </w:rPr>
        <w:t>subject to recordkeeping and reporting requirements to demonstrate they have made good faith efforts to remove identified barriers, expand employment opportunities, and produce measurable results (EO 11246, 41 CFR 60-1.7), and to develop and maintain a written program, which describes the policies, practices, and procedures that the contractor uses to ensure that applicants and employees receive equal opportunities for employment and advancement (41 CFR part 60-2)</w:t>
      </w:r>
      <w:r w:rsidR="00575F11">
        <w:rPr>
          <w:rFonts w:ascii="Times New Roman" w:hAnsi="Times New Roman"/>
          <w:szCs w:val="24"/>
        </w:rPr>
        <w:t>.</w:t>
      </w:r>
      <w:r w:rsidRPr="00167DBD" w:rsidR="000333CE">
        <w:rPr>
          <w:rFonts w:ascii="Times New Roman" w:hAnsi="Times New Roman"/>
          <w:szCs w:val="24"/>
        </w:rPr>
        <w:t xml:space="preserve">  In lieu of developing a separate workforce inclusion plan, a contractor </w:t>
      </w:r>
      <w:r w:rsidR="00F41CFF">
        <w:rPr>
          <w:rFonts w:ascii="Times New Roman" w:hAnsi="Times New Roman"/>
          <w:szCs w:val="24"/>
        </w:rPr>
        <w:t>is</w:t>
      </w:r>
      <w:r w:rsidRPr="00167DBD" w:rsidR="000333CE">
        <w:rPr>
          <w:rFonts w:ascii="Times New Roman" w:hAnsi="Times New Roman"/>
          <w:szCs w:val="24"/>
        </w:rPr>
        <w:t xml:space="preserve"> permitted to submit its existing written program </w:t>
      </w:r>
      <w:r w:rsidRPr="00167DBD" w:rsidR="0023218A">
        <w:rPr>
          <w:rFonts w:ascii="Times New Roman" w:hAnsi="Times New Roman"/>
          <w:szCs w:val="24"/>
        </w:rPr>
        <w:t xml:space="preserve">(e.g., affirmative action plan or AAP) </w:t>
      </w:r>
      <w:r w:rsidRPr="00167DBD" w:rsidR="000333CE">
        <w:rPr>
          <w:rFonts w:ascii="Times New Roman" w:hAnsi="Times New Roman"/>
          <w:szCs w:val="24"/>
        </w:rPr>
        <w:t xml:space="preserve">prescribed by the EO 11246 regulations as part of the documentation that demonstrates the contractor’s good faith efforts to ensure fair inclusion of minorities and women in its workforce.  </w:t>
      </w:r>
    </w:p>
    <w:p w:rsidRPr="003B2A00" w:rsidR="003B2A00" w:rsidP="003B2A00" w:rsidRDefault="003B2A00" w14:paraId="1CCE5894" w14:textId="77777777">
      <w:pPr>
        <w:pStyle w:val="BodyText"/>
        <w:tabs>
          <w:tab w:val="left" w:pos="720"/>
        </w:tabs>
        <w:ind w:left="720" w:hanging="720"/>
        <w:rPr>
          <w:rFonts w:ascii="Times New Roman" w:hAnsi="Times New Roman"/>
          <w:szCs w:val="24"/>
        </w:rPr>
      </w:pPr>
    </w:p>
    <w:p w:rsidRPr="00167DBD" w:rsidR="00943589" w:rsidP="00B11F42" w:rsidRDefault="00CF30C7" w14:paraId="1107EECE" w14:textId="374047A6">
      <w:pPr>
        <w:pStyle w:val="ListParagraph"/>
        <w:numPr>
          <w:ilvl w:val="0"/>
          <w:numId w:val="7"/>
        </w:numPr>
        <w:tabs>
          <w:tab w:val="left" w:pos="720"/>
        </w:tabs>
        <w:ind w:hanging="720"/>
        <w:rPr>
          <w:b/>
          <w:sz w:val="24"/>
          <w:szCs w:val="24"/>
        </w:rPr>
      </w:pPr>
      <w:r>
        <w:rPr>
          <w:b/>
          <w:sz w:val="24"/>
          <w:szCs w:val="24"/>
        </w:rPr>
        <w:t>Efforts to reduce burden on small entities</w:t>
      </w:r>
      <w:r w:rsidRPr="00167DBD" w:rsidR="00943589">
        <w:rPr>
          <w:b/>
          <w:sz w:val="24"/>
          <w:szCs w:val="24"/>
        </w:rPr>
        <w:t>.</w:t>
      </w:r>
    </w:p>
    <w:p w:rsidRPr="00167DBD" w:rsidR="00943589" w:rsidP="00B11F42" w:rsidRDefault="00943589" w14:paraId="786117BE" w14:textId="77777777">
      <w:pPr>
        <w:tabs>
          <w:tab w:val="left" w:pos="720"/>
        </w:tabs>
        <w:ind w:left="720" w:hanging="720"/>
        <w:rPr>
          <w:sz w:val="24"/>
          <w:szCs w:val="24"/>
        </w:rPr>
      </w:pPr>
    </w:p>
    <w:p w:rsidR="003B2A00" w:rsidP="009F4A16" w:rsidRDefault="00B11F42" w14:paraId="6698CFD0" w14:textId="1FA386E9">
      <w:pPr>
        <w:tabs>
          <w:tab w:val="left" w:pos="720"/>
        </w:tabs>
        <w:ind w:left="720" w:hanging="720"/>
        <w:rPr>
          <w:sz w:val="24"/>
          <w:szCs w:val="24"/>
        </w:rPr>
      </w:pPr>
      <w:r w:rsidRPr="00167DBD">
        <w:rPr>
          <w:sz w:val="24"/>
          <w:szCs w:val="24"/>
        </w:rPr>
        <w:tab/>
      </w:r>
      <w:r w:rsidRPr="00167DBD" w:rsidR="00A223C7">
        <w:rPr>
          <w:sz w:val="24"/>
          <w:szCs w:val="24"/>
        </w:rPr>
        <w:t xml:space="preserve">As stated in response to question 4, NCUA is eliminating the burden on small businesses by limiting its GFE determination solely </w:t>
      </w:r>
      <w:r w:rsidRPr="00167DBD" w:rsidR="0023218A">
        <w:rPr>
          <w:sz w:val="24"/>
          <w:szCs w:val="24"/>
        </w:rPr>
        <w:t>to</w:t>
      </w:r>
      <w:r w:rsidRPr="00167DBD" w:rsidR="00A223C7">
        <w:rPr>
          <w:sz w:val="24"/>
          <w:szCs w:val="24"/>
        </w:rPr>
        <w:t xml:space="preserve"> firms already required to submit and </w:t>
      </w:r>
      <w:r w:rsidR="00C3546B">
        <w:rPr>
          <w:sz w:val="24"/>
          <w:szCs w:val="24"/>
        </w:rPr>
        <w:t>implement</w:t>
      </w:r>
      <w:r w:rsidRPr="00167DBD" w:rsidR="00A223C7">
        <w:rPr>
          <w:sz w:val="24"/>
          <w:szCs w:val="24"/>
        </w:rPr>
        <w:t xml:space="preserve"> affirmative action plans.</w:t>
      </w:r>
    </w:p>
    <w:p w:rsidR="009F4A16" w:rsidP="009F4A16" w:rsidRDefault="009F4A16" w14:paraId="257773F0" w14:textId="77777777">
      <w:pPr>
        <w:tabs>
          <w:tab w:val="left" w:pos="720"/>
        </w:tabs>
        <w:ind w:left="720" w:hanging="720"/>
        <w:rPr>
          <w:b/>
          <w:sz w:val="24"/>
          <w:szCs w:val="24"/>
        </w:rPr>
      </w:pPr>
    </w:p>
    <w:p w:rsidRPr="00167DBD" w:rsidR="00943589" w:rsidP="00B11F42" w:rsidRDefault="007B5AE0" w14:paraId="3FE96EEF" w14:textId="6E49F47B">
      <w:pPr>
        <w:pStyle w:val="ListParagraph"/>
        <w:numPr>
          <w:ilvl w:val="0"/>
          <w:numId w:val="7"/>
        </w:numPr>
        <w:tabs>
          <w:tab w:val="left" w:pos="720"/>
        </w:tabs>
        <w:ind w:hanging="720"/>
        <w:rPr>
          <w:b/>
          <w:sz w:val="24"/>
          <w:szCs w:val="24"/>
        </w:rPr>
      </w:pPr>
      <w:r w:rsidRPr="00167DBD">
        <w:rPr>
          <w:b/>
          <w:sz w:val="24"/>
          <w:szCs w:val="24"/>
        </w:rPr>
        <w:t>C</w:t>
      </w:r>
      <w:r w:rsidR="00CF30C7">
        <w:rPr>
          <w:b/>
          <w:sz w:val="24"/>
          <w:szCs w:val="24"/>
        </w:rPr>
        <w:t>onsequences of not conducting the collection</w:t>
      </w:r>
      <w:r w:rsidRPr="00167DBD" w:rsidR="00943589">
        <w:rPr>
          <w:b/>
          <w:sz w:val="24"/>
          <w:szCs w:val="24"/>
        </w:rPr>
        <w:t>.</w:t>
      </w:r>
    </w:p>
    <w:p w:rsidRPr="00167DBD" w:rsidR="00943589" w:rsidP="00B11F42" w:rsidRDefault="00943589" w14:paraId="7951962C" w14:textId="77777777">
      <w:pPr>
        <w:tabs>
          <w:tab w:val="left" w:pos="720"/>
        </w:tabs>
        <w:ind w:left="720" w:hanging="720"/>
        <w:rPr>
          <w:sz w:val="24"/>
          <w:szCs w:val="24"/>
        </w:rPr>
      </w:pPr>
    </w:p>
    <w:p w:rsidRPr="00167DBD" w:rsidR="00943589" w:rsidP="00B11F42" w:rsidRDefault="00B11F42" w14:paraId="49FAFD89" w14:textId="6A5222A9">
      <w:pPr>
        <w:tabs>
          <w:tab w:val="left" w:pos="720"/>
        </w:tabs>
        <w:ind w:left="720" w:hanging="720"/>
        <w:rPr>
          <w:sz w:val="24"/>
          <w:szCs w:val="24"/>
        </w:rPr>
      </w:pPr>
      <w:r w:rsidRPr="00167DBD">
        <w:rPr>
          <w:sz w:val="24"/>
          <w:szCs w:val="24"/>
        </w:rPr>
        <w:lastRenderedPageBreak/>
        <w:tab/>
      </w:r>
      <w:r w:rsidRPr="00167DBD" w:rsidR="00064A90">
        <w:rPr>
          <w:sz w:val="24"/>
          <w:szCs w:val="24"/>
        </w:rPr>
        <w:t xml:space="preserve">NCUA would not be able to capture the type of information that Congress is requiring under the Dodd-Frank Act.  </w:t>
      </w:r>
      <w:r w:rsidRPr="00167DBD" w:rsidR="007278B0">
        <w:rPr>
          <w:sz w:val="24"/>
          <w:szCs w:val="24"/>
        </w:rPr>
        <w:t xml:space="preserve">Per Section 342 of Dodd-Frank, </w:t>
      </w:r>
      <w:r w:rsidRPr="00167DBD" w:rsidR="00064A90">
        <w:rPr>
          <w:sz w:val="24"/>
          <w:szCs w:val="24"/>
        </w:rPr>
        <w:t xml:space="preserve">NCUA needs to be able to </w:t>
      </w:r>
      <w:r w:rsidRPr="00167DBD" w:rsidR="007278B0">
        <w:rPr>
          <w:sz w:val="24"/>
          <w:szCs w:val="24"/>
        </w:rPr>
        <w:t xml:space="preserve">make a determination whether the contractor and subcontractor </w:t>
      </w:r>
      <w:r w:rsidR="00C3546B">
        <w:rPr>
          <w:sz w:val="24"/>
          <w:szCs w:val="24"/>
        </w:rPr>
        <w:t xml:space="preserve">(as applicable) </w:t>
      </w:r>
      <w:r w:rsidRPr="00167DBD" w:rsidR="007278B0">
        <w:rPr>
          <w:sz w:val="24"/>
          <w:szCs w:val="24"/>
        </w:rPr>
        <w:t>ha</w:t>
      </w:r>
      <w:r w:rsidR="00C3546B">
        <w:rPr>
          <w:sz w:val="24"/>
          <w:szCs w:val="24"/>
        </w:rPr>
        <w:t>ve</w:t>
      </w:r>
      <w:r w:rsidRPr="00167DBD" w:rsidR="007278B0">
        <w:rPr>
          <w:sz w:val="24"/>
          <w:szCs w:val="24"/>
        </w:rPr>
        <w:t xml:space="preserve"> made good faith efforts to </w:t>
      </w:r>
      <w:r w:rsidR="00C3546B">
        <w:rPr>
          <w:sz w:val="24"/>
          <w:szCs w:val="24"/>
        </w:rPr>
        <w:t>include</w:t>
      </w:r>
      <w:r w:rsidRPr="00167DBD" w:rsidR="00C3546B">
        <w:rPr>
          <w:sz w:val="24"/>
          <w:szCs w:val="24"/>
        </w:rPr>
        <w:t xml:space="preserve"> </w:t>
      </w:r>
      <w:r w:rsidRPr="00167DBD" w:rsidR="007278B0">
        <w:rPr>
          <w:sz w:val="24"/>
          <w:szCs w:val="24"/>
        </w:rPr>
        <w:t xml:space="preserve">minorities and women </w:t>
      </w:r>
      <w:r w:rsidR="00C3546B">
        <w:rPr>
          <w:sz w:val="24"/>
          <w:szCs w:val="24"/>
        </w:rPr>
        <w:t>in</w:t>
      </w:r>
      <w:r w:rsidRPr="00167DBD" w:rsidR="007278B0">
        <w:rPr>
          <w:sz w:val="24"/>
          <w:szCs w:val="24"/>
        </w:rPr>
        <w:t xml:space="preserve"> their workforce.  </w:t>
      </w:r>
    </w:p>
    <w:p w:rsidRPr="00167DBD" w:rsidR="00943589" w:rsidP="00B11F42" w:rsidRDefault="00943589" w14:paraId="3CDD4BCF" w14:textId="77777777">
      <w:pPr>
        <w:tabs>
          <w:tab w:val="left" w:pos="720"/>
        </w:tabs>
        <w:ind w:left="720" w:hanging="720"/>
        <w:rPr>
          <w:sz w:val="24"/>
          <w:szCs w:val="24"/>
        </w:rPr>
      </w:pPr>
    </w:p>
    <w:p w:rsidRPr="00167DBD" w:rsidR="00943589" w:rsidP="00B11F42" w:rsidRDefault="00002729" w14:paraId="10B21247" w14:textId="34AB1D69">
      <w:pPr>
        <w:pStyle w:val="ListParagraph"/>
        <w:numPr>
          <w:ilvl w:val="0"/>
          <w:numId w:val="7"/>
        </w:numPr>
        <w:tabs>
          <w:tab w:val="left" w:pos="720"/>
        </w:tabs>
        <w:ind w:hanging="720"/>
        <w:rPr>
          <w:b/>
          <w:sz w:val="24"/>
          <w:szCs w:val="24"/>
        </w:rPr>
      </w:pPr>
      <w:r>
        <w:rPr>
          <w:b/>
          <w:sz w:val="24"/>
          <w:szCs w:val="24"/>
        </w:rPr>
        <w:t xml:space="preserve">Inconsistencies with guidelines in </w:t>
      </w:r>
      <w:r w:rsidRPr="00167DBD" w:rsidR="007B5AE0">
        <w:rPr>
          <w:b/>
          <w:sz w:val="24"/>
          <w:szCs w:val="24"/>
        </w:rPr>
        <w:t>5 CFR 1320.5(d)(2).</w:t>
      </w:r>
    </w:p>
    <w:p w:rsidRPr="00167DBD" w:rsidR="00943589" w:rsidP="00B11F42" w:rsidRDefault="00943589" w14:paraId="1A73EB9D" w14:textId="77777777">
      <w:pPr>
        <w:tabs>
          <w:tab w:val="left" w:pos="720"/>
        </w:tabs>
        <w:ind w:left="720" w:hanging="720"/>
        <w:rPr>
          <w:b/>
          <w:sz w:val="24"/>
          <w:szCs w:val="24"/>
        </w:rPr>
      </w:pPr>
    </w:p>
    <w:p w:rsidRPr="00167DBD" w:rsidR="00943589" w:rsidP="00B11F42" w:rsidRDefault="00B11F42" w14:paraId="41DED264" w14:textId="4C0586E9">
      <w:pPr>
        <w:numPr>
          <w:ilvl w:val="12"/>
          <w:numId w:val="0"/>
        </w:numPr>
        <w:tabs>
          <w:tab w:val="left" w:pos="720"/>
        </w:tabs>
        <w:ind w:left="720" w:hanging="720"/>
        <w:rPr>
          <w:sz w:val="24"/>
          <w:szCs w:val="24"/>
        </w:rPr>
      </w:pPr>
      <w:r w:rsidRPr="00167DBD">
        <w:rPr>
          <w:b/>
          <w:sz w:val="24"/>
          <w:szCs w:val="24"/>
        </w:rPr>
        <w:tab/>
      </w:r>
      <w:r w:rsidR="009F4A16">
        <w:rPr>
          <w:sz w:val="24"/>
          <w:szCs w:val="24"/>
        </w:rPr>
        <w:t xml:space="preserve">There are no special </w:t>
      </w:r>
      <w:r w:rsidR="00077007">
        <w:rPr>
          <w:sz w:val="24"/>
          <w:szCs w:val="24"/>
        </w:rPr>
        <w:t>circumstances.</w:t>
      </w:r>
      <w:r w:rsidRPr="00167DBD" w:rsidR="00077007">
        <w:rPr>
          <w:sz w:val="24"/>
          <w:szCs w:val="24"/>
        </w:rPr>
        <w:t xml:space="preserve"> T</w:t>
      </w:r>
      <w:r w:rsidR="00077007">
        <w:rPr>
          <w:sz w:val="24"/>
          <w:szCs w:val="24"/>
        </w:rPr>
        <w:t>his</w:t>
      </w:r>
      <w:r w:rsidRPr="00167DBD" w:rsidR="007B5AE0">
        <w:rPr>
          <w:sz w:val="24"/>
          <w:szCs w:val="24"/>
        </w:rPr>
        <w:t xml:space="preserve"> collection is consistent with</w:t>
      </w:r>
      <w:r w:rsidR="00077007">
        <w:rPr>
          <w:sz w:val="24"/>
          <w:szCs w:val="24"/>
        </w:rPr>
        <w:t xml:space="preserve"> the</w:t>
      </w:r>
      <w:r w:rsidRPr="00167DBD" w:rsidR="007B5AE0">
        <w:rPr>
          <w:sz w:val="24"/>
          <w:szCs w:val="24"/>
        </w:rPr>
        <w:t xml:space="preserve"> guidelines of 5 CFR 1320.5(d)(2).</w:t>
      </w:r>
    </w:p>
    <w:p w:rsidRPr="00167DBD" w:rsidR="00D05926" w:rsidP="00B11F42" w:rsidRDefault="00D05926" w14:paraId="1C3A1A7A" w14:textId="77777777">
      <w:pPr>
        <w:numPr>
          <w:ilvl w:val="12"/>
          <w:numId w:val="0"/>
        </w:numPr>
        <w:tabs>
          <w:tab w:val="left" w:pos="720"/>
        </w:tabs>
        <w:ind w:left="720" w:hanging="720"/>
        <w:rPr>
          <w:sz w:val="24"/>
          <w:szCs w:val="24"/>
        </w:rPr>
      </w:pPr>
    </w:p>
    <w:p w:rsidRPr="00167DBD" w:rsidR="00943589" w:rsidP="00167DBD" w:rsidRDefault="00B11F42" w14:paraId="66EFDDD0" w14:textId="4DB4D816">
      <w:pPr>
        <w:pStyle w:val="BodyText2"/>
        <w:numPr>
          <w:ilvl w:val="12"/>
          <w:numId w:val="0"/>
        </w:numPr>
        <w:tabs>
          <w:tab w:val="left" w:pos="720"/>
        </w:tabs>
        <w:ind w:left="720" w:hanging="720"/>
        <w:rPr>
          <w:rFonts w:ascii="Times New Roman" w:hAnsi="Times New Roman"/>
          <w:szCs w:val="24"/>
        </w:rPr>
      </w:pPr>
      <w:r w:rsidRPr="00167DBD">
        <w:rPr>
          <w:rFonts w:ascii="Times New Roman" w:hAnsi="Times New Roman"/>
          <w:szCs w:val="24"/>
        </w:rPr>
        <w:t xml:space="preserve">8. </w:t>
      </w:r>
      <w:r w:rsidRPr="00167DBD">
        <w:rPr>
          <w:rFonts w:ascii="Times New Roman" w:hAnsi="Times New Roman"/>
          <w:szCs w:val="24"/>
        </w:rPr>
        <w:tab/>
      </w:r>
      <w:r w:rsidR="00002729">
        <w:rPr>
          <w:rFonts w:ascii="Times New Roman" w:hAnsi="Times New Roman"/>
          <w:szCs w:val="24"/>
        </w:rPr>
        <w:t xml:space="preserve">Effort to consult with persons outside the </w:t>
      </w:r>
      <w:r w:rsidRPr="00167DBD" w:rsidR="007B5AE0">
        <w:rPr>
          <w:rFonts w:ascii="Times New Roman" w:hAnsi="Times New Roman"/>
          <w:szCs w:val="24"/>
        </w:rPr>
        <w:t>agency</w:t>
      </w:r>
      <w:r w:rsidRPr="00167DBD" w:rsidR="00943589">
        <w:rPr>
          <w:rFonts w:ascii="Times New Roman" w:hAnsi="Times New Roman"/>
          <w:szCs w:val="24"/>
        </w:rPr>
        <w:t>.</w:t>
      </w:r>
    </w:p>
    <w:p w:rsidRPr="00167DBD" w:rsidR="00943589" w:rsidP="00B11F42" w:rsidRDefault="00943589" w14:paraId="1B1D60E9" w14:textId="77777777">
      <w:pPr>
        <w:numPr>
          <w:ilvl w:val="12"/>
          <w:numId w:val="0"/>
        </w:numPr>
        <w:tabs>
          <w:tab w:val="left" w:pos="720"/>
        </w:tabs>
        <w:ind w:left="720" w:hanging="720"/>
        <w:rPr>
          <w:sz w:val="24"/>
          <w:szCs w:val="24"/>
        </w:rPr>
      </w:pPr>
    </w:p>
    <w:p w:rsidRPr="00167DBD" w:rsidR="009665E1" w:rsidP="00B11F42" w:rsidRDefault="00B11F42" w14:paraId="511B9725" w14:textId="2EE8CAE2">
      <w:pPr>
        <w:numPr>
          <w:ilvl w:val="12"/>
          <w:numId w:val="0"/>
        </w:numPr>
        <w:tabs>
          <w:tab w:val="left" w:pos="720"/>
        </w:tabs>
        <w:ind w:left="720" w:hanging="720"/>
        <w:rPr>
          <w:sz w:val="24"/>
          <w:szCs w:val="24"/>
        </w:rPr>
      </w:pPr>
      <w:r w:rsidRPr="00167DBD">
        <w:rPr>
          <w:sz w:val="24"/>
          <w:szCs w:val="24"/>
        </w:rPr>
        <w:tab/>
      </w:r>
      <w:r w:rsidRPr="009F4A16" w:rsidR="009F4A16">
        <w:rPr>
          <w:sz w:val="24"/>
          <w:szCs w:val="24"/>
        </w:rPr>
        <w:t xml:space="preserve">A 60-day notice was published in the </w:t>
      </w:r>
      <w:r w:rsidRPr="009F4A16" w:rsidR="009F4A16">
        <w:rPr>
          <w:i/>
          <w:sz w:val="24"/>
          <w:szCs w:val="24"/>
        </w:rPr>
        <w:t>Federal Register</w:t>
      </w:r>
      <w:r w:rsidRPr="009F4A16" w:rsidR="009F4A16">
        <w:rPr>
          <w:sz w:val="24"/>
          <w:szCs w:val="24"/>
        </w:rPr>
        <w:t xml:space="preserve"> on </w:t>
      </w:r>
      <w:r w:rsidR="00D87E2B">
        <w:rPr>
          <w:sz w:val="24"/>
          <w:szCs w:val="24"/>
        </w:rPr>
        <w:t>February 20, 2020</w:t>
      </w:r>
      <w:r w:rsidRPr="009F4A16" w:rsidR="009F4A16">
        <w:rPr>
          <w:sz w:val="24"/>
          <w:szCs w:val="24"/>
        </w:rPr>
        <w:t xml:space="preserve"> at 8</w:t>
      </w:r>
      <w:r w:rsidR="00D87E2B">
        <w:rPr>
          <w:sz w:val="24"/>
          <w:szCs w:val="24"/>
        </w:rPr>
        <w:t>5</w:t>
      </w:r>
      <w:r w:rsidRPr="009F4A16" w:rsidR="009F4A16">
        <w:rPr>
          <w:sz w:val="24"/>
          <w:szCs w:val="24"/>
        </w:rPr>
        <w:t xml:space="preserve"> FR </w:t>
      </w:r>
      <w:r w:rsidR="00D87E2B">
        <w:rPr>
          <w:sz w:val="24"/>
          <w:szCs w:val="24"/>
        </w:rPr>
        <w:t>9809</w:t>
      </w:r>
      <w:r w:rsidRPr="009F4A16" w:rsidR="009F4A16">
        <w:rPr>
          <w:sz w:val="24"/>
          <w:szCs w:val="24"/>
        </w:rPr>
        <w:t>, soliciting comments from the public.  No public comments were received in response to this notice.</w:t>
      </w:r>
    </w:p>
    <w:p w:rsidRPr="00167DBD" w:rsidR="00D05926" w:rsidP="00B11F42" w:rsidRDefault="00D05926" w14:paraId="2A8251BE" w14:textId="77777777">
      <w:pPr>
        <w:numPr>
          <w:ilvl w:val="12"/>
          <w:numId w:val="0"/>
        </w:numPr>
        <w:tabs>
          <w:tab w:val="left" w:pos="720"/>
        </w:tabs>
        <w:ind w:left="720" w:hanging="720"/>
        <w:rPr>
          <w:sz w:val="24"/>
          <w:szCs w:val="24"/>
        </w:rPr>
      </w:pPr>
    </w:p>
    <w:p w:rsidRPr="00167DBD" w:rsidR="00943589" w:rsidP="00B11F42" w:rsidRDefault="00617479" w14:paraId="64869DB1" w14:textId="44B17F15">
      <w:pPr>
        <w:pStyle w:val="BodyText2"/>
        <w:numPr>
          <w:ilvl w:val="0"/>
          <w:numId w:val="8"/>
        </w:numPr>
        <w:tabs>
          <w:tab w:val="left" w:pos="720"/>
        </w:tabs>
        <w:ind w:hanging="720"/>
        <w:rPr>
          <w:rFonts w:ascii="Times New Roman" w:hAnsi="Times New Roman"/>
          <w:szCs w:val="24"/>
        </w:rPr>
      </w:pPr>
      <w:r w:rsidRPr="00167DBD">
        <w:rPr>
          <w:rFonts w:ascii="Times New Roman" w:hAnsi="Times New Roman"/>
          <w:szCs w:val="24"/>
        </w:rPr>
        <w:t>P</w:t>
      </w:r>
      <w:r w:rsidRPr="00167DBD" w:rsidR="00943589">
        <w:rPr>
          <w:rFonts w:ascii="Times New Roman" w:hAnsi="Times New Roman"/>
          <w:szCs w:val="24"/>
        </w:rPr>
        <w:t>ayment or gif</w:t>
      </w:r>
      <w:r w:rsidRPr="00167DBD" w:rsidR="0023218A">
        <w:rPr>
          <w:rFonts w:ascii="Times New Roman" w:hAnsi="Times New Roman"/>
          <w:szCs w:val="24"/>
        </w:rPr>
        <w:t>t to respondents</w:t>
      </w:r>
      <w:r w:rsidRPr="00167DBD" w:rsidR="00943589">
        <w:rPr>
          <w:rFonts w:ascii="Times New Roman" w:hAnsi="Times New Roman"/>
          <w:szCs w:val="24"/>
        </w:rPr>
        <w:t>.</w:t>
      </w:r>
    </w:p>
    <w:p w:rsidRPr="00167DBD" w:rsidR="00943589" w:rsidP="00B11F42" w:rsidRDefault="00943589" w14:paraId="1B5C8DEF" w14:textId="77777777">
      <w:pPr>
        <w:numPr>
          <w:ilvl w:val="12"/>
          <w:numId w:val="0"/>
        </w:numPr>
        <w:tabs>
          <w:tab w:val="left" w:pos="720"/>
        </w:tabs>
        <w:ind w:left="720" w:hanging="720"/>
        <w:rPr>
          <w:sz w:val="24"/>
          <w:szCs w:val="24"/>
        </w:rPr>
      </w:pPr>
    </w:p>
    <w:p w:rsidRPr="00167DBD" w:rsidR="00943589" w:rsidP="00B11F42" w:rsidRDefault="00B11F42" w14:paraId="48BDBC40" w14:textId="686C59C4">
      <w:pPr>
        <w:numPr>
          <w:ilvl w:val="12"/>
          <w:numId w:val="0"/>
        </w:numPr>
        <w:tabs>
          <w:tab w:val="left" w:pos="720"/>
        </w:tabs>
        <w:ind w:left="720" w:hanging="720"/>
        <w:rPr>
          <w:sz w:val="24"/>
          <w:szCs w:val="24"/>
        </w:rPr>
      </w:pPr>
      <w:r w:rsidRPr="00167DBD">
        <w:rPr>
          <w:sz w:val="24"/>
          <w:szCs w:val="24"/>
        </w:rPr>
        <w:tab/>
      </w:r>
      <w:r w:rsidR="00077007">
        <w:rPr>
          <w:sz w:val="24"/>
          <w:szCs w:val="24"/>
        </w:rPr>
        <w:t>There is no intent by NCUA to provide payment or gifts for information collected.</w:t>
      </w:r>
    </w:p>
    <w:p w:rsidRPr="00167DBD" w:rsidR="00943589" w:rsidP="00B11F42" w:rsidRDefault="00943589" w14:paraId="31EBC675" w14:textId="77777777">
      <w:pPr>
        <w:numPr>
          <w:ilvl w:val="12"/>
          <w:numId w:val="0"/>
        </w:numPr>
        <w:tabs>
          <w:tab w:val="left" w:pos="720"/>
        </w:tabs>
        <w:ind w:left="720" w:hanging="720"/>
        <w:rPr>
          <w:sz w:val="24"/>
          <w:szCs w:val="24"/>
        </w:rPr>
      </w:pPr>
    </w:p>
    <w:p w:rsidRPr="00167DBD" w:rsidR="00943589" w:rsidP="00B11F42" w:rsidRDefault="00617479" w14:paraId="3D293CDD" w14:textId="3C25BD35">
      <w:pPr>
        <w:pStyle w:val="BodyText2"/>
        <w:numPr>
          <w:ilvl w:val="0"/>
          <w:numId w:val="8"/>
        </w:numPr>
        <w:tabs>
          <w:tab w:val="left" w:pos="720"/>
        </w:tabs>
        <w:ind w:hanging="720"/>
        <w:rPr>
          <w:rFonts w:ascii="Times New Roman" w:hAnsi="Times New Roman"/>
          <w:szCs w:val="24"/>
        </w:rPr>
      </w:pPr>
      <w:r w:rsidRPr="00167DBD">
        <w:rPr>
          <w:rFonts w:ascii="Times New Roman" w:hAnsi="Times New Roman"/>
          <w:szCs w:val="24"/>
        </w:rPr>
        <w:t>A</w:t>
      </w:r>
      <w:r w:rsidRPr="00167DBD" w:rsidR="00943589">
        <w:rPr>
          <w:rFonts w:ascii="Times New Roman" w:hAnsi="Times New Roman"/>
          <w:szCs w:val="24"/>
        </w:rPr>
        <w:t>ssurance of confidentiality.</w:t>
      </w:r>
    </w:p>
    <w:p w:rsidRPr="00167DBD" w:rsidR="00943589" w:rsidP="00B11F42" w:rsidRDefault="00943589" w14:paraId="7210B343" w14:textId="77777777">
      <w:pPr>
        <w:numPr>
          <w:ilvl w:val="12"/>
          <w:numId w:val="0"/>
        </w:numPr>
        <w:tabs>
          <w:tab w:val="left" w:pos="720"/>
        </w:tabs>
        <w:ind w:left="720" w:hanging="720"/>
        <w:rPr>
          <w:sz w:val="24"/>
          <w:szCs w:val="24"/>
        </w:rPr>
      </w:pPr>
    </w:p>
    <w:p w:rsidRPr="00167DBD" w:rsidR="00943589" w:rsidP="00CD27C3" w:rsidRDefault="00CD27C3" w14:paraId="05BA0E66" w14:textId="1A67049F">
      <w:pPr>
        <w:pStyle w:val="BodyText"/>
        <w:numPr>
          <w:ilvl w:val="12"/>
          <w:numId w:val="0"/>
        </w:numPr>
        <w:tabs>
          <w:tab w:val="left" w:pos="720"/>
        </w:tabs>
        <w:ind w:left="720"/>
        <w:rPr>
          <w:rFonts w:ascii="Times New Roman" w:hAnsi="Times New Roman"/>
          <w:szCs w:val="24"/>
        </w:rPr>
      </w:pPr>
      <w:r>
        <w:rPr>
          <w:rFonts w:ascii="Times New Roman" w:hAnsi="Times New Roman"/>
          <w:szCs w:val="24"/>
        </w:rPr>
        <w:t xml:space="preserve">There is no assurance of confidentiality other than that provided by law. </w:t>
      </w:r>
    </w:p>
    <w:p w:rsidRPr="00167DBD" w:rsidR="00943589" w:rsidP="00B11F42" w:rsidRDefault="00943589" w14:paraId="4DC718AD" w14:textId="77777777">
      <w:pPr>
        <w:numPr>
          <w:ilvl w:val="12"/>
          <w:numId w:val="0"/>
        </w:numPr>
        <w:tabs>
          <w:tab w:val="left" w:pos="720"/>
        </w:tabs>
        <w:ind w:left="720" w:hanging="720"/>
        <w:rPr>
          <w:sz w:val="24"/>
          <w:szCs w:val="24"/>
        </w:rPr>
      </w:pPr>
    </w:p>
    <w:p w:rsidRPr="00167DBD" w:rsidR="00943589" w:rsidP="00B11F42" w:rsidRDefault="00617479" w14:paraId="6A0A7279" w14:textId="21583995">
      <w:pPr>
        <w:pStyle w:val="ListParagraph"/>
        <w:numPr>
          <w:ilvl w:val="0"/>
          <w:numId w:val="8"/>
        </w:numPr>
        <w:tabs>
          <w:tab w:val="left" w:pos="720"/>
        </w:tabs>
        <w:ind w:hanging="720"/>
        <w:rPr>
          <w:b/>
          <w:sz w:val="24"/>
          <w:szCs w:val="24"/>
        </w:rPr>
      </w:pPr>
      <w:r w:rsidRPr="00167DBD">
        <w:rPr>
          <w:b/>
          <w:sz w:val="24"/>
          <w:szCs w:val="24"/>
        </w:rPr>
        <w:t>Q</w:t>
      </w:r>
      <w:r w:rsidRPr="00167DBD" w:rsidR="00943589">
        <w:rPr>
          <w:b/>
          <w:sz w:val="24"/>
          <w:szCs w:val="24"/>
        </w:rPr>
        <w:t>uestions of a sensitive nature.</w:t>
      </w:r>
    </w:p>
    <w:p w:rsidRPr="00167DBD" w:rsidR="00943589" w:rsidP="00B11F42" w:rsidRDefault="00943589" w14:paraId="2DD66CB1" w14:textId="77777777">
      <w:pPr>
        <w:numPr>
          <w:ilvl w:val="12"/>
          <w:numId w:val="0"/>
        </w:numPr>
        <w:tabs>
          <w:tab w:val="left" w:pos="720"/>
        </w:tabs>
        <w:ind w:left="720" w:hanging="720"/>
        <w:rPr>
          <w:sz w:val="24"/>
          <w:szCs w:val="24"/>
        </w:rPr>
      </w:pPr>
    </w:p>
    <w:p w:rsidRPr="00167DBD" w:rsidR="00943589" w:rsidP="00B11F42" w:rsidRDefault="00B11F42" w14:paraId="161488E3" w14:textId="0652B423">
      <w:pPr>
        <w:numPr>
          <w:ilvl w:val="12"/>
          <w:numId w:val="0"/>
        </w:numPr>
        <w:tabs>
          <w:tab w:val="left" w:pos="720"/>
        </w:tabs>
        <w:ind w:left="720" w:hanging="720"/>
        <w:rPr>
          <w:sz w:val="24"/>
          <w:szCs w:val="24"/>
        </w:rPr>
      </w:pPr>
      <w:r w:rsidRPr="00167DBD">
        <w:rPr>
          <w:sz w:val="24"/>
          <w:szCs w:val="24"/>
        </w:rPr>
        <w:tab/>
      </w:r>
      <w:r w:rsidR="00077007">
        <w:rPr>
          <w:sz w:val="24"/>
          <w:szCs w:val="24"/>
        </w:rPr>
        <w:t>No questions of a sensitive nature are asked. Personally Identifiable Information (PII) is not collected.</w:t>
      </w:r>
    </w:p>
    <w:p w:rsidRPr="003A273B" w:rsidR="00943589" w:rsidP="00B11F42" w:rsidRDefault="00943589" w14:paraId="2CD423FD" w14:textId="77777777">
      <w:pPr>
        <w:numPr>
          <w:ilvl w:val="12"/>
          <w:numId w:val="0"/>
        </w:numPr>
        <w:tabs>
          <w:tab w:val="left" w:pos="720"/>
        </w:tabs>
        <w:ind w:left="720" w:hanging="720"/>
        <w:rPr>
          <w:sz w:val="24"/>
          <w:szCs w:val="24"/>
        </w:rPr>
      </w:pPr>
    </w:p>
    <w:p w:rsidRPr="003A273B" w:rsidR="00603EF5" w:rsidP="003A273B" w:rsidRDefault="00002729" w14:paraId="41020E42" w14:textId="2999AB05">
      <w:pPr>
        <w:pStyle w:val="ListParagraph"/>
        <w:numPr>
          <w:ilvl w:val="0"/>
          <w:numId w:val="8"/>
        </w:numPr>
        <w:ind w:hanging="720"/>
        <w:rPr>
          <w:sz w:val="24"/>
          <w:szCs w:val="24"/>
        </w:rPr>
      </w:pPr>
      <w:r>
        <w:rPr>
          <w:b/>
          <w:sz w:val="24"/>
          <w:szCs w:val="24"/>
        </w:rPr>
        <w:t>B</w:t>
      </w:r>
      <w:r w:rsidR="00FC0AA3">
        <w:rPr>
          <w:b/>
          <w:sz w:val="24"/>
          <w:szCs w:val="24"/>
        </w:rPr>
        <w:t xml:space="preserve">urden of </w:t>
      </w:r>
      <w:r w:rsidRPr="003A273B" w:rsidR="00943589">
        <w:rPr>
          <w:b/>
          <w:sz w:val="24"/>
          <w:szCs w:val="24"/>
        </w:rPr>
        <w:t>information</w:t>
      </w:r>
      <w:r>
        <w:rPr>
          <w:b/>
          <w:sz w:val="24"/>
          <w:szCs w:val="24"/>
        </w:rPr>
        <w:t xml:space="preserve"> collection</w:t>
      </w:r>
      <w:r w:rsidRPr="003A273B" w:rsidR="00943589">
        <w:rPr>
          <w:b/>
          <w:sz w:val="24"/>
          <w:szCs w:val="24"/>
        </w:rPr>
        <w:t xml:space="preserve">.  </w:t>
      </w:r>
    </w:p>
    <w:p w:rsidRPr="003A273B" w:rsidR="00943589" w:rsidP="00B11F42" w:rsidRDefault="00943589" w14:paraId="06E9C788" w14:textId="77777777">
      <w:pPr>
        <w:numPr>
          <w:ilvl w:val="12"/>
          <w:numId w:val="0"/>
        </w:numPr>
        <w:tabs>
          <w:tab w:val="left" w:pos="720"/>
        </w:tabs>
        <w:ind w:left="720" w:hanging="720"/>
        <w:rPr>
          <w:sz w:val="24"/>
          <w:szCs w:val="24"/>
        </w:rPr>
      </w:pPr>
    </w:p>
    <w:p w:rsidRPr="00167DBD" w:rsidR="003C38A8" w:rsidRDefault="00B11F42" w14:paraId="51985FCE" w14:textId="5E1CAD65">
      <w:pPr>
        <w:pStyle w:val="BodyText"/>
        <w:numPr>
          <w:ilvl w:val="12"/>
          <w:numId w:val="0"/>
        </w:numPr>
        <w:tabs>
          <w:tab w:val="left" w:pos="720"/>
        </w:tabs>
        <w:ind w:left="720" w:hanging="720"/>
        <w:rPr>
          <w:rFonts w:ascii="Times New Roman" w:hAnsi="Times New Roman"/>
          <w:szCs w:val="24"/>
        </w:rPr>
      </w:pPr>
      <w:r w:rsidRPr="00167DBD">
        <w:rPr>
          <w:rFonts w:ascii="Times New Roman" w:hAnsi="Times New Roman"/>
          <w:szCs w:val="24"/>
        </w:rPr>
        <w:tab/>
      </w:r>
      <w:r w:rsidRPr="00167DBD" w:rsidR="00954995">
        <w:rPr>
          <w:rFonts w:ascii="Times New Roman" w:hAnsi="Times New Roman"/>
          <w:szCs w:val="24"/>
        </w:rPr>
        <w:t xml:space="preserve">Based on NCUA’s </w:t>
      </w:r>
      <w:r w:rsidRPr="00167DBD" w:rsidR="00943589">
        <w:rPr>
          <w:rFonts w:ascii="Times New Roman" w:hAnsi="Times New Roman"/>
          <w:szCs w:val="24"/>
        </w:rPr>
        <w:t>recent experience</w:t>
      </w:r>
      <w:r w:rsidRPr="00167DBD" w:rsidR="00954995">
        <w:rPr>
          <w:rFonts w:ascii="Times New Roman" w:hAnsi="Times New Roman"/>
          <w:szCs w:val="24"/>
        </w:rPr>
        <w:t>, the agency</w:t>
      </w:r>
      <w:r w:rsidRPr="00167DBD" w:rsidR="00943589">
        <w:rPr>
          <w:rFonts w:ascii="Times New Roman" w:hAnsi="Times New Roman"/>
          <w:szCs w:val="24"/>
        </w:rPr>
        <w:t xml:space="preserve"> </w:t>
      </w:r>
      <w:r w:rsidRPr="00167DBD" w:rsidR="003C38A8">
        <w:rPr>
          <w:rFonts w:ascii="Times New Roman" w:hAnsi="Times New Roman"/>
          <w:szCs w:val="24"/>
        </w:rPr>
        <w:t xml:space="preserve">has </w:t>
      </w:r>
      <w:r w:rsidR="001A5B22">
        <w:rPr>
          <w:rFonts w:ascii="Times New Roman" w:hAnsi="Times New Roman"/>
          <w:szCs w:val="24"/>
        </w:rPr>
        <w:t>approximately 65</w:t>
      </w:r>
      <w:r w:rsidRPr="00167DBD" w:rsidR="003C38A8">
        <w:rPr>
          <w:rFonts w:ascii="Times New Roman" w:hAnsi="Times New Roman"/>
          <w:szCs w:val="24"/>
        </w:rPr>
        <w:t xml:space="preserve"> individual contracts that exceed the </w:t>
      </w:r>
      <w:r w:rsidR="00D74E75">
        <w:rPr>
          <w:rFonts w:ascii="Times New Roman" w:hAnsi="Times New Roman"/>
          <w:szCs w:val="24"/>
        </w:rPr>
        <w:t>$100,000 GFE</w:t>
      </w:r>
      <w:r w:rsidRPr="00167DBD" w:rsidR="003C38A8">
        <w:rPr>
          <w:rFonts w:ascii="Times New Roman" w:hAnsi="Times New Roman"/>
          <w:szCs w:val="24"/>
        </w:rPr>
        <w:t xml:space="preserve"> </w:t>
      </w:r>
      <w:r w:rsidR="001A5B22">
        <w:rPr>
          <w:rFonts w:ascii="Times New Roman" w:hAnsi="Times New Roman"/>
          <w:szCs w:val="24"/>
        </w:rPr>
        <w:t xml:space="preserve">Certification </w:t>
      </w:r>
      <w:r w:rsidRPr="00167DBD" w:rsidR="003C38A8">
        <w:rPr>
          <w:rFonts w:ascii="Times New Roman" w:hAnsi="Times New Roman"/>
          <w:szCs w:val="24"/>
        </w:rPr>
        <w:t>threshold</w:t>
      </w:r>
      <w:r w:rsidR="001A5B22">
        <w:rPr>
          <w:rFonts w:ascii="Times New Roman" w:hAnsi="Times New Roman"/>
          <w:szCs w:val="24"/>
        </w:rPr>
        <w:t xml:space="preserve"> annually</w:t>
      </w:r>
      <w:r w:rsidRPr="00167DBD" w:rsidR="003C38A8">
        <w:rPr>
          <w:rFonts w:ascii="Times New Roman" w:hAnsi="Times New Roman"/>
          <w:szCs w:val="24"/>
        </w:rPr>
        <w:t xml:space="preserve">.  Of these, fewer than 50 vendors will have more than </w:t>
      </w:r>
      <w:r w:rsidR="00575F11">
        <w:rPr>
          <w:rFonts w:ascii="Times New Roman" w:hAnsi="Times New Roman"/>
          <w:szCs w:val="24"/>
        </w:rPr>
        <w:t>5</w:t>
      </w:r>
      <w:r w:rsidRPr="00167DBD" w:rsidR="003C38A8">
        <w:rPr>
          <w:rFonts w:ascii="Times New Roman" w:hAnsi="Times New Roman"/>
          <w:szCs w:val="24"/>
        </w:rPr>
        <w:t xml:space="preserve">0 employees, which constitutes the target audience that will be required to submit information for the GFE determination. </w:t>
      </w:r>
      <w:r w:rsidR="0014059D">
        <w:rPr>
          <w:rFonts w:ascii="Times New Roman" w:hAnsi="Times New Roman"/>
          <w:szCs w:val="24"/>
        </w:rPr>
        <w:t>From this projected pool of 50, NCUA will select a maximum of 10 contractors for review each qu</w:t>
      </w:r>
      <w:r w:rsidR="00DF5FE3">
        <w:rPr>
          <w:rFonts w:ascii="Times New Roman" w:hAnsi="Times New Roman"/>
          <w:szCs w:val="24"/>
        </w:rPr>
        <w:t>arter, for a total of 40 annually</w:t>
      </w:r>
      <w:r w:rsidR="0014059D">
        <w:rPr>
          <w:rFonts w:ascii="Times New Roman" w:hAnsi="Times New Roman"/>
          <w:szCs w:val="24"/>
        </w:rPr>
        <w:t xml:space="preserve">. </w:t>
      </w:r>
      <w:r w:rsidRPr="00167DBD" w:rsidR="003C38A8">
        <w:rPr>
          <w:rFonts w:ascii="Times New Roman" w:hAnsi="Times New Roman"/>
          <w:szCs w:val="24"/>
        </w:rPr>
        <w:t xml:space="preserve"> </w:t>
      </w:r>
    </w:p>
    <w:p w:rsidRPr="00167DBD" w:rsidR="003C38A8" w:rsidP="00B11F42" w:rsidRDefault="003C38A8" w14:paraId="5DA052E7" w14:textId="77777777">
      <w:pPr>
        <w:pStyle w:val="BodyText"/>
        <w:numPr>
          <w:ilvl w:val="12"/>
          <w:numId w:val="0"/>
        </w:numPr>
        <w:tabs>
          <w:tab w:val="left" w:pos="720"/>
        </w:tabs>
        <w:ind w:left="720" w:hanging="720"/>
        <w:rPr>
          <w:rFonts w:ascii="Times New Roman" w:hAnsi="Times New Roman"/>
          <w:szCs w:val="24"/>
        </w:rPr>
      </w:pPr>
    </w:p>
    <w:p w:rsidRPr="00167DBD" w:rsidR="00954995" w:rsidP="00B11F42" w:rsidRDefault="00B11F42" w14:paraId="6A99456D" w14:textId="2A2176A2">
      <w:pPr>
        <w:pStyle w:val="BodyText"/>
        <w:numPr>
          <w:ilvl w:val="12"/>
          <w:numId w:val="0"/>
        </w:numPr>
        <w:tabs>
          <w:tab w:val="left" w:pos="720"/>
        </w:tabs>
        <w:ind w:left="720" w:hanging="720"/>
        <w:rPr>
          <w:rFonts w:ascii="Times New Roman" w:hAnsi="Times New Roman"/>
          <w:szCs w:val="24"/>
        </w:rPr>
      </w:pPr>
      <w:r w:rsidRPr="00167DBD">
        <w:rPr>
          <w:rFonts w:ascii="Times New Roman" w:hAnsi="Times New Roman"/>
          <w:szCs w:val="24"/>
        </w:rPr>
        <w:tab/>
      </w:r>
      <w:r w:rsidRPr="00167DBD" w:rsidR="00954995">
        <w:rPr>
          <w:rFonts w:ascii="Times New Roman" w:hAnsi="Times New Roman"/>
          <w:szCs w:val="24"/>
        </w:rPr>
        <w:t xml:space="preserve">The time estimated to complete the form is approximately </w:t>
      </w:r>
      <w:r w:rsidRPr="00167DBD" w:rsidR="003C38A8">
        <w:rPr>
          <w:rFonts w:ascii="Times New Roman" w:hAnsi="Times New Roman"/>
          <w:szCs w:val="24"/>
        </w:rPr>
        <w:t>45</w:t>
      </w:r>
      <w:r w:rsidRPr="00167DBD" w:rsidR="00954995">
        <w:rPr>
          <w:rFonts w:ascii="Times New Roman" w:hAnsi="Times New Roman"/>
          <w:szCs w:val="24"/>
        </w:rPr>
        <w:t xml:space="preserve"> minutes.  Since the information that is requested is </w:t>
      </w:r>
      <w:r w:rsidRPr="00167DBD" w:rsidR="003C38A8">
        <w:rPr>
          <w:rFonts w:ascii="Times New Roman" w:hAnsi="Times New Roman"/>
          <w:szCs w:val="24"/>
        </w:rPr>
        <w:t>required by federal procurement regulation</w:t>
      </w:r>
      <w:r w:rsidRPr="00167DBD" w:rsidR="00954995">
        <w:rPr>
          <w:rFonts w:ascii="Times New Roman" w:hAnsi="Times New Roman"/>
          <w:szCs w:val="24"/>
        </w:rPr>
        <w:t xml:space="preserve"> and readily available to the </w:t>
      </w:r>
      <w:r w:rsidR="001A5B22">
        <w:rPr>
          <w:rFonts w:ascii="Times New Roman" w:hAnsi="Times New Roman"/>
          <w:szCs w:val="24"/>
        </w:rPr>
        <w:t>contractor</w:t>
      </w:r>
      <w:r w:rsidRPr="00167DBD" w:rsidR="00954995">
        <w:rPr>
          <w:rFonts w:ascii="Times New Roman" w:hAnsi="Times New Roman"/>
          <w:szCs w:val="24"/>
        </w:rPr>
        <w:t>/respondent, the hour</w:t>
      </w:r>
      <w:r w:rsidRPr="00167DBD" w:rsidR="003C38A8">
        <w:rPr>
          <w:rFonts w:ascii="Times New Roman" w:hAnsi="Times New Roman"/>
          <w:szCs w:val="24"/>
        </w:rPr>
        <w:t>ly</w:t>
      </w:r>
      <w:r w:rsidRPr="00167DBD" w:rsidR="00954995">
        <w:rPr>
          <w:rFonts w:ascii="Times New Roman" w:hAnsi="Times New Roman"/>
          <w:szCs w:val="24"/>
        </w:rPr>
        <w:t xml:space="preserve"> burden should be the same and consistent across the vast majority of the vendors.  </w:t>
      </w:r>
    </w:p>
    <w:p w:rsidR="003B2A00" w:rsidRDefault="003B2A00" w14:paraId="15095AD0" w14:textId="0B8905C3">
      <w:pPr>
        <w:overflowPunct/>
        <w:autoSpaceDE/>
        <w:autoSpaceDN/>
        <w:adjustRightInd/>
        <w:textAlignment w:val="auto"/>
        <w:rPr>
          <w:sz w:val="24"/>
          <w:szCs w:val="24"/>
        </w:rPr>
      </w:pPr>
      <w:r>
        <w:rPr>
          <w:szCs w:val="24"/>
        </w:rPr>
        <w:br w:type="page"/>
      </w:r>
    </w:p>
    <w:p w:rsidRPr="00167DBD" w:rsidR="00603EF5" w:rsidP="0058505A" w:rsidRDefault="00603EF5" w14:paraId="22AEC15D" w14:textId="77777777">
      <w:pPr>
        <w:pStyle w:val="BodyText"/>
        <w:numPr>
          <w:ilvl w:val="12"/>
          <w:numId w:val="0"/>
        </w:numPr>
        <w:rPr>
          <w:rFonts w:ascii="Times New Roman" w:hAnsi="Times New Roman"/>
          <w:szCs w:val="24"/>
        </w:rPr>
      </w:pPr>
    </w:p>
    <w:tbl>
      <w:tblPr>
        <w:tblStyle w:val="TableGrid"/>
        <w:tblW w:w="8550" w:type="dxa"/>
        <w:tblInd w:w="715" w:type="dxa"/>
        <w:tblLook w:val="04A0" w:firstRow="1" w:lastRow="0" w:firstColumn="1" w:lastColumn="0" w:noHBand="0" w:noVBand="1"/>
      </w:tblPr>
      <w:tblGrid>
        <w:gridCol w:w="1620"/>
        <w:gridCol w:w="1800"/>
        <w:gridCol w:w="1710"/>
        <w:gridCol w:w="1710"/>
        <w:gridCol w:w="1710"/>
      </w:tblGrid>
      <w:tr w:rsidRPr="00167DBD" w:rsidR="00603EF5" w:rsidTr="00B11F42" w14:paraId="34CD898E" w14:textId="77777777">
        <w:tc>
          <w:tcPr>
            <w:tcW w:w="1620" w:type="dxa"/>
            <w:vAlign w:val="center"/>
          </w:tcPr>
          <w:p w:rsidRPr="00167DBD" w:rsidR="00603EF5" w:rsidP="00CF743A" w:rsidRDefault="00603EF5" w14:paraId="22EDACD7" w14:textId="77777777">
            <w:pPr>
              <w:pStyle w:val="BodyText"/>
              <w:numPr>
                <w:ilvl w:val="12"/>
                <w:numId w:val="0"/>
              </w:numPr>
              <w:jc w:val="center"/>
              <w:rPr>
                <w:rFonts w:ascii="Times New Roman" w:hAnsi="Times New Roman"/>
                <w:szCs w:val="24"/>
              </w:rPr>
            </w:pPr>
            <w:r w:rsidRPr="00167DBD">
              <w:rPr>
                <w:rFonts w:ascii="Times New Roman" w:hAnsi="Times New Roman"/>
                <w:szCs w:val="24"/>
              </w:rPr>
              <w:t># Respondents</w:t>
            </w:r>
          </w:p>
        </w:tc>
        <w:tc>
          <w:tcPr>
            <w:tcW w:w="1800" w:type="dxa"/>
            <w:vAlign w:val="center"/>
          </w:tcPr>
          <w:p w:rsidRPr="00167DBD" w:rsidR="00603EF5" w:rsidP="00CF743A" w:rsidRDefault="00603EF5" w14:paraId="130C6E54" w14:textId="77777777">
            <w:pPr>
              <w:pStyle w:val="BodyText"/>
              <w:numPr>
                <w:ilvl w:val="12"/>
                <w:numId w:val="0"/>
              </w:numPr>
              <w:jc w:val="center"/>
              <w:rPr>
                <w:rFonts w:ascii="Times New Roman" w:hAnsi="Times New Roman"/>
                <w:szCs w:val="24"/>
              </w:rPr>
            </w:pPr>
            <w:r w:rsidRPr="00167DBD">
              <w:rPr>
                <w:rFonts w:ascii="Times New Roman" w:hAnsi="Times New Roman"/>
                <w:szCs w:val="24"/>
              </w:rPr>
              <w:t># Responses Per Respondent</w:t>
            </w:r>
          </w:p>
        </w:tc>
        <w:tc>
          <w:tcPr>
            <w:tcW w:w="1710" w:type="dxa"/>
            <w:vAlign w:val="center"/>
          </w:tcPr>
          <w:p w:rsidRPr="00167DBD" w:rsidR="00603EF5" w:rsidP="00CF743A" w:rsidRDefault="00603EF5" w14:paraId="5EF14529" w14:textId="77777777">
            <w:pPr>
              <w:pStyle w:val="BodyText"/>
              <w:numPr>
                <w:ilvl w:val="12"/>
                <w:numId w:val="0"/>
              </w:numPr>
              <w:jc w:val="center"/>
              <w:rPr>
                <w:rFonts w:ascii="Times New Roman" w:hAnsi="Times New Roman"/>
                <w:szCs w:val="24"/>
              </w:rPr>
            </w:pPr>
            <w:r w:rsidRPr="00167DBD">
              <w:rPr>
                <w:rFonts w:ascii="Times New Roman" w:hAnsi="Times New Roman"/>
                <w:szCs w:val="24"/>
              </w:rPr>
              <w:t>Annual Responses</w:t>
            </w:r>
          </w:p>
        </w:tc>
        <w:tc>
          <w:tcPr>
            <w:tcW w:w="1710" w:type="dxa"/>
            <w:vAlign w:val="center"/>
          </w:tcPr>
          <w:p w:rsidRPr="00167DBD" w:rsidR="00603EF5" w:rsidP="00CF743A" w:rsidRDefault="00603EF5" w14:paraId="68F71C05" w14:textId="77777777">
            <w:pPr>
              <w:pStyle w:val="BodyText"/>
              <w:numPr>
                <w:ilvl w:val="12"/>
                <w:numId w:val="0"/>
              </w:numPr>
              <w:jc w:val="center"/>
              <w:rPr>
                <w:rFonts w:ascii="Times New Roman" w:hAnsi="Times New Roman"/>
                <w:szCs w:val="24"/>
              </w:rPr>
            </w:pPr>
            <w:r w:rsidRPr="00167DBD">
              <w:rPr>
                <w:rFonts w:ascii="Times New Roman" w:hAnsi="Times New Roman"/>
                <w:szCs w:val="24"/>
              </w:rPr>
              <w:t>Hours Per Response</w:t>
            </w:r>
          </w:p>
        </w:tc>
        <w:tc>
          <w:tcPr>
            <w:tcW w:w="1710" w:type="dxa"/>
            <w:vAlign w:val="center"/>
          </w:tcPr>
          <w:p w:rsidRPr="00167DBD" w:rsidR="00603EF5" w:rsidP="00CF743A" w:rsidRDefault="00603EF5" w14:paraId="6AFADBC2" w14:textId="77777777">
            <w:pPr>
              <w:pStyle w:val="BodyText"/>
              <w:numPr>
                <w:ilvl w:val="12"/>
                <w:numId w:val="0"/>
              </w:numPr>
              <w:jc w:val="center"/>
              <w:rPr>
                <w:rFonts w:ascii="Times New Roman" w:hAnsi="Times New Roman"/>
                <w:szCs w:val="24"/>
              </w:rPr>
            </w:pPr>
            <w:r w:rsidRPr="00167DBD">
              <w:rPr>
                <w:rFonts w:ascii="Times New Roman" w:hAnsi="Times New Roman"/>
                <w:szCs w:val="24"/>
              </w:rPr>
              <w:t>Total Annual Burden</w:t>
            </w:r>
          </w:p>
        </w:tc>
      </w:tr>
      <w:tr w:rsidRPr="00167DBD" w:rsidR="00603EF5" w:rsidTr="00B11F42" w14:paraId="753E2D4D" w14:textId="77777777">
        <w:trPr>
          <w:trHeight w:val="647"/>
        </w:trPr>
        <w:tc>
          <w:tcPr>
            <w:tcW w:w="1620" w:type="dxa"/>
            <w:vAlign w:val="center"/>
          </w:tcPr>
          <w:p w:rsidRPr="00167DBD" w:rsidR="00603EF5" w:rsidP="00603EF5" w:rsidRDefault="002A1391" w14:paraId="4C22CB9A" w14:textId="03198D78">
            <w:pPr>
              <w:pStyle w:val="BodyText"/>
              <w:numPr>
                <w:ilvl w:val="12"/>
                <w:numId w:val="0"/>
              </w:numPr>
              <w:jc w:val="center"/>
              <w:rPr>
                <w:rFonts w:ascii="Times New Roman" w:hAnsi="Times New Roman"/>
                <w:szCs w:val="24"/>
              </w:rPr>
            </w:pPr>
            <w:r>
              <w:rPr>
                <w:rFonts w:ascii="Times New Roman" w:hAnsi="Times New Roman"/>
                <w:szCs w:val="24"/>
              </w:rPr>
              <w:t>40</w:t>
            </w:r>
          </w:p>
        </w:tc>
        <w:tc>
          <w:tcPr>
            <w:tcW w:w="1800" w:type="dxa"/>
            <w:vAlign w:val="center"/>
          </w:tcPr>
          <w:p w:rsidRPr="00167DBD" w:rsidR="00603EF5" w:rsidP="00603EF5" w:rsidRDefault="00603EF5" w14:paraId="6DE9A391" w14:textId="77777777">
            <w:pPr>
              <w:pStyle w:val="BodyText"/>
              <w:numPr>
                <w:ilvl w:val="12"/>
                <w:numId w:val="0"/>
              </w:numPr>
              <w:jc w:val="center"/>
              <w:rPr>
                <w:rFonts w:ascii="Times New Roman" w:hAnsi="Times New Roman"/>
                <w:szCs w:val="24"/>
              </w:rPr>
            </w:pPr>
            <w:r w:rsidRPr="00167DBD">
              <w:rPr>
                <w:rFonts w:ascii="Times New Roman" w:hAnsi="Times New Roman"/>
                <w:szCs w:val="24"/>
              </w:rPr>
              <w:t>1</w:t>
            </w:r>
          </w:p>
        </w:tc>
        <w:tc>
          <w:tcPr>
            <w:tcW w:w="1710" w:type="dxa"/>
            <w:vAlign w:val="center"/>
          </w:tcPr>
          <w:p w:rsidRPr="00167DBD" w:rsidR="00603EF5" w:rsidP="00603EF5" w:rsidRDefault="002A1391" w14:paraId="3734DC99" w14:textId="1C5A977C">
            <w:pPr>
              <w:pStyle w:val="BodyText"/>
              <w:numPr>
                <w:ilvl w:val="12"/>
                <w:numId w:val="0"/>
              </w:numPr>
              <w:jc w:val="center"/>
              <w:rPr>
                <w:rFonts w:ascii="Times New Roman" w:hAnsi="Times New Roman"/>
                <w:szCs w:val="24"/>
              </w:rPr>
            </w:pPr>
            <w:r>
              <w:rPr>
                <w:rFonts w:ascii="Times New Roman" w:hAnsi="Times New Roman"/>
                <w:szCs w:val="24"/>
              </w:rPr>
              <w:t>40</w:t>
            </w:r>
          </w:p>
        </w:tc>
        <w:tc>
          <w:tcPr>
            <w:tcW w:w="1710" w:type="dxa"/>
            <w:vAlign w:val="center"/>
          </w:tcPr>
          <w:p w:rsidRPr="00167DBD" w:rsidR="00603EF5" w:rsidP="00603EF5" w:rsidRDefault="00235922" w14:paraId="01FFBB38" w14:textId="77777777">
            <w:pPr>
              <w:pStyle w:val="BodyText"/>
              <w:numPr>
                <w:ilvl w:val="12"/>
                <w:numId w:val="0"/>
              </w:numPr>
              <w:jc w:val="center"/>
              <w:rPr>
                <w:rFonts w:ascii="Times New Roman" w:hAnsi="Times New Roman"/>
                <w:szCs w:val="24"/>
              </w:rPr>
            </w:pPr>
            <w:r w:rsidRPr="001A5B22">
              <w:rPr>
                <w:rFonts w:ascii="Times New Roman" w:hAnsi="Times New Roman"/>
                <w:szCs w:val="24"/>
              </w:rPr>
              <w:t>0.75</w:t>
            </w:r>
          </w:p>
        </w:tc>
        <w:tc>
          <w:tcPr>
            <w:tcW w:w="1710" w:type="dxa"/>
            <w:vAlign w:val="center"/>
          </w:tcPr>
          <w:p w:rsidRPr="00167DBD" w:rsidR="00603EF5" w:rsidP="00603EF5" w:rsidRDefault="007731C1" w14:paraId="4ABDFA75" w14:textId="6EB3A117">
            <w:pPr>
              <w:pStyle w:val="BodyText"/>
              <w:numPr>
                <w:ilvl w:val="12"/>
                <w:numId w:val="0"/>
              </w:numPr>
              <w:jc w:val="center"/>
              <w:rPr>
                <w:rFonts w:ascii="Times New Roman" w:hAnsi="Times New Roman"/>
                <w:szCs w:val="24"/>
              </w:rPr>
            </w:pPr>
            <w:r>
              <w:rPr>
                <w:rFonts w:ascii="Times New Roman" w:hAnsi="Times New Roman"/>
                <w:szCs w:val="24"/>
              </w:rPr>
              <w:t>30</w:t>
            </w:r>
          </w:p>
        </w:tc>
      </w:tr>
    </w:tbl>
    <w:p w:rsidRPr="00167DBD" w:rsidR="00603EF5" w:rsidP="00B11F42" w:rsidRDefault="00603EF5" w14:paraId="6D5CC8CC" w14:textId="77777777">
      <w:pPr>
        <w:pStyle w:val="BodyText"/>
        <w:numPr>
          <w:ilvl w:val="12"/>
          <w:numId w:val="0"/>
        </w:numPr>
        <w:tabs>
          <w:tab w:val="left" w:pos="720"/>
        </w:tabs>
        <w:ind w:left="720" w:hanging="720"/>
        <w:rPr>
          <w:rFonts w:ascii="Times New Roman" w:hAnsi="Times New Roman"/>
          <w:szCs w:val="24"/>
        </w:rPr>
      </w:pPr>
    </w:p>
    <w:p w:rsidR="00FF3CE8" w:rsidP="00B11F42" w:rsidRDefault="00B11F42" w14:paraId="1B90349F" w14:textId="681841EB">
      <w:pPr>
        <w:tabs>
          <w:tab w:val="left" w:pos="720"/>
        </w:tabs>
        <w:overflowPunct/>
        <w:autoSpaceDE/>
        <w:ind w:left="720" w:hanging="720"/>
        <w:rPr>
          <w:sz w:val="24"/>
          <w:szCs w:val="24"/>
        </w:rPr>
      </w:pPr>
      <w:r w:rsidRPr="00167DBD">
        <w:rPr>
          <w:sz w:val="24"/>
          <w:szCs w:val="24"/>
        </w:rPr>
        <w:tab/>
      </w:r>
      <w:r w:rsidRPr="00167DBD" w:rsidR="00FF3CE8">
        <w:rPr>
          <w:sz w:val="24"/>
          <w:szCs w:val="24"/>
        </w:rPr>
        <w:t>Assuming an individual’s annual income of $</w:t>
      </w:r>
      <w:r w:rsidR="0082331D">
        <w:rPr>
          <w:sz w:val="24"/>
          <w:szCs w:val="24"/>
        </w:rPr>
        <w:t>51,960</w:t>
      </w:r>
      <w:r w:rsidRPr="00167DBD" w:rsidR="00FF3CE8">
        <w:rPr>
          <w:sz w:val="24"/>
          <w:szCs w:val="24"/>
        </w:rPr>
        <w:t xml:space="preserve"> (approximate per capita income in the U.S as of May 201</w:t>
      </w:r>
      <w:r w:rsidR="0082331D">
        <w:rPr>
          <w:sz w:val="24"/>
          <w:szCs w:val="24"/>
        </w:rPr>
        <w:t>8</w:t>
      </w:r>
      <w:r w:rsidRPr="00167DBD" w:rsidR="00FF3CE8">
        <w:rPr>
          <w:sz w:val="24"/>
          <w:szCs w:val="24"/>
        </w:rPr>
        <w:t>) and total labor of 2,080 hours per year, the hourly rate would be $</w:t>
      </w:r>
      <w:r w:rsidR="0082331D">
        <w:rPr>
          <w:sz w:val="24"/>
          <w:szCs w:val="24"/>
        </w:rPr>
        <w:t>24.98</w:t>
      </w:r>
      <w:r w:rsidRPr="00167DBD" w:rsidR="00FF3CE8">
        <w:rPr>
          <w:sz w:val="24"/>
          <w:szCs w:val="24"/>
        </w:rPr>
        <w:t xml:space="preserve">.  A </w:t>
      </w:r>
      <w:r w:rsidRPr="00167DBD" w:rsidR="00C31F14">
        <w:rPr>
          <w:sz w:val="24"/>
          <w:szCs w:val="24"/>
        </w:rPr>
        <w:t>forty-five</w:t>
      </w:r>
      <w:r w:rsidRPr="00167DBD" w:rsidR="00FF3CE8">
        <w:rPr>
          <w:sz w:val="24"/>
          <w:szCs w:val="24"/>
        </w:rPr>
        <w:t xml:space="preserve">-minute session to complete the form </w:t>
      </w:r>
      <w:r w:rsidRPr="00167DBD" w:rsidR="00C31F14">
        <w:rPr>
          <w:sz w:val="24"/>
          <w:szCs w:val="24"/>
        </w:rPr>
        <w:t xml:space="preserve">and assemble the corresponding documentation (which should be readily available to the applicable firms) </w:t>
      </w:r>
      <w:r w:rsidRPr="00167DBD" w:rsidR="00FF3CE8">
        <w:rPr>
          <w:sz w:val="24"/>
          <w:szCs w:val="24"/>
        </w:rPr>
        <w:t xml:space="preserve">constitutes </w:t>
      </w:r>
      <w:r w:rsidRPr="00167DBD" w:rsidR="00C31F14">
        <w:rPr>
          <w:sz w:val="24"/>
          <w:szCs w:val="24"/>
        </w:rPr>
        <w:t>3/4</w:t>
      </w:r>
      <w:r w:rsidRPr="00167DBD" w:rsidR="00FF3CE8">
        <w:rPr>
          <w:sz w:val="24"/>
          <w:szCs w:val="24"/>
        </w:rPr>
        <w:t xml:space="preserve"> of an hour.  As such, the cost per individual to complete the form would be approximately $</w:t>
      </w:r>
      <w:r w:rsidR="007731C1">
        <w:rPr>
          <w:sz w:val="24"/>
          <w:szCs w:val="24"/>
        </w:rPr>
        <w:t>18.74</w:t>
      </w:r>
      <w:r w:rsidRPr="00167DBD" w:rsidR="003C38A8">
        <w:rPr>
          <w:sz w:val="24"/>
          <w:szCs w:val="24"/>
        </w:rPr>
        <w:t>.</w:t>
      </w:r>
      <w:r w:rsidRPr="00167DBD" w:rsidR="00FF3CE8">
        <w:rPr>
          <w:sz w:val="24"/>
          <w:szCs w:val="24"/>
        </w:rPr>
        <w:t xml:space="preserve">  Assuming </w:t>
      </w:r>
      <w:r w:rsidR="007731C1">
        <w:rPr>
          <w:sz w:val="24"/>
          <w:szCs w:val="24"/>
        </w:rPr>
        <w:t>40</w:t>
      </w:r>
      <w:r w:rsidRPr="00167DBD" w:rsidR="00FF3CE8">
        <w:rPr>
          <w:sz w:val="24"/>
          <w:szCs w:val="24"/>
        </w:rPr>
        <w:t xml:space="preserve"> vendors complete and submit this form, the total cos</w:t>
      </w:r>
      <w:r w:rsidRPr="00167DBD" w:rsidR="003C38A8">
        <w:rPr>
          <w:sz w:val="24"/>
          <w:szCs w:val="24"/>
        </w:rPr>
        <w:t>t to respondents would be $</w:t>
      </w:r>
      <w:r w:rsidR="007731C1">
        <w:rPr>
          <w:sz w:val="24"/>
          <w:szCs w:val="24"/>
        </w:rPr>
        <w:t>562.</w:t>
      </w:r>
      <w:r w:rsidR="00F42FB4">
        <w:rPr>
          <w:sz w:val="24"/>
          <w:szCs w:val="24"/>
        </w:rPr>
        <w:t>20</w:t>
      </w:r>
      <w:r w:rsidRPr="00167DBD" w:rsidR="00FF3CE8">
        <w:rPr>
          <w:sz w:val="24"/>
          <w:szCs w:val="24"/>
        </w:rPr>
        <w:t xml:space="preserve">.  </w:t>
      </w:r>
    </w:p>
    <w:p w:rsidR="00CD27C3" w:rsidP="00B11F42" w:rsidRDefault="00CD27C3" w14:paraId="30A5D499" w14:textId="77777777">
      <w:pPr>
        <w:tabs>
          <w:tab w:val="left" w:pos="720"/>
        </w:tabs>
        <w:overflowPunct/>
        <w:autoSpaceDE/>
        <w:ind w:left="720" w:hanging="720"/>
        <w:rPr>
          <w:sz w:val="24"/>
          <w:szCs w:val="24"/>
        </w:rPr>
      </w:pPr>
    </w:p>
    <w:p w:rsidRPr="00167DBD" w:rsidR="00943589" w:rsidP="00B11F42" w:rsidRDefault="00FC0AA3" w14:paraId="49EAD5DE" w14:textId="51D270B1">
      <w:pPr>
        <w:pStyle w:val="ListParagraph"/>
        <w:numPr>
          <w:ilvl w:val="0"/>
          <w:numId w:val="8"/>
        </w:numPr>
        <w:tabs>
          <w:tab w:val="left" w:pos="720"/>
        </w:tabs>
        <w:ind w:hanging="720"/>
        <w:rPr>
          <w:b/>
          <w:sz w:val="24"/>
          <w:szCs w:val="24"/>
        </w:rPr>
      </w:pPr>
      <w:r>
        <w:rPr>
          <w:b/>
          <w:sz w:val="24"/>
          <w:szCs w:val="24"/>
        </w:rPr>
        <w:t>Capital start-up or on-going operation and maintenance costs</w:t>
      </w:r>
      <w:r w:rsidRPr="00167DBD" w:rsidR="00BE52D7">
        <w:rPr>
          <w:b/>
          <w:sz w:val="24"/>
          <w:szCs w:val="24"/>
        </w:rPr>
        <w:t>.</w:t>
      </w:r>
    </w:p>
    <w:p w:rsidRPr="00167DBD" w:rsidR="00943589" w:rsidP="00B11F42" w:rsidRDefault="00943589" w14:paraId="511B79A4" w14:textId="77777777">
      <w:pPr>
        <w:tabs>
          <w:tab w:val="left" w:pos="720"/>
        </w:tabs>
        <w:ind w:left="720" w:hanging="720"/>
        <w:rPr>
          <w:sz w:val="24"/>
          <w:szCs w:val="24"/>
        </w:rPr>
      </w:pPr>
    </w:p>
    <w:p w:rsidRPr="008457A3" w:rsidR="00943589" w:rsidP="00B11F42" w:rsidRDefault="00B11F42" w14:paraId="26167A2C" w14:textId="6FA5AF2D">
      <w:pPr>
        <w:tabs>
          <w:tab w:val="left" w:pos="720"/>
        </w:tabs>
        <w:ind w:left="720" w:hanging="720"/>
        <w:rPr>
          <w:sz w:val="24"/>
          <w:szCs w:val="24"/>
        </w:rPr>
      </w:pPr>
      <w:r w:rsidRPr="00167DBD">
        <w:rPr>
          <w:sz w:val="24"/>
          <w:szCs w:val="24"/>
        </w:rPr>
        <w:tab/>
      </w:r>
      <w:r w:rsidRPr="00167DBD" w:rsidR="00BE52D7">
        <w:rPr>
          <w:sz w:val="24"/>
          <w:szCs w:val="24"/>
        </w:rPr>
        <w:t xml:space="preserve">There are no capital/start-up or ongoing operations/maintenance costs associated with this </w:t>
      </w:r>
      <w:r w:rsidRPr="008457A3" w:rsidR="00BE52D7">
        <w:rPr>
          <w:sz w:val="24"/>
          <w:szCs w:val="24"/>
        </w:rPr>
        <w:t>information collection</w:t>
      </w:r>
      <w:r w:rsidRPr="008457A3" w:rsidR="00D05926">
        <w:rPr>
          <w:sz w:val="24"/>
          <w:szCs w:val="24"/>
        </w:rPr>
        <w:t>.</w:t>
      </w:r>
      <w:r w:rsidRPr="008457A3" w:rsidR="003C38A8">
        <w:rPr>
          <w:sz w:val="24"/>
          <w:szCs w:val="24"/>
        </w:rPr>
        <w:t xml:space="preserve">  </w:t>
      </w:r>
    </w:p>
    <w:p w:rsidRPr="008457A3" w:rsidR="00943589" w:rsidP="00B11F42" w:rsidRDefault="00943589" w14:paraId="4759AB8C" w14:textId="77777777">
      <w:pPr>
        <w:tabs>
          <w:tab w:val="left" w:pos="720"/>
        </w:tabs>
        <w:ind w:left="720" w:hanging="720"/>
        <w:rPr>
          <w:sz w:val="24"/>
          <w:szCs w:val="24"/>
        </w:rPr>
      </w:pPr>
    </w:p>
    <w:p w:rsidRPr="008457A3" w:rsidR="00D05926" w:rsidP="00B11F42" w:rsidRDefault="00FC0AA3" w14:paraId="5616F13A" w14:textId="5D13AF11">
      <w:pPr>
        <w:pStyle w:val="ListParagraph"/>
        <w:numPr>
          <w:ilvl w:val="0"/>
          <w:numId w:val="8"/>
        </w:numPr>
        <w:tabs>
          <w:tab w:val="left" w:pos="720"/>
        </w:tabs>
        <w:ind w:hanging="720"/>
        <w:rPr>
          <w:b/>
          <w:sz w:val="24"/>
          <w:szCs w:val="24"/>
        </w:rPr>
      </w:pPr>
      <w:r>
        <w:rPr>
          <w:b/>
          <w:sz w:val="24"/>
          <w:szCs w:val="24"/>
        </w:rPr>
        <w:t>A</w:t>
      </w:r>
      <w:r w:rsidRPr="008457A3" w:rsidR="00943589">
        <w:rPr>
          <w:b/>
          <w:sz w:val="24"/>
          <w:szCs w:val="24"/>
        </w:rPr>
        <w:t>nnualized cost</w:t>
      </w:r>
      <w:r>
        <w:rPr>
          <w:b/>
          <w:sz w:val="24"/>
          <w:szCs w:val="24"/>
        </w:rPr>
        <w:t>s to Federal g</w:t>
      </w:r>
      <w:r w:rsidRPr="008457A3" w:rsidR="00943589">
        <w:rPr>
          <w:b/>
          <w:sz w:val="24"/>
          <w:szCs w:val="24"/>
        </w:rPr>
        <w:t xml:space="preserve">overnment.  </w:t>
      </w:r>
    </w:p>
    <w:p w:rsidRPr="00167DBD" w:rsidR="00943589" w:rsidP="00B11F42" w:rsidRDefault="00943589" w14:paraId="49310FF7" w14:textId="77777777">
      <w:pPr>
        <w:tabs>
          <w:tab w:val="left" w:pos="720"/>
        </w:tabs>
        <w:ind w:left="720" w:hanging="720"/>
        <w:rPr>
          <w:sz w:val="24"/>
          <w:szCs w:val="24"/>
        </w:rPr>
      </w:pPr>
    </w:p>
    <w:p w:rsidR="00E759BF" w:rsidP="00E759BF" w:rsidRDefault="002D4D1A" w14:paraId="29604DBF" w14:textId="55C04DAD">
      <w:pPr>
        <w:tabs>
          <w:tab w:val="left" w:pos="720"/>
        </w:tabs>
        <w:ind w:left="720"/>
        <w:rPr>
          <w:sz w:val="24"/>
          <w:szCs w:val="24"/>
        </w:rPr>
      </w:pPr>
      <w:r>
        <w:rPr>
          <w:sz w:val="24"/>
          <w:szCs w:val="24"/>
        </w:rPr>
        <w:t>The OMWI staff will review each p</w:t>
      </w:r>
      <w:r w:rsidRPr="00E815D7">
        <w:rPr>
          <w:sz w:val="24"/>
          <w:szCs w:val="24"/>
        </w:rPr>
        <w:t>rofile</w:t>
      </w:r>
      <w:r>
        <w:rPr>
          <w:sz w:val="24"/>
          <w:szCs w:val="24"/>
        </w:rPr>
        <w:t xml:space="preserve"> for compliance.  It is estimated that the Director, OMWI</w:t>
      </w:r>
      <w:r w:rsidR="00807C80">
        <w:rPr>
          <w:sz w:val="24"/>
          <w:szCs w:val="24"/>
        </w:rPr>
        <w:t>,</w:t>
      </w:r>
      <w:r>
        <w:rPr>
          <w:sz w:val="24"/>
          <w:szCs w:val="24"/>
        </w:rPr>
        <w:t xml:space="preserve"> and a senior analys</w:t>
      </w:r>
      <w:r w:rsidR="00CC15B6">
        <w:rPr>
          <w:sz w:val="24"/>
          <w:szCs w:val="24"/>
        </w:rPr>
        <w:t>t</w:t>
      </w:r>
      <w:r>
        <w:rPr>
          <w:sz w:val="24"/>
          <w:szCs w:val="24"/>
        </w:rPr>
        <w:t xml:space="preserve"> will </w:t>
      </w:r>
      <w:r w:rsidR="005F2E6D">
        <w:rPr>
          <w:sz w:val="24"/>
          <w:szCs w:val="24"/>
        </w:rPr>
        <w:t xml:space="preserve">utilize </w:t>
      </w:r>
      <w:r w:rsidR="00807C80">
        <w:rPr>
          <w:sz w:val="24"/>
          <w:szCs w:val="24"/>
        </w:rPr>
        <w:t xml:space="preserve">2 hours per review, at an average NCUA rate of $80 per hour, </w:t>
      </w:r>
      <w:r>
        <w:rPr>
          <w:sz w:val="24"/>
          <w:szCs w:val="24"/>
        </w:rPr>
        <w:t xml:space="preserve">for an </w:t>
      </w:r>
      <w:r w:rsidR="008457A3">
        <w:rPr>
          <w:sz w:val="24"/>
          <w:szCs w:val="24"/>
        </w:rPr>
        <w:t xml:space="preserve">estimated cost of </w:t>
      </w:r>
      <w:r w:rsidR="00807C80">
        <w:rPr>
          <w:sz w:val="24"/>
          <w:szCs w:val="24"/>
        </w:rPr>
        <w:t>$160</w:t>
      </w:r>
      <w:r w:rsidR="008457A3">
        <w:rPr>
          <w:sz w:val="24"/>
          <w:szCs w:val="24"/>
        </w:rPr>
        <w:t xml:space="preserve"> per review</w:t>
      </w:r>
      <w:r w:rsidR="00807C80">
        <w:rPr>
          <w:sz w:val="24"/>
          <w:szCs w:val="24"/>
        </w:rPr>
        <w:t>.  E</w:t>
      </w:r>
      <w:r w:rsidR="008457A3">
        <w:rPr>
          <w:sz w:val="24"/>
          <w:szCs w:val="24"/>
        </w:rPr>
        <w:t xml:space="preserve">stimated annualized cost to the Federal government </w:t>
      </w:r>
      <w:r w:rsidR="00807C80">
        <w:rPr>
          <w:sz w:val="24"/>
          <w:szCs w:val="24"/>
        </w:rPr>
        <w:t>is</w:t>
      </w:r>
      <w:r w:rsidR="008457A3">
        <w:rPr>
          <w:sz w:val="24"/>
          <w:szCs w:val="24"/>
        </w:rPr>
        <w:t xml:space="preserve"> $</w:t>
      </w:r>
      <w:r w:rsidR="00C8023C">
        <w:rPr>
          <w:sz w:val="24"/>
          <w:szCs w:val="24"/>
        </w:rPr>
        <w:t>6,400</w:t>
      </w:r>
      <w:r w:rsidR="008457A3">
        <w:rPr>
          <w:sz w:val="24"/>
          <w:szCs w:val="24"/>
        </w:rPr>
        <w:t>.</w:t>
      </w:r>
    </w:p>
    <w:p w:rsidRPr="00167DBD" w:rsidR="00D05926" w:rsidP="00B11F42" w:rsidRDefault="00D05926" w14:paraId="46B67F68" w14:textId="77777777">
      <w:pPr>
        <w:tabs>
          <w:tab w:val="left" w:pos="720"/>
        </w:tabs>
        <w:ind w:left="720" w:hanging="720"/>
        <w:rPr>
          <w:sz w:val="24"/>
          <w:szCs w:val="24"/>
        </w:rPr>
      </w:pPr>
    </w:p>
    <w:p w:rsidRPr="00167DBD" w:rsidR="00943589" w:rsidP="00B11F42" w:rsidRDefault="00FC0AA3" w14:paraId="624285BB" w14:textId="7441D1DA">
      <w:pPr>
        <w:pStyle w:val="ListParagraph"/>
        <w:numPr>
          <w:ilvl w:val="0"/>
          <w:numId w:val="8"/>
        </w:numPr>
        <w:tabs>
          <w:tab w:val="left" w:pos="720"/>
        </w:tabs>
        <w:ind w:hanging="720"/>
        <w:rPr>
          <w:b/>
          <w:sz w:val="24"/>
          <w:szCs w:val="24"/>
        </w:rPr>
      </w:pPr>
      <w:r>
        <w:rPr>
          <w:b/>
          <w:sz w:val="24"/>
          <w:szCs w:val="24"/>
        </w:rPr>
        <w:t>C</w:t>
      </w:r>
      <w:r w:rsidRPr="00167DBD" w:rsidR="00617479">
        <w:rPr>
          <w:b/>
          <w:sz w:val="24"/>
          <w:szCs w:val="24"/>
        </w:rPr>
        <w:t>hange</w:t>
      </w:r>
      <w:r>
        <w:rPr>
          <w:b/>
          <w:sz w:val="24"/>
          <w:szCs w:val="24"/>
        </w:rPr>
        <w:t>s</w:t>
      </w:r>
      <w:r w:rsidRPr="00167DBD" w:rsidR="00617479">
        <w:rPr>
          <w:b/>
          <w:sz w:val="24"/>
          <w:szCs w:val="24"/>
        </w:rPr>
        <w:t xml:space="preserve"> in burden</w:t>
      </w:r>
      <w:r w:rsidRPr="00167DBD" w:rsidR="00943589">
        <w:rPr>
          <w:b/>
          <w:sz w:val="24"/>
          <w:szCs w:val="24"/>
        </w:rPr>
        <w:t>.</w:t>
      </w:r>
    </w:p>
    <w:p w:rsidRPr="00167DBD" w:rsidR="00943589" w:rsidP="00B11F42" w:rsidRDefault="00943589" w14:paraId="2D1145AE" w14:textId="77777777">
      <w:pPr>
        <w:tabs>
          <w:tab w:val="left" w:pos="720"/>
        </w:tabs>
        <w:ind w:left="720" w:hanging="720"/>
        <w:rPr>
          <w:sz w:val="24"/>
          <w:szCs w:val="24"/>
        </w:rPr>
      </w:pPr>
    </w:p>
    <w:p w:rsidRPr="00167DBD" w:rsidR="00943589" w:rsidP="00B11F42" w:rsidRDefault="00B11F42" w14:paraId="0AAAE986" w14:textId="789CCC71">
      <w:pPr>
        <w:tabs>
          <w:tab w:val="left" w:pos="720"/>
        </w:tabs>
        <w:ind w:left="720" w:hanging="720"/>
        <w:rPr>
          <w:sz w:val="24"/>
          <w:szCs w:val="24"/>
        </w:rPr>
      </w:pPr>
      <w:r w:rsidRPr="00167DBD">
        <w:rPr>
          <w:sz w:val="24"/>
          <w:szCs w:val="24"/>
        </w:rPr>
        <w:tab/>
      </w:r>
      <w:r w:rsidR="0014059D">
        <w:rPr>
          <w:sz w:val="24"/>
          <w:szCs w:val="24"/>
        </w:rPr>
        <w:t xml:space="preserve">The burden estimate was reduced from the previously approved amount to reflect </w:t>
      </w:r>
      <w:r w:rsidR="00C71D13">
        <w:rPr>
          <w:sz w:val="24"/>
          <w:szCs w:val="24"/>
        </w:rPr>
        <w:t xml:space="preserve">implemented </w:t>
      </w:r>
      <w:r w:rsidR="0014059D">
        <w:rPr>
          <w:sz w:val="24"/>
          <w:szCs w:val="24"/>
        </w:rPr>
        <w:t xml:space="preserve">program standards </w:t>
      </w:r>
      <w:r w:rsidR="001A5B22">
        <w:rPr>
          <w:sz w:val="24"/>
          <w:szCs w:val="24"/>
        </w:rPr>
        <w:t>that set</w:t>
      </w:r>
      <w:r w:rsidR="0014059D">
        <w:rPr>
          <w:sz w:val="24"/>
          <w:szCs w:val="24"/>
        </w:rPr>
        <w:t xml:space="preserve"> the maximum number of reviews to be conducted annually</w:t>
      </w:r>
      <w:r w:rsidR="00C71D13">
        <w:rPr>
          <w:sz w:val="24"/>
          <w:szCs w:val="24"/>
        </w:rPr>
        <w:t xml:space="preserve"> by NCUA to 40 total (10 per quarter)</w:t>
      </w:r>
      <w:r w:rsidR="00E759BF">
        <w:rPr>
          <w:sz w:val="24"/>
          <w:szCs w:val="24"/>
        </w:rPr>
        <w:t>.</w:t>
      </w:r>
    </w:p>
    <w:p w:rsidRPr="00167DBD" w:rsidR="00D05926" w:rsidP="00B11F42" w:rsidRDefault="00D05926" w14:paraId="59CD6DD4" w14:textId="77777777">
      <w:pPr>
        <w:tabs>
          <w:tab w:val="left" w:pos="720"/>
        </w:tabs>
        <w:ind w:left="720" w:hanging="720"/>
        <w:rPr>
          <w:sz w:val="24"/>
          <w:szCs w:val="24"/>
        </w:rPr>
      </w:pPr>
    </w:p>
    <w:p w:rsidRPr="00167DBD" w:rsidR="00943589" w:rsidP="00B11F42" w:rsidRDefault="00FC0AA3" w14:paraId="38FB480A" w14:textId="7B34B28E">
      <w:pPr>
        <w:pStyle w:val="ListParagraph"/>
        <w:numPr>
          <w:ilvl w:val="0"/>
          <w:numId w:val="8"/>
        </w:numPr>
        <w:tabs>
          <w:tab w:val="left" w:pos="720"/>
        </w:tabs>
        <w:ind w:hanging="720"/>
        <w:rPr>
          <w:b/>
          <w:sz w:val="24"/>
          <w:szCs w:val="24"/>
        </w:rPr>
      </w:pPr>
      <w:r>
        <w:rPr>
          <w:b/>
          <w:sz w:val="24"/>
          <w:szCs w:val="24"/>
        </w:rPr>
        <w:t>Information collection planned for statistical purposes</w:t>
      </w:r>
      <w:r w:rsidRPr="00167DBD" w:rsidR="00943589">
        <w:rPr>
          <w:b/>
          <w:sz w:val="24"/>
          <w:szCs w:val="24"/>
        </w:rPr>
        <w:t>.</w:t>
      </w:r>
    </w:p>
    <w:p w:rsidRPr="00167DBD" w:rsidR="00943589" w:rsidP="00B11F42" w:rsidRDefault="00943589" w14:paraId="1B07824C" w14:textId="77777777">
      <w:pPr>
        <w:tabs>
          <w:tab w:val="left" w:pos="720"/>
        </w:tabs>
        <w:ind w:left="720" w:hanging="720"/>
        <w:rPr>
          <w:sz w:val="24"/>
          <w:szCs w:val="24"/>
        </w:rPr>
      </w:pPr>
    </w:p>
    <w:p w:rsidRPr="00167DBD" w:rsidR="00943589" w:rsidP="00B11F42" w:rsidRDefault="00B11F42" w14:paraId="0A1E6F36" w14:textId="721743DD">
      <w:pPr>
        <w:tabs>
          <w:tab w:val="left" w:pos="720"/>
        </w:tabs>
        <w:ind w:left="720" w:hanging="720"/>
        <w:rPr>
          <w:sz w:val="24"/>
          <w:szCs w:val="24"/>
        </w:rPr>
      </w:pPr>
      <w:r w:rsidRPr="00167DBD">
        <w:rPr>
          <w:sz w:val="24"/>
          <w:szCs w:val="24"/>
        </w:rPr>
        <w:tab/>
      </w:r>
      <w:r w:rsidRPr="00167DBD" w:rsidR="00B337C0">
        <w:rPr>
          <w:sz w:val="24"/>
          <w:szCs w:val="24"/>
        </w:rPr>
        <w:t xml:space="preserve">There are no plans for publication of </w:t>
      </w:r>
      <w:r w:rsidRPr="00167DBD" w:rsidR="00D00E77">
        <w:rPr>
          <w:sz w:val="24"/>
          <w:szCs w:val="24"/>
        </w:rPr>
        <w:t xml:space="preserve">individual vendor </w:t>
      </w:r>
      <w:r w:rsidRPr="00167DBD" w:rsidR="00943589">
        <w:rPr>
          <w:sz w:val="24"/>
          <w:szCs w:val="24"/>
        </w:rPr>
        <w:t>results.</w:t>
      </w:r>
      <w:r w:rsidRPr="00167DBD" w:rsidR="00D00E77">
        <w:rPr>
          <w:sz w:val="24"/>
          <w:szCs w:val="24"/>
        </w:rPr>
        <w:t xml:space="preserve">  NCUA is required to provide a report to Congress regarding the total amounts paid to firms that have been identified as minority-owned and women-owned.  This report to Congress is made public; however, individual vendor information provided by NCUA vendors is not published.</w:t>
      </w:r>
    </w:p>
    <w:p w:rsidRPr="00167DBD" w:rsidR="00943589" w:rsidP="00B11F42" w:rsidRDefault="00943589" w14:paraId="4C9D16AD" w14:textId="77777777">
      <w:pPr>
        <w:tabs>
          <w:tab w:val="left" w:pos="720"/>
        </w:tabs>
        <w:ind w:left="720" w:hanging="720"/>
        <w:rPr>
          <w:sz w:val="24"/>
          <w:szCs w:val="24"/>
        </w:rPr>
      </w:pPr>
    </w:p>
    <w:p w:rsidRPr="00167DBD" w:rsidR="00943589" w:rsidP="00B11F42" w:rsidRDefault="00FC0AA3" w14:paraId="417BBD32" w14:textId="2C9D8704">
      <w:pPr>
        <w:pStyle w:val="BodyText2"/>
        <w:numPr>
          <w:ilvl w:val="0"/>
          <w:numId w:val="8"/>
        </w:numPr>
        <w:tabs>
          <w:tab w:val="left" w:pos="720"/>
        </w:tabs>
        <w:ind w:hanging="720"/>
        <w:rPr>
          <w:rFonts w:ascii="Times New Roman" w:hAnsi="Times New Roman"/>
          <w:szCs w:val="24"/>
        </w:rPr>
      </w:pPr>
      <w:r>
        <w:rPr>
          <w:rFonts w:ascii="Times New Roman" w:hAnsi="Times New Roman"/>
          <w:szCs w:val="24"/>
        </w:rPr>
        <w:t>Request non-</w:t>
      </w:r>
      <w:r w:rsidRPr="00167DBD" w:rsidR="00B11F42">
        <w:rPr>
          <w:rFonts w:ascii="Times New Roman" w:hAnsi="Times New Roman"/>
          <w:szCs w:val="24"/>
        </w:rPr>
        <w:t>display</w:t>
      </w:r>
      <w:r>
        <w:rPr>
          <w:rFonts w:ascii="Times New Roman" w:hAnsi="Times New Roman"/>
          <w:szCs w:val="24"/>
        </w:rPr>
        <w:t xml:space="preserve"> of the</w:t>
      </w:r>
      <w:r w:rsidRPr="00167DBD" w:rsidR="00B11F42">
        <w:rPr>
          <w:rFonts w:ascii="Times New Roman" w:hAnsi="Times New Roman"/>
          <w:szCs w:val="24"/>
        </w:rPr>
        <w:t xml:space="preserve"> expiration date of</w:t>
      </w:r>
      <w:r>
        <w:rPr>
          <w:rFonts w:ascii="Times New Roman" w:hAnsi="Times New Roman"/>
          <w:szCs w:val="24"/>
        </w:rPr>
        <w:t xml:space="preserve"> the</w:t>
      </w:r>
      <w:r w:rsidRPr="00167DBD" w:rsidR="00B11F42">
        <w:rPr>
          <w:rFonts w:ascii="Times New Roman" w:hAnsi="Times New Roman"/>
          <w:szCs w:val="24"/>
        </w:rPr>
        <w:t xml:space="preserve"> OMB control number</w:t>
      </w:r>
      <w:r w:rsidRPr="00167DBD" w:rsidR="00943589">
        <w:rPr>
          <w:rFonts w:ascii="Times New Roman" w:hAnsi="Times New Roman"/>
          <w:szCs w:val="24"/>
        </w:rPr>
        <w:t>.</w:t>
      </w:r>
    </w:p>
    <w:p w:rsidRPr="00167DBD" w:rsidR="00943589" w:rsidP="00B11F42" w:rsidRDefault="00943589" w14:paraId="4315F28B" w14:textId="77777777">
      <w:pPr>
        <w:tabs>
          <w:tab w:val="left" w:pos="720"/>
        </w:tabs>
        <w:ind w:left="720" w:hanging="720"/>
        <w:rPr>
          <w:sz w:val="24"/>
          <w:szCs w:val="24"/>
        </w:rPr>
      </w:pPr>
    </w:p>
    <w:p w:rsidR="003B2A00" w:rsidP="009F4A16" w:rsidRDefault="00B11F42" w14:paraId="0F5A2123" w14:textId="33A1A6ED">
      <w:pPr>
        <w:tabs>
          <w:tab w:val="left" w:pos="720"/>
        </w:tabs>
        <w:ind w:left="720" w:hanging="720"/>
        <w:rPr>
          <w:sz w:val="24"/>
          <w:szCs w:val="24"/>
        </w:rPr>
      </w:pPr>
      <w:r w:rsidRPr="00167DBD">
        <w:rPr>
          <w:sz w:val="24"/>
          <w:szCs w:val="24"/>
        </w:rPr>
        <w:tab/>
      </w:r>
      <w:r w:rsidRPr="00D4473E" w:rsidR="00D4473E">
        <w:rPr>
          <w:sz w:val="24"/>
          <w:szCs w:val="24"/>
        </w:rPr>
        <w:t>The OMB control number and expiration date associated with this PRA submission will be displayed on the Federal Government’s electronic PRA docket at www.reginfo.gov.</w:t>
      </w:r>
    </w:p>
    <w:p w:rsidR="009F4A16" w:rsidP="009F4A16" w:rsidRDefault="009F4A16" w14:paraId="3C226E64" w14:textId="77777777">
      <w:pPr>
        <w:tabs>
          <w:tab w:val="left" w:pos="720"/>
        </w:tabs>
        <w:ind w:left="720" w:hanging="720"/>
        <w:rPr>
          <w:b/>
          <w:sz w:val="24"/>
          <w:szCs w:val="24"/>
        </w:rPr>
      </w:pPr>
    </w:p>
    <w:p w:rsidRPr="00167DBD" w:rsidR="00943589" w:rsidP="00B11F42" w:rsidRDefault="00FC0AA3" w14:paraId="39AE917D" w14:textId="3F48F760">
      <w:pPr>
        <w:pStyle w:val="ListParagraph"/>
        <w:numPr>
          <w:ilvl w:val="0"/>
          <w:numId w:val="8"/>
        </w:numPr>
        <w:tabs>
          <w:tab w:val="left" w:pos="720"/>
        </w:tabs>
        <w:ind w:hanging="720"/>
        <w:rPr>
          <w:b/>
          <w:sz w:val="24"/>
          <w:szCs w:val="24"/>
        </w:rPr>
      </w:pPr>
      <w:r>
        <w:rPr>
          <w:b/>
          <w:sz w:val="24"/>
          <w:szCs w:val="24"/>
        </w:rPr>
        <w:t>Exceptions to Certifications for Paperwork Reduction Act Submissions</w:t>
      </w:r>
      <w:r w:rsidRPr="00167DBD" w:rsidR="00943589">
        <w:rPr>
          <w:b/>
          <w:sz w:val="24"/>
          <w:szCs w:val="24"/>
        </w:rPr>
        <w:t>.</w:t>
      </w:r>
    </w:p>
    <w:p w:rsidRPr="00167DBD" w:rsidR="00943589" w:rsidP="00B11F42" w:rsidRDefault="00943589" w14:paraId="7910294B" w14:textId="77777777">
      <w:pPr>
        <w:tabs>
          <w:tab w:val="left" w:pos="720"/>
        </w:tabs>
        <w:ind w:left="720" w:hanging="720"/>
        <w:rPr>
          <w:sz w:val="24"/>
          <w:szCs w:val="24"/>
        </w:rPr>
      </w:pPr>
    </w:p>
    <w:p w:rsidRPr="00167DBD" w:rsidR="00943589" w:rsidP="00B11F42" w:rsidRDefault="00B11F42" w14:paraId="7C0D2DFC" w14:textId="77777777">
      <w:pPr>
        <w:tabs>
          <w:tab w:val="left" w:pos="720"/>
        </w:tabs>
        <w:ind w:left="720" w:hanging="720"/>
        <w:rPr>
          <w:sz w:val="24"/>
          <w:szCs w:val="24"/>
        </w:rPr>
      </w:pPr>
      <w:r w:rsidRPr="00167DBD">
        <w:rPr>
          <w:sz w:val="24"/>
          <w:szCs w:val="24"/>
        </w:rPr>
        <w:tab/>
      </w:r>
      <w:r w:rsidRPr="00167DBD" w:rsidR="00B337C0">
        <w:rPr>
          <w:sz w:val="24"/>
          <w:szCs w:val="24"/>
        </w:rPr>
        <w:t>There are no exceptions to the certification statement</w:t>
      </w:r>
      <w:r w:rsidRPr="00167DBD" w:rsidR="00943589">
        <w:rPr>
          <w:sz w:val="24"/>
          <w:szCs w:val="24"/>
        </w:rPr>
        <w:t>.</w:t>
      </w:r>
    </w:p>
    <w:p w:rsidRPr="00167DBD" w:rsidR="00617479" w:rsidP="00B11F42" w:rsidRDefault="00617479" w14:paraId="20AA139C" w14:textId="77777777">
      <w:pPr>
        <w:tabs>
          <w:tab w:val="left" w:pos="720"/>
        </w:tabs>
        <w:ind w:left="720" w:hanging="720"/>
        <w:rPr>
          <w:sz w:val="24"/>
          <w:szCs w:val="24"/>
        </w:rPr>
      </w:pPr>
    </w:p>
    <w:p w:rsidRPr="003B2A00" w:rsidR="00B11F42" w:rsidP="00B11F42" w:rsidRDefault="00B11F42" w14:paraId="37BF1346" w14:textId="77777777">
      <w:pPr>
        <w:tabs>
          <w:tab w:val="left" w:pos="720"/>
        </w:tabs>
        <w:ind w:left="720" w:hanging="720"/>
        <w:rPr>
          <w:sz w:val="24"/>
          <w:szCs w:val="24"/>
        </w:rPr>
      </w:pPr>
    </w:p>
    <w:p w:rsidRPr="00167DBD" w:rsidR="00617479" w:rsidP="00B11F42" w:rsidRDefault="00617479" w14:paraId="385348D6" w14:textId="77777777">
      <w:pPr>
        <w:tabs>
          <w:tab w:val="left" w:pos="-1440"/>
          <w:tab w:val="left" w:pos="720"/>
        </w:tabs>
        <w:ind w:left="720" w:hanging="720"/>
        <w:rPr>
          <w:b/>
          <w:sz w:val="24"/>
          <w:szCs w:val="24"/>
          <w:u w:val="single"/>
        </w:rPr>
      </w:pPr>
      <w:r w:rsidRPr="00167DBD">
        <w:rPr>
          <w:b/>
          <w:sz w:val="24"/>
          <w:szCs w:val="24"/>
        </w:rPr>
        <w:t>B.</w:t>
      </w:r>
      <w:r w:rsidRPr="00167DBD">
        <w:rPr>
          <w:b/>
          <w:sz w:val="24"/>
          <w:szCs w:val="24"/>
        </w:rPr>
        <w:tab/>
      </w:r>
      <w:r w:rsidRPr="00167DBD">
        <w:rPr>
          <w:b/>
          <w:sz w:val="24"/>
          <w:szCs w:val="24"/>
          <w:u w:val="single"/>
        </w:rPr>
        <w:t>COLLETIONS OF INFORMATION EMPLOYING STATISTICAL METHODS</w:t>
      </w:r>
    </w:p>
    <w:p w:rsidRPr="00167DBD" w:rsidR="00617479" w:rsidP="00B11F42" w:rsidRDefault="00617479" w14:paraId="6E1DFC80" w14:textId="77777777">
      <w:pPr>
        <w:tabs>
          <w:tab w:val="left" w:pos="720"/>
        </w:tabs>
        <w:ind w:left="720" w:hanging="720"/>
        <w:rPr>
          <w:sz w:val="24"/>
          <w:szCs w:val="24"/>
          <w:u w:val="single"/>
        </w:rPr>
      </w:pPr>
    </w:p>
    <w:p w:rsidRPr="00167DBD" w:rsidR="00617479" w:rsidP="00B11F42" w:rsidRDefault="00617479" w14:paraId="0F6CB4A3" w14:textId="77777777">
      <w:pPr>
        <w:tabs>
          <w:tab w:val="left" w:pos="720"/>
        </w:tabs>
        <w:ind w:left="720" w:hanging="720"/>
        <w:rPr>
          <w:sz w:val="24"/>
          <w:szCs w:val="24"/>
        </w:rPr>
      </w:pPr>
      <w:r w:rsidRPr="00167DBD">
        <w:rPr>
          <w:sz w:val="24"/>
          <w:szCs w:val="24"/>
        </w:rPr>
        <w:tab/>
        <w:t>This collection does not employ statistical methods.</w:t>
      </w:r>
    </w:p>
    <w:p w:rsidRPr="00167DBD" w:rsidR="00617479" w:rsidP="00B11F42" w:rsidRDefault="00617479" w14:paraId="585A87B0" w14:textId="77777777">
      <w:pPr>
        <w:tabs>
          <w:tab w:val="left" w:pos="720"/>
        </w:tabs>
        <w:ind w:left="720" w:hanging="720"/>
        <w:rPr>
          <w:sz w:val="24"/>
          <w:szCs w:val="24"/>
        </w:rPr>
      </w:pPr>
    </w:p>
    <w:p w:rsidRPr="00167DBD" w:rsidR="00617479" w:rsidP="00B11F42" w:rsidRDefault="00617479" w14:paraId="241446CD" w14:textId="77777777">
      <w:pPr>
        <w:tabs>
          <w:tab w:val="left" w:pos="720"/>
        </w:tabs>
        <w:ind w:left="720" w:hanging="720"/>
        <w:rPr>
          <w:sz w:val="24"/>
          <w:szCs w:val="24"/>
        </w:rPr>
      </w:pPr>
    </w:p>
    <w:sectPr w:rsidRPr="00167DBD" w:rsidR="00617479" w:rsidSect="003B2A00">
      <w:footerReference w:type="default" r:id="rId11"/>
      <w:footerReference w:type="first" r:id="rId12"/>
      <w:pgSz w:w="12240" w:h="15840" w:code="1"/>
      <w:pgMar w:top="1440" w:right="1440" w:bottom="1440" w:left="1440" w:header="720"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2C124" w14:textId="77777777" w:rsidR="0089574B" w:rsidRDefault="0089574B">
      <w:r>
        <w:separator/>
      </w:r>
    </w:p>
  </w:endnote>
  <w:endnote w:type="continuationSeparator" w:id="0">
    <w:p w14:paraId="0E49079F" w14:textId="77777777" w:rsidR="0089574B" w:rsidRDefault="0089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212685"/>
      <w:docPartObj>
        <w:docPartGallery w:val="Page Numbers (Bottom of Page)"/>
        <w:docPartUnique/>
      </w:docPartObj>
    </w:sdtPr>
    <w:sdtEndPr>
      <w:rPr>
        <w:noProof/>
        <w:sz w:val="24"/>
        <w:szCs w:val="24"/>
      </w:rPr>
    </w:sdtEndPr>
    <w:sdtContent>
      <w:p w14:paraId="059ABF1F" w14:textId="51B0C7C6" w:rsidR="003B2A00" w:rsidRDefault="00FC0AA3" w:rsidP="003B2A00">
        <w:pPr>
          <w:pStyle w:val="Footer"/>
          <w:tabs>
            <w:tab w:val="clear" w:pos="4320"/>
          </w:tabs>
          <w:jc w:val="right"/>
        </w:pPr>
        <w:r>
          <w:rPr>
            <w:i/>
          </w:rPr>
          <w:t>OMB No. 3133-0196</w:t>
        </w:r>
        <w:r w:rsidR="009F4A16">
          <w:rPr>
            <w:i/>
          </w:rPr>
          <w:t xml:space="preserve">; </w:t>
        </w:r>
        <w:r w:rsidR="006B222F">
          <w:rPr>
            <w:i/>
          </w:rPr>
          <w:t>April 2020</w:t>
        </w:r>
        <w:r w:rsidR="003B2A00" w:rsidRPr="003B2A00">
          <w:rPr>
            <w:i/>
          </w:rPr>
          <w:tab/>
        </w:r>
        <w:r w:rsidR="003B2A00">
          <w:fldChar w:fldCharType="begin"/>
        </w:r>
        <w:r w:rsidR="003B2A00">
          <w:instrText xml:space="preserve"> PAGE   \* MERGEFORMAT </w:instrText>
        </w:r>
        <w:r w:rsidR="003B2A00">
          <w:fldChar w:fldCharType="separate"/>
        </w:r>
        <w:r w:rsidR="00B8484A">
          <w:rPr>
            <w:noProof/>
          </w:rPr>
          <w:t>2</w:t>
        </w:r>
        <w:r w:rsidR="003B2A00">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8484574"/>
      <w:docPartObj>
        <w:docPartGallery w:val="Page Numbers (Bottom of Page)"/>
        <w:docPartUnique/>
      </w:docPartObj>
    </w:sdtPr>
    <w:sdtEndPr>
      <w:rPr>
        <w:noProof/>
      </w:rPr>
    </w:sdtEndPr>
    <w:sdtContent>
      <w:p w14:paraId="12868B28" w14:textId="77777777" w:rsidR="00617479" w:rsidRPr="00617479" w:rsidRDefault="00617479" w:rsidP="00617479">
        <w:pPr>
          <w:pStyle w:val="Footer"/>
          <w:tabs>
            <w:tab w:val="clear" w:pos="8640"/>
            <w:tab w:val="right" w:pos="9360"/>
          </w:tabs>
          <w:rPr>
            <w:rFonts w:ascii="Arial" w:hAnsi="Arial" w:cs="Arial"/>
          </w:rPr>
        </w:pPr>
        <w:r w:rsidRPr="00617479">
          <w:rPr>
            <w:rFonts w:ascii="Arial" w:hAnsi="Arial" w:cs="Arial"/>
            <w:i/>
          </w:rPr>
          <w:t>#3133-NEW; DRAFT 6/28/16</w:t>
        </w:r>
        <w:r w:rsidRPr="00617479">
          <w:rPr>
            <w:rFonts w:ascii="Arial" w:hAnsi="Arial" w:cs="Arial"/>
          </w:rPr>
          <w:tab/>
        </w:r>
        <w:r w:rsidRPr="00617479">
          <w:rPr>
            <w:rFonts w:ascii="Arial" w:hAnsi="Arial" w:cs="Arial"/>
          </w:rPr>
          <w:tab/>
        </w:r>
        <w:r w:rsidRPr="00617479">
          <w:rPr>
            <w:rFonts w:ascii="Arial" w:hAnsi="Arial" w:cs="Arial"/>
          </w:rPr>
          <w:fldChar w:fldCharType="begin"/>
        </w:r>
        <w:r w:rsidRPr="00617479">
          <w:rPr>
            <w:rFonts w:ascii="Arial" w:hAnsi="Arial" w:cs="Arial"/>
          </w:rPr>
          <w:instrText xml:space="preserve"> PAGE   \* MERGEFORMAT </w:instrText>
        </w:r>
        <w:r w:rsidRPr="00617479">
          <w:rPr>
            <w:rFonts w:ascii="Arial" w:hAnsi="Arial" w:cs="Arial"/>
          </w:rPr>
          <w:fldChar w:fldCharType="separate"/>
        </w:r>
        <w:r w:rsidR="003B2A00">
          <w:rPr>
            <w:rFonts w:ascii="Arial" w:hAnsi="Arial" w:cs="Arial"/>
            <w:noProof/>
          </w:rPr>
          <w:t>1</w:t>
        </w:r>
        <w:r w:rsidRPr="0061747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A2056" w14:textId="77777777" w:rsidR="0089574B" w:rsidRDefault="0089574B">
      <w:r>
        <w:separator/>
      </w:r>
    </w:p>
  </w:footnote>
  <w:footnote w:type="continuationSeparator" w:id="0">
    <w:p w14:paraId="22110CFA" w14:textId="77777777" w:rsidR="0089574B" w:rsidRDefault="00895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E44D8E6"/>
    <w:lvl w:ilvl="0">
      <w:numFmt w:val="bullet"/>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02186E"/>
    <w:multiLevelType w:val="hybridMultilevel"/>
    <w:tmpl w:val="5DCA6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680A"/>
    <w:multiLevelType w:val="hybridMultilevel"/>
    <w:tmpl w:val="935C9B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F4A06"/>
    <w:multiLevelType w:val="hybridMultilevel"/>
    <w:tmpl w:val="4F40E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38E5EC9"/>
    <w:multiLevelType w:val="hybridMultilevel"/>
    <w:tmpl w:val="3DB23314"/>
    <w:lvl w:ilvl="0" w:tplc="11DA29A2">
      <w:start w:val="9"/>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155B5"/>
    <w:multiLevelType w:val="hybridMultilevel"/>
    <w:tmpl w:val="AC0A6952"/>
    <w:lvl w:ilvl="0" w:tplc="94B2E1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B66B5"/>
    <w:multiLevelType w:val="hybridMultilevel"/>
    <w:tmpl w:val="AB9E40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EF6910"/>
    <w:multiLevelType w:val="hybridMultilevel"/>
    <w:tmpl w:val="C84A76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012E2"/>
    <w:multiLevelType w:val="hybridMultilevel"/>
    <w:tmpl w:val="16343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8"/>
  </w:num>
  <w:num w:numId="4">
    <w:abstractNumId w:val="2"/>
  </w:num>
  <w:num w:numId="5">
    <w:abstractNumId w:val="4"/>
  </w:num>
  <w:num w:numId="6">
    <w:abstractNumId w:val="7"/>
  </w:num>
  <w:num w:numId="7">
    <w:abstractNumId w:val="11"/>
  </w:num>
  <w:num w:numId="8">
    <w:abstractNumId w:val="6"/>
  </w:num>
  <w:num w:numId="9">
    <w:abstractNumId w:val="3"/>
  </w:num>
  <w:num w:numId="10">
    <w:abstractNumId w:val="12"/>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0"/>
  </w:num>
  <w:num w:numId="1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5A"/>
    <w:rsid w:val="00002729"/>
    <w:rsid w:val="000333CE"/>
    <w:rsid w:val="00043224"/>
    <w:rsid w:val="00047168"/>
    <w:rsid w:val="000555DE"/>
    <w:rsid w:val="00064A90"/>
    <w:rsid w:val="00077007"/>
    <w:rsid w:val="000806DF"/>
    <w:rsid w:val="000D3BC5"/>
    <w:rsid w:val="000D3F68"/>
    <w:rsid w:val="000D60C1"/>
    <w:rsid w:val="00122D11"/>
    <w:rsid w:val="0014059D"/>
    <w:rsid w:val="001473FD"/>
    <w:rsid w:val="00167DBD"/>
    <w:rsid w:val="00172F90"/>
    <w:rsid w:val="0019631B"/>
    <w:rsid w:val="001A5B22"/>
    <w:rsid w:val="001A7217"/>
    <w:rsid w:val="001B6D1B"/>
    <w:rsid w:val="001F71A7"/>
    <w:rsid w:val="001F7E17"/>
    <w:rsid w:val="00223D66"/>
    <w:rsid w:val="0023071C"/>
    <w:rsid w:val="0023218A"/>
    <w:rsid w:val="00232A9C"/>
    <w:rsid w:val="00235922"/>
    <w:rsid w:val="002768D9"/>
    <w:rsid w:val="002868AF"/>
    <w:rsid w:val="00287994"/>
    <w:rsid w:val="002A1391"/>
    <w:rsid w:val="002D4D1A"/>
    <w:rsid w:val="002D5537"/>
    <w:rsid w:val="00337453"/>
    <w:rsid w:val="00356048"/>
    <w:rsid w:val="003651B5"/>
    <w:rsid w:val="00381513"/>
    <w:rsid w:val="003A273B"/>
    <w:rsid w:val="003B2A00"/>
    <w:rsid w:val="003B4909"/>
    <w:rsid w:val="003C38A8"/>
    <w:rsid w:val="003E3783"/>
    <w:rsid w:val="003F7F78"/>
    <w:rsid w:val="00410BDE"/>
    <w:rsid w:val="00414989"/>
    <w:rsid w:val="0041549C"/>
    <w:rsid w:val="004466E1"/>
    <w:rsid w:val="00482CBA"/>
    <w:rsid w:val="004906FE"/>
    <w:rsid w:val="00492C92"/>
    <w:rsid w:val="004A693F"/>
    <w:rsid w:val="004B627E"/>
    <w:rsid w:val="004C7CBF"/>
    <w:rsid w:val="004D59C9"/>
    <w:rsid w:val="004E2084"/>
    <w:rsid w:val="004F128F"/>
    <w:rsid w:val="00507E6E"/>
    <w:rsid w:val="00537D6A"/>
    <w:rsid w:val="00575F11"/>
    <w:rsid w:val="0058505A"/>
    <w:rsid w:val="00591963"/>
    <w:rsid w:val="005A5F71"/>
    <w:rsid w:val="005F2E6D"/>
    <w:rsid w:val="005F3C61"/>
    <w:rsid w:val="00601EEE"/>
    <w:rsid w:val="00603EF5"/>
    <w:rsid w:val="00607147"/>
    <w:rsid w:val="00615A4F"/>
    <w:rsid w:val="00617479"/>
    <w:rsid w:val="00657BC1"/>
    <w:rsid w:val="00666348"/>
    <w:rsid w:val="006713D2"/>
    <w:rsid w:val="006A691B"/>
    <w:rsid w:val="006B222F"/>
    <w:rsid w:val="006F23A8"/>
    <w:rsid w:val="007148B3"/>
    <w:rsid w:val="00724A90"/>
    <w:rsid w:val="007278B0"/>
    <w:rsid w:val="00736F3B"/>
    <w:rsid w:val="00737530"/>
    <w:rsid w:val="00763A4E"/>
    <w:rsid w:val="007731C1"/>
    <w:rsid w:val="007A39CC"/>
    <w:rsid w:val="007B5AE0"/>
    <w:rsid w:val="007D2DFC"/>
    <w:rsid w:val="00807C80"/>
    <w:rsid w:val="0082331D"/>
    <w:rsid w:val="008457A3"/>
    <w:rsid w:val="00850A50"/>
    <w:rsid w:val="00861715"/>
    <w:rsid w:val="00873929"/>
    <w:rsid w:val="00882FDF"/>
    <w:rsid w:val="0089574B"/>
    <w:rsid w:val="008A4D30"/>
    <w:rsid w:val="008C4B2D"/>
    <w:rsid w:val="009245B8"/>
    <w:rsid w:val="00927FD3"/>
    <w:rsid w:val="00930C55"/>
    <w:rsid w:val="00943589"/>
    <w:rsid w:val="009472DE"/>
    <w:rsid w:val="00954995"/>
    <w:rsid w:val="009665E1"/>
    <w:rsid w:val="00972487"/>
    <w:rsid w:val="00992412"/>
    <w:rsid w:val="009F4A16"/>
    <w:rsid w:val="00A223C7"/>
    <w:rsid w:val="00A4469A"/>
    <w:rsid w:val="00A51FFC"/>
    <w:rsid w:val="00A73E49"/>
    <w:rsid w:val="00AA15ED"/>
    <w:rsid w:val="00AC2AEB"/>
    <w:rsid w:val="00AD04F9"/>
    <w:rsid w:val="00AD0B6B"/>
    <w:rsid w:val="00AD30DE"/>
    <w:rsid w:val="00B01273"/>
    <w:rsid w:val="00B11F42"/>
    <w:rsid w:val="00B30E04"/>
    <w:rsid w:val="00B31AFE"/>
    <w:rsid w:val="00B337C0"/>
    <w:rsid w:val="00B33DFF"/>
    <w:rsid w:val="00B63E1F"/>
    <w:rsid w:val="00B712AA"/>
    <w:rsid w:val="00B723D7"/>
    <w:rsid w:val="00B8484A"/>
    <w:rsid w:val="00BC5F5D"/>
    <w:rsid w:val="00BE52D7"/>
    <w:rsid w:val="00C05CA7"/>
    <w:rsid w:val="00C31F14"/>
    <w:rsid w:val="00C33635"/>
    <w:rsid w:val="00C3546B"/>
    <w:rsid w:val="00C37125"/>
    <w:rsid w:val="00C71D13"/>
    <w:rsid w:val="00C8023C"/>
    <w:rsid w:val="00C863D7"/>
    <w:rsid w:val="00C874DC"/>
    <w:rsid w:val="00CC15B6"/>
    <w:rsid w:val="00CC52BD"/>
    <w:rsid w:val="00CD27C3"/>
    <w:rsid w:val="00CF30C7"/>
    <w:rsid w:val="00CF743A"/>
    <w:rsid w:val="00D00E77"/>
    <w:rsid w:val="00D05926"/>
    <w:rsid w:val="00D21E30"/>
    <w:rsid w:val="00D4473E"/>
    <w:rsid w:val="00D552BF"/>
    <w:rsid w:val="00D7449B"/>
    <w:rsid w:val="00D74E75"/>
    <w:rsid w:val="00D87E2B"/>
    <w:rsid w:val="00DA3472"/>
    <w:rsid w:val="00DC61B8"/>
    <w:rsid w:val="00DD3751"/>
    <w:rsid w:val="00DF41DD"/>
    <w:rsid w:val="00DF5FE3"/>
    <w:rsid w:val="00E02640"/>
    <w:rsid w:val="00E053E8"/>
    <w:rsid w:val="00E13286"/>
    <w:rsid w:val="00E261B6"/>
    <w:rsid w:val="00E37769"/>
    <w:rsid w:val="00E70D2A"/>
    <w:rsid w:val="00E759BF"/>
    <w:rsid w:val="00E77679"/>
    <w:rsid w:val="00E815D7"/>
    <w:rsid w:val="00EA0163"/>
    <w:rsid w:val="00EC4552"/>
    <w:rsid w:val="00EE2A21"/>
    <w:rsid w:val="00EE6153"/>
    <w:rsid w:val="00EF575E"/>
    <w:rsid w:val="00F15B8C"/>
    <w:rsid w:val="00F2541D"/>
    <w:rsid w:val="00F41CFF"/>
    <w:rsid w:val="00F42FB4"/>
    <w:rsid w:val="00F64279"/>
    <w:rsid w:val="00FB1556"/>
    <w:rsid w:val="00FC0AA3"/>
    <w:rsid w:val="00FF3CE8"/>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A6021"/>
  <w15:docId w15:val="{251B06F5-B76A-400A-ABCB-508A749A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6E1"/>
    <w:rPr>
      <w:rFonts w:ascii="Arial" w:hAnsi="Arial"/>
      <w:sz w:val="24"/>
    </w:rPr>
  </w:style>
  <w:style w:type="paragraph" w:styleId="BodyText2">
    <w:name w:val="Body Text 2"/>
    <w:basedOn w:val="Normal"/>
    <w:rsid w:val="004466E1"/>
    <w:rPr>
      <w:rFonts w:ascii="Arial" w:hAnsi="Arial"/>
      <w:b/>
      <w:sz w:val="24"/>
    </w:rPr>
  </w:style>
  <w:style w:type="paragraph" w:styleId="Footer">
    <w:name w:val="footer"/>
    <w:basedOn w:val="Normal"/>
    <w:link w:val="FooterChar"/>
    <w:uiPriority w:val="99"/>
    <w:rsid w:val="004466E1"/>
    <w:pPr>
      <w:tabs>
        <w:tab w:val="center" w:pos="4320"/>
        <w:tab w:val="right" w:pos="8640"/>
      </w:tabs>
    </w:pPr>
  </w:style>
  <w:style w:type="character" w:styleId="PageNumber">
    <w:name w:val="page number"/>
    <w:basedOn w:val="DefaultParagraphFont"/>
    <w:rsid w:val="004466E1"/>
  </w:style>
  <w:style w:type="paragraph" w:styleId="BalloonText">
    <w:name w:val="Balloon Text"/>
    <w:basedOn w:val="Normal"/>
    <w:rsid w:val="004466E1"/>
    <w:rPr>
      <w:rFonts w:ascii="Tahoma" w:hAnsi="Tahoma"/>
      <w:sz w:val="16"/>
    </w:rPr>
  </w:style>
  <w:style w:type="character" w:styleId="Hyperlink">
    <w:name w:val="Hyperlink"/>
    <w:basedOn w:val="DefaultParagraphFont"/>
    <w:rsid w:val="00C05CA7"/>
    <w:rPr>
      <w:color w:val="0000FF" w:themeColor="hyperlink"/>
      <w:u w:val="single"/>
    </w:rPr>
  </w:style>
  <w:style w:type="character" w:styleId="CommentReference">
    <w:name w:val="annotation reference"/>
    <w:basedOn w:val="DefaultParagraphFont"/>
    <w:uiPriority w:val="99"/>
    <w:semiHidden/>
    <w:unhideWhenUsed/>
    <w:rsid w:val="00603EF5"/>
    <w:rPr>
      <w:sz w:val="16"/>
      <w:szCs w:val="16"/>
    </w:rPr>
  </w:style>
  <w:style w:type="paragraph" w:styleId="CommentText">
    <w:name w:val="annotation text"/>
    <w:basedOn w:val="Normal"/>
    <w:link w:val="CommentTextChar"/>
    <w:uiPriority w:val="99"/>
    <w:unhideWhenUsed/>
    <w:rsid w:val="00603EF5"/>
    <w:pPr>
      <w:overflowPunct/>
      <w:autoSpaceDE/>
      <w:autoSpaceDN/>
      <w:adjustRightInd/>
      <w:textAlignment w:val="auto"/>
    </w:pPr>
  </w:style>
  <w:style w:type="character" w:customStyle="1" w:styleId="CommentTextChar">
    <w:name w:val="Comment Text Char"/>
    <w:basedOn w:val="DefaultParagraphFont"/>
    <w:link w:val="CommentText"/>
    <w:uiPriority w:val="99"/>
    <w:rsid w:val="00603EF5"/>
  </w:style>
  <w:style w:type="paragraph" w:styleId="ListParagraph">
    <w:name w:val="List Paragraph"/>
    <w:basedOn w:val="Normal"/>
    <w:uiPriority w:val="34"/>
    <w:qFormat/>
    <w:rsid w:val="00603EF5"/>
    <w:pPr>
      <w:ind w:left="720"/>
      <w:contextualSpacing/>
    </w:pPr>
  </w:style>
  <w:style w:type="table" w:styleId="TableGrid">
    <w:name w:val="Table Grid"/>
    <w:basedOn w:val="TableNormal"/>
    <w:rsid w:val="0060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3071C"/>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semiHidden/>
    <w:rsid w:val="0023071C"/>
    <w:rPr>
      <w:b/>
      <w:bCs/>
    </w:rPr>
  </w:style>
  <w:style w:type="character" w:styleId="FollowedHyperlink">
    <w:name w:val="FollowedHyperlink"/>
    <w:basedOn w:val="DefaultParagraphFont"/>
    <w:semiHidden/>
    <w:unhideWhenUsed/>
    <w:rsid w:val="006713D2"/>
    <w:rPr>
      <w:color w:val="800080" w:themeColor="followedHyperlink"/>
      <w:u w:val="single"/>
    </w:rPr>
  </w:style>
  <w:style w:type="paragraph" w:styleId="Header">
    <w:name w:val="header"/>
    <w:basedOn w:val="Normal"/>
    <w:link w:val="HeaderChar"/>
    <w:unhideWhenUsed/>
    <w:rsid w:val="00617479"/>
    <w:pPr>
      <w:tabs>
        <w:tab w:val="center" w:pos="4680"/>
        <w:tab w:val="right" w:pos="9360"/>
      </w:tabs>
    </w:pPr>
  </w:style>
  <w:style w:type="character" w:customStyle="1" w:styleId="HeaderChar">
    <w:name w:val="Header Char"/>
    <w:basedOn w:val="DefaultParagraphFont"/>
    <w:link w:val="Header"/>
    <w:rsid w:val="00617479"/>
  </w:style>
  <w:style w:type="character" w:customStyle="1" w:styleId="FooterChar">
    <w:name w:val="Footer Char"/>
    <w:basedOn w:val="DefaultParagraphFont"/>
    <w:link w:val="Footer"/>
    <w:uiPriority w:val="99"/>
    <w:rsid w:val="00617479"/>
  </w:style>
  <w:style w:type="paragraph" w:styleId="Revision">
    <w:name w:val="Revision"/>
    <w:hidden/>
    <w:uiPriority w:val="99"/>
    <w:semiHidden/>
    <w:rsid w:val="00F2541D"/>
  </w:style>
  <w:style w:type="paragraph" w:styleId="BodyTextIndent2">
    <w:name w:val="Body Text Indent 2"/>
    <w:basedOn w:val="Normal"/>
    <w:link w:val="BodyTextIndent2Char"/>
    <w:semiHidden/>
    <w:unhideWhenUsed/>
    <w:rsid w:val="009F4A16"/>
    <w:pPr>
      <w:spacing w:after="120" w:line="480" w:lineRule="auto"/>
      <w:ind w:left="360"/>
    </w:pPr>
  </w:style>
  <w:style w:type="character" w:customStyle="1" w:styleId="BodyTextIndent2Char">
    <w:name w:val="Body Text Indent 2 Char"/>
    <w:basedOn w:val="DefaultParagraphFont"/>
    <w:link w:val="BodyTextIndent2"/>
    <w:semiHidden/>
    <w:rsid w:val="009F4A16"/>
  </w:style>
  <w:style w:type="paragraph" w:customStyle="1" w:styleId="Level1">
    <w:name w:val="Level 1"/>
    <w:basedOn w:val="Normal"/>
    <w:rsid w:val="009F4A16"/>
    <w:pPr>
      <w:widowControl w:val="0"/>
      <w:numPr>
        <w:numId w:val="11"/>
      </w:numPr>
      <w:overflowPunct/>
      <w:ind w:left="474" w:hanging="186"/>
      <w:textAlignment w:val="auto"/>
      <w:outlineLvl w:val="0"/>
    </w:pPr>
    <w:rPr>
      <w:sz w:val="24"/>
      <w:szCs w:val="24"/>
    </w:rPr>
  </w:style>
  <w:style w:type="paragraph" w:customStyle="1" w:styleId="Level2">
    <w:name w:val="Level 2"/>
    <w:basedOn w:val="Normal"/>
    <w:rsid w:val="009F4A16"/>
    <w:pPr>
      <w:widowControl w:val="0"/>
      <w:overflowPunct/>
      <w:ind w:left="722" w:hanging="36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A_x0020_Request_x0020_Type xmlns="3ea56344-e6f1-4d68-b27f-fda586fbce6c">Extension</PRA_x0020_Request_x0020_Type>
    <OMB_x0020_Expiration_x0020_Date xmlns="3ea56344-e6f1-4d68-b27f-fda586fbce6c">2020-04-30T04:00:00+00:00</OMB_x0020_Expiration_x0020_Date>
    <PRA_x0020_Status xmlns="3ea56344-e6f1-4d68-b27f-fda586fbce6c">60 day comment period wait</PRA_x0020_Status>
    <Requiring_x0020_Activity xmlns="87893fa0-2686-4088-86e9-48d7d07258e3">OMWI</Requiring_x0020_Activity>
    <PRA_x0020_POC xmlns="3ea56344-e6f1-4d68-b27f-fda586fbce6c">
      <UserInfo>
        <DisplayName>Polanco, Miguel A</DisplayName>
        <AccountId>28</AccountId>
        <AccountType/>
      </UserInfo>
    </PRA_x0020_POC>
    <TriggerFlag xmlns="0d78573e-a0f5-4493-b684-0d1db760dd90" xsi:nil="true"/>
    <OMB_x0020_No. xmlns="0d78573e-a0f5-4493-b684-0d1db760dd90">3133-0196</OMB_x0020_No.>
    <Reg xmlns="3ea56344-e6f1-4d68-b27f-fda586fbce6c" xsi:nil="true"/>
    <Form_x0020_No. xmlns="0d78573e-a0f5-4493-b684-0d1db760dd90" xsi:nil="true"/>
    <D_x0020_or_x0020_F_x003f_ xmlns="3ea56344-e6f1-4d68-b27f-fda586fbce6c">Final</D_x0020_or_x0020_F_x003f_>
    <Date1 xmlns="3ea56344-e6f1-4d68-b27f-fda586fbce6c">2020-04-20T04:00:00+00:00</Date1>
  </documentManagement>
</p:properties>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3F62F64E8BC28345909BC2037B65158F0100575D3864973BE743BD7602542BF628DA" ma:contentTypeVersion="14" ma:contentTypeDescription="" ma:contentTypeScope="" ma:versionID="fe4829b535a6b8252de03d6cf5784606">
  <xsd:schema xmlns:xsd="http://www.w3.org/2001/XMLSchema" xmlns:xs="http://www.w3.org/2001/XMLSchema" xmlns:p="http://schemas.microsoft.com/office/2006/metadata/properties" xmlns:ns2="3ea56344-e6f1-4d68-b27f-fda586fbce6c" xmlns:ns3="0d78573e-a0f5-4493-b684-0d1db760dd90" xmlns:ns4="87893fa0-2686-4088-86e9-48d7d07258e3" targetNamespace="http://schemas.microsoft.com/office/2006/metadata/properties" ma:root="true" ma:fieldsID="f190a850ec2a6da1b9be7669de656ae1" ns2:_="" ns3:_="" ns4:_="">
    <xsd:import namespace="3ea56344-e6f1-4d68-b27f-fda586fbce6c"/>
    <xsd:import namespace="0d78573e-a0f5-4493-b684-0d1db760dd90"/>
    <xsd:import namespace="87893fa0-2686-4088-86e9-48d7d07258e3"/>
    <xsd:element name="properties">
      <xsd:complexType>
        <xsd:sequence>
          <xsd:element name="documentManagement">
            <xsd:complexType>
              <xsd:all>
                <xsd:element ref="ns2:D_x0020_or_x0020_F_x003f_" minOccurs="0"/>
                <xsd:element ref="ns3:Form_x0020_No." minOccurs="0"/>
                <xsd:element ref="ns2:Date1" minOccurs="0"/>
                <xsd:element ref="ns2:PRA_x0020_POC" minOccurs="0"/>
                <xsd:element ref="ns2:OMB_x0020_Expiration_x0020_Date" minOccurs="0"/>
                <xsd:element ref="ns4:Requiring_x0020_Activity" minOccurs="0"/>
                <xsd:element ref="ns2:PRA_x0020_Status" minOccurs="0"/>
                <xsd:element ref="ns2:PRA_x0020_Request_x0020_Type" minOccurs="0"/>
                <xsd:element ref="ns3:OMB_x0020_No." minOccurs="0"/>
                <xsd:element ref="ns2:Reg" minOccurs="0"/>
                <xsd:element ref="ns3:Trigger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344-e6f1-4d68-b27f-fda586fbce6c" elementFormDefault="qualified">
    <xsd:import namespace="http://schemas.microsoft.com/office/2006/documentManagement/types"/>
    <xsd:import namespace="http://schemas.microsoft.com/office/infopath/2007/PartnerControls"/>
    <xsd:element name="D_x0020_or_x0020_F_x003f_" ma:index="8" nillable="true" ma:displayName="Draft or Final?" ma:default="Draft" ma:format="Dropdown" ma:internalName="D_x0020_or_x0020_F_x003F_" ma:readOnly="false">
      <xsd:simpleType>
        <xsd:restriction base="dms:Choice">
          <xsd:enumeration value="Draft"/>
          <xsd:enumeration value="Final"/>
        </xsd:restriction>
      </xsd:simpleType>
    </xsd:element>
    <xsd:element name="Date1" ma:index="10" nillable="true" ma:displayName="Date" ma:format="DateOnly" ma:internalName="Date1" ma:readOnly="false">
      <xsd:simpleType>
        <xsd:restriction base="dms:DateTime"/>
      </xsd:simpleType>
    </xsd:element>
    <xsd:element name="PRA_x0020_POC" ma:index="11" nillable="true" ma:displayName="PRA POC" ma:list="UserInfo" ma:SharePointGroup="0" ma:internalName="PRA_x0020_POC"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MB_x0020_Expiration_x0020_Date" ma:index="12" nillable="true" ma:displayName="OMB Expiration Date" ma:format="DateOnly" ma:internalName="OMB_x0020_Expiration_x0020_Date" ma:readOnly="false">
      <xsd:simpleType>
        <xsd:restriction base="dms:DateTime"/>
      </xsd:simpleType>
    </xsd:element>
    <xsd:element name="PRA_x0020_Status" ma:index="14" nillable="true" ma:displayName="PRA Status" ma:default="-" ma:format="Dropdown" ma:internalName="PRA_x0020_Status" ma:readOnly="false">
      <xsd:simpleType>
        <xsd:restriction base="dms:Choice">
          <xsd:enumeration value="-"/>
          <xsd:enumeration value="Pending w/OPI"/>
          <xsd:enumeration value="Pending w/PRA Office"/>
          <xsd:enumeration value="Pending w/OMB"/>
          <xsd:enumeration value="60 day comment period wait"/>
          <xsd:enumeration value="30 day comment period wait"/>
          <xsd:enumeration value="Approved"/>
          <xsd:enumeration value="Disapproved"/>
          <xsd:enumeration value="Disapproved &amp; Continued"/>
          <xsd:enumeration value="Preapproved"/>
          <xsd:enumeration value="Comment file on proposed rule"/>
          <xsd:enumeration value="Comment file on proposed rule and continued"/>
          <xsd:enumeration value="Improperly Submitted"/>
          <xsd:enumeration value="Improperly Submitted and Continued"/>
        </xsd:restriction>
      </xsd:simpleType>
    </xsd:element>
    <xsd:element name="PRA_x0020_Request_x0020_Type" ma:index="15" nillable="true" ma:displayName="PRA Request Type" ma:default="-" ma:format="Dropdown" ma:internalName="PRA_x0020_Request_x0020_Type" ma:readOnly="false">
      <xsd:simpleType>
        <xsd:restriction base="dms:Choice">
          <xsd:enumeration value="-"/>
          <xsd:enumeration value="Extension"/>
          <xsd:enumeration value="Revision"/>
          <xsd:enumeration value="New"/>
          <xsd:enumeration value="New NPRM"/>
          <xsd:enumeration value="New Final Rule"/>
          <xsd:enumeration value="In use W/O OMB#"/>
          <xsd:enumeration value="Reinstatement"/>
          <xsd:enumeration value="Discontinuation"/>
          <xsd:enumeration value="Non Material Change"/>
          <xsd:enumeration value="Generic IC"/>
          <xsd:enumeration value="Emergency Extension"/>
        </xsd:restriction>
      </xsd:simpleType>
    </xsd:element>
    <xsd:element name="Reg" ma:index="17" nillable="true" ma:displayName="Reg" ma:internalName="Reg"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d78573e-a0f5-4493-b684-0d1db760dd90" elementFormDefault="qualified">
    <xsd:import namespace="http://schemas.microsoft.com/office/2006/documentManagement/types"/>
    <xsd:import namespace="http://schemas.microsoft.com/office/infopath/2007/PartnerControls"/>
    <xsd:element name="Form_x0020_No." ma:index="9" nillable="true" ma:displayName="Form No." ma:internalName="Form_x0020_No_x002e_" ma:readOnly="false" ma:percentage="FALSE">
      <xsd:simpleType>
        <xsd:restriction base="dms:Number"/>
      </xsd:simpleType>
    </xsd:element>
    <xsd:element name="OMB_x0020_No." ma:index="16" nillable="true" ma:displayName="OMB No." ma:internalName="OMB_x0020_No_x002e_" ma:readOnly="false">
      <xsd:simpleType>
        <xsd:restriction base="dms:Text">
          <xsd:maxLength value="10"/>
        </xsd:restriction>
      </xsd:simpleType>
    </xsd:element>
    <xsd:element name="TriggerFlag" ma:index="18" nillable="true" ma:displayName="TriggerFlag" ma:internalName="TriggerFl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93fa0-2686-4088-86e9-48d7d07258e3" elementFormDefault="qualified">
    <xsd:import namespace="http://schemas.microsoft.com/office/2006/documentManagement/types"/>
    <xsd:import namespace="http://schemas.microsoft.com/office/infopath/2007/PartnerControls"/>
    <xsd:element name="Requiring_x0020_Activity" ma:index="13" nillable="true" ma:displayName="ClientOffice" ma:default="-" ma:format="Dropdown" ma:internalName="Requiring_x0020_Activity" ma:readOnly="false">
      <xsd:simpleType>
        <xsd:restriction base="dms:Choice">
          <xsd:enumeration value="-"/>
          <xsd:enumeration value="Eastern"/>
          <xsd:enumeration value="Southern"/>
          <xsd:enumeration value="Western"/>
          <xsd:enumeration value="Region 1"/>
          <xsd:enumeration value="Region 2"/>
          <xsd:enumeration value="Region 3"/>
          <xsd:enumeration value="Region 4"/>
          <xsd:enumeration value="Region 5"/>
          <xsd:enumeration value="AMAC"/>
          <xsd:enumeration value="Board"/>
          <xsd:enumeration value="CURE"/>
          <xsd:enumeration value="E&amp;I"/>
          <xsd:enumeration value="ONES"/>
          <xsd:enumeration value="OCE"/>
          <xsd:enumeration value="OCFO"/>
          <xsd:enumeration value="OCIO"/>
          <xsd:enumeration value="OCFP"/>
          <xsd:enumeration value="OCSM"/>
          <xsd:enumeration value="OED"/>
          <xsd:enumeration value="OGC"/>
          <xsd:enumeration value="OHR"/>
          <xsd:enumeration value="OIG"/>
          <xsd:enumeration value="OMWI"/>
          <xsd:enumeration value="PA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7DD88-BBB2-4E8C-9D1F-603519064C43}">
  <ds:schemaRefs>
    <ds:schemaRef ds:uri="http://schemas.microsoft.com/sharepoint/v3/contenttype/forms"/>
  </ds:schemaRefs>
</ds:datastoreItem>
</file>

<file path=customXml/itemProps2.xml><?xml version="1.0" encoding="utf-8"?>
<ds:datastoreItem xmlns:ds="http://schemas.openxmlformats.org/officeDocument/2006/customXml" ds:itemID="{73E3B687-0D5A-496F-B578-210B8C86C1DC}">
  <ds:schemaRefs>
    <ds:schemaRef ds:uri="http://schemas.microsoft.com/office/2006/metadata/properties"/>
    <ds:schemaRef ds:uri="http://schemas.microsoft.com/office/infopath/2007/PartnerControls"/>
    <ds:schemaRef ds:uri="3ea56344-e6f1-4d68-b27f-fda586fbce6c"/>
    <ds:schemaRef ds:uri="87893fa0-2686-4088-86e9-48d7d07258e3"/>
    <ds:schemaRef ds:uri="0d78573e-a0f5-4493-b684-0d1db760dd90"/>
  </ds:schemaRefs>
</ds:datastoreItem>
</file>

<file path=customXml/itemProps3.xml><?xml version="1.0" encoding="utf-8"?>
<ds:datastoreItem xmlns:ds="http://schemas.openxmlformats.org/officeDocument/2006/customXml" ds:itemID="{9C430828-6C37-416A-86C5-29ED879F3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344-e6f1-4d68-b27f-fda586fbce6c"/>
    <ds:schemaRef ds:uri="0d78573e-a0f5-4493-b684-0d1db760dd90"/>
    <ds:schemaRef ds:uri="87893fa0-2686-4088-86e9-48d7d0725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AE1AB-43B5-434B-99C7-FEB6AA54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Malaka, Mackie</cp:lastModifiedBy>
  <cp:revision>2</cp:revision>
  <cp:lastPrinted>2017-01-30T15:56:00Z</cp:lastPrinted>
  <dcterms:created xsi:type="dcterms:W3CDTF">2020-04-22T12:35:00Z</dcterms:created>
  <dcterms:modified xsi:type="dcterms:W3CDTF">2020-04-22T12:35:00Z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0x0101003F62F64E8BC28345909BC2037B65158F0100575D3864973BE743BD7602542BF628DA</vt:lpwstr>
  </property>
</Properties>
</file>