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235E" w:rsidR="006F235E" w:rsidP="006F235E" w:rsidRDefault="006F235E" w14:paraId="12591E9C" w14:textId="77777777">
      <w:pPr>
        <w:spacing w:after="0" w:line="240" w:lineRule="auto"/>
        <w:ind w:left="-360" w:right="-360"/>
        <w:jc w:val="center"/>
        <w:rPr>
          <w:rFonts w:ascii="Times New Roman" w:hAnsi="Times New Roman"/>
          <w:bCs/>
          <w:sz w:val="24"/>
          <w:szCs w:val="24"/>
        </w:rPr>
      </w:pPr>
      <w:bookmarkStart w:name="_GoBack" w:id="0"/>
      <w:bookmarkEnd w:id="0"/>
      <w:r w:rsidRPr="006F235E">
        <w:rPr>
          <w:rFonts w:ascii="Times New Roman" w:hAnsi="Times New Roman"/>
          <w:bCs/>
          <w:sz w:val="24"/>
          <w:szCs w:val="24"/>
        </w:rPr>
        <w:t>National Credit Union Administration</w:t>
      </w:r>
    </w:p>
    <w:p w:rsidRPr="006F235E" w:rsidR="006F235E" w:rsidP="006F235E" w:rsidRDefault="006F235E" w14:paraId="7FF7F486" w14:textId="77777777">
      <w:pPr>
        <w:spacing w:after="0" w:line="240" w:lineRule="auto"/>
        <w:ind w:left="-360" w:right="-360"/>
        <w:jc w:val="center"/>
        <w:rPr>
          <w:rFonts w:ascii="Times New Roman" w:hAnsi="Times New Roman"/>
          <w:b/>
          <w:bCs/>
          <w:sz w:val="24"/>
          <w:szCs w:val="24"/>
        </w:rPr>
      </w:pPr>
      <w:r w:rsidRPr="006F235E">
        <w:rPr>
          <w:rFonts w:ascii="Times New Roman" w:hAnsi="Times New Roman"/>
          <w:b/>
          <w:bCs/>
          <w:sz w:val="24"/>
          <w:szCs w:val="24"/>
        </w:rPr>
        <w:t>SUPPORTING STATEMENT</w:t>
      </w:r>
    </w:p>
    <w:p w:rsidRPr="006F235E" w:rsidR="006F235E" w:rsidP="006F235E" w:rsidRDefault="006F235E" w14:paraId="666CBF2D" w14:textId="77777777">
      <w:pPr>
        <w:spacing w:after="0" w:line="240" w:lineRule="auto"/>
        <w:ind w:left="-360" w:right="-360"/>
        <w:jc w:val="center"/>
        <w:rPr>
          <w:rFonts w:ascii="Times New Roman" w:hAnsi="Times New Roman"/>
          <w:b/>
          <w:bCs/>
          <w:sz w:val="24"/>
          <w:szCs w:val="24"/>
        </w:rPr>
      </w:pPr>
    </w:p>
    <w:p w:rsidRPr="006F235E" w:rsidR="007C0040" w:rsidP="006F235E" w:rsidRDefault="000B0627" w14:paraId="74EEFCFB" w14:textId="77777777">
      <w:pPr>
        <w:pStyle w:val="ListParagraph"/>
        <w:spacing w:after="0" w:line="240" w:lineRule="auto"/>
        <w:ind w:left="0"/>
        <w:jc w:val="center"/>
        <w:rPr>
          <w:rFonts w:ascii="Times New Roman" w:hAnsi="Times New Roman"/>
          <w:sz w:val="24"/>
          <w:szCs w:val="24"/>
        </w:rPr>
      </w:pPr>
      <w:r w:rsidRPr="006F235E">
        <w:rPr>
          <w:rFonts w:ascii="Times New Roman" w:hAnsi="Times New Roman"/>
          <w:sz w:val="24"/>
          <w:szCs w:val="24"/>
        </w:rPr>
        <w:t>Organization and Operation of a Federal Credit Union</w:t>
      </w:r>
      <w:r w:rsidRPr="006F235E" w:rsidR="007C0040">
        <w:rPr>
          <w:rFonts w:ascii="Times New Roman" w:hAnsi="Times New Roman"/>
          <w:sz w:val="24"/>
          <w:szCs w:val="24"/>
        </w:rPr>
        <w:t xml:space="preserve">s - </w:t>
      </w:r>
      <w:r w:rsidRPr="006F235E" w:rsidR="00B30B18">
        <w:rPr>
          <w:rFonts w:ascii="Times New Roman" w:hAnsi="Times New Roman"/>
          <w:sz w:val="24"/>
          <w:szCs w:val="24"/>
        </w:rPr>
        <w:t>Loan Participation</w:t>
      </w:r>
      <w:r w:rsidRPr="006F235E" w:rsidR="007C0040">
        <w:rPr>
          <w:rFonts w:ascii="Times New Roman" w:hAnsi="Times New Roman"/>
          <w:sz w:val="24"/>
          <w:szCs w:val="24"/>
        </w:rPr>
        <w:t>s</w:t>
      </w:r>
    </w:p>
    <w:p w:rsidR="007C0040" w:rsidP="006F235E" w:rsidRDefault="006F235E" w14:paraId="0F6C2F02" w14:textId="06453F21">
      <w:pPr>
        <w:pStyle w:val="ListParagraph"/>
        <w:spacing w:after="0" w:line="240" w:lineRule="auto"/>
        <w:ind w:left="0"/>
        <w:jc w:val="center"/>
        <w:rPr>
          <w:rFonts w:ascii="Times New Roman" w:hAnsi="Times New Roman"/>
          <w:sz w:val="24"/>
          <w:szCs w:val="24"/>
        </w:rPr>
      </w:pPr>
      <w:r w:rsidRPr="006F235E">
        <w:rPr>
          <w:rFonts w:ascii="Times New Roman" w:hAnsi="Times New Roman"/>
          <w:sz w:val="24"/>
          <w:szCs w:val="24"/>
        </w:rPr>
        <w:t>12 CFR</w:t>
      </w:r>
      <w:r w:rsidRPr="006F235E" w:rsidR="007C0040">
        <w:rPr>
          <w:rFonts w:ascii="Times New Roman" w:hAnsi="Times New Roman"/>
          <w:sz w:val="24"/>
          <w:szCs w:val="24"/>
        </w:rPr>
        <w:t xml:space="preserve"> 701.22</w:t>
      </w:r>
    </w:p>
    <w:p w:rsidRPr="006F235E" w:rsidR="00C54F54" w:rsidP="006F235E" w:rsidRDefault="00C54F54" w14:paraId="29937941" w14:textId="77777777">
      <w:pPr>
        <w:pStyle w:val="ListParagraph"/>
        <w:spacing w:after="0" w:line="240" w:lineRule="auto"/>
        <w:ind w:left="0"/>
        <w:jc w:val="center"/>
        <w:rPr>
          <w:rFonts w:ascii="Times New Roman" w:hAnsi="Times New Roman"/>
          <w:sz w:val="24"/>
          <w:szCs w:val="24"/>
        </w:rPr>
      </w:pPr>
    </w:p>
    <w:p w:rsidRPr="006F235E" w:rsidR="00B30B18" w:rsidP="006F235E" w:rsidRDefault="006F235E" w14:paraId="44542316" w14:textId="7777777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OMB No. </w:t>
      </w:r>
      <w:r w:rsidRPr="006F235E" w:rsidR="00B30B18">
        <w:rPr>
          <w:rFonts w:ascii="Times New Roman" w:hAnsi="Times New Roman"/>
          <w:b/>
          <w:sz w:val="24"/>
          <w:szCs w:val="24"/>
        </w:rPr>
        <w:t>3133-0141</w:t>
      </w:r>
    </w:p>
    <w:p w:rsidR="00B30B18" w:rsidP="00101F39" w:rsidRDefault="00B30B18" w14:paraId="6AD2E825" w14:textId="35371E9B">
      <w:pPr>
        <w:pStyle w:val="ListParagraph"/>
        <w:spacing w:after="0" w:line="240" w:lineRule="auto"/>
        <w:ind w:left="0"/>
        <w:jc w:val="center"/>
        <w:rPr>
          <w:rFonts w:ascii="Times New Roman" w:hAnsi="Times New Roman"/>
          <w:sz w:val="24"/>
          <w:szCs w:val="24"/>
        </w:rPr>
      </w:pPr>
    </w:p>
    <w:p w:rsidRPr="00101F39" w:rsidR="00101F39" w:rsidP="00101F39" w:rsidRDefault="00101F39" w14:paraId="1E9DEF49" w14:textId="77777777">
      <w:pPr>
        <w:pStyle w:val="ListParagraph"/>
        <w:spacing w:after="0" w:line="240" w:lineRule="auto"/>
        <w:ind w:left="0"/>
        <w:jc w:val="center"/>
        <w:rPr>
          <w:rFonts w:ascii="Times New Roman" w:hAnsi="Times New Roman"/>
          <w:sz w:val="24"/>
          <w:szCs w:val="24"/>
        </w:rPr>
      </w:pPr>
    </w:p>
    <w:p w:rsidRPr="00FF5243" w:rsidR="00101F39" w:rsidP="00101F39" w:rsidRDefault="00101F39" w14:paraId="53A30CDF" w14:textId="3E78A57F">
      <w:pPr>
        <w:spacing w:after="0" w:line="240" w:lineRule="auto"/>
        <w:rPr>
          <w:rFonts w:ascii="Times New Roman" w:hAnsi="Times New Roman"/>
          <w:b/>
          <w:i/>
          <w:sz w:val="24"/>
          <w:szCs w:val="24"/>
          <w:u w:val="single"/>
        </w:rPr>
      </w:pPr>
      <w:r w:rsidRPr="00FF5243">
        <w:rPr>
          <w:rFonts w:ascii="Times New Roman" w:hAnsi="Times New Roman"/>
          <w:b/>
          <w:i/>
          <w:sz w:val="24"/>
          <w:szCs w:val="24"/>
          <w:u w:val="single"/>
        </w:rPr>
        <w:t>Summary of Action – Emergency Justification</w:t>
      </w:r>
    </w:p>
    <w:p w:rsidRPr="00101F39" w:rsidR="00101F39" w:rsidP="00101F39" w:rsidRDefault="00101F39" w14:paraId="45B6328E" w14:textId="0B0A6A1B">
      <w:pPr>
        <w:spacing w:after="0" w:line="240" w:lineRule="auto"/>
        <w:rPr>
          <w:rFonts w:ascii="Times New Roman" w:hAnsi="Times New Roman"/>
          <w:sz w:val="24"/>
          <w:szCs w:val="24"/>
        </w:rPr>
      </w:pPr>
      <w:r w:rsidRPr="00101F39">
        <w:rPr>
          <w:rFonts w:ascii="Times New Roman" w:hAnsi="Times New Roman"/>
          <w:sz w:val="24"/>
          <w:szCs w:val="24"/>
        </w:rPr>
        <w:t xml:space="preserve">Pursuant to the Office of Management and Budget (OMB) procedures established at 5 CFR </w:t>
      </w:r>
      <w:r w:rsidRPr="00101F39">
        <w:rPr>
          <w:rFonts w:ascii="Times New Roman" w:hAnsi="Times New Roman"/>
          <w:sz w:val="24"/>
        </w:rPr>
        <w:t>§ </w:t>
      </w:r>
      <w:r w:rsidRPr="00101F39">
        <w:rPr>
          <w:rFonts w:ascii="Times New Roman" w:hAnsi="Times New Roman"/>
          <w:sz w:val="24"/>
          <w:szCs w:val="24"/>
        </w:rPr>
        <w:t>1320.13, the National Credit Union Administration (NCUA) requests emergency OMB approval of information collection requirements under §701.22, Organization and Operation of Federal Credit Union – Loan Participations</w:t>
      </w:r>
      <w:r>
        <w:rPr>
          <w:rFonts w:ascii="Times New Roman" w:hAnsi="Times New Roman"/>
          <w:sz w:val="24"/>
          <w:szCs w:val="24"/>
        </w:rPr>
        <w:t xml:space="preserve"> (OMB No. 3133-0141)</w:t>
      </w:r>
      <w:r w:rsidRPr="00101F39">
        <w:rPr>
          <w:rFonts w:ascii="Times New Roman" w:hAnsi="Times New Roman"/>
          <w:sz w:val="24"/>
          <w:szCs w:val="24"/>
        </w:rPr>
        <w:t>; §701.23, Purchase, Sale, and Pledge of Eligible Obligations</w:t>
      </w:r>
      <w:r>
        <w:rPr>
          <w:rFonts w:ascii="Times New Roman" w:hAnsi="Times New Roman"/>
          <w:sz w:val="24"/>
          <w:szCs w:val="24"/>
        </w:rPr>
        <w:t xml:space="preserve"> (OMB No. 3133-0127)</w:t>
      </w:r>
      <w:r w:rsidRPr="00101F39">
        <w:rPr>
          <w:rFonts w:ascii="Times New Roman" w:hAnsi="Times New Roman"/>
          <w:sz w:val="24"/>
          <w:szCs w:val="24"/>
        </w:rPr>
        <w:t xml:space="preserve">, and §701.36, Federal Credit </w:t>
      </w:r>
      <w:r>
        <w:rPr>
          <w:rFonts w:ascii="Times New Roman" w:hAnsi="Times New Roman"/>
          <w:sz w:val="24"/>
          <w:szCs w:val="24"/>
        </w:rPr>
        <w:t>Union Occupancy, Planning, and D</w:t>
      </w:r>
      <w:r w:rsidRPr="00101F39">
        <w:rPr>
          <w:rFonts w:ascii="Times New Roman" w:hAnsi="Times New Roman"/>
          <w:sz w:val="24"/>
          <w:szCs w:val="24"/>
        </w:rPr>
        <w:t>isposal of Acquired and Abandoned Premises</w:t>
      </w:r>
      <w:r>
        <w:rPr>
          <w:rFonts w:ascii="Times New Roman" w:hAnsi="Times New Roman"/>
          <w:sz w:val="24"/>
          <w:szCs w:val="24"/>
        </w:rPr>
        <w:t xml:space="preserve"> (OMB No. 3133-0040)</w:t>
      </w:r>
      <w:r w:rsidRPr="00101F39">
        <w:rPr>
          <w:rFonts w:ascii="Times New Roman" w:hAnsi="Times New Roman"/>
          <w:sz w:val="24"/>
          <w:szCs w:val="24"/>
        </w:rPr>
        <w:t xml:space="preserve"> of part 701 “Organization and Operation of Federal Credit Unions.”</w:t>
      </w:r>
    </w:p>
    <w:p w:rsidRPr="00101F39" w:rsidR="00101F39" w:rsidP="00101F39" w:rsidRDefault="00101F39" w14:paraId="79BE583C" w14:textId="77777777">
      <w:pPr>
        <w:spacing w:after="0" w:line="240" w:lineRule="auto"/>
        <w:rPr>
          <w:rFonts w:ascii="Times New Roman" w:hAnsi="Times New Roman"/>
          <w:sz w:val="24"/>
          <w:szCs w:val="24"/>
        </w:rPr>
      </w:pPr>
    </w:p>
    <w:p w:rsidRPr="00101F39" w:rsidR="00101F39" w:rsidP="00FF5243" w:rsidRDefault="00101F39" w14:paraId="164BF028" w14:textId="7EA5EA6B">
      <w:pPr>
        <w:spacing w:after="0" w:line="240" w:lineRule="auto"/>
        <w:rPr>
          <w:rFonts w:ascii="Times New Roman" w:hAnsi="Times New Roman"/>
          <w:sz w:val="24"/>
          <w:szCs w:val="24"/>
        </w:rPr>
      </w:pPr>
      <w:r w:rsidRPr="00101F39">
        <w:rPr>
          <w:rFonts w:ascii="Times New Roman" w:hAnsi="Times New Roman"/>
          <w:sz w:val="24"/>
          <w:szCs w:val="24"/>
        </w:rPr>
        <w:t xml:space="preserve">The NCUA has determined that certain information collection requirements must be temporarily modified and is essential to the NCUA’s ability to help ensure that federally insured credit unions (FICUs) remain operational and liquid </w:t>
      </w:r>
      <w:r w:rsidRPr="00101F39">
        <w:rPr>
          <w:rFonts w:ascii="Times New Roman" w:hAnsi="Times New Roman" w:eastAsia="Arial Unicode MS"/>
          <w:sz w:val="24"/>
          <w:szCs w:val="24"/>
          <w:bdr w:val="nil"/>
        </w:rPr>
        <w:t xml:space="preserve">for the duration of </w:t>
      </w:r>
      <w:r w:rsidRPr="00101F39">
        <w:rPr>
          <w:rFonts w:ascii="Times New Roman" w:hAnsi="Times New Roman"/>
          <w:sz w:val="24"/>
          <w:szCs w:val="24"/>
        </w:rPr>
        <w:t>the economic disruption stemming from the threat posed by the Novel (new) Coronavirus (“2019-nCoV”).</w:t>
      </w:r>
    </w:p>
    <w:p w:rsidRPr="00101F39" w:rsidR="00101F39" w:rsidP="00FF5243" w:rsidRDefault="00101F39" w14:paraId="7A48F9D5" w14:textId="77777777">
      <w:pPr>
        <w:spacing w:after="0" w:line="240" w:lineRule="auto"/>
        <w:rPr>
          <w:rFonts w:ascii="Times New Roman" w:hAnsi="Times New Roman"/>
          <w:sz w:val="24"/>
          <w:szCs w:val="24"/>
        </w:rPr>
      </w:pPr>
    </w:p>
    <w:p w:rsidRPr="000266E1" w:rsidR="000266E1" w:rsidP="00FF5243" w:rsidRDefault="000266E1" w14:paraId="5972FB02" w14:textId="77777777">
      <w:pPr>
        <w:spacing w:after="0" w:line="240" w:lineRule="auto"/>
        <w:rPr>
          <w:rFonts w:ascii="Times New Roman" w:hAnsi="Times New Roman"/>
          <w:sz w:val="24"/>
          <w:szCs w:val="24"/>
        </w:rPr>
      </w:pPr>
      <w:r w:rsidRPr="000266E1">
        <w:rPr>
          <w:rFonts w:ascii="Times New Roman" w:hAnsi="Times New Roman"/>
          <w:sz w:val="24"/>
          <w:szCs w:val="24"/>
        </w:rPr>
        <w:t>NCUA is temporarily modifying certain regulatory requirements to help ensure that federal insured credit unions (FICUs) remain operational and liquid during the COVID-19 crisis.  NCUA is (1) temporarily raising the maximum aggregate amount of loan participation that a FICU may purchase from a single originating lender to the greater of $5M or 200% of the FICU’s net worth, (2) temporarily suspending limitations on the eligible obligations that a federal credit union (FCU) may purchase and hold, and (3) given physical distancing policies implemented in response to the crisis, NCUA is tolling the required timeframes for the occupancy or disposition of properties not being used for FCU business or that have been abandoned.</w:t>
      </w:r>
    </w:p>
    <w:p w:rsidR="00FF5243" w:rsidP="00FF5243" w:rsidRDefault="00FF5243" w14:paraId="3A7C9C1D" w14:textId="77777777">
      <w:pPr>
        <w:spacing w:after="0" w:line="240" w:lineRule="auto"/>
        <w:rPr>
          <w:rFonts w:ascii="Times New Roman" w:hAnsi="Times New Roman"/>
          <w:sz w:val="24"/>
          <w:szCs w:val="24"/>
        </w:rPr>
      </w:pPr>
    </w:p>
    <w:p w:rsidRPr="00101F39" w:rsidR="00101F39" w:rsidP="00FF5243" w:rsidRDefault="00101F39" w14:paraId="229CD61F" w14:textId="296C4AC1">
      <w:pPr>
        <w:spacing w:after="0" w:line="240" w:lineRule="auto"/>
        <w:rPr>
          <w:rFonts w:ascii="Times New Roman" w:hAnsi="Times New Roman"/>
          <w:sz w:val="24"/>
          <w:szCs w:val="24"/>
        </w:rPr>
      </w:pPr>
      <w:r w:rsidRPr="00101F39">
        <w:rPr>
          <w:rFonts w:ascii="Times New Roman" w:hAnsi="Times New Roman"/>
          <w:sz w:val="24"/>
          <w:szCs w:val="24"/>
        </w:rPr>
        <w:t>These temporary modifications will be in place through December 31, 2020, unless extended.</w:t>
      </w:r>
    </w:p>
    <w:p w:rsidRPr="00101F39" w:rsidR="00101F39" w:rsidP="007D02CF" w:rsidRDefault="00101F39" w14:paraId="3571D945" w14:textId="77777777">
      <w:pPr>
        <w:spacing w:after="0" w:line="240" w:lineRule="auto"/>
        <w:rPr>
          <w:rFonts w:ascii="Times New Roman" w:hAnsi="Times New Roman"/>
          <w:i/>
          <w:sz w:val="24"/>
          <w:szCs w:val="24"/>
        </w:rPr>
      </w:pPr>
    </w:p>
    <w:p w:rsidRPr="0096025F" w:rsidR="006F235E" w:rsidP="006F235E" w:rsidRDefault="006F235E" w14:paraId="3820B586" w14:textId="5332819C">
      <w:pPr>
        <w:pStyle w:val="ListParagraph"/>
        <w:numPr>
          <w:ilvl w:val="0"/>
          <w:numId w:val="13"/>
        </w:numPr>
        <w:spacing w:after="0" w:line="240" w:lineRule="auto"/>
        <w:ind w:left="720" w:hanging="720"/>
        <w:rPr>
          <w:rFonts w:ascii="Times New Roman" w:hAnsi="Times New Roman"/>
          <w:b/>
          <w:sz w:val="24"/>
          <w:szCs w:val="24"/>
        </w:rPr>
      </w:pPr>
      <w:r w:rsidRPr="0096025F">
        <w:rPr>
          <w:rFonts w:ascii="Times New Roman" w:hAnsi="Times New Roman"/>
          <w:b/>
          <w:sz w:val="24"/>
          <w:szCs w:val="24"/>
        </w:rPr>
        <w:t>JUSTIFICATION</w:t>
      </w:r>
    </w:p>
    <w:p w:rsidRPr="0096025F" w:rsidR="006F235E" w:rsidP="008E2D81" w:rsidRDefault="006F235E" w14:paraId="59E0A6AD" w14:textId="77777777">
      <w:pPr>
        <w:pStyle w:val="ListParagraph"/>
        <w:spacing w:after="0" w:line="240" w:lineRule="auto"/>
        <w:ind w:hanging="720"/>
        <w:rPr>
          <w:rFonts w:ascii="Times New Roman" w:hAnsi="Times New Roman"/>
          <w:b/>
          <w:sz w:val="24"/>
          <w:szCs w:val="24"/>
        </w:rPr>
      </w:pPr>
    </w:p>
    <w:p w:rsidRPr="0096025F" w:rsidR="006F235E" w:rsidP="008E2D81" w:rsidRDefault="006F235E" w14:paraId="1A672240" w14:textId="77777777">
      <w:pPr>
        <w:pStyle w:val="ListParagraph"/>
        <w:numPr>
          <w:ilvl w:val="0"/>
          <w:numId w:val="3"/>
        </w:numPr>
        <w:spacing w:after="0" w:line="240" w:lineRule="auto"/>
        <w:ind w:left="720" w:hanging="720"/>
        <w:rPr>
          <w:rFonts w:ascii="Times New Roman" w:hAnsi="Times New Roman"/>
          <w:b/>
          <w:sz w:val="24"/>
          <w:szCs w:val="24"/>
        </w:rPr>
      </w:pPr>
      <w:r w:rsidRPr="0096025F">
        <w:rPr>
          <w:rFonts w:ascii="Times New Roman" w:hAnsi="Times New Roman"/>
          <w:b/>
          <w:sz w:val="24"/>
          <w:szCs w:val="24"/>
        </w:rPr>
        <w:t>Circumstances that make the collection of information necessary.</w:t>
      </w:r>
    </w:p>
    <w:p w:rsidR="0096025F" w:rsidP="008E2D81" w:rsidRDefault="0096025F" w14:paraId="02229947" w14:textId="77777777">
      <w:pPr>
        <w:spacing w:after="0" w:line="240" w:lineRule="auto"/>
        <w:ind w:left="720" w:hanging="720"/>
        <w:rPr>
          <w:rFonts w:ascii="Times New Roman" w:hAnsi="Times New Roman"/>
          <w:sz w:val="24"/>
          <w:szCs w:val="24"/>
        </w:rPr>
      </w:pPr>
    </w:p>
    <w:p w:rsidRPr="00863356" w:rsidR="00F3019A" w:rsidP="00F3019A" w:rsidRDefault="00F3019A" w14:paraId="036F96D6" w14:textId="64527170">
      <w:pPr>
        <w:autoSpaceDE w:val="0"/>
        <w:autoSpaceDN w:val="0"/>
        <w:adjustRightInd w:val="0"/>
        <w:spacing w:after="0" w:line="240" w:lineRule="auto"/>
        <w:ind w:left="720"/>
        <w:rPr>
          <w:rFonts w:ascii="Times New Roman" w:hAnsi="Times New Roman"/>
          <w:color w:val="000000"/>
          <w:sz w:val="24"/>
          <w:szCs w:val="24"/>
        </w:rPr>
      </w:pPr>
      <w:r w:rsidRPr="00863356">
        <w:rPr>
          <w:rFonts w:ascii="Times New Roman" w:hAnsi="Times New Roman"/>
          <w:color w:val="000000"/>
          <w:sz w:val="24"/>
          <w:szCs w:val="24"/>
        </w:rPr>
        <w:t>Section 107(5)(E) of the FCU Act authorizes an FCU to engage in participation lending with other credit unions, credit union organizations, or financial organizations</w:t>
      </w:r>
      <w:r w:rsidRPr="00F3019A">
        <w:rPr>
          <w:rFonts w:ascii="Times New Roman" w:hAnsi="Times New Roman"/>
          <w:color w:val="000000"/>
          <w:sz w:val="24"/>
          <w:szCs w:val="24"/>
        </w:rPr>
        <w:t xml:space="preserve">.  </w:t>
      </w:r>
      <w:r w:rsidRPr="00863356">
        <w:rPr>
          <w:rFonts w:ascii="Times New Roman" w:hAnsi="Times New Roman"/>
          <w:color w:val="000000"/>
          <w:sz w:val="24"/>
          <w:szCs w:val="24"/>
        </w:rPr>
        <w:t xml:space="preserve">The NCUA has implemented this statutory provision in § 701.22 of its regulations, which applies to all FICUs. </w:t>
      </w:r>
      <w:r w:rsidRPr="00F3019A">
        <w:rPr>
          <w:rFonts w:ascii="Times New Roman" w:hAnsi="Times New Roman"/>
          <w:color w:val="000000"/>
          <w:sz w:val="24"/>
          <w:szCs w:val="24"/>
        </w:rPr>
        <w:t xml:space="preserve"> </w:t>
      </w:r>
      <w:r w:rsidRPr="00863356">
        <w:rPr>
          <w:rFonts w:ascii="Times New Roman" w:hAnsi="Times New Roman"/>
          <w:color w:val="000000"/>
          <w:sz w:val="24"/>
          <w:szCs w:val="24"/>
        </w:rPr>
        <w:t xml:space="preserve">The statute contains no limitation on the amount of participations that an FCU may purchase from any single originating lender. </w:t>
      </w:r>
    </w:p>
    <w:p w:rsidRPr="00F3019A" w:rsidR="00F3019A" w:rsidP="00F3019A" w:rsidRDefault="00F3019A" w14:paraId="6AFA501A" w14:textId="77777777">
      <w:pPr>
        <w:autoSpaceDE w:val="0"/>
        <w:autoSpaceDN w:val="0"/>
        <w:adjustRightInd w:val="0"/>
        <w:spacing w:after="0" w:line="240" w:lineRule="auto"/>
        <w:ind w:left="720"/>
        <w:rPr>
          <w:rFonts w:ascii="Times New Roman" w:hAnsi="Times New Roman"/>
          <w:color w:val="000000"/>
          <w:sz w:val="24"/>
          <w:szCs w:val="24"/>
        </w:rPr>
      </w:pPr>
    </w:p>
    <w:p w:rsidRPr="00F3019A" w:rsidR="00F3019A" w:rsidP="00F3019A" w:rsidRDefault="00F3019A" w14:paraId="1FDFF6C6" w14:textId="77777777">
      <w:pPr>
        <w:autoSpaceDE w:val="0"/>
        <w:autoSpaceDN w:val="0"/>
        <w:adjustRightInd w:val="0"/>
        <w:spacing w:after="0" w:line="240" w:lineRule="auto"/>
        <w:ind w:left="720"/>
        <w:rPr>
          <w:rFonts w:ascii="Times New Roman" w:hAnsi="Times New Roman"/>
          <w:color w:val="000000"/>
          <w:sz w:val="24"/>
          <w:szCs w:val="24"/>
        </w:rPr>
      </w:pPr>
      <w:r w:rsidRPr="00863356">
        <w:rPr>
          <w:rFonts w:ascii="Times New Roman" w:hAnsi="Times New Roman"/>
          <w:color w:val="000000"/>
          <w:sz w:val="24"/>
          <w:szCs w:val="24"/>
        </w:rPr>
        <w:lastRenderedPageBreak/>
        <w:t>The regulation limits the aggregate amount of loan participations that a FICU may purchase from any one originating lender to the greater of $5,000,000 or 100 percent of the FICU’s net worth.</w:t>
      </w:r>
      <w:r w:rsidRPr="00F3019A">
        <w:rPr>
          <w:rFonts w:ascii="Times New Roman" w:hAnsi="Times New Roman"/>
          <w:color w:val="000000"/>
          <w:sz w:val="24"/>
          <w:szCs w:val="24"/>
        </w:rPr>
        <w:t xml:space="preserve">  T</w:t>
      </w:r>
      <w:r w:rsidRPr="00863356">
        <w:rPr>
          <w:rFonts w:ascii="Times New Roman" w:hAnsi="Times New Roman"/>
          <w:color w:val="000000"/>
          <w:sz w:val="24"/>
          <w:szCs w:val="24"/>
        </w:rPr>
        <w:t>he purpose of the provision is to mitigate the exposure of FICUs to concentration risk.</w:t>
      </w:r>
      <w:r w:rsidRPr="00F3019A">
        <w:rPr>
          <w:rFonts w:ascii="Times New Roman" w:hAnsi="Times New Roman"/>
          <w:color w:val="000000"/>
          <w:sz w:val="24"/>
          <w:szCs w:val="24"/>
        </w:rPr>
        <w:t xml:space="preserve">  </w:t>
      </w:r>
    </w:p>
    <w:p w:rsidR="00F3019A" w:rsidP="007D02CF" w:rsidRDefault="00F3019A" w14:paraId="5B639C22" w14:textId="1BF2337F">
      <w:pPr>
        <w:spacing w:after="0" w:line="240" w:lineRule="auto"/>
        <w:ind w:left="720"/>
        <w:rPr>
          <w:rFonts w:ascii="Times New Roman" w:hAnsi="Times New Roman"/>
          <w:sz w:val="24"/>
          <w:szCs w:val="24"/>
        </w:rPr>
      </w:pPr>
    </w:p>
    <w:p w:rsidRPr="00863356" w:rsidR="007D02CF" w:rsidP="007D02CF" w:rsidRDefault="007D02CF" w14:paraId="11CA8355" w14:textId="77777777">
      <w:pPr>
        <w:autoSpaceDE w:val="0"/>
        <w:autoSpaceDN w:val="0"/>
        <w:adjustRightInd w:val="0"/>
        <w:spacing w:after="0" w:line="240" w:lineRule="auto"/>
        <w:ind w:left="720"/>
        <w:rPr>
          <w:rFonts w:ascii="Times New Roman" w:hAnsi="Times New Roman"/>
          <w:color w:val="000000"/>
          <w:sz w:val="24"/>
          <w:szCs w:val="24"/>
        </w:rPr>
      </w:pPr>
      <w:r w:rsidRPr="00863356">
        <w:rPr>
          <w:rFonts w:ascii="Times New Roman" w:hAnsi="Times New Roman"/>
          <w:color w:val="000000"/>
          <w:sz w:val="24"/>
          <w:szCs w:val="24"/>
        </w:rPr>
        <w:t xml:space="preserve">Under the temporary final rule, the aggregate limit below which a waiver from the appropriate NCUA regional director is not required will be raised to the greater of $5,000,000 or 200 percent of the FICU’s net worth.  The increase will help safeguard the stability of FICUs during the crisis, without undue additional risk to the safety and soundness of the credit union system.  Subsequent to the temporary rule’s expiration at the close of December 31, 2020, a </w:t>
      </w:r>
      <w:r w:rsidRPr="00863356">
        <w:rPr>
          <w:rFonts w:ascii="Times New Roman" w:hAnsi="Times New Roman"/>
          <w:sz w:val="24"/>
          <w:szCs w:val="24"/>
        </w:rPr>
        <w:t>FICU must return into compliance with the current limitation (that is, the greater of $5,000,000 or 100 percent of its net worth) by either ceasing to purchase loan participations from the originating lender or requesting a waiver as provided in the regulation.</w:t>
      </w:r>
    </w:p>
    <w:p w:rsidRPr="006F235E" w:rsidR="00637EDA" w:rsidP="008E2D81" w:rsidRDefault="00637EDA" w14:paraId="1BE92DC1" w14:textId="77777777">
      <w:pPr>
        <w:spacing w:after="0" w:line="240" w:lineRule="auto"/>
        <w:ind w:left="720" w:hanging="720"/>
        <w:rPr>
          <w:rFonts w:ascii="Times New Roman" w:hAnsi="Times New Roman"/>
          <w:sz w:val="24"/>
          <w:szCs w:val="24"/>
        </w:rPr>
      </w:pPr>
    </w:p>
    <w:p w:rsidR="006F235E" w:rsidP="008E2D81" w:rsidRDefault="006F235E" w14:paraId="5B8D02EE" w14:textId="77777777">
      <w:pPr>
        <w:pStyle w:val="BodyTextIndent2"/>
        <w:spacing w:after="0" w:line="240" w:lineRule="auto"/>
        <w:ind w:left="0"/>
        <w:rPr>
          <w:b/>
        </w:rPr>
      </w:pPr>
      <w:r>
        <w:rPr>
          <w:b/>
        </w:rPr>
        <w:t>2.</w:t>
      </w:r>
      <w:r>
        <w:rPr>
          <w:b/>
        </w:rPr>
        <w:tab/>
        <w:t>Purpose and use of the information c</w:t>
      </w:r>
      <w:r w:rsidRPr="00D214DB">
        <w:rPr>
          <w:b/>
        </w:rPr>
        <w:t>ollection</w:t>
      </w:r>
      <w:r>
        <w:rPr>
          <w:b/>
        </w:rPr>
        <w:t>.</w:t>
      </w:r>
    </w:p>
    <w:p w:rsidR="008E2D81" w:rsidP="008E2D81" w:rsidRDefault="008E2D81" w14:paraId="28A94B58" w14:textId="3DC2FA53">
      <w:pPr>
        <w:spacing w:after="0" w:line="240" w:lineRule="auto"/>
        <w:ind w:left="720" w:hanging="720"/>
        <w:rPr>
          <w:rFonts w:ascii="Times New Roman" w:hAnsi="Times New Roman"/>
          <w:sz w:val="24"/>
          <w:szCs w:val="24"/>
        </w:rPr>
      </w:pPr>
    </w:p>
    <w:p w:rsidRPr="006F235E" w:rsidR="007D02CF" w:rsidP="007D02CF" w:rsidRDefault="007D02CF" w14:paraId="1C9AAAD1" w14:textId="65CD1E23">
      <w:pPr>
        <w:spacing w:after="0" w:line="240" w:lineRule="auto"/>
        <w:ind w:left="720" w:hanging="720"/>
        <w:rPr>
          <w:rFonts w:ascii="Times New Roman" w:hAnsi="Times New Roman"/>
          <w:sz w:val="24"/>
          <w:szCs w:val="24"/>
        </w:rPr>
      </w:pPr>
      <w:r>
        <w:rPr>
          <w:rFonts w:ascii="Times New Roman" w:hAnsi="Times New Roman"/>
          <w:sz w:val="24"/>
          <w:szCs w:val="24"/>
        </w:rPr>
        <w:tab/>
      </w:r>
      <w:r w:rsidR="003D5800">
        <w:rPr>
          <w:rFonts w:ascii="Times New Roman" w:hAnsi="Times New Roman"/>
          <w:sz w:val="24"/>
          <w:szCs w:val="24"/>
        </w:rPr>
        <w:t xml:space="preserve">Section </w:t>
      </w:r>
      <w:r w:rsidRPr="006F235E">
        <w:rPr>
          <w:rFonts w:ascii="Times New Roman" w:hAnsi="Times New Roman"/>
          <w:sz w:val="24"/>
          <w:szCs w:val="24"/>
        </w:rPr>
        <w:t>701.22 outline</w:t>
      </w:r>
      <w:r>
        <w:rPr>
          <w:rFonts w:ascii="Times New Roman" w:hAnsi="Times New Roman"/>
          <w:sz w:val="24"/>
          <w:szCs w:val="24"/>
        </w:rPr>
        <w:t>s</w:t>
      </w:r>
      <w:r w:rsidRPr="006F235E">
        <w:rPr>
          <w:rFonts w:ascii="Times New Roman" w:hAnsi="Times New Roman"/>
          <w:sz w:val="24"/>
          <w:szCs w:val="24"/>
        </w:rPr>
        <w:t xml:space="preserve"> loan participation requirements.  Loan participations pose inherent risk to the </w:t>
      </w:r>
      <w:r>
        <w:rPr>
          <w:rFonts w:ascii="Times New Roman" w:hAnsi="Times New Roman"/>
          <w:sz w:val="24"/>
          <w:szCs w:val="24"/>
        </w:rPr>
        <w:t>National Credit Union Share Insurance Fund (</w:t>
      </w:r>
      <w:r w:rsidRPr="006F235E">
        <w:rPr>
          <w:rFonts w:ascii="Times New Roman" w:hAnsi="Times New Roman"/>
          <w:sz w:val="24"/>
          <w:szCs w:val="24"/>
        </w:rPr>
        <w:t>NCUSIF</w:t>
      </w:r>
      <w:r>
        <w:rPr>
          <w:rFonts w:ascii="Times New Roman" w:hAnsi="Times New Roman"/>
          <w:sz w:val="24"/>
          <w:szCs w:val="24"/>
        </w:rPr>
        <w:t>)</w:t>
      </w:r>
      <w:r w:rsidRPr="006F235E">
        <w:rPr>
          <w:rFonts w:ascii="Times New Roman" w:hAnsi="Times New Roman"/>
          <w:sz w:val="24"/>
          <w:szCs w:val="24"/>
        </w:rPr>
        <w:t xml:space="preserve"> due to the interconnectedness between participants. </w:t>
      </w:r>
      <w:r>
        <w:rPr>
          <w:rFonts w:ascii="Times New Roman" w:hAnsi="Times New Roman"/>
          <w:sz w:val="24"/>
          <w:szCs w:val="24"/>
        </w:rPr>
        <w:t xml:space="preserve"> </w:t>
      </w:r>
      <w:r w:rsidRPr="006F235E">
        <w:rPr>
          <w:rFonts w:ascii="Times New Roman" w:hAnsi="Times New Roman"/>
          <w:sz w:val="24"/>
          <w:szCs w:val="24"/>
        </w:rPr>
        <w:t xml:space="preserve">Section 701.22 includes three collections requirements (1) maintenance of a written policy, (2) requirements on the purchasing credit union to have a written loan participation agreement, </w:t>
      </w:r>
      <w:r>
        <w:rPr>
          <w:rFonts w:ascii="Times New Roman" w:hAnsi="Times New Roman"/>
          <w:sz w:val="24"/>
          <w:szCs w:val="24"/>
        </w:rPr>
        <w:t xml:space="preserve">and </w:t>
      </w:r>
      <w:r w:rsidRPr="006F235E">
        <w:rPr>
          <w:rFonts w:ascii="Times New Roman" w:hAnsi="Times New Roman"/>
          <w:sz w:val="24"/>
          <w:szCs w:val="24"/>
        </w:rPr>
        <w:t xml:space="preserve">(3) options to apply for waivers from concentration limits.  Section 741.225 extends the requirements of Section 701.22 of NCUA’s regulations to </w:t>
      </w:r>
      <w:r w:rsidR="003D5800">
        <w:rPr>
          <w:rFonts w:ascii="Times New Roman" w:hAnsi="Times New Roman"/>
          <w:sz w:val="24"/>
          <w:szCs w:val="24"/>
        </w:rPr>
        <w:t>F</w:t>
      </w:r>
      <w:r w:rsidRPr="006F235E">
        <w:rPr>
          <w:rFonts w:ascii="Times New Roman" w:hAnsi="Times New Roman"/>
          <w:sz w:val="24"/>
          <w:szCs w:val="24"/>
        </w:rPr>
        <w:t xml:space="preserve">ISCUs, noting there are strong indications of potential risk to the NCUSIF from FISCUs’ loan participation activity.  </w:t>
      </w:r>
    </w:p>
    <w:p w:rsidR="007D02CF" w:rsidP="008E2D81" w:rsidRDefault="007D02CF" w14:paraId="7C0A1159" w14:textId="0698C727">
      <w:pPr>
        <w:spacing w:after="0" w:line="240" w:lineRule="auto"/>
        <w:ind w:left="720" w:hanging="720"/>
        <w:rPr>
          <w:rFonts w:ascii="Times New Roman" w:hAnsi="Times New Roman"/>
          <w:sz w:val="24"/>
          <w:szCs w:val="24"/>
        </w:rPr>
      </w:pPr>
    </w:p>
    <w:p w:rsidRPr="006F235E" w:rsidR="00937AFF" w:rsidP="008E2D81" w:rsidRDefault="008E2D81" w14:paraId="01BC4A89" w14:textId="77777777">
      <w:pPr>
        <w:spacing w:after="0" w:line="240" w:lineRule="auto"/>
        <w:ind w:left="720" w:hanging="720"/>
        <w:rPr>
          <w:rFonts w:ascii="Times New Roman" w:hAnsi="Times New Roman"/>
          <w:sz w:val="24"/>
          <w:szCs w:val="24"/>
        </w:rPr>
      </w:pPr>
      <w:r>
        <w:rPr>
          <w:rFonts w:ascii="Times New Roman" w:hAnsi="Times New Roman"/>
          <w:sz w:val="24"/>
          <w:szCs w:val="24"/>
        </w:rPr>
        <w:tab/>
      </w:r>
      <w:r w:rsidRPr="006F235E" w:rsidR="00637EDA">
        <w:rPr>
          <w:rFonts w:ascii="Times New Roman" w:hAnsi="Times New Roman"/>
          <w:sz w:val="24"/>
          <w:szCs w:val="24"/>
        </w:rPr>
        <w:t>Loan participations can strengthen the credit union industry by providing credit unions</w:t>
      </w:r>
      <w:r w:rsidRPr="006F235E" w:rsidR="007A214A">
        <w:rPr>
          <w:rFonts w:ascii="Times New Roman" w:hAnsi="Times New Roman"/>
          <w:sz w:val="24"/>
          <w:szCs w:val="24"/>
        </w:rPr>
        <w:t xml:space="preserve"> an opportunity</w:t>
      </w:r>
      <w:r w:rsidRPr="006F235E" w:rsidR="00637EDA">
        <w:rPr>
          <w:rFonts w:ascii="Times New Roman" w:hAnsi="Times New Roman"/>
          <w:sz w:val="24"/>
          <w:szCs w:val="24"/>
        </w:rPr>
        <w:t xml:space="preserve"> to diversify their loan portfolios, improve</w:t>
      </w:r>
      <w:r w:rsidRPr="006F235E" w:rsidR="007A214A">
        <w:rPr>
          <w:rFonts w:ascii="Times New Roman" w:hAnsi="Times New Roman"/>
          <w:sz w:val="24"/>
          <w:szCs w:val="24"/>
        </w:rPr>
        <w:t xml:space="preserve"> earnings, generate loan growth and</w:t>
      </w:r>
      <w:r w:rsidRPr="006F235E" w:rsidR="00637EDA">
        <w:rPr>
          <w:rFonts w:ascii="Times New Roman" w:hAnsi="Times New Roman"/>
          <w:sz w:val="24"/>
          <w:szCs w:val="24"/>
        </w:rPr>
        <w:t xml:space="preserve"> manage their balance sheets</w:t>
      </w:r>
      <w:r w:rsidRPr="006F235E" w:rsidR="007A214A">
        <w:rPr>
          <w:rFonts w:ascii="Times New Roman" w:hAnsi="Times New Roman"/>
          <w:sz w:val="24"/>
          <w:szCs w:val="24"/>
        </w:rPr>
        <w:t xml:space="preserve">. </w:t>
      </w:r>
      <w:r w:rsidR="00EA4EEA">
        <w:rPr>
          <w:rFonts w:ascii="Times New Roman" w:hAnsi="Times New Roman"/>
          <w:sz w:val="24"/>
          <w:szCs w:val="24"/>
        </w:rPr>
        <w:t xml:space="preserve"> </w:t>
      </w:r>
      <w:r w:rsidRPr="006F235E" w:rsidR="00937AFF">
        <w:rPr>
          <w:rFonts w:ascii="Times New Roman" w:hAnsi="Times New Roman"/>
          <w:sz w:val="24"/>
          <w:szCs w:val="24"/>
        </w:rPr>
        <w:t xml:space="preserve">NCUA examiners review the loan participation policy during regulatory examinations.  </w:t>
      </w:r>
      <w:r w:rsidRPr="006F235E" w:rsidR="00F9243A">
        <w:rPr>
          <w:rFonts w:ascii="Times New Roman" w:hAnsi="Times New Roman"/>
          <w:sz w:val="24"/>
          <w:szCs w:val="24"/>
        </w:rPr>
        <w:t>Through t</w:t>
      </w:r>
      <w:r w:rsidRPr="006F235E" w:rsidR="00937AFF">
        <w:rPr>
          <w:rFonts w:ascii="Times New Roman" w:hAnsi="Times New Roman"/>
          <w:sz w:val="24"/>
          <w:szCs w:val="24"/>
        </w:rPr>
        <w:t>hese reviews</w:t>
      </w:r>
      <w:r w:rsidRPr="006F235E" w:rsidR="00F9243A">
        <w:rPr>
          <w:rFonts w:ascii="Times New Roman" w:hAnsi="Times New Roman"/>
          <w:sz w:val="24"/>
          <w:szCs w:val="24"/>
        </w:rPr>
        <w:t>,</w:t>
      </w:r>
      <w:r w:rsidRPr="006F235E" w:rsidR="00937AFF">
        <w:rPr>
          <w:rFonts w:ascii="Times New Roman" w:hAnsi="Times New Roman"/>
          <w:sz w:val="24"/>
          <w:szCs w:val="24"/>
        </w:rPr>
        <w:t xml:space="preserve"> examiners</w:t>
      </w:r>
      <w:r w:rsidRPr="006F235E" w:rsidR="00FD0378">
        <w:rPr>
          <w:rFonts w:ascii="Times New Roman" w:hAnsi="Times New Roman"/>
          <w:sz w:val="24"/>
          <w:szCs w:val="24"/>
        </w:rPr>
        <w:t xml:space="preserve"> </w:t>
      </w:r>
      <w:r w:rsidRPr="006F235E" w:rsidR="00937AFF">
        <w:rPr>
          <w:rFonts w:ascii="Times New Roman" w:hAnsi="Times New Roman"/>
          <w:sz w:val="24"/>
          <w:szCs w:val="24"/>
        </w:rPr>
        <w:t xml:space="preserve">determine </w:t>
      </w:r>
      <w:r w:rsidRPr="006F235E" w:rsidR="00F9243A">
        <w:rPr>
          <w:rFonts w:ascii="Times New Roman" w:hAnsi="Times New Roman"/>
          <w:sz w:val="24"/>
          <w:szCs w:val="24"/>
        </w:rPr>
        <w:t xml:space="preserve">whether </w:t>
      </w:r>
      <w:r w:rsidRPr="006F235E" w:rsidR="00937AFF">
        <w:rPr>
          <w:rFonts w:ascii="Times New Roman" w:hAnsi="Times New Roman"/>
          <w:sz w:val="24"/>
          <w:szCs w:val="24"/>
        </w:rPr>
        <w:t xml:space="preserve">the credit union </w:t>
      </w:r>
      <w:r w:rsidRPr="006F235E" w:rsidR="007A214A">
        <w:rPr>
          <w:rFonts w:ascii="Times New Roman" w:hAnsi="Times New Roman"/>
          <w:sz w:val="24"/>
          <w:szCs w:val="24"/>
        </w:rPr>
        <w:t>is</w:t>
      </w:r>
      <w:r w:rsidRPr="006F235E" w:rsidR="00937AFF">
        <w:rPr>
          <w:rFonts w:ascii="Times New Roman" w:hAnsi="Times New Roman"/>
          <w:sz w:val="24"/>
          <w:szCs w:val="24"/>
        </w:rPr>
        <w:t xml:space="preserve"> engaging in a safe and sound loan participation program.  </w:t>
      </w:r>
      <w:r w:rsidRPr="006F235E" w:rsidR="00FD0378">
        <w:rPr>
          <w:rFonts w:ascii="Times New Roman" w:hAnsi="Times New Roman"/>
          <w:sz w:val="24"/>
          <w:szCs w:val="24"/>
        </w:rPr>
        <w:t>This part of the</w:t>
      </w:r>
      <w:r w:rsidRPr="006F235E" w:rsidR="00C05009">
        <w:rPr>
          <w:rFonts w:ascii="Times New Roman" w:hAnsi="Times New Roman"/>
          <w:sz w:val="24"/>
          <w:szCs w:val="24"/>
        </w:rPr>
        <w:t xml:space="preserve"> examination process</w:t>
      </w:r>
      <w:r w:rsidRPr="006F235E" w:rsidR="00937AFF">
        <w:rPr>
          <w:rFonts w:ascii="Times New Roman" w:hAnsi="Times New Roman"/>
          <w:sz w:val="24"/>
          <w:szCs w:val="24"/>
        </w:rPr>
        <w:t xml:space="preserve"> helps prevent losses to credit unions and the NCUSIF. </w:t>
      </w:r>
    </w:p>
    <w:p w:rsidRPr="006F235E" w:rsidR="00937AFF" w:rsidP="008E2D81" w:rsidRDefault="00937AFF" w14:paraId="2F841BE6" w14:textId="77777777">
      <w:pPr>
        <w:spacing w:after="0" w:line="240" w:lineRule="auto"/>
        <w:ind w:left="720" w:hanging="720"/>
        <w:rPr>
          <w:rFonts w:ascii="Times New Roman" w:hAnsi="Times New Roman"/>
          <w:b/>
          <w:sz w:val="24"/>
          <w:szCs w:val="24"/>
        </w:rPr>
      </w:pPr>
    </w:p>
    <w:p w:rsidRPr="006F235E" w:rsidR="00937AFF" w:rsidP="008E2D81" w:rsidRDefault="008E2D81" w14:paraId="7A2F0DE3" w14:textId="77777777">
      <w:pPr>
        <w:spacing w:after="0" w:line="240" w:lineRule="auto"/>
        <w:ind w:left="720" w:hanging="720"/>
        <w:rPr>
          <w:rFonts w:ascii="Times New Roman" w:hAnsi="Times New Roman"/>
          <w:b/>
          <w:sz w:val="24"/>
          <w:szCs w:val="24"/>
        </w:rPr>
      </w:pPr>
      <w:r>
        <w:rPr>
          <w:rFonts w:ascii="Times New Roman" w:hAnsi="Times New Roman"/>
          <w:sz w:val="24"/>
          <w:szCs w:val="24"/>
        </w:rPr>
        <w:tab/>
      </w:r>
      <w:r w:rsidRPr="006F235E" w:rsidR="00FD0378">
        <w:rPr>
          <w:rFonts w:ascii="Times New Roman" w:hAnsi="Times New Roman"/>
          <w:sz w:val="24"/>
          <w:szCs w:val="24"/>
        </w:rPr>
        <w:t>T</w:t>
      </w:r>
      <w:r w:rsidRPr="006F235E" w:rsidR="00937AFF">
        <w:rPr>
          <w:rFonts w:ascii="Times New Roman" w:hAnsi="Times New Roman"/>
          <w:sz w:val="24"/>
          <w:szCs w:val="24"/>
        </w:rPr>
        <w:t xml:space="preserve">he information </w:t>
      </w:r>
      <w:r w:rsidRPr="006F235E" w:rsidR="00F9243A">
        <w:rPr>
          <w:rFonts w:ascii="Times New Roman" w:hAnsi="Times New Roman"/>
          <w:sz w:val="24"/>
          <w:szCs w:val="24"/>
        </w:rPr>
        <w:t xml:space="preserve">provided </w:t>
      </w:r>
      <w:r w:rsidRPr="006F235E" w:rsidR="00937AFF">
        <w:rPr>
          <w:rFonts w:ascii="Times New Roman" w:hAnsi="Times New Roman"/>
          <w:sz w:val="24"/>
          <w:szCs w:val="24"/>
        </w:rPr>
        <w:t xml:space="preserve">in </w:t>
      </w:r>
      <w:r w:rsidRPr="006F235E" w:rsidR="00FD0378">
        <w:rPr>
          <w:rFonts w:ascii="Times New Roman" w:hAnsi="Times New Roman"/>
          <w:sz w:val="24"/>
          <w:szCs w:val="24"/>
        </w:rPr>
        <w:t>waiver</w:t>
      </w:r>
      <w:r w:rsidRPr="006F235E" w:rsidR="00937AFF">
        <w:rPr>
          <w:rFonts w:ascii="Times New Roman" w:hAnsi="Times New Roman"/>
          <w:sz w:val="24"/>
          <w:szCs w:val="24"/>
        </w:rPr>
        <w:t xml:space="preserve"> requests permits NCUA staff to determin</w:t>
      </w:r>
      <w:r w:rsidRPr="006F235E" w:rsidR="00F9243A">
        <w:rPr>
          <w:rFonts w:ascii="Times New Roman" w:hAnsi="Times New Roman"/>
          <w:sz w:val="24"/>
          <w:szCs w:val="24"/>
        </w:rPr>
        <w:t>e</w:t>
      </w:r>
      <w:r w:rsidRPr="006F235E" w:rsidR="00937AFF">
        <w:rPr>
          <w:rFonts w:ascii="Times New Roman" w:hAnsi="Times New Roman"/>
          <w:sz w:val="24"/>
          <w:szCs w:val="24"/>
        </w:rPr>
        <w:t xml:space="preserve"> the appropriateness of </w:t>
      </w:r>
      <w:r w:rsidRPr="006F235E" w:rsidR="00F9243A">
        <w:rPr>
          <w:rFonts w:ascii="Times New Roman" w:hAnsi="Times New Roman"/>
          <w:sz w:val="24"/>
          <w:szCs w:val="24"/>
        </w:rPr>
        <w:t>granting a waiver</w:t>
      </w:r>
      <w:r w:rsidRPr="006F235E" w:rsidR="00937AFF">
        <w:rPr>
          <w:rFonts w:ascii="Times New Roman" w:hAnsi="Times New Roman"/>
          <w:sz w:val="24"/>
          <w:szCs w:val="24"/>
        </w:rPr>
        <w:t xml:space="preserve">.  </w:t>
      </w:r>
    </w:p>
    <w:p w:rsidRPr="006F235E" w:rsidR="0047772D" w:rsidP="008E2D81" w:rsidRDefault="0047772D" w14:paraId="7A34AB4E" w14:textId="77777777">
      <w:pPr>
        <w:spacing w:after="0" w:line="240" w:lineRule="auto"/>
        <w:ind w:left="720" w:hanging="720"/>
        <w:rPr>
          <w:rFonts w:ascii="Times New Roman" w:hAnsi="Times New Roman"/>
          <w:b/>
          <w:sz w:val="24"/>
          <w:szCs w:val="24"/>
        </w:rPr>
      </w:pPr>
    </w:p>
    <w:p w:rsidRPr="008E2D81" w:rsidR="006F235E" w:rsidP="008E2D81" w:rsidRDefault="006F235E" w14:paraId="519CDAA0" w14:textId="77777777">
      <w:pPr>
        <w:spacing w:after="0" w:line="240" w:lineRule="auto"/>
        <w:ind w:left="720" w:hanging="720"/>
        <w:rPr>
          <w:rFonts w:ascii="Times New Roman" w:hAnsi="Times New Roman"/>
          <w:b/>
          <w:sz w:val="24"/>
          <w:szCs w:val="24"/>
        </w:rPr>
      </w:pPr>
      <w:r w:rsidRPr="008E2D81">
        <w:rPr>
          <w:rFonts w:ascii="Times New Roman" w:hAnsi="Times New Roman"/>
          <w:b/>
          <w:sz w:val="24"/>
          <w:szCs w:val="24"/>
        </w:rPr>
        <w:t>3.</w:t>
      </w:r>
      <w:r w:rsidRPr="008E2D81">
        <w:rPr>
          <w:rFonts w:ascii="Times New Roman" w:hAnsi="Times New Roman"/>
          <w:b/>
          <w:sz w:val="24"/>
          <w:szCs w:val="24"/>
        </w:rPr>
        <w:tab/>
        <w:t>Use of information technology.</w:t>
      </w:r>
    </w:p>
    <w:p w:rsidR="008E2D81" w:rsidP="008E2D81" w:rsidRDefault="008E2D81" w14:paraId="79DA79E9" w14:textId="77777777">
      <w:pPr>
        <w:pStyle w:val="ListParagraph"/>
        <w:spacing w:after="0" w:line="240" w:lineRule="auto"/>
        <w:ind w:hanging="720"/>
        <w:rPr>
          <w:rFonts w:ascii="Times New Roman" w:hAnsi="Times New Roman"/>
          <w:sz w:val="24"/>
          <w:szCs w:val="24"/>
        </w:rPr>
      </w:pPr>
    </w:p>
    <w:p w:rsidRPr="006F235E" w:rsidR="00B40A74" w:rsidP="008E2D81" w:rsidRDefault="008E2D81" w14:paraId="4D83E132" w14:textId="77777777">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6F235E" w:rsidR="007E1D71">
        <w:rPr>
          <w:rFonts w:ascii="Times New Roman" w:hAnsi="Times New Roman"/>
          <w:sz w:val="24"/>
          <w:szCs w:val="24"/>
        </w:rPr>
        <w:t xml:space="preserve">Credit unions </w:t>
      </w:r>
      <w:r w:rsidRPr="006F235E" w:rsidR="00F9243A">
        <w:rPr>
          <w:rFonts w:ascii="Times New Roman" w:hAnsi="Times New Roman"/>
          <w:sz w:val="24"/>
          <w:szCs w:val="24"/>
        </w:rPr>
        <w:t>may</w:t>
      </w:r>
      <w:r w:rsidRPr="006F235E" w:rsidR="007E1D71">
        <w:rPr>
          <w:rFonts w:ascii="Times New Roman" w:hAnsi="Times New Roman"/>
          <w:sz w:val="24"/>
          <w:szCs w:val="24"/>
        </w:rPr>
        <w:t xml:space="preserve"> use any technology </w:t>
      </w:r>
      <w:r w:rsidRPr="006F235E" w:rsidR="00F9243A">
        <w:rPr>
          <w:rFonts w:ascii="Times New Roman" w:hAnsi="Times New Roman"/>
          <w:sz w:val="24"/>
          <w:szCs w:val="24"/>
        </w:rPr>
        <w:t xml:space="preserve">available to </w:t>
      </w:r>
      <w:r w:rsidRPr="006F235E" w:rsidR="007A214A">
        <w:rPr>
          <w:rFonts w:ascii="Times New Roman" w:hAnsi="Times New Roman"/>
          <w:sz w:val="24"/>
          <w:szCs w:val="24"/>
        </w:rPr>
        <w:t xml:space="preserve">submit or retain the required information. </w:t>
      </w:r>
    </w:p>
    <w:p w:rsidRPr="008E2D81" w:rsidR="007E1D71" w:rsidP="008E2D81" w:rsidRDefault="007E1D71" w14:paraId="57631740" w14:textId="77777777">
      <w:pPr>
        <w:pStyle w:val="ListParagraph"/>
        <w:spacing w:after="0" w:line="240" w:lineRule="auto"/>
        <w:ind w:hanging="720"/>
        <w:rPr>
          <w:rFonts w:ascii="Times New Roman" w:hAnsi="Times New Roman"/>
          <w:b/>
          <w:sz w:val="24"/>
          <w:szCs w:val="24"/>
        </w:rPr>
      </w:pPr>
    </w:p>
    <w:p w:rsidRPr="008E2D81" w:rsidR="006F235E" w:rsidP="008E2D81" w:rsidRDefault="006F235E" w14:paraId="0F7FD529" w14:textId="77777777">
      <w:pPr>
        <w:spacing w:after="0" w:line="240" w:lineRule="auto"/>
        <w:ind w:left="720" w:hanging="720"/>
        <w:rPr>
          <w:rFonts w:ascii="Times New Roman" w:hAnsi="Times New Roman"/>
          <w:b/>
          <w:sz w:val="24"/>
          <w:szCs w:val="24"/>
        </w:rPr>
      </w:pPr>
      <w:r w:rsidRPr="008E2D81">
        <w:rPr>
          <w:rFonts w:ascii="Times New Roman" w:hAnsi="Times New Roman"/>
          <w:b/>
          <w:sz w:val="24"/>
          <w:szCs w:val="24"/>
        </w:rPr>
        <w:t>4.</w:t>
      </w:r>
      <w:r w:rsidRPr="008E2D81">
        <w:rPr>
          <w:rFonts w:ascii="Times New Roman" w:hAnsi="Times New Roman"/>
          <w:b/>
          <w:sz w:val="24"/>
          <w:szCs w:val="24"/>
        </w:rPr>
        <w:tab/>
        <w:t>Duplication of information.</w:t>
      </w:r>
    </w:p>
    <w:p w:rsidR="008E2D81" w:rsidP="008E2D81" w:rsidRDefault="008E2D81" w14:paraId="3249D2B4" w14:textId="77777777">
      <w:pPr>
        <w:pStyle w:val="ListParagraph"/>
        <w:tabs>
          <w:tab w:val="left" w:pos="-720"/>
          <w:tab w:val="left" w:pos="286"/>
          <w:tab w:val="left" w:pos="403"/>
        </w:tabs>
        <w:suppressAutoHyphens/>
        <w:spacing w:after="0" w:line="240" w:lineRule="auto"/>
        <w:ind w:hanging="720"/>
        <w:rPr>
          <w:rFonts w:ascii="Times New Roman" w:hAnsi="Times New Roman"/>
          <w:sz w:val="24"/>
          <w:szCs w:val="24"/>
        </w:rPr>
      </w:pPr>
    </w:p>
    <w:p w:rsidRPr="006F235E" w:rsidR="007D55EF" w:rsidP="008E2D81" w:rsidRDefault="008E2D81" w14:paraId="55251895" w14:textId="07696342">
      <w:pPr>
        <w:pStyle w:val="ListParagraph"/>
        <w:suppressAutoHyphens/>
        <w:spacing w:after="0" w:line="240" w:lineRule="auto"/>
        <w:ind w:hanging="720"/>
        <w:rPr>
          <w:rFonts w:ascii="Times New Roman" w:hAnsi="Times New Roman"/>
          <w:sz w:val="24"/>
          <w:szCs w:val="24"/>
        </w:rPr>
      </w:pPr>
      <w:r>
        <w:rPr>
          <w:rFonts w:ascii="Times New Roman" w:hAnsi="Times New Roman"/>
          <w:sz w:val="24"/>
          <w:szCs w:val="24"/>
        </w:rPr>
        <w:tab/>
      </w:r>
      <w:r w:rsidR="002F75D5">
        <w:rPr>
          <w:rFonts w:ascii="Times New Roman" w:hAnsi="Times New Roman"/>
          <w:sz w:val="24"/>
          <w:szCs w:val="24"/>
        </w:rPr>
        <w:t>There is no duplication.</w:t>
      </w:r>
    </w:p>
    <w:p w:rsidRPr="006F235E" w:rsidR="00CB0992" w:rsidP="008E2D81" w:rsidRDefault="00CB0992" w14:paraId="0B2CFA21" w14:textId="77777777">
      <w:pPr>
        <w:pStyle w:val="ListParagraph"/>
        <w:tabs>
          <w:tab w:val="left" w:pos="-720"/>
          <w:tab w:val="left" w:pos="286"/>
          <w:tab w:val="left" w:pos="403"/>
        </w:tabs>
        <w:suppressAutoHyphens/>
        <w:spacing w:after="0" w:line="240" w:lineRule="auto"/>
        <w:ind w:hanging="360"/>
        <w:rPr>
          <w:rFonts w:ascii="Times New Roman" w:hAnsi="Times New Roman"/>
          <w:sz w:val="24"/>
          <w:szCs w:val="24"/>
        </w:rPr>
      </w:pPr>
    </w:p>
    <w:p w:rsidRPr="008E2D81" w:rsidR="006F235E" w:rsidP="008E2D81" w:rsidRDefault="006F235E" w14:paraId="578469FA" w14:textId="77777777">
      <w:pPr>
        <w:spacing w:after="0" w:line="240" w:lineRule="auto"/>
        <w:rPr>
          <w:rFonts w:ascii="Times New Roman" w:hAnsi="Times New Roman"/>
          <w:b/>
          <w:sz w:val="24"/>
          <w:szCs w:val="24"/>
        </w:rPr>
      </w:pPr>
      <w:r w:rsidRPr="008E2D81">
        <w:rPr>
          <w:rFonts w:ascii="Times New Roman" w:hAnsi="Times New Roman"/>
          <w:b/>
          <w:sz w:val="24"/>
          <w:szCs w:val="24"/>
        </w:rPr>
        <w:lastRenderedPageBreak/>
        <w:t>5.</w:t>
      </w:r>
      <w:r w:rsidRPr="008E2D81">
        <w:rPr>
          <w:rFonts w:ascii="Times New Roman" w:hAnsi="Times New Roman"/>
          <w:b/>
          <w:sz w:val="24"/>
          <w:szCs w:val="24"/>
        </w:rPr>
        <w:tab/>
        <w:t>Efforts to reduce burden on small entities.</w:t>
      </w:r>
    </w:p>
    <w:p w:rsidR="008E2D81" w:rsidP="008E2D81" w:rsidRDefault="008E2D81" w14:paraId="444FBFFD"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spacing w:after="0" w:line="240" w:lineRule="auto"/>
        <w:ind w:left="0"/>
        <w:rPr>
          <w:rFonts w:ascii="Times New Roman" w:hAnsi="Times New Roman"/>
          <w:sz w:val="24"/>
          <w:szCs w:val="24"/>
        </w:rPr>
      </w:pPr>
    </w:p>
    <w:p w:rsidRPr="006F235E" w:rsidR="007D55EF" w:rsidP="008E2D81" w:rsidRDefault="008E2D81" w14:paraId="4285246D" w14:textId="77777777">
      <w:pPr>
        <w:pStyle w:val="ListParagraph"/>
        <w:suppressAutoHyphens/>
        <w:spacing w:after="0" w:line="240" w:lineRule="auto"/>
        <w:ind w:hanging="720"/>
        <w:rPr>
          <w:rFonts w:ascii="Times New Roman" w:hAnsi="Times New Roman"/>
          <w:sz w:val="24"/>
          <w:szCs w:val="24"/>
        </w:rPr>
      </w:pPr>
      <w:r>
        <w:rPr>
          <w:rFonts w:ascii="Times New Roman" w:hAnsi="Times New Roman"/>
          <w:sz w:val="24"/>
          <w:szCs w:val="24"/>
        </w:rPr>
        <w:tab/>
      </w:r>
      <w:r w:rsidRPr="006F235E" w:rsidR="004B1F70">
        <w:rPr>
          <w:rFonts w:ascii="Times New Roman" w:hAnsi="Times New Roman"/>
          <w:sz w:val="24"/>
          <w:szCs w:val="24"/>
        </w:rPr>
        <w:t xml:space="preserve">The information required </w:t>
      </w:r>
      <w:r w:rsidRPr="006F235E" w:rsidR="00BD6EE3">
        <w:rPr>
          <w:rFonts w:ascii="Times New Roman" w:hAnsi="Times New Roman"/>
          <w:sz w:val="24"/>
          <w:szCs w:val="24"/>
        </w:rPr>
        <w:t>is not</w:t>
      </w:r>
      <w:r w:rsidRPr="006F235E" w:rsidR="004B1F70">
        <w:rPr>
          <w:rFonts w:ascii="Times New Roman" w:hAnsi="Times New Roman"/>
          <w:sz w:val="24"/>
          <w:szCs w:val="24"/>
        </w:rPr>
        <w:t xml:space="preserve"> different for smaller institutions; thus the burden to small credit unions is no greater than for any other institution</w:t>
      </w:r>
      <w:r w:rsidRPr="006F235E" w:rsidR="007D55EF">
        <w:rPr>
          <w:rFonts w:ascii="Times New Roman" w:hAnsi="Times New Roman"/>
          <w:sz w:val="24"/>
          <w:szCs w:val="24"/>
        </w:rPr>
        <w:t>.</w:t>
      </w:r>
      <w:r w:rsidRPr="006F235E" w:rsidR="004B1F70">
        <w:rPr>
          <w:rFonts w:ascii="Times New Roman" w:hAnsi="Times New Roman"/>
          <w:sz w:val="24"/>
          <w:szCs w:val="24"/>
        </w:rPr>
        <w:t xml:space="preserve"> </w:t>
      </w:r>
      <w:r w:rsidRPr="006F235E" w:rsidR="00A50701">
        <w:rPr>
          <w:rFonts w:ascii="Times New Roman" w:hAnsi="Times New Roman"/>
          <w:sz w:val="24"/>
          <w:szCs w:val="24"/>
        </w:rPr>
        <w:t xml:space="preserve"> </w:t>
      </w:r>
      <w:r w:rsidRPr="006F235E" w:rsidR="00EB5ADD">
        <w:rPr>
          <w:rFonts w:ascii="Times New Roman" w:hAnsi="Times New Roman"/>
          <w:sz w:val="24"/>
          <w:szCs w:val="24"/>
        </w:rPr>
        <w:t>Therefore</w:t>
      </w:r>
      <w:r w:rsidRPr="006F235E" w:rsidR="00CB0992">
        <w:rPr>
          <w:rFonts w:ascii="Times New Roman" w:hAnsi="Times New Roman"/>
          <w:sz w:val="24"/>
          <w:szCs w:val="24"/>
        </w:rPr>
        <w:t>,</w:t>
      </w:r>
      <w:r w:rsidRPr="006F235E" w:rsidR="00EB5ADD">
        <w:rPr>
          <w:rFonts w:ascii="Times New Roman" w:hAnsi="Times New Roman"/>
          <w:sz w:val="24"/>
          <w:szCs w:val="24"/>
        </w:rPr>
        <w:t xml:space="preserve"> it is critical to the safety and soundness of the NCUSIF that loan participation programs adhere to appropriate standards</w:t>
      </w:r>
      <w:r w:rsidRPr="006F235E" w:rsidR="002A38CB">
        <w:rPr>
          <w:rFonts w:ascii="Times New Roman" w:hAnsi="Times New Roman"/>
          <w:sz w:val="24"/>
          <w:szCs w:val="24"/>
        </w:rPr>
        <w:t>, regardless of the credit union</w:t>
      </w:r>
      <w:r w:rsidRPr="006F235E" w:rsidR="00FD0378">
        <w:rPr>
          <w:rFonts w:ascii="Times New Roman" w:hAnsi="Times New Roman"/>
          <w:sz w:val="24"/>
          <w:szCs w:val="24"/>
        </w:rPr>
        <w:t>’</w:t>
      </w:r>
      <w:r w:rsidRPr="006F235E" w:rsidR="002A38CB">
        <w:rPr>
          <w:rFonts w:ascii="Times New Roman" w:hAnsi="Times New Roman"/>
          <w:sz w:val="24"/>
          <w:szCs w:val="24"/>
        </w:rPr>
        <w:t>s size</w:t>
      </w:r>
      <w:r w:rsidRPr="006F235E" w:rsidR="00CB0992">
        <w:rPr>
          <w:rFonts w:ascii="Times New Roman" w:hAnsi="Times New Roman"/>
          <w:sz w:val="24"/>
          <w:szCs w:val="24"/>
        </w:rPr>
        <w:t>.</w:t>
      </w:r>
    </w:p>
    <w:p w:rsidRPr="006F235E" w:rsidR="00CB0992" w:rsidP="008E2D81" w:rsidRDefault="00CB0992" w14:paraId="08D3496F"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spacing w:after="0" w:line="240" w:lineRule="auto"/>
        <w:ind w:left="0"/>
        <w:rPr>
          <w:rFonts w:ascii="Times New Roman" w:hAnsi="Times New Roman"/>
          <w:sz w:val="24"/>
          <w:szCs w:val="24"/>
        </w:rPr>
      </w:pPr>
    </w:p>
    <w:p w:rsidRPr="008E2D81" w:rsidR="006F235E" w:rsidP="008E2D81" w:rsidRDefault="006F235E" w14:paraId="2CB4E704" w14:textId="77777777">
      <w:pPr>
        <w:spacing w:after="0" w:line="240" w:lineRule="auto"/>
        <w:rPr>
          <w:rFonts w:ascii="Times New Roman" w:hAnsi="Times New Roman"/>
          <w:b/>
          <w:sz w:val="24"/>
          <w:szCs w:val="24"/>
        </w:rPr>
      </w:pPr>
      <w:r w:rsidRPr="008E2D81">
        <w:rPr>
          <w:rFonts w:ascii="Times New Roman" w:hAnsi="Times New Roman"/>
          <w:b/>
          <w:sz w:val="24"/>
          <w:szCs w:val="24"/>
        </w:rPr>
        <w:t>6.</w:t>
      </w:r>
      <w:r w:rsidRPr="008E2D81">
        <w:rPr>
          <w:rFonts w:ascii="Times New Roman" w:hAnsi="Times New Roman"/>
          <w:b/>
          <w:sz w:val="24"/>
          <w:szCs w:val="24"/>
        </w:rPr>
        <w:tab/>
        <w:t xml:space="preserve">Consequences of not conducting collection. </w:t>
      </w:r>
    </w:p>
    <w:p w:rsidR="008E2D81" w:rsidP="008E2D81" w:rsidRDefault="008E2D81" w14:paraId="6C261D02" w14:textId="77777777">
      <w:pPr>
        <w:pStyle w:val="ListParagraph"/>
        <w:suppressAutoHyphens/>
        <w:spacing w:after="0" w:line="240" w:lineRule="auto"/>
        <w:ind w:left="0"/>
        <w:rPr>
          <w:rFonts w:ascii="Times New Roman" w:hAnsi="Times New Roman"/>
          <w:bCs/>
          <w:sz w:val="24"/>
          <w:szCs w:val="24"/>
        </w:rPr>
      </w:pPr>
    </w:p>
    <w:p w:rsidRPr="006F235E" w:rsidR="007D55EF" w:rsidP="008E2D81" w:rsidRDefault="0075010B" w14:paraId="0D33BAA9" w14:textId="77777777">
      <w:pPr>
        <w:pStyle w:val="ListParagraph"/>
        <w:suppressAutoHyphens/>
        <w:spacing w:after="0" w:line="240" w:lineRule="auto"/>
        <w:rPr>
          <w:rFonts w:ascii="Times New Roman" w:hAnsi="Times New Roman"/>
          <w:bCs/>
          <w:sz w:val="24"/>
          <w:szCs w:val="24"/>
        </w:rPr>
      </w:pPr>
      <w:r w:rsidRPr="006F235E">
        <w:rPr>
          <w:rFonts w:ascii="Times New Roman" w:hAnsi="Times New Roman"/>
          <w:bCs/>
          <w:sz w:val="24"/>
          <w:szCs w:val="24"/>
        </w:rPr>
        <w:t xml:space="preserve">Nearly half of all credit unions with assets over $50 million hold or sell loan participations.  </w:t>
      </w:r>
      <w:r w:rsidRPr="006F235E" w:rsidR="00CB0992">
        <w:rPr>
          <w:rFonts w:ascii="Times New Roman" w:hAnsi="Times New Roman"/>
          <w:bCs/>
          <w:sz w:val="24"/>
          <w:szCs w:val="24"/>
        </w:rPr>
        <w:t>The c</w:t>
      </w:r>
      <w:r w:rsidRPr="006F235E">
        <w:rPr>
          <w:rFonts w:ascii="Times New Roman" w:hAnsi="Times New Roman"/>
          <w:bCs/>
          <w:sz w:val="24"/>
          <w:szCs w:val="24"/>
        </w:rPr>
        <w:t>onsequences for not establishing sound governance over loan participations</w:t>
      </w:r>
      <w:r w:rsidRPr="006F235E" w:rsidR="004D6D85">
        <w:rPr>
          <w:rFonts w:ascii="Times New Roman" w:hAnsi="Times New Roman"/>
          <w:bCs/>
          <w:sz w:val="24"/>
          <w:szCs w:val="24"/>
        </w:rPr>
        <w:t xml:space="preserve"> can lead to high levels of delinquency and loan losses to credit unions.  Significant loan losses will affect the overall financial performance of credit unions. </w:t>
      </w:r>
      <w:r w:rsidR="00EA4EEA">
        <w:rPr>
          <w:rFonts w:ascii="Times New Roman" w:hAnsi="Times New Roman"/>
          <w:bCs/>
          <w:sz w:val="24"/>
          <w:szCs w:val="24"/>
        </w:rPr>
        <w:t xml:space="preserve"> </w:t>
      </w:r>
      <w:r w:rsidRPr="006F235E" w:rsidR="004D6D85">
        <w:rPr>
          <w:rFonts w:ascii="Times New Roman" w:hAnsi="Times New Roman"/>
          <w:bCs/>
          <w:sz w:val="24"/>
          <w:szCs w:val="24"/>
        </w:rPr>
        <w:t>The effects of a mismanage</w:t>
      </w:r>
      <w:r w:rsidRPr="006F235E" w:rsidR="00353FF6">
        <w:rPr>
          <w:rFonts w:ascii="Times New Roman" w:hAnsi="Times New Roman"/>
          <w:bCs/>
          <w:sz w:val="24"/>
          <w:szCs w:val="24"/>
        </w:rPr>
        <w:t>d</w:t>
      </w:r>
      <w:r w:rsidRPr="006F235E" w:rsidR="004D6D85">
        <w:rPr>
          <w:rFonts w:ascii="Times New Roman" w:hAnsi="Times New Roman"/>
          <w:bCs/>
          <w:sz w:val="24"/>
          <w:szCs w:val="24"/>
        </w:rPr>
        <w:t xml:space="preserve"> loan participation program can extend throughout several credit unions; therefore</w:t>
      </w:r>
      <w:r w:rsidRPr="006F235E" w:rsidR="00CB0992">
        <w:rPr>
          <w:rFonts w:ascii="Times New Roman" w:hAnsi="Times New Roman"/>
          <w:bCs/>
          <w:sz w:val="24"/>
          <w:szCs w:val="24"/>
        </w:rPr>
        <w:t>,</w:t>
      </w:r>
      <w:r w:rsidRPr="006F235E" w:rsidR="004D6D85">
        <w:rPr>
          <w:rFonts w:ascii="Times New Roman" w:hAnsi="Times New Roman"/>
          <w:bCs/>
          <w:sz w:val="24"/>
          <w:szCs w:val="24"/>
        </w:rPr>
        <w:t xml:space="preserve"> decreasing the financial stability of multiple credit unions across the country</w:t>
      </w:r>
      <w:r w:rsidRPr="006F235E" w:rsidR="00353FF6">
        <w:rPr>
          <w:rFonts w:ascii="Times New Roman" w:hAnsi="Times New Roman"/>
          <w:bCs/>
          <w:sz w:val="24"/>
          <w:szCs w:val="24"/>
        </w:rPr>
        <w:t xml:space="preserve"> and weakening the entire credit union system</w:t>
      </w:r>
      <w:r w:rsidRPr="006F235E" w:rsidR="004D6D85">
        <w:rPr>
          <w:rFonts w:ascii="Times New Roman" w:hAnsi="Times New Roman"/>
          <w:bCs/>
          <w:sz w:val="24"/>
          <w:szCs w:val="24"/>
        </w:rPr>
        <w:t xml:space="preserve">.  The effects of a weak credit union system </w:t>
      </w:r>
      <w:r w:rsidRPr="006F235E" w:rsidR="009B3900">
        <w:rPr>
          <w:rFonts w:ascii="Times New Roman" w:hAnsi="Times New Roman"/>
          <w:bCs/>
          <w:sz w:val="24"/>
          <w:szCs w:val="24"/>
        </w:rPr>
        <w:t>could</w:t>
      </w:r>
      <w:r w:rsidRPr="006F235E" w:rsidR="004D6D85">
        <w:rPr>
          <w:rFonts w:ascii="Times New Roman" w:hAnsi="Times New Roman"/>
          <w:bCs/>
          <w:sz w:val="24"/>
          <w:szCs w:val="24"/>
        </w:rPr>
        <w:t xml:space="preserve"> lead to losses to the NCUSIF. </w:t>
      </w:r>
    </w:p>
    <w:p w:rsidRPr="008E2D81" w:rsidR="0011613B" w:rsidP="008E2D81" w:rsidRDefault="0011613B" w14:paraId="148C8C49"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spacing w:after="0" w:line="240" w:lineRule="auto"/>
        <w:ind w:left="0"/>
        <w:rPr>
          <w:rFonts w:ascii="Times New Roman" w:hAnsi="Times New Roman"/>
          <w:bCs/>
          <w:sz w:val="24"/>
          <w:szCs w:val="24"/>
        </w:rPr>
      </w:pPr>
    </w:p>
    <w:p w:rsidRPr="008E2D81" w:rsidR="006F235E" w:rsidP="008E2D81" w:rsidRDefault="006F235E" w14:paraId="6EEE8A68" w14:textId="77777777">
      <w:pPr>
        <w:spacing w:after="0" w:line="240" w:lineRule="auto"/>
        <w:rPr>
          <w:rFonts w:ascii="Times New Roman" w:hAnsi="Times New Roman"/>
          <w:b/>
          <w:sz w:val="24"/>
          <w:szCs w:val="24"/>
        </w:rPr>
      </w:pPr>
      <w:r w:rsidRPr="008E2D81">
        <w:rPr>
          <w:rFonts w:ascii="Times New Roman" w:hAnsi="Times New Roman"/>
          <w:b/>
          <w:sz w:val="24"/>
          <w:szCs w:val="24"/>
        </w:rPr>
        <w:t>7.</w:t>
      </w:r>
      <w:r w:rsidRPr="008E2D81">
        <w:rPr>
          <w:rFonts w:ascii="Times New Roman" w:hAnsi="Times New Roman"/>
          <w:b/>
          <w:sz w:val="24"/>
          <w:szCs w:val="24"/>
        </w:rPr>
        <w:tab/>
        <w:t>Inconsistencies with guidelines in 5 CFR 1320.5(d)(2)</w:t>
      </w:r>
    </w:p>
    <w:p w:rsidR="008E2D81" w:rsidP="008E2D81" w:rsidRDefault="008E2D81" w14:paraId="699DF0F2" w14:textId="77777777">
      <w:pPr>
        <w:pStyle w:val="ListParagraph"/>
        <w:spacing w:after="0" w:line="240" w:lineRule="auto"/>
        <w:ind w:left="0"/>
        <w:rPr>
          <w:rFonts w:ascii="Times New Roman" w:hAnsi="Times New Roman"/>
          <w:sz w:val="24"/>
          <w:szCs w:val="24"/>
        </w:rPr>
      </w:pPr>
    </w:p>
    <w:p w:rsidRPr="006F235E" w:rsidR="007D55EF" w:rsidP="008E2D81" w:rsidRDefault="008E2D81" w14:paraId="6B316DD2" w14:textId="77777777">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6F235E" w:rsidR="00490B82">
        <w:rPr>
          <w:rFonts w:ascii="Times New Roman" w:hAnsi="Times New Roman"/>
          <w:sz w:val="24"/>
          <w:szCs w:val="24"/>
        </w:rPr>
        <w:t xml:space="preserve">There are no special circumstances. </w:t>
      </w:r>
      <w:r w:rsidR="00EA4EEA">
        <w:rPr>
          <w:rFonts w:ascii="Times New Roman" w:hAnsi="Times New Roman"/>
          <w:sz w:val="24"/>
          <w:szCs w:val="24"/>
        </w:rPr>
        <w:t xml:space="preserve"> </w:t>
      </w:r>
      <w:r w:rsidRPr="006F235E" w:rsidR="00490B82">
        <w:rPr>
          <w:rFonts w:ascii="Times New Roman" w:hAnsi="Times New Roman"/>
          <w:sz w:val="24"/>
          <w:szCs w:val="24"/>
        </w:rPr>
        <w:t xml:space="preserve">This collection is consistent with the guidelines in 5 CFR 1320.5(d)(2).  </w:t>
      </w:r>
    </w:p>
    <w:p w:rsidRPr="008E2D81" w:rsidR="00F602CF" w:rsidP="008E2D81" w:rsidRDefault="00F602CF" w14:paraId="624EFF6F" w14:textId="77777777">
      <w:pPr>
        <w:pStyle w:val="ListParagraph"/>
        <w:spacing w:after="0" w:line="240" w:lineRule="auto"/>
        <w:ind w:left="0"/>
        <w:rPr>
          <w:rFonts w:ascii="Times New Roman" w:hAnsi="Times New Roman"/>
          <w:sz w:val="24"/>
          <w:szCs w:val="24"/>
        </w:rPr>
      </w:pPr>
    </w:p>
    <w:p w:rsidRPr="008E2D81" w:rsidR="006F235E" w:rsidP="008E2D81" w:rsidRDefault="006F235E" w14:paraId="0BAA1FC4" w14:textId="77777777">
      <w:pPr>
        <w:spacing w:after="0" w:line="240" w:lineRule="auto"/>
        <w:rPr>
          <w:rFonts w:ascii="Times New Roman" w:hAnsi="Times New Roman"/>
          <w:b/>
          <w:sz w:val="24"/>
          <w:szCs w:val="24"/>
        </w:rPr>
      </w:pPr>
      <w:r w:rsidRPr="008E2D81">
        <w:rPr>
          <w:rFonts w:ascii="Times New Roman" w:hAnsi="Times New Roman"/>
          <w:b/>
          <w:sz w:val="24"/>
          <w:szCs w:val="24"/>
        </w:rPr>
        <w:t>8.</w:t>
      </w:r>
      <w:r w:rsidRPr="008E2D81">
        <w:rPr>
          <w:rFonts w:ascii="Times New Roman" w:hAnsi="Times New Roman"/>
          <w:b/>
          <w:sz w:val="24"/>
          <w:szCs w:val="24"/>
        </w:rPr>
        <w:tab/>
        <w:t>Efforts to consult with persons outside the agency.</w:t>
      </w:r>
    </w:p>
    <w:p w:rsidR="008E2D81" w:rsidP="008E2D81" w:rsidRDefault="008E2D81" w14:paraId="1BF255FA" w14:textId="77777777">
      <w:pPr>
        <w:spacing w:after="0" w:line="240" w:lineRule="auto"/>
        <w:rPr>
          <w:rFonts w:ascii="Times New Roman" w:hAnsi="Times New Roman"/>
          <w:sz w:val="24"/>
          <w:szCs w:val="24"/>
        </w:rPr>
      </w:pPr>
    </w:p>
    <w:p w:rsidRPr="006F235E" w:rsidR="00347210" w:rsidP="00483668" w:rsidRDefault="008F2F47" w14:paraId="3AD9290B" w14:textId="7D4D49AB">
      <w:pPr>
        <w:spacing w:after="0" w:line="240" w:lineRule="auto"/>
        <w:ind w:left="720"/>
        <w:rPr>
          <w:rFonts w:ascii="Times New Roman" w:hAnsi="Times New Roman"/>
          <w:sz w:val="24"/>
          <w:szCs w:val="24"/>
        </w:rPr>
      </w:pPr>
      <w:r>
        <w:rPr>
          <w:rFonts w:ascii="Times New Roman" w:hAnsi="Times New Roman"/>
          <w:sz w:val="24"/>
          <w:szCs w:val="24"/>
        </w:rPr>
        <w:t xml:space="preserve">A summary of the changes to the information collection requirements </w:t>
      </w:r>
      <w:r w:rsidR="00360272">
        <w:rPr>
          <w:rFonts w:ascii="Times New Roman" w:hAnsi="Times New Roman"/>
          <w:sz w:val="24"/>
          <w:szCs w:val="24"/>
        </w:rPr>
        <w:t>will be published in the preamble of the temporary final rule</w:t>
      </w:r>
      <w:r w:rsidR="00A24DD0">
        <w:rPr>
          <w:rFonts w:ascii="Times New Roman" w:hAnsi="Times New Roman"/>
          <w:sz w:val="24"/>
          <w:szCs w:val="24"/>
        </w:rPr>
        <w:t>, 12 CFR 701, “Temporary Regulatory Relief in Response to COVID-19</w:t>
      </w:r>
      <w:r w:rsidR="00360272">
        <w:rPr>
          <w:rFonts w:ascii="Times New Roman" w:hAnsi="Times New Roman"/>
          <w:sz w:val="24"/>
          <w:szCs w:val="24"/>
        </w:rPr>
        <w:t>.</w:t>
      </w:r>
      <w:r w:rsidR="00A24DD0">
        <w:rPr>
          <w:rFonts w:ascii="Times New Roman" w:hAnsi="Times New Roman"/>
          <w:sz w:val="24"/>
          <w:szCs w:val="24"/>
        </w:rPr>
        <w:t>”</w:t>
      </w:r>
      <w:r w:rsidR="00360272">
        <w:rPr>
          <w:rFonts w:ascii="Times New Roman" w:hAnsi="Times New Roman"/>
          <w:sz w:val="24"/>
          <w:szCs w:val="24"/>
        </w:rPr>
        <w:t xml:space="preserve">  The </w:t>
      </w:r>
      <w:r w:rsidR="00A24DD0">
        <w:rPr>
          <w:rFonts w:ascii="Times New Roman" w:hAnsi="Times New Roman"/>
          <w:sz w:val="24"/>
          <w:szCs w:val="24"/>
        </w:rPr>
        <w:t>NCUA</w:t>
      </w:r>
      <w:r w:rsidR="00360272">
        <w:rPr>
          <w:rFonts w:ascii="Times New Roman" w:hAnsi="Times New Roman"/>
          <w:sz w:val="24"/>
          <w:szCs w:val="24"/>
        </w:rPr>
        <w:t xml:space="preserve"> is requesting emergency approval </w:t>
      </w:r>
      <w:r w:rsidR="00A24DD0">
        <w:rPr>
          <w:rFonts w:ascii="Times New Roman" w:hAnsi="Times New Roman"/>
          <w:sz w:val="24"/>
          <w:szCs w:val="24"/>
        </w:rPr>
        <w:t xml:space="preserve">under the PRA </w:t>
      </w:r>
      <w:r w:rsidR="00360272">
        <w:rPr>
          <w:rFonts w:ascii="Times New Roman" w:hAnsi="Times New Roman"/>
          <w:sz w:val="24"/>
          <w:szCs w:val="24"/>
        </w:rPr>
        <w:t xml:space="preserve">for the revisions to the information </w:t>
      </w:r>
      <w:r w:rsidR="00A24DD0">
        <w:rPr>
          <w:rFonts w:ascii="Times New Roman" w:hAnsi="Times New Roman"/>
          <w:sz w:val="24"/>
          <w:szCs w:val="24"/>
        </w:rPr>
        <w:t xml:space="preserve">collection requirements due to actions of the temporary </w:t>
      </w:r>
      <w:r w:rsidR="00360272">
        <w:rPr>
          <w:rFonts w:ascii="Times New Roman" w:hAnsi="Times New Roman"/>
          <w:sz w:val="24"/>
          <w:szCs w:val="24"/>
        </w:rPr>
        <w:t>rule</w:t>
      </w:r>
      <w:r w:rsidR="007D5EB3">
        <w:rPr>
          <w:rFonts w:ascii="Times New Roman" w:hAnsi="Times New Roman"/>
          <w:sz w:val="24"/>
          <w:szCs w:val="24"/>
        </w:rPr>
        <w:t xml:space="preserve">; and </w:t>
      </w:r>
      <w:r w:rsidR="00360272">
        <w:rPr>
          <w:rFonts w:ascii="Times New Roman" w:hAnsi="Times New Roman"/>
          <w:sz w:val="24"/>
          <w:szCs w:val="24"/>
        </w:rPr>
        <w:t xml:space="preserve">will publish a separate notice in the </w:t>
      </w:r>
      <w:r w:rsidRPr="00A24DD0" w:rsidR="00360272">
        <w:rPr>
          <w:rFonts w:ascii="Times New Roman" w:hAnsi="Times New Roman"/>
          <w:i/>
          <w:sz w:val="24"/>
          <w:szCs w:val="24"/>
        </w:rPr>
        <w:t>Federal Register</w:t>
      </w:r>
      <w:r w:rsidR="00360272">
        <w:rPr>
          <w:rFonts w:ascii="Times New Roman" w:hAnsi="Times New Roman"/>
          <w:sz w:val="24"/>
          <w:szCs w:val="24"/>
        </w:rPr>
        <w:t xml:space="preserve"> </w:t>
      </w:r>
      <w:r w:rsidR="00A24DD0">
        <w:rPr>
          <w:rFonts w:ascii="Times New Roman" w:hAnsi="Times New Roman"/>
          <w:sz w:val="24"/>
          <w:szCs w:val="24"/>
        </w:rPr>
        <w:t xml:space="preserve">soliciting comments from </w:t>
      </w:r>
      <w:r w:rsidR="007D5EB3">
        <w:rPr>
          <w:rFonts w:ascii="Times New Roman" w:hAnsi="Times New Roman"/>
          <w:sz w:val="24"/>
          <w:szCs w:val="24"/>
        </w:rPr>
        <w:t xml:space="preserve">the public </w:t>
      </w:r>
      <w:r w:rsidR="00F46219">
        <w:rPr>
          <w:rFonts w:ascii="Times New Roman" w:hAnsi="Times New Roman"/>
          <w:sz w:val="24"/>
          <w:szCs w:val="24"/>
        </w:rPr>
        <w:t>on these revisions.</w:t>
      </w:r>
      <w:r w:rsidR="00A24DD0">
        <w:rPr>
          <w:rFonts w:ascii="Times New Roman" w:hAnsi="Times New Roman"/>
          <w:sz w:val="24"/>
          <w:szCs w:val="24"/>
        </w:rPr>
        <w:t xml:space="preserve">  </w:t>
      </w:r>
      <w:r w:rsidR="007D5EB3">
        <w:rPr>
          <w:rFonts w:ascii="Times New Roman" w:hAnsi="Times New Roman"/>
          <w:sz w:val="24"/>
          <w:szCs w:val="24"/>
        </w:rPr>
        <w:t xml:space="preserve">Any comments received from this notice will be summarized and included in subsequent submission under the PRA for continued clearance. </w:t>
      </w:r>
    </w:p>
    <w:p w:rsidRPr="00483668" w:rsidR="00ED401C" w:rsidP="008E2D81" w:rsidRDefault="00ED401C" w14:paraId="380860F1" w14:textId="77777777">
      <w:pPr>
        <w:spacing w:after="0" w:line="240" w:lineRule="auto"/>
        <w:rPr>
          <w:rFonts w:ascii="Times New Roman" w:hAnsi="Times New Roman"/>
          <w:sz w:val="24"/>
          <w:szCs w:val="24"/>
        </w:rPr>
      </w:pPr>
    </w:p>
    <w:p w:rsidRPr="00483668" w:rsidR="008E2D81" w:rsidP="008E2D81" w:rsidRDefault="008E2D81" w14:paraId="347BBE24" w14:textId="77777777">
      <w:pPr>
        <w:spacing w:after="0" w:line="240" w:lineRule="auto"/>
        <w:rPr>
          <w:rFonts w:ascii="Times New Roman" w:hAnsi="Times New Roman"/>
          <w:b/>
          <w:sz w:val="24"/>
          <w:szCs w:val="24"/>
        </w:rPr>
      </w:pPr>
      <w:r w:rsidRPr="00483668">
        <w:rPr>
          <w:rFonts w:ascii="Times New Roman" w:hAnsi="Times New Roman"/>
          <w:b/>
          <w:sz w:val="24"/>
          <w:szCs w:val="24"/>
        </w:rPr>
        <w:t>9.</w:t>
      </w:r>
      <w:r w:rsidRPr="00483668">
        <w:rPr>
          <w:rFonts w:ascii="Times New Roman" w:hAnsi="Times New Roman"/>
          <w:b/>
          <w:sz w:val="24"/>
          <w:szCs w:val="24"/>
        </w:rPr>
        <w:tab/>
        <w:t>Payment or gifts to respondents.</w:t>
      </w:r>
    </w:p>
    <w:p w:rsidR="00483668" w:rsidP="008E2D81" w:rsidRDefault="00483668" w14:paraId="7600193C" w14:textId="77777777">
      <w:pPr>
        <w:pStyle w:val="ListParagraph"/>
        <w:suppressAutoHyphens/>
        <w:spacing w:after="0" w:line="240" w:lineRule="auto"/>
        <w:ind w:hanging="720"/>
        <w:rPr>
          <w:rFonts w:ascii="Times New Roman" w:hAnsi="Times New Roman"/>
          <w:sz w:val="24"/>
          <w:szCs w:val="24"/>
        </w:rPr>
      </w:pPr>
    </w:p>
    <w:p w:rsidRPr="006F235E" w:rsidR="00A50701" w:rsidP="008E2D81" w:rsidRDefault="007D55EF" w14:paraId="7CD4FC38" w14:textId="77777777">
      <w:pPr>
        <w:pStyle w:val="ListParagraph"/>
        <w:suppressAutoHyphens/>
        <w:spacing w:after="0" w:line="240" w:lineRule="auto"/>
        <w:ind w:hanging="720"/>
        <w:rPr>
          <w:rFonts w:ascii="Times New Roman" w:hAnsi="Times New Roman"/>
          <w:sz w:val="24"/>
          <w:szCs w:val="24"/>
        </w:rPr>
      </w:pPr>
      <w:r w:rsidRPr="006F235E">
        <w:rPr>
          <w:rFonts w:ascii="Times New Roman" w:hAnsi="Times New Roman"/>
          <w:sz w:val="24"/>
          <w:szCs w:val="24"/>
        </w:rPr>
        <w:tab/>
      </w:r>
      <w:r w:rsidRPr="006F235E" w:rsidR="002A38CB">
        <w:rPr>
          <w:rFonts w:ascii="Times New Roman" w:hAnsi="Times New Roman"/>
          <w:sz w:val="24"/>
          <w:szCs w:val="24"/>
        </w:rPr>
        <w:t>No</w:t>
      </w:r>
      <w:r w:rsidRPr="006F235E" w:rsidR="00F602CF">
        <w:rPr>
          <w:rFonts w:ascii="Times New Roman" w:hAnsi="Times New Roman"/>
          <w:sz w:val="24"/>
          <w:szCs w:val="24"/>
        </w:rPr>
        <w:t xml:space="preserve"> payment or gift </w:t>
      </w:r>
      <w:r w:rsidRPr="006F235E" w:rsidR="002A38CB">
        <w:rPr>
          <w:rFonts w:ascii="Times New Roman" w:hAnsi="Times New Roman"/>
          <w:sz w:val="24"/>
          <w:szCs w:val="24"/>
        </w:rPr>
        <w:t xml:space="preserve">is provided </w:t>
      </w:r>
      <w:r w:rsidRPr="006F235E" w:rsidR="00F602CF">
        <w:rPr>
          <w:rFonts w:ascii="Times New Roman" w:hAnsi="Times New Roman"/>
          <w:sz w:val="24"/>
          <w:szCs w:val="24"/>
        </w:rPr>
        <w:t>to respondents</w:t>
      </w:r>
      <w:r w:rsidRPr="006F235E">
        <w:rPr>
          <w:rFonts w:ascii="Times New Roman" w:hAnsi="Times New Roman"/>
          <w:sz w:val="24"/>
          <w:szCs w:val="24"/>
        </w:rPr>
        <w:t>.</w:t>
      </w:r>
    </w:p>
    <w:p w:rsidRPr="006F235E" w:rsidR="00CB0992" w:rsidP="008E2D81" w:rsidRDefault="00CB0992" w14:paraId="11DCE011" w14:textId="77777777">
      <w:pPr>
        <w:pStyle w:val="ListParagraph"/>
        <w:suppressAutoHyphens/>
        <w:spacing w:after="0" w:line="240" w:lineRule="auto"/>
        <w:ind w:hanging="720"/>
        <w:rPr>
          <w:rFonts w:ascii="Times New Roman" w:hAnsi="Times New Roman"/>
          <w:sz w:val="24"/>
          <w:szCs w:val="24"/>
        </w:rPr>
      </w:pPr>
    </w:p>
    <w:p w:rsidRPr="00483668" w:rsidR="008E2D81" w:rsidP="008E2D81" w:rsidRDefault="008E2D81" w14:paraId="618C990E" w14:textId="77777777">
      <w:pPr>
        <w:spacing w:after="0" w:line="240" w:lineRule="auto"/>
        <w:ind w:left="720" w:hanging="720"/>
        <w:rPr>
          <w:rFonts w:ascii="Times New Roman" w:hAnsi="Times New Roman"/>
          <w:b/>
          <w:sz w:val="24"/>
          <w:szCs w:val="24"/>
        </w:rPr>
      </w:pPr>
      <w:r w:rsidRPr="00483668">
        <w:rPr>
          <w:rFonts w:ascii="Times New Roman" w:hAnsi="Times New Roman"/>
          <w:b/>
          <w:sz w:val="24"/>
          <w:szCs w:val="24"/>
        </w:rPr>
        <w:t>10.</w:t>
      </w:r>
      <w:r w:rsidRPr="00483668">
        <w:rPr>
          <w:rFonts w:ascii="Times New Roman" w:hAnsi="Times New Roman"/>
          <w:b/>
          <w:sz w:val="24"/>
          <w:szCs w:val="24"/>
        </w:rPr>
        <w:tab/>
        <w:t>Assurance of confidentiality.</w:t>
      </w:r>
    </w:p>
    <w:p w:rsidR="00483668" w:rsidP="00483668" w:rsidRDefault="00483668" w14:paraId="3780CB9E" w14:textId="77777777">
      <w:pPr>
        <w:suppressAutoHyphens/>
        <w:spacing w:after="0" w:line="240" w:lineRule="auto"/>
        <w:rPr>
          <w:rFonts w:ascii="Times New Roman" w:hAnsi="Times New Roman"/>
          <w:sz w:val="24"/>
          <w:szCs w:val="24"/>
        </w:rPr>
      </w:pPr>
    </w:p>
    <w:p w:rsidR="006F235E" w:rsidP="004B4EDE" w:rsidRDefault="003277C2" w14:paraId="0174CE92" w14:textId="788C63A2">
      <w:pPr>
        <w:suppressAutoHyphens/>
        <w:spacing w:after="0" w:line="240" w:lineRule="auto"/>
        <w:ind w:left="720"/>
        <w:rPr>
          <w:rFonts w:ascii="Times New Roman" w:hAnsi="Times New Roman"/>
          <w:sz w:val="24"/>
          <w:szCs w:val="24"/>
        </w:rPr>
      </w:pPr>
      <w:r w:rsidRPr="003277C2">
        <w:rPr>
          <w:rFonts w:ascii="Times New Roman" w:hAnsi="Times New Roman"/>
          <w:sz w:val="24"/>
          <w:szCs w:val="24"/>
        </w:rPr>
        <w:t>There is no assurance of confidentiality other than that provided by law.</w:t>
      </w:r>
      <w:r>
        <w:rPr>
          <w:rFonts w:ascii="Times New Roman" w:hAnsi="Times New Roman"/>
          <w:sz w:val="24"/>
          <w:szCs w:val="24"/>
        </w:rPr>
        <w:t xml:space="preserve">  </w:t>
      </w:r>
    </w:p>
    <w:p w:rsidRPr="006F235E" w:rsidR="004B4EDE" w:rsidP="004B4EDE" w:rsidRDefault="004B4EDE" w14:paraId="3CD72D32" w14:textId="77777777">
      <w:pPr>
        <w:suppressAutoHyphens/>
        <w:spacing w:after="0" w:line="240" w:lineRule="auto"/>
        <w:ind w:left="720"/>
        <w:rPr>
          <w:rFonts w:ascii="Times New Roman" w:hAnsi="Times New Roman"/>
          <w:sz w:val="24"/>
          <w:szCs w:val="24"/>
        </w:rPr>
      </w:pPr>
    </w:p>
    <w:p w:rsidRPr="00483668" w:rsidR="008E2D81" w:rsidP="008E2D81" w:rsidRDefault="008E2D81" w14:paraId="792566D7" w14:textId="77777777">
      <w:pPr>
        <w:spacing w:after="0" w:line="240" w:lineRule="auto"/>
        <w:rPr>
          <w:rFonts w:ascii="Times New Roman" w:hAnsi="Times New Roman"/>
          <w:b/>
          <w:sz w:val="24"/>
          <w:szCs w:val="24"/>
        </w:rPr>
      </w:pPr>
      <w:r w:rsidRPr="00483668">
        <w:rPr>
          <w:rFonts w:ascii="Times New Roman" w:hAnsi="Times New Roman"/>
          <w:b/>
          <w:sz w:val="24"/>
          <w:szCs w:val="24"/>
        </w:rPr>
        <w:t>11.</w:t>
      </w:r>
      <w:r w:rsidRPr="00483668">
        <w:rPr>
          <w:rFonts w:ascii="Times New Roman" w:hAnsi="Times New Roman"/>
          <w:b/>
          <w:sz w:val="24"/>
          <w:szCs w:val="24"/>
        </w:rPr>
        <w:tab/>
        <w:t>Questions of a sensitive nature.</w:t>
      </w:r>
    </w:p>
    <w:p w:rsidR="00483668" w:rsidP="008E2D81" w:rsidRDefault="00483668" w14:paraId="4A0DA232" w14:textId="77777777">
      <w:pPr>
        <w:tabs>
          <w:tab w:val="left" w:pos="-8213"/>
          <w:tab w:val="left" w:pos="-7207"/>
          <w:tab w:val="left" w:pos="-7090"/>
          <w:tab w:val="left" w:pos="-3415"/>
          <w:tab w:val="left" w:pos="-3298"/>
          <w:tab w:val="left" w:pos="-2159"/>
          <w:tab w:val="left" w:pos="-2041"/>
          <w:tab w:val="left" w:pos="331"/>
          <w:tab w:val="left" w:pos="449"/>
          <w:tab w:val="left" w:pos="860"/>
          <w:tab w:val="left" w:pos="2279"/>
          <w:tab w:val="left" w:pos="5467"/>
          <w:tab w:val="left" w:pos="6187"/>
          <w:tab w:val="left" w:pos="6907"/>
          <w:tab w:val="left" w:pos="7627"/>
          <w:tab w:val="left" w:pos="8347"/>
          <w:tab w:val="left" w:pos="9067"/>
          <w:tab w:val="left" w:pos="9787"/>
          <w:tab w:val="left" w:pos="10507"/>
          <w:tab w:val="left" w:pos="11227"/>
        </w:tabs>
        <w:suppressAutoHyphens/>
        <w:spacing w:after="0" w:line="240" w:lineRule="auto"/>
        <w:rPr>
          <w:rFonts w:ascii="Times New Roman" w:hAnsi="Times New Roman"/>
          <w:sz w:val="24"/>
          <w:szCs w:val="24"/>
        </w:rPr>
      </w:pPr>
    </w:p>
    <w:p w:rsidR="007D55EF" w:rsidP="0096025F" w:rsidRDefault="003277C2" w14:paraId="08144470" w14:textId="77777777">
      <w:pPr>
        <w:suppressAutoHyphens/>
        <w:spacing w:after="0" w:line="240" w:lineRule="auto"/>
        <w:ind w:left="720"/>
        <w:rPr>
          <w:rFonts w:ascii="Times New Roman" w:hAnsi="Times New Roman"/>
          <w:sz w:val="24"/>
          <w:szCs w:val="24"/>
        </w:rPr>
      </w:pPr>
      <w:r>
        <w:rPr>
          <w:rFonts w:ascii="Times New Roman" w:hAnsi="Times New Roman"/>
          <w:sz w:val="24"/>
          <w:szCs w:val="24"/>
        </w:rPr>
        <w:t xml:space="preserve">Personal identifiable information (PII) is not collected.  </w:t>
      </w:r>
      <w:r w:rsidRPr="006F235E" w:rsidR="00F602CF">
        <w:rPr>
          <w:rFonts w:ascii="Times New Roman" w:hAnsi="Times New Roman"/>
          <w:sz w:val="24"/>
          <w:szCs w:val="24"/>
        </w:rPr>
        <w:t xml:space="preserve">There are no questions of a sensitive nature. </w:t>
      </w:r>
    </w:p>
    <w:p w:rsidRPr="00483668" w:rsidR="006F235E" w:rsidP="008E2D81" w:rsidRDefault="006F235E" w14:paraId="0C924239" w14:textId="77777777">
      <w:pPr>
        <w:tabs>
          <w:tab w:val="left" w:pos="-8213"/>
          <w:tab w:val="left" w:pos="-7207"/>
          <w:tab w:val="left" w:pos="-7090"/>
          <w:tab w:val="left" w:pos="-3415"/>
          <w:tab w:val="left" w:pos="-3298"/>
          <w:tab w:val="left" w:pos="-2159"/>
          <w:tab w:val="left" w:pos="-2041"/>
          <w:tab w:val="left" w:pos="331"/>
          <w:tab w:val="left" w:pos="449"/>
          <w:tab w:val="left" w:pos="860"/>
          <w:tab w:val="left" w:pos="2279"/>
          <w:tab w:val="left" w:pos="5467"/>
          <w:tab w:val="left" w:pos="6187"/>
          <w:tab w:val="left" w:pos="6907"/>
          <w:tab w:val="left" w:pos="7627"/>
          <w:tab w:val="left" w:pos="8347"/>
          <w:tab w:val="left" w:pos="9067"/>
          <w:tab w:val="left" w:pos="9787"/>
          <w:tab w:val="left" w:pos="10507"/>
          <w:tab w:val="left" w:pos="11227"/>
        </w:tabs>
        <w:suppressAutoHyphens/>
        <w:spacing w:after="0" w:line="240" w:lineRule="auto"/>
        <w:rPr>
          <w:rFonts w:ascii="Times New Roman" w:hAnsi="Times New Roman"/>
          <w:sz w:val="24"/>
          <w:szCs w:val="24"/>
        </w:rPr>
      </w:pPr>
    </w:p>
    <w:p w:rsidRPr="00483668" w:rsidR="008E2D81" w:rsidP="008E2D81" w:rsidRDefault="008E2D81" w14:paraId="62034DC3" w14:textId="77777777">
      <w:pPr>
        <w:spacing w:after="0" w:line="240" w:lineRule="auto"/>
        <w:rPr>
          <w:rFonts w:ascii="Times New Roman" w:hAnsi="Times New Roman"/>
          <w:b/>
          <w:sz w:val="24"/>
          <w:szCs w:val="24"/>
        </w:rPr>
      </w:pPr>
      <w:r w:rsidRPr="00483668">
        <w:rPr>
          <w:rFonts w:ascii="Times New Roman" w:hAnsi="Times New Roman"/>
          <w:b/>
          <w:sz w:val="24"/>
          <w:szCs w:val="24"/>
        </w:rPr>
        <w:t>12.</w:t>
      </w:r>
      <w:r w:rsidRPr="00483668">
        <w:rPr>
          <w:rFonts w:ascii="Times New Roman" w:hAnsi="Times New Roman"/>
          <w:b/>
          <w:sz w:val="24"/>
          <w:szCs w:val="24"/>
        </w:rPr>
        <w:tab/>
        <w:t>Burden of information collection.</w:t>
      </w:r>
    </w:p>
    <w:p w:rsidR="00483668" w:rsidP="008E2D81" w:rsidRDefault="00483668" w14:paraId="7CB946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sz w:val="24"/>
          <w:szCs w:val="24"/>
        </w:rPr>
      </w:pPr>
    </w:p>
    <w:p w:rsidRPr="006F235E" w:rsidR="00650BB2" w:rsidP="00483668" w:rsidRDefault="00F46219" w14:paraId="6AE26056" w14:textId="0DAE5537">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There are</w:t>
      </w:r>
      <w:r w:rsidRPr="006F235E" w:rsidR="00650BB2">
        <w:rPr>
          <w:rFonts w:ascii="Times New Roman" w:hAnsi="Times New Roman" w:eastAsia="Times New Roman"/>
          <w:sz w:val="24"/>
          <w:szCs w:val="24"/>
        </w:rPr>
        <w:t xml:space="preserve"> approximately </w:t>
      </w:r>
      <w:r w:rsidRPr="00C54F54" w:rsidR="00BD6EE3">
        <w:rPr>
          <w:rFonts w:ascii="Times New Roman" w:hAnsi="Times New Roman" w:eastAsia="Times New Roman"/>
          <w:sz w:val="24"/>
          <w:szCs w:val="24"/>
        </w:rPr>
        <w:t>1,</w:t>
      </w:r>
      <w:r w:rsidR="00925C22">
        <w:rPr>
          <w:rFonts w:ascii="Times New Roman" w:hAnsi="Times New Roman" w:eastAsia="Times New Roman"/>
          <w:sz w:val="24"/>
          <w:szCs w:val="24"/>
        </w:rPr>
        <w:t>876</w:t>
      </w:r>
      <w:r w:rsidRPr="006F235E" w:rsidR="00925C22">
        <w:rPr>
          <w:rFonts w:ascii="Times New Roman" w:hAnsi="Times New Roman" w:eastAsia="Times New Roman"/>
          <w:sz w:val="24"/>
          <w:szCs w:val="24"/>
        </w:rPr>
        <w:t xml:space="preserve"> </w:t>
      </w:r>
      <w:r w:rsidRPr="006F235E" w:rsidR="00650BB2">
        <w:rPr>
          <w:rFonts w:ascii="Times New Roman" w:hAnsi="Times New Roman" w:eastAsia="Times New Roman"/>
          <w:sz w:val="24"/>
          <w:szCs w:val="24"/>
        </w:rPr>
        <w:t>credit unions are participating in loan participations</w:t>
      </w:r>
      <w:r w:rsidRPr="006F235E" w:rsidR="00F63E23">
        <w:rPr>
          <w:rFonts w:ascii="Times New Roman" w:hAnsi="Times New Roman" w:eastAsia="Times New Roman"/>
          <w:sz w:val="24"/>
          <w:szCs w:val="24"/>
        </w:rPr>
        <w:t xml:space="preserve">. </w:t>
      </w:r>
      <w:r w:rsidR="003277C2">
        <w:rPr>
          <w:rFonts w:ascii="Times New Roman" w:hAnsi="Times New Roman" w:eastAsia="Times New Roman"/>
          <w:sz w:val="24"/>
          <w:szCs w:val="24"/>
        </w:rPr>
        <w:t xml:space="preserve"> </w:t>
      </w:r>
      <w:r w:rsidRPr="006F235E" w:rsidR="00650BB2">
        <w:rPr>
          <w:rFonts w:ascii="Times New Roman" w:hAnsi="Times New Roman" w:eastAsia="Times New Roman"/>
          <w:sz w:val="24"/>
          <w:szCs w:val="24"/>
        </w:rPr>
        <w:t xml:space="preserve">NCUA </w:t>
      </w:r>
      <w:r w:rsidR="00925C22">
        <w:rPr>
          <w:rFonts w:ascii="Times New Roman" w:hAnsi="Times New Roman" w:eastAsia="Times New Roman"/>
          <w:sz w:val="24"/>
          <w:szCs w:val="24"/>
        </w:rPr>
        <w:t>expects credit union to re</w:t>
      </w:r>
      <w:r w:rsidR="00A5038D">
        <w:rPr>
          <w:rFonts w:ascii="Times New Roman" w:hAnsi="Times New Roman" w:eastAsia="Times New Roman"/>
          <w:sz w:val="24"/>
          <w:szCs w:val="24"/>
        </w:rPr>
        <w:t>v</w:t>
      </w:r>
      <w:r w:rsidR="00925C22">
        <w:rPr>
          <w:rFonts w:ascii="Times New Roman" w:hAnsi="Times New Roman" w:eastAsia="Times New Roman"/>
          <w:sz w:val="24"/>
          <w:szCs w:val="24"/>
        </w:rPr>
        <w:t xml:space="preserve">iew policies on a regular basis, to ensure the policy is relevant to the current economic environment and meets their member’s needs. </w:t>
      </w:r>
      <w:r w:rsidR="00A5038D">
        <w:rPr>
          <w:rFonts w:ascii="Times New Roman" w:hAnsi="Times New Roman" w:eastAsia="Times New Roman"/>
          <w:sz w:val="24"/>
          <w:szCs w:val="24"/>
        </w:rPr>
        <w:t xml:space="preserve"> </w:t>
      </w:r>
      <w:r w:rsidR="00925C22">
        <w:rPr>
          <w:rFonts w:ascii="Times New Roman" w:hAnsi="Times New Roman" w:eastAsia="Times New Roman"/>
          <w:sz w:val="24"/>
          <w:szCs w:val="24"/>
        </w:rPr>
        <w:t>This review is generally done on an annual basis and estimated to take approximately 1.5 hours.  With 1</w:t>
      </w:r>
      <w:r w:rsidR="00A5038D">
        <w:rPr>
          <w:rFonts w:ascii="Times New Roman" w:hAnsi="Times New Roman" w:eastAsia="Times New Roman"/>
          <w:sz w:val="24"/>
          <w:szCs w:val="24"/>
        </w:rPr>
        <w:t>,</w:t>
      </w:r>
      <w:r w:rsidR="00925C22">
        <w:rPr>
          <w:rFonts w:ascii="Times New Roman" w:hAnsi="Times New Roman" w:eastAsia="Times New Roman"/>
          <w:sz w:val="24"/>
          <w:szCs w:val="24"/>
        </w:rPr>
        <w:t>876 credit unions, performing the review at 1.5</w:t>
      </w:r>
      <w:r w:rsidR="00A5038D">
        <w:rPr>
          <w:rFonts w:ascii="Times New Roman" w:hAnsi="Times New Roman" w:eastAsia="Times New Roman"/>
          <w:sz w:val="24"/>
          <w:szCs w:val="24"/>
        </w:rPr>
        <w:t xml:space="preserve"> </w:t>
      </w:r>
      <w:r w:rsidR="00925C22">
        <w:rPr>
          <w:rFonts w:ascii="Times New Roman" w:hAnsi="Times New Roman" w:eastAsia="Times New Roman"/>
          <w:sz w:val="24"/>
          <w:szCs w:val="24"/>
        </w:rPr>
        <w:t xml:space="preserve">hours the compliance burden is minimal and estimated to be </w:t>
      </w:r>
      <w:r>
        <w:rPr>
          <w:rFonts w:ascii="Times New Roman" w:hAnsi="Times New Roman" w:eastAsia="Times New Roman"/>
          <w:sz w:val="24"/>
          <w:szCs w:val="24"/>
        </w:rPr>
        <w:t>2,847</w:t>
      </w:r>
      <w:r w:rsidR="00925C22">
        <w:rPr>
          <w:rFonts w:ascii="Times New Roman" w:hAnsi="Times New Roman" w:eastAsia="Times New Roman"/>
          <w:sz w:val="24"/>
          <w:szCs w:val="24"/>
        </w:rPr>
        <w:t xml:space="preserve"> overall industry burden annually. </w:t>
      </w:r>
      <w:r w:rsidRPr="006F235E" w:rsidR="00650BB2">
        <w:rPr>
          <w:rFonts w:ascii="Times New Roman" w:hAnsi="Times New Roman" w:eastAsia="Times New Roman"/>
          <w:sz w:val="24"/>
          <w:szCs w:val="24"/>
        </w:rPr>
        <w:t xml:space="preserve">  </w:t>
      </w:r>
    </w:p>
    <w:p w:rsidR="008E2D81" w:rsidP="00483668" w:rsidRDefault="008E2D81" w14:paraId="0996C1A6" w14:textId="64922F04">
      <w:pPr>
        <w:spacing w:after="0" w:line="240" w:lineRule="auto"/>
        <w:ind w:left="720"/>
        <w:rPr>
          <w:rFonts w:ascii="Times New Roman" w:hAnsi="Times New Roman"/>
          <w:sz w:val="24"/>
          <w:szCs w:val="24"/>
        </w:rPr>
      </w:pPr>
    </w:p>
    <w:p w:rsidRPr="005E76DE" w:rsidR="005E76DE" w:rsidP="005E76DE" w:rsidRDefault="005E76DE" w14:paraId="2F955193" w14:textId="004DCEDA">
      <w:pPr>
        <w:spacing w:after="0" w:line="240" w:lineRule="auto"/>
        <w:ind w:left="720"/>
        <w:rPr>
          <w:rFonts w:ascii="Times New Roman" w:hAnsi="Times New Roman"/>
          <w:sz w:val="24"/>
          <w:szCs w:val="24"/>
        </w:rPr>
      </w:pPr>
      <w:r w:rsidRPr="005E76DE">
        <w:rPr>
          <w:rFonts w:ascii="Times New Roman" w:hAnsi="Times New Roman"/>
          <w:sz w:val="24"/>
          <w:szCs w:val="24"/>
        </w:rPr>
        <w:t>It is anticipated that there will be no increase in the number of credit unions currently participating.  It is estimated that these credit unions may see a slight increase in the number of loan participation agreements.  The recordkeeping requirement to retain and maintain a copy of the agreement is minimal, and would not impact the recordkeeping burden.  Because of the net worth in</w:t>
      </w:r>
      <w:r w:rsidR="00F46219">
        <w:rPr>
          <w:rFonts w:ascii="Times New Roman" w:hAnsi="Times New Roman"/>
          <w:sz w:val="24"/>
          <w:szCs w:val="24"/>
        </w:rPr>
        <w:t xml:space="preserve">crease, NCUA estimates that </w:t>
      </w:r>
      <w:r w:rsidRPr="005E76DE">
        <w:rPr>
          <w:rFonts w:ascii="Times New Roman" w:hAnsi="Times New Roman"/>
          <w:sz w:val="24"/>
          <w:szCs w:val="24"/>
        </w:rPr>
        <w:t>waiver request</w:t>
      </w:r>
      <w:r w:rsidR="00F46219">
        <w:rPr>
          <w:rFonts w:ascii="Times New Roman" w:hAnsi="Times New Roman"/>
          <w:sz w:val="24"/>
          <w:szCs w:val="24"/>
        </w:rPr>
        <w:t>s</w:t>
      </w:r>
      <w:r w:rsidRPr="005E76DE">
        <w:rPr>
          <w:rFonts w:ascii="Times New Roman" w:hAnsi="Times New Roman"/>
          <w:sz w:val="24"/>
          <w:szCs w:val="24"/>
        </w:rPr>
        <w:t xml:space="preserve"> on the limits will be reduced by 50 percent, for an estimated reduction of 20 burden hours.  </w:t>
      </w:r>
      <w:r w:rsidR="00F46219">
        <w:rPr>
          <w:rFonts w:ascii="Times New Roman" w:hAnsi="Times New Roman"/>
          <w:sz w:val="24"/>
          <w:szCs w:val="24"/>
        </w:rPr>
        <w:t>A t</w:t>
      </w:r>
      <w:r w:rsidRPr="005E76DE">
        <w:rPr>
          <w:rFonts w:ascii="Times New Roman" w:hAnsi="Times New Roman"/>
          <w:sz w:val="24"/>
          <w:szCs w:val="24"/>
        </w:rPr>
        <w:t xml:space="preserve">otal of 3,025 </w:t>
      </w:r>
      <w:r w:rsidR="00F46219">
        <w:rPr>
          <w:rFonts w:ascii="Times New Roman" w:hAnsi="Times New Roman"/>
          <w:sz w:val="24"/>
          <w:szCs w:val="24"/>
        </w:rPr>
        <w:t xml:space="preserve">burden hours is </w:t>
      </w:r>
      <w:r w:rsidRPr="005E76DE">
        <w:rPr>
          <w:rFonts w:ascii="Times New Roman" w:hAnsi="Times New Roman"/>
          <w:sz w:val="24"/>
          <w:szCs w:val="24"/>
        </w:rPr>
        <w:t>requested.</w:t>
      </w:r>
    </w:p>
    <w:p w:rsidR="005E76DE" w:rsidP="00483668" w:rsidRDefault="005E76DE" w14:paraId="5722938E" w14:textId="77777777">
      <w:pPr>
        <w:spacing w:after="0" w:line="240" w:lineRule="auto"/>
        <w:ind w:left="720"/>
        <w:rPr>
          <w:rFonts w:ascii="Times New Roman" w:hAnsi="Times New Roman"/>
          <w:sz w:val="24"/>
          <w:szCs w:val="24"/>
        </w:rPr>
      </w:pPr>
    </w:p>
    <w:p w:rsidR="00483668" w:rsidP="0073039A" w:rsidRDefault="00483668" w14:paraId="5CE50200" w14:textId="52255253">
      <w:pPr>
        <w:spacing w:after="0" w:line="240" w:lineRule="auto"/>
        <w:rPr>
          <w:rFonts w:ascii="Times New Roman" w:hAnsi="Times New Roman"/>
          <w:sz w:val="24"/>
          <w:szCs w:val="24"/>
        </w:rPr>
      </w:pPr>
    </w:p>
    <w:tbl>
      <w:tblPr>
        <w:tblW w:w="10710" w:type="dxa"/>
        <w:tblInd w:w="-725" w:type="dxa"/>
        <w:tblLook w:val="04A0" w:firstRow="1" w:lastRow="0" w:firstColumn="1" w:lastColumn="0" w:noHBand="0" w:noVBand="1"/>
      </w:tblPr>
      <w:tblGrid>
        <w:gridCol w:w="990"/>
        <w:gridCol w:w="2430"/>
        <w:gridCol w:w="960"/>
        <w:gridCol w:w="840"/>
        <w:gridCol w:w="924"/>
        <w:gridCol w:w="876"/>
        <w:gridCol w:w="900"/>
        <w:gridCol w:w="900"/>
        <w:gridCol w:w="900"/>
        <w:gridCol w:w="990"/>
      </w:tblGrid>
      <w:tr w:rsidRPr="00A15DC2" w:rsidR="00A9094A" w:rsidTr="00A9094A" w14:paraId="6088EEA8" w14:textId="77777777">
        <w:trPr>
          <w:trHeight w:val="630"/>
        </w:trPr>
        <w:tc>
          <w:tcPr>
            <w:tcW w:w="990" w:type="dxa"/>
            <w:tcBorders>
              <w:top w:val="single" w:color="auto" w:sz="4" w:space="0"/>
              <w:left w:val="single" w:color="auto" w:sz="4" w:space="0"/>
              <w:bottom w:val="single" w:color="auto" w:sz="4" w:space="0"/>
              <w:right w:val="single" w:color="auto" w:sz="4" w:space="0"/>
            </w:tcBorders>
            <w:shd w:val="clear" w:color="000000" w:fill="DDEBF7"/>
            <w:vAlign w:val="center"/>
            <w:hideMark/>
          </w:tcPr>
          <w:p w:rsidRPr="00A15DC2" w:rsidR="00A9094A" w:rsidP="00A55A8C" w:rsidRDefault="00A9094A" w14:paraId="27810A00" w14:textId="77777777">
            <w:pPr>
              <w:spacing w:after="0" w:line="240" w:lineRule="auto"/>
              <w:jc w:val="center"/>
              <w:rPr>
                <w:rFonts w:ascii="Arial Narrow" w:hAnsi="Arial Narrow" w:eastAsia="Times New Roman" w:cs="Calibri"/>
                <w:color w:val="000000"/>
                <w:sz w:val="16"/>
                <w:szCs w:val="16"/>
              </w:rPr>
            </w:pPr>
            <w:r w:rsidRPr="00A15DC2">
              <w:rPr>
                <w:rFonts w:ascii="Arial Narrow" w:hAnsi="Arial Narrow" w:eastAsia="Times New Roman" w:cs="Calibri"/>
                <w:color w:val="000000"/>
                <w:sz w:val="16"/>
                <w:szCs w:val="16"/>
              </w:rPr>
              <w:t>12 CFR</w:t>
            </w:r>
          </w:p>
        </w:tc>
        <w:tc>
          <w:tcPr>
            <w:tcW w:w="2430" w:type="dxa"/>
            <w:tcBorders>
              <w:top w:val="single" w:color="auto" w:sz="4" w:space="0"/>
              <w:left w:val="nil"/>
              <w:bottom w:val="single" w:color="auto" w:sz="4" w:space="0"/>
              <w:right w:val="single" w:color="auto" w:sz="4" w:space="0"/>
            </w:tcBorders>
            <w:shd w:val="clear" w:color="000000" w:fill="DDEBF7"/>
            <w:vAlign w:val="center"/>
            <w:hideMark/>
          </w:tcPr>
          <w:p w:rsidRPr="00A15DC2" w:rsidR="00A9094A" w:rsidP="00A55A8C" w:rsidRDefault="00A9094A" w14:paraId="1C697061" w14:textId="77777777">
            <w:pPr>
              <w:spacing w:after="0" w:line="240" w:lineRule="auto"/>
              <w:jc w:val="center"/>
              <w:rPr>
                <w:rFonts w:ascii="Arial Narrow" w:hAnsi="Arial Narrow" w:eastAsia="Times New Roman" w:cs="Calibri"/>
                <w:color w:val="000000"/>
                <w:sz w:val="16"/>
                <w:szCs w:val="16"/>
              </w:rPr>
            </w:pPr>
            <w:r w:rsidRPr="00A15DC2">
              <w:rPr>
                <w:rFonts w:ascii="Arial Narrow" w:hAnsi="Arial Narrow" w:eastAsia="Times New Roman" w:cs="Calibri"/>
                <w:color w:val="000000"/>
                <w:sz w:val="16"/>
                <w:szCs w:val="16"/>
              </w:rPr>
              <w:t>Information Collection Activity</w:t>
            </w:r>
          </w:p>
        </w:tc>
        <w:tc>
          <w:tcPr>
            <w:tcW w:w="960" w:type="dxa"/>
            <w:tcBorders>
              <w:top w:val="single" w:color="auto" w:sz="4" w:space="0"/>
              <w:left w:val="nil"/>
              <w:bottom w:val="single" w:color="auto" w:sz="4" w:space="0"/>
              <w:right w:val="single" w:color="auto" w:sz="4" w:space="0"/>
            </w:tcBorders>
            <w:shd w:val="clear" w:color="000000" w:fill="DDEBF7"/>
            <w:vAlign w:val="center"/>
            <w:hideMark/>
          </w:tcPr>
          <w:p w:rsidRPr="00A15DC2" w:rsidR="00A9094A" w:rsidP="00A55A8C" w:rsidRDefault="00A9094A" w14:paraId="1408EC91" w14:textId="77777777">
            <w:pPr>
              <w:spacing w:after="0" w:line="240" w:lineRule="auto"/>
              <w:jc w:val="center"/>
              <w:rPr>
                <w:rFonts w:ascii="Arial Narrow" w:hAnsi="Arial Narrow" w:eastAsia="Times New Roman" w:cs="Calibri"/>
                <w:color w:val="000000"/>
                <w:sz w:val="16"/>
                <w:szCs w:val="16"/>
              </w:rPr>
            </w:pPr>
            <w:r w:rsidRPr="00A15DC2">
              <w:rPr>
                <w:rFonts w:ascii="Arial Narrow" w:hAnsi="Arial Narrow" w:eastAsia="Times New Roman" w:cs="Calibri"/>
                <w:color w:val="000000"/>
                <w:sz w:val="16"/>
                <w:szCs w:val="16"/>
              </w:rPr>
              <w:t>Type of Burden</w:t>
            </w:r>
          </w:p>
        </w:tc>
        <w:tc>
          <w:tcPr>
            <w:tcW w:w="840" w:type="dxa"/>
            <w:tcBorders>
              <w:top w:val="single" w:color="auto" w:sz="4" w:space="0"/>
              <w:left w:val="nil"/>
              <w:bottom w:val="single" w:color="auto" w:sz="4" w:space="0"/>
              <w:right w:val="single" w:color="auto" w:sz="4" w:space="0"/>
            </w:tcBorders>
            <w:shd w:val="clear" w:color="000000" w:fill="DDEBF7"/>
            <w:vAlign w:val="center"/>
            <w:hideMark/>
          </w:tcPr>
          <w:p w:rsidRPr="00A15DC2" w:rsidR="00A9094A" w:rsidP="00A55A8C" w:rsidRDefault="00A9094A" w14:paraId="35683A69" w14:textId="77777777">
            <w:pPr>
              <w:spacing w:after="0" w:line="240" w:lineRule="auto"/>
              <w:jc w:val="center"/>
              <w:rPr>
                <w:rFonts w:ascii="Arial Narrow" w:hAnsi="Arial Narrow" w:eastAsia="Times New Roman" w:cs="Calibri"/>
                <w:color w:val="000000"/>
                <w:sz w:val="16"/>
                <w:szCs w:val="16"/>
              </w:rPr>
            </w:pPr>
            <w:r w:rsidRPr="00A15DC2">
              <w:rPr>
                <w:rFonts w:ascii="Arial Narrow" w:hAnsi="Arial Narrow" w:eastAsia="Times New Roman" w:cs="Calibri"/>
                <w:color w:val="000000"/>
                <w:sz w:val="16"/>
                <w:szCs w:val="16"/>
              </w:rPr>
              <w:t>Respon</w:t>
            </w:r>
            <w:r>
              <w:rPr>
                <w:rFonts w:ascii="Arial Narrow" w:hAnsi="Arial Narrow" w:eastAsia="Times New Roman" w:cs="Calibri"/>
                <w:color w:val="000000"/>
                <w:sz w:val="16"/>
                <w:szCs w:val="16"/>
              </w:rPr>
              <w:t>-</w:t>
            </w:r>
            <w:r w:rsidRPr="00A15DC2">
              <w:rPr>
                <w:rFonts w:ascii="Arial Narrow" w:hAnsi="Arial Narrow" w:eastAsia="Times New Roman" w:cs="Calibri"/>
                <w:color w:val="000000"/>
                <w:sz w:val="16"/>
                <w:szCs w:val="16"/>
              </w:rPr>
              <w:t>dents</w:t>
            </w:r>
          </w:p>
        </w:tc>
        <w:tc>
          <w:tcPr>
            <w:tcW w:w="924" w:type="dxa"/>
            <w:tcBorders>
              <w:top w:val="single" w:color="auto" w:sz="4" w:space="0"/>
              <w:left w:val="nil"/>
              <w:bottom w:val="single" w:color="auto" w:sz="4" w:space="0"/>
              <w:right w:val="single" w:color="auto" w:sz="4" w:space="0"/>
            </w:tcBorders>
            <w:shd w:val="clear" w:color="000000" w:fill="DDEBF7"/>
            <w:vAlign w:val="center"/>
            <w:hideMark/>
          </w:tcPr>
          <w:p w:rsidRPr="00A15DC2" w:rsidR="00A9094A" w:rsidP="00A55A8C" w:rsidRDefault="00A9094A" w14:paraId="7A95AFC6" w14:textId="77777777">
            <w:pPr>
              <w:spacing w:after="0" w:line="240" w:lineRule="auto"/>
              <w:jc w:val="center"/>
              <w:rPr>
                <w:rFonts w:ascii="Arial Narrow" w:hAnsi="Arial Narrow" w:eastAsia="Times New Roman" w:cs="Calibri"/>
                <w:color w:val="000000"/>
                <w:sz w:val="16"/>
                <w:szCs w:val="16"/>
              </w:rPr>
            </w:pPr>
            <w:r w:rsidRPr="00A15DC2">
              <w:rPr>
                <w:rFonts w:ascii="Arial Narrow" w:hAnsi="Arial Narrow" w:eastAsia="Times New Roman" w:cs="Calibri"/>
                <w:color w:val="000000"/>
                <w:sz w:val="16"/>
                <w:szCs w:val="16"/>
              </w:rPr>
              <w:t># Responses per Respondent</w:t>
            </w:r>
          </w:p>
        </w:tc>
        <w:tc>
          <w:tcPr>
            <w:tcW w:w="876" w:type="dxa"/>
            <w:tcBorders>
              <w:top w:val="single" w:color="auto" w:sz="4" w:space="0"/>
              <w:left w:val="nil"/>
              <w:bottom w:val="single" w:color="auto" w:sz="4" w:space="0"/>
              <w:right w:val="single" w:color="auto" w:sz="4" w:space="0"/>
            </w:tcBorders>
            <w:shd w:val="clear" w:color="000000" w:fill="DDEBF7"/>
            <w:vAlign w:val="center"/>
            <w:hideMark/>
          </w:tcPr>
          <w:p w:rsidRPr="00A15DC2" w:rsidR="00A9094A" w:rsidP="00A55A8C" w:rsidRDefault="00A9094A" w14:paraId="5B8532C4" w14:textId="77777777">
            <w:pPr>
              <w:spacing w:after="0" w:line="240" w:lineRule="auto"/>
              <w:jc w:val="center"/>
              <w:rPr>
                <w:rFonts w:ascii="Arial Narrow" w:hAnsi="Arial Narrow" w:eastAsia="Times New Roman" w:cs="Calibri"/>
                <w:color w:val="000000"/>
                <w:sz w:val="16"/>
                <w:szCs w:val="16"/>
              </w:rPr>
            </w:pPr>
            <w:r w:rsidRPr="00A15DC2">
              <w:rPr>
                <w:rFonts w:ascii="Arial Narrow" w:hAnsi="Arial Narrow" w:eastAsia="Times New Roman" w:cs="Calibri"/>
                <w:color w:val="000000"/>
                <w:sz w:val="16"/>
                <w:szCs w:val="16"/>
              </w:rPr>
              <w:t>Total Annual Responses</w:t>
            </w:r>
          </w:p>
        </w:tc>
        <w:tc>
          <w:tcPr>
            <w:tcW w:w="900" w:type="dxa"/>
            <w:tcBorders>
              <w:top w:val="single" w:color="auto" w:sz="4" w:space="0"/>
              <w:left w:val="nil"/>
              <w:bottom w:val="single" w:color="auto" w:sz="4" w:space="0"/>
              <w:right w:val="single" w:color="auto" w:sz="4" w:space="0"/>
            </w:tcBorders>
            <w:shd w:val="clear" w:color="000000" w:fill="DDEBF7"/>
            <w:vAlign w:val="center"/>
            <w:hideMark/>
          </w:tcPr>
          <w:p w:rsidRPr="00A15DC2" w:rsidR="00A9094A" w:rsidP="00A55A8C" w:rsidRDefault="00A9094A" w14:paraId="1FF98284" w14:textId="77777777">
            <w:pPr>
              <w:spacing w:after="0" w:line="240" w:lineRule="auto"/>
              <w:jc w:val="center"/>
              <w:rPr>
                <w:rFonts w:ascii="Arial Narrow" w:hAnsi="Arial Narrow" w:eastAsia="Times New Roman" w:cs="Calibri"/>
                <w:color w:val="000000"/>
                <w:sz w:val="16"/>
                <w:szCs w:val="16"/>
              </w:rPr>
            </w:pPr>
            <w:r w:rsidRPr="00A15DC2">
              <w:rPr>
                <w:rFonts w:ascii="Arial Narrow" w:hAnsi="Arial Narrow" w:eastAsia="Times New Roman" w:cs="Calibri"/>
                <w:color w:val="000000"/>
                <w:sz w:val="16"/>
                <w:szCs w:val="16"/>
              </w:rPr>
              <w:t>Time per Response (Hours)</w:t>
            </w:r>
          </w:p>
        </w:tc>
        <w:tc>
          <w:tcPr>
            <w:tcW w:w="900" w:type="dxa"/>
            <w:tcBorders>
              <w:top w:val="single" w:color="auto" w:sz="4" w:space="0"/>
              <w:left w:val="nil"/>
              <w:bottom w:val="single" w:color="auto" w:sz="4" w:space="0"/>
              <w:right w:val="nil"/>
            </w:tcBorders>
            <w:shd w:val="clear" w:color="000000" w:fill="DDEBF7"/>
            <w:vAlign w:val="center"/>
            <w:hideMark/>
          </w:tcPr>
          <w:p w:rsidRPr="00A15DC2" w:rsidR="00A9094A" w:rsidP="00A55A8C" w:rsidRDefault="00A9094A" w14:paraId="4210B85A" w14:textId="77777777">
            <w:pPr>
              <w:spacing w:after="0" w:line="240" w:lineRule="auto"/>
              <w:jc w:val="center"/>
              <w:rPr>
                <w:rFonts w:ascii="Arial Narrow" w:hAnsi="Arial Narrow" w:eastAsia="Times New Roman" w:cs="Calibri"/>
                <w:color w:val="000000"/>
                <w:sz w:val="16"/>
                <w:szCs w:val="16"/>
              </w:rPr>
            </w:pPr>
            <w:r w:rsidRPr="00A15DC2">
              <w:rPr>
                <w:rFonts w:ascii="Arial Narrow" w:hAnsi="Arial Narrow" w:eastAsia="Times New Roman" w:cs="Calibri"/>
                <w:color w:val="000000"/>
                <w:sz w:val="16"/>
                <w:szCs w:val="16"/>
              </w:rPr>
              <w:t>Total Annual Burden</w:t>
            </w:r>
          </w:p>
        </w:tc>
        <w:tc>
          <w:tcPr>
            <w:tcW w:w="900" w:type="dxa"/>
            <w:tcBorders>
              <w:top w:val="single" w:color="auto" w:sz="4" w:space="0"/>
              <w:left w:val="single" w:color="auto" w:sz="8" w:space="0"/>
              <w:bottom w:val="single" w:color="auto" w:sz="4" w:space="0"/>
              <w:right w:val="single" w:color="auto" w:sz="4" w:space="0"/>
            </w:tcBorders>
            <w:shd w:val="clear" w:color="000000" w:fill="DDEBF7"/>
            <w:vAlign w:val="center"/>
            <w:hideMark/>
          </w:tcPr>
          <w:p w:rsidRPr="00A15DC2" w:rsidR="00A9094A" w:rsidP="00A55A8C" w:rsidRDefault="00A9094A" w14:paraId="167D2998" w14:textId="77777777">
            <w:pPr>
              <w:spacing w:after="0" w:line="240" w:lineRule="auto"/>
              <w:jc w:val="center"/>
              <w:rPr>
                <w:rFonts w:ascii="Arial Narrow" w:hAnsi="Arial Narrow" w:eastAsia="Times New Roman" w:cs="Calibri"/>
                <w:color w:val="000000"/>
                <w:sz w:val="16"/>
                <w:szCs w:val="16"/>
              </w:rPr>
            </w:pPr>
            <w:r w:rsidRPr="00A15DC2">
              <w:rPr>
                <w:rFonts w:ascii="Arial Narrow" w:hAnsi="Arial Narrow" w:eastAsia="Times New Roman" w:cs="Calibri"/>
                <w:color w:val="000000"/>
                <w:sz w:val="16"/>
                <w:szCs w:val="16"/>
              </w:rPr>
              <w:t>Currently Approved</w:t>
            </w:r>
          </w:p>
        </w:tc>
        <w:tc>
          <w:tcPr>
            <w:tcW w:w="990" w:type="dxa"/>
            <w:tcBorders>
              <w:top w:val="single" w:color="auto" w:sz="4" w:space="0"/>
              <w:left w:val="nil"/>
              <w:bottom w:val="single" w:color="auto" w:sz="4" w:space="0"/>
              <w:right w:val="single" w:color="auto" w:sz="4" w:space="0"/>
            </w:tcBorders>
            <w:shd w:val="clear" w:color="000000" w:fill="DDEBF7"/>
            <w:vAlign w:val="center"/>
            <w:hideMark/>
          </w:tcPr>
          <w:p w:rsidRPr="00A15DC2" w:rsidR="00A9094A" w:rsidP="00A55A8C" w:rsidRDefault="00A9094A" w14:paraId="5AB157FA" w14:textId="77777777">
            <w:pPr>
              <w:spacing w:after="0" w:line="240" w:lineRule="auto"/>
              <w:jc w:val="center"/>
              <w:rPr>
                <w:rFonts w:ascii="Arial Narrow" w:hAnsi="Arial Narrow" w:eastAsia="Times New Roman" w:cs="Calibri"/>
                <w:color w:val="000000"/>
                <w:sz w:val="16"/>
                <w:szCs w:val="16"/>
              </w:rPr>
            </w:pPr>
            <w:r w:rsidRPr="00A15DC2">
              <w:rPr>
                <w:rFonts w:ascii="Arial Narrow" w:hAnsi="Arial Narrow" w:eastAsia="Times New Roman" w:cs="Calibri"/>
                <w:color w:val="000000"/>
                <w:sz w:val="16"/>
                <w:szCs w:val="16"/>
              </w:rPr>
              <w:t>Difference</w:t>
            </w:r>
          </w:p>
        </w:tc>
      </w:tr>
      <w:tr w:rsidRPr="00A15DC2" w:rsidR="00A9094A" w:rsidTr="00A9094A" w14:paraId="1BE69ADB" w14:textId="77777777">
        <w:trPr>
          <w:trHeight w:val="602"/>
        </w:trPr>
        <w:tc>
          <w:tcPr>
            <w:tcW w:w="990" w:type="dxa"/>
            <w:tcBorders>
              <w:top w:val="nil"/>
              <w:left w:val="single" w:color="auto" w:sz="4" w:space="0"/>
              <w:bottom w:val="single" w:color="auto" w:sz="4" w:space="0"/>
              <w:right w:val="single" w:color="auto" w:sz="4" w:space="0"/>
            </w:tcBorders>
            <w:shd w:val="clear" w:color="auto" w:fill="auto"/>
            <w:vAlign w:val="center"/>
            <w:hideMark/>
          </w:tcPr>
          <w:p w:rsidR="00A9094A" w:rsidP="00A55A8C" w:rsidRDefault="00A9094A" w14:paraId="00387EE6"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701.22</w:t>
            </w:r>
          </w:p>
          <w:p w:rsidRPr="00A15DC2" w:rsidR="00A9094A" w:rsidP="00A55A8C" w:rsidRDefault="00A9094A" w14:paraId="1268E532"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(b)(2)</w:t>
            </w:r>
          </w:p>
        </w:tc>
        <w:tc>
          <w:tcPr>
            <w:tcW w:w="2430"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5D2D6603"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 xml:space="preserve">Maintain Loan Participation Policies </w:t>
            </w:r>
          </w:p>
        </w:tc>
        <w:tc>
          <w:tcPr>
            <w:tcW w:w="960"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31AF67CD"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Record keeping</w:t>
            </w:r>
          </w:p>
        </w:tc>
        <w:tc>
          <w:tcPr>
            <w:tcW w:w="840"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312DDFF1"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1,898</w:t>
            </w:r>
          </w:p>
        </w:tc>
        <w:tc>
          <w:tcPr>
            <w:tcW w:w="924"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47F4EA6E"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1</w:t>
            </w:r>
          </w:p>
        </w:tc>
        <w:tc>
          <w:tcPr>
            <w:tcW w:w="876"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19D25B8D"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1,898</w:t>
            </w:r>
          </w:p>
        </w:tc>
        <w:tc>
          <w:tcPr>
            <w:tcW w:w="900"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360EDEAE"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1.5</w:t>
            </w:r>
          </w:p>
        </w:tc>
        <w:tc>
          <w:tcPr>
            <w:tcW w:w="900" w:type="dxa"/>
            <w:tcBorders>
              <w:top w:val="nil"/>
              <w:left w:val="nil"/>
              <w:bottom w:val="single" w:color="auto" w:sz="4" w:space="0"/>
              <w:right w:val="nil"/>
            </w:tcBorders>
            <w:shd w:val="clear" w:color="auto" w:fill="auto"/>
            <w:vAlign w:val="center"/>
            <w:hideMark/>
          </w:tcPr>
          <w:p w:rsidRPr="00A15DC2" w:rsidR="00A9094A" w:rsidP="00A55A8C" w:rsidRDefault="00A9094A" w14:paraId="7381845C"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2,847</w:t>
            </w:r>
          </w:p>
        </w:tc>
        <w:tc>
          <w:tcPr>
            <w:tcW w:w="900" w:type="dxa"/>
            <w:tcBorders>
              <w:top w:val="nil"/>
              <w:left w:val="single" w:color="auto" w:sz="8" w:space="0"/>
              <w:bottom w:val="single" w:color="auto" w:sz="4" w:space="0"/>
              <w:right w:val="single" w:color="auto" w:sz="4" w:space="0"/>
            </w:tcBorders>
            <w:shd w:val="clear" w:color="000000" w:fill="E2EFDA"/>
            <w:noWrap/>
            <w:vAlign w:val="center"/>
            <w:hideMark/>
          </w:tcPr>
          <w:p w:rsidRPr="00A15DC2" w:rsidR="00A9094A" w:rsidP="00A55A8C" w:rsidRDefault="00A9094A" w14:paraId="4ABFC4BE"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2,847</w:t>
            </w:r>
          </w:p>
        </w:tc>
        <w:tc>
          <w:tcPr>
            <w:tcW w:w="990" w:type="dxa"/>
            <w:tcBorders>
              <w:top w:val="single" w:color="auto" w:sz="4" w:space="0"/>
              <w:left w:val="nil"/>
              <w:bottom w:val="single" w:color="auto" w:sz="4" w:space="0"/>
              <w:right w:val="single" w:color="auto" w:sz="4" w:space="0"/>
            </w:tcBorders>
            <w:shd w:val="clear" w:color="000000" w:fill="FCE4D6"/>
            <w:noWrap/>
            <w:vAlign w:val="center"/>
            <w:hideMark/>
          </w:tcPr>
          <w:p w:rsidRPr="00A15DC2" w:rsidR="00A9094A" w:rsidP="00A55A8C" w:rsidRDefault="00A9094A" w14:paraId="39EB88A9"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0</w:t>
            </w:r>
          </w:p>
        </w:tc>
      </w:tr>
      <w:tr w:rsidRPr="00A15DC2" w:rsidR="00A9094A" w:rsidTr="00A9094A" w14:paraId="6BDF5747" w14:textId="77777777">
        <w:trPr>
          <w:trHeight w:val="620"/>
        </w:trPr>
        <w:tc>
          <w:tcPr>
            <w:tcW w:w="990" w:type="dxa"/>
            <w:tcBorders>
              <w:top w:val="nil"/>
              <w:left w:val="single" w:color="auto" w:sz="4" w:space="0"/>
              <w:bottom w:val="single" w:color="auto" w:sz="4" w:space="0"/>
              <w:right w:val="single" w:color="auto" w:sz="4" w:space="0"/>
            </w:tcBorders>
            <w:shd w:val="clear" w:color="auto" w:fill="auto"/>
            <w:vAlign w:val="center"/>
            <w:hideMark/>
          </w:tcPr>
          <w:p w:rsidR="00A9094A" w:rsidP="00A55A8C" w:rsidRDefault="00A9094A" w14:paraId="78CF86C4"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701.22</w:t>
            </w:r>
          </w:p>
          <w:p w:rsidRPr="00A15DC2" w:rsidR="00A9094A" w:rsidP="00A55A8C" w:rsidRDefault="00A9094A" w14:paraId="4C720AC8"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(b)(5)</w:t>
            </w:r>
          </w:p>
        </w:tc>
        <w:tc>
          <w:tcPr>
            <w:tcW w:w="2430"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4E1484FB"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 xml:space="preserve">Executed written loan participation agreement </w:t>
            </w:r>
          </w:p>
        </w:tc>
        <w:tc>
          <w:tcPr>
            <w:tcW w:w="960"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043E615C"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Record keeping</w:t>
            </w:r>
          </w:p>
        </w:tc>
        <w:tc>
          <w:tcPr>
            <w:tcW w:w="840"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6829C788"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1,898</w:t>
            </w:r>
          </w:p>
        </w:tc>
        <w:tc>
          <w:tcPr>
            <w:tcW w:w="924"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25D8A6B1"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1</w:t>
            </w:r>
          </w:p>
        </w:tc>
        <w:tc>
          <w:tcPr>
            <w:tcW w:w="876"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037F9891"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1,898</w:t>
            </w:r>
          </w:p>
        </w:tc>
        <w:tc>
          <w:tcPr>
            <w:tcW w:w="900"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510C91FF"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0.083</w:t>
            </w:r>
          </w:p>
        </w:tc>
        <w:tc>
          <w:tcPr>
            <w:tcW w:w="900" w:type="dxa"/>
            <w:tcBorders>
              <w:top w:val="nil"/>
              <w:left w:val="nil"/>
              <w:bottom w:val="single" w:color="auto" w:sz="4" w:space="0"/>
              <w:right w:val="nil"/>
            </w:tcBorders>
            <w:shd w:val="clear" w:color="auto" w:fill="auto"/>
            <w:vAlign w:val="center"/>
            <w:hideMark/>
          </w:tcPr>
          <w:p w:rsidRPr="00A15DC2" w:rsidR="00A9094A" w:rsidP="00A55A8C" w:rsidRDefault="00A9094A" w14:paraId="6A49BAA0"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158</w:t>
            </w:r>
          </w:p>
        </w:tc>
        <w:tc>
          <w:tcPr>
            <w:tcW w:w="900" w:type="dxa"/>
            <w:tcBorders>
              <w:top w:val="nil"/>
              <w:left w:val="single" w:color="auto" w:sz="8" w:space="0"/>
              <w:bottom w:val="single" w:color="auto" w:sz="4" w:space="0"/>
              <w:right w:val="single" w:color="auto" w:sz="4" w:space="0"/>
            </w:tcBorders>
            <w:shd w:val="clear" w:color="000000" w:fill="E2EFDA"/>
            <w:vAlign w:val="center"/>
            <w:hideMark/>
          </w:tcPr>
          <w:p w:rsidRPr="00A15DC2" w:rsidR="00A9094A" w:rsidP="00A55A8C" w:rsidRDefault="00A9094A" w14:paraId="298987E9"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158</w:t>
            </w:r>
          </w:p>
        </w:tc>
        <w:tc>
          <w:tcPr>
            <w:tcW w:w="990" w:type="dxa"/>
            <w:tcBorders>
              <w:top w:val="single" w:color="auto" w:sz="4" w:space="0"/>
              <w:left w:val="nil"/>
              <w:bottom w:val="single" w:color="auto" w:sz="4" w:space="0"/>
              <w:right w:val="single" w:color="auto" w:sz="4" w:space="0"/>
            </w:tcBorders>
            <w:shd w:val="clear" w:color="000000" w:fill="FCE4D6"/>
            <w:noWrap/>
            <w:vAlign w:val="center"/>
            <w:hideMark/>
          </w:tcPr>
          <w:p w:rsidRPr="00A15DC2" w:rsidR="00A9094A" w:rsidP="00A55A8C" w:rsidRDefault="00A9094A" w14:paraId="1C2FABD2"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0</w:t>
            </w:r>
          </w:p>
        </w:tc>
      </w:tr>
      <w:tr w:rsidRPr="00A15DC2" w:rsidR="00A9094A" w:rsidTr="00A9094A" w14:paraId="6EA8406E" w14:textId="77777777">
        <w:trPr>
          <w:trHeight w:val="530"/>
        </w:trPr>
        <w:tc>
          <w:tcPr>
            <w:tcW w:w="990" w:type="dxa"/>
            <w:vMerge w:val="restart"/>
            <w:tcBorders>
              <w:top w:val="nil"/>
              <w:left w:val="single" w:color="auto" w:sz="4" w:space="0"/>
              <w:right w:val="single" w:color="auto" w:sz="4" w:space="0"/>
            </w:tcBorders>
            <w:shd w:val="clear" w:color="auto" w:fill="auto"/>
            <w:vAlign w:val="center"/>
            <w:hideMark/>
          </w:tcPr>
          <w:p w:rsidRPr="00A15DC2" w:rsidR="00A9094A" w:rsidP="00A55A8C" w:rsidRDefault="00A9094A" w14:paraId="72241D46"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701.22(c)</w:t>
            </w:r>
          </w:p>
        </w:tc>
        <w:tc>
          <w:tcPr>
            <w:tcW w:w="2430" w:type="dxa"/>
            <w:tcBorders>
              <w:top w:val="nil"/>
              <w:left w:val="nil"/>
              <w:bottom w:val="single" w:color="auto" w:sz="4" w:space="0"/>
              <w:right w:val="single" w:color="auto" w:sz="4" w:space="0"/>
            </w:tcBorders>
            <w:shd w:val="clear" w:color="auto" w:fill="auto"/>
            <w:vAlign w:val="center"/>
            <w:hideMark/>
          </w:tcPr>
          <w:p w:rsidRPr="00A15DC2" w:rsidR="00A9094A" w:rsidP="00A55A8C" w:rsidRDefault="00A9094A" w14:paraId="6E840894"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 xml:space="preserve">Waiver on limitations in 701.22(b) – </w:t>
            </w:r>
            <w:r>
              <w:rPr>
                <w:rFonts w:ascii="Times New Roman" w:hAnsi="Times New Roman" w:eastAsia="Times New Roman"/>
                <w:color w:val="000000"/>
                <w:sz w:val="18"/>
                <w:szCs w:val="18"/>
              </w:rPr>
              <w:t>includes</w:t>
            </w:r>
            <w:r w:rsidRPr="00A15DC2">
              <w:rPr>
                <w:rFonts w:ascii="Times New Roman" w:hAnsi="Times New Roman" w:eastAsia="Times New Roman"/>
                <w:color w:val="000000"/>
                <w:sz w:val="18"/>
                <w:szCs w:val="18"/>
              </w:rPr>
              <w:t xml:space="preserve"> approval from SSA and Board</w:t>
            </w:r>
          </w:p>
        </w:tc>
        <w:tc>
          <w:tcPr>
            <w:tcW w:w="960" w:type="dxa"/>
            <w:tcBorders>
              <w:top w:val="nil"/>
              <w:left w:val="nil"/>
              <w:bottom w:val="single" w:color="auto" w:sz="2" w:space="0"/>
              <w:right w:val="single" w:color="auto" w:sz="4" w:space="0"/>
            </w:tcBorders>
            <w:shd w:val="clear" w:color="auto" w:fill="auto"/>
            <w:vAlign w:val="center"/>
            <w:hideMark/>
          </w:tcPr>
          <w:p w:rsidRPr="00A15DC2" w:rsidR="00A9094A" w:rsidP="00A55A8C" w:rsidRDefault="00A9094A" w14:paraId="5A4A033C" w14:textId="77777777">
            <w:pPr>
              <w:spacing w:after="0" w:line="240" w:lineRule="auto"/>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Reporting</w:t>
            </w:r>
          </w:p>
        </w:tc>
        <w:tc>
          <w:tcPr>
            <w:tcW w:w="840" w:type="dxa"/>
            <w:tcBorders>
              <w:top w:val="nil"/>
              <w:left w:val="nil"/>
              <w:bottom w:val="single" w:color="auto" w:sz="2" w:space="0"/>
              <w:right w:val="single" w:color="auto" w:sz="4" w:space="0"/>
            </w:tcBorders>
            <w:shd w:val="clear" w:color="auto" w:fill="auto"/>
            <w:vAlign w:val="center"/>
            <w:hideMark/>
          </w:tcPr>
          <w:p w:rsidRPr="00A15DC2" w:rsidR="00A9094A" w:rsidP="00A55A8C" w:rsidRDefault="00A9094A" w14:paraId="646AFD2C"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5</w:t>
            </w:r>
          </w:p>
        </w:tc>
        <w:tc>
          <w:tcPr>
            <w:tcW w:w="924" w:type="dxa"/>
            <w:tcBorders>
              <w:top w:val="nil"/>
              <w:left w:val="nil"/>
              <w:bottom w:val="single" w:color="auto" w:sz="2" w:space="0"/>
              <w:right w:val="single" w:color="auto" w:sz="4" w:space="0"/>
            </w:tcBorders>
            <w:shd w:val="clear" w:color="auto" w:fill="auto"/>
            <w:vAlign w:val="center"/>
            <w:hideMark/>
          </w:tcPr>
          <w:p w:rsidRPr="00A15DC2" w:rsidR="00A9094A" w:rsidP="00A55A8C" w:rsidRDefault="00A9094A" w14:paraId="777F5BCB"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1</w:t>
            </w:r>
          </w:p>
        </w:tc>
        <w:tc>
          <w:tcPr>
            <w:tcW w:w="876" w:type="dxa"/>
            <w:tcBorders>
              <w:top w:val="nil"/>
              <w:left w:val="nil"/>
              <w:bottom w:val="single" w:color="auto" w:sz="2" w:space="0"/>
              <w:right w:val="single" w:color="auto" w:sz="4" w:space="0"/>
            </w:tcBorders>
            <w:shd w:val="clear" w:color="auto" w:fill="auto"/>
            <w:vAlign w:val="center"/>
            <w:hideMark/>
          </w:tcPr>
          <w:p w:rsidRPr="00A15DC2" w:rsidR="00A9094A" w:rsidP="00A55A8C" w:rsidRDefault="00A9094A" w14:paraId="6BF180A4"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5</w:t>
            </w:r>
          </w:p>
        </w:tc>
        <w:tc>
          <w:tcPr>
            <w:tcW w:w="900" w:type="dxa"/>
            <w:tcBorders>
              <w:top w:val="nil"/>
              <w:left w:val="nil"/>
              <w:bottom w:val="single" w:color="auto" w:sz="2" w:space="0"/>
              <w:right w:val="single" w:color="auto" w:sz="4" w:space="0"/>
            </w:tcBorders>
            <w:shd w:val="clear" w:color="auto" w:fill="auto"/>
            <w:vAlign w:val="center"/>
            <w:hideMark/>
          </w:tcPr>
          <w:p w:rsidRPr="00A15DC2" w:rsidR="00A9094A" w:rsidP="00A55A8C" w:rsidRDefault="00A9094A" w14:paraId="2AE10432"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4</w:t>
            </w:r>
          </w:p>
        </w:tc>
        <w:tc>
          <w:tcPr>
            <w:tcW w:w="900" w:type="dxa"/>
            <w:tcBorders>
              <w:top w:val="nil"/>
              <w:left w:val="nil"/>
              <w:bottom w:val="single" w:color="auto" w:sz="2" w:space="0"/>
              <w:right w:val="nil"/>
            </w:tcBorders>
            <w:shd w:val="clear" w:color="auto" w:fill="auto"/>
            <w:vAlign w:val="center"/>
            <w:hideMark/>
          </w:tcPr>
          <w:p w:rsidRPr="00A15DC2" w:rsidR="00A9094A" w:rsidP="00A55A8C" w:rsidRDefault="00A9094A" w14:paraId="156ACC4E"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20</w:t>
            </w:r>
          </w:p>
        </w:tc>
        <w:tc>
          <w:tcPr>
            <w:tcW w:w="900" w:type="dxa"/>
            <w:vMerge w:val="restart"/>
            <w:tcBorders>
              <w:top w:val="nil"/>
              <w:left w:val="single" w:color="auto" w:sz="8" w:space="0"/>
              <w:right w:val="single" w:color="auto" w:sz="4" w:space="0"/>
            </w:tcBorders>
            <w:shd w:val="clear" w:color="000000" w:fill="E2EFDA"/>
            <w:vAlign w:val="center"/>
            <w:hideMark/>
          </w:tcPr>
          <w:p w:rsidRPr="00A15DC2" w:rsidR="00A9094A" w:rsidP="00A55A8C" w:rsidRDefault="00A9094A" w14:paraId="3D2C9385"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40</w:t>
            </w:r>
          </w:p>
        </w:tc>
        <w:tc>
          <w:tcPr>
            <w:tcW w:w="990" w:type="dxa"/>
            <w:vMerge w:val="restart"/>
            <w:tcBorders>
              <w:top w:val="single" w:color="auto" w:sz="4" w:space="0"/>
              <w:left w:val="nil"/>
              <w:right w:val="single" w:color="auto" w:sz="4" w:space="0"/>
            </w:tcBorders>
            <w:shd w:val="clear" w:color="000000" w:fill="FCE4D6"/>
            <w:noWrap/>
            <w:vAlign w:val="center"/>
            <w:hideMark/>
          </w:tcPr>
          <w:p w:rsidRPr="00A15DC2" w:rsidR="00A9094A" w:rsidP="00A55A8C" w:rsidRDefault="00A9094A" w14:paraId="72241E38"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-20</w:t>
            </w:r>
          </w:p>
        </w:tc>
      </w:tr>
      <w:tr w:rsidRPr="00A15DC2" w:rsidR="00A9094A" w:rsidTr="00643FB9" w14:paraId="726ED072" w14:textId="77777777">
        <w:trPr>
          <w:trHeight w:val="340"/>
        </w:trPr>
        <w:tc>
          <w:tcPr>
            <w:tcW w:w="990" w:type="dxa"/>
            <w:vMerge/>
            <w:tcBorders>
              <w:left w:val="single" w:color="auto" w:sz="4" w:space="0"/>
              <w:bottom w:val="single" w:color="auto" w:sz="6" w:space="0"/>
              <w:right w:val="single" w:color="auto" w:sz="4" w:space="0"/>
            </w:tcBorders>
            <w:shd w:val="clear" w:color="auto" w:fill="auto"/>
            <w:vAlign w:val="center"/>
          </w:tcPr>
          <w:p w:rsidRPr="00A15DC2" w:rsidR="00A9094A" w:rsidP="00A55A8C" w:rsidRDefault="00A9094A" w14:paraId="47BC9FFD" w14:textId="77777777">
            <w:pPr>
              <w:spacing w:after="0" w:line="240" w:lineRule="auto"/>
              <w:rPr>
                <w:rFonts w:ascii="Times New Roman" w:hAnsi="Times New Roman" w:eastAsia="Times New Roman"/>
                <w:color w:val="000000"/>
                <w:sz w:val="18"/>
                <w:szCs w:val="18"/>
              </w:rPr>
            </w:pPr>
          </w:p>
        </w:tc>
        <w:tc>
          <w:tcPr>
            <w:tcW w:w="7830" w:type="dxa"/>
            <w:gridSpan w:val="7"/>
            <w:tcBorders>
              <w:top w:val="nil"/>
              <w:left w:val="nil"/>
              <w:bottom w:val="single" w:color="auto" w:sz="6" w:space="0"/>
              <w:right w:val="single" w:color="auto" w:sz="4" w:space="0"/>
            </w:tcBorders>
            <w:shd w:val="clear" w:color="auto" w:fill="auto"/>
            <w:vAlign w:val="center"/>
          </w:tcPr>
          <w:p w:rsidRPr="00A15DC2" w:rsidR="00A9094A" w:rsidP="00A55A8C" w:rsidRDefault="00A9094A" w14:paraId="2A5299A2" w14:textId="77777777">
            <w:pPr>
              <w:spacing w:after="0" w:line="240" w:lineRule="auto"/>
              <w:rPr>
                <w:rFonts w:ascii="Times New Roman" w:hAnsi="Times New Roman" w:eastAsia="Times New Roman"/>
                <w:color w:val="000000"/>
                <w:sz w:val="18"/>
                <w:szCs w:val="18"/>
              </w:rPr>
            </w:pPr>
            <w:r>
              <w:rPr>
                <w:rFonts w:ascii="Times New Roman" w:hAnsi="Times New Roman" w:eastAsia="Times New Roman"/>
                <w:color w:val="000000"/>
                <w:sz w:val="18"/>
                <w:szCs w:val="18"/>
              </w:rPr>
              <w:t xml:space="preserve">Appeals Process </w:t>
            </w:r>
            <w:r w:rsidRPr="00A15DC2">
              <w:rPr>
                <w:rFonts w:ascii="Times New Roman" w:hAnsi="Times New Roman" w:eastAsia="Times New Roman"/>
                <w:i/>
                <w:color w:val="000000"/>
                <w:sz w:val="18"/>
                <w:szCs w:val="18"/>
              </w:rPr>
              <w:t>(burden cleared under OMB No. 3133-0198)</w:t>
            </w:r>
          </w:p>
        </w:tc>
        <w:tc>
          <w:tcPr>
            <w:tcW w:w="900" w:type="dxa"/>
            <w:vMerge/>
            <w:tcBorders>
              <w:top w:val="single" w:color="auto" w:sz="2" w:space="0"/>
              <w:left w:val="single" w:color="auto" w:sz="8" w:space="0"/>
              <w:bottom w:val="single" w:color="auto" w:sz="6" w:space="0"/>
              <w:right w:val="single" w:color="auto" w:sz="4" w:space="0"/>
            </w:tcBorders>
            <w:shd w:val="clear" w:color="000000" w:fill="E2EFDA"/>
            <w:vAlign w:val="center"/>
          </w:tcPr>
          <w:p w:rsidRPr="00A15DC2" w:rsidR="00A9094A" w:rsidP="00A55A8C" w:rsidRDefault="00A9094A" w14:paraId="3DDCA4D5" w14:textId="77777777">
            <w:pPr>
              <w:spacing w:after="0" w:line="240" w:lineRule="auto"/>
              <w:jc w:val="right"/>
              <w:rPr>
                <w:rFonts w:ascii="Times New Roman" w:hAnsi="Times New Roman" w:eastAsia="Times New Roman"/>
                <w:color w:val="000000"/>
                <w:sz w:val="18"/>
                <w:szCs w:val="18"/>
              </w:rPr>
            </w:pPr>
          </w:p>
        </w:tc>
        <w:tc>
          <w:tcPr>
            <w:tcW w:w="990" w:type="dxa"/>
            <w:vMerge/>
            <w:tcBorders>
              <w:top w:val="single" w:color="auto" w:sz="2" w:space="0"/>
              <w:left w:val="nil"/>
              <w:bottom w:val="single" w:color="auto" w:sz="6" w:space="0"/>
              <w:right w:val="single" w:color="auto" w:sz="4" w:space="0"/>
            </w:tcBorders>
            <w:shd w:val="clear" w:color="000000" w:fill="FCE4D6"/>
            <w:noWrap/>
            <w:vAlign w:val="center"/>
          </w:tcPr>
          <w:p w:rsidRPr="00A15DC2" w:rsidR="00A9094A" w:rsidP="00A55A8C" w:rsidRDefault="00A9094A" w14:paraId="54AC5612" w14:textId="77777777">
            <w:pPr>
              <w:spacing w:after="0" w:line="240" w:lineRule="auto"/>
              <w:jc w:val="right"/>
              <w:rPr>
                <w:rFonts w:ascii="Times New Roman" w:hAnsi="Times New Roman" w:eastAsia="Times New Roman"/>
                <w:color w:val="000000"/>
                <w:sz w:val="18"/>
                <w:szCs w:val="18"/>
              </w:rPr>
            </w:pPr>
          </w:p>
        </w:tc>
      </w:tr>
      <w:tr w:rsidRPr="00A15DC2" w:rsidR="00A9094A" w:rsidTr="00643FB9" w14:paraId="3945FD8C" w14:textId="77777777">
        <w:trPr>
          <w:trHeight w:val="290"/>
        </w:trPr>
        <w:tc>
          <w:tcPr>
            <w:tcW w:w="4380" w:type="dxa"/>
            <w:gridSpan w:val="3"/>
            <w:tcBorders>
              <w:top w:val="single" w:color="auto" w:sz="6" w:space="0"/>
              <w:left w:val="single" w:color="auto" w:sz="2" w:space="0"/>
              <w:bottom w:val="single" w:color="auto" w:sz="2" w:space="0"/>
              <w:right w:val="single" w:color="auto" w:sz="2" w:space="0"/>
            </w:tcBorders>
            <w:shd w:val="clear" w:color="auto" w:fill="auto"/>
            <w:noWrap/>
            <w:vAlign w:val="center"/>
            <w:hideMark/>
          </w:tcPr>
          <w:p w:rsidRPr="00A15DC2" w:rsidR="00A9094A" w:rsidP="00A9094A" w:rsidRDefault="00A9094A" w14:paraId="058E37CB" w14:textId="2F8790B8">
            <w:pPr>
              <w:spacing w:after="0" w:line="240" w:lineRule="auto"/>
              <w:jc w:val="right"/>
              <w:rPr>
                <w:rFonts w:ascii="Times New Roman" w:hAnsi="Times New Roman" w:eastAsia="Times New Roman"/>
                <w:b/>
                <w:sz w:val="18"/>
                <w:szCs w:val="18"/>
              </w:rPr>
            </w:pPr>
            <w:r w:rsidRPr="00A9094A">
              <w:rPr>
                <w:rFonts w:ascii="Times New Roman" w:hAnsi="Times New Roman" w:eastAsia="Times New Roman"/>
                <w:b/>
                <w:sz w:val="18"/>
                <w:szCs w:val="18"/>
              </w:rPr>
              <w:t>Totals</w:t>
            </w:r>
          </w:p>
        </w:tc>
        <w:tc>
          <w:tcPr>
            <w:tcW w:w="840" w:type="dxa"/>
            <w:tcBorders>
              <w:top w:val="single" w:color="auto" w:sz="6" w:space="0"/>
              <w:left w:val="single" w:color="auto" w:sz="2" w:space="0"/>
              <w:bottom w:val="single" w:color="auto" w:sz="4" w:space="0"/>
              <w:right w:val="single" w:color="auto" w:sz="4" w:space="0"/>
            </w:tcBorders>
            <w:shd w:val="clear" w:color="auto" w:fill="auto"/>
            <w:noWrap/>
            <w:vAlign w:val="center"/>
            <w:hideMark/>
          </w:tcPr>
          <w:p w:rsidRPr="00A15DC2" w:rsidR="00A9094A" w:rsidP="00A55A8C" w:rsidRDefault="00A9094A" w14:paraId="3BFF1DAB" w14:textId="77777777">
            <w:pPr>
              <w:spacing w:after="0" w:line="240" w:lineRule="auto"/>
              <w:jc w:val="right"/>
              <w:rPr>
                <w:rFonts w:ascii="Times New Roman" w:hAnsi="Times New Roman" w:eastAsia="Times New Roman"/>
                <w:color w:val="000000"/>
                <w:sz w:val="18"/>
                <w:szCs w:val="18"/>
              </w:rPr>
            </w:pPr>
            <w:r>
              <w:rPr>
                <w:rFonts w:ascii="Times New Roman" w:hAnsi="Times New Roman" w:eastAsia="Times New Roman"/>
                <w:color w:val="000000"/>
                <w:sz w:val="18"/>
                <w:szCs w:val="18"/>
              </w:rPr>
              <w:t>1,898</w:t>
            </w:r>
          </w:p>
        </w:tc>
        <w:tc>
          <w:tcPr>
            <w:tcW w:w="924" w:type="dxa"/>
            <w:tcBorders>
              <w:top w:val="single" w:color="auto" w:sz="6" w:space="0"/>
              <w:left w:val="nil"/>
              <w:bottom w:val="single" w:color="auto" w:sz="4" w:space="0"/>
              <w:right w:val="single" w:color="auto" w:sz="4" w:space="0"/>
            </w:tcBorders>
            <w:shd w:val="clear" w:color="auto" w:fill="D9D9D9" w:themeFill="background1" w:themeFillShade="D9"/>
            <w:noWrap/>
            <w:vAlign w:val="center"/>
            <w:hideMark/>
          </w:tcPr>
          <w:p w:rsidRPr="00A15DC2" w:rsidR="00A9094A" w:rsidP="00A55A8C" w:rsidRDefault="00A9094A" w14:paraId="4522086E" w14:textId="77777777">
            <w:pPr>
              <w:spacing w:after="0" w:line="240" w:lineRule="auto"/>
              <w:rPr>
                <w:rFonts w:ascii="Times New Roman" w:hAnsi="Times New Roman" w:eastAsia="Times New Roman"/>
                <w:color w:val="000000"/>
                <w:sz w:val="18"/>
                <w:szCs w:val="18"/>
              </w:rPr>
            </w:pPr>
          </w:p>
        </w:tc>
        <w:tc>
          <w:tcPr>
            <w:tcW w:w="876" w:type="dxa"/>
            <w:tcBorders>
              <w:top w:val="single" w:color="auto" w:sz="6" w:space="0"/>
              <w:left w:val="nil"/>
              <w:bottom w:val="single" w:color="auto" w:sz="4" w:space="0"/>
              <w:right w:val="single" w:color="auto" w:sz="4" w:space="0"/>
            </w:tcBorders>
            <w:shd w:val="clear" w:color="auto" w:fill="auto"/>
            <w:noWrap/>
            <w:vAlign w:val="center"/>
            <w:hideMark/>
          </w:tcPr>
          <w:p w:rsidRPr="00A15DC2" w:rsidR="00A9094A" w:rsidP="00A55A8C" w:rsidRDefault="00A9094A" w14:paraId="45AA3F99" w14:textId="77777777">
            <w:pPr>
              <w:spacing w:after="0" w:line="240" w:lineRule="auto"/>
              <w:jc w:val="right"/>
              <w:rPr>
                <w:rFonts w:ascii="Times New Roman" w:hAnsi="Times New Roman" w:eastAsia="Times New Roman"/>
                <w:color w:val="000000"/>
                <w:sz w:val="18"/>
                <w:szCs w:val="18"/>
              </w:rPr>
            </w:pPr>
            <w:r>
              <w:rPr>
                <w:rFonts w:ascii="Times New Roman" w:hAnsi="Times New Roman" w:eastAsia="Times New Roman"/>
                <w:color w:val="000000"/>
                <w:sz w:val="18"/>
                <w:szCs w:val="18"/>
              </w:rPr>
              <w:t>3,806</w:t>
            </w:r>
          </w:p>
        </w:tc>
        <w:tc>
          <w:tcPr>
            <w:tcW w:w="900" w:type="dxa"/>
            <w:tcBorders>
              <w:top w:val="single" w:color="auto" w:sz="6" w:space="0"/>
              <w:left w:val="nil"/>
              <w:bottom w:val="single" w:color="auto" w:sz="4" w:space="0"/>
              <w:right w:val="single" w:color="auto" w:sz="4" w:space="0"/>
            </w:tcBorders>
            <w:shd w:val="clear" w:color="auto" w:fill="D9D9D9" w:themeFill="background1" w:themeFillShade="D9"/>
            <w:noWrap/>
            <w:vAlign w:val="center"/>
            <w:hideMark/>
          </w:tcPr>
          <w:p w:rsidRPr="00A15DC2" w:rsidR="00A9094A" w:rsidP="00A55A8C" w:rsidRDefault="00A9094A" w14:paraId="2F56B00B" w14:textId="77777777">
            <w:pPr>
              <w:spacing w:after="0" w:line="240" w:lineRule="auto"/>
              <w:rPr>
                <w:rFonts w:ascii="Times New Roman" w:hAnsi="Times New Roman" w:eastAsia="Times New Roman"/>
                <w:color w:val="000000"/>
                <w:sz w:val="18"/>
                <w:szCs w:val="18"/>
              </w:rPr>
            </w:pPr>
          </w:p>
        </w:tc>
        <w:tc>
          <w:tcPr>
            <w:tcW w:w="900" w:type="dxa"/>
            <w:tcBorders>
              <w:top w:val="single" w:color="auto" w:sz="6" w:space="0"/>
              <w:left w:val="nil"/>
              <w:bottom w:val="single" w:color="auto" w:sz="4" w:space="0"/>
              <w:right w:val="nil"/>
            </w:tcBorders>
            <w:shd w:val="clear" w:color="000000" w:fill="FFF2CC"/>
            <w:noWrap/>
            <w:vAlign w:val="center"/>
            <w:hideMark/>
          </w:tcPr>
          <w:p w:rsidRPr="00F46219" w:rsidR="00A9094A" w:rsidP="00A55A8C" w:rsidRDefault="00A9094A" w14:paraId="2BAC5935" w14:textId="77777777">
            <w:pPr>
              <w:spacing w:after="0" w:line="240" w:lineRule="auto"/>
              <w:jc w:val="right"/>
              <w:rPr>
                <w:rFonts w:ascii="Times New Roman" w:hAnsi="Times New Roman" w:eastAsia="Times New Roman"/>
                <w:b/>
                <w:color w:val="000000"/>
                <w:sz w:val="18"/>
                <w:szCs w:val="18"/>
              </w:rPr>
            </w:pPr>
            <w:r w:rsidRPr="00F46219">
              <w:rPr>
                <w:rFonts w:ascii="Times New Roman" w:hAnsi="Times New Roman" w:eastAsia="Times New Roman"/>
                <w:b/>
                <w:color w:val="000000"/>
                <w:sz w:val="18"/>
                <w:szCs w:val="18"/>
              </w:rPr>
              <w:t>3,025</w:t>
            </w:r>
          </w:p>
        </w:tc>
        <w:tc>
          <w:tcPr>
            <w:tcW w:w="900" w:type="dxa"/>
            <w:tcBorders>
              <w:top w:val="single" w:color="auto" w:sz="6" w:space="0"/>
              <w:left w:val="single" w:color="auto" w:sz="8" w:space="0"/>
              <w:bottom w:val="single" w:color="auto" w:sz="4" w:space="0"/>
              <w:right w:val="single" w:color="auto" w:sz="4" w:space="0"/>
            </w:tcBorders>
            <w:shd w:val="clear" w:color="000000" w:fill="E2EFDA"/>
            <w:noWrap/>
            <w:vAlign w:val="center"/>
            <w:hideMark/>
          </w:tcPr>
          <w:p w:rsidRPr="00A15DC2" w:rsidR="00A9094A" w:rsidP="00A55A8C" w:rsidRDefault="00A9094A" w14:paraId="0DE71D79"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3,045</w:t>
            </w:r>
          </w:p>
        </w:tc>
        <w:tc>
          <w:tcPr>
            <w:tcW w:w="990" w:type="dxa"/>
            <w:tcBorders>
              <w:top w:val="single" w:color="auto" w:sz="6" w:space="0"/>
              <w:left w:val="nil"/>
              <w:bottom w:val="single" w:color="auto" w:sz="4" w:space="0"/>
              <w:right w:val="single" w:color="auto" w:sz="8" w:space="0"/>
            </w:tcBorders>
            <w:shd w:val="clear" w:color="000000" w:fill="FCE4D6"/>
            <w:noWrap/>
            <w:vAlign w:val="center"/>
            <w:hideMark/>
          </w:tcPr>
          <w:p w:rsidRPr="00A15DC2" w:rsidR="00A9094A" w:rsidP="00A55A8C" w:rsidRDefault="00A9094A" w14:paraId="76626EEA" w14:textId="77777777">
            <w:pPr>
              <w:spacing w:after="0" w:line="240" w:lineRule="auto"/>
              <w:jc w:val="right"/>
              <w:rPr>
                <w:rFonts w:ascii="Times New Roman" w:hAnsi="Times New Roman" w:eastAsia="Times New Roman"/>
                <w:color w:val="000000"/>
                <w:sz w:val="18"/>
                <w:szCs w:val="18"/>
              </w:rPr>
            </w:pPr>
            <w:r w:rsidRPr="00A15DC2">
              <w:rPr>
                <w:rFonts w:ascii="Times New Roman" w:hAnsi="Times New Roman" w:eastAsia="Times New Roman"/>
                <w:color w:val="000000"/>
                <w:sz w:val="18"/>
                <w:szCs w:val="18"/>
              </w:rPr>
              <w:t>-20</w:t>
            </w:r>
          </w:p>
        </w:tc>
      </w:tr>
    </w:tbl>
    <w:p w:rsidRPr="00310D7D" w:rsidR="00310D7D" w:rsidP="003D5800" w:rsidRDefault="00310D7D" w14:paraId="743B56AF" w14:textId="6D01F542">
      <w:pPr>
        <w:rPr>
          <w:rFonts w:ascii="Times New Roman" w:hAnsi="Times New Roman"/>
          <w:sz w:val="24"/>
          <w:szCs w:val="24"/>
        </w:rPr>
      </w:pPr>
      <w:r w:rsidRPr="00310D7D">
        <w:rPr>
          <w:rFonts w:ascii="Times New Roman" w:hAnsi="Times New Roman"/>
          <w:sz w:val="24"/>
          <w:szCs w:val="24"/>
        </w:rPr>
        <w:t xml:space="preserve">Based on the labor rate of $35 per hour, the total cost to respondents is </w:t>
      </w:r>
      <w:r w:rsidR="00C04E07">
        <w:rPr>
          <w:rFonts w:ascii="Times New Roman" w:hAnsi="Times New Roman"/>
          <w:sz w:val="24"/>
          <w:szCs w:val="24"/>
        </w:rPr>
        <w:t>$</w:t>
      </w:r>
      <w:r w:rsidR="00602008">
        <w:rPr>
          <w:rFonts w:ascii="Times New Roman" w:hAnsi="Times New Roman"/>
          <w:sz w:val="24"/>
          <w:szCs w:val="24"/>
        </w:rPr>
        <w:t>105,875</w:t>
      </w:r>
      <w:r>
        <w:rPr>
          <w:rFonts w:ascii="Times New Roman" w:hAnsi="Times New Roman"/>
          <w:sz w:val="24"/>
          <w:szCs w:val="24"/>
        </w:rPr>
        <w:t>.</w:t>
      </w:r>
    </w:p>
    <w:p w:rsidRPr="00483668" w:rsidR="008E2D81" w:rsidP="008E2D81" w:rsidRDefault="008E2D81" w14:paraId="022F0A7F" w14:textId="77777777">
      <w:pPr>
        <w:spacing w:after="0" w:line="240" w:lineRule="auto"/>
        <w:rPr>
          <w:rFonts w:ascii="Times New Roman" w:hAnsi="Times New Roman"/>
          <w:b/>
        </w:rPr>
      </w:pPr>
      <w:r w:rsidRPr="00483668">
        <w:rPr>
          <w:rFonts w:ascii="Times New Roman" w:hAnsi="Times New Roman"/>
          <w:b/>
        </w:rPr>
        <w:t>13.</w:t>
      </w:r>
      <w:r w:rsidRPr="00483668">
        <w:rPr>
          <w:rFonts w:ascii="Times New Roman" w:hAnsi="Times New Roman"/>
          <w:b/>
        </w:rPr>
        <w:tab/>
        <w:t>Capital start-up or on-going operation and maintenance costs.</w:t>
      </w:r>
    </w:p>
    <w:p w:rsidRPr="00C04E07" w:rsidR="008E2D81" w:rsidP="00483668" w:rsidRDefault="008E2D81" w14:paraId="14423041" w14:textId="77777777">
      <w:pPr>
        <w:spacing w:after="0" w:line="240" w:lineRule="auto"/>
        <w:ind w:left="720"/>
        <w:rPr>
          <w:rFonts w:ascii="Times New Roman" w:hAnsi="Times New Roman"/>
          <w:sz w:val="24"/>
          <w:szCs w:val="24"/>
        </w:rPr>
      </w:pPr>
    </w:p>
    <w:p w:rsidRPr="00483668" w:rsidR="0041561E" w:rsidP="00483668" w:rsidRDefault="0041561E" w14:paraId="4A41E463" w14:textId="3FCA8C0D">
      <w:pPr>
        <w:spacing w:after="0" w:line="240" w:lineRule="auto"/>
        <w:ind w:left="720"/>
        <w:rPr>
          <w:rFonts w:ascii="Times New Roman" w:hAnsi="Times New Roman"/>
          <w:sz w:val="24"/>
          <w:szCs w:val="24"/>
        </w:rPr>
      </w:pPr>
      <w:r w:rsidRPr="00483668">
        <w:rPr>
          <w:rFonts w:ascii="Times New Roman" w:hAnsi="Times New Roman"/>
          <w:sz w:val="24"/>
          <w:szCs w:val="24"/>
        </w:rPr>
        <w:t xml:space="preserve">There are no </w:t>
      </w:r>
      <w:r w:rsidR="00310D7D">
        <w:rPr>
          <w:rFonts w:ascii="Times New Roman" w:hAnsi="Times New Roman"/>
          <w:sz w:val="24"/>
          <w:szCs w:val="24"/>
        </w:rPr>
        <w:t>capital start-up or on-going operation and maintenance cost</w:t>
      </w:r>
      <w:r w:rsidRPr="00483668">
        <w:rPr>
          <w:rFonts w:ascii="Times New Roman" w:hAnsi="Times New Roman"/>
          <w:sz w:val="24"/>
          <w:szCs w:val="24"/>
        </w:rPr>
        <w:t xml:space="preserve">.  </w:t>
      </w:r>
    </w:p>
    <w:p w:rsidRPr="00483668" w:rsidR="0041561E" w:rsidP="00483668" w:rsidRDefault="0041561E" w14:paraId="5CE37B56" w14:textId="77777777">
      <w:pPr>
        <w:pStyle w:val="ListParagraph"/>
        <w:spacing w:after="0" w:line="240" w:lineRule="auto"/>
        <w:rPr>
          <w:rFonts w:ascii="Times New Roman" w:hAnsi="Times New Roman"/>
          <w:sz w:val="24"/>
          <w:szCs w:val="24"/>
        </w:rPr>
      </w:pPr>
    </w:p>
    <w:p w:rsidRPr="00483668" w:rsidR="008E2D81" w:rsidP="008E2D81" w:rsidRDefault="008E2D81" w14:paraId="10F86FDC" w14:textId="181425A6">
      <w:pPr>
        <w:spacing w:after="0" w:line="240" w:lineRule="auto"/>
        <w:rPr>
          <w:rFonts w:ascii="Times New Roman" w:hAnsi="Times New Roman"/>
          <w:b/>
        </w:rPr>
      </w:pPr>
      <w:r w:rsidRPr="00483668">
        <w:rPr>
          <w:rFonts w:ascii="Times New Roman" w:hAnsi="Times New Roman"/>
          <w:b/>
        </w:rPr>
        <w:t>14.</w:t>
      </w:r>
      <w:r w:rsidRPr="00483668">
        <w:rPr>
          <w:rFonts w:ascii="Times New Roman" w:hAnsi="Times New Roman"/>
          <w:b/>
        </w:rPr>
        <w:tab/>
        <w:t xml:space="preserve">Annualized costs to </w:t>
      </w:r>
      <w:r w:rsidR="0010769F">
        <w:rPr>
          <w:rFonts w:ascii="Times New Roman" w:hAnsi="Times New Roman"/>
          <w:b/>
        </w:rPr>
        <w:t xml:space="preserve">the </w:t>
      </w:r>
      <w:r w:rsidRPr="00483668">
        <w:rPr>
          <w:rFonts w:ascii="Times New Roman" w:hAnsi="Times New Roman"/>
          <w:b/>
        </w:rPr>
        <w:t>Federal government.</w:t>
      </w:r>
    </w:p>
    <w:p w:rsidR="00483668" w:rsidP="008E2D81" w:rsidRDefault="00483668" w14:paraId="744803B7" w14:textId="77777777">
      <w:pPr>
        <w:suppressAutoHyphens/>
        <w:spacing w:after="0" w:line="240" w:lineRule="auto"/>
        <w:rPr>
          <w:rFonts w:ascii="Times New Roman" w:hAnsi="Times New Roman"/>
          <w:sz w:val="24"/>
          <w:szCs w:val="24"/>
        </w:rPr>
      </w:pPr>
    </w:p>
    <w:p w:rsidRPr="006F235E" w:rsidR="00806B3A" w:rsidP="00483668" w:rsidRDefault="00806B3A" w14:paraId="69708676" w14:textId="243A9A0B">
      <w:pPr>
        <w:suppressAutoHyphens/>
        <w:spacing w:after="0" w:line="240" w:lineRule="auto"/>
        <w:ind w:left="720"/>
        <w:rPr>
          <w:rFonts w:ascii="Times New Roman" w:hAnsi="Times New Roman"/>
          <w:sz w:val="24"/>
          <w:szCs w:val="24"/>
        </w:rPr>
      </w:pPr>
      <w:r w:rsidRPr="006F235E">
        <w:rPr>
          <w:rFonts w:ascii="Times New Roman" w:hAnsi="Times New Roman"/>
          <w:sz w:val="24"/>
          <w:szCs w:val="24"/>
        </w:rPr>
        <w:t xml:space="preserve">NCUA staff time to review the </w:t>
      </w:r>
      <w:r w:rsidRPr="006F235E" w:rsidR="00C64404">
        <w:rPr>
          <w:rFonts w:ascii="Times New Roman" w:hAnsi="Times New Roman"/>
          <w:sz w:val="24"/>
          <w:szCs w:val="24"/>
        </w:rPr>
        <w:t>waiver request</w:t>
      </w:r>
      <w:r w:rsidRPr="006F235E">
        <w:rPr>
          <w:rFonts w:ascii="Times New Roman" w:hAnsi="Times New Roman"/>
          <w:sz w:val="24"/>
          <w:szCs w:val="24"/>
        </w:rPr>
        <w:t xml:space="preserve">, </w:t>
      </w:r>
      <w:r w:rsidRPr="006F235E" w:rsidR="00D0046F">
        <w:rPr>
          <w:rFonts w:ascii="Times New Roman" w:hAnsi="Times New Roman"/>
          <w:sz w:val="24"/>
          <w:szCs w:val="24"/>
        </w:rPr>
        <w:t>analyze</w:t>
      </w:r>
      <w:r w:rsidRPr="006F235E">
        <w:rPr>
          <w:rFonts w:ascii="Times New Roman" w:hAnsi="Times New Roman"/>
          <w:sz w:val="24"/>
          <w:szCs w:val="24"/>
        </w:rPr>
        <w:t xml:space="preserve"> the information provided and document </w:t>
      </w:r>
      <w:r w:rsidRPr="006F235E" w:rsidR="00BB6F1A">
        <w:rPr>
          <w:rFonts w:ascii="Times New Roman" w:hAnsi="Times New Roman"/>
          <w:sz w:val="24"/>
          <w:szCs w:val="24"/>
        </w:rPr>
        <w:t>a</w:t>
      </w:r>
      <w:r w:rsidRPr="006F235E">
        <w:rPr>
          <w:rFonts w:ascii="Times New Roman" w:hAnsi="Times New Roman"/>
          <w:sz w:val="24"/>
          <w:szCs w:val="24"/>
        </w:rPr>
        <w:t xml:space="preserve"> decision is estimated at </w:t>
      </w:r>
      <w:r w:rsidRPr="006F235E" w:rsidR="00A50701">
        <w:rPr>
          <w:rFonts w:ascii="Times New Roman" w:hAnsi="Times New Roman"/>
          <w:sz w:val="24"/>
          <w:szCs w:val="24"/>
        </w:rPr>
        <w:t>8</w:t>
      </w:r>
      <w:r w:rsidRPr="006F235E">
        <w:rPr>
          <w:rFonts w:ascii="Times New Roman" w:hAnsi="Times New Roman"/>
          <w:sz w:val="24"/>
          <w:szCs w:val="24"/>
        </w:rPr>
        <w:t xml:space="preserve"> hours per </w:t>
      </w:r>
      <w:r w:rsidRPr="006F235E" w:rsidR="001A6389">
        <w:rPr>
          <w:rFonts w:ascii="Times New Roman" w:hAnsi="Times New Roman"/>
          <w:sz w:val="24"/>
          <w:szCs w:val="24"/>
        </w:rPr>
        <w:t>occurrence (4</w:t>
      </w:r>
      <w:r w:rsidRPr="006F235E" w:rsidR="005F0A22">
        <w:rPr>
          <w:rFonts w:ascii="Times New Roman" w:hAnsi="Times New Roman"/>
          <w:sz w:val="24"/>
          <w:szCs w:val="24"/>
        </w:rPr>
        <w:t xml:space="preserve"> </w:t>
      </w:r>
      <w:r w:rsidRPr="006F235E" w:rsidR="001A6389">
        <w:rPr>
          <w:rFonts w:ascii="Times New Roman" w:hAnsi="Times New Roman"/>
          <w:sz w:val="24"/>
          <w:szCs w:val="24"/>
        </w:rPr>
        <w:t>hours examiner staff and 4 hours office staff)</w:t>
      </w:r>
      <w:r w:rsidRPr="006F235E">
        <w:rPr>
          <w:rFonts w:ascii="Times New Roman" w:hAnsi="Times New Roman"/>
          <w:sz w:val="24"/>
          <w:szCs w:val="24"/>
        </w:rPr>
        <w:t>.</w:t>
      </w:r>
      <w:r w:rsidRPr="006F235E" w:rsidR="002F4A86">
        <w:rPr>
          <w:rFonts w:ascii="Times New Roman" w:hAnsi="Times New Roman"/>
          <w:sz w:val="24"/>
          <w:szCs w:val="24"/>
        </w:rPr>
        <w:t xml:space="preserve"> </w:t>
      </w:r>
      <w:r w:rsidR="00602008">
        <w:rPr>
          <w:rFonts w:ascii="Times New Roman" w:hAnsi="Times New Roman"/>
          <w:sz w:val="24"/>
          <w:szCs w:val="24"/>
        </w:rPr>
        <w:t xml:space="preserve"> </w:t>
      </w:r>
      <w:r w:rsidRPr="006F235E">
        <w:rPr>
          <w:rFonts w:ascii="Times New Roman" w:hAnsi="Times New Roman"/>
          <w:sz w:val="24"/>
          <w:szCs w:val="24"/>
        </w:rPr>
        <w:t>The break-down of time by full-time employee labor costs is as follows:</w:t>
      </w:r>
    </w:p>
    <w:p w:rsidR="00483668" w:rsidP="00483668" w:rsidRDefault="00483668" w14:paraId="1CE33A75"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line="240" w:lineRule="auto"/>
        <w:ind w:left="720"/>
        <w:rPr>
          <w:rFonts w:ascii="Times New Roman" w:hAnsi="Times New Roman"/>
          <w:sz w:val="24"/>
          <w:szCs w:val="24"/>
        </w:rPr>
      </w:pPr>
    </w:p>
    <w:p w:rsidR="003D5800" w:rsidRDefault="003D5800" w14:paraId="7E2A3FC5" w14:textId="77777777">
      <w:pPr>
        <w:spacing w:after="0"/>
        <w:rPr>
          <w:rFonts w:ascii="Times New Roman" w:hAnsi="Times New Roman"/>
          <w:sz w:val="24"/>
          <w:szCs w:val="24"/>
        </w:rPr>
      </w:pPr>
      <w:r>
        <w:rPr>
          <w:rFonts w:ascii="Times New Roman" w:hAnsi="Times New Roman"/>
          <w:sz w:val="24"/>
          <w:szCs w:val="24"/>
        </w:rPr>
        <w:br w:type="page"/>
      </w:r>
    </w:p>
    <w:p w:rsidR="00806B3A" w:rsidP="00EA4EEA" w:rsidRDefault="00806B3A" w14:paraId="544648F5" w14:textId="273B36D7">
      <w:pPr>
        <w:suppressAutoHyphens/>
        <w:spacing w:after="0" w:line="240" w:lineRule="auto"/>
        <w:ind w:left="720"/>
        <w:rPr>
          <w:rFonts w:ascii="Times New Roman" w:hAnsi="Times New Roman"/>
          <w:sz w:val="24"/>
          <w:szCs w:val="24"/>
        </w:rPr>
      </w:pPr>
      <w:r w:rsidRPr="00C04E07">
        <w:rPr>
          <w:rFonts w:ascii="Times New Roman" w:hAnsi="Times New Roman"/>
          <w:sz w:val="24"/>
          <w:szCs w:val="24"/>
        </w:rPr>
        <w:t>Based on labor costs of $</w:t>
      </w:r>
      <w:r w:rsidRPr="00C04E07" w:rsidR="00286A7F">
        <w:rPr>
          <w:rFonts w:ascii="Times New Roman" w:hAnsi="Times New Roman"/>
          <w:sz w:val="24"/>
          <w:szCs w:val="24"/>
        </w:rPr>
        <w:t>43</w:t>
      </w:r>
      <w:r w:rsidRPr="00C04E07">
        <w:rPr>
          <w:rFonts w:ascii="Times New Roman" w:hAnsi="Times New Roman"/>
          <w:sz w:val="24"/>
          <w:szCs w:val="24"/>
        </w:rPr>
        <w:t xml:space="preserve"> per hour for examiner field staff and $</w:t>
      </w:r>
      <w:r w:rsidRPr="00C04E07" w:rsidR="00286A7F">
        <w:rPr>
          <w:rFonts w:ascii="Times New Roman" w:hAnsi="Times New Roman"/>
          <w:sz w:val="24"/>
          <w:szCs w:val="24"/>
        </w:rPr>
        <w:t>49</w:t>
      </w:r>
      <w:r w:rsidRPr="00C04E07">
        <w:rPr>
          <w:rFonts w:ascii="Times New Roman" w:hAnsi="Times New Roman"/>
          <w:sz w:val="24"/>
          <w:szCs w:val="24"/>
        </w:rPr>
        <w:t xml:space="preserve"> per hour for</w:t>
      </w:r>
      <w:r w:rsidRPr="006F235E">
        <w:rPr>
          <w:rFonts w:ascii="Times New Roman" w:hAnsi="Times New Roman"/>
          <w:sz w:val="24"/>
          <w:szCs w:val="24"/>
        </w:rPr>
        <w:t xml:space="preserve"> regional office staff, the total annual labor costs to the government are as follows:</w:t>
      </w:r>
    </w:p>
    <w:p w:rsidRPr="006F235E" w:rsidR="003D5800" w:rsidP="00EA4EEA" w:rsidRDefault="003D5800" w14:paraId="25B3A502" w14:textId="77777777">
      <w:pPr>
        <w:suppressAutoHyphens/>
        <w:spacing w:after="0" w:line="240" w:lineRule="auto"/>
        <w:ind w:left="720"/>
        <w:rPr>
          <w:rFonts w:ascii="Times New Roman" w:hAnsi="Times New Roman"/>
          <w:sz w:val="24"/>
          <w:szCs w:val="24"/>
        </w:rPr>
      </w:pPr>
    </w:p>
    <w:tbl>
      <w:tblPr>
        <w:tblStyle w:val="TableGrid"/>
        <w:tblW w:w="9326" w:type="dxa"/>
        <w:tblLook w:val="04A0" w:firstRow="1" w:lastRow="0" w:firstColumn="1" w:lastColumn="0" w:noHBand="0" w:noVBand="1"/>
      </w:tblPr>
      <w:tblGrid>
        <w:gridCol w:w="5125"/>
        <w:gridCol w:w="1231"/>
        <w:gridCol w:w="1350"/>
        <w:gridCol w:w="1620"/>
      </w:tblGrid>
      <w:tr w:rsidRPr="006F235E" w:rsidR="00BB6F1A" w:rsidTr="00EA4EEA" w14:paraId="4C8CF7A5" w14:textId="77777777">
        <w:tc>
          <w:tcPr>
            <w:tcW w:w="5125" w:type="dxa"/>
            <w:shd w:val="clear" w:color="auto" w:fill="B6DDE8" w:themeFill="accent5" w:themeFillTint="66"/>
            <w:vAlign w:val="center"/>
          </w:tcPr>
          <w:p w:rsidRPr="00602008" w:rsidR="00BB6F1A" w:rsidP="00EA4EEA" w:rsidRDefault="00BB6F1A" w14:paraId="2769D086" w14:textId="77777777">
            <w:pPr>
              <w:suppressAutoHyphens/>
              <w:spacing w:after="0"/>
              <w:jc w:val="center"/>
              <w:rPr>
                <w:rFonts w:ascii="Arial Narrow" w:hAnsi="Arial Narrow"/>
                <w:sz w:val="18"/>
                <w:szCs w:val="18"/>
              </w:rPr>
            </w:pPr>
            <w:r w:rsidRPr="00602008">
              <w:rPr>
                <w:rFonts w:ascii="Arial Narrow" w:hAnsi="Arial Narrow"/>
                <w:sz w:val="18"/>
                <w:szCs w:val="18"/>
              </w:rPr>
              <w:t>NCUA Staff</w:t>
            </w:r>
          </w:p>
        </w:tc>
        <w:tc>
          <w:tcPr>
            <w:tcW w:w="1231" w:type="dxa"/>
            <w:shd w:val="clear" w:color="auto" w:fill="B6DDE8" w:themeFill="accent5" w:themeFillTint="66"/>
            <w:vAlign w:val="center"/>
          </w:tcPr>
          <w:p w:rsidRPr="00602008" w:rsidR="00BB6F1A" w:rsidP="00EA4EEA" w:rsidRDefault="00BB6F1A" w14:paraId="21715F47"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center"/>
              <w:rPr>
                <w:rFonts w:ascii="Arial Narrow" w:hAnsi="Arial Narrow"/>
                <w:sz w:val="18"/>
                <w:szCs w:val="18"/>
              </w:rPr>
            </w:pPr>
            <w:r w:rsidRPr="00602008">
              <w:rPr>
                <w:rFonts w:ascii="Arial Narrow" w:hAnsi="Arial Narrow"/>
                <w:sz w:val="18"/>
                <w:szCs w:val="18"/>
              </w:rPr>
              <w:t>Hours</w:t>
            </w:r>
          </w:p>
        </w:tc>
        <w:tc>
          <w:tcPr>
            <w:tcW w:w="1350" w:type="dxa"/>
            <w:shd w:val="clear" w:color="auto" w:fill="B6DDE8" w:themeFill="accent5" w:themeFillTint="66"/>
            <w:vAlign w:val="center"/>
          </w:tcPr>
          <w:p w:rsidRPr="00602008" w:rsidR="00BB6F1A" w:rsidP="00EA4EEA" w:rsidRDefault="00BB6F1A" w14:paraId="1560DBEC"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center"/>
              <w:rPr>
                <w:rFonts w:ascii="Arial Narrow" w:hAnsi="Arial Narrow"/>
                <w:sz w:val="18"/>
                <w:szCs w:val="18"/>
              </w:rPr>
            </w:pPr>
            <w:r w:rsidRPr="00602008">
              <w:rPr>
                <w:rFonts w:ascii="Arial Narrow" w:hAnsi="Arial Narrow"/>
                <w:sz w:val="18"/>
                <w:szCs w:val="18"/>
              </w:rPr>
              <w:t>Cost</w:t>
            </w:r>
          </w:p>
        </w:tc>
        <w:tc>
          <w:tcPr>
            <w:tcW w:w="1620" w:type="dxa"/>
            <w:shd w:val="clear" w:color="auto" w:fill="B6DDE8" w:themeFill="accent5" w:themeFillTint="66"/>
            <w:vAlign w:val="center"/>
          </w:tcPr>
          <w:p w:rsidRPr="00602008" w:rsidR="00BB6F1A" w:rsidP="00EA4EEA" w:rsidRDefault="00BB6F1A" w14:paraId="3FE197E5"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center"/>
              <w:rPr>
                <w:rFonts w:ascii="Arial Narrow" w:hAnsi="Arial Narrow"/>
                <w:sz w:val="18"/>
                <w:szCs w:val="18"/>
              </w:rPr>
            </w:pPr>
            <w:r w:rsidRPr="00602008">
              <w:rPr>
                <w:rFonts w:ascii="Arial Narrow" w:hAnsi="Arial Narrow"/>
                <w:sz w:val="18"/>
                <w:szCs w:val="18"/>
              </w:rPr>
              <w:t>Total Cost to Federal Government</w:t>
            </w:r>
          </w:p>
        </w:tc>
      </w:tr>
      <w:tr w:rsidRPr="006F235E" w:rsidR="00310D7D" w:rsidTr="00675B30" w14:paraId="012AC627" w14:textId="77777777">
        <w:tc>
          <w:tcPr>
            <w:tcW w:w="9326" w:type="dxa"/>
            <w:gridSpan w:val="4"/>
          </w:tcPr>
          <w:p w:rsidRPr="006F235E" w:rsidR="00310D7D" w:rsidP="00310D7D" w:rsidRDefault="00310D7D" w14:paraId="57054B68"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rPr>
                <w:rFonts w:ascii="Times New Roman" w:hAnsi="Times New Roman"/>
                <w:sz w:val="24"/>
                <w:szCs w:val="24"/>
              </w:rPr>
            </w:pPr>
            <w:r w:rsidRPr="006F235E">
              <w:rPr>
                <w:rFonts w:ascii="Times New Roman" w:hAnsi="Times New Roman"/>
                <w:sz w:val="24"/>
                <w:szCs w:val="24"/>
              </w:rPr>
              <w:t xml:space="preserve">Review of Loan Participation Waiver Request </w:t>
            </w:r>
          </w:p>
        </w:tc>
      </w:tr>
      <w:tr w:rsidRPr="006F235E" w:rsidR="00BB6F1A" w:rsidTr="00EA4EEA" w14:paraId="0EB1BC1A" w14:textId="77777777">
        <w:tc>
          <w:tcPr>
            <w:tcW w:w="5125" w:type="dxa"/>
          </w:tcPr>
          <w:p w:rsidRPr="006F235E" w:rsidR="00BB6F1A" w:rsidP="00310D7D" w:rsidRDefault="00BB6F1A" w14:paraId="610072D3" w14:textId="77777777">
            <w:pPr>
              <w:suppressAutoHyphens/>
              <w:spacing w:after="0"/>
              <w:ind w:left="520"/>
              <w:rPr>
                <w:rFonts w:ascii="Times New Roman" w:hAnsi="Times New Roman"/>
                <w:sz w:val="24"/>
                <w:szCs w:val="24"/>
              </w:rPr>
            </w:pPr>
            <w:r w:rsidRPr="006F235E">
              <w:rPr>
                <w:rFonts w:ascii="Times New Roman" w:hAnsi="Times New Roman"/>
                <w:sz w:val="24"/>
                <w:szCs w:val="24"/>
              </w:rPr>
              <w:t>Examiner/Field  Personnel</w:t>
            </w:r>
          </w:p>
        </w:tc>
        <w:tc>
          <w:tcPr>
            <w:tcW w:w="1231" w:type="dxa"/>
          </w:tcPr>
          <w:p w:rsidRPr="006F235E" w:rsidR="00BB6F1A" w:rsidP="00EA4EEA" w:rsidRDefault="00602008" w14:paraId="6941EC62" w14:textId="7BF53CB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sz w:val="24"/>
                <w:szCs w:val="24"/>
              </w:rPr>
            </w:pPr>
            <w:r>
              <w:rPr>
                <w:rFonts w:ascii="Times New Roman" w:hAnsi="Times New Roman"/>
                <w:sz w:val="24"/>
                <w:szCs w:val="24"/>
              </w:rPr>
              <w:t>20</w:t>
            </w:r>
          </w:p>
        </w:tc>
        <w:tc>
          <w:tcPr>
            <w:tcW w:w="1350" w:type="dxa"/>
          </w:tcPr>
          <w:p w:rsidRPr="006F235E" w:rsidR="00BB6F1A" w:rsidP="00EA4EEA" w:rsidRDefault="00BB6F1A" w14:paraId="211647D7"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sz w:val="24"/>
                <w:szCs w:val="24"/>
              </w:rPr>
            </w:pPr>
            <w:r w:rsidRPr="006F235E">
              <w:rPr>
                <w:rFonts w:ascii="Times New Roman" w:hAnsi="Times New Roman"/>
                <w:sz w:val="24"/>
                <w:szCs w:val="24"/>
              </w:rPr>
              <w:t>$43</w:t>
            </w:r>
          </w:p>
        </w:tc>
        <w:tc>
          <w:tcPr>
            <w:tcW w:w="1620" w:type="dxa"/>
          </w:tcPr>
          <w:p w:rsidRPr="006F235E" w:rsidR="00BB6F1A" w:rsidP="00602008" w:rsidRDefault="00BB6F1A" w14:paraId="6ECECD95" w14:textId="0A26386F">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sz w:val="24"/>
                <w:szCs w:val="24"/>
              </w:rPr>
            </w:pPr>
            <w:r w:rsidRPr="006F235E">
              <w:rPr>
                <w:rFonts w:ascii="Times New Roman" w:hAnsi="Times New Roman"/>
                <w:sz w:val="24"/>
                <w:szCs w:val="24"/>
              </w:rPr>
              <w:t>$</w:t>
            </w:r>
            <w:r w:rsidR="00602008">
              <w:rPr>
                <w:rFonts w:ascii="Times New Roman" w:hAnsi="Times New Roman"/>
                <w:sz w:val="24"/>
                <w:szCs w:val="24"/>
              </w:rPr>
              <w:t>860</w:t>
            </w:r>
          </w:p>
        </w:tc>
      </w:tr>
      <w:tr w:rsidRPr="006F235E" w:rsidR="00BB6F1A" w:rsidTr="00EA4EEA" w14:paraId="2A4B1375" w14:textId="77777777">
        <w:tc>
          <w:tcPr>
            <w:tcW w:w="5125" w:type="dxa"/>
          </w:tcPr>
          <w:p w:rsidRPr="006F235E" w:rsidR="00BB6F1A" w:rsidP="00310D7D" w:rsidRDefault="00BB6F1A" w14:paraId="5389E55F" w14:textId="77777777">
            <w:pPr>
              <w:suppressAutoHyphens/>
              <w:spacing w:after="0"/>
              <w:ind w:left="520"/>
              <w:rPr>
                <w:rFonts w:ascii="Times New Roman" w:hAnsi="Times New Roman"/>
                <w:sz w:val="24"/>
                <w:szCs w:val="24"/>
              </w:rPr>
            </w:pPr>
            <w:r w:rsidRPr="006F235E">
              <w:rPr>
                <w:rFonts w:ascii="Times New Roman" w:hAnsi="Times New Roman"/>
                <w:sz w:val="24"/>
                <w:szCs w:val="24"/>
              </w:rPr>
              <w:t>Office Personnel</w:t>
            </w:r>
          </w:p>
        </w:tc>
        <w:tc>
          <w:tcPr>
            <w:tcW w:w="1231" w:type="dxa"/>
          </w:tcPr>
          <w:p w:rsidRPr="006F235E" w:rsidR="00BB6F1A" w:rsidP="00EA4EEA" w:rsidRDefault="00602008" w14:paraId="6C3142A1" w14:textId="774F9D9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sz w:val="24"/>
                <w:szCs w:val="24"/>
              </w:rPr>
            </w:pPr>
            <w:r>
              <w:rPr>
                <w:rFonts w:ascii="Times New Roman" w:hAnsi="Times New Roman"/>
                <w:sz w:val="24"/>
                <w:szCs w:val="24"/>
              </w:rPr>
              <w:t>20</w:t>
            </w:r>
          </w:p>
        </w:tc>
        <w:tc>
          <w:tcPr>
            <w:tcW w:w="1350" w:type="dxa"/>
          </w:tcPr>
          <w:p w:rsidRPr="006F235E" w:rsidR="00BB6F1A" w:rsidP="00EA4EEA" w:rsidRDefault="00BB6F1A" w14:paraId="38D60184"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sz w:val="24"/>
                <w:szCs w:val="24"/>
              </w:rPr>
            </w:pPr>
            <w:r w:rsidRPr="006F235E">
              <w:rPr>
                <w:rFonts w:ascii="Times New Roman" w:hAnsi="Times New Roman"/>
                <w:sz w:val="24"/>
                <w:szCs w:val="24"/>
              </w:rPr>
              <w:t>$49</w:t>
            </w:r>
          </w:p>
        </w:tc>
        <w:tc>
          <w:tcPr>
            <w:tcW w:w="1620" w:type="dxa"/>
          </w:tcPr>
          <w:p w:rsidRPr="006F235E" w:rsidR="00BB6F1A" w:rsidP="00602008" w:rsidRDefault="00BB6F1A" w14:paraId="0504F581" w14:textId="445E7F14">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sz w:val="24"/>
                <w:szCs w:val="24"/>
              </w:rPr>
            </w:pPr>
            <w:r w:rsidRPr="006F235E">
              <w:rPr>
                <w:rFonts w:ascii="Times New Roman" w:hAnsi="Times New Roman"/>
                <w:sz w:val="24"/>
                <w:szCs w:val="24"/>
              </w:rPr>
              <w:t>$</w:t>
            </w:r>
            <w:r w:rsidR="00602008">
              <w:rPr>
                <w:rFonts w:ascii="Times New Roman" w:hAnsi="Times New Roman"/>
                <w:sz w:val="24"/>
                <w:szCs w:val="24"/>
              </w:rPr>
              <w:t>980</w:t>
            </w:r>
          </w:p>
        </w:tc>
      </w:tr>
      <w:tr w:rsidRPr="006F235E" w:rsidR="00310D7D" w:rsidTr="00BB168B" w14:paraId="42AEF46C" w14:textId="77777777">
        <w:tc>
          <w:tcPr>
            <w:tcW w:w="9326" w:type="dxa"/>
            <w:gridSpan w:val="4"/>
          </w:tcPr>
          <w:p w:rsidRPr="006F235E" w:rsidR="00310D7D" w:rsidP="00310D7D" w:rsidRDefault="00310D7D" w14:paraId="1D362ED2" w14:textId="3DB6C52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rPr>
                <w:rFonts w:ascii="Times New Roman" w:hAnsi="Times New Roman"/>
                <w:sz w:val="24"/>
                <w:szCs w:val="24"/>
              </w:rPr>
            </w:pPr>
            <w:r w:rsidRPr="006F235E">
              <w:rPr>
                <w:rFonts w:ascii="Times New Roman" w:hAnsi="Times New Roman"/>
                <w:sz w:val="24"/>
                <w:szCs w:val="24"/>
              </w:rPr>
              <w:t xml:space="preserve">Review of Waiver Decision </w:t>
            </w:r>
          </w:p>
        </w:tc>
      </w:tr>
      <w:tr w:rsidRPr="006F235E" w:rsidR="00BB6F1A" w:rsidTr="00EA4EEA" w14:paraId="29BDFB2A" w14:textId="77777777">
        <w:tc>
          <w:tcPr>
            <w:tcW w:w="5125" w:type="dxa"/>
          </w:tcPr>
          <w:p w:rsidRPr="006F235E" w:rsidR="00BB6F1A" w:rsidP="00310D7D" w:rsidRDefault="00BB6F1A" w14:paraId="4CE3ADAC" w14:textId="77777777">
            <w:pPr>
              <w:suppressAutoHyphens/>
              <w:spacing w:after="0"/>
              <w:ind w:left="520"/>
              <w:rPr>
                <w:rFonts w:ascii="Times New Roman" w:hAnsi="Times New Roman"/>
                <w:sz w:val="24"/>
                <w:szCs w:val="24"/>
              </w:rPr>
            </w:pPr>
            <w:r w:rsidRPr="006F235E">
              <w:rPr>
                <w:rFonts w:ascii="Times New Roman" w:hAnsi="Times New Roman"/>
                <w:sz w:val="24"/>
                <w:szCs w:val="24"/>
              </w:rPr>
              <w:t>Office Personnel</w:t>
            </w:r>
          </w:p>
        </w:tc>
        <w:tc>
          <w:tcPr>
            <w:tcW w:w="1231" w:type="dxa"/>
          </w:tcPr>
          <w:p w:rsidRPr="006F235E" w:rsidR="00BB6F1A" w:rsidP="00EA4EEA" w:rsidRDefault="00602008" w14:paraId="558A828A" w14:textId="783E0398">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sz w:val="24"/>
                <w:szCs w:val="24"/>
              </w:rPr>
            </w:pPr>
            <w:r>
              <w:rPr>
                <w:rFonts w:ascii="Times New Roman" w:hAnsi="Times New Roman"/>
                <w:sz w:val="24"/>
                <w:szCs w:val="24"/>
              </w:rPr>
              <w:t>2</w:t>
            </w:r>
          </w:p>
        </w:tc>
        <w:tc>
          <w:tcPr>
            <w:tcW w:w="1350" w:type="dxa"/>
          </w:tcPr>
          <w:p w:rsidRPr="006F235E" w:rsidR="00BB6F1A" w:rsidP="00EA4EEA" w:rsidRDefault="00BB6F1A" w14:paraId="3DBEC6EB"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sz w:val="24"/>
                <w:szCs w:val="24"/>
              </w:rPr>
            </w:pPr>
            <w:r w:rsidRPr="006F235E">
              <w:rPr>
                <w:rFonts w:ascii="Times New Roman" w:hAnsi="Times New Roman"/>
                <w:sz w:val="24"/>
                <w:szCs w:val="24"/>
              </w:rPr>
              <w:t>$49</w:t>
            </w:r>
          </w:p>
        </w:tc>
        <w:tc>
          <w:tcPr>
            <w:tcW w:w="1620" w:type="dxa"/>
          </w:tcPr>
          <w:p w:rsidRPr="006F235E" w:rsidR="00BB6F1A" w:rsidP="00602008" w:rsidRDefault="00BB6F1A" w14:paraId="5AE1F698" w14:textId="7E1CDC8B">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sz w:val="24"/>
                <w:szCs w:val="24"/>
              </w:rPr>
            </w:pPr>
            <w:r w:rsidRPr="006F235E">
              <w:rPr>
                <w:rFonts w:ascii="Times New Roman" w:hAnsi="Times New Roman"/>
                <w:sz w:val="24"/>
                <w:szCs w:val="24"/>
              </w:rPr>
              <w:t>$</w:t>
            </w:r>
            <w:r w:rsidR="00602008">
              <w:rPr>
                <w:rFonts w:ascii="Times New Roman" w:hAnsi="Times New Roman"/>
                <w:sz w:val="24"/>
                <w:szCs w:val="24"/>
              </w:rPr>
              <w:t>98</w:t>
            </w:r>
          </w:p>
        </w:tc>
      </w:tr>
      <w:tr w:rsidRPr="006F235E" w:rsidR="00BB6F1A" w:rsidTr="00EA4EEA" w14:paraId="6E42ECA5" w14:textId="77777777">
        <w:tc>
          <w:tcPr>
            <w:tcW w:w="5125" w:type="dxa"/>
          </w:tcPr>
          <w:p w:rsidRPr="006F235E" w:rsidR="00BB6F1A" w:rsidP="006F235E" w:rsidRDefault="00BB6F1A" w14:paraId="78593AD8"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rPr>
                <w:rFonts w:ascii="Times New Roman" w:hAnsi="Times New Roman"/>
                <w:b/>
                <w:sz w:val="24"/>
                <w:szCs w:val="24"/>
              </w:rPr>
            </w:pPr>
            <w:r w:rsidRPr="006F235E">
              <w:rPr>
                <w:rFonts w:ascii="Times New Roman" w:hAnsi="Times New Roman"/>
                <w:b/>
                <w:sz w:val="24"/>
                <w:szCs w:val="24"/>
              </w:rPr>
              <w:t xml:space="preserve">Total Cost to Federal Government </w:t>
            </w:r>
          </w:p>
        </w:tc>
        <w:tc>
          <w:tcPr>
            <w:tcW w:w="1231" w:type="dxa"/>
          </w:tcPr>
          <w:p w:rsidRPr="006F235E" w:rsidR="00BB6F1A" w:rsidP="00EA4EEA" w:rsidRDefault="00BB6F1A" w14:paraId="12336057"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b/>
                <w:sz w:val="24"/>
                <w:szCs w:val="24"/>
              </w:rPr>
            </w:pPr>
          </w:p>
        </w:tc>
        <w:tc>
          <w:tcPr>
            <w:tcW w:w="1350" w:type="dxa"/>
          </w:tcPr>
          <w:p w:rsidRPr="006F235E" w:rsidR="00BB6F1A" w:rsidP="00EA4EEA" w:rsidRDefault="00BB6F1A" w14:paraId="5803A46C"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b/>
                <w:sz w:val="24"/>
                <w:szCs w:val="24"/>
              </w:rPr>
            </w:pPr>
          </w:p>
        </w:tc>
        <w:tc>
          <w:tcPr>
            <w:tcW w:w="1620" w:type="dxa"/>
          </w:tcPr>
          <w:p w:rsidRPr="006F235E" w:rsidR="00BB6F1A" w:rsidP="00602008" w:rsidRDefault="00BB6F1A" w14:paraId="1EC7B3A1" w14:textId="3445CA4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jc w:val="right"/>
              <w:rPr>
                <w:rFonts w:ascii="Times New Roman" w:hAnsi="Times New Roman"/>
                <w:b/>
                <w:sz w:val="24"/>
                <w:szCs w:val="24"/>
              </w:rPr>
            </w:pPr>
            <w:r w:rsidRPr="006F235E">
              <w:rPr>
                <w:rFonts w:ascii="Times New Roman" w:hAnsi="Times New Roman"/>
                <w:b/>
                <w:sz w:val="24"/>
                <w:szCs w:val="24"/>
              </w:rPr>
              <w:t>$</w:t>
            </w:r>
            <w:r w:rsidR="00602008">
              <w:rPr>
                <w:rFonts w:ascii="Times New Roman" w:hAnsi="Times New Roman"/>
                <w:b/>
                <w:sz w:val="24"/>
                <w:szCs w:val="24"/>
              </w:rPr>
              <w:t>1,938</w:t>
            </w:r>
          </w:p>
        </w:tc>
      </w:tr>
    </w:tbl>
    <w:p w:rsidRPr="00483668" w:rsidR="00BB6F1A" w:rsidP="008E2D81" w:rsidRDefault="00BB6F1A" w14:paraId="187D68E2" w14:textId="77777777">
      <w:pPr>
        <w:pStyle w:val="ListParagraph"/>
        <w:suppressAutoHyphens/>
        <w:spacing w:after="0" w:line="240" w:lineRule="auto"/>
        <w:ind w:hanging="720"/>
        <w:rPr>
          <w:rFonts w:ascii="Times New Roman" w:hAnsi="Times New Roman"/>
          <w:b/>
          <w:sz w:val="24"/>
          <w:szCs w:val="24"/>
        </w:rPr>
      </w:pPr>
    </w:p>
    <w:p w:rsidRPr="00483668" w:rsidR="008E2D81" w:rsidP="008E2D81" w:rsidRDefault="008E2D81" w14:paraId="1E2D7228" w14:textId="77777777">
      <w:pPr>
        <w:spacing w:after="0" w:line="240" w:lineRule="auto"/>
        <w:rPr>
          <w:rFonts w:ascii="Times New Roman" w:hAnsi="Times New Roman"/>
          <w:b/>
          <w:sz w:val="24"/>
          <w:szCs w:val="24"/>
        </w:rPr>
      </w:pPr>
      <w:r w:rsidRPr="00483668">
        <w:rPr>
          <w:rFonts w:ascii="Times New Roman" w:hAnsi="Times New Roman"/>
          <w:b/>
          <w:sz w:val="24"/>
          <w:szCs w:val="24"/>
        </w:rPr>
        <w:t>15.</w:t>
      </w:r>
      <w:r w:rsidRPr="00483668">
        <w:rPr>
          <w:rFonts w:ascii="Times New Roman" w:hAnsi="Times New Roman"/>
          <w:b/>
          <w:sz w:val="24"/>
          <w:szCs w:val="24"/>
        </w:rPr>
        <w:tab/>
        <w:t>Changes in burden.</w:t>
      </w:r>
    </w:p>
    <w:p w:rsidR="00602008" w:rsidP="008E2D81" w:rsidRDefault="00602008" w14:paraId="4801493F" w14:textId="77777777">
      <w:pPr>
        <w:pStyle w:val="ListParagraph"/>
        <w:suppressAutoHyphens/>
        <w:spacing w:after="0" w:line="240" w:lineRule="auto"/>
        <w:ind w:hanging="720"/>
        <w:rPr>
          <w:rFonts w:ascii="Times New Roman" w:hAnsi="Times New Roman"/>
          <w:sz w:val="24"/>
          <w:szCs w:val="24"/>
        </w:rPr>
      </w:pPr>
    </w:p>
    <w:p w:rsidRPr="00567D75" w:rsidR="00567D75" w:rsidP="00C6377C" w:rsidRDefault="00567D75" w14:paraId="048E1BC6" w14:textId="18540E2A">
      <w:pPr>
        <w:spacing w:after="0" w:line="240" w:lineRule="auto"/>
        <w:ind w:left="720"/>
        <w:rPr>
          <w:rFonts w:ascii="Times New Roman" w:hAnsi="Times New Roman"/>
          <w:sz w:val="24"/>
          <w:szCs w:val="24"/>
        </w:rPr>
      </w:pPr>
      <w:r w:rsidRPr="00567D75">
        <w:rPr>
          <w:rFonts w:ascii="Times New Roman" w:hAnsi="Times New Roman"/>
          <w:sz w:val="24"/>
          <w:szCs w:val="24"/>
        </w:rPr>
        <w:t xml:space="preserve">This </w:t>
      </w:r>
      <w:r>
        <w:rPr>
          <w:rFonts w:ascii="Times New Roman" w:hAnsi="Times New Roman"/>
          <w:sz w:val="24"/>
          <w:szCs w:val="24"/>
        </w:rPr>
        <w:t>information collection request is being</w:t>
      </w:r>
      <w:r w:rsidRPr="00567D75">
        <w:rPr>
          <w:rFonts w:ascii="Times New Roman" w:hAnsi="Times New Roman"/>
          <w:sz w:val="24"/>
          <w:szCs w:val="24"/>
        </w:rPr>
        <w:t xml:space="preserve"> submitted as an emergency request for OMB approval.</w:t>
      </w:r>
      <w:r w:rsidR="00C6377C">
        <w:rPr>
          <w:rFonts w:ascii="Times New Roman" w:hAnsi="Times New Roman"/>
          <w:sz w:val="24"/>
          <w:szCs w:val="24"/>
        </w:rPr>
        <w:t xml:space="preserve">  </w:t>
      </w:r>
      <w:r w:rsidRPr="00567D75">
        <w:rPr>
          <w:rFonts w:ascii="Times New Roman" w:hAnsi="Times New Roman"/>
          <w:sz w:val="24"/>
          <w:szCs w:val="24"/>
        </w:rPr>
        <w:t xml:space="preserve">The NCUA has determined that certain information collection requirements must be temporarily modified and must be collected prior to the expiration of time periods established under Part 1320, and is essential to the NCUA’s ability to help ensure that federally insured credit unions (FICUs) remain operational and liquid </w:t>
      </w:r>
      <w:r w:rsidRPr="00567D75">
        <w:rPr>
          <w:rFonts w:ascii="Times New Roman" w:hAnsi="Times New Roman" w:eastAsia="Arial Unicode MS"/>
          <w:sz w:val="24"/>
          <w:szCs w:val="24"/>
          <w:bdr w:val="nil"/>
        </w:rPr>
        <w:t xml:space="preserve">for the duration of </w:t>
      </w:r>
      <w:r w:rsidRPr="00567D75">
        <w:rPr>
          <w:rFonts w:ascii="Times New Roman" w:hAnsi="Times New Roman"/>
          <w:sz w:val="24"/>
          <w:szCs w:val="24"/>
        </w:rPr>
        <w:t>the economic disruption stemming from the threat posed by the Novel (new) Coronavirus (“2019-nCoV”).</w:t>
      </w:r>
    </w:p>
    <w:p w:rsidRPr="00567D75" w:rsidR="00567D75" w:rsidP="00567D75" w:rsidRDefault="00567D75" w14:paraId="5ACC3F6A" w14:textId="77777777">
      <w:pPr>
        <w:spacing w:after="0" w:line="240" w:lineRule="auto"/>
        <w:ind w:left="720"/>
        <w:rPr>
          <w:rFonts w:ascii="Times New Roman" w:hAnsi="Times New Roman"/>
          <w:sz w:val="24"/>
          <w:szCs w:val="24"/>
        </w:rPr>
      </w:pPr>
    </w:p>
    <w:p w:rsidRPr="00567D75" w:rsidR="00567D75" w:rsidP="00567D75" w:rsidRDefault="00567D75" w14:paraId="68A9A018" w14:textId="77777777">
      <w:pPr>
        <w:spacing w:after="0" w:line="240" w:lineRule="auto"/>
        <w:ind w:left="720"/>
        <w:rPr>
          <w:rFonts w:ascii="Times New Roman" w:hAnsi="Times New Roman"/>
          <w:sz w:val="24"/>
          <w:szCs w:val="24"/>
        </w:rPr>
      </w:pPr>
      <w:r w:rsidRPr="00567D75">
        <w:rPr>
          <w:rFonts w:ascii="Times New Roman" w:hAnsi="Times New Roman"/>
          <w:sz w:val="24"/>
          <w:szCs w:val="24"/>
        </w:rPr>
        <w:t>NCUA is temporarily raising the maximum aggregate amount of loan participation that a FICU may purchase from a single originating lender from $5,000,000 or 100% of net worth</w:t>
      </w:r>
      <w:r>
        <w:rPr>
          <w:rFonts w:ascii="Times New Roman" w:hAnsi="Times New Roman"/>
          <w:sz w:val="24"/>
          <w:szCs w:val="24"/>
        </w:rPr>
        <w:t>,</w:t>
      </w:r>
      <w:r w:rsidRPr="00567D75">
        <w:rPr>
          <w:rFonts w:ascii="Times New Roman" w:hAnsi="Times New Roman"/>
          <w:sz w:val="24"/>
          <w:szCs w:val="24"/>
        </w:rPr>
        <w:t xml:space="preserve"> to $5,000,000 or 200% of net worth, whichever is greater.  This will help safeguard the stability of FICUs during the crisis. </w:t>
      </w:r>
    </w:p>
    <w:p w:rsidR="00567D75" w:rsidP="00567D75" w:rsidRDefault="00567D75" w14:paraId="4E6FA9B6" w14:textId="77777777">
      <w:pPr>
        <w:tabs>
          <w:tab w:val="left" w:pos="1080"/>
        </w:tabs>
        <w:spacing w:after="0" w:line="240" w:lineRule="auto"/>
        <w:ind w:left="720"/>
        <w:rPr>
          <w:rFonts w:ascii="Times New Roman" w:hAnsi="Times New Roman"/>
          <w:sz w:val="24"/>
          <w:szCs w:val="24"/>
        </w:rPr>
      </w:pPr>
    </w:p>
    <w:p w:rsidRPr="00567D75" w:rsidR="00567D75" w:rsidP="00567D75" w:rsidRDefault="00567D75" w14:paraId="2CCE81A9" w14:textId="77777777">
      <w:pPr>
        <w:tabs>
          <w:tab w:val="left" w:pos="1080"/>
        </w:tabs>
        <w:spacing w:after="0" w:line="240" w:lineRule="auto"/>
        <w:ind w:left="720"/>
        <w:rPr>
          <w:rFonts w:ascii="Times New Roman" w:hAnsi="Times New Roman"/>
          <w:sz w:val="24"/>
          <w:szCs w:val="24"/>
        </w:rPr>
      </w:pPr>
      <w:r w:rsidRPr="00567D75">
        <w:rPr>
          <w:rFonts w:ascii="Times New Roman" w:hAnsi="Times New Roman"/>
          <w:sz w:val="24"/>
          <w:szCs w:val="24"/>
        </w:rPr>
        <w:t xml:space="preserve">It is anticipated that there will be no increase in the number of credit unions currently participating.  It is estimated that these credit unions may see a slight increase in the number of loan participation agreements.  The recordkeeping requirement to retain and maintain a copy of the agreement is minimal, and would not impact the recordkeeping burden.  Because of the net worth increase, NCUA estimates that the waiver request on the limits will be reduced by 50 percent, for an estimated reduction of 20 burden hours.  A total </w:t>
      </w:r>
      <w:r>
        <w:rPr>
          <w:rFonts w:ascii="Times New Roman" w:hAnsi="Times New Roman"/>
          <w:sz w:val="24"/>
          <w:szCs w:val="24"/>
        </w:rPr>
        <w:t xml:space="preserve">of </w:t>
      </w:r>
      <w:r w:rsidRPr="00567D75">
        <w:rPr>
          <w:rFonts w:ascii="Times New Roman" w:hAnsi="Times New Roman"/>
          <w:sz w:val="24"/>
          <w:szCs w:val="24"/>
        </w:rPr>
        <w:t xml:space="preserve">3,025 </w:t>
      </w:r>
      <w:r>
        <w:rPr>
          <w:rFonts w:ascii="Times New Roman" w:hAnsi="Times New Roman"/>
          <w:sz w:val="24"/>
          <w:szCs w:val="24"/>
        </w:rPr>
        <w:t xml:space="preserve">burden hours is </w:t>
      </w:r>
      <w:r w:rsidRPr="00567D75">
        <w:rPr>
          <w:rFonts w:ascii="Times New Roman" w:hAnsi="Times New Roman"/>
          <w:sz w:val="24"/>
          <w:szCs w:val="24"/>
        </w:rPr>
        <w:t>requested.</w:t>
      </w:r>
    </w:p>
    <w:p w:rsidRPr="00483668" w:rsidR="007C0040" w:rsidP="008E2D81" w:rsidRDefault="007C0040" w14:paraId="23833A5D" w14:textId="77777777">
      <w:pPr>
        <w:pStyle w:val="ListParagraph"/>
        <w:suppressAutoHyphens/>
        <w:spacing w:after="0" w:line="240" w:lineRule="auto"/>
        <w:ind w:hanging="720"/>
        <w:rPr>
          <w:rFonts w:ascii="Times New Roman" w:hAnsi="Times New Roman"/>
          <w:sz w:val="24"/>
          <w:szCs w:val="24"/>
        </w:rPr>
      </w:pPr>
    </w:p>
    <w:p w:rsidRPr="00483668" w:rsidR="008E2D81" w:rsidP="008E2D81" w:rsidRDefault="008E2D81" w14:paraId="7C62C152" w14:textId="77777777">
      <w:pPr>
        <w:spacing w:after="0" w:line="240" w:lineRule="auto"/>
        <w:rPr>
          <w:rFonts w:ascii="Times New Roman" w:hAnsi="Times New Roman"/>
          <w:b/>
          <w:sz w:val="24"/>
          <w:szCs w:val="24"/>
        </w:rPr>
      </w:pPr>
      <w:r w:rsidRPr="00483668">
        <w:rPr>
          <w:rFonts w:ascii="Times New Roman" w:hAnsi="Times New Roman"/>
          <w:b/>
          <w:sz w:val="24"/>
          <w:szCs w:val="24"/>
        </w:rPr>
        <w:t>16.</w:t>
      </w:r>
      <w:r w:rsidRPr="00483668">
        <w:rPr>
          <w:rFonts w:ascii="Times New Roman" w:hAnsi="Times New Roman"/>
          <w:b/>
          <w:sz w:val="24"/>
          <w:szCs w:val="24"/>
        </w:rPr>
        <w:tab/>
        <w:t>Information collection planned for statistical purposes.</w:t>
      </w:r>
    </w:p>
    <w:p w:rsidR="00483668" w:rsidP="00483668" w:rsidRDefault="00483668" w14:paraId="456CEDF3" w14:textId="77777777">
      <w:pPr>
        <w:pStyle w:val="ListParagraph"/>
        <w:spacing w:after="0" w:line="240" w:lineRule="auto"/>
        <w:ind w:hanging="720"/>
        <w:rPr>
          <w:rFonts w:ascii="Times New Roman" w:hAnsi="Times New Roman"/>
          <w:sz w:val="24"/>
          <w:szCs w:val="24"/>
        </w:rPr>
      </w:pPr>
    </w:p>
    <w:p w:rsidRPr="006F235E" w:rsidR="00F602CF" w:rsidP="00483668" w:rsidRDefault="00483668" w14:paraId="7EF16E7F" w14:textId="35BA2A62">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6F235E" w:rsidR="002A1F1E">
        <w:rPr>
          <w:rFonts w:ascii="Times New Roman" w:hAnsi="Times New Roman"/>
          <w:sz w:val="24"/>
          <w:szCs w:val="24"/>
        </w:rPr>
        <w:t xml:space="preserve">The information collection is not used for statistical purposes. </w:t>
      </w:r>
    </w:p>
    <w:p w:rsidRPr="00483668" w:rsidR="00F602CF" w:rsidP="00483668" w:rsidRDefault="00F602CF" w14:paraId="0F28FB92" w14:textId="77777777">
      <w:pPr>
        <w:pStyle w:val="ListParagraph"/>
        <w:spacing w:after="0" w:line="240" w:lineRule="auto"/>
        <w:ind w:hanging="720"/>
        <w:rPr>
          <w:rFonts w:ascii="Times New Roman" w:hAnsi="Times New Roman"/>
          <w:sz w:val="24"/>
          <w:szCs w:val="24"/>
        </w:rPr>
      </w:pPr>
    </w:p>
    <w:p w:rsidRPr="00483668" w:rsidR="008E2D81" w:rsidP="00C04E07" w:rsidRDefault="008E2D81" w14:paraId="3247C637" w14:textId="77777777">
      <w:pPr>
        <w:spacing w:after="0" w:line="240" w:lineRule="auto"/>
        <w:rPr>
          <w:rFonts w:ascii="Times New Roman" w:hAnsi="Times New Roman"/>
          <w:b/>
          <w:sz w:val="24"/>
          <w:szCs w:val="24"/>
        </w:rPr>
      </w:pPr>
      <w:r w:rsidRPr="00483668">
        <w:rPr>
          <w:rFonts w:ascii="Times New Roman" w:hAnsi="Times New Roman"/>
          <w:b/>
          <w:sz w:val="24"/>
          <w:szCs w:val="24"/>
        </w:rPr>
        <w:t>17.</w:t>
      </w:r>
      <w:r w:rsidRPr="00483668">
        <w:rPr>
          <w:rFonts w:ascii="Times New Roman" w:hAnsi="Times New Roman"/>
          <w:b/>
          <w:sz w:val="24"/>
          <w:szCs w:val="24"/>
        </w:rPr>
        <w:tab/>
        <w:t>Request non-display the expiration date of the OMB control number.</w:t>
      </w:r>
    </w:p>
    <w:p w:rsidR="00483668" w:rsidP="00C04E07" w:rsidRDefault="00483668" w14:paraId="40E86794" w14:textId="77777777">
      <w:pPr>
        <w:pStyle w:val="ListParagraph"/>
        <w:keepNext/>
        <w:spacing w:after="0" w:line="240" w:lineRule="auto"/>
        <w:ind w:hanging="720"/>
        <w:contextualSpacing w:val="0"/>
        <w:rPr>
          <w:rFonts w:ascii="Times New Roman" w:hAnsi="Times New Roman"/>
          <w:sz w:val="24"/>
          <w:szCs w:val="24"/>
        </w:rPr>
      </w:pPr>
    </w:p>
    <w:p w:rsidRPr="00567D75" w:rsidR="008C583C" w:rsidP="00C04E07" w:rsidRDefault="008C583C" w14:paraId="2EDA747B" w14:textId="7E51FDD8">
      <w:pPr>
        <w:spacing w:after="0" w:line="240" w:lineRule="auto"/>
        <w:ind w:left="720"/>
        <w:rPr>
          <w:rFonts w:ascii="Times New Roman" w:hAnsi="Times New Roman"/>
          <w:sz w:val="24"/>
          <w:szCs w:val="24"/>
        </w:rPr>
      </w:pPr>
      <w:r w:rsidRPr="00567D75">
        <w:rPr>
          <w:rFonts w:ascii="Times New Roman" w:hAnsi="Times New Roman"/>
          <w:sz w:val="24"/>
          <w:szCs w:val="24"/>
        </w:rPr>
        <w:t xml:space="preserve">The OMB control number and expiration date associated with this PRA submission will be displayed on the Federal Government’s electronic PRA </w:t>
      </w:r>
      <w:r w:rsidR="0032146E">
        <w:rPr>
          <w:rFonts w:ascii="Times New Roman" w:hAnsi="Times New Roman"/>
          <w:sz w:val="24"/>
          <w:szCs w:val="24"/>
        </w:rPr>
        <w:t xml:space="preserve">docket </w:t>
      </w:r>
      <w:r w:rsidR="00F46219">
        <w:rPr>
          <w:rFonts w:ascii="Times New Roman" w:hAnsi="Times New Roman"/>
          <w:sz w:val="24"/>
          <w:szCs w:val="24"/>
        </w:rPr>
        <w:t xml:space="preserve">website </w:t>
      </w:r>
      <w:r w:rsidRPr="00567D75">
        <w:rPr>
          <w:rFonts w:ascii="Times New Roman" w:hAnsi="Times New Roman"/>
          <w:sz w:val="24"/>
          <w:szCs w:val="24"/>
        </w:rPr>
        <w:t xml:space="preserve">at </w:t>
      </w:r>
      <w:hyperlink w:history="1" r:id="rId8">
        <w:r w:rsidRPr="00567D75">
          <w:rPr>
            <w:rStyle w:val="Hyperlink"/>
            <w:rFonts w:ascii="Times New Roman" w:hAnsi="Times New Roman" w:cs="Times New Roman"/>
            <w:sz w:val="24"/>
            <w:szCs w:val="24"/>
          </w:rPr>
          <w:t>www.reginfo.gov</w:t>
        </w:r>
      </w:hyperlink>
      <w:r w:rsidRPr="00567D75">
        <w:rPr>
          <w:rFonts w:ascii="Times New Roman" w:hAnsi="Times New Roman"/>
          <w:sz w:val="24"/>
          <w:szCs w:val="24"/>
        </w:rPr>
        <w:t>.</w:t>
      </w:r>
    </w:p>
    <w:p w:rsidRPr="00483668" w:rsidR="006573C9" w:rsidP="00C04E07" w:rsidRDefault="006573C9" w14:paraId="337A4ED7" w14:textId="77777777">
      <w:pPr>
        <w:pStyle w:val="ListParagraph"/>
        <w:keepNext/>
        <w:spacing w:after="0" w:line="240" w:lineRule="auto"/>
        <w:ind w:hanging="720"/>
        <w:contextualSpacing w:val="0"/>
        <w:rPr>
          <w:rFonts w:ascii="Times New Roman" w:hAnsi="Times New Roman"/>
          <w:sz w:val="24"/>
          <w:szCs w:val="24"/>
        </w:rPr>
      </w:pPr>
    </w:p>
    <w:p w:rsidR="00C6377C" w:rsidRDefault="00C6377C" w14:paraId="5511CACB" w14:textId="77777777">
      <w:pPr>
        <w:spacing w:after="0"/>
        <w:rPr>
          <w:rFonts w:ascii="Times New Roman" w:hAnsi="Times New Roman"/>
          <w:b/>
          <w:sz w:val="24"/>
          <w:szCs w:val="24"/>
        </w:rPr>
      </w:pPr>
      <w:r>
        <w:rPr>
          <w:rFonts w:ascii="Times New Roman" w:hAnsi="Times New Roman"/>
          <w:b/>
          <w:sz w:val="24"/>
          <w:szCs w:val="24"/>
        </w:rPr>
        <w:br w:type="page"/>
      </w:r>
    </w:p>
    <w:p w:rsidRPr="00483668" w:rsidR="008E2D81" w:rsidP="00C04E07" w:rsidRDefault="008E2D81" w14:paraId="762F65B2" w14:textId="5158C1DB">
      <w:pPr>
        <w:spacing w:after="0" w:line="240" w:lineRule="auto"/>
        <w:rPr>
          <w:rFonts w:ascii="Times New Roman" w:hAnsi="Times New Roman"/>
          <w:b/>
          <w:sz w:val="24"/>
          <w:szCs w:val="24"/>
        </w:rPr>
      </w:pPr>
      <w:r w:rsidRPr="00483668">
        <w:rPr>
          <w:rFonts w:ascii="Times New Roman" w:hAnsi="Times New Roman"/>
          <w:b/>
          <w:sz w:val="24"/>
          <w:szCs w:val="24"/>
        </w:rPr>
        <w:t>18.</w:t>
      </w:r>
      <w:r w:rsidRPr="00483668">
        <w:rPr>
          <w:rFonts w:ascii="Times New Roman" w:hAnsi="Times New Roman"/>
          <w:b/>
          <w:sz w:val="24"/>
          <w:szCs w:val="24"/>
        </w:rPr>
        <w:tab/>
        <w:t>Exceptions to Certification for Paperwork Reduction Act Submissions</w:t>
      </w:r>
    </w:p>
    <w:p w:rsidR="00483668" w:rsidP="00C04E07" w:rsidRDefault="00483668" w14:paraId="57B2FD9D" w14:textId="77777777">
      <w:pPr>
        <w:suppressAutoHyphens/>
        <w:spacing w:after="0" w:line="240" w:lineRule="auto"/>
        <w:ind w:left="720" w:hanging="720"/>
        <w:rPr>
          <w:rFonts w:ascii="Times New Roman" w:hAnsi="Times New Roman"/>
          <w:sz w:val="24"/>
          <w:szCs w:val="24"/>
        </w:rPr>
      </w:pPr>
    </w:p>
    <w:p w:rsidRPr="006F235E" w:rsidR="007C0040" w:rsidP="00C04E07" w:rsidRDefault="007D55EF" w14:paraId="08B84C0D" w14:textId="1ACCF5DF">
      <w:pPr>
        <w:suppressAutoHyphens/>
        <w:spacing w:after="0" w:line="240" w:lineRule="auto"/>
        <w:ind w:left="720" w:hanging="720"/>
        <w:rPr>
          <w:rFonts w:ascii="Times New Roman" w:hAnsi="Times New Roman"/>
          <w:sz w:val="24"/>
          <w:szCs w:val="24"/>
        </w:rPr>
      </w:pPr>
      <w:r w:rsidRPr="0096025F">
        <w:rPr>
          <w:rFonts w:ascii="Times New Roman" w:hAnsi="Times New Roman"/>
        </w:rPr>
        <w:tab/>
      </w:r>
      <w:r w:rsidRPr="0096025F" w:rsidR="0096025F">
        <w:rPr>
          <w:rFonts w:ascii="Times New Roman" w:hAnsi="Times New Roman"/>
        </w:rPr>
        <w:t>There are no exceptions to the certification statement.</w:t>
      </w:r>
    </w:p>
    <w:p w:rsidR="007C0040" w:rsidP="00C04E07" w:rsidRDefault="007C0040" w14:paraId="214A444C" w14:textId="70272FE5">
      <w:pPr>
        <w:suppressAutoHyphens/>
        <w:spacing w:after="0" w:line="240" w:lineRule="auto"/>
        <w:ind w:left="720" w:hanging="720"/>
        <w:rPr>
          <w:rFonts w:ascii="Times New Roman" w:hAnsi="Times New Roman"/>
          <w:sz w:val="24"/>
          <w:szCs w:val="24"/>
        </w:rPr>
      </w:pPr>
    </w:p>
    <w:p w:rsidR="003D5800" w:rsidP="00C04E07" w:rsidRDefault="003D5800" w14:paraId="2A6547B3" w14:textId="77777777">
      <w:pPr>
        <w:suppressAutoHyphens/>
        <w:spacing w:after="0" w:line="240" w:lineRule="auto"/>
        <w:ind w:left="720" w:hanging="720"/>
        <w:rPr>
          <w:rFonts w:ascii="Times New Roman" w:hAnsi="Times New Roman"/>
          <w:sz w:val="24"/>
          <w:szCs w:val="24"/>
        </w:rPr>
      </w:pPr>
    </w:p>
    <w:p w:rsidRPr="006F235E" w:rsidR="00483668" w:rsidP="00C04E07" w:rsidRDefault="00483668" w14:paraId="3EC2C2DB" w14:textId="77777777">
      <w:pPr>
        <w:suppressAutoHyphens/>
        <w:spacing w:after="0" w:line="240" w:lineRule="auto"/>
        <w:ind w:left="720" w:hanging="720"/>
        <w:rPr>
          <w:rFonts w:ascii="Times New Roman" w:hAnsi="Times New Roman"/>
          <w:sz w:val="24"/>
          <w:szCs w:val="24"/>
        </w:rPr>
      </w:pPr>
    </w:p>
    <w:p w:rsidRPr="00483668" w:rsidR="008E2D81" w:rsidP="00483668" w:rsidRDefault="008E2D81" w14:paraId="50BA2446" w14:textId="77777777">
      <w:pPr>
        <w:pStyle w:val="ListParagraph"/>
        <w:numPr>
          <w:ilvl w:val="0"/>
          <w:numId w:val="13"/>
        </w:numPr>
        <w:suppressAutoHyphens/>
        <w:spacing w:after="0" w:line="240" w:lineRule="auto"/>
        <w:ind w:left="720" w:hanging="720"/>
        <w:rPr>
          <w:rFonts w:ascii="Times New Roman" w:hAnsi="Times New Roman"/>
          <w:b/>
          <w:caps/>
          <w:sz w:val="24"/>
          <w:szCs w:val="24"/>
        </w:rPr>
      </w:pPr>
      <w:r w:rsidRPr="00483668">
        <w:rPr>
          <w:rFonts w:ascii="Times New Roman" w:hAnsi="Times New Roman"/>
          <w:b/>
          <w:caps/>
          <w:sz w:val="24"/>
          <w:szCs w:val="24"/>
        </w:rPr>
        <w:t>Collections of Information Employing Statistical Methods</w:t>
      </w:r>
    </w:p>
    <w:p w:rsidR="008E2D81" w:rsidP="00483668" w:rsidRDefault="008E2D81" w14:paraId="1492039A" w14:textId="77777777">
      <w:pPr>
        <w:suppressAutoHyphens/>
        <w:spacing w:after="0" w:line="240" w:lineRule="auto"/>
        <w:ind w:left="720" w:hanging="720"/>
        <w:rPr>
          <w:rFonts w:ascii="Times New Roman" w:hAnsi="Times New Roman"/>
          <w:sz w:val="24"/>
          <w:szCs w:val="24"/>
        </w:rPr>
      </w:pPr>
    </w:p>
    <w:p w:rsidRPr="006F235E" w:rsidR="007D55EF" w:rsidP="00483668" w:rsidRDefault="00500BFC" w14:paraId="40A0F38D" w14:textId="280497BD">
      <w:pPr>
        <w:suppressAutoHyphens/>
        <w:spacing w:after="0" w:line="240" w:lineRule="auto"/>
        <w:ind w:left="720" w:hanging="720"/>
        <w:rPr>
          <w:rFonts w:ascii="Times New Roman" w:hAnsi="Times New Roman"/>
          <w:sz w:val="24"/>
          <w:szCs w:val="24"/>
        </w:rPr>
      </w:pPr>
      <w:r>
        <w:rPr>
          <w:rFonts w:ascii="Times New Roman" w:hAnsi="Times New Roman"/>
          <w:sz w:val="24"/>
          <w:szCs w:val="24"/>
        </w:rPr>
        <w:tab/>
      </w:r>
      <w:r w:rsidRPr="006F235E" w:rsidR="007D55EF">
        <w:rPr>
          <w:rFonts w:ascii="Times New Roman" w:hAnsi="Times New Roman"/>
          <w:sz w:val="24"/>
          <w:szCs w:val="24"/>
        </w:rPr>
        <w:t>This collection does no</w:t>
      </w:r>
      <w:r w:rsidRPr="006F235E" w:rsidR="000B6FB4">
        <w:rPr>
          <w:rFonts w:ascii="Times New Roman" w:hAnsi="Times New Roman"/>
          <w:sz w:val="24"/>
          <w:szCs w:val="24"/>
        </w:rPr>
        <w:t>t involve statistical methods.</w:t>
      </w:r>
      <w:r w:rsidRPr="006F235E" w:rsidR="007D55EF">
        <w:rPr>
          <w:rFonts w:ascii="Times New Roman" w:hAnsi="Times New Roman"/>
          <w:sz w:val="24"/>
          <w:szCs w:val="24"/>
        </w:rPr>
        <w:t xml:space="preserve"> </w:t>
      </w:r>
    </w:p>
    <w:sectPr w:rsidRPr="006F235E" w:rsidR="007D55EF" w:rsidSect="00EA4EEA">
      <w:footerReference w:type="default" r:id="rId9"/>
      <w:pgSz w:w="12240" w:h="15840"/>
      <w:pgMar w:top="1440" w:right="144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C1520" w14:textId="77777777" w:rsidR="00D13513" w:rsidRDefault="00D13513" w:rsidP="007D55EF">
      <w:pPr>
        <w:spacing w:after="0" w:line="240" w:lineRule="auto"/>
      </w:pPr>
      <w:r>
        <w:separator/>
      </w:r>
    </w:p>
  </w:endnote>
  <w:endnote w:type="continuationSeparator" w:id="0">
    <w:p w14:paraId="560A85D8" w14:textId="77777777" w:rsidR="00D13513" w:rsidRDefault="00D13513" w:rsidP="007D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252858358"/>
      <w:docPartObj>
        <w:docPartGallery w:val="Page Numbers (Bottom of Page)"/>
        <w:docPartUnique/>
      </w:docPartObj>
    </w:sdtPr>
    <w:sdtEndPr>
      <w:rPr>
        <w:noProof/>
      </w:rPr>
    </w:sdtEndPr>
    <w:sdtContent>
      <w:p w14:paraId="3EA2895D" w14:textId="34F0B51E" w:rsidR="006764CA" w:rsidRPr="00483668" w:rsidRDefault="00483668">
        <w:pPr>
          <w:pStyle w:val="Footer"/>
          <w:rPr>
            <w:rFonts w:ascii="Times New Roman" w:hAnsi="Times New Roman"/>
            <w:sz w:val="24"/>
            <w:szCs w:val="24"/>
          </w:rPr>
        </w:pPr>
        <w:r w:rsidRPr="00483668">
          <w:rPr>
            <w:rFonts w:ascii="Times New Roman" w:hAnsi="Times New Roman"/>
            <w:i/>
            <w:sz w:val="20"/>
            <w:szCs w:val="20"/>
          </w:rPr>
          <w:t xml:space="preserve">OMB #3133-0141; </w:t>
        </w:r>
        <w:r w:rsidR="008F2F47">
          <w:rPr>
            <w:rFonts w:ascii="Times New Roman" w:hAnsi="Times New Roman"/>
            <w:i/>
            <w:sz w:val="20"/>
            <w:szCs w:val="20"/>
          </w:rPr>
          <w:t>Temporary Final Rule; April 2020</w:t>
        </w:r>
        <w:r w:rsidRPr="00483668">
          <w:rPr>
            <w:rFonts w:ascii="Times New Roman" w:hAnsi="Times New Roman"/>
            <w:sz w:val="24"/>
            <w:szCs w:val="24"/>
          </w:rPr>
          <w:tab/>
        </w:r>
        <w:r>
          <w:rPr>
            <w:rFonts w:ascii="Times New Roman" w:hAnsi="Times New Roman"/>
            <w:sz w:val="24"/>
            <w:szCs w:val="24"/>
          </w:rPr>
          <w:tab/>
        </w:r>
        <w:r w:rsidR="007C0040" w:rsidRPr="00483668">
          <w:rPr>
            <w:rFonts w:ascii="Times New Roman" w:hAnsi="Times New Roman"/>
            <w:sz w:val="24"/>
            <w:szCs w:val="24"/>
          </w:rPr>
          <w:fldChar w:fldCharType="begin"/>
        </w:r>
        <w:r w:rsidR="007C0040" w:rsidRPr="00483668">
          <w:rPr>
            <w:rFonts w:ascii="Times New Roman" w:hAnsi="Times New Roman"/>
            <w:sz w:val="24"/>
            <w:szCs w:val="24"/>
          </w:rPr>
          <w:instrText xml:space="preserve"> PAGE   \* MERGEFORMAT </w:instrText>
        </w:r>
        <w:r w:rsidR="007C0040" w:rsidRPr="00483668">
          <w:rPr>
            <w:rFonts w:ascii="Times New Roman" w:hAnsi="Times New Roman"/>
            <w:sz w:val="24"/>
            <w:szCs w:val="24"/>
          </w:rPr>
          <w:fldChar w:fldCharType="separate"/>
        </w:r>
        <w:r w:rsidR="004925D6">
          <w:rPr>
            <w:rFonts w:ascii="Times New Roman" w:hAnsi="Times New Roman"/>
            <w:noProof/>
            <w:sz w:val="24"/>
            <w:szCs w:val="24"/>
          </w:rPr>
          <w:t>2</w:t>
        </w:r>
        <w:r w:rsidR="007C0040" w:rsidRPr="00483668">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DE07D" w14:textId="77777777" w:rsidR="00D13513" w:rsidRDefault="00D13513" w:rsidP="007D55EF">
      <w:pPr>
        <w:spacing w:after="0" w:line="240" w:lineRule="auto"/>
      </w:pPr>
      <w:r>
        <w:separator/>
      </w:r>
    </w:p>
  </w:footnote>
  <w:footnote w:type="continuationSeparator" w:id="0">
    <w:p w14:paraId="462FA955" w14:textId="77777777" w:rsidR="00D13513" w:rsidRDefault="00D13513" w:rsidP="007D5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6B2522"/>
    <w:multiLevelType w:val="hybridMultilevel"/>
    <w:tmpl w:val="AA38C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D7177"/>
    <w:multiLevelType w:val="hybridMultilevel"/>
    <w:tmpl w:val="76A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A319A"/>
    <w:multiLevelType w:val="hybridMultilevel"/>
    <w:tmpl w:val="1D5CBF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243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2" w15:restartNumberingAfterBreak="0">
    <w:nsid w:val="43D7559F"/>
    <w:multiLevelType w:val="hybridMultilevel"/>
    <w:tmpl w:val="0C080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4"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412705"/>
    <w:multiLevelType w:val="hybridMultilevel"/>
    <w:tmpl w:val="439C4CA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15"/>
  </w:num>
  <w:num w:numId="4">
    <w:abstractNumId w:val="8"/>
  </w:num>
  <w:num w:numId="5">
    <w:abstractNumId w:val="3"/>
  </w:num>
  <w:num w:numId="6">
    <w:abstractNumId w:val="13"/>
  </w:num>
  <w:num w:numId="7">
    <w:abstractNumId w:val="11"/>
  </w:num>
  <w:num w:numId="8">
    <w:abstractNumId w:val="6"/>
  </w:num>
  <w:num w:numId="9">
    <w:abstractNumId w:val="12"/>
  </w:num>
  <w:num w:numId="10">
    <w:abstractNumId w:val="2"/>
  </w:num>
  <w:num w:numId="11">
    <w:abstractNumId w:val="7"/>
  </w:num>
  <w:num w:numId="12">
    <w:abstractNumId w:val="4"/>
  </w:num>
  <w:num w:numId="13">
    <w:abstractNumId w:val="14"/>
  </w:num>
  <w:num w:numId="1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7"/>
  </w:num>
  <w:num w:numId="16">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EF"/>
    <w:rsid w:val="00016260"/>
    <w:rsid w:val="000266E1"/>
    <w:rsid w:val="00027E1C"/>
    <w:rsid w:val="000313A4"/>
    <w:rsid w:val="000368F0"/>
    <w:rsid w:val="0004106D"/>
    <w:rsid w:val="000603D9"/>
    <w:rsid w:val="00072CEA"/>
    <w:rsid w:val="00080154"/>
    <w:rsid w:val="0008074C"/>
    <w:rsid w:val="00081097"/>
    <w:rsid w:val="000B0627"/>
    <w:rsid w:val="000B3B53"/>
    <w:rsid w:val="000B6FB4"/>
    <w:rsid w:val="00101F39"/>
    <w:rsid w:val="0010554B"/>
    <w:rsid w:val="0010769F"/>
    <w:rsid w:val="0011613B"/>
    <w:rsid w:val="0012490D"/>
    <w:rsid w:val="00153A53"/>
    <w:rsid w:val="001663AF"/>
    <w:rsid w:val="00180A37"/>
    <w:rsid w:val="001A6389"/>
    <w:rsid w:val="001B545D"/>
    <w:rsid w:val="001D7A25"/>
    <w:rsid w:val="001E1712"/>
    <w:rsid w:val="001E28EE"/>
    <w:rsid w:val="001E6209"/>
    <w:rsid w:val="002101D1"/>
    <w:rsid w:val="0021054F"/>
    <w:rsid w:val="0021087A"/>
    <w:rsid w:val="00210F45"/>
    <w:rsid w:val="002336DE"/>
    <w:rsid w:val="002436C3"/>
    <w:rsid w:val="00244E46"/>
    <w:rsid w:val="00245081"/>
    <w:rsid w:val="00267007"/>
    <w:rsid w:val="00272BC2"/>
    <w:rsid w:val="002746BC"/>
    <w:rsid w:val="002771F6"/>
    <w:rsid w:val="0028284B"/>
    <w:rsid w:val="00286A7F"/>
    <w:rsid w:val="00295CBC"/>
    <w:rsid w:val="002A1F1E"/>
    <w:rsid w:val="002A340F"/>
    <w:rsid w:val="002A38CB"/>
    <w:rsid w:val="002A4BFD"/>
    <w:rsid w:val="002B50D0"/>
    <w:rsid w:val="002C19DA"/>
    <w:rsid w:val="002C4511"/>
    <w:rsid w:val="002C6DE4"/>
    <w:rsid w:val="002D2B7E"/>
    <w:rsid w:val="002E12D9"/>
    <w:rsid w:val="002F2D53"/>
    <w:rsid w:val="002F4A86"/>
    <w:rsid w:val="002F75D5"/>
    <w:rsid w:val="00300530"/>
    <w:rsid w:val="00310D7D"/>
    <w:rsid w:val="003131C8"/>
    <w:rsid w:val="0032146E"/>
    <w:rsid w:val="003277C2"/>
    <w:rsid w:val="00343C57"/>
    <w:rsid w:val="00347210"/>
    <w:rsid w:val="00350CC4"/>
    <w:rsid w:val="00353FF6"/>
    <w:rsid w:val="0035426F"/>
    <w:rsid w:val="00360272"/>
    <w:rsid w:val="003603F9"/>
    <w:rsid w:val="00361A90"/>
    <w:rsid w:val="0037779C"/>
    <w:rsid w:val="003856F7"/>
    <w:rsid w:val="003971F8"/>
    <w:rsid w:val="00397E23"/>
    <w:rsid w:val="003A3233"/>
    <w:rsid w:val="003B3FEE"/>
    <w:rsid w:val="003B60B9"/>
    <w:rsid w:val="003D4467"/>
    <w:rsid w:val="003D5800"/>
    <w:rsid w:val="003E1F37"/>
    <w:rsid w:val="003E3BE0"/>
    <w:rsid w:val="003E441D"/>
    <w:rsid w:val="003F600B"/>
    <w:rsid w:val="0041561E"/>
    <w:rsid w:val="0042096C"/>
    <w:rsid w:val="0042694C"/>
    <w:rsid w:val="00430E59"/>
    <w:rsid w:val="00432B4F"/>
    <w:rsid w:val="00445AD6"/>
    <w:rsid w:val="004528BA"/>
    <w:rsid w:val="00454CD5"/>
    <w:rsid w:val="0047772D"/>
    <w:rsid w:val="004806D0"/>
    <w:rsid w:val="00483668"/>
    <w:rsid w:val="00487164"/>
    <w:rsid w:val="00490B82"/>
    <w:rsid w:val="004925D6"/>
    <w:rsid w:val="00492F9B"/>
    <w:rsid w:val="00495535"/>
    <w:rsid w:val="004A39F7"/>
    <w:rsid w:val="004B0C53"/>
    <w:rsid w:val="004B1F70"/>
    <w:rsid w:val="004B4EDE"/>
    <w:rsid w:val="004D16DA"/>
    <w:rsid w:val="004D4A60"/>
    <w:rsid w:val="004D6D85"/>
    <w:rsid w:val="004D71D6"/>
    <w:rsid w:val="004E6E8A"/>
    <w:rsid w:val="00500BFC"/>
    <w:rsid w:val="005245D3"/>
    <w:rsid w:val="00527CE3"/>
    <w:rsid w:val="00541CFB"/>
    <w:rsid w:val="005508C9"/>
    <w:rsid w:val="00553B1A"/>
    <w:rsid w:val="00557813"/>
    <w:rsid w:val="00561551"/>
    <w:rsid w:val="0056696F"/>
    <w:rsid w:val="00567D75"/>
    <w:rsid w:val="00576271"/>
    <w:rsid w:val="00596E20"/>
    <w:rsid w:val="005B28AF"/>
    <w:rsid w:val="005B54B8"/>
    <w:rsid w:val="005C00EF"/>
    <w:rsid w:val="005C16C3"/>
    <w:rsid w:val="005D0ADB"/>
    <w:rsid w:val="005D4E83"/>
    <w:rsid w:val="005D6882"/>
    <w:rsid w:val="005D6A96"/>
    <w:rsid w:val="005E76DE"/>
    <w:rsid w:val="005F0A22"/>
    <w:rsid w:val="00601A82"/>
    <w:rsid w:val="00602008"/>
    <w:rsid w:val="00607D3E"/>
    <w:rsid w:val="006173A3"/>
    <w:rsid w:val="00632BC5"/>
    <w:rsid w:val="00637EDA"/>
    <w:rsid w:val="00643FB9"/>
    <w:rsid w:val="00650BB2"/>
    <w:rsid w:val="006573C9"/>
    <w:rsid w:val="00664E91"/>
    <w:rsid w:val="00671A5B"/>
    <w:rsid w:val="006764CA"/>
    <w:rsid w:val="006A382C"/>
    <w:rsid w:val="006A52A6"/>
    <w:rsid w:val="006B536E"/>
    <w:rsid w:val="006C02C6"/>
    <w:rsid w:val="006C0A36"/>
    <w:rsid w:val="006C2BBB"/>
    <w:rsid w:val="006C567A"/>
    <w:rsid w:val="006D5E67"/>
    <w:rsid w:val="006E7DD6"/>
    <w:rsid w:val="006F235E"/>
    <w:rsid w:val="006F648E"/>
    <w:rsid w:val="00700075"/>
    <w:rsid w:val="00713775"/>
    <w:rsid w:val="00715603"/>
    <w:rsid w:val="00715E14"/>
    <w:rsid w:val="00721228"/>
    <w:rsid w:val="007220A3"/>
    <w:rsid w:val="0073039A"/>
    <w:rsid w:val="007468EA"/>
    <w:rsid w:val="0075010B"/>
    <w:rsid w:val="0077577B"/>
    <w:rsid w:val="00796831"/>
    <w:rsid w:val="007A214A"/>
    <w:rsid w:val="007A2B48"/>
    <w:rsid w:val="007C0040"/>
    <w:rsid w:val="007C1266"/>
    <w:rsid w:val="007C160F"/>
    <w:rsid w:val="007D02CF"/>
    <w:rsid w:val="007D55EF"/>
    <w:rsid w:val="007D5EB3"/>
    <w:rsid w:val="007E1D71"/>
    <w:rsid w:val="007E30C7"/>
    <w:rsid w:val="007F4223"/>
    <w:rsid w:val="008046FE"/>
    <w:rsid w:val="00806B3A"/>
    <w:rsid w:val="00817675"/>
    <w:rsid w:val="0081781C"/>
    <w:rsid w:val="0082195D"/>
    <w:rsid w:val="00833632"/>
    <w:rsid w:val="00836925"/>
    <w:rsid w:val="00867B73"/>
    <w:rsid w:val="00884FC7"/>
    <w:rsid w:val="008855DE"/>
    <w:rsid w:val="00894E8E"/>
    <w:rsid w:val="008A3EC5"/>
    <w:rsid w:val="008B486E"/>
    <w:rsid w:val="008C37EC"/>
    <w:rsid w:val="008C583C"/>
    <w:rsid w:val="008C7896"/>
    <w:rsid w:val="008E2D81"/>
    <w:rsid w:val="008F2F47"/>
    <w:rsid w:val="00902CAF"/>
    <w:rsid w:val="009103C4"/>
    <w:rsid w:val="009227EB"/>
    <w:rsid w:val="0092489A"/>
    <w:rsid w:val="00925C22"/>
    <w:rsid w:val="00937AFF"/>
    <w:rsid w:val="00944FB1"/>
    <w:rsid w:val="0096025F"/>
    <w:rsid w:val="0097484D"/>
    <w:rsid w:val="009A721D"/>
    <w:rsid w:val="009B3900"/>
    <w:rsid w:val="009B50C5"/>
    <w:rsid w:val="009C41F0"/>
    <w:rsid w:val="009D16EF"/>
    <w:rsid w:val="009D3A2A"/>
    <w:rsid w:val="009E4CB6"/>
    <w:rsid w:val="009F5273"/>
    <w:rsid w:val="009F6A49"/>
    <w:rsid w:val="00A037D4"/>
    <w:rsid w:val="00A06410"/>
    <w:rsid w:val="00A1078F"/>
    <w:rsid w:val="00A13433"/>
    <w:rsid w:val="00A1445F"/>
    <w:rsid w:val="00A2286C"/>
    <w:rsid w:val="00A24DD0"/>
    <w:rsid w:val="00A3356F"/>
    <w:rsid w:val="00A403A0"/>
    <w:rsid w:val="00A42A12"/>
    <w:rsid w:val="00A5038D"/>
    <w:rsid w:val="00A50701"/>
    <w:rsid w:val="00A61C2A"/>
    <w:rsid w:val="00A749BB"/>
    <w:rsid w:val="00A7669E"/>
    <w:rsid w:val="00A85BB1"/>
    <w:rsid w:val="00A9094A"/>
    <w:rsid w:val="00AA306C"/>
    <w:rsid w:val="00AB0716"/>
    <w:rsid w:val="00AC5137"/>
    <w:rsid w:val="00AC559C"/>
    <w:rsid w:val="00AC6B2B"/>
    <w:rsid w:val="00AE0BA9"/>
    <w:rsid w:val="00AF5861"/>
    <w:rsid w:val="00AF605B"/>
    <w:rsid w:val="00B11086"/>
    <w:rsid w:val="00B15F29"/>
    <w:rsid w:val="00B30B18"/>
    <w:rsid w:val="00B372C2"/>
    <w:rsid w:val="00B40A74"/>
    <w:rsid w:val="00B46BB7"/>
    <w:rsid w:val="00B62AA5"/>
    <w:rsid w:val="00B74AE4"/>
    <w:rsid w:val="00B77EF2"/>
    <w:rsid w:val="00B80B71"/>
    <w:rsid w:val="00B928EE"/>
    <w:rsid w:val="00B95B9B"/>
    <w:rsid w:val="00B96C4D"/>
    <w:rsid w:val="00BB3179"/>
    <w:rsid w:val="00BB6F1A"/>
    <w:rsid w:val="00BC35AE"/>
    <w:rsid w:val="00BD17A1"/>
    <w:rsid w:val="00BD6EE3"/>
    <w:rsid w:val="00BE0793"/>
    <w:rsid w:val="00BF6746"/>
    <w:rsid w:val="00C01F16"/>
    <w:rsid w:val="00C04DB3"/>
    <w:rsid w:val="00C04E07"/>
    <w:rsid w:val="00C05009"/>
    <w:rsid w:val="00C242F7"/>
    <w:rsid w:val="00C26972"/>
    <w:rsid w:val="00C43831"/>
    <w:rsid w:val="00C54F54"/>
    <w:rsid w:val="00C60F44"/>
    <w:rsid w:val="00C6377C"/>
    <w:rsid w:val="00C64404"/>
    <w:rsid w:val="00C753A5"/>
    <w:rsid w:val="00C95CBB"/>
    <w:rsid w:val="00C961D3"/>
    <w:rsid w:val="00CA0EE8"/>
    <w:rsid w:val="00CB0992"/>
    <w:rsid w:val="00CD4F81"/>
    <w:rsid w:val="00CF35B9"/>
    <w:rsid w:val="00D0046F"/>
    <w:rsid w:val="00D13513"/>
    <w:rsid w:val="00D17327"/>
    <w:rsid w:val="00D2187E"/>
    <w:rsid w:val="00D30F5D"/>
    <w:rsid w:val="00D33DD7"/>
    <w:rsid w:val="00D359F3"/>
    <w:rsid w:val="00D42725"/>
    <w:rsid w:val="00D528C4"/>
    <w:rsid w:val="00D63D5F"/>
    <w:rsid w:val="00D63F4B"/>
    <w:rsid w:val="00D85F77"/>
    <w:rsid w:val="00D97A53"/>
    <w:rsid w:val="00DA5773"/>
    <w:rsid w:val="00DE4C47"/>
    <w:rsid w:val="00E25560"/>
    <w:rsid w:val="00E42CD9"/>
    <w:rsid w:val="00E449BD"/>
    <w:rsid w:val="00E54B56"/>
    <w:rsid w:val="00E60ED2"/>
    <w:rsid w:val="00E618E2"/>
    <w:rsid w:val="00E715BD"/>
    <w:rsid w:val="00E76E52"/>
    <w:rsid w:val="00EA1E8F"/>
    <w:rsid w:val="00EA29A9"/>
    <w:rsid w:val="00EA4EEA"/>
    <w:rsid w:val="00EA76F0"/>
    <w:rsid w:val="00EB28DE"/>
    <w:rsid w:val="00EB4D00"/>
    <w:rsid w:val="00EB5ADD"/>
    <w:rsid w:val="00EC2912"/>
    <w:rsid w:val="00EC60F5"/>
    <w:rsid w:val="00ED401C"/>
    <w:rsid w:val="00ED4E54"/>
    <w:rsid w:val="00EE0626"/>
    <w:rsid w:val="00EE640E"/>
    <w:rsid w:val="00EF2762"/>
    <w:rsid w:val="00EF3220"/>
    <w:rsid w:val="00EF4CCF"/>
    <w:rsid w:val="00EF6F70"/>
    <w:rsid w:val="00F05EFC"/>
    <w:rsid w:val="00F100B5"/>
    <w:rsid w:val="00F20194"/>
    <w:rsid w:val="00F2740D"/>
    <w:rsid w:val="00F3019A"/>
    <w:rsid w:val="00F30304"/>
    <w:rsid w:val="00F41D5F"/>
    <w:rsid w:val="00F46219"/>
    <w:rsid w:val="00F5460A"/>
    <w:rsid w:val="00F563BC"/>
    <w:rsid w:val="00F56BA4"/>
    <w:rsid w:val="00F56CF2"/>
    <w:rsid w:val="00F5762C"/>
    <w:rsid w:val="00F602CF"/>
    <w:rsid w:val="00F62E84"/>
    <w:rsid w:val="00F63DF6"/>
    <w:rsid w:val="00F63E23"/>
    <w:rsid w:val="00F6674E"/>
    <w:rsid w:val="00F66863"/>
    <w:rsid w:val="00F7020B"/>
    <w:rsid w:val="00F76EE4"/>
    <w:rsid w:val="00F83320"/>
    <w:rsid w:val="00F9243A"/>
    <w:rsid w:val="00FA7BA5"/>
    <w:rsid w:val="00FB4A2D"/>
    <w:rsid w:val="00FB6559"/>
    <w:rsid w:val="00FC63B6"/>
    <w:rsid w:val="00FC711B"/>
    <w:rsid w:val="00FD0378"/>
    <w:rsid w:val="00FD104A"/>
    <w:rsid w:val="00FD38B9"/>
    <w:rsid w:val="00FE0426"/>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0A8171"/>
  <w15:docId w15:val="{FCF23C25-A12B-4F15-8168-C3EDE4FF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CF2"/>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ind w:left="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F602CF"/>
    <w:pPr>
      <w:spacing w:after="120"/>
      <w:ind w:left="360"/>
    </w:pPr>
  </w:style>
  <w:style w:type="character" w:customStyle="1" w:styleId="BodyTextIndentChar">
    <w:name w:val="Body Text Indent Char"/>
    <w:basedOn w:val="DefaultParagraphFont"/>
    <w:link w:val="BodyTextIndent"/>
    <w:uiPriority w:val="99"/>
    <w:semiHidden/>
    <w:rsid w:val="00F602CF"/>
    <w:rPr>
      <w:rFonts w:ascii="Calibri" w:eastAsia="Calibri" w:hAnsi="Calibri"/>
      <w:sz w:val="22"/>
      <w:szCs w:val="22"/>
    </w:rPr>
  </w:style>
  <w:style w:type="character" w:styleId="FollowedHyperlink">
    <w:name w:val="FollowedHyperlink"/>
    <w:basedOn w:val="DefaultParagraphFont"/>
    <w:uiPriority w:val="99"/>
    <w:semiHidden/>
    <w:unhideWhenUsed/>
    <w:rsid w:val="00650BB2"/>
    <w:rPr>
      <w:color w:val="800080" w:themeColor="followedHyperlink"/>
      <w:u w:val="single"/>
    </w:rPr>
  </w:style>
  <w:style w:type="character" w:styleId="CommentReference">
    <w:name w:val="annotation reference"/>
    <w:basedOn w:val="DefaultParagraphFont"/>
    <w:uiPriority w:val="99"/>
    <w:semiHidden/>
    <w:unhideWhenUsed/>
    <w:rsid w:val="004B1F70"/>
    <w:rPr>
      <w:sz w:val="16"/>
      <w:szCs w:val="16"/>
    </w:rPr>
  </w:style>
  <w:style w:type="paragraph" w:styleId="CommentText">
    <w:name w:val="annotation text"/>
    <w:basedOn w:val="Normal"/>
    <w:link w:val="CommentTextChar"/>
    <w:uiPriority w:val="99"/>
    <w:semiHidden/>
    <w:unhideWhenUsed/>
    <w:rsid w:val="004B1F70"/>
    <w:pPr>
      <w:spacing w:line="240" w:lineRule="auto"/>
    </w:pPr>
    <w:rPr>
      <w:sz w:val="20"/>
      <w:szCs w:val="20"/>
    </w:rPr>
  </w:style>
  <w:style w:type="character" w:customStyle="1" w:styleId="CommentTextChar">
    <w:name w:val="Comment Text Char"/>
    <w:basedOn w:val="DefaultParagraphFont"/>
    <w:link w:val="CommentText"/>
    <w:uiPriority w:val="99"/>
    <w:semiHidden/>
    <w:rsid w:val="004B1F7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4B1F70"/>
    <w:rPr>
      <w:b/>
      <w:bCs/>
    </w:rPr>
  </w:style>
  <w:style w:type="character" w:customStyle="1" w:styleId="CommentSubjectChar">
    <w:name w:val="Comment Subject Char"/>
    <w:basedOn w:val="CommentTextChar"/>
    <w:link w:val="CommentSubject"/>
    <w:uiPriority w:val="99"/>
    <w:semiHidden/>
    <w:rsid w:val="004B1F70"/>
    <w:rPr>
      <w:rFonts w:ascii="Calibri" w:eastAsia="Calibri" w:hAnsi="Calibri"/>
      <w:b/>
      <w:bCs/>
      <w:sz w:val="20"/>
      <w:szCs w:val="20"/>
    </w:rPr>
  </w:style>
  <w:style w:type="paragraph" w:styleId="BalloonText">
    <w:name w:val="Balloon Text"/>
    <w:basedOn w:val="Normal"/>
    <w:link w:val="BalloonTextChar"/>
    <w:uiPriority w:val="99"/>
    <w:semiHidden/>
    <w:unhideWhenUsed/>
    <w:rsid w:val="004B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70"/>
    <w:rPr>
      <w:rFonts w:ascii="Tahoma" w:eastAsia="Calibri" w:hAnsi="Tahoma" w:cs="Tahoma"/>
      <w:sz w:val="16"/>
      <w:szCs w:val="16"/>
    </w:rPr>
  </w:style>
  <w:style w:type="table" w:styleId="TableGrid">
    <w:name w:val="Table Grid"/>
    <w:basedOn w:val="TableNormal"/>
    <w:uiPriority w:val="59"/>
    <w:rsid w:val="00397E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4CA"/>
    <w:rPr>
      <w:rFonts w:ascii="Calibri" w:eastAsia="Calibri" w:hAnsi="Calibri"/>
      <w:sz w:val="22"/>
      <w:szCs w:val="22"/>
    </w:rPr>
  </w:style>
  <w:style w:type="paragraph" w:styleId="Footer">
    <w:name w:val="footer"/>
    <w:basedOn w:val="Normal"/>
    <w:link w:val="FooterChar"/>
    <w:uiPriority w:val="99"/>
    <w:unhideWhenUsed/>
    <w:rsid w:val="00676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4CA"/>
    <w:rPr>
      <w:rFonts w:ascii="Calibri" w:eastAsia="Calibri" w:hAnsi="Calibri"/>
      <w:sz w:val="22"/>
      <w:szCs w:val="22"/>
    </w:rPr>
  </w:style>
  <w:style w:type="paragraph" w:styleId="Revision">
    <w:name w:val="Revision"/>
    <w:hidden/>
    <w:uiPriority w:val="99"/>
    <w:semiHidden/>
    <w:rsid w:val="00576271"/>
    <w:pPr>
      <w:spacing w:line="240" w:lineRule="auto"/>
    </w:pPr>
    <w:rPr>
      <w:rFonts w:ascii="Calibri" w:eastAsia="Calibri" w:hAnsi="Calibri"/>
      <w:sz w:val="22"/>
      <w:szCs w:val="22"/>
    </w:rPr>
  </w:style>
  <w:style w:type="paragraph" w:styleId="BodyTextIndent2">
    <w:name w:val="Body Text Indent 2"/>
    <w:basedOn w:val="Normal"/>
    <w:link w:val="BodyTextIndent2Char"/>
    <w:uiPriority w:val="99"/>
    <w:unhideWhenUsed/>
    <w:rsid w:val="006F235E"/>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6F235E"/>
    <w:rPr>
      <w:rFonts w:ascii="Times New Roman" w:eastAsia="Times New Roman" w:hAnsi="Times New Roman"/>
      <w:szCs w:val="24"/>
    </w:rPr>
  </w:style>
  <w:style w:type="paragraph" w:customStyle="1" w:styleId="Level1">
    <w:name w:val="Level 1"/>
    <w:basedOn w:val="Normal"/>
    <w:rsid w:val="006F235E"/>
    <w:pPr>
      <w:widowControl w:val="0"/>
      <w:numPr>
        <w:numId w:val="14"/>
      </w:numPr>
      <w:autoSpaceDE w:val="0"/>
      <w:autoSpaceDN w:val="0"/>
      <w:adjustRightInd w:val="0"/>
      <w:spacing w:after="0" w:line="240" w:lineRule="auto"/>
      <w:ind w:left="474" w:hanging="186"/>
      <w:outlineLvl w:val="0"/>
    </w:pPr>
    <w:rPr>
      <w:rFonts w:ascii="Times New Roman" w:eastAsia="Times New Roman" w:hAnsi="Times New Roman"/>
      <w:sz w:val="24"/>
      <w:szCs w:val="24"/>
    </w:rPr>
  </w:style>
  <w:style w:type="paragraph" w:customStyle="1" w:styleId="Level2">
    <w:name w:val="Level 2"/>
    <w:basedOn w:val="Normal"/>
    <w:rsid w:val="006F235E"/>
    <w:pPr>
      <w:widowControl w:val="0"/>
      <w:autoSpaceDE w:val="0"/>
      <w:autoSpaceDN w:val="0"/>
      <w:adjustRightInd w:val="0"/>
      <w:spacing w:after="0" w:line="240" w:lineRule="auto"/>
      <w:ind w:left="722" w:hanging="36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E76F-74BA-41C5-93E2-02ECE61F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 Parkhill</dc:creator>
  <cp:lastModifiedBy>Wolfgang, Dawn</cp:lastModifiedBy>
  <cp:revision>2</cp:revision>
  <cp:lastPrinted>2019-02-14T14:28:00Z</cp:lastPrinted>
  <dcterms:created xsi:type="dcterms:W3CDTF">2020-04-22T14:27:00Z</dcterms:created>
  <dcterms:modified xsi:type="dcterms:W3CDTF">2020-04-22T14:27:00Z</dcterms:modified>
</cp:coreProperties>
</file>