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1953" w:rsidR="00871718" w:rsidP="009C0E77" w:rsidRDefault="00C00DE3">
      <w:pPr>
        <w:pStyle w:val="BodyTextIndent"/>
        <w:spacing w:after="0"/>
        <w:ind w:left="0"/>
        <w:rPr>
          <w:rFonts w:ascii="Times New Roman" w:hAnsi="Times New Roman"/>
          <w:b/>
          <w:szCs w:val="24"/>
        </w:rPr>
      </w:pPr>
      <w:bookmarkStart w:name="_GoBack" w:id="0"/>
      <w:bookmarkEnd w:id="0"/>
      <w:r w:rsidRPr="009C0E77">
        <w:rPr>
          <w:rFonts w:ascii="Times New Roman" w:hAnsi="Times New Roman"/>
          <w:b/>
          <w:szCs w:val="24"/>
        </w:rPr>
        <w:t>Emergency Alert System (EAS)</w:t>
      </w:r>
      <w:r w:rsidR="00FF1A69">
        <w:rPr>
          <w:rFonts w:ascii="Times New Roman" w:hAnsi="Times New Roman"/>
          <w:b/>
          <w:szCs w:val="24"/>
        </w:rPr>
        <w:t>,</w:t>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001418F9">
        <w:rPr>
          <w:szCs w:val="24"/>
        </w:rPr>
        <w:t xml:space="preserve">         </w:t>
      </w:r>
      <w:r w:rsidRPr="00140937" w:rsidR="00894050">
        <w:rPr>
          <w:rFonts w:ascii="Times New Roman" w:hAnsi="Times New Roman"/>
          <w:b/>
          <w:szCs w:val="24"/>
        </w:rPr>
        <w:t>3060-0207</w:t>
      </w:r>
    </w:p>
    <w:p w:rsidRPr="001418F9" w:rsidR="00894050" w:rsidP="00FF1A69" w:rsidRDefault="00B268F1">
      <w:pPr>
        <w:pStyle w:val="BodyTextIndent"/>
        <w:spacing w:after="0"/>
        <w:ind w:left="0"/>
        <w:rPr>
          <w:rFonts w:ascii="Times New Roman" w:hAnsi="Times New Roman"/>
          <w:b/>
          <w:szCs w:val="24"/>
        </w:rPr>
      </w:pPr>
      <w:proofErr w:type="gramStart"/>
      <w:r w:rsidRPr="00312709">
        <w:rPr>
          <w:rFonts w:ascii="Times New Roman" w:hAnsi="Times New Roman"/>
          <w:b/>
          <w:szCs w:val="24"/>
        </w:rPr>
        <w:t>Order</w:t>
      </w:r>
      <w:r w:rsidRPr="00312709" w:rsidR="003B146B">
        <w:rPr>
          <w:rFonts w:ascii="Times New Roman" w:hAnsi="Times New Roman"/>
          <w:b/>
          <w:szCs w:val="24"/>
        </w:rPr>
        <w:t xml:space="preserve">,  </w:t>
      </w:r>
      <w:r w:rsidRPr="00312709" w:rsidR="00D10F28">
        <w:rPr>
          <w:rFonts w:ascii="Times New Roman" w:hAnsi="Times New Roman"/>
          <w:b/>
          <w:szCs w:val="24"/>
        </w:rPr>
        <w:t>FCC</w:t>
      </w:r>
      <w:proofErr w:type="gramEnd"/>
      <w:r w:rsidRPr="00312709" w:rsidR="00D10F28">
        <w:rPr>
          <w:rFonts w:ascii="Times New Roman" w:hAnsi="Times New Roman"/>
          <w:b/>
          <w:szCs w:val="24"/>
        </w:rPr>
        <w:t xml:space="preserve"> </w:t>
      </w:r>
      <w:r w:rsidRPr="00312709" w:rsidR="00333513">
        <w:rPr>
          <w:rFonts w:ascii="Times New Roman" w:hAnsi="Times New Roman"/>
          <w:b/>
          <w:szCs w:val="24"/>
        </w:rPr>
        <w:t>1</w:t>
      </w:r>
      <w:r w:rsidRPr="00312709" w:rsidR="00312709">
        <w:rPr>
          <w:rFonts w:ascii="Times New Roman" w:hAnsi="Times New Roman"/>
          <w:b/>
          <w:szCs w:val="24"/>
        </w:rPr>
        <w:t>9</w:t>
      </w:r>
      <w:r w:rsidRPr="00312709" w:rsidR="00333513">
        <w:rPr>
          <w:rFonts w:ascii="Times New Roman" w:hAnsi="Times New Roman"/>
          <w:b/>
          <w:szCs w:val="24"/>
        </w:rPr>
        <w:t>-</w:t>
      </w:r>
      <w:r w:rsidRPr="00312709" w:rsidR="00312709">
        <w:rPr>
          <w:rFonts w:ascii="Times New Roman" w:hAnsi="Times New Roman"/>
          <w:b/>
          <w:szCs w:val="24"/>
        </w:rPr>
        <w:t>57</w:t>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00E1775A">
        <w:rPr>
          <w:rFonts w:ascii="Times New Roman" w:hAnsi="Times New Roman"/>
          <w:b/>
          <w:szCs w:val="24"/>
        </w:rPr>
        <w:tab/>
        <w:t xml:space="preserve">         </w:t>
      </w:r>
      <w:r w:rsidRPr="00312709" w:rsidR="001819D0">
        <w:rPr>
          <w:rFonts w:ascii="Times New Roman" w:hAnsi="Times New Roman"/>
          <w:b/>
          <w:szCs w:val="24"/>
        </w:rPr>
        <w:t xml:space="preserve"> </w:t>
      </w:r>
      <w:r w:rsidR="00D376E7">
        <w:rPr>
          <w:rFonts w:ascii="Times New Roman" w:hAnsi="Times New Roman"/>
          <w:b/>
          <w:szCs w:val="24"/>
        </w:rPr>
        <w:t xml:space="preserve">        April 2020 </w:t>
      </w:r>
    </w:p>
    <w:p w:rsidRPr="00921953" w:rsidR="00894050" w:rsidP="00921953" w:rsidRDefault="00894050">
      <w:pPr>
        <w:pStyle w:val="BodyTextIndent"/>
        <w:jc w:val="right"/>
        <w:rPr>
          <w:rFonts w:ascii="Times New Roman" w:hAnsi="Times New Roman"/>
          <w:szCs w:val="24"/>
        </w:rPr>
      </w:pPr>
    </w:p>
    <w:p w:rsidRPr="00921953" w:rsidR="00894050" w:rsidP="00921953" w:rsidRDefault="00894050">
      <w:pPr>
        <w:pStyle w:val="BodyTextIndent"/>
        <w:jc w:val="center"/>
        <w:rPr>
          <w:rFonts w:ascii="Times New Roman" w:hAnsi="Times New Roman"/>
          <w:szCs w:val="24"/>
        </w:rPr>
      </w:pPr>
      <w:r w:rsidRPr="00921953">
        <w:rPr>
          <w:rFonts w:ascii="Times New Roman" w:hAnsi="Times New Roman"/>
          <w:szCs w:val="24"/>
        </w:rPr>
        <w:t>SUPPORTING STATEMENT</w:t>
      </w:r>
    </w:p>
    <w:p w:rsidRPr="00921953" w:rsidR="00902962" w:rsidP="00921953" w:rsidRDefault="00871718">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Pr="00921953" w:rsidR="00894050">
        <w:rPr>
          <w:rFonts w:ascii="Times New Roman" w:hAnsi="Times New Roman" w:cs="Times New Roman"/>
          <w:sz w:val="24"/>
          <w:szCs w:val="24"/>
          <w:u w:val="single"/>
        </w:rPr>
        <w:t>Justification:</w:t>
      </w:r>
    </w:p>
    <w:p w:rsidRPr="00921953" w:rsidR="00894050" w:rsidP="00921953" w:rsidRDefault="00894050">
      <w:pPr>
        <w:rPr>
          <w:rFonts w:ascii="Times New Roman" w:hAnsi="Times New Roman"/>
          <w:szCs w:val="24"/>
        </w:rPr>
      </w:pPr>
    </w:p>
    <w:p w:rsidR="00D376E7" w:rsidP="00D376E7" w:rsidRDefault="00EB2D5A">
      <w:pPr>
        <w:spacing w:after="120"/>
        <w:rPr>
          <w:rFonts w:ascii="Times New Roman" w:hAnsi="Times New Roman"/>
          <w:szCs w:val="24"/>
        </w:rPr>
      </w:pPr>
      <w:r w:rsidRPr="00921953">
        <w:rPr>
          <w:rFonts w:ascii="Times New Roman" w:hAnsi="Times New Roman"/>
          <w:szCs w:val="24"/>
        </w:rPr>
        <w:t xml:space="preserve">Part 11 contains rules and regulations </w:t>
      </w:r>
      <w:r w:rsidRPr="00921953" w:rsidR="001E3E40">
        <w:rPr>
          <w:rFonts w:ascii="Times New Roman" w:hAnsi="Times New Roman"/>
          <w:szCs w:val="24"/>
        </w:rPr>
        <w:t xml:space="preserve">addressing </w:t>
      </w:r>
      <w:r w:rsidRPr="00921953" w:rsidR="005308F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Pr="00921953" w:rsidR="005261A4">
        <w:rPr>
          <w:rFonts w:ascii="Times New Roman" w:hAnsi="Times New Roman"/>
          <w:szCs w:val="24"/>
        </w:rPr>
        <w:t>The EAS also provides state and local government</w:t>
      </w:r>
      <w:r w:rsidRPr="00921953" w:rsidR="00FA09A2">
        <w:rPr>
          <w:rFonts w:ascii="Times New Roman" w:hAnsi="Times New Roman"/>
          <w:szCs w:val="24"/>
        </w:rPr>
        <w:t>s</w:t>
      </w:r>
      <w:r w:rsidRPr="00921953" w:rsidR="005261A4">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r w:rsidR="00D15C84">
        <w:rPr>
          <w:rFonts w:ascii="Times New Roman" w:hAnsi="Times New Roman"/>
          <w:szCs w:val="24"/>
        </w:rPr>
        <w:t xml:space="preserve">  State and local use of the EAS is required to be described in State EAS Plans that are administered by </w:t>
      </w:r>
      <w:r w:rsidRPr="00D15C84" w:rsidR="00D15C84">
        <w:rPr>
          <w:rFonts w:ascii="Times New Roman" w:hAnsi="Times New Roman"/>
          <w:szCs w:val="24"/>
        </w:rPr>
        <w:t>State Emergency Communications Committees (SECC)</w:t>
      </w:r>
      <w:r w:rsidR="00D15C84">
        <w:rPr>
          <w:rFonts w:ascii="Times New Roman" w:hAnsi="Times New Roman"/>
          <w:szCs w:val="24"/>
        </w:rPr>
        <w:t xml:space="preserve"> and submitted to the FCC for approval.</w:t>
      </w:r>
    </w:p>
    <w:p w:rsidRPr="00D376E7" w:rsidR="00D376E7" w:rsidP="00D376E7" w:rsidRDefault="00D376E7">
      <w:pPr>
        <w:keepNext/>
        <w:spacing w:before="240" w:after="60"/>
        <w:outlineLvl w:val="0"/>
        <w:rPr>
          <w:rFonts w:ascii="Times New Roman" w:hAnsi="Times New Roman"/>
          <w:b/>
          <w:bCs/>
          <w:kern w:val="32"/>
          <w:szCs w:val="24"/>
          <w:u w:val="single"/>
        </w:rPr>
      </w:pPr>
      <w:r w:rsidRPr="00D376E7">
        <w:rPr>
          <w:rFonts w:ascii="Times New Roman" w:hAnsi="Times New Roman"/>
          <w:b/>
          <w:bCs/>
          <w:kern w:val="32"/>
          <w:szCs w:val="24"/>
          <w:u w:val="single"/>
        </w:rPr>
        <w:t>Non-Substantive Change Request:</w:t>
      </w:r>
    </w:p>
    <w:p w:rsidRPr="00D376E7" w:rsidR="00D376E7" w:rsidP="00D376E7" w:rsidRDefault="00D376E7">
      <w:pPr>
        <w:rPr>
          <w:rFonts w:ascii="Times New Roman" w:hAnsi="Times New Roman"/>
          <w:szCs w:val="24"/>
        </w:rPr>
      </w:pPr>
    </w:p>
    <w:p w:rsidRPr="00D376E7" w:rsidR="00D376E7" w:rsidP="00D376E7" w:rsidRDefault="00D376E7">
      <w:pPr>
        <w:rPr>
          <w:rFonts w:ascii="Times New Roman" w:hAnsi="Times New Roman"/>
          <w:szCs w:val="24"/>
        </w:rPr>
      </w:pPr>
      <w:r w:rsidRPr="00D376E7">
        <w:rPr>
          <w:rFonts w:ascii="Times New Roman" w:hAnsi="Times New Roman"/>
          <w:szCs w:val="24"/>
        </w:rPr>
        <w:t xml:space="preserve">The FCC is proposing non-substantive updates to previously approved collections represented by the forms associated with the mandatory electronic EAS Test Reporting System (ETRS) that EAS Participants must utilize to file identifying and test result data as part of their participation in any authorized nationwide EAS tests (3060-0207).  The collections in the modified ETRS forms are consistent with those approved by the Office of Management and Budget in the 2011 and 2017 revisions to the EAS PRA collection set forth in the FCC’s EAS Third Report and Order and in the related 2011 emergency request (and subsequent standard request) for approval of the electronic version of that previously approved collection (and the PRA filing made for the ETRS when it became a mandatory filing mechanism in 2015).  </w:t>
      </w:r>
    </w:p>
    <w:p w:rsidRPr="00D376E7" w:rsidR="00D376E7" w:rsidP="00D376E7" w:rsidRDefault="00D376E7">
      <w:pPr>
        <w:rPr>
          <w:rFonts w:ascii="Times New Roman" w:hAnsi="Times New Roman"/>
          <w:szCs w:val="24"/>
        </w:rPr>
      </w:pPr>
    </w:p>
    <w:p w:rsidRPr="00D376E7" w:rsidR="00D376E7" w:rsidP="00D376E7" w:rsidRDefault="00D376E7">
      <w:pPr>
        <w:rPr>
          <w:rFonts w:ascii="Times New Roman" w:hAnsi="Times New Roman"/>
          <w:szCs w:val="24"/>
        </w:rPr>
      </w:pPr>
      <w:r w:rsidRPr="00D376E7">
        <w:rPr>
          <w:rFonts w:ascii="Times New Roman" w:hAnsi="Times New Roman"/>
          <w:szCs w:val="24"/>
        </w:rPr>
        <w:t xml:space="preserve">The current modification to the ETRS is to improve and clarify the filing experience.  Every change requested either improves efficiency or clarifies previously unclear points for the user.  In some cases, we are proposing to implement changes that users requested.  The FCC’s Public Safety and Homeland Security Bureau (PSHSB or Bureau), working with the ETRS developers, has made every effort to draft these modifications to be minimal, non-material changes, consistent with previous OMB approvals. </w:t>
      </w:r>
    </w:p>
    <w:p w:rsidRPr="00D376E7" w:rsidR="00D376E7" w:rsidP="00D376E7" w:rsidRDefault="00D376E7">
      <w:pPr>
        <w:rPr>
          <w:rFonts w:ascii="Times New Roman" w:hAnsi="Times New Roman"/>
          <w:szCs w:val="24"/>
        </w:rPr>
      </w:pPr>
    </w:p>
    <w:p w:rsidRPr="00D376E7" w:rsidR="00D376E7" w:rsidP="00D376E7" w:rsidRDefault="00D376E7">
      <w:pPr>
        <w:autoSpaceDE w:val="0"/>
        <w:autoSpaceDN w:val="0"/>
        <w:adjustRightInd w:val="0"/>
        <w:spacing w:after="120"/>
        <w:contextualSpacing/>
        <w:rPr>
          <w:rFonts w:ascii="Times New Roman" w:hAnsi="Times New Roman"/>
          <w:szCs w:val="24"/>
        </w:rPr>
      </w:pPr>
      <w:r w:rsidRPr="00D376E7">
        <w:rPr>
          <w:rFonts w:ascii="Times New Roman" w:hAnsi="Times New Roman"/>
          <w:szCs w:val="24"/>
        </w:rPr>
        <w:t>The updates to this collection will cause no change in the burden estimates or reporting and record keeping requirements that the Commission submitted (and which OMB subsequently approved) for the 2011 and 2017 systems.</w:t>
      </w:r>
    </w:p>
    <w:p w:rsidRPr="00D376E7" w:rsidR="00D376E7" w:rsidP="00D376E7" w:rsidRDefault="00D376E7">
      <w:pPr>
        <w:rPr>
          <w:rFonts w:ascii="Times New Roman" w:hAnsi="Times New Roman"/>
          <w:szCs w:val="24"/>
        </w:rPr>
      </w:pPr>
    </w:p>
    <w:p w:rsidRPr="00D376E7" w:rsidR="00D376E7" w:rsidP="00D376E7" w:rsidRDefault="00D376E7">
      <w:pPr>
        <w:rPr>
          <w:rFonts w:ascii="Times New Roman" w:hAnsi="Times New Roman"/>
          <w:b/>
          <w:sz w:val="22"/>
          <w:szCs w:val="22"/>
        </w:rPr>
      </w:pPr>
      <w:r w:rsidRPr="00D376E7">
        <w:rPr>
          <w:rFonts w:ascii="Times New Roman" w:hAnsi="Times New Roman"/>
          <w:b/>
        </w:rPr>
        <w:t>Summary of Proposed Changes</w:t>
      </w:r>
      <w:r w:rsidRPr="00D376E7">
        <w:rPr>
          <w:rFonts w:ascii="Times New Roman" w:hAnsi="Times New Roman"/>
          <w:b/>
          <w:bCs/>
        </w:rPr>
        <w:t>:</w:t>
      </w:r>
    </w:p>
    <w:p w:rsidRPr="00D376E7" w:rsidR="00D376E7" w:rsidP="00D376E7" w:rsidRDefault="00D376E7">
      <w:pPr>
        <w:rPr>
          <w:rFonts w:ascii="Times New Roman" w:hAnsi="Times New Roman"/>
          <w:b/>
          <w:bCs/>
          <w:u w:val="single"/>
        </w:rPr>
      </w:pPr>
    </w:p>
    <w:p w:rsidRPr="00D376E7" w:rsidR="00D376E7" w:rsidP="00D376E7" w:rsidRDefault="00D376E7">
      <w:pPr>
        <w:widowControl/>
        <w:numPr>
          <w:ilvl w:val="0"/>
          <w:numId w:val="9"/>
        </w:numPr>
        <w:spacing w:after="160" w:line="259" w:lineRule="auto"/>
        <w:contextualSpacing/>
        <w:rPr>
          <w:rFonts w:ascii="Times New Roman" w:hAnsi="Times New Roman" w:eastAsiaTheme="minorHAnsi"/>
          <w:b/>
          <w:bCs/>
          <w:snapToGrid/>
          <w:szCs w:val="24"/>
          <w:u w:val="single"/>
        </w:rPr>
      </w:pPr>
      <w:r w:rsidRPr="00D376E7">
        <w:rPr>
          <w:rFonts w:ascii="Times New Roman" w:hAnsi="Times New Roman" w:eastAsiaTheme="minorHAnsi"/>
          <w:b/>
          <w:bCs/>
          <w:snapToGrid/>
          <w:szCs w:val="24"/>
          <w:u w:val="single"/>
        </w:rPr>
        <w:t xml:space="preserve">Add a search feature under “My Filings.” </w:t>
      </w:r>
    </w:p>
    <w:p w:rsidRPr="00D376E7" w:rsidR="00D376E7" w:rsidP="00D376E7" w:rsidRDefault="00D376E7">
      <w:pPr>
        <w:rPr>
          <w:rFonts w:ascii="Times New Roman" w:hAnsi="Times New Roman"/>
        </w:rPr>
      </w:pPr>
      <w:r w:rsidRPr="00D376E7">
        <w:rPr>
          <w:rFonts w:ascii="Times New Roman" w:hAnsi="Times New Roman"/>
        </w:rPr>
        <w:t xml:space="preserve">Enable a search function within the “My Filings” icon (i.e., by name, call sign, and/or FRN).  Once a filer clicks on “My Filings,” the filer sees a table listing the ETRS filer’s previous filings submitted in past test cycles (See Figure 1).  While typically individual EAS Participants will only have three previous filings listed (one for each test cycle filed in the current ETRS system), </w:t>
      </w:r>
      <w:r w:rsidRPr="00D376E7">
        <w:rPr>
          <w:rFonts w:ascii="Times New Roman" w:hAnsi="Times New Roman"/>
        </w:rPr>
        <w:lastRenderedPageBreak/>
        <w:t xml:space="preserve">some filers are authorized to file on behalf of several different EAS Participants, thereby listing ETRS records in the tens and hundreds.  As the website is currently configured, those filers cannot easily find a </w:t>
      </w:r>
      <w:proofErr w:type="gramStart"/>
      <w:r w:rsidRPr="00D376E7">
        <w:rPr>
          <w:rFonts w:ascii="Times New Roman" w:hAnsi="Times New Roman"/>
        </w:rPr>
        <w:t>particular Participant’s</w:t>
      </w:r>
      <w:proofErr w:type="gramEnd"/>
      <w:r w:rsidRPr="00D376E7">
        <w:rPr>
          <w:rFonts w:ascii="Times New Roman" w:hAnsi="Times New Roman"/>
        </w:rPr>
        <w:t xml:space="preserve"> previous filings in the lengthy list.  This solution will allow filers to access previously filed ETRS records more effectively and efficiently by searching based on relevant criteria (i.e., call sign or test year).  Adding this function could reduce filing time.  We propose to add an open-text field, or a similar function like a drop-down menu, to input search terms for each column in Figure 2.  This will allow filers to access previously filed ETRS records based on relevant search criteria (i.e., call sign or test year).</w:t>
      </w:r>
    </w:p>
    <w:p w:rsidRPr="00D376E7" w:rsidR="00D376E7" w:rsidP="00D376E7" w:rsidRDefault="00D376E7">
      <w:pPr>
        <w:rPr>
          <w:rFonts w:ascii="Times New Roman" w:hAnsi="Times New Roman"/>
        </w:rPr>
      </w:pPr>
    </w:p>
    <w:p w:rsidRPr="00D376E7" w:rsidR="00D376E7" w:rsidP="00D376E7" w:rsidRDefault="00D376E7">
      <w:pPr>
        <w:rPr>
          <w:rFonts w:ascii="Times New Roman" w:hAnsi="Times New Roman"/>
        </w:rPr>
      </w:pPr>
    </w:p>
    <w:p w:rsidRPr="00D376E7" w:rsidR="00D376E7" w:rsidP="00D376E7" w:rsidRDefault="00D376E7">
      <w:pPr>
        <w:widowControl/>
        <w:numPr>
          <w:ilvl w:val="0"/>
          <w:numId w:val="9"/>
        </w:numPr>
        <w:spacing w:after="160" w:line="259" w:lineRule="auto"/>
        <w:contextualSpacing/>
        <w:rPr>
          <w:rFonts w:ascii="Times New Roman" w:hAnsi="Times New Roman" w:eastAsiaTheme="minorHAnsi"/>
          <w:b/>
          <w:bCs/>
          <w:snapToGrid/>
          <w:szCs w:val="24"/>
          <w:u w:val="single"/>
        </w:rPr>
      </w:pPr>
      <w:r w:rsidRPr="00D376E7">
        <w:rPr>
          <w:rFonts w:ascii="Times New Roman" w:hAnsi="Times New Roman" w:eastAsiaTheme="minorHAnsi"/>
          <w:b/>
          <w:bCs/>
          <w:snapToGrid/>
          <w:szCs w:val="24"/>
          <w:u w:val="single"/>
        </w:rPr>
        <w:t>Extra Batch Filing Instructions</w:t>
      </w:r>
    </w:p>
    <w:p w:rsidRPr="00D376E7" w:rsidR="00D376E7" w:rsidP="00D376E7" w:rsidRDefault="00D376E7">
      <w:pPr>
        <w:rPr>
          <w:rFonts w:ascii="Times New Roman" w:hAnsi="Times New Roman"/>
        </w:rPr>
      </w:pPr>
      <w:r w:rsidRPr="00D376E7">
        <w:rPr>
          <w:rFonts w:ascii="Times New Roman" w:hAnsi="Times New Roman"/>
        </w:rPr>
        <w:t xml:space="preserve">We propose to include batch filing request instructions clarifying that any field that contains a drop-down option must be filled in by the drop-down response, rather than a typed-in response.  The information filers provide is the same, but we propose that the filing system give additional instructions.  Currently, if a filer submitting a batch filing request types in a response where selection from a drop-down list of responses is required, the filer will receive an error message, and the batch filing request will not be processed in ETRS.  To reduce the number of filings that are rejected by ETRS, we propose to add language to the batch filing instructions clarifying that for fields with a drop-down option, filers must select from the drop-down list.  </w:t>
      </w:r>
    </w:p>
    <w:p w:rsidRPr="00D376E7" w:rsidR="00D376E7" w:rsidP="00D376E7" w:rsidRDefault="00D376E7">
      <w:pPr>
        <w:rPr>
          <w:rFonts w:ascii="Times New Roman" w:hAnsi="Times New Roman"/>
        </w:rPr>
      </w:pPr>
    </w:p>
    <w:p w:rsidRPr="00D376E7" w:rsidR="00D376E7" w:rsidP="00D376E7" w:rsidRDefault="00D376E7">
      <w:pPr>
        <w:rPr>
          <w:rFonts w:ascii="Times New Roman" w:hAnsi="Times New Roman"/>
        </w:rPr>
      </w:pPr>
      <w:r w:rsidRPr="00D376E7">
        <w:rPr>
          <w:rFonts w:ascii="Times New Roman" w:hAnsi="Times New Roman"/>
        </w:rPr>
        <w:t>The additional instructional language to be added to the ETRS batch filing instructions, set forth in green, in Figure 3, and as indicated by the yellow arrow, is essentially as follows: When a drop-down list of responses is provided, please select a data entry from the drop-down list.  Do not attempt to edit or type in your response in lieu of a selection from the drop-down list or your filing will be rejected.</w:t>
      </w:r>
    </w:p>
    <w:p w:rsidRPr="00D376E7" w:rsidR="00D376E7" w:rsidP="00D376E7" w:rsidRDefault="00D376E7">
      <w:pPr>
        <w:rPr>
          <w:rFonts w:ascii="Times New Roman" w:hAnsi="Times New Roman"/>
        </w:rPr>
      </w:pPr>
    </w:p>
    <w:p w:rsidRPr="00D376E7" w:rsidR="00D376E7" w:rsidP="00D376E7" w:rsidRDefault="00D376E7">
      <w:pPr>
        <w:widowControl/>
        <w:numPr>
          <w:ilvl w:val="0"/>
          <w:numId w:val="9"/>
        </w:numPr>
        <w:spacing w:after="160" w:line="259" w:lineRule="auto"/>
        <w:contextualSpacing/>
        <w:rPr>
          <w:rFonts w:ascii="Times New Roman" w:hAnsi="Times New Roman" w:eastAsiaTheme="minorHAnsi"/>
          <w:b/>
          <w:bCs/>
          <w:snapToGrid/>
          <w:szCs w:val="24"/>
          <w:u w:val="single"/>
        </w:rPr>
      </w:pPr>
      <w:r w:rsidRPr="00D376E7">
        <w:rPr>
          <w:rFonts w:ascii="Times New Roman" w:hAnsi="Times New Roman" w:eastAsiaTheme="minorHAnsi"/>
          <w:b/>
          <w:bCs/>
          <w:snapToGrid/>
          <w:szCs w:val="24"/>
          <w:u w:val="single"/>
        </w:rPr>
        <w:t>Revise Language in Form Three Regarding Accessibility</w:t>
      </w:r>
    </w:p>
    <w:p w:rsidRPr="00D376E7" w:rsidR="00D376E7" w:rsidP="00D376E7" w:rsidRDefault="00D376E7">
      <w:pPr>
        <w:rPr>
          <w:rFonts w:ascii="Times New Roman" w:hAnsi="Times New Roman"/>
        </w:rPr>
      </w:pPr>
      <w:r w:rsidRPr="00D376E7">
        <w:rPr>
          <w:rFonts w:ascii="Times New Roman" w:hAnsi="Times New Roman"/>
        </w:rPr>
        <w:t xml:space="preserve">We seek to refine language on accessibility in two locations.  First, we revise the clarifying information that appears when a filer elects to fill the Form Three receipt explanation text box (Figure 4).  We propose to do the same for the Form Three retransmission explanation text box (Figure 5).  It would read essentially as follows, with additional language in italics, and removed language in strikethrough:  If appropriate, please include technical information on equipment performance, as well as information regarding accessibility of the test alert to non-English speakers and people with disabilities.  (For example, the text crawl must be </w:t>
      </w:r>
      <w:r w:rsidRPr="00D376E7">
        <w:rPr>
          <w:rFonts w:ascii="Times New Roman" w:hAnsi="Times New Roman"/>
          <w:strike/>
        </w:rPr>
        <w:t>fully accessible</w:t>
      </w:r>
      <w:r w:rsidRPr="00D376E7">
        <w:rPr>
          <w:rFonts w:ascii="Times New Roman" w:hAnsi="Times New Roman"/>
        </w:rPr>
        <w:t xml:space="preserve"> </w:t>
      </w:r>
      <w:r w:rsidRPr="00D376E7">
        <w:rPr>
          <w:rFonts w:ascii="Times New Roman" w:hAnsi="Times New Roman"/>
          <w:i/>
          <w:iCs/>
        </w:rPr>
        <w:t>readily readable and understandable (i.e. font size, color, contrast, location, and speed)</w:t>
      </w:r>
      <w:r w:rsidRPr="00D376E7">
        <w:rPr>
          <w:rFonts w:ascii="Times New Roman" w:hAnsi="Times New Roman"/>
        </w:rPr>
        <w:t xml:space="preserve"> and not interfere with closed captioning </w:t>
      </w:r>
      <w:r w:rsidRPr="00D376E7">
        <w:rPr>
          <w:rFonts w:ascii="Times New Roman" w:hAnsi="Times New Roman"/>
          <w:i/>
          <w:iCs/>
        </w:rPr>
        <w:t>or other visual messages</w:t>
      </w:r>
      <w:r w:rsidRPr="00D376E7">
        <w:rPr>
          <w:rFonts w:ascii="Times New Roman" w:hAnsi="Times New Roman"/>
        </w:rPr>
        <w:t>, and the audio portion of the EAS message must play in full at least once during any EAS message.)  If you wish to attach a document or image, you can do so by clicking on the paperclip icon at the top of this form.</w:t>
      </w:r>
    </w:p>
    <w:p w:rsidRPr="00D376E7" w:rsidR="00D376E7" w:rsidP="00D376E7" w:rsidRDefault="00D376E7">
      <w:pPr>
        <w:rPr>
          <w:rFonts w:ascii="Times New Roman" w:hAnsi="Times New Roman"/>
        </w:rPr>
      </w:pPr>
    </w:p>
    <w:p w:rsidRPr="00D376E7" w:rsidR="00D376E7" w:rsidP="00D376E7" w:rsidRDefault="00D376E7">
      <w:pPr>
        <w:widowControl/>
        <w:numPr>
          <w:ilvl w:val="0"/>
          <w:numId w:val="9"/>
        </w:numPr>
        <w:spacing w:after="160" w:line="259" w:lineRule="auto"/>
        <w:contextualSpacing/>
        <w:rPr>
          <w:rFonts w:ascii="Times New Roman" w:hAnsi="Times New Roman" w:eastAsiaTheme="minorHAnsi"/>
          <w:b/>
          <w:bCs/>
          <w:snapToGrid/>
          <w:szCs w:val="24"/>
          <w:u w:val="single"/>
        </w:rPr>
      </w:pPr>
      <w:r w:rsidRPr="00D376E7">
        <w:rPr>
          <w:rFonts w:ascii="Times New Roman" w:hAnsi="Times New Roman" w:eastAsiaTheme="minorHAnsi"/>
          <w:b/>
          <w:bCs/>
          <w:snapToGrid/>
          <w:szCs w:val="24"/>
          <w:u w:val="single"/>
        </w:rPr>
        <w:t xml:space="preserve">Add Language to ETRS Form One Clarifying How to Pre-Populate Data.  </w:t>
      </w:r>
    </w:p>
    <w:p w:rsidRPr="00D376E7" w:rsidR="00D376E7" w:rsidP="00D376E7" w:rsidRDefault="00D376E7">
      <w:pPr>
        <w:rPr>
          <w:rFonts w:ascii="Times New Roman" w:hAnsi="Times New Roman"/>
        </w:rPr>
      </w:pPr>
      <w:r w:rsidRPr="00D376E7">
        <w:rPr>
          <w:rFonts w:ascii="Times New Roman" w:hAnsi="Times New Roman"/>
        </w:rPr>
        <w:t xml:space="preserve">We seek to clarify the ETRS system’s instructions on how a filer may pre-populate the data within Form One from data submitted in previous years.  We propose to add language to the instructions section at the beginning of ETRS Form One clarifying how to pre-populate the data.  We will use the following proposed language, or something essentially the same.  It will be added to the existing information about reviewing pre-populated information and accuracy and updating data through the OPIF (see Figure 6 at yellow arrow):  Broadcasters can pre-populate </w:t>
      </w:r>
      <w:r w:rsidRPr="00D376E7">
        <w:rPr>
          <w:rFonts w:ascii="Times New Roman" w:hAnsi="Times New Roman"/>
        </w:rPr>
        <w:lastRenderedPageBreak/>
        <w:t>Form One by completing the FRN, EAS Participant Type, and Facility ID fields.  Cable systems can pre-populate Form One by completing the FRN, EAS Participant Type, and PSID fields.</w:t>
      </w:r>
    </w:p>
    <w:p w:rsidRPr="00D376E7" w:rsidR="00D376E7" w:rsidP="00D376E7" w:rsidRDefault="00D376E7">
      <w:pPr>
        <w:rPr>
          <w:rFonts w:ascii="Times New Roman" w:hAnsi="Times New Roman"/>
          <w:b/>
          <w:bCs/>
          <w:szCs w:val="24"/>
          <w:u w:val="single"/>
        </w:rPr>
      </w:pPr>
    </w:p>
    <w:p w:rsidRPr="00D376E7" w:rsidR="00D376E7" w:rsidP="00D376E7" w:rsidRDefault="00D376E7">
      <w:pPr>
        <w:widowControl/>
        <w:numPr>
          <w:ilvl w:val="0"/>
          <w:numId w:val="9"/>
        </w:numPr>
        <w:spacing w:after="160" w:line="259" w:lineRule="auto"/>
        <w:contextualSpacing/>
        <w:rPr>
          <w:rFonts w:ascii="Times New Roman" w:hAnsi="Times New Roman" w:eastAsiaTheme="minorHAnsi"/>
          <w:b/>
          <w:bCs/>
          <w:snapToGrid/>
          <w:szCs w:val="24"/>
          <w:u w:val="single"/>
        </w:rPr>
      </w:pPr>
      <w:r w:rsidRPr="00D376E7">
        <w:rPr>
          <w:rFonts w:ascii="Times New Roman" w:hAnsi="Times New Roman" w:eastAsiaTheme="minorHAnsi"/>
          <w:b/>
          <w:bCs/>
          <w:snapToGrid/>
          <w:szCs w:val="24"/>
          <w:u w:val="single"/>
        </w:rPr>
        <w:t xml:space="preserve">Enable Access Within ETRS to Spanish-language Preparation Sheets </w:t>
      </w:r>
    </w:p>
    <w:p w:rsidRPr="00D376E7" w:rsidR="00D376E7" w:rsidP="00D376E7" w:rsidRDefault="00D376E7">
      <w:pPr>
        <w:rPr>
          <w:rFonts w:ascii="Times New Roman" w:hAnsi="Times New Roman"/>
        </w:rPr>
      </w:pPr>
      <w:r w:rsidRPr="00D376E7">
        <w:rPr>
          <w:rFonts w:ascii="Times New Roman" w:hAnsi="Times New Roman"/>
        </w:rPr>
        <w:t xml:space="preserve">Although Spanish-language “prep sheets” are available on the FCC’s ETRS website to help Spanish-speaking filers file ETRS forms, adding access to translated prep sheets for the ETRS forms within the database would enable Spanish-speaking filers to directly access that resource when submitting in ETRS.  FCC Licensing Support representatives informed the Bureau that a “high volume” of Spanish filers have requested assistance when filing forms in ETRS.  The additional translated instructions, taken from the FCC webpage, will be available through hyperlinks or a similar vehicle using the following language, or something similar, to indicate where filers can access information in Spanish:  </w:t>
      </w:r>
      <w:proofErr w:type="spellStart"/>
      <w:r w:rsidRPr="00D376E7">
        <w:rPr>
          <w:rFonts w:ascii="Times New Roman" w:hAnsi="Times New Roman"/>
        </w:rPr>
        <w:t>Aquí</w:t>
      </w:r>
      <w:proofErr w:type="spellEnd"/>
      <w:r w:rsidRPr="00D376E7">
        <w:rPr>
          <w:rFonts w:ascii="Times New Roman" w:hAnsi="Times New Roman"/>
        </w:rPr>
        <w:t xml:space="preserve"> </w:t>
      </w:r>
      <w:proofErr w:type="spellStart"/>
      <w:r w:rsidRPr="00D376E7">
        <w:rPr>
          <w:rFonts w:ascii="Times New Roman" w:hAnsi="Times New Roman"/>
        </w:rPr>
        <w:t>encontrará</w:t>
      </w:r>
      <w:proofErr w:type="spellEnd"/>
      <w:r w:rsidRPr="00D376E7">
        <w:rPr>
          <w:rFonts w:ascii="Times New Roman" w:hAnsi="Times New Roman"/>
        </w:rPr>
        <w:t xml:space="preserve"> </w:t>
      </w:r>
      <w:proofErr w:type="spellStart"/>
      <w:r w:rsidRPr="00D376E7">
        <w:rPr>
          <w:rFonts w:ascii="Times New Roman" w:hAnsi="Times New Roman"/>
        </w:rPr>
        <w:t>información</w:t>
      </w:r>
      <w:proofErr w:type="spellEnd"/>
      <w:r w:rsidRPr="00D376E7">
        <w:rPr>
          <w:rFonts w:ascii="Times New Roman" w:hAnsi="Times New Roman"/>
        </w:rPr>
        <w:t xml:space="preserve"> </w:t>
      </w:r>
      <w:proofErr w:type="spellStart"/>
      <w:r w:rsidRPr="00D376E7">
        <w:rPr>
          <w:rFonts w:ascii="Times New Roman" w:hAnsi="Times New Roman"/>
        </w:rPr>
        <w:t>en</w:t>
      </w:r>
      <w:proofErr w:type="spellEnd"/>
      <w:r w:rsidRPr="00D376E7">
        <w:rPr>
          <w:rFonts w:ascii="Times New Roman" w:hAnsi="Times New Roman"/>
        </w:rPr>
        <w:t xml:space="preserve"> </w:t>
      </w:r>
      <w:proofErr w:type="spellStart"/>
      <w:r w:rsidRPr="00D376E7">
        <w:rPr>
          <w:rFonts w:ascii="Times New Roman" w:hAnsi="Times New Roman"/>
        </w:rPr>
        <w:t>español</w:t>
      </w:r>
      <w:proofErr w:type="spellEnd"/>
      <w:r w:rsidRPr="00D376E7">
        <w:rPr>
          <w:rFonts w:ascii="Times New Roman" w:hAnsi="Times New Roman"/>
        </w:rPr>
        <w:t xml:space="preserve"> para </w:t>
      </w:r>
      <w:proofErr w:type="spellStart"/>
      <w:r w:rsidRPr="00D376E7">
        <w:rPr>
          <w:rFonts w:ascii="Times New Roman" w:hAnsi="Times New Roman"/>
        </w:rPr>
        <w:t>completar</w:t>
      </w:r>
      <w:proofErr w:type="spellEnd"/>
      <w:r w:rsidRPr="00D376E7">
        <w:rPr>
          <w:rFonts w:ascii="Times New Roman" w:hAnsi="Times New Roman"/>
        </w:rPr>
        <w:t xml:space="preserve"> el </w:t>
      </w:r>
      <w:proofErr w:type="spellStart"/>
      <w:r w:rsidRPr="00D376E7">
        <w:rPr>
          <w:rFonts w:ascii="Times New Roman" w:hAnsi="Times New Roman"/>
        </w:rPr>
        <w:t>Fomulario</w:t>
      </w:r>
      <w:proofErr w:type="spellEnd"/>
      <w:r w:rsidRPr="00D376E7">
        <w:rPr>
          <w:rFonts w:ascii="Times New Roman" w:hAnsi="Times New Roman"/>
        </w:rPr>
        <w:t xml:space="preserve"> Uno (Form One).  </w:t>
      </w:r>
      <w:proofErr w:type="spellStart"/>
      <w:r w:rsidRPr="00D376E7">
        <w:rPr>
          <w:rFonts w:ascii="Times New Roman" w:hAnsi="Times New Roman"/>
        </w:rPr>
        <w:t>Aquí</w:t>
      </w:r>
      <w:proofErr w:type="spellEnd"/>
      <w:r w:rsidRPr="00D376E7">
        <w:rPr>
          <w:rFonts w:ascii="Times New Roman" w:hAnsi="Times New Roman"/>
        </w:rPr>
        <w:t xml:space="preserve"> </w:t>
      </w:r>
      <w:proofErr w:type="spellStart"/>
      <w:r w:rsidRPr="00D376E7">
        <w:rPr>
          <w:rFonts w:ascii="Times New Roman" w:hAnsi="Times New Roman"/>
        </w:rPr>
        <w:t>encontrará</w:t>
      </w:r>
      <w:proofErr w:type="spellEnd"/>
      <w:r w:rsidRPr="00D376E7">
        <w:rPr>
          <w:rFonts w:ascii="Times New Roman" w:hAnsi="Times New Roman"/>
        </w:rPr>
        <w:t xml:space="preserve"> </w:t>
      </w:r>
      <w:proofErr w:type="spellStart"/>
      <w:r w:rsidRPr="00D376E7">
        <w:rPr>
          <w:rFonts w:ascii="Times New Roman" w:hAnsi="Times New Roman"/>
        </w:rPr>
        <w:t>información</w:t>
      </w:r>
      <w:proofErr w:type="spellEnd"/>
      <w:r w:rsidRPr="00D376E7">
        <w:rPr>
          <w:rFonts w:ascii="Times New Roman" w:hAnsi="Times New Roman"/>
        </w:rPr>
        <w:t xml:space="preserve"> </w:t>
      </w:r>
      <w:proofErr w:type="spellStart"/>
      <w:r w:rsidRPr="00D376E7">
        <w:rPr>
          <w:rFonts w:ascii="Times New Roman" w:hAnsi="Times New Roman"/>
        </w:rPr>
        <w:t>en</w:t>
      </w:r>
      <w:proofErr w:type="spellEnd"/>
      <w:r w:rsidRPr="00D376E7">
        <w:rPr>
          <w:rFonts w:ascii="Times New Roman" w:hAnsi="Times New Roman"/>
        </w:rPr>
        <w:t xml:space="preserve"> </w:t>
      </w:r>
      <w:proofErr w:type="spellStart"/>
      <w:r w:rsidRPr="00D376E7">
        <w:rPr>
          <w:rFonts w:ascii="Times New Roman" w:hAnsi="Times New Roman"/>
        </w:rPr>
        <w:t>español</w:t>
      </w:r>
      <w:proofErr w:type="spellEnd"/>
      <w:r w:rsidRPr="00D376E7">
        <w:rPr>
          <w:rFonts w:ascii="Times New Roman" w:hAnsi="Times New Roman"/>
        </w:rPr>
        <w:t xml:space="preserve"> para </w:t>
      </w:r>
      <w:proofErr w:type="spellStart"/>
      <w:r w:rsidRPr="00D376E7">
        <w:rPr>
          <w:rFonts w:ascii="Times New Roman" w:hAnsi="Times New Roman"/>
        </w:rPr>
        <w:t>completar</w:t>
      </w:r>
      <w:proofErr w:type="spellEnd"/>
      <w:r w:rsidRPr="00D376E7">
        <w:rPr>
          <w:rFonts w:ascii="Times New Roman" w:hAnsi="Times New Roman"/>
        </w:rPr>
        <w:t xml:space="preserve"> el </w:t>
      </w:r>
      <w:proofErr w:type="spellStart"/>
      <w:r w:rsidRPr="00D376E7">
        <w:rPr>
          <w:rFonts w:ascii="Times New Roman" w:hAnsi="Times New Roman"/>
        </w:rPr>
        <w:t>Formulario</w:t>
      </w:r>
      <w:proofErr w:type="spellEnd"/>
      <w:r w:rsidRPr="00D376E7">
        <w:rPr>
          <w:rFonts w:ascii="Times New Roman" w:hAnsi="Times New Roman"/>
        </w:rPr>
        <w:t xml:space="preserve"> Dos (Form Two) y el </w:t>
      </w:r>
      <w:proofErr w:type="spellStart"/>
      <w:r w:rsidRPr="00D376E7">
        <w:rPr>
          <w:rFonts w:ascii="Times New Roman" w:hAnsi="Times New Roman"/>
        </w:rPr>
        <w:t>Formulario</w:t>
      </w:r>
      <w:proofErr w:type="spellEnd"/>
      <w:r w:rsidRPr="00D376E7">
        <w:rPr>
          <w:rFonts w:ascii="Times New Roman" w:hAnsi="Times New Roman"/>
        </w:rPr>
        <w:t xml:space="preserve"> Tres (Form Three).</w:t>
      </w:r>
    </w:p>
    <w:p w:rsidRPr="00D376E7" w:rsidR="00D376E7" w:rsidP="00D376E7" w:rsidRDefault="00D376E7">
      <w:pPr>
        <w:rPr>
          <w:rFonts w:ascii="Times New Roman" w:hAnsi="Times New Roman"/>
        </w:rPr>
      </w:pPr>
    </w:p>
    <w:p w:rsidRPr="00D376E7" w:rsidR="00D376E7" w:rsidP="00D376E7" w:rsidRDefault="00D376E7">
      <w:pPr>
        <w:widowControl/>
        <w:numPr>
          <w:ilvl w:val="0"/>
          <w:numId w:val="9"/>
        </w:numPr>
        <w:spacing w:after="160" w:line="259" w:lineRule="auto"/>
        <w:contextualSpacing/>
        <w:rPr>
          <w:rFonts w:ascii="Times New Roman" w:hAnsi="Times New Roman" w:eastAsiaTheme="minorHAnsi"/>
          <w:b/>
          <w:bCs/>
          <w:snapToGrid/>
          <w:szCs w:val="24"/>
          <w:u w:val="single"/>
        </w:rPr>
      </w:pPr>
      <w:r w:rsidRPr="00D376E7">
        <w:rPr>
          <w:rFonts w:ascii="Times New Roman" w:hAnsi="Times New Roman" w:eastAsiaTheme="minorHAnsi"/>
          <w:b/>
          <w:bCs/>
          <w:snapToGrid/>
          <w:szCs w:val="24"/>
          <w:u w:val="single"/>
        </w:rPr>
        <w:t xml:space="preserve">Add language clarifying how to manually add missing call signs in ETRS Form One.  </w:t>
      </w:r>
    </w:p>
    <w:p w:rsidRPr="00D376E7" w:rsidR="00D376E7" w:rsidP="00D376E7" w:rsidRDefault="00D376E7">
      <w:pPr>
        <w:rPr>
          <w:rFonts w:ascii="Times New Roman" w:hAnsi="Times New Roman"/>
        </w:rPr>
      </w:pPr>
      <w:r w:rsidRPr="00D376E7">
        <w:rPr>
          <w:rFonts w:ascii="Times New Roman" w:hAnsi="Times New Roman"/>
        </w:rPr>
        <w:t>The ETRS database pulls call sign information nightly from the Online Public Inspection File (OPIF), which pulls call sign data from the Consolidated Database System (CBDS) and updates the available options within Form One.  However, some filers’ call signs of their monitoring assignments did not automatically populate.  Currently, EAS Participants can manually add missing call signs, but it is not clear or intuitive how to do so.  We propose to add clarifying language to the instructions currently provided for the “Other Monitored Sources” field to instruct filers how to manually add missing call signs.  The additional instructional language, to be added to existing instructions for completing the “Other Monitored Sources” field (see Figure 7 at yellow arrow), is as follows:  EAS Participants may manually add missing call signs by inputting them into the “Other Monitored Sources” field in Form One.</w:t>
      </w:r>
    </w:p>
    <w:p w:rsidR="00D376E7" w:rsidP="00312709" w:rsidRDefault="00D376E7">
      <w:pPr>
        <w:autoSpaceDE w:val="0"/>
        <w:autoSpaceDN w:val="0"/>
        <w:adjustRightInd w:val="0"/>
        <w:spacing w:after="120"/>
        <w:rPr>
          <w:rFonts w:ascii="Times New Roman" w:hAnsi="Times New Roman"/>
          <w:szCs w:val="24"/>
        </w:rPr>
      </w:pPr>
    </w:p>
    <w:p w:rsidR="00AE56A8" w:rsidP="00312709" w:rsidRDefault="00AE56A8">
      <w:pPr>
        <w:autoSpaceDE w:val="0"/>
        <w:autoSpaceDN w:val="0"/>
        <w:adjustRightInd w:val="0"/>
        <w:spacing w:after="120"/>
        <w:rPr>
          <w:rFonts w:ascii="Times New Roman" w:hAnsi="Times New Roman"/>
          <w:szCs w:val="24"/>
        </w:rPr>
      </w:pPr>
    </w:p>
    <w:p w:rsidRPr="00F11B69" w:rsidR="00AE56A8" w:rsidP="00AE56A8" w:rsidRDefault="00AE56A8">
      <w:pPr>
        <w:autoSpaceDE w:val="0"/>
        <w:autoSpaceDN w:val="0"/>
        <w:adjustRightInd w:val="0"/>
        <w:spacing w:after="120"/>
        <w:rPr>
          <w:rFonts w:ascii="Times New Roman" w:hAnsi="Times New Roman"/>
          <w:b/>
          <w:szCs w:val="24"/>
          <w:u w:val="single"/>
        </w:rPr>
      </w:pPr>
      <w:r w:rsidRPr="00F11B69">
        <w:rPr>
          <w:rFonts w:ascii="Times New Roman" w:hAnsi="Times New Roman"/>
          <w:b/>
          <w:szCs w:val="24"/>
          <w:u w:val="single"/>
        </w:rPr>
        <w:t xml:space="preserve">Revisions to Information Collection </w:t>
      </w:r>
      <w:r>
        <w:rPr>
          <w:rFonts w:ascii="Times New Roman" w:hAnsi="Times New Roman"/>
          <w:b/>
          <w:szCs w:val="24"/>
          <w:u w:val="single"/>
        </w:rPr>
        <w:t>Requirements W</w:t>
      </w:r>
      <w:r w:rsidRPr="00F11B69">
        <w:rPr>
          <w:rFonts w:ascii="Times New Roman" w:hAnsi="Times New Roman"/>
          <w:b/>
          <w:szCs w:val="24"/>
          <w:u w:val="single"/>
        </w:rPr>
        <w:t xml:space="preserve">hich </w:t>
      </w:r>
      <w:r>
        <w:rPr>
          <w:rFonts w:ascii="Times New Roman" w:hAnsi="Times New Roman"/>
          <w:b/>
          <w:szCs w:val="24"/>
          <w:u w:val="single"/>
        </w:rPr>
        <w:t>Require OMB Approval</w:t>
      </w:r>
    </w:p>
    <w:p w:rsidR="00AE56A8" w:rsidP="00312709" w:rsidRDefault="00AE56A8">
      <w:pPr>
        <w:autoSpaceDE w:val="0"/>
        <w:autoSpaceDN w:val="0"/>
        <w:adjustRightInd w:val="0"/>
        <w:spacing w:after="120"/>
        <w:rPr>
          <w:rFonts w:ascii="Times New Roman" w:hAnsi="Times New Roman"/>
          <w:szCs w:val="24"/>
        </w:rPr>
      </w:pPr>
    </w:p>
    <w:p w:rsidR="00312709" w:rsidP="00312709" w:rsidRDefault="00297174">
      <w:pPr>
        <w:autoSpaceDE w:val="0"/>
        <w:autoSpaceDN w:val="0"/>
        <w:adjustRightInd w:val="0"/>
        <w:spacing w:after="120"/>
        <w:rPr>
          <w:rFonts w:ascii="Times New Roman" w:hAnsi="Times New Roman"/>
          <w:szCs w:val="24"/>
        </w:rPr>
      </w:pPr>
      <w:r w:rsidRPr="00F378C6">
        <w:rPr>
          <w:rFonts w:ascii="Times New Roman" w:hAnsi="Times New Roman"/>
          <w:szCs w:val="24"/>
        </w:rPr>
        <w:t xml:space="preserve">The FCC is submitting this </w:t>
      </w:r>
      <w:r>
        <w:rPr>
          <w:rFonts w:ascii="Times New Roman" w:hAnsi="Times New Roman"/>
          <w:szCs w:val="24"/>
        </w:rPr>
        <w:t xml:space="preserve">information collection to the Office of Management and Budget (OMB) </w:t>
      </w:r>
      <w:r w:rsidR="009A7888">
        <w:rPr>
          <w:rFonts w:ascii="Times New Roman" w:hAnsi="Times New Roman"/>
          <w:szCs w:val="24"/>
        </w:rPr>
        <w:t xml:space="preserve">as a </w:t>
      </w:r>
      <w:r w:rsidRPr="002F1939" w:rsidR="002F1939">
        <w:rPr>
          <w:rFonts w:ascii="Times New Roman" w:hAnsi="Times New Roman"/>
          <w:szCs w:val="24"/>
        </w:rPr>
        <w:t>revision of the previously</w:t>
      </w:r>
      <w:r w:rsidR="002F1939">
        <w:rPr>
          <w:rFonts w:ascii="Times New Roman" w:hAnsi="Times New Roman"/>
          <w:szCs w:val="24"/>
        </w:rPr>
        <w:t xml:space="preserve"> </w:t>
      </w:r>
      <w:r w:rsidRPr="002F1939" w:rsidR="002F1939">
        <w:rPr>
          <w:rFonts w:ascii="Times New Roman" w:hAnsi="Times New Roman"/>
          <w:szCs w:val="24"/>
        </w:rPr>
        <w:t xml:space="preserve">approved information collection that established </w:t>
      </w:r>
      <w:r w:rsidR="00312709">
        <w:rPr>
          <w:rFonts w:ascii="Times New Roman" w:hAnsi="Times New Roman"/>
          <w:szCs w:val="24"/>
        </w:rPr>
        <w:t xml:space="preserve">EAS </w:t>
      </w:r>
      <w:proofErr w:type="spellStart"/>
      <w:r w:rsidR="00312709">
        <w:rPr>
          <w:rFonts w:ascii="Times New Roman" w:hAnsi="Times New Roman"/>
          <w:szCs w:val="24"/>
        </w:rPr>
        <w:t>testb</w:t>
      </w:r>
      <w:r w:rsidR="00205520">
        <w:rPr>
          <w:rFonts w:ascii="Times New Roman" w:hAnsi="Times New Roman"/>
          <w:szCs w:val="24"/>
        </w:rPr>
        <w:t>u</w:t>
      </w:r>
      <w:r w:rsidR="00312709">
        <w:rPr>
          <w:rFonts w:ascii="Times New Roman" w:hAnsi="Times New Roman"/>
          <w:szCs w:val="24"/>
        </w:rPr>
        <w:t>g</w:t>
      </w:r>
      <w:proofErr w:type="spellEnd"/>
      <w:r w:rsidR="00312709">
        <w:rPr>
          <w:rFonts w:ascii="Times New Roman" w:hAnsi="Times New Roman"/>
          <w:szCs w:val="24"/>
        </w:rPr>
        <w:t xml:space="preserve"> requirements for </w:t>
      </w:r>
      <w:r w:rsidRPr="00312709" w:rsidR="00312709">
        <w:rPr>
          <w:rFonts w:ascii="Times New Roman" w:hAnsi="Times New Roman"/>
          <w:szCs w:val="24"/>
        </w:rPr>
        <w:t>Satellite Digital</w:t>
      </w:r>
      <w:r w:rsidR="00312709">
        <w:rPr>
          <w:rFonts w:ascii="Times New Roman" w:hAnsi="Times New Roman"/>
          <w:szCs w:val="24"/>
        </w:rPr>
        <w:t xml:space="preserve"> </w:t>
      </w:r>
      <w:r w:rsidRPr="00312709" w:rsidR="00312709">
        <w:rPr>
          <w:rFonts w:ascii="Times New Roman" w:hAnsi="Times New Roman"/>
          <w:szCs w:val="24"/>
        </w:rPr>
        <w:t>Audio Radio Service (SDARS)</w:t>
      </w:r>
      <w:r w:rsidR="00312709">
        <w:rPr>
          <w:rFonts w:ascii="Times New Roman" w:hAnsi="Times New Roman"/>
          <w:szCs w:val="24"/>
        </w:rPr>
        <w:t xml:space="preserve"> providers.  Specifically, t</w:t>
      </w:r>
      <w:r w:rsidR="00333513">
        <w:rPr>
          <w:rFonts w:ascii="Times New Roman" w:hAnsi="Times New Roman"/>
          <w:szCs w:val="24"/>
        </w:rPr>
        <w:t xml:space="preserve">his information collection amends the Part 11 EAS rules </w:t>
      </w:r>
      <w:r w:rsidR="00312709">
        <w:rPr>
          <w:rFonts w:ascii="Times New Roman" w:hAnsi="Times New Roman"/>
          <w:szCs w:val="24"/>
        </w:rPr>
        <w:t xml:space="preserve">to (i) eliminate </w:t>
      </w:r>
      <w:r w:rsidRPr="00312709" w:rsidR="00312709">
        <w:rPr>
          <w:rFonts w:ascii="Times New Roman" w:hAnsi="Times New Roman"/>
          <w:szCs w:val="24"/>
        </w:rPr>
        <w:t>requir</w:t>
      </w:r>
      <w:r w:rsidR="00312709">
        <w:rPr>
          <w:rFonts w:ascii="Times New Roman" w:hAnsi="Times New Roman"/>
          <w:szCs w:val="24"/>
        </w:rPr>
        <w:t>ing</w:t>
      </w:r>
      <w:r w:rsidRPr="00312709" w:rsidR="00312709">
        <w:rPr>
          <w:rFonts w:ascii="Times New Roman" w:hAnsi="Times New Roman"/>
          <w:szCs w:val="24"/>
        </w:rPr>
        <w:t xml:space="preserve"> SDARS providers to</w:t>
      </w:r>
      <w:r w:rsidR="00312709">
        <w:rPr>
          <w:rFonts w:ascii="Times New Roman" w:hAnsi="Times New Roman"/>
          <w:szCs w:val="24"/>
        </w:rPr>
        <w:t xml:space="preserve"> transmit weekly tests in favor of requiring them to only</w:t>
      </w:r>
      <w:r w:rsidRPr="00312709" w:rsidR="00312709">
        <w:rPr>
          <w:rFonts w:ascii="Times New Roman" w:hAnsi="Times New Roman"/>
          <w:szCs w:val="24"/>
        </w:rPr>
        <w:t xml:space="preserve"> log receipt of the weekly test, and</w:t>
      </w:r>
      <w:r w:rsidR="00312709">
        <w:rPr>
          <w:rFonts w:ascii="Times New Roman" w:hAnsi="Times New Roman"/>
          <w:szCs w:val="24"/>
        </w:rPr>
        <w:t xml:space="preserve"> </w:t>
      </w:r>
      <w:r w:rsidR="00A37AF8">
        <w:rPr>
          <w:rFonts w:ascii="Times New Roman" w:hAnsi="Times New Roman"/>
          <w:szCs w:val="24"/>
        </w:rPr>
        <w:t xml:space="preserve">(ii) </w:t>
      </w:r>
      <w:r w:rsidR="00312709">
        <w:rPr>
          <w:rFonts w:ascii="Times New Roman" w:hAnsi="Times New Roman"/>
          <w:szCs w:val="24"/>
        </w:rPr>
        <w:t xml:space="preserve">eliminate the requirement that </w:t>
      </w:r>
      <w:r w:rsidRPr="00312709" w:rsidR="00312709">
        <w:rPr>
          <w:rFonts w:ascii="Times New Roman" w:hAnsi="Times New Roman"/>
          <w:szCs w:val="24"/>
        </w:rPr>
        <w:t>SDARS providers transmit</w:t>
      </w:r>
      <w:r w:rsidR="00A37AF8">
        <w:rPr>
          <w:rFonts w:ascii="Times New Roman" w:hAnsi="Times New Roman"/>
          <w:szCs w:val="24"/>
        </w:rPr>
        <w:t xml:space="preserve"> monthly test on all channels </w:t>
      </w:r>
      <w:r w:rsidRPr="00312709" w:rsidR="00312709">
        <w:rPr>
          <w:rFonts w:ascii="Times New Roman" w:hAnsi="Times New Roman"/>
          <w:szCs w:val="24"/>
        </w:rPr>
        <w:t>in favor of requiring them to</w:t>
      </w:r>
      <w:r w:rsidR="00A37AF8">
        <w:rPr>
          <w:rFonts w:ascii="Times New Roman" w:hAnsi="Times New Roman"/>
          <w:szCs w:val="24"/>
        </w:rPr>
        <w:t xml:space="preserve"> </w:t>
      </w:r>
      <w:r w:rsidRPr="00312709" w:rsidR="00312709">
        <w:rPr>
          <w:rFonts w:ascii="Times New Roman" w:hAnsi="Times New Roman"/>
          <w:szCs w:val="24"/>
        </w:rPr>
        <w:t xml:space="preserve">transmit the monthly test on 10% of all of </w:t>
      </w:r>
      <w:r w:rsidR="00A37AF8">
        <w:rPr>
          <w:rFonts w:ascii="Times New Roman" w:hAnsi="Times New Roman"/>
          <w:szCs w:val="24"/>
        </w:rPr>
        <w:t xml:space="preserve">their </w:t>
      </w:r>
      <w:r w:rsidRPr="00312709" w:rsidR="00312709">
        <w:rPr>
          <w:rFonts w:ascii="Times New Roman" w:hAnsi="Times New Roman"/>
          <w:szCs w:val="24"/>
        </w:rPr>
        <w:t>channels, with channels tested varying from month to</w:t>
      </w:r>
      <w:r w:rsidR="00A37AF8">
        <w:rPr>
          <w:rFonts w:ascii="Times New Roman" w:hAnsi="Times New Roman"/>
          <w:szCs w:val="24"/>
        </w:rPr>
        <w:t xml:space="preserve"> </w:t>
      </w:r>
      <w:r w:rsidRPr="00312709" w:rsidR="00312709">
        <w:rPr>
          <w:rFonts w:ascii="Times New Roman" w:hAnsi="Times New Roman"/>
          <w:szCs w:val="24"/>
        </w:rPr>
        <w:t>month, so that over the course of a given year, 100% of all of its channels are tested.</w:t>
      </w:r>
      <w:r w:rsidR="005156E3">
        <w:rPr>
          <w:rFonts w:ascii="Times New Roman" w:hAnsi="Times New Roman"/>
          <w:szCs w:val="24"/>
        </w:rPr>
        <w:t xml:space="preserve">  This action harmonizes the EAS testing requirements applied to SDARS service with those applied to the similarly situated D</w:t>
      </w:r>
      <w:r w:rsidRPr="005156E3" w:rsidR="005156E3">
        <w:rPr>
          <w:rFonts w:ascii="Times New Roman" w:hAnsi="Times New Roman"/>
          <w:szCs w:val="24"/>
        </w:rPr>
        <w:t>irect Broadcast Satellite (DBS)</w:t>
      </w:r>
      <w:r w:rsidR="005156E3">
        <w:rPr>
          <w:rFonts w:ascii="Times New Roman" w:hAnsi="Times New Roman"/>
          <w:szCs w:val="24"/>
        </w:rPr>
        <w:t xml:space="preserve"> service.</w:t>
      </w:r>
      <w:r w:rsidRPr="005156E3" w:rsidR="005156E3">
        <w:rPr>
          <w:rFonts w:ascii="Times New Roman" w:hAnsi="Times New Roman"/>
          <w:szCs w:val="24"/>
        </w:rPr>
        <w:t xml:space="preserve"> </w:t>
      </w:r>
      <w:r w:rsidR="00A37AF8">
        <w:rPr>
          <w:rFonts w:ascii="Times New Roman" w:hAnsi="Times New Roman"/>
          <w:szCs w:val="24"/>
        </w:rPr>
        <w:t xml:space="preserve">  </w:t>
      </w:r>
    </w:p>
    <w:p w:rsidR="00A37AF8" w:rsidP="00A37AF8" w:rsidRDefault="00EC534D">
      <w:pPr>
        <w:autoSpaceDE w:val="0"/>
        <w:autoSpaceDN w:val="0"/>
        <w:adjustRightInd w:val="0"/>
        <w:spacing w:after="120"/>
        <w:rPr>
          <w:rFonts w:ascii="Times New Roman" w:hAnsi="Times New Roman"/>
          <w:szCs w:val="24"/>
        </w:rPr>
      </w:pPr>
      <w:r>
        <w:rPr>
          <w:rFonts w:ascii="Times New Roman" w:hAnsi="Times New Roman"/>
          <w:szCs w:val="24"/>
        </w:rPr>
        <w:t xml:space="preserve">For the decisions adopted in </w:t>
      </w:r>
      <w:r w:rsidR="00EB2B93">
        <w:rPr>
          <w:rFonts w:ascii="Times New Roman" w:hAnsi="Times New Roman"/>
          <w:szCs w:val="24"/>
        </w:rPr>
        <w:t xml:space="preserve">the </w:t>
      </w:r>
      <w:r w:rsidRPr="0062405E">
        <w:rPr>
          <w:rFonts w:ascii="Times New Roman" w:hAnsi="Times New Roman"/>
          <w:szCs w:val="24"/>
        </w:rPr>
        <w:t>Order</w:t>
      </w:r>
      <w:r>
        <w:rPr>
          <w:rFonts w:ascii="Times New Roman" w:hAnsi="Times New Roman"/>
          <w:szCs w:val="24"/>
        </w:rPr>
        <w:t xml:space="preserve">, </w:t>
      </w:r>
      <w:r w:rsidRPr="00A37AF8" w:rsidR="00A37AF8">
        <w:rPr>
          <w:rFonts w:ascii="Times New Roman" w:hAnsi="Times New Roman"/>
          <w:szCs w:val="24"/>
        </w:rPr>
        <w:t>EB Docket No. 04-296</w:t>
      </w:r>
      <w:r w:rsidR="00A37AF8">
        <w:rPr>
          <w:rFonts w:ascii="Times New Roman" w:hAnsi="Times New Roman"/>
          <w:szCs w:val="24"/>
        </w:rPr>
        <w:t xml:space="preserve">, </w:t>
      </w:r>
      <w:r w:rsidRPr="00A37AF8" w:rsidR="00A37AF8">
        <w:rPr>
          <w:rFonts w:ascii="Times New Roman" w:hAnsi="Times New Roman"/>
          <w:szCs w:val="24"/>
        </w:rPr>
        <w:t>PS Docket No. 15-94</w:t>
      </w:r>
      <w:r>
        <w:rPr>
          <w:rFonts w:ascii="Times New Roman" w:hAnsi="Times New Roman"/>
          <w:szCs w:val="24"/>
        </w:rPr>
        <w:t xml:space="preserve">, </w:t>
      </w:r>
      <w:r w:rsidR="00EB2B93">
        <w:rPr>
          <w:rFonts w:ascii="Times New Roman" w:hAnsi="Times New Roman"/>
          <w:szCs w:val="24"/>
        </w:rPr>
        <w:t xml:space="preserve">FCC 19-57, the </w:t>
      </w:r>
      <w:r>
        <w:rPr>
          <w:rFonts w:ascii="Times New Roman" w:hAnsi="Times New Roman"/>
          <w:szCs w:val="24"/>
        </w:rPr>
        <w:t>Commission</w:t>
      </w:r>
      <w:r w:rsidRPr="0062405E">
        <w:rPr>
          <w:rFonts w:ascii="Times New Roman" w:hAnsi="Times New Roman"/>
          <w:szCs w:val="24"/>
        </w:rPr>
        <w:t xml:space="preserve"> </w:t>
      </w:r>
      <w:r>
        <w:rPr>
          <w:rFonts w:ascii="Times New Roman" w:hAnsi="Times New Roman"/>
          <w:szCs w:val="24"/>
        </w:rPr>
        <w:t xml:space="preserve">assumes annual </w:t>
      </w:r>
      <w:r w:rsidR="00205520">
        <w:rPr>
          <w:rFonts w:ascii="Times New Roman" w:hAnsi="Times New Roman"/>
          <w:szCs w:val="24"/>
        </w:rPr>
        <w:t xml:space="preserve">in-house </w:t>
      </w:r>
      <w:r w:rsidRPr="0062405E">
        <w:rPr>
          <w:rFonts w:ascii="Times New Roman" w:hAnsi="Times New Roman"/>
          <w:szCs w:val="24"/>
        </w:rPr>
        <w:t>cost burden</w:t>
      </w:r>
      <w:r w:rsidR="00943E23">
        <w:rPr>
          <w:rFonts w:ascii="Times New Roman" w:hAnsi="Times New Roman"/>
          <w:szCs w:val="24"/>
        </w:rPr>
        <w:t>s</w:t>
      </w:r>
      <w:r w:rsidRPr="0062405E">
        <w:rPr>
          <w:rFonts w:ascii="Times New Roman" w:hAnsi="Times New Roman"/>
          <w:szCs w:val="24"/>
        </w:rPr>
        <w:t xml:space="preserve"> </w:t>
      </w:r>
      <w:r w:rsidR="00943E23">
        <w:rPr>
          <w:rFonts w:ascii="Times New Roman" w:hAnsi="Times New Roman"/>
          <w:szCs w:val="24"/>
        </w:rPr>
        <w:t xml:space="preserve">will be unchanged or be lessened by a </w:t>
      </w:r>
      <w:r w:rsidRPr="00943E23" w:rsidR="00943E23">
        <w:rPr>
          <w:rFonts w:ascii="Times New Roman" w:hAnsi="Times New Roman"/>
          <w:i/>
          <w:iCs/>
          <w:szCs w:val="24"/>
        </w:rPr>
        <w:t>de minimis</w:t>
      </w:r>
      <w:r w:rsidR="00943E23">
        <w:rPr>
          <w:rFonts w:ascii="Times New Roman" w:hAnsi="Times New Roman"/>
          <w:szCs w:val="24"/>
        </w:rPr>
        <w:t xml:space="preserve"> amount.  Specifically, t</w:t>
      </w:r>
      <w:r w:rsidRPr="00A37AF8" w:rsidR="00A37AF8">
        <w:rPr>
          <w:rFonts w:ascii="Times New Roman" w:hAnsi="Times New Roman"/>
          <w:szCs w:val="24"/>
        </w:rPr>
        <w:t xml:space="preserve">he modified </w:t>
      </w:r>
      <w:r w:rsidR="00943E23">
        <w:rPr>
          <w:rFonts w:ascii="Times New Roman" w:hAnsi="Times New Roman"/>
          <w:szCs w:val="24"/>
        </w:rPr>
        <w:t xml:space="preserve">monthly test requirements for SDARS do not </w:t>
      </w:r>
      <w:r w:rsidR="00943E23">
        <w:rPr>
          <w:rFonts w:ascii="Times New Roman" w:hAnsi="Times New Roman"/>
          <w:szCs w:val="24"/>
        </w:rPr>
        <w:lastRenderedPageBreak/>
        <w:t xml:space="preserve">eliminate monthly testing but likely make such testing less burdensome to administer </w:t>
      </w:r>
      <w:r w:rsidR="003B4A9C">
        <w:rPr>
          <w:rFonts w:ascii="Times New Roman" w:hAnsi="Times New Roman"/>
          <w:szCs w:val="24"/>
        </w:rPr>
        <w:t xml:space="preserve">and schedule.  The </w:t>
      </w:r>
      <w:r w:rsidRPr="00A37AF8" w:rsidR="00A37AF8">
        <w:rPr>
          <w:rFonts w:ascii="Times New Roman" w:hAnsi="Times New Roman"/>
          <w:szCs w:val="24"/>
        </w:rPr>
        <w:t>weekly test requirement for SDARS of substituting logging of receipt of a</w:t>
      </w:r>
      <w:r w:rsidR="00A37AF8">
        <w:rPr>
          <w:rFonts w:ascii="Times New Roman" w:hAnsi="Times New Roman"/>
          <w:szCs w:val="24"/>
        </w:rPr>
        <w:t xml:space="preserve"> </w:t>
      </w:r>
      <w:r w:rsidRPr="00A37AF8" w:rsidR="00A37AF8">
        <w:rPr>
          <w:rFonts w:ascii="Times New Roman" w:hAnsi="Times New Roman"/>
          <w:szCs w:val="24"/>
        </w:rPr>
        <w:t>weekly</w:t>
      </w:r>
      <w:r w:rsidR="00A37AF8">
        <w:rPr>
          <w:rFonts w:ascii="Times New Roman" w:hAnsi="Times New Roman"/>
          <w:szCs w:val="24"/>
        </w:rPr>
        <w:t xml:space="preserve"> </w:t>
      </w:r>
      <w:r w:rsidRPr="00A37AF8" w:rsidR="00A37AF8">
        <w:rPr>
          <w:rFonts w:ascii="Times New Roman" w:hAnsi="Times New Roman"/>
          <w:szCs w:val="24"/>
        </w:rPr>
        <w:t>test for conducting the weekly test, represents a reduced burden, as EAS equipment</w:t>
      </w:r>
      <w:r w:rsidR="00A37AF8">
        <w:rPr>
          <w:rFonts w:ascii="Times New Roman" w:hAnsi="Times New Roman"/>
          <w:szCs w:val="24"/>
        </w:rPr>
        <w:t xml:space="preserve"> </w:t>
      </w:r>
      <w:r w:rsidRPr="00A37AF8" w:rsidR="00A37AF8">
        <w:rPr>
          <w:rFonts w:ascii="Times New Roman" w:hAnsi="Times New Roman"/>
          <w:szCs w:val="24"/>
        </w:rPr>
        <w:t>automatically</w:t>
      </w:r>
      <w:r w:rsidR="00A37AF8">
        <w:rPr>
          <w:rFonts w:ascii="Times New Roman" w:hAnsi="Times New Roman"/>
          <w:szCs w:val="24"/>
        </w:rPr>
        <w:t xml:space="preserve"> </w:t>
      </w:r>
      <w:r w:rsidRPr="00A37AF8" w:rsidR="00A37AF8">
        <w:rPr>
          <w:rFonts w:ascii="Times New Roman" w:hAnsi="Times New Roman"/>
          <w:szCs w:val="24"/>
        </w:rPr>
        <w:t xml:space="preserve">records when weekly tests are received. </w:t>
      </w:r>
      <w:r w:rsidR="009F6B5E">
        <w:rPr>
          <w:rFonts w:ascii="Times New Roman" w:hAnsi="Times New Roman"/>
          <w:szCs w:val="24"/>
        </w:rPr>
        <w:t xml:space="preserve"> </w:t>
      </w:r>
      <w:r w:rsidRPr="00A37AF8" w:rsidR="00A37AF8">
        <w:rPr>
          <w:rFonts w:ascii="Times New Roman" w:hAnsi="Times New Roman"/>
          <w:szCs w:val="24"/>
        </w:rPr>
        <w:t>Further, not having to transmit the EAS header codes and E</w:t>
      </w:r>
      <w:r w:rsidR="000362BF">
        <w:rPr>
          <w:rFonts w:ascii="Times New Roman" w:hAnsi="Times New Roman"/>
          <w:szCs w:val="24"/>
        </w:rPr>
        <w:t>nd of Message (E</w:t>
      </w:r>
      <w:r w:rsidRPr="00A37AF8" w:rsidR="00A37AF8">
        <w:rPr>
          <w:rFonts w:ascii="Times New Roman" w:hAnsi="Times New Roman"/>
          <w:szCs w:val="24"/>
        </w:rPr>
        <w:t>OM</w:t>
      </w:r>
      <w:r w:rsidR="000362BF">
        <w:rPr>
          <w:rFonts w:ascii="Times New Roman" w:hAnsi="Times New Roman"/>
          <w:szCs w:val="24"/>
        </w:rPr>
        <w:t>) code</w:t>
      </w:r>
      <w:r w:rsidR="00A37AF8">
        <w:rPr>
          <w:rFonts w:ascii="Times New Roman" w:hAnsi="Times New Roman"/>
          <w:szCs w:val="24"/>
        </w:rPr>
        <w:t xml:space="preserve"> </w:t>
      </w:r>
      <w:r w:rsidRPr="00A37AF8" w:rsidR="00A37AF8">
        <w:rPr>
          <w:rFonts w:ascii="Times New Roman" w:hAnsi="Times New Roman"/>
          <w:szCs w:val="24"/>
        </w:rPr>
        <w:t>on all channels randomly once per week relieves the SDARS provider from having to coordinate and</w:t>
      </w:r>
      <w:r w:rsidR="00A37AF8">
        <w:rPr>
          <w:rFonts w:ascii="Times New Roman" w:hAnsi="Times New Roman"/>
          <w:szCs w:val="24"/>
        </w:rPr>
        <w:t xml:space="preserve"> </w:t>
      </w:r>
      <w:r w:rsidRPr="00A37AF8" w:rsidR="00A37AF8">
        <w:rPr>
          <w:rFonts w:ascii="Times New Roman" w:hAnsi="Times New Roman"/>
          <w:szCs w:val="24"/>
        </w:rPr>
        <w:t>administer such testing.</w:t>
      </w:r>
      <w:r w:rsidR="003B4A9C">
        <w:rPr>
          <w:rFonts w:ascii="Times New Roman" w:hAnsi="Times New Roman"/>
          <w:szCs w:val="24"/>
        </w:rPr>
        <w:t xml:space="preserve">  </w:t>
      </w:r>
      <w:r w:rsidR="00BB1016">
        <w:rPr>
          <w:rFonts w:ascii="Times New Roman" w:hAnsi="Times New Roman"/>
          <w:szCs w:val="24"/>
        </w:rPr>
        <w:t>T</w:t>
      </w:r>
      <w:r w:rsidR="003B4A9C">
        <w:rPr>
          <w:rFonts w:ascii="Times New Roman" w:hAnsi="Times New Roman"/>
          <w:szCs w:val="24"/>
        </w:rPr>
        <w:t xml:space="preserve">he burden for conducting weekly tests </w:t>
      </w:r>
      <w:r w:rsidR="00BB1016">
        <w:rPr>
          <w:rFonts w:ascii="Times New Roman" w:hAnsi="Times New Roman"/>
          <w:szCs w:val="24"/>
        </w:rPr>
        <w:t>has been</w:t>
      </w:r>
      <w:r w:rsidR="003B4A9C">
        <w:rPr>
          <w:rFonts w:ascii="Times New Roman" w:hAnsi="Times New Roman"/>
          <w:szCs w:val="24"/>
        </w:rPr>
        <w:t xml:space="preserve"> esta</w:t>
      </w:r>
      <w:r w:rsidR="00BB1016">
        <w:rPr>
          <w:rFonts w:ascii="Times New Roman" w:hAnsi="Times New Roman"/>
          <w:szCs w:val="24"/>
        </w:rPr>
        <w:t>b</w:t>
      </w:r>
      <w:r w:rsidR="003B4A9C">
        <w:rPr>
          <w:rFonts w:ascii="Times New Roman" w:hAnsi="Times New Roman"/>
          <w:szCs w:val="24"/>
        </w:rPr>
        <w:t xml:space="preserve">lished at </w:t>
      </w:r>
      <w:r w:rsidRPr="003B4A9C" w:rsidR="003B4A9C">
        <w:rPr>
          <w:rFonts w:ascii="Times New Roman" w:hAnsi="Times New Roman"/>
          <w:szCs w:val="24"/>
        </w:rPr>
        <w:t>0.017 hours</w:t>
      </w:r>
      <w:r w:rsidR="003B4A9C">
        <w:rPr>
          <w:rFonts w:ascii="Times New Roman" w:hAnsi="Times New Roman"/>
          <w:szCs w:val="24"/>
        </w:rPr>
        <w:t xml:space="preserve"> per week, for 40 weeks (weekly tests are not required for the week in which a monthly test is conducted); thus, the </w:t>
      </w:r>
      <w:r w:rsidR="00BB1016">
        <w:rPr>
          <w:rFonts w:ascii="Times New Roman" w:hAnsi="Times New Roman"/>
          <w:szCs w:val="24"/>
        </w:rPr>
        <w:t xml:space="preserve">annual burden for SDARS providers to conduct weekly tests is 0.68 hours, at an estimated annual </w:t>
      </w:r>
      <w:r w:rsidR="00205520">
        <w:rPr>
          <w:rFonts w:ascii="Times New Roman" w:hAnsi="Times New Roman"/>
          <w:szCs w:val="24"/>
        </w:rPr>
        <w:t xml:space="preserve">in-house </w:t>
      </w:r>
      <w:r w:rsidR="00BB1016">
        <w:rPr>
          <w:rFonts w:ascii="Times New Roman" w:hAnsi="Times New Roman"/>
          <w:szCs w:val="24"/>
        </w:rPr>
        <w:t>cost of $26 ((0.68) x ($38 per hour))</w:t>
      </w:r>
      <w:r w:rsidR="00431ABB">
        <w:rPr>
          <w:rFonts w:ascii="Times New Roman" w:hAnsi="Times New Roman"/>
          <w:szCs w:val="24"/>
        </w:rPr>
        <w:t xml:space="preserve">.  </w:t>
      </w:r>
      <w:r w:rsidRPr="007E7BE0" w:rsidR="007E7BE0">
        <w:rPr>
          <w:rFonts w:ascii="Times New Roman" w:hAnsi="Times New Roman"/>
          <w:szCs w:val="24"/>
        </w:rPr>
        <w:t xml:space="preserve">While it seems likely that this annual cost will be lessened under the modified weekly testing requirement – to some figure between $0 and $26 – given that there is only one SDARS provider, that amount will be </w:t>
      </w:r>
      <w:r w:rsidRPr="007E7BE0" w:rsidR="007E7BE0">
        <w:rPr>
          <w:rFonts w:ascii="Times New Roman" w:hAnsi="Times New Roman"/>
          <w:i/>
          <w:szCs w:val="24"/>
        </w:rPr>
        <w:t>de minimis</w:t>
      </w:r>
      <w:r w:rsidRPr="007E7BE0" w:rsidR="007E7BE0">
        <w:rPr>
          <w:rFonts w:ascii="Times New Roman" w:hAnsi="Times New Roman"/>
          <w:szCs w:val="24"/>
        </w:rPr>
        <w:t xml:space="preserve"> relative to the total estimated in-house cost to all respondents (currently approved at 42,840 hours at an aggregate cost of $1,627,920).</w:t>
      </w:r>
      <w:r w:rsidR="007E7BE0">
        <w:rPr>
          <w:rFonts w:ascii="Times New Roman" w:hAnsi="Times New Roman"/>
          <w:szCs w:val="24"/>
        </w:rPr>
        <w:t xml:space="preserve">  </w:t>
      </w:r>
      <w:r w:rsidR="00431ABB">
        <w:rPr>
          <w:rFonts w:ascii="Times New Roman" w:hAnsi="Times New Roman"/>
          <w:szCs w:val="24"/>
        </w:rPr>
        <w:t xml:space="preserve">Accordingly, we are not changing the burden </w:t>
      </w:r>
      <w:r w:rsidR="007E7BE0">
        <w:rPr>
          <w:rFonts w:ascii="Times New Roman" w:hAnsi="Times New Roman"/>
          <w:szCs w:val="24"/>
        </w:rPr>
        <w:t>inventory</w:t>
      </w:r>
      <w:r w:rsidR="00431ABB">
        <w:rPr>
          <w:rFonts w:ascii="Times New Roman" w:hAnsi="Times New Roman"/>
          <w:szCs w:val="24"/>
        </w:rPr>
        <w:t xml:space="preserve"> contained in the </w:t>
      </w:r>
      <w:r w:rsidR="00BB1016">
        <w:rPr>
          <w:rFonts w:ascii="Times New Roman" w:hAnsi="Times New Roman"/>
          <w:szCs w:val="24"/>
        </w:rPr>
        <w:t>current information collection</w:t>
      </w:r>
      <w:r w:rsidR="00431ABB">
        <w:rPr>
          <w:rFonts w:ascii="Times New Roman" w:hAnsi="Times New Roman"/>
          <w:szCs w:val="24"/>
        </w:rPr>
        <w:t>.</w:t>
      </w:r>
      <w:r w:rsidR="00BB1016">
        <w:rPr>
          <w:rFonts w:ascii="Times New Roman" w:hAnsi="Times New Roman"/>
          <w:szCs w:val="24"/>
        </w:rPr>
        <w:t xml:space="preserve">  </w:t>
      </w:r>
    </w:p>
    <w:p w:rsidR="00573F76" w:rsidP="007246E0" w:rsidRDefault="00573F76">
      <w:pPr>
        <w:rPr>
          <w:rFonts w:ascii="Times New Roman" w:hAnsi="Times New Roman"/>
          <w:szCs w:val="24"/>
        </w:rPr>
      </w:pPr>
    </w:p>
    <w:p w:rsidRPr="00C56F6A" w:rsidR="00C56F6A" w:rsidP="007246E0" w:rsidRDefault="00C56F6A">
      <w:pPr>
        <w:rPr>
          <w:rFonts w:ascii="Times New Roman" w:hAnsi="Times New Roman"/>
          <w:szCs w:val="24"/>
        </w:rPr>
      </w:pPr>
      <w:r w:rsidRPr="00C56F6A">
        <w:rPr>
          <w:rFonts w:ascii="Times New Roman" w:hAnsi="Times New Roman"/>
          <w:b/>
          <w:szCs w:val="24"/>
          <w:u w:val="single"/>
        </w:rPr>
        <w:t xml:space="preserve">Current Information Collection Requirements </w:t>
      </w:r>
      <w:r w:rsidR="00F11B69">
        <w:rPr>
          <w:rFonts w:ascii="Times New Roman" w:hAnsi="Times New Roman"/>
          <w:b/>
          <w:szCs w:val="24"/>
          <w:u w:val="single"/>
        </w:rPr>
        <w:t>P</w:t>
      </w:r>
      <w:r w:rsidRPr="00C56F6A">
        <w:rPr>
          <w:rFonts w:ascii="Times New Roman" w:hAnsi="Times New Roman"/>
          <w:b/>
          <w:szCs w:val="24"/>
          <w:u w:val="single"/>
        </w:rPr>
        <w:t xml:space="preserve">reviously </w:t>
      </w:r>
      <w:r w:rsidR="00F11B69">
        <w:rPr>
          <w:rFonts w:ascii="Times New Roman" w:hAnsi="Times New Roman"/>
          <w:b/>
          <w:szCs w:val="24"/>
          <w:u w:val="single"/>
        </w:rPr>
        <w:t>A</w:t>
      </w:r>
      <w:r w:rsidRPr="00C56F6A">
        <w:rPr>
          <w:rFonts w:ascii="Times New Roman" w:hAnsi="Times New Roman"/>
          <w:b/>
          <w:szCs w:val="24"/>
          <w:u w:val="single"/>
        </w:rPr>
        <w:t>pproved by OMB:</w:t>
      </w:r>
    </w:p>
    <w:p w:rsidR="007246E0" w:rsidP="00171829" w:rsidRDefault="007246E0">
      <w:pPr>
        <w:autoSpaceDE w:val="0"/>
        <w:autoSpaceDN w:val="0"/>
        <w:adjustRightInd w:val="0"/>
        <w:spacing w:after="120"/>
        <w:rPr>
          <w:rFonts w:ascii="Times New Roman" w:hAnsi="Times New Roman"/>
          <w:szCs w:val="24"/>
        </w:rPr>
      </w:pPr>
    </w:p>
    <w:p w:rsidR="00C1097E" w:rsidP="0055614E" w:rsidRDefault="00C1097E">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C1097E">
        <w:rPr>
          <w:rFonts w:ascii="Times New Roman" w:hAnsi="Times New Roman"/>
          <w:i/>
          <w:iCs/>
          <w:szCs w:val="24"/>
        </w:rPr>
        <w:t>Alerting Reliability Order</w:t>
      </w:r>
      <w:r>
        <w:rPr>
          <w:rFonts w:ascii="Times New Roman" w:hAnsi="Times New Roman"/>
          <w:szCs w:val="24"/>
        </w:rPr>
        <w:t>,</w:t>
      </w:r>
      <w:r>
        <w:rPr>
          <w:rStyle w:val="FootnoteReference"/>
          <w:szCs w:val="24"/>
        </w:rPr>
        <w:footnoteReference w:id="2"/>
      </w:r>
      <w:r>
        <w:rPr>
          <w:rFonts w:ascii="Times New Roman" w:hAnsi="Times New Roman"/>
          <w:szCs w:val="24"/>
        </w:rPr>
        <w:t xml:space="preserve"> the Commission amended </w:t>
      </w:r>
      <w:r w:rsidRPr="00C1097E">
        <w:rPr>
          <w:rFonts w:ascii="Times New Roman" w:hAnsi="Times New Roman"/>
          <w:szCs w:val="24"/>
        </w:rPr>
        <w:t>the Part 11 EAS rules</w:t>
      </w:r>
      <w:r>
        <w:rPr>
          <w:rFonts w:ascii="Times New Roman" w:hAnsi="Times New Roman"/>
          <w:szCs w:val="24"/>
        </w:rPr>
        <w:t xml:space="preserve"> to, among other things,</w:t>
      </w:r>
      <w:r w:rsidRPr="00C1097E">
        <w:rPr>
          <w:rFonts w:ascii="Times New Roman" w:hAnsi="Times New Roman"/>
          <w:szCs w:val="24"/>
        </w:rPr>
        <w:t xml:space="preserve"> (i) require EAS Participants to notify the Commission (via email to the FCC Ops Center at FCCOPS@fcc.gov) within twenty-four (24) hours of the EAS Participant’s discovery that it has transmitted or otherwise sent a false alert to the public, and (ii) include “Live Code Tests” of the EAS as a separate category of alerting exercise that EAS Participants may undertake voluntarily, provided such live code tests are conducted in accordance with specific parameters.</w:t>
      </w:r>
      <w:r>
        <w:rPr>
          <w:rFonts w:ascii="Times New Roman" w:hAnsi="Times New Roman"/>
          <w:szCs w:val="24"/>
        </w:rPr>
        <w:t xml:space="preserve">  </w:t>
      </w:r>
      <w:r w:rsidR="00E06BCF">
        <w:rPr>
          <w:rFonts w:ascii="Times New Roman" w:hAnsi="Times New Roman"/>
          <w:szCs w:val="24"/>
        </w:rPr>
        <w:t xml:space="preserve"> </w:t>
      </w:r>
    </w:p>
    <w:p w:rsidR="00C1097E" w:rsidP="00C1097E" w:rsidRDefault="00C1097E">
      <w:pPr>
        <w:autoSpaceDE w:val="0"/>
        <w:autoSpaceDN w:val="0"/>
        <w:adjustRightInd w:val="0"/>
        <w:spacing w:after="120"/>
        <w:rPr>
          <w:rFonts w:ascii="Times New Roman" w:hAnsi="Times New Roman"/>
          <w:szCs w:val="24"/>
        </w:rPr>
      </w:pPr>
      <w:r>
        <w:rPr>
          <w:rFonts w:ascii="Times New Roman" w:hAnsi="Times New Roman"/>
          <w:szCs w:val="24"/>
        </w:rPr>
        <w:t xml:space="preserve">The Commission </w:t>
      </w:r>
      <w:r w:rsidRPr="00E1324E">
        <w:rPr>
          <w:rFonts w:ascii="Times New Roman" w:hAnsi="Times New Roman"/>
          <w:szCs w:val="24"/>
        </w:rPr>
        <w:t>conclude</w:t>
      </w:r>
      <w:r>
        <w:rPr>
          <w:rFonts w:ascii="Times New Roman" w:hAnsi="Times New Roman"/>
          <w:szCs w:val="24"/>
        </w:rPr>
        <w:t>d</w:t>
      </w:r>
      <w:r w:rsidRPr="00E1324E">
        <w:rPr>
          <w:rFonts w:ascii="Times New Roman" w:hAnsi="Times New Roman"/>
          <w:szCs w:val="24"/>
        </w:rPr>
        <w:t xml:space="preserve"> that the </w:t>
      </w:r>
      <w:r w:rsidRPr="00D4375B" w:rsidR="00D4375B">
        <w:rPr>
          <w:rFonts w:ascii="Times New Roman" w:hAnsi="Times New Roman"/>
          <w:szCs w:val="24"/>
        </w:rPr>
        <w:t xml:space="preserve">annual </w:t>
      </w:r>
      <w:r w:rsidR="00205520">
        <w:rPr>
          <w:rFonts w:ascii="Times New Roman" w:hAnsi="Times New Roman"/>
          <w:szCs w:val="24"/>
        </w:rPr>
        <w:t xml:space="preserve">in-house </w:t>
      </w:r>
      <w:r w:rsidRPr="00D4375B" w:rsidR="00D4375B">
        <w:rPr>
          <w:rFonts w:ascii="Times New Roman" w:hAnsi="Times New Roman"/>
          <w:szCs w:val="24"/>
        </w:rPr>
        <w:t xml:space="preserve">cost burden </w:t>
      </w:r>
      <w:r w:rsidRPr="00E1324E">
        <w:rPr>
          <w:rFonts w:ascii="Times New Roman" w:hAnsi="Times New Roman"/>
          <w:szCs w:val="24"/>
        </w:rPr>
        <w:t>of reporting</w:t>
      </w:r>
      <w:r>
        <w:rPr>
          <w:rFonts w:ascii="Times New Roman" w:hAnsi="Times New Roman"/>
          <w:szCs w:val="24"/>
        </w:rPr>
        <w:t xml:space="preserve"> </w:t>
      </w:r>
      <w:r w:rsidRPr="00E1324E">
        <w:rPr>
          <w:rFonts w:ascii="Times New Roman" w:hAnsi="Times New Roman"/>
          <w:szCs w:val="24"/>
        </w:rPr>
        <w:t>false alerts will be $11,600 per year.</w:t>
      </w:r>
      <w:r>
        <w:rPr>
          <w:rFonts w:ascii="Times New Roman" w:hAnsi="Times New Roman"/>
          <w:szCs w:val="24"/>
        </w:rPr>
        <w:t xml:space="preserve">  Th</w:t>
      </w:r>
      <w:r w:rsidR="0051072B">
        <w:rPr>
          <w:rFonts w:ascii="Times New Roman" w:hAnsi="Times New Roman"/>
          <w:szCs w:val="24"/>
        </w:rPr>
        <w:t>is</w:t>
      </w:r>
      <w:r>
        <w:rPr>
          <w:rFonts w:ascii="Times New Roman" w:hAnsi="Times New Roman"/>
          <w:szCs w:val="24"/>
        </w:rPr>
        <w:t xml:space="preserve"> figure is based upon </w:t>
      </w:r>
      <w:r w:rsidRPr="00E1324E">
        <w:rPr>
          <w:rFonts w:ascii="Times New Roman" w:hAnsi="Times New Roman"/>
          <w:szCs w:val="24"/>
        </w:rPr>
        <w:t>following costs: (1/4 hour) x ($80 hourly salary) x (an estimated 2</w:t>
      </w:r>
      <w:r>
        <w:rPr>
          <w:rFonts w:ascii="Times New Roman" w:hAnsi="Times New Roman"/>
          <w:szCs w:val="24"/>
        </w:rPr>
        <w:t xml:space="preserve"> </w:t>
      </w:r>
      <w:r w:rsidRPr="00E1324E">
        <w:rPr>
          <w:rFonts w:ascii="Times New Roman" w:hAnsi="Times New Roman"/>
          <w:szCs w:val="24"/>
        </w:rPr>
        <w:t>incidents per year based on receiving reports of two false alerts in 2013, and one in 2014 and in 2015) x (290 entities</w:t>
      </w:r>
      <w:r>
        <w:rPr>
          <w:rFonts w:ascii="Times New Roman" w:hAnsi="Times New Roman"/>
          <w:szCs w:val="24"/>
        </w:rPr>
        <w:t xml:space="preserve"> estimated to file, which is </w:t>
      </w:r>
      <w:r w:rsidRPr="00E1324E">
        <w:rPr>
          <w:rFonts w:ascii="Times New Roman" w:hAnsi="Times New Roman"/>
          <w:szCs w:val="24"/>
        </w:rPr>
        <w:t xml:space="preserve">based on the results of </w:t>
      </w:r>
      <w:r>
        <w:rPr>
          <w:rFonts w:ascii="Times New Roman" w:hAnsi="Times New Roman"/>
          <w:szCs w:val="24"/>
        </w:rPr>
        <w:t xml:space="preserve">a widely reported false alert </w:t>
      </w:r>
      <w:r w:rsidRPr="00E1324E">
        <w:rPr>
          <w:rFonts w:ascii="Times New Roman" w:hAnsi="Times New Roman"/>
          <w:szCs w:val="24"/>
        </w:rPr>
        <w:t>in which 290 entities would have been required to</w:t>
      </w:r>
      <w:r>
        <w:rPr>
          <w:rFonts w:ascii="Times New Roman" w:hAnsi="Times New Roman"/>
          <w:szCs w:val="24"/>
        </w:rPr>
        <w:t xml:space="preserve"> </w:t>
      </w:r>
      <w:r w:rsidRPr="00E1324E">
        <w:rPr>
          <w:rFonts w:ascii="Times New Roman" w:hAnsi="Times New Roman"/>
          <w:szCs w:val="24"/>
        </w:rPr>
        <w:t>file a report, assuming all 290 entities had actual knowledge they had transmitted a false alert) = $11,600.</w:t>
      </w:r>
      <w:r w:rsidR="006408E1">
        <w:rPr>
          <w:rFonts w:ascii="Times New Roman" w:hAnsi="Times New Roman"/>
          <w:szCs w:val="24"/>
        </w:rPr>
        <w:t xml:space="preserve">  </w:t>
      </w:r>
      <w:r w:rsidRPr="007E7C9F">
        <w:rPr>
          <w:rFonts w:ascii="Times New Roman" w:hAnsi="Times New Roman"/>
          <w:szCs w:val="24"/>
        </w:rPr>
        <w:t>The Commission conclude</w:t>
      </w:r>
      <w:r>
        <w:rPr>
          <w:rFonts w:ascii="Times New Roman" w:hAnsi="Times New Roman"/>
          <w:szCs w:val="24"/>
        </w:rPr>
        <w:t>d</w:t>
      </w:r>
      <w:r w:rsidRPr="007E7C9F">
        <w:rPr>
          <w:rFonts w:ascii="Times New Roman" w:hAnsi="Times New Roman"/>
          <w:szCs w:val="24"/>
        </w:rPr>
        <w:t xml:space="preserve"> that the </w:t>
      </w:r>
      <w:r>
        <w:rPr>
          <w:rFonts w:ascii="Times New Roman" w:hAnsi="Times New Roman"/>
          <w:szCs w:val="24"/>
        </w:rPr>
        <w:t xml:space="preserve">codification of </w:t>
      </w:r>
      <w:r w:rsidRPr="007E7C9F">
        <w:rPr>
          <w:rFonts w:ascii="Times New Roman" w:hAnsi="Times New Roman"/>
          <w:szCs w:val="24"/>
        </w:rPr>
        <w:t xml:space="preserve">“Live Code Tests” of the EAS as a separate category of alerting exercise that EAS Participants may undertake voluntarily, </w:t>
      </w:r>
      <w:r>
        <w:rPr>
          <w:rFonts w:ascii="Times New Roman" w:hAnsi="Times New Roman"/>
          <w:szCs w:val="24"/>
        </w:rPr>
        <w:t xml:space="preserve">in accordance with the codified </w:t>
      </w:r>
      <w:r w:rsidRPr="007E7C9F">
        <w:rPr>
          <w:rFonts w:ascii="Times New Roman" w:hAnsi="Times New Roman"/>
          <w:szCs w:val="24"/>
        </w:rPr>
        <w:t>parameters</w:t>
      </w:r>
      <w:r>
        <w:rPr>
          <w:rFonts w:ascii="Times New Roman" w:hAnsi="Times New Roman"/>
          <w:szCs w:val="24"/>
        </w:rPr>
        <w:t xml:space="preserve">, </w:t>
      </w:r>
      <w:r w:rsidRPr="007E7C9F">
        <w:rPr>
          <w:rFonts w:ascii="Times New Roman" w:hAnsi="Times New Roman"/>
          <w:szCs w:val="24"/>
        </w:rPr>
        <w:t>do</w:t>
      </w:r>
      <w:r>
        <w:rPr>
          <w:rFonts w:ascii="Times New Roman" w:hAnsi="Times New Roman"/>
          <w:szCs w:val="24"/>
        </w:rPr>
        <w:t>es</w:t>
      </w:r>
      <w:r w:rsidRPr="007E7C9F">
        <w:rPr>
          <w:rFonts w:ascii="Times New Roman" w:hAnsi="Times New Roman"/>
          <w:szCs w:val="24"/>
        </w:rPr>
        <w:t xml:space="preserve"> not impose any new costs. </w:t>
      </w:r>
      <w:r>
        <w:rPr>
          <w:rFonts w:ascii="Times New Roman" w:hAnsi="Times New Roman"/>
          <w:szCs w:val="24"/>
        </w:rPr>
        <w:t xml:space="preserve"> </w:t>
      </w:r>
      <w:r w:rsidRPr="007E7C9F">
        <w:rPr>
          <w:rFonts w:ascii="Times New Roman" w:hAnsi="Times New Roman"/>
          <w:szCs w:val="24"/>
        </w:rPr>
        <w:t xml:space="preserve">Rather, </w:t>
      </w:r>
      <w:r>
        <w:rPr>
          <w:rFonts w:ascii="Times New Roman" w:hAnsi="Times New Roman"/>
          <w:szCs w:val="24"/>
        </w:rPr>
        <w:t xml:space="preserve">this rule change </w:t>
      </w:r>
      <w:r w:rsidRPr="007E7C9F">
        <w:rPr>
          <w:rFonts w:ascii="Times New Roman" w:hAnsi="Times New Roman"/>
          <w:szCs w:val="24"/>
        </w:rPr>
        <w:t>codif</w:t>
      </w:r>
      <w:r>
        <w:rPr>
          <w:rFonts w:ascii="Times New Roman" w:hAnsi="Times New Roman"/>
          <w:szCs w:val="24"/>
        </w:rPr>
        <w:t>ied</w:t>
      </w:r>
      <w:r w:rsidRPr="007E7C9F">
        <w:rPr>
          <w:rFonts w:ascii="Times New Roman" w:hAnsi="Times New Roman"/>
          <w:szCs w:val="24"/>
        </w:rPr>
        <w:t xml:space="preserve"> requirements that</w:t>
      </w:r>
      <w:r>
        <w:rPr>
          <w:rFonts w:ascii="Times New Roman" w:hAnsi="Times New Roman"/>
          <w:szCs w:val="24"/>
        </w:rPr>
        <w:t xml:space="preserve"> </w:t>
      </w:r>
      <w:r w:rsidRPr="007E7C9F">
        <w:rPr>
          <w:rFonts w:ascii="Times New Roman" w:hAnsi="Times New Roman"/>
          <w:szCs w:val="24"/>
        </w:rPr>
        <w:t>were previously imposed on waivers granted by the Commission</w:t>
      </w:r>
      <w:r w:rsidR="00A44471">
        <w:rPr>
          <w:rFonts w:ascii="Times New Roman" w:hAnsi="Times New Roman"/>
          <w:szCs w:val="24"/>
        </w:rPr>
        <w:t xml:space="preserve">, thus, </w:t>
      </w:r>
      <w:r w:rsidRPr="007E7C9F">
        <w:rPr>
          <w:rFonts w:ascii="Times New Roman" w:hAnsi="Times New Roman"/>
          <w:szCs w:val="24"/>
        </w:rPr>
        <w:t>eliminat</w:t>
      </w:r>
      <w:r w:rsidR="00A44471">
        <w:rPr>
          <w:rFonts w:ascii="Times New Roman" w:hAnsi="Times New Roman"/>
          <w:szCs w:val="24"/>
        </w:rPr>
        <w:t>ing</w:t>
      </w:r>
      <w:r w:rsidRPr="007E7C9F">
        <w:rPr>
          <w:rFonts w:ascii="Times New Roman" w:hAnsi="Times New Roman"/>
          <w:szCs w:val="24"/>
        </w:rPr>
        <w:t xml:space="preserve"> any legal or administrative costs that were associated with filing waiver requests.</w:t>
      </w:r>
    </w:p>
    <w:p w:rsidR="0029301B" w:rsidP="0055614E" w:rsidRDefault="0029301B">
      <w:pPr>
        <w:autoSpaceDE w:val="0"/>
        <w:autoSpaceDN w:val="0"/>
        <w:adjustRightInd w:val="0"/>
        <w:spacing w:after="120"/>
        <w:rPr>
          <w:rFonts w:ascii="Times New Roman" w:hAnsi="Times New Roman"/>
          <w:szCs w:val="24"/>
        </w:rPr>
      </w:pPr>
    </w:p>
    <w:p w:rsidR="0029301B" w:rsidP="0055614E" w:rsidRDefault="0029301B">
      <w:pPr>
        <w:autoSpaceDE w:val="0"/>
        <w:autoSpaceDN w:val="0"/>
        <w:adjustRightInd w:val="0"/>
        <w:spacing w:after="120"/>
        <w:rPr>
          <w:rFonts w:ascii="Times New Roman" w:hAnsi="Times New Roman"/>
          <w:szCs w:val="24"/>
        </w:rPr>
      </w:pPr>
    </w:p>
    <w:p w:rsidR="0029301B" w:rsidP="0055614E" w:rsidRDefault="0029301B">
      <w:pPr>
        <w:autoSpaceDE w:val="0"/>
        <w:autoSpaceDN w:val="0"/>
        <w:adjustRightInd w:val="0"/>
        <w:spacing w:after="120"/>
        <w:rPr>
          <w:rFonts w:ascii="Times New Roman" w:hAnsi="Times New Roman"/>
          <w:szCs w:val="24"/>
        </w:rPr>
      </w:pPr>
    </w:p>
    <w:p w:rsidR="008D61EF" w:rsidP="0055614E" w:rsidRDefault="00A44471">
      <w:pPr>
        <w:autoSpaceDE w:val="0"/>
        <w:autoSpaceDN w:val="0"/>
        <w:adjustRightInd w:val="0"/>
        <w:spacing w:after="120"/>
        <w:rPr>
          <w:rFonts w:ascii="Times New Roman" w:hAnsi="Times New Roman"/>
          <w:szCs w:val="24"/>
        </w:rPr>
      </w:pPr>
      <w:r>
        <w:rPr>
          <w:rFonts w:ascii="Times New Roman" w:hAnsi="Times New Roman"/>
          <w:szCs w:val="24"/>
        </w:rPr>
        <w:lastRenderedPageBreak/>
        <w:t xml:space="preserve">In the </w:t>
      </w:r>
      <w:r w:rsidRPr="006408E1">
        <w:rPr>
          <w:rFonts w:ascii="Times New Roman" w:hAnsi="Times New Roman"/>
          <w:i/>
          <w:iCs/>
          <w:szCs w:val="24"/>
        </w:rPr>
        <w:t>State EAS Plan Order</w:t>
      </w:r>
      <w:r>
        <w:rPr>
          <w:rFonts w:ascii="Times New Roman" w:hAnsi="Times New Roman"/>
          <w:szCs w:val="24"/>
        </w:rPr>
        <w:t>,</w:t>
      </w:r>
      <w:r>
        <w:rPr>
          <w:rStyle w:val="FootnoteReference"/>
          <w:szCs w:val="24"/>
        </w:rPr>
        <w:footnoteReference w:id="3"/>
      </w:r>
      <w:r>
        <w:rPr>
          <w:rFonts w:ascii="Times New Roman" w:hAnsi="Times New Roman"/>
          <w:szCs w:val="24"/>
        </w:rPr>
        <w:t xml:space="preserve"> </w:t>
      </w:r>
      <w:r w:rsidR="005A7FFE">
        <w:rPr>
          <w:rFonts w:ascii="Times New Roman" w:hAnsi="Times New Roman"/>
          <w:szCs w:val="24"/>
        </w:rPr>
        <w:t xml:space="preserve">the Commission revised the information </w:t>
      </w:r>
      <w:proofErr w:type="spellStart"/>
      <w:r w:rsidR="005A7FFE">
        <w:rPr>
          <w:rFonts w:ascii="Times New Roman" w:hAnsi="Times New Roman"/>
          <w:szCs w:val="24"/>
        </w:rPr>
        <w:t>rquired</w:t>
      </w:r>
      <w:proofErr w:type="spellEnd"/>
      <w:r w:rsidR="005A7FFE">
        <w:rPr>
          <w:rFonts w:ascii="Times New Roman" w:hAnsi="Times New Roman"/>
          <w:szCs w:val="24"/>
        </w:rPr>
        <w:t xml:space="preserve"> to be reported in State EAS </w:t>
      </w:r>
      <w:proofErr w:type="gramStart"/>
      <w:r w:rsidR="005A7FFE">
        <w:rPr>
          <w:rFonts w:ascii="Times New Roman" w:hAnsi="Times New Roman"/>
          <w:szCs w:val="24"/>
        </w:rPr>
        <w:t>Plans, and</w:t>
      </w:r>
      <w:proofErr w:type="gramEnd"/>
      <w:r w:rsidR="005A7FFE">
        <w:rPr>
          <w:rFonts w:ascii="Times New Roman" w:hAnsi="Times New Roman"/>
          <w:szCs w:val="24"/>
        </w:rPr>
        <w:t xml:space="preserve"> required that SECCs file the State EAS Plans online </w:t>
      </w:r>
      <w:r w:rsidRPr="005A7FFE" w:rsidR="005A7FFE">
        <w:rPr>
          <w:rFonts w:ascii="Times New Roman" w:hAnsi="Times New Roman"/>
          <w:szCs w:val="24"/>
        </w:rPr>
        <w:t>in the Alert Reporting System (ARS)</w:t>
      </w:r>
      <w:r w:rsidR="005A7FFE">
        <w:rPr>
          <w:rFonts w:ascii="Times New Roman" w:hAnsi="Times New Roman"/>
          <w:szCs w:val="24"/>
        </w:rPr>
        <w:t xml:space="preserve">.  </w:t>
      </w:r>
      <w:r w:rsidRPr="005A7FFE" w:rsidR="005A7FFE">
        <w:rPr>
          <w:rFonts w:ascii="Times New Roman" w:hAnsi="Times New Roman"/>
          <w:szCs w:val="24"/>
        </w:rPr>
        <w:t>The Commission conclude</w:t>
      </w:r>
      <w:r w:rsidR="005A7FFE">
        <w:rPr>
          <w:rFonts w:ascii="Times New Roman" w:hAnsi="Times New Roman"/>
          <w:szCs w:val="24"/>
        </w:rPr>
        <w:t>d</w:t>
      </w:r>
      <w:r w:rsidRPr="005A7FFE" w:rsidR="005A7FFE">
        <w:rPr>
          <w:rFonts w:ascii="Times New Roman" w:hAnsi="Times New Roman"/>
          <w:szCs w:val="24"/>
        </w:rPr>
        <w:t xml:space="preserve"> that producing State EAS Plans consistent with the rules will result in approximately $235,000 as a one-time recordkeeping cost.</w:t>
      </w:r>
      <w:r w:rsidR="005A7FFE">
        <w:rPr>
          <w:rFonts w:ascii="Times New Roman" w:hAnsi="Times New Roman"/>
          <w:szCs w:val="24"/>
        </w:rPr>
        <w:t xml:space="preserve">  </w:t>
      </w:r>
      <w:r w:rsidR="008F74E2">
        <w:rPr>
          <w:rFonts w:ascii="Times New Roman" w:hAnsi="Times New Roman"/>
          <w:szCs w:val="24"/>
        </w:rPr>
        <w:t>T</w:t>
      </w:r>
      <w:r w:rsidRPr="008F74E2" w:rsidR="008F74E2">
        <w:rPr>
          <w:rFonts w:ascii="Times New Roman" w:hAnsi="Times New Roman"/>
          <w:szCs w:val="24"/>
        </w:rPr>
        <w:t>h</w:t>
      </w:r>
      <w:r w:rsidR="008F74E2">
        <w:rPr>
          <w:rFonts w:ascii="Times New Roman" w:hAnsi="Times New Roman"/>
          <w:szCs w:val="24"/>
        </w:rPr>
        <w:t xml:space="preserve">is figure was based on an assessment of 100 hours per 54 SECCs to prepare </w:t>
      </w:r>
      <w:r w:rsidRPr="008F74E2" w:rsidR="008F74E2">
        <w:rPr>
          <w:rFonts w:ascii="Times New Roman" w:hAnsi="Times New Roman"/>
          <w:szCs w:val="24"/>
        </w:rPr>
        <w:t>their plans from scratch</w:t>
      </w:r>
      <w:r w:rsidR="008F74E2">
        <w:rPr>
          <w:rFonts w:ascii="Times New Roman" w:hAnsi="Times New Roman"/>
          <w:szCs w:val="24"/>
        </w:rPr>
        <w:t xml:space="preserve">, at a quantified hourly rate of $43.50 </w:t>
      </w:r>
      <w:r w:rsidR="0051072B">
        <w:rPr>
          <w:rFonts w:ascii="Times New Roman" w:hAnsi="Times New Roman"/>
          <w:szCs w:val="24"/>
        </w:rPr>
        <w:t>((100 hours) x (</w:t>
      </w:r>
      <w:r w:rsidRPr="0051072B" w:rsidR="0051072B">
        <w:rPr>
          <w:rFonts w:ascii="Times New Roman" w:hAnsi="Times New Roman"/>
          <w:szCs w:val="24"/>
        </w:rPr>
        <w:t xml:space="preserve">$43.50 </w:t>
      </w:r>
      <w:r w:rsidR="0051072B">
        <w:rPr>
          <w:rFonts w:ascii="Times New Roman" w:hAnsi="Times New Roman"/>
          <w:szCs w:val="24"/>
        </w:rPr>
        <w:t>per hour) x (54 SECCs)).  T</w:t>
      </w:r>
      <w:r w:rsidR="0055614E">
        <w:rPr>
          <w:rFonts w:ascii="Times New Roman" w:hAnsi="Times New Roman"/>
          <w:szCs w:val="24"/>
        </w:rPr>
        <w:t>he Commission</w:t>
      </w:r>
      <w:r w:rsidRPr="0062405E" w:rsidR="0055614E">
        <w:rPr>
          <w:rFonts w:ascii="Times New Roman" w:hAnsi="Times New Roman"/>
          <w:szCs w:val="24"/>
        </w:rPr>
        <w:t xml:space="preserve"> </w:t>
      </w:r>
      <w:r w:rsidR="0051072B">
        <w:rPr>
          <w:rFonts w:ascii="Times New Roman" w:hAnsi="Times New Roman"/>
          <w:szCs w:val="24"/>
        </w:rPr>
        <w:t xml:space="preserve">also concluded that </w:t>
      </w:r>
      <w:r w:rsidRPr="0062405E" w:rsidR="0055614E">
        <w:rPr>
          <w:rFonts w:ascii="Times New Roman" w:hAnsi="Times New Roman"/>
          <w:szCs w:val="24"/>
        </w:rPr>
        <w:t xml:space="preserve">SECC representatives will incur a one-time estimated $1,000 reporting cost to file their revised State EAS Plans in the ARS.  </w:t>
      </w:r>
      <w:r w:rsidR="0055614E">
        <w:rPr>
          <w:rFonts w:ascii="Times New Roman" w:hAnsi="Times New Roman"/>
          <w:szCs w:val="24"/>
        </w:rPr>
        <w:t>T</w:t>
      </w:r>
      <w:r w:rsidRPr="0062405E" w:rsidR="0055614E">
        <w:rPr>
          <w:rFonts w:ascii="Times New Roman" w:hAnsi="Times New Roman"/>
          <w:szCs w:val="24"/>
        </w:rPr>
        <w:t>h</w:t>
      </w:r>
      <w:r w:rsidR="0051072B">
        <w:rPr>
          <w:rFonts w:ascii="Times New Roman" w:hAnsi="Times New Roman"/>
          <w:szCs w:val="24"/>
        </w:rPr>
        <w:t xml:space="preserve">is figure was based on an </w:t>
      </w:r>
      <w:r w:rsidR="0055614E">
        <w:rPr>
          <w:rFonts w:ascii="Times New Roman" w:hAnsi="Times New Roman"/>
          <w:szCs w:val="24"/>
        </w:rPr>
        <w:t>estimated</w:t>
      </w:r>
      <w:r w:rsidRPr="0062405E" w:rsidR="0055614E">
        <w:rPr>
          <w:rFonts w:ascii="Times New Roman" w:hAnsi="Times New Roman"/>
          <w:szCs w:val="24"/>
        </w:rPr>
        <w:t xml:space="preserve"> time burden of one hour, </w:t>
      </w:r>
      <w:r w:rsidR="0051072B">
        <w:rPr>
          <w:rFonts w:ascii="Times New Roman" w:hAnsi="Times New Roman"/>
          <w:szCs w:val="24"/>
        </w:rPr>
        <w:t xml:space="preserve">for each of the 54 SECCs at an hourly cost estimate of </w:t>
      </w:r>
      <w:r w:rsidRPr="0062405E" w:rsidR="0055614E">
        <w:rPr>
          <w:rFonts w:ascii="Times New Roman" w:hAnsi="Times New Roman"/>
          <w:szCs w:val="24"/>
        </w:rPr>
        <w:t>approximately $19</w:t>
      </w:r>
      <w:r w:rsidR="008D61EF">
        <w:rPr>
          <w:rFonts w:ascii="Times New Roman" w:hAnsi="Times New Roman"/>
          <w:szCs w:val="24"/>
        </w:rPr>
        <w:t xml:space="preserve"> per hour ((1 hour) x ($19 per hour) x (54 SECCs)).  </w:t>
      </w:r>
    </w:p>
    <w:p w:rsidRPr="00921953" w:rsidR="005659F2" w:rsidP="00921953" w:rsidRDefault="002F13E4">
      <w:pPr>
        <w:pStyle w:val="ParaNum"/>
        <w:numPr>
          <w:ilvl w:val="0"/>
          <w:numId w:val="0"/>
        </w:numPr>
        <w:rPr>
          <w:szCs w:val="24"/>
        </w:rPr>
      </w:pPr>
      <w:r>
        <w:rPr>
          <w:szCs w:val="24"/>
        </w:rPr>
        <w:t>I</w:t>
      </w:r>
      <w:r w:rsidRPr="00921953" w:rsidR="00270E50">
        <w:rPr>
          <w:szCs w:val="24"/>
        </w:rPr>
        <w:t xml:space="preserve">n the </w:t>
      </w:r>
      <w:r w:rsidRPr="00921953" w:rsidR="00270E50">
        <w:rPr>
          <w:i/>
          <w:szCs w:val="24"/>
        </w:rPr>
        <w:t>Third Report and Order</w:t>
      </w:r>
      <w:r w:rsidRPr="00921953" w:rsidR="009D196C">
        <w:rPr>
          <w:szCs w:val="24"/>
        </w:rPr>
        <w:t>,</w:t>
      </w:r>
      <w:r w:rsidRPr="00921953" w:rsidR="005659F2">
        <w:rPr>
          <w:szCs w:val="24"/>
        </w:rPr>
        <w:t xml:space="preserve"> </w:t>
      </w:r>
      <w:r w:rsidRPr="00921953" w:rsidR="009D196C">
        <w:rPr>
          <w:szCs w:val="24"/>
        </w:rPr>
        <w:t>the</w:t>
      </w:r>
      <w:r w:rsidR="00921953">
        <w:rPr>
          <w:szCs w:val="24"/>
        </w:rPr>
        <w:t xml:space="preserve"> </w:t>
      </w:r>
      <w:r w:rsidR="00177937">
        <w:rPr>
          <w:szCs w:val="24"/>
        </w:rPr>
        <w:t>FC</w:t>
      </w:r>
      <w:r w:rsidR="00921953">
        <w:rPr>
          <w:szCs w:val="24"/>
        </w:rPr>
        <w:t>C adopted</w:t>
      </w:r>
      <w:r w:rsidRPr="00921953" w:rsidR="005659F2">
        <w:rPr>
          <w:szCs w:val="24"/>
        </w:rPr>
        <w:t xml:space="preserve"> rules</w:t>
      </w:r>
      <w:r>
        <w:rPr>
          <w:szCs w:val="24"/>
        </w:rPr>
        <w:t xml:space="preserve"> establishing a regulatory structure</w:t>
      </w:r>
      <w:r w:rsidRPr="00921953" w:rsidR="005659F2">
        <w:rPr>
          <w:szCs w:val="24"/>
        </w:rPr>
        <w:t xml:space="preserve"> </w:t>
      </w:r>
      <w:r>
        <w:rPr>
          <w:szCs w:val="24"/>
        </w:rPr>
        <w:t>for a national test of the EAS.</w:t>
      </w:r>
      <w:r w:rsidR="007E7C9F">
        <w:rPr>
          <w:rStyle w:val="FootnoteReference"/>
          <w:szCs w:val="24"/>
        </w:rPr>
        <w:footnoteReference w:id="4"/>
      </w:r>
      <w:r>
        <w:rPr>
          <w:szCs w:val="24"/>
        </w:rPr>
        <w:t xml:space="preserve">  In order for the </w:t>
      </w:r>
      <w:r w:rsidR="00177937">
        <w:rPr>
          <w:szCs w:val="24"/>
        </w:rPr>
        <w:t>FC</w:t>
      </w:r>
      <w:r>
        <w:rPr>
          <w:szCs w:val="24"/>
        </w:rPr>
        <w:t xml:space="preserve">C to determine the extent to which the test, and by extension the EAS, was successful, the FCC adopted rules </w:t>
      </w:r>
      <w:r w:rsidRPr="00921953" w:rsidR="005659F2">
        <w:rPr>
          <w:szCs w:val="24"/>
        </w:rPr>
        <w:t xml:space="preserve">requiring EAS Participants, within forty five (45) days of the date of the first national EAS test, to record and submit to the </w:t>
      </w:r>
      <w:r w:rsidR="00177937">
        <w:rPr>
          <w:szCs w:val="24"/>
        </w:rPr>
        <w:t>FC</w:t>
      </w:r>
      <w:r w:rsidRPr="00921953" w:rsidR="005659F2">
        <w:rPr>
          <w:szCs w:val="24"/>
        </w:rPr>
        <w:t>C the following test-related diagnostic information for each alert received from each message source monitored at the time of the national test:</w:t>
      </w:r>
    </w:p>
    <w:p w:rsidRPr="00921953" w:rsidR="005659F2" w:rsidP="00921953" w:rsidRDefault="001A73F2">
      <w:pPr>
        <w:pStyle w:val="ParaNum"/>
        <w:numPr>
          <w:ilvl w:val="0"/>
          <w:numId w:val="4"/>
        </w:numPr>
        <w:rPr>
          <w:szCs w:val="24"/>
        </w:rPr>
      </w:pPr>
      <w:r>
        <w:rPr>
          <w:szCs w:val="24"/>
        </w:rPr>
        <w:t>W</w:t>
      </w:r>
      <w:r w:rsidRPr="00921953" w:rsidR="005659F2">
        <w:rPr>
          <w:szCs w:val="24"/>
        </w:rPr>
        <w:t xml:space="preserve">hether they received the alert message during the designated test; </w:t>
      </w:r>
    </w:p>
    <w:p w:rsidRPr="00921953" w:rsidR="005659F2" w:rsidP="00921953" w:rsidRDefault="001A73F2">
      <w:pPr>
        <w:pStyle w:val="ParaNum"/>
        <w:numPr>
          <w:ilvl w:val="0"/>
          <w:numId w:val="4"/>
        </w:numPr>
        <w:rPr>
          <w:szCs w:val="24"/>
        </w:rPr>
      </w:pPr>
      <w:r>
        <w:rPr>
          <w:szCs w:val="24"/>
        </w:rPr>
        <w:t>W</w:t>
      </w:r>
      <w:r w:rsidRPr="00921953" w:rsidR="005659F2">
        <w:rPr>
          <w:szCs w:val="24"/>
        </w:rPr>
        <w:t xml:space="preserve">hether they retransmitted the alert; </w:t>
      </w:r>
    </w:p>
    <w:p w:rsidRPr="00921953" w:rsidR="005659F2" w:rsidP="00921953" w:rsidRDefault="001A73F2">
      <w:pPr>
        <w:pStyle w:val="ParaNum"/>
        <w:numPr>
          <w:ilvl w:val="0"/>
          <w:numId w:val="4"/>
        </w:numPr>
        <w:rPr>
          <w:rStyle w:val="FootnoteReference"/>
          <w:sz w:val="24"/>
          <w:szCs w:val="24"/>
          <w:vertAlign w:val="baseline"/>
        </w:rPr>
      </w:pPr>
      <w:r>
        <w:rPr>
          <w:szCs w:val="24"/>
        </w:rPr>
        <w:t>I</w:t>
      </w:r>
      <w:r w:rsidRPr="00921953" w:rsidR="005659F2">
        <w:rPr>
          <w:szCs w:val="24"/>
        </w:rPr>
        <w:t>f they were not able to receive and/or transmit the alert, their ‘best effort’ diagnostic analysis regarding the cause(s) for such failure;</w:t>
      </w:r>
    </w:p>
    <w:p w:rsidRPr="00921953" w:rsidR="005659F2" w:rsidP="00921953" w:rsidRDefault="001A73F2">
      <w:pPr>
        <w:pStyle w:val="ParaNum"/>
        <w:numPr>
          <w:ilvl w:val="0"/>
          <w:numId w:val="4"/>
        </w:numPr>
        <w:rPr>
          <w:rStyle w:val="Strong"/>
          <w:b w:val="0"/>
          <w:bCs w:val="0"/>
          <w:szCs w:val="24"/>
        </w:rPr>
      </w:pPr>
      <w:r>
        <w:rPr>
          <w:szCs w:val="24"/>
        </w:rPr>
        <w:t>A</w:t>
      </w:r>
      <w:r w:rsidRPr="00921953" w:rsidR="005659F2">
        <w:rPr>
          <w:szCs w:val="24"/>
        </w:rPr>
        <w:t xml:space="preserve"> description of t</w:t>
      </w:r>
      <w:r w:rsidRPr="00921953" w:rsidR="005659F2">
        <w:rPr>
          <w:rStyle w:val="Strong"/>
          <w:b w:val="0"/>
          <w:bCs w:val="0"/>
          <w:szCs w:val="24"/>
        </w:rPr>
        <w:t xml:space="preserve">heir station identification and level of designation (PEP, LP-1, etc.); </w:t>
      </w:r>
    </w:p>
    <w:p w:rsidRPr="00921953" w:rsidR="005659F2" w:rsidP="00921953" w:rsidRDefault="001A73F2">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he date/time of receipt of the EAN message by all stations;</w:t>
      </w:r>
      <w:r w:rsidRPr="00921953" w:rsidR="005659F2">
        <w:rPr>
          <w:rStyle w:val="Strong"/>
          <w:b w:val="0"/>
          <w:bCs w:val="0"/>
          <w:szCs w:val="24"/>
        </w:rPr>
        <w:t xml:space="preserve"> t</w:t>
      </w:r>
      <w:r w:rsidRPr="00921953" w:rsidR="005659F2">
        <w:rPr>
          <w:rStyle w:val="Strong"/>
          <w:b w:val="0"/>
          <w:szCs w:val="24"/>
        </w:rPr>
        <w:t>he date/time of PEP station acknowledgement of receipt of the EAN message to FOC;</w:t>
      </w:r>
      <w:r w:rsidRPr="00921953" w:rsidR="005659F2">
        <w:rPr>
          <w:rStyle w:val="Strong"/>
          <w:b w:val="0"/>
          <w:bCs w:val="0"/>
          <w:szCs w:val="24"/>
        </w:rPr>
        <w:t xml:space="preserve"> </w:t>
      </w:r>
    </w:p>
    <w:p w:rsidRPr="00921953" w:rsidR="005659F2" w:rsidP="00921953" w:rsidRDefault="001A73F2">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 xml:space="preserve">he date/time of initiation of actual broadcast of the Presidential message; </w:t>
      </w:r>
    </w:p>
    <w:p w:rsidRPr="00921953" w:rsidR="005659F2" w:rsidP="00921953" w:rsidRDefault="001A73F2">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 xml:space="preserve">he date/time of receipt of the EAT message by all stations; </w:t>
      </w:r>
    </w:p>
    <w:p w:rsidRPr="00921953" w:rsidR="005659F2" w:rsidP="00921953" w:rsidRDefault="001A73F2">
      <w:pPr>
        <w:pStyle w:val="ParaNum"/>
        <w:numPr>
          <w:ilvl w:val="0"/>
          <w:numId w:val="4"/>
        </w:numPr>
        <w:rPr>
          <w:rStyle w:val="Strong"/>
          <w:b w:val="0"/>
          <w:bCs w:val="0"/>
          <w:szCs w:val="24"/>
        </w:rPr>
      </w:pPr>
      <w:r>
        <w:rPr>
          <w:rStyle w:val="Strong"/>
          <w:b w:val="0"/>
          <w:szCs w:val="24"/>
        </w:rPr>
        <w:t>W</w:t>
      </w:r>
      <w:r w:rsidRPr="00921953" w:rsidR="005659F2">
        <w:rPr>
          <w:rStyle w:val="Strong"/>
          <w:b w:val="0"/>
          <w:szCs w:val="24"/>
        </w:rPr>
        <w:t xml:space="preserve">ho they were monitoring at the time of the test, and the make </w:t>
      </w:r>
      <w:proofErr w:type="gramStart"/>
      <w:r w:rsidRPr="00921953" w:rsidR="005659F2">
        <w:rPr>
          <w:rStyle w:val="Strong"/>
          <w:b w:val="0"/>
          <w:szCs w:val="24"/>
        </w:rPr>
        <w:t>and</w:t>
      </w:r>
      <w:proofErr w:type="gramEnd"/>
      <w:r w:rsidRPr="00921953" w:rsidR="005659F2">
        <w:rPr>
          <w:rStyle w:val="Strong"/>
          <w:b w:val="0"/>
          <w:szCs w:val="24"/>
        </w:rPr>
        <w:t xml:space="preserve"> </w:t>
      </w:r>
    </w:p>
    <w:p w:rsidRPr="00921953" w:rsidR="00270E50" w:rsidP="00921953" w:rsidRDefault="001A73F2">
      <w:pPr>
        <w:pStyle w:val="ParaNum"/>
        <w:numPr>
          <w:ilvl w:val="0"/>
          <w:numId w:val="4"/>
        </w:numPr>
        <w:rPr>
          <w:szCs w:val="24"/>
        </w:rPr>
      </w:pPr>
      <w:r>
        <w:rPr>
          <w:rStyle w:val="Strong"/>
          <w:b w:val="0"/>
          <w:szCs w:val="24"/>
        </w:rPr>
        <w:t>M</w:t>
      </w:r>
      <w:r w:rsidRPr="00921953" w:rsidR="005659F2">
        <w:rPr>
          <w:rStyle w:val="Strong"/>
          <w:b w:val="0"/>
          <w:szCs w:val="24"/>
        </w:rPr>
        <w:t>odel number of the EAS equipment that they utilized.</w:t>
      </w:r>
    </w:p>
    <w:p w:rsidRPr="00921953" w:rsidR="00270E50" w:rsidP="00921953" w:rsidRDefault="005659F2">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indicates that </w:t>
      </w:r>
      <w:r w:rsidRPr="00921953" w:rsidR="001A3948">
        <w:rPr>
          <w:rFonts w:ascii="Times New Roman" w:hAnsi="Times New Roman"/>
          <w:szCs w:val="24"/>
        </w:rPr>
        <w:t>the national tests of EAS, and related information collections will likely be carried out on an annual basis.</w:t>
      </w:r>
      <w:r w:rsidRPr="00921953" w:rsidR="00F421D9">
        <w:rPr>
          <w:rFonts w:ascii="Times New Roman" w:hAnsi="Times New Roman"/>
          <w:szCs w:val="24"/>
        </w:rPr>
        <w:t xml:space="preserve">  </w:t>
      </w:r>
      <w:r w:rsidR="002F13E4">
        <w:rPr>
          <w:rFonts w:ascii="Times New Roman" w:hAnsi="Times New Roman"/>
          <w:szCs w:val="24"/>
        </w:rPr>
        <w:t>On March 10, 2010, OMB approved the collection as indicated by the related Notice of Office of Management and Budget Action notification.</w:t>
      </w:r>
    </w:p>
    <w:p w:rsidRPr="00921953" w:rsidR="001A3948" w:rsidP="00921953" w:rsidRDefault="001A3948">
      <w:pPr>
        <w:rPr>
          <w:rFonts w:ascii="Times New Roman" w:hAnsi="Times New Roman"/>
          <w:szCs w:val="24"/>
        </w:rPr>
      </w:pPr>
    </w:p>
    <w:p w:rsidRPr="00921953" w:rsidR="00DB317E" w:rsidP="00921953" w:rsidRDefault="00270E50">
      <w:pPr>
        <w:rPr>
          <w:rFonts w:ascii="Times New Roman" w:hAnsi="Times New Roman"/>
          <w:szCs w:val="24"/>
        </w:rPr>
      </w:pPr>
      <w:r w:rsidRPr="00921953">
        <w:rPr>
          <w:rFonts w:ascii="Times New Roman" w:hAnsi="Times New Roman"/>
          <w:szCs w:val="24"/>
        </w:rPr>
        <w:t>I</w:t>
      </w:r>
      <w:r w:rsidRPr="00921953" w:rsidR="00745E3B">
        <w:rPr>
          <w:rFonts w:ascii="Times New Roman" w:hAnsi="Times New Roman"/>
          <w:szCs w:val="24"/>
        </w:rPr>
        <w:t xml:space="preserve">n the </w:t>
      </w:r>
      <w:r w:rsidRPr="00921953" w:rsidR="00745E3B">
        <w:rPr>
          <w:rFonts w:ascii="Times New Roman" w:hAnsi="Times New Roman"/>
          <w:i/>
          <w:szCs w:val="24"/>
        </w:rPr>
        <w:t>Second Report and Order</w:t>
      </w:r>
      <w:r w:rsidRPr="00921953" w:rsidR="00745E3B">
        <w:rPr>
          <w:rFonts w:ascii="Times New Roman" w:hAnsi="Times New Roman"/>
          <w:szCs w:val="24"/>
        </w:rPr>
        <w:t>, the</w:t>
      </w:r>
      <w:r w:rsidRPr="00921953" w:rsidR="00CB3602">
        <w:rPr>
          <w:rFonts w:ascii="Times New Roman" w:hAnsi="Times New Roman"/>
          <w:szCs w:val="24"/>
        </w:rPr>
        <w:t xml:space="preserve"> </w:t>
      </w:r>
      <w:r w:rsidR="00177937">
        <w:rPr>
          <w:rFonts w:ascii="Times New Roman" w:hAnsi="Times New Roman"/>
          <w:szCs w:val="24"/>
        </w:rPr>
        <w:t>FCC</w:t>
      </w:r>
      <w:r w:rsidRPr="00921953" w:rsidR="00CB3602">
        <w:rPr>
          <w:rFonts w:ascii="Times New Roman" w:hAnsi="Times New Roman"/>
          <w:szCs w:val="24"/>
        </w:rPr>
        <w:t xml:space="preserve"> adopt</w:t>
      </w:r>
      <w:r w:rsidR="00133261">
        <w:rPr>
          <w:rFonts w:ascii="Times New Roman" w:hAnsi="Times New Roman"/>
          <w:szCs w:val="24"/>
        </w:rPr>
        <w:t>ed</w:t>
      </w:r>
      <w:r w:rsidRPr="00921953" w:rsidR="00745E3B">
        <w:rPr>
          <w:rFonts w:ascii="Times New Roman" w:hAnsi="Times New Roman"/>
          <w:szCs w:val="24"/>
        </w:rPr>
        <w:t xml:space="preserve"> rules that require states to file new EAS plans with the </w:t>
      </w:r>
      <w:r w:rsidR="00177937">
        <w:rPr>
          <w:rFonts w:ascii="Times New Roman" w:hAnsi="Times New Roman"/>
          <w:szCs w:val="24"/>
        </w:rPr>
        <w:t>FCC</w:t>
      </w:r>
      <w:r w:rsidRPr="00921953" w:rsidR="00745E3B">
        <w:rPr>
          <w:rFonts w:ascii="Times New Roman" w:hAnsi="Times New Roman"/>
          <w:szCs w:val="24"/>
        </w:rPr>
        <w:t xml:space="preserve"> under certain circumstances, expand the number of private entities covered by </w:t>
      </w:r>
      <w:r w:rsidRPr="00921953" w:rsidR="00745E3B">
        <w:rPr>
          <w:rFonts w:ascii="Times New Roman" w:hAnsi="Times New Roman"/>
          <w:szCs w:val="24"/>
        </w:rPr>
        <w:lastRenderedPageBreak/>
        <w:t xml:space="preserve">EAS, and impose </w:t>
      </w:r>
      <w:r w:rsidRPr="00921953" w:rsidR="00CB3602">
        <w:rPr>
          <w:rFonts w:ascii="Times New Roman" w:hAnsi="Times New Roman"/>
          <w:szCs w:val="24"/>
        </w:rPr>
        <w:t>new obligations on private entities</w:t>
      </w:r>
      <w:r w:rsidRPr="00921953" w:rsidR="00D2644E">
        <w:rPr>
          <w:rFonts w:ascii="Times New Roman" w:hAnsi="Times New Roman"/>
          <w:szCs w:val="24"/>
        </w:rPr>
        <w:t>.</w:t>
      </w:r>
      <w:r w:rsidR="007E7C9F">
        <w:rPr>
          <w:rStyle w:val="FootnoteReference"/>
          <w:szCs w:val="24"/>
        </w:rPr>
        <w:footnoteReference w:id="5"/>
      </w:r>
      <w:r w:rsidRPr="00921953" w:rsidR="00CB3602">
        <w:rPr>
          <w:rFonts w:ascii="Times New Roman" w:hAnsi="Times New Roman"/>
          <w:szCs w:val="24"/>
        </w:rPr>
        <w:t xml:space="preserve"> </w:t>
      </w:r>
      <w:r w:rsidR="00467EE6">
        <w:rPr>
          <w:rFonts w:ascii="Times New Roman" w:hAnsi="Times New Roman"/>
          <w:szCs w:val="24"/>
        </w:rPr>
        <w:t xml:space="preserve"> These</w:t>
      </w:r>
      <w:r w:rsidRPr="00921953" w:rsidR="00D2644E">
        <w:rPr>
          <w:rFonts w:ascii="Times New Roman" w:hAnsi="Times New Roman"/>
          <w:szCs w:val="24"/>
        </w:rPr>
        <w:t xml:space="preserve"> rules may impact currently existing</w:t>
      </w:r>
      <w:r w:rsidRPr="00921953" w:rsidR="00CB3602">
        <w:rPr>
          <w:rFonts w:ascii="Times New Roman" w:hAnsi="Times New Roman"/>
          <w:szCs w:val="24"/>
        </w:rPr>
        <w:t xml:space="preserve"> paperwork collection requirements as discussed below.</w:t>
      </w:r>
      <w:r w:rsidRPr="00921953" w:rsidR="00745E3B">
        <w:rPr>
          <w:rFonts w:ascii="Times New Roman" w:hAnsi="Times New Roman"/>
          <w:szCs w:val="24"/>
        </w:rPr>
        <w:t xml:space="preserve"> </w:t>
      </w:r>
    </w:p>
    <w:p w:rsidRPr="00921953" w:rsidR="005308F3" w:rsidP="00921953" w:rsidRDefault="005308F3">
      <w:pPr>
        <w:rPr>
          <w:rFonts w:ascii="Times New Roman" w:hAnsi="Times New Roman"/>
          <w:szCs w:val="24"/>
        </w:rPr>
      </w:pPr>
    </w:p>
    <w:p w:rsidRPr="00921953" w:rsidR="00E95E38" w:rsidP="00921953" w:rsidRDefault="005308F3">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Pr="00921953" w:rsidR="00CB3602">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 xml:space="preserve">the </w:t>
      </w:r>
      <w:r w:rsidR="00177937">
        <w:rPr>
          <w:rFonts w:ascii="Times New Roman" w:hAnsi="Times New Roman"/>
          <w:szCs w:val="24"/>
        </w:rPr>
        <w:t>FCC</w:t>
      </w:r>
      <w:r w:rsidRPr="00921953">
        <w:rPr>
          <w:rFonts w:ascii="Times New Roman" w:hAnsi="Times New Roman"/>
          <w:szCs w:val="24"/>
        </w:rPr>
        <w:t xml:space="preserve"> adopt</w:t>
      </w:r>
      <w:r w:rsidR="00133261">
        <w:rPr>
          <w:rFonts w:ascii="Times New Roman" w:hAnsi="Times New Roman"/>
          <w:szCs w:val="24"/>
        </w:rPr>
        <w:t>ed</w:t>
      </w:r>
      <w:r w:rsidRPr="00921953">
        <w:rPr>
          <w:rFonts w:ascii="Times New Roman" w:hAnsi="Times New Roman"/>
          <w:szCs w:val="24"/>
        </w:rPr>
        <w:t xml:space="preserve"> a </w:t>
      </w:r>
      <w:r w:rsidRPr="00921953" w:rsidR="00CB3602">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Pr="00921953" w:rsidR="00CB3602">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Pr="00921953" w:rsidR="00CB3602">
        <w:rPr>
          <w:rFonts w:ascii="Times New Roman" w:hAnsi="Times New Roman"/>
          <w:szCs w:val="24"/>
        </w:rPr>
        <w:t xml:space="preserve">articipants by </w:t>
      </w:r>
      <w:r w:rsidRPr="00921953">
        <w:rPr>
          <w:rFonts w:ascii="Times New Roman" w:hAnsi="Times New Roman"/>
          <w:szCs w:val="24"/>
        </w:rPr>
        <w:t>including wireline common carriers pro</w:t>
      </w:r>
      <w:r w:rsidRPr="00921953" w:rsidR="00CB3602">
        <w:rPr>
          <w:rFonts w:ascii="Times New Roman" w:hAnsi="Times New Roman"/>
          <w:szCs w:val="24"/>
        </w:rPr>
        <w:t xml:space="preserve">viding video programming </w:t>
      </w:r>
      <w:r w:rsidRPr="00921953" w:rsidR="00CA44CC">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w:t>
      </w:r>
      <w:r w:rsidR="00177937">
        <w:rPr>
          <w:rFonts w:ascii="Times New Roman" w:hAnsi="Times New Roman"/>
          <w:szCs w:val="24"/>
        </w:rPr>
        <w:t>FCC</w:t>
      </w:r>
      <w:r w:rsidRPr="00921953">
        <w:rPr>
          <w:rFonts w:ascii="Times New Roman" w:hAnsi="Times New Roman"/>
          <w:szCs w:val="24"/>
        </w:rPr>
        <w:t xml:space="preserve">-approved EAS state plan that provides for delivery of such alerts.  </w:t>
      </w:r>
    </w:p>
    <w:p w:rsidRPr="00921953" w:rsidR="009739E4" w:rsidP="00921953" w:rsidRDefault="009739E4">
      <w:pPr>
        <w:rPr>
          <w:rFonts w:ascii="Times New Roman" w:hAnsi="Times New Roman"/>
          <w:szCs w:val="24"/>
        </w:rPr>
      </w:pPr>
    </w:p>
    <w:p w:rsidR="00B44C02" w:rsidP="00921953" w:rsidRDefault="00B44C02">
      <w:pPr>
        <w:rPr>
          <w:rFonts w:ascii="Times New Roman" w:hAnsi="Times New Roman"/>
          <w:szCs w:val="24"/>
        </w:rPr>
      </w:pPr>
    </w:p>
    <w:p w:rsidRPr="00921953" w:rsidR="00902962" w:rsidP="00921953" w:rsidRDefault="00902962">
      <w:pPr>
        <w:rPr>
          <w:rFonts w:ascii="Times New Roman" w:hAnsi="Times New Roman"/>
          <w:szCs w:val="24"/>
        </w:rPr>
      </w:pPr>
      <w:r w:rsidRPr="00921953">
        <w:rPr>
          <w:rFonts w:ascii="Times New Roman" w:hAnsi="Times New Roman"/>
          <w:szCs w:val="24"/>
        </w:rPr>
        <w:t>The follow</w:t>
      </w:r>
      <w:r w:rsidRPr="00921953" w:rsidR="00CB3602">
        <w:rPr>
          <w:rFonts w:ascii="Times New Roman" w:hAnsi="Times New Roman"/>
          <w:szCs w:val="24"/>
        </w:rPr>
        <w:t xml:space="preserve">ing information collection </w:t>
      </w:r>
      <w:r w:rsidRPr="00921953">
        <w:rPr>
          <w:rFonts w:ascii="Times New Roman" w:hAnsi="Times New Roman"/>
          <w:szCs w:val="24"/>
        </w:rPr>
        <w:t>contained in Part 11</w:t>
      </w:r>
      <w:r w:rsidRPr="00921953" w:rsidR="00CB3602">
        <w:rPr>
          <w:rFonts w:ascii="Times New Roman" w:hAnsi="Times New Roman"/>
          <w:szCs w:val="24"/>
        </w:rPr>
        <w:t xml:space="preserve"> may be impacted by these rule amendments</w:t>
      </w:r>
      <w:r w:rsidRPr="00921953">
        <w:rPr>
          <w:rFonts w:ascii="Times New Roman" w:hAnsi="Times New Roman"/>
          <w:szCs w:val="24"/>
        </w:rPr>
        <w:t>:</w:t>
      </w:r>
    </w:p>
    <w:p w:rsidR="00343FCB" w:rsidP="00921953" w:rsidRDefault="00343FCB">
      <w:pPr>
        <w:rPr>
          <w:rFonts w:ascii="Times New Roman" w:hAnsi="Times New Roman"/>
          <w:szCs w:val="24"/>
        </w:rPr>
      </w:pPr>
    </w:p>
    <w:p w:rsidRPr="00921953" w:rsidR="00444D35" w:rsidP="00921953" w:rsidRDefault="00444D35">
      <w:pPr>
        <w:rPr>
          <w:rFonts w:ascii="Times New Roman" w:hAnsi="Times New Roman"/>
          <w:szCs w:val="24"/>
        </w:rPr>
      </w:pPr>
      <w:r w:rsidRPr="00921953">
        <w:rPr>
          <w:rFonts w:ascii="Times New Roman" w:hAnsi="Times New Roman"/>
          <w:szCs w:val="24"/>
        </w:rPr>
        <w:t>Section 11.</w:t>
      </w:r>
      <w:r w:rsidR="008862DB">
        <w:rPr>
          <w:rFonts w:ascii="Times New Roman" w:hAnsi="Times New Roman"/>
          <w:szCs w:val="24"/>
        </w:rPr>
        <w:t>6</w:t>
      </w:r>
      <w:r w:rsidRPr="00921953">
        <w:rPr>
          <w:rFonts w:ascii="Times New Roman" w:hAnsi="Times New Roman"/>
          <w:szCs w:val="24"/>
        </w:rPr>
        <w:t xml:space="preserve">1 </w:t>
      </w:r>
      <w:r w:rsidR="008862DB">
        <w:rPr>
          <w:rFonts w:ascii="Times New Roman" w:hAnsi="Times New Roman"/>
          <w:szCs w:val="24"/>
        </w:rPr>
        <w:t xml:space="preserve">contains test requirements for </w:t>
      </w:r>
      <w:r w:rsidRPr="008862DB" w:rsidR="008862DB">
        <w:rPr>
          <w:rFonts w:ascii="Times New Roman" w:hAnsi="Times New Roman"/>
          <w:szCs w:val="24"/>
        </w:rPr>
        <w:t>radio and television broadcast stations, cable systems</w:t>
      </w:r>
      <w:r w:rsidR="008862DB">
        <w:rPr>
          <w:rFonts w:ascii="Times New Roman" w:hAnsi="Times New Roman"/>
          <w:szCs w:val="24"/>
        </w:rPr>
        <w:t xml:space="preserve">, SDARS providers, DBS providers and other regulated service providers subject to the EAS rules.  </w:t>
      </w:r>
      <w:r w:rsidRPr="00921953" w:rsidR="006A2A9A">
        <w:rPr>
          <w:rFonts w:ascii="Times New Roman" w:hAnsi="Times New Roman"/>
          <w:szCs w:val="24"/>
        </w:rPr>
        <w:t xml:space="preserve"> </w:t>
      </w:r>
    </w:p>
    <w:p w:rsidRPr="00921953" w:rsidR="003733B5" w:rsidP="00921953" w:rsidRDefault="003733B5">
      <w:pPr>
        <w:rPr>
          <w:rFonts w:ascii="Times New Roman" w:hAnsi="Times New Roman"/>
          <w:szCs w:val="24"/>
        </w:rPr>
      </w:pPr>
    </w:p>
    <w:p w:rsidRPr="00921953" w:rsidR="00CA497A" w:rsidP="00921953" w:rsidRDefault="00871718">
      <w:pPr>
        <w:rPr>
          <w:rFonts w:ascii="Times New Roman" w:hAnsi="Times New Roman"/>
          <w:szCs w:val="24"/>
        </w:rPr>
      </w:pPr>
      <w:r w:rsidRPr="00921953">
        <w:rPr>
          <w:rFonts w:ascii="Times New Roman" w:hAnsi="Times New Roman"/>
          <w:szCs w:val="24"/>
        </w:rPr>
        <w:t>Statutory authority for this collection of infor</w:t>
      </w:r>
      <w:r w:rsidRPr="00921953" w:rsidR="00CC3C5D">
        <w:rPr>
          <w:rFonts w:ascii="Times New Roman" w:hAnsi="Times New Roman"/>
          <w:szCs w:val="24"/>
        </w:rPr>
        <w:t xml:space="preserve">mation is contained in </w:t>
      </w:r>
      <w:r w:rsidR="00434442">
        <w:rPr>
          <w:rFonts w:ascii="Times New Roman" w:hAnsi="Times New Roman"/>
          <w:szCs w:val="24"/>
        </w:rPr>
        <w:t xml:space="preserve">47 U.S.C. </w:t>
      </w:r>
      <w:r w:rsidRPr="00921953" w:rsidR="00CC3C5D">
        <w:rPr>
          <w:rFonts w:ascii="Times New Roman" w:hAnsi="Times New Roman"/>
          <w:szCs w:val="24"/>
        </w:rPr>
        <w:t>s</w:t>
      </w:r>
      <w:r w:rsidRPr="00921953" w:rsidR="00B53655">
        <w:rPr>
          <w:rFonts w:ascii="Times New Roman" w:hAnsi="Times New Roman"/>
          <w:szCs w:val="24"/>
        </w:rPr>
        <w:t>ection</w:t>
      </w:r>
      <w:r w:rsidRPr="00921953" w:rsidR="008B7B13">
        <w:rPr>
          <w:rFonts w:ascii="Times New Roman" w:hAnsi="Times New Roman"/>
          <w:szCs w:val="24"/>
        </w:rPr>
        <w:t>s</w:t>
      </w:r>
      <w:r w:rsidRPr="00921953" w:rsidR="00B53655">
        <w:rPr>
          <w:rFonts w:ascii="Times New Roman" w:hAnsi="Times New Roman"/>
          <w:szCs w:val="24"/>
        </w:rPr>
        <w:t xml:space="preserve"> 1</w:t>
      </w:r>
      <w:r w:rsidRPr="00921953">
        <w:rPr>
          <w:rFonts w:ascii="Times New Roman" w:hAnsi="Times New Roman"/>
          <w:szCs w:val="24"/>
        </w:rPr>
        <w:t>54(i)</w:t>
      </w:r>
      <w:r w:rsidRPr="00921953" w:rsidR="008B7B13">
        <w:rPr>
          <w:rFonts w:ascii="Times New Roman" w:hAnsi="Times New Roman"/>
          <w:szCs w:val="24"/>
        </w:rPr>
        <w:t xml:space="preserve"> and 606</w:t>
      </w:r>
      <w:r w:rsidRPr="00921953">
        <w:rPr>
          <w:rFonts w:ascii="Times New Roman" w:hAnsi="Times New Roman"/>
          <w:szCs w:val="24"/>
        </w:rPr>
        <w:t xml:space="preserve"> of the Communi</w:t>
      </w:r>
      <w:r w:rsidRPr="00921953" w:rsidR="00012D09">
        <w:rPr>
          <w:rFonts w:ascii="Times New Roman" w:hAnsi="Times New Roman"/>
          <w:szCs w:val="24"/>
        </w:rPr>
        <w:t>cations Act of 1934, as amended</w:t>
      </w:r>
      <w:r w:rsidRPr="00921953" w:rsidR="00CA497A">
        <w:rPr>
          <w:rFonts w:ascii="Times New Roman" w:hAnsi="Times New Roman"/>
          <w:szCs w:val="24"/>
        </w:rPr>
        <w:t>.</w:t>
      </w:r>
      <w:r w:rsidRPr="00921953" w:rsidR="00E6420C">
        <w:rPr>
          <w:rFonts w:ascii="Times New Roman" w:hAnsi="Times New Roman"/>
          <w:szCs w:val="24"/>
        </w:rPr>
        <w:t xml:space="preserve"> </w:t>
      </w:r>
    </w:p>
    <w:p w:rsidRPr="00921953" w:rsidR="00DF6962" w:rsidP="00921953" w:rsidRDefault="00DF6962">
      <w:pPr>
        <w:rPr>
          <w:rFonts w:ascii="Times New Roman" w:hAnsi="Times New Roman"/>
          <w:szCs w:val="24"/>
        </w:rPr>
      </w:pPr>
    </w:p>
    <w:p w:rsidRPr="00921953" w:rsidR="00CA497A" w:rsidP="00921953" w:rsidRDefault="000879B8">
      <w:pPr>
        <w:rPr>
          <w:rFonts w:ascii="Times New Roman" w:hAnsi="Times New Roman"/>
          <w:szCs w:val="24"/>
        </w:rPr>
      </w:pPr>
      <w:r w:rsidRPr="00921953">
        <w:rPr>
          <w:rFonts w:ascii="Times New Roman" w:hAnsi="Times New Roman"/>
          <w:color w:val="000000"/>
          <w:szCs w:val="24"/>
        </w:rPr>
        <w:t>T</w:t>
      </w:r>
      <w:r w:rsidRPr="00921953" w:rsidR="00CA497A">
        <w:rPr>
          <w:rFonts w:ascii="Times New Roman" w:hAnsi="Times New Roman"/>
          <w:color w:val="000000"/>
          <w:szCs w:val="24"/>
        </w:rPr>
        <w:t>his information collection does not affect individuals or households; thus, there are no impacts under the Privacy Act.</w:t>
      </w:r>
      <w:r w:rsidRPr="00921953" w:rsidR="00CA497A">
        <w:rPr>
          <w:rFonts w:ascii="Times New Roman" w:hAnsi="Times New Roman"/>
          <w:strike/>
          <w:color w:val="000000"/>
          <w:szCs w:val="24"/>
        </w:rPr>
        <w:br/>
      </w:r>
    </w:p>
    <w:p w:rsidR="00D07FC9" w:rsidP="00343CE6" w:rsidRDefault="00012D09">
      <w:pPr>
        <w:rPr>
          <w:rFonts w:ascii="Times New Roman" w:hAnsi="Times New Roman"/>
          <w:szCs w:val="24"/>
        </w:rPr>
      </w:pPr>
      <w:r w:rsidRPr="00921953">
        <w:rPr>
          <w:rFonts w:ascii="Times New Roman" w:hAnsi="Times New Roman"/>
          <w:szCs w:val="24"/>
        </w:rPr>
        <w:t xml:space="preserve">2. </w:t>
      </w:r>
      <w:r w:rsidR="005156E3">
        <w:rPr>
          <w:rFonts w:ascii="Times New Roman" w:hAnsi="Times New Roman"/>
          <w:szCs w:val="24"/>
        </w:rPr>
        <w:t xml:space="preserve"> T</w:t>
      </w:r>
      <w:r w:rsidRPr="005156E3" w:rsidR="005156E3">
        <w:rPr>
          <w:rFonts w:ascii="Times New Roman" w:hAnsi="Times New Roman"/>
          <w:szCs w:val="24"/>
        </w:rPr>
        <w:t xml:space="preserve">he Commission </w:t>
      </w:r>
      <w:r w:rsidR="005156E3">
        <w:rPr>
          <w:rFonts w:ascii="Times New Roman" w:hAnsi="Times New Roman"/>
          <w:szCs w:val="24"/>
        </w:rPr>
        <w:t xml:space="preserve">revised </w:t>
      </w:r>
      <w:r w:rsidRPr="005156E3" w:rsidR="005156E3">
        <w:rPr>
          <w:rFonts w:ascii="Times New Roman" w:hAnsi="Times New Roman"/>
          <w:szCs w:val="24"/>
        </w:rPr>
        <w:t xml:space="preserve">the SDARS </w:t>
      </w:r>
      <w:r w:rsidR="005156E3">
        <w:rPr>
          <w:rFonts w:ascii="Times New Roman" w:hAnsi="Times New Roman"/>
          <w:szCs w:val="24"/>
        </w:rPr>
        <w:t xml:space="preserve">EAS </w:t>
      </w:r>
      <w:r w:rsidRPr="005156E3" w:rsidR="005156E3">
        <w:rPr>
          <w:rFonts w:ascii="Times New Roman" w:hAnsi="Times New Roman"/>
          <w:szCs w:val="24"/>
        </w:rPr>
        <w:t xml:space="preserve">testing requirements </w:t>
      </w:r>
      <w:r w:rsidR="005156E3">
        <w:rPr>
          <w:rFonts w:ascii="Times New Roman" w:hAnsi="Times New Roman"/>
          <w:szCs w:val="24"/>
        </w:rPr>
        <w:t>to</w:t>
      </w:r>
      <w:r w:rsidRPr="005156E3" w:rsidR="005156E3">
        <w:rPr>
          <w:rFonts w:ascii="Times New Roman" w:hAnsi="Times New Roman"/>
          <w:szCs w:val="24"/>
        </w:rPr>
        <w:t xml:space="preserve"> make them symmetrical to the DBS testing requirements based on its finding that SDARS and DBS services are similarly situated.  </w:t>
      </w:r>
      <w:r w:rsidR="005156E3">
        <w:rPr>
          <w:rFonts w:ascii="Times New Roman" w:hAnsi="Times New Roman"/>
          <w:szCs w:val="24"/>
        </w:rPr>
        <w:t xml:space="preserve">This action should </w:t>
      </w:r>
      <w:r w:rsidRPr="005156E3" w:rsidR="005156E3">
        <w:rPr>
          <w:rFonts w:ascii="Times New Roman" w:hAnsi="Times New Roman"/>
          <w:szCs w:val="24"/>
        </w:rPr>
        <w:t xml:space="preserve">reduce the economic impact for SDARS providers associated with compliance with the general monthly and weekly testing requirements </w:t>
      </w:r>
      <w:r w:rsidR="005156E3">
        <w:rPr>
          <w:rFonts w:ascii="Times New Roman" w:hAnsi="Times New Roman"/>
          <w:szCs w:val="24"/>
        </w:rPr>
        <w:t>previously applied to them.  The</w:t>
      </w:r>
      <w:r w:rsidRPr="005156E3" w:rsidR="005156E3">
        <w:rPr>
          <w:rFonts w:ascii="Times New Roman" w:hAnsi="Times New Roman"/>
          <w:szCs w:val="24"/>
        </w:rPr>
        <w:t xml:space="preserve"> substituti</w:t>
      </w:r>
      <w:r w:rsidR="005156E3">
        <w:rPr>
          <w:rFonts w:ascii="Times New Roman" w:hAnsi="Times New Roman"/>
          <w:szCs w:val="24"/>
        </w:rPr>
        <w:t>o</w:t>
      </w:r>
      <w:r w:rsidRPr="005156E3" w:rsidR="005156E3">
        <w:rPr>
          <w:rFonts w:ascii="Times New Roman" w:hAnsi="Times New Roman"/>
          <w:szCs w:val="24"/>
        </w:rPr>
        <w:t xml:space="preserve">n </w:t>
      </w:r>
      <w:r w:rsidR="005156E3">
        <w:rPr>
          <w:rFonts w:ascii="Times New Roman" w:hAnsi="Times New Roman"/>
          <w:szCs w:val="24"/>
        </w:rPr>
        <w:t xml:space="preserve">of </w:t>
      </w:r>
      <w:r w:rsidRPr="005156E3" w:rsidR="005156E3">
        <w:rPr>
          <w:rFonts w:ascii="Times New Roman" w:hAnsi="Times New Roman"/>
          <w:szCs w:val="24"/>
        </w:rPr>
        <w:t xml:space="preserve">logging receipt of a weekly test for conducting the weekly test represents a reduced burden, as EAS equipment automatically records when weekly tests are received.  </w:t>
      </w:r>
      <w:r w:rsidR="005156E3">
        <w:rPr>
          <w:rFonts w:ascii="Times New Roman" w:hAnsi="Times New Roman"/>
          <w:szCs w:val="24"/>
        </w:rPr>
        <w:t xml:space="preserve">In addition, </w:t>
      </w:r>
      <w:r w:rsidRPr="005156E3" w:rsidR="005156E3">
        <w:rPr>
          <w:rFonts w:ascii="Times New Roman" w:hAnsi="Times New Roman"/>
          <w:szCs w:val="24"/>
        </w:rPr>
        <w:t xml:space="preserve">not having to transmit the EAS header codes and EOM on all channels randomly once per week relieves the SDARS provider from having to coordinate and administer such testing. </w:t>
      </w:r>
      <w:r w:rsidR="008D61EF">
        <w:rPr>
          <w:rFonts w:ascii="Times New Roman" w:hAnsi="Times New Roman"/>
          <w:szCs w:val="24"/>
        </w:rPr>
        <w:t xml:space="preserve">  </w:t>
      </w:r>
      <w:r w:rsidRPr="00DA042D" w:rsidR="00DA042D">
        <w:rPr>
          <w:rFonts w:ascii="Times New Roman" w:hAnsi="Times New Roman"/>
          <w:szCs w:val="24"/>
        </w:rPr>
        <w:t xml:space="preserve">  </w:t>
      </w:r>
    </w:p>
    <w:p w:rsidRPr="00921953" w:rsidR="00DA042D" w:rsidP="00D07FC9" w:rsidRDefault="00DA042D">
      <w:pPr>
        <w:rPr>
          <w:rFonts w:ascii="Times New Roman" w:hAnsi="Times New Roman"/>
          <w:szCs w:val="24"/>
        </w:rPr>
      </w:pPr>
    </w:p>
    <w:p w:rsidRPr="00921953" w:rsidR="00747ED1" w:rsidP="00921953" w:rsidRDefault="00012D09">
      <w:pPr>
        <w:rPr>
          <w:rFonts w:ascii="Times New Roman" w:hAnsi="Times New Roman"/>
          <w:szCs w:val="24"/>
        </w:rPr>
      </w:pPr>
      <w:r w:rsidRPr="00A33E36">
        <w:rPr>
          <w:rFonts w:ascii="Times New Roman" w:hAnsi="Times New Roman"/>
          <w:szCs w:val="24"/>
        </w:rPr>
        <w:t xml:space="preserve">3.  </w:t>
      </w:r>
      <w:r w:rsidRPr="00A33E36" w:rsidR="00747ED1">
        <w:rPr>
          <w:rFonts w:ascii="Times New Roman" w:hAnsi="Times New Roman"/>
          <w:spacing w:val="-3"/>
          <w:szCs w:val="24"/>
        </w:rPr>
        <w:t>Automated logging d</w:t>
      </w:r>
      <w:r w:rsidRPr="00A33E36" w:rsidR="00200B3B">
        <w:rPr>
          <w:rFonts w:ascii="Times New Roman" w:hAnsi="Times New Roman"/>
          <w:spacing w:val="-3"/>
          <w:szCs w:val="24"/>
        </w:rPr>
        <w:t xml:space="preserve">evices are used by entities to </w:t>
      </w:r>
      <w:r w:rsidRPr="00A33E36" w:rsidR="00747ED1">
        <w:rPr>
          <w:rFonts w:ascii="Times New Roman" w:hAnsi="Times New Roman"/>
          <w:spacing w:val="-3"/>
          <w:szCs w:val="24"/>
        </w:rPr>
        <w:t xml:space="preserve">record entries in the station log.  In addition, EAS </w:t>
      </w:r>
      <w:r w:rsidRPr="00A33E36" w:rsidR="00200B3B">
        <w:rPr>
          <w:rFonts w:ascii="Times New Roman" w:hAnsi="Times New Roman"/>
          <w:spacing w:val="-3"/>
          <w:szCs w:val="24"/>
        </w:rPr>
        <w:t>a</w:t>
      </w:r>
      <w:r w:rsidRPr="00A33E36" w:rsidR="00747ED1">
        <w:rPr>
          <w:rFonts w:ascii="Times New Roman" w:hAnsi="Times New Roman"/>
          <w:spacing w:val="-3"/>
          <w:szCs w:val="24"/>
        </w:rPr>
        <w:t>lerts are received electronically via advanced digital signaling equipment.</w:t>
      </w:r>
      <w:r w:rsidRPr="00921953" w:rsidR="00747ED1">
        <w:rPr>
          <w:rFonts w:ascii="Times New Roman" w:hAnsi="Times New Roman"/>
          <w:spacing w:val="-3"/>
          <w:szCs w:val="24"/>
        </w:rPr>
        <w:t xml:space="preserve">  </w:t>
      </w:r>
    </w:p>
    <w:p w:rsidRPr="00921953" w:rsidR="00CD5D77" w:rsidP="00921953" w:rsidRDefault="00CD5D77">
      <w:pPr>
        <w:rPr>
          <w:rFonts w:ascii="Times New Roman" w:hAnsi="Times New Roman"/>
          <w:szCs w:val="24"/>
        </w:rPr>
      </w:pPr>
    </w:p>
    <w:p w:rsidRPr="00921953" w:rsidR="00CD5D77" w:rsidP="00921953" w:rsidRDefault="00CD5D77">
      <w:pPr>
        <w:suppressAutoHyphens/>
        <w:rPr>
          <w:rFonts w:ascii="Times New Roman" w:hAnsi="Times New Roman"/>
          <w:szCs w:val="24"/>
        </w:rPr>
      </w:pPr>
      <w:r w:rsidRPr="00921953">
        <w:rPr>
          <w:rFonts w:ascii="Times New Roman" w:hAnsi="Times New Roman"/>
          <w:szCs w:val="24"/>
        </w:rPr>
        <w:lastRenderedPageBreak/>
        <w:t>4.  This agency does not impose a similar information collection on the respondents</w:t>
      </w:r>
      <w:r w:rsidR="00940152">
        <w:rPr>
          <w:rFonts w:ascii="Times New Roman" w:hAnsi="Times New Roman"/>
          <w:szCs w:val="24"/>
        </w:rPr>
        <w:t xml:space="preserve">.  </w:t>
      </w:r>
      <w:r w:rsidRPr="00921953">
        <w:rPr>
          <w:rFonts w:ascii="Times New Roman" w:hAnsi="Times New Roman"/>
          <w:szCs w:val="24"/>
        </w:rPr>
        <w:t>There is no similar data available.</w:t>
      </w:r>
      <w:r w:rsidRPr="00921953" w:rsidR="00E6420C">
        <w:rPr>
          <w:rFonts w:ascii="Times New Roman" w:hAnsi="Times New Roman"/>
          <w:szCs w:val="24"/>
        </w:rPr>
        <w:t xml:space="preserve">  </w:t>
      </w:r>
    </w:p>
    <w:p w:rsidRPr="00921953" w:rsidR="00CD5D77" w:rsidP="00921953" w:rsidRDefault="00CD5D77">
      <w:pPr>
        <w:suppressAutoHyphens/>
        <w:rPr>
          <w:rFonts w:ascii="Times New Roman" w:hAnsi="Times New Roman"/>
          <w:szCs w:val="24"/>
        </w:rPr>
      </w:pPr>
    </w:p>
    <w:p w:rsidRPr="00921953" w:rsidR="00CD5D77" w:rsidP="00921953" w:rsidRDefault="00CD5D77">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rsidRPr="00921953" w:rsidR="00CD5D77" w:rsidP="00921953" w:rsidRDefault="00CD5D77">
      <w:pPr>
        <w:suppressAutoHyphens/>
        <w:rPr>
          <w:rFonts w:ascii="Times New Roman" w:hAnsi="Times New Roman"/>
          <w:szCs w:val="24"/>
        </w:rPr>
      </w:pPr>
    </w:p>
    <w:p w:rsidR="00B44C02" w:rsidP="00921953" w:rsidRDefault="00CD5D77">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Pr="00921953" w:rsidR="00197FE2">
        <w:rPr>
          <w:rFonts w:ascii="Times New Roman" w:hAnsi="Times New Roman"/>
          <w:szCs w:val="24"/>
        </w:rPr>
        <w:t>EAS P</w:t>
      </w:r>
      <w:r w:rsidRPr="00921953" w:rsidR="00200B3B">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w:t>
      </w:r>
    </w:p>
    <w:p w:rsidRPr="00921953" w:rsidR="00CD5D77" w:rsidP="00921953" w:rsidRDefault="00CD5D77">
      <w:pPr>
        <w:suppressAutoHyphens/>
        <w:rPr>
          <w:rFonts w:ascii="Times New Roman" w:hAnsi="Times New Roman"/>
          <w:szCs w:val="24"/>
        </w:rPr>
      </w:pPr>
      <w:r w:rsidRPr="00921953">
        <w:rPr>
          <w:rFonts w:ascii="Times New Roman" w:hAnsi="Times New Roman"/>
          <w:szCs w:val="24"/>
        </w:rPr>
        <w:t>result in a proportional loss of benefit and would cause a delay in the detection of equipment failures that would cause the loss of national, state and local emergency messages to the public</w:t>
      </w:r>
      <w:r w:rsidRPr="00921953" w:rsidR="00CB3602">
        <w:rPr>
          <w:rFonts w:ascii="Times New Roman" w:hAnsi="Times New Roman"/>
          <w:szCs w:val="24"/>
        </w:rPr>
        <w:t xml:space="preserve"> and could cause loss of life and property</w:t>
      </w:r>
      <w:r w:rsidRPr="00921953">
        <w:rPr>
          <w:rFonts w:ascii="Times New Roman" w:hAnsi="Times New Roman"/>
          <w:szCs w:val="24"/>
        </w:rPr>
        <w:t xml:space="preserve">.  </w:t>
      </w:r>
    </w:p>
    <w:p w:rsidRPr="00921953" w:rsidR="00CD5D77" w:rsidP="00921953" w:rsidRDefault="00CD5D77">
      <w:pPr>
        <w:suppressAutoHyphens/>
        <w:rPr>
          <w:rFonts w:ascii="Times New Roman" w:hAnsi="Times New Roman"/>
          <w:szCs w:val="24"/>
        </w:rPr>
      </w:pPr>
    </w:p>
    <w:p w:rsidRPr="00921953" w:rsidR="00CD5D77" w:rsidP="00921953" w:rsidRDefault="00CD5D77">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rsidR="00E358EF" w:rsidP="00921953" w:rsidRDefault="00E358EF">
      <w:pPr>
        <w:suppressAutoHyphens/>
        <w:rPr>
          <w:rFonts w:ascii="Times New Roman" w:hAnsi="Times New Roman"/>
          <w:szCs w:val="24"/>
        </w:rPr>
      </w:pPr>
    </w:p>
    <w:p w:rsidR="00342067" w:rsidP="00342067" w:rsidRDefault="00342067">
      <w:pPr>
        <w:rPr>
          <w:rFonts w:ascii="Times New Roman" w:hAnsi="Times New Roman"/>
          <w:szCs w:val="24"/>
        </w:rPr>
      </w:pPr>
      <w:r w:rsidRPr="00F11B69">
        <w:rPr>
          <w:rFonts w:ascii="Times New Roman" w:hAnsi="Times New Roman"/>
          <w:szCs w:val="24"/>
        </w:rPr>
        <w:t xml:space="preserve">8. </w:t>
      </w:r>
      <w:r>
        <w:rPr>
          <w:rFonts w:ascii="Times New Roman" w:hAnsi="Times New Roman"/>
          <w:szCs w:val="24"/>
        </w:rPr>
        <w:t xml:space="preserve"> </w:t>
      </w:r>
      <w:r w:rsidRPr="00EC534D">
        <w:rPr>
          <w:rFonts w:ascii="Times New Roman" w:hAnsi="Times New Roman"/>
          <w:szCs w:val="24"/>
        </w:rPr>
        <w:t xml:space="preserve">The </w:t>
      </w:r>
      <w:proofErr w:type="spellStart"/>
      <w:r w:rsidRPr="00EC534D">
        <w:rPr>
          <w:rFonts w:ascii="Times New Roman" w:hAnsi="Times New Roman"/>
          <w:szCs w:val="24"/>
        </w:rPr>
        <w:t>Commison</w:t>
      </w:r>
      <w:proofErr w:type="spellEnd"/>
      <w:r w:rsidRPr="00EC534D">
        <w:rPr>
          <w:rFonts w:ascii="Times New Roman" w:hAnsi="Times New Roman"/>
          <w:szCs w:val="24"/>
        </w:rPr>
        <w:t xml:space="preserve"> </w:t>
      </w:r>
      <w:bookmarkStart w:name="_Hlk10011847" w:id="1"/>
      <w:r w:rsidRPr="00EC534D">
        <w:rPr>
          <w:rFonts w:ascii="Times New Roman" w:hAnsi="Times New Roman"/>
          <w:szCs w:val="24"/>
        </w:rPr>
        <w:t xml:space="preserve">published a 60-day notice in the Federal Register </w:t>
      </w:r>
      <w:r w:rsidRPr="00200092">
        <w:rPr>
          <w:rFonts w:ascii="Times New Roman" w:hAnsi="Times New Roman"/>
          <w:szCs w:val="24"/>
        </w:rPr>
        <w:t xml:space="preserve">on </w:t>
      </w:r>
      <w:r w:rsidR="00E1775A">
        <w:rPr>
          <w:rFonts w:ascii="Times New Roman" w:hAnsi="Times New Roman"/>
          <w:szCs w:val="24"/>
        </w:rPr>
        <w:t>September 12, 2019</w:t>
      </w:r>
      <w:r w:rsidRPr="00DF6858" w:rsidR="009F7070">
        <w:rPr>
          <w:rFonts w:ascii="Times New Roman" w:hAnsi="Times New Roman"/>
          <w:b/>
          <w:bCs/>
          <w:szCs w:val="24"/>
        </w:rPr>
        <w:t xml:space="preserve"> </w:t>
      </w:r>
      <w:r w:rsidR="00E1775A">
        <w:rPr>
          <w:rFonts w:ascii="Times New Roman" w:hAnsi="Times New Roman"/>
          <w:bCs/>
          <w:szCs w:val="24"/>
        </w:rPr>
        <w:t>(84 FR</w:t>
      </w:r>
      <w:r w:rsidRPr="00DF6858">
        <w:rPr>
          <w:rFonts w:ascii="Times New Roman" w:hAnsi="Times New Roman"/>
          <w:b/>
          <w:bCs/>
          <w:szCs w:val="24"/>
        </w:rPr>
        <w:t xml:space="preserve"> </w:t>
      </w:r>
      <w:r w:rsidRPr="00E1775A" w:rsidR="00E1775A">
        <w:rPr>
          <w:rFonts w:ascii="Times New Roman" w:hAnsi="Times New Roman"/>
          <w:bCs/>
          <w:szCs w:val="24"/>
        </w:rPr>
        <w:t>48142</w:t>
      </w:r>
      <w:r w:rsidR="00E1775A">
        <w:rPr>
          <w:rFonts w:ascii="Times New Roman" w:hAnsi="Times New Roman"/>
          <w:bCs/>
          <w:szCs w:val="24"/>
        </w:rPr>
        <w:t>)</w:t>
      </w:r>
      <w:r w:rsidRPr="008A4BF1">
        <w:rPr>
          <w:rFonts w:ascii="Times New Roman" w:hAnsi="Times New Roman"/>
          <w:szCs w:val="24"/>
        </w:rPr>
        <w:t xml:space="preserve">.  </w:t>
      </w:r>
      <w:r w:rsidR="009F7070">
        <w:rPr>
          <w:rFonts w:ascii="Times New Roman" w:hAnsi="Times New Roman"/>
          <w:szCs w:val="24"/>
        </w:rPr>
        <w:t>No c</w:t>
      </w:r>
      <w:r w:rsidRPr="008A4BF1">
        <w:rPr>
          <w:rFonts w:ascii="Times New Roman" w:hAnsi="Times New Roman"/>
          <w:szCs w:val="24"/>
        </w:rPr>
        <w:t>omments</w:t>
      </w:r>
      <w:r w:rsidRPr="00EC534D">
        <w:rPr>
          <w:rFonts w:ascii="Times New Roman" w:hAnsi="Times New Roman"/>
          <w:szCs w:val="24"/>
        </w:rPr>
        <w:t xml:space="preserve"> were received</w:t>
      </w:r>
      <w:r w:rsidR="009F7070">
        <w:rPr>
          <w:rFonts w:ascii="Times New Roman" w:hAnsi="Times New Roman"/>
          <w:szCs w:val="24"/>
        </w:rPr>
        <w:t xml:space="preserve">.  </w:t>
      </w:r>
      <w:bookmarkEnd w:id="1"/>
      <w:r w:rsidRPr="00F21429">
        <w:rPr>
          <w:rFonts w:ascii="Times New Roman" w:hAnsi="Times New Roman"/>
          <w:szCs w:val="24"/>
        </w:rPr>
        <w:t xml:space="preserve">  </w:t>
      </w:r>
    </w:p>
    <w:p w:rsidR="00342067" w:rsidP="00342067" w:rsidRDefault="00342067">
      <w:pPr>
        <w:rPr>
          <w:rFonts w:ascii="Times New Roman" w:hAnsi="Times New Roman"/>
          <w:szCs w:val="24"/>
        </w:rPr>
      </w:pPr>
    </w:p>
    <w:p w:rsidRPr="00921953" w:rsidR="00CD5D77" w:rsidP="00921953" w:rsidRDefault="00CD5D77">
      <w:pPr>
        <w:suppressAutoHyphens/>
        <w:rPr>
          <w:rFonts w:ascii="Times New Roman" w:hAnsi="Times New Roman"/>
          <w:szCs w:val="24"/>
        </w:rPr>
      </w:pPr>
      <w:r w:rsidRPr="00921953">
        <w:rPr>
          <w:rFonts w:ascii="Times New Roman" w:hAnsi="Times New Roman"/>
          <w:szCs w:val="24"/>
        </w:rPr>
        <w:t>9.  No payment or gift was provided to the respondents.</w:t>
      </w:r>
    </w:p>
    <w:p w:rsidRPr="00921953" w:rsidR="00CD5D77" w:rsidP="00921953" w:rsidRDefault="00CD5D77">
      <w:pPr>
        <w:suppressAutoHyphens/>
        <w:rPr>
          <w:rFonts w:ascii="Times New Roman" w:hAnsi="Times New Roman"/>
          <w:szCs w:val="24"/>
        </w:rPr>
      </w:pPr>
    </w:p>
    <w:p w:rsidR="00C24A69" w:rsidP="00921953" w:rsidRDefault="00CD5D77">
      <w:pPr>
        <w:suppressAutoHyphens/>
        <w:rPr>
          <w:rFonts w:ascii="Times New Roman" w:hAnsi="Times New Roman"/>
          <w:szCs w:val="24"/>
        </w:rPr>
      </w:pPr>
      <w:r w:rsidRPr="00325D8B">
        <w:rPr>
          <w:rFonts w:ascii="Times New Roman" w:hAnsi="Times New Roman"/>
          <w:szCs w:val="24"/>
        </w:rPr>
        <w:t>10.</w:t>
      </w:r>
      <w:r w:rsidR="00691A5A">
        <w:rPr>
          <w:rFonts w:ascii="Times New Roman" w:hAnsi="Times New Roman"/>
          <w:szCs w:val="24"/>
        </w:rPr>
        <w:t xml:space="preserve"> </w:t>
      </w:r>
      <w:r w:rsidR="00EC534D">
        <w:rPr>
          <w:rFonts w:ascii="Times New Roman" w:hAnsi="Times New Roman"/>
          <w:szCs w:val="24"/>
        </w:rPr>
        <w:t xml:space="preserve"> </w:t>
      </w:r>
      <w:r w:rsidRPr="00F9044C" w:rsidR="00F9044C">
        <w:rPr>
          <w:rFonts w:ascii="Times New Roman" w:hAnsi="Times New Roman"/>
          <w:szCs w:val="24"/>
        </w:rPr>
        <w:t xml:space="preserve">EAS Participants </w:t>
      </w:r>
      <w:r w:rsidR="00A3040D">
        <w:rPr>
          <w:rFonts w:ascii="Times New Roman" w:hAnsi="Times New Roman"/>
          <w:szCs w:val="24"/>
        </w:rPr>
        <w:t xml:space="preserve">required to log receipt of weekly tests in lieu of transmitting them, </w:t>
      </w:r>
      <w:r w:rsidRPr="00F9044C" w:rsidR="00F9044C">
        <w:rPr>
          <w:rFonts w:ascii="Times New Roman" w:hAnsi="Times New Roman"/>
          <w:szCs w:val="24"/>
        </w:rPr>
        <w:t xml:space="preserve">must retain </w:t>
      </w:r>
      <w:r w:rsidR="00A3040D">
        <w:rPr>
          <w:rFonts w:ascii="Times New Roman" w:hAnsi="Times New Roman"/>
          <w:szCs w:val="24"/>
        </w:rPr>
        <w:t xml:space="preserve">such logged information </w:t>
      </w:r>
      <w:r w:rsidRPr="00F9044C" w:rsidR="00F9044C">
        <w:rPr>
          <w:rFonts w:ascii="Times New Roman" w:hAnsi="Times New Roman"/>
          <w:szCs w:val="24"/>
        </w:rPr>
        <w:t>for two years at the EAS Participant</w:t>
      </w:r>
      <w:r w:rsidR="00E204C0">
        <w:rPr>
          <w:rFonts w:ascii="Times New Roman" w:hAnsi="Times New Roman"/>
          <w:szCs w:val="24"/>
        </w:rPr>
        <w:t>’</w:t>
      </w:r>
      <w:r w:rsidRPr="00F9044C" w:rsidR="00F9044C">
        <w:rPr>
          <w:rFonts w:ascii="Times New Roman" w:hAnsi="Times New Roman"/>
          <w:szCs w:val="24"/>
        </w:rPr>
        <w:t>s headquarters, and ma</w:t>
      </w:r>
      <w:r w:rsidR="00A3040D">
        <w:rPr>
          <w:rFonts w:ascii="Times New Roman" w:hAnsi="Times New Roman"/>
          <w:szCs w:val="24"/>
        </w:rPr>
        <w:t>k</w:t>
      </w:r>
      <w:r w:rsidRPr="00F9044C" w:rsidR="00F9044C">
        <w:rPr>
          <w:rFonts w:ascii="Times New Roman" w:hAnsi="Times New Roman"/>
          <w:szCs w:val="24"/>
        </w:rPr>
        <w:t xml:space="preserve">e </w:t>
      </w:r>
      <w:r w:rsidR="00A3040D">
        <w:rPr>
          <w:rFonts w:ascii="Times New Roman" w:hAnsi="Times New Roman"/>
          <w:szCs w:val="24"/>
        </w:rPr>
        <w:t xml:space="preserve">such information </w:t>
      </w:r>
      <w:r w:rsidRPr="00F9044C" w:rsidR="00F9044C">
        <w:rPr>
          <w:rFonts w:ascii="Times New Roman" w:hAnsi="Times New Roman"/>
          <w:szCs w:val="24"/>
        </w:rPr>
        <w:t>available for public inspection upon reasonable request.</w:t>
      </w:r>
      <w:r w:rsidR="00A3040D">
        <w:rPr>
          <w:rFonts w:ascii="Times New Roman" w:hAnsi="Times New Roman"/>
          <w:szCs w:val="24"/>
        </w:rPr>
        <w:t xml:space="preserve"> </w:t>
      </w:r>
      <w:r w:rsidR="00691A5A">
        <w:rPr>
          <w:rFonts w:ascii="Times New Roman" w:hAnsi="Times New Roman"/>
          <w:szCs w:val="24"/>
        </w:rPr>
        <w:t xml:space="preserve"> </w:t>
      </w:r>
    </w:p>
    <w:p w:rsidR="00C24A69" w:rsidP="00921953" w:rsidRDefault="00C24A69">
      <w:pPr>
        <w:suppressAutoHyphens/>
        <w:rPr>
          <w:rFonts w:ascii="Times New Roman" w:hAnsi="Times New Roman"/>
          <w:szCs w:val="24"/>
        </w:rPr>
      </w:pPr>
    </w:p>
    <w:p w:rsidRPr="00921953" w:rsidR="00CD5D77" w:rsidP="00921953" w:rsidRDefault="00FF1A69">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Pr="00921953" w:rsidR="00CD5D77">
        <w:rPr>
          <w:rFonts w:ascii="Times New Roman" w:hAnsi="Times New Roman"/>
          <w:szCs w:val="24"/>
        </w:rPr>
        <w:t>does not address any private matters of a sensitive nature.</w:t>
      </w:r>
    </w:p>
    <w:p w:rsidRPr="00921953" w:rsidR="00CD5D77" w:rsidP="00921953" w:rsidRDefault="00CD5D77">
      <w:pPr>
        <w:rPr>
          <w:rFonts w:ascii="Times New Roman" w:hAnsi="Times New Roman"/>
          <w:szCs w:val="24"/>
        </w:rPr>
      </w:pPr>
    </w:p>
    <w:p w:rsidR="00AF7F3E" w:rsidP="00921953" w:rsidRDefault="00F34F9F">
      <w:pPr>
        <w:suppressAutoHyphens/>
        <w:rPr>
          <w:rFonts w:ascii="Times New Roman" w:hAnsi="Times New Roman"/>
          <w:spacing w:val="-3"/>
          <w:szCs w:val="24"/>
        </w:rPr>
      </w:pPr>
      <w:r w:rsidRPr="00921953">
        <w:rPr>
          <w:rFonts w:ascii="Times New Roman" w:hAnsi="Times New Roman"/>
          <w:szCs w:val="24"/>
        </w:rPr>
        <w:t>12.</w:t>
      </w:r>
      <w:r w:rsidRPr="00921953" w:rsidR="00BC454A">
        <w:rPr>
          <w:rFonts w:ascii="Times New Roman" w:hAnsi="Times New Roman"/>
          <w:szCs w:val="24"/>
        </w:rPr>
        <w:t xml:space="preserve">  </w:t>
      </w:r>
      <w:r w:rsidRPr="00921953" w:rsidR="00BC454A">
        <w:rPr>
          <w:rFonts w:ascii="Times New Roman" w:hAnsi="Times New Roman"/>
          <w:spacing w:val="-3"/>
          <w:szCs w:val="24"/>
        </w:rPr>
        <w:t xml:space="preserve">The following is provided for burden estimates.  </w:t>
      </w:r>
      <w:r w:rsidR="00C0213B">
        <w:rPr>
          <w:rFonts w:ascii="Times New Roman" w:hAnsi="Times New Roman"/>
          <w:spacing w:val="-3"/>
          <w:szCs w:val="24"/>
        </w:rPr>
        <w:t>As explained above, t</w:t>
      </w:r>
      <w:r w:rsidRPr="00921953" w:rsidR="009B4C91">
        <w:rPr>
          <w:rFonts w:ascii="Times New Roman" w:hAnsi="Times New Roman"/>
          <w:spacing w:val="-3"/>
          <w:szCs w:val="24"/>
        </w:rPr>
        <w:t xml:space="preserve">he </w:t>
      </w:r>
      <w:r w:rsidR="00C0213B">
        <w:rPr>
          <w:rFonts w:ascii="Times New Roman" w:hAnsi="Times New Roman"/>
          <w:spacing w:val="-3"/>
          <w:szCs w:val="24"/>
        </w:rPr>
        <w:t xml:space="preserve">revised testing </w:t>
      </w:r>
      <w:r w:rsidR="000A70C0">
        <w:rPr>
          <w:rFonts w:ascii="Times New Roman" w:hAnsi="Times New Roman"/>
          <w:spacing w:val="-3"/>
          <w:szCs w:val="24"/>
        </w:rPr>
        <w:t xml:space="preserve">requirements </w:t>
      </w:r>
      <w:r w:rsidRPr="00921953" w:rsidR="009B4C91">
        <w:rPr>
          <w:rFonts w:ascii="Times New Roman" w:hAnsi="Times New Roman"/>
          <w:spacing w:val="-3"/>
          <w:szCs w:val="24"/>
        </w:rPr>
        <w:t xml:space="preserve">affect </w:t>
      </w:r>
      <w:r w:rsidR="00C0213B">
        <w:rPr>
          <w:rFonts w:ascii="Times New Roman" w:hAnsi="Times New Roman"/>
          <w:spacing w:val="-3"/>
          <w:szCs w:val="24"/>
        </w:rPr>
        <w:t xml:space="preserve">only SDARS providers, of which there is only one, and because the net change to the current </w:t>
      </w:r>
      <w:proofErr w:type="spellStart"/>
      <w:r w:rsidR="00C0213B">
        <w:rPr>
          <w:rFonts w:ascii="Times New Roman" w:hAnsi="Times New Roman"/>
          <w:spacing w:val="-3"/>
          <w:szCs w:val="24"/>
        </w:rPr>
        <w:t>ionformation</w:t>
      </w:r>
      <w:proofErr w:type="spellEnd"/>
      <w:r w:rsidR="00C0213B">
        <w:rPr>
          <w:rFonts w:ascii="Times New Roman" w:hAnsi="Times New Roman"/>
          <w:spacing w:val="-3"/>
          <w:szCs w:val="24"/>
        </w:rPr>
        <w:t xml:space="preserve"> collection is de minimis, </w:t>
      </w:r>
      <w:r w:rsidRPr="00E204C0" w:rsidR="00E204C0">
        <w:rPr>
          <w:rFonts w:ascii="Times New Roman" w:hAnsi="Times New Roman"/>
          <w:spacing w:val="-3"/>
          <w:szCs w:val="24"/>
        </w:rPr>
        <w:t>relative to the total estimated in-house cost to respondents</w:t>
      </w:r>
      <w:r w:rsidR="00E204C0">
        <w:rPr>
          <w:rFonts w:ascii="Times New Roman" w:hAnsi="Times New Roman"/>
          <w:spacing w:val="-3"/>
          <w:szCs w:val="24"/>
        </w:rPr>
        <w:t>, we</w:t>
      </w:r>
      <w:r w:rsidR="00205520">
        <w:rPr>
          <w:rFonts w:ascii="Times New Roman" w:hAnsi="Times New Roman"/>
          <w:spacing w:val="-3"/>
          <w:szCs w:val="24"/>
        </w:rPr>
        <w:t xml:space="preserve"> </w:t>
      </w:r>
      <w:r w:rsidR="00E204C0">
        <w:rPr>
          <w:rFonts w:ascii="Times New Roman" w:hAnsi="Times New Roman"/>
          <w:spacing w:val="-3"/>
          <w:szCs w:val="24"/>
        </w:rPr>
        <w:t xml:space="preserve">have left </w:t>
      </w:r>
      <w:r w:rsidRPr="00E204C0" w:rsidR="00E204C0">
        <w:rPr>
          <w:rFonts w:ascii="Times New Roman" w:hAnsi="Times New Roman"/>
          <w:spacing w:val="-3"/>
          <w:szCs w:val="24"/>
        </w:rPr>
        <w:t xml:space="preserve"> </w:t>
      </w:r>
      <w:r w:rsidR="00C0213B">
        <w:rPr>
          <w:rFonts w:ascii="Times New Roman" w:hAnsi="Times New Roman"/>
          <w:spacing w:val="-3"/>
          <w:szCs w:val="24"/>
        </w:rPr>
        <w:t xml:space="preserve">the burden estimates </w:t>
      </w:r>
      <w:r w:rsidR="00E204C0">
        <w:rPr>
          <w:rFonts w:ascii="Times New Roman" w:hAnsi="Times New Roman"/>
          <w:spacing w:val="-3"/>
          <w:szCs w:val="24"/>
        </w:rPr>
        <w:t xml:space="preserve">in the </w:t>
      </w:r>
      <w:r w:rsidR="00C0213B">
        <w:rPr>
          <w:rFonts w:ascii="Times New Roman" w:hAnsi="Times New Roman"/>
          <w:spacing w:val="-3"/>
          <w:szCs w:val="24"/>
        </w:rPr>
        <w:t xml:space="preserve">currently approved </w:t>
      </w:r>
      <w:r w:rsidR="00E204C0">
        <w:rPr>
          <w:rFonts w:ascii="Times New Roman" w:hAnsi="Times New Roman"/>
          <w:spacing w:val="-3"/>
          <w:szCs w:val="24"/>
        </w:rPr>
        <w:t>burden inventory (</w:t>
      </w:r>
      <w:r w:rsidR="00C0213B">
        <w:rPr>
          <w:rFonts w:ascii="Times New Roman" w:hAnsi="Times New Roman"/>
          <w:spacing w:val="-3"/>
          <w:szCs w:val="24"/>
        </w:rPr>
        <w:t xml:space="preserve">below) unchanged.  </w:t>
      </w:r>
      <w:r w:rsidR="001A1FDA">
        <w:rPr>
          <w:rFonts w:ascii="Times New Roman" w:hAnsi="Times New Roman"/>
          <w:spacing w:val="-3"/>
          <w:szCs w:val="24"/>
        </w:rPr>
        <w:t xml:space="preserve">   </w:t>
      </w:r>
      <w:r w:rsidRPr="00921953" w:rsidR="00387895">
        <w:rPr>
          <w:rFonts w:ascii="Times New Roman" w:hAnsi="Times New Roman"/>
          <w:spacing w:val="-3"/>
          <w:szCs w:val="24"/>
        </w:rPr>
        <w:t xml:space="preserve">  </w:t>
      </w:r>
    </w:p>
    <w:p w:rsidR="00AF7F3E" w:rsidP="00921953" w:rsidRDefault="00AF7F3E">
      <w:pPr>
        <w:suppressAutoHyphens/>
        <w:rPr>
          <w:rFonts w:ascii="Times New Roman" w:hAnsi="Times New Roman"/>
          <w:spacing w:val="-3"/>
          <w:szCs w:val="24"/>
        </w:rPr>
      </w:pPr>
    </w:p>
    <w:p w:rsidRPr="00921953" w:rsidR="00B74B22" w:rsidP="00921953" w:rsidRDefault="00B74B22">
      <w:pPr>
        <w:suppressAutoHyphens/>
        <w:rPr>
          <w:rFonts w:ascii="Times New Roman" w:hAnsi="Times New Roman"/>
          <w:spacing w:val="-3"/>
          <w:szCs w:val="24"/>
        </w:rPr>
      </w:pPr>
    </w:p>
    <w:p w:rsidRPr="00921953" w:rsidR="009B4C91" w:rsidP="00921953" w:rsidRDefault="009B4C91">
      <w:pPr>
        <w:suppressAutoHyphens/>
        <w:rPr>
          <w:rFonts w:ascii="Times New Roman" w:hAnsi="Times New Roman"/>
          <w:spacing w:val="-3"/>
          <w:szCs w:val="24"/>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1687"/>
        <w:gridCol w:w="1080"/>
        <w:gridCol w:w="1260"/>
        <w:gridCol w:w="1080"/>
        <w:gridCol w:w="990"/>
        <w:gridCol w:w="1260"/>
        <w:gridCol w:w="1350"/>
      </w:tblGrid>
      <w:tr w:rsidRPr="009675FC" w:rsidR="00535CF1" w:rsidTr="00FB0E5B">
        <w:tc>
          <w:tcPr>
            <w:tcW w:w="1098" w:type="dxa"/>
            <w:shd w:val="clear" w:color="auto" w:fill="auto"/>
          </w:tcPr>
          <w:p w:rsidRPr="009675FC" w:rsidR="0055142E" w:rsidP="00921953" w:rsidRDefault="0055142E">
            <w:pPr>
              <w:rPr>
                <w:rFonts w:ascii="Times New Roman" w:hAnsi="Times New Roman"/>
                <w:szCs w:val="24"/>
              </w:rPr>
            </w:pPr>
          </w:p>
        </w:tc>
        <w:tc>
          <w:tcPr>
            <w:tcW w:w="1687" w:type="dxa"/>
            <w:shd w:val="clear" w:color="auto" w:fill="auto"/>
          </w:tcPr>
          <w:p w:rsidRPr="00535CF1" w:rsidR="0055142E" w:rsidP="00921953" w:rsidRDefault="0055142E">
            <w:pPr>
              <w:rPr>
                <w:rFonts w:ascii="Times New Roman" w:hAnsi="Times New Roman"/>
                <w:sz w:val="22"/>
                <w:szCs w:val="22"/>
              </w:rPr>
            </w:pPr>
            <w:r w:rsidRPr="00535CF1">
              <w:rPr>
                <w:rFonts w:ascii="Times New Roman" w:hAnsi="Times New Roman"/>
                <w:sz w:val="22"/>
                <w:szCs w:val="22"/>
                <w:u w:val="single"/>
              </w:rPr>
              <w:t># of Respondents</w:t>
            </w:r>
          </w:p>
        </w:tc>
        <w:tc>
          <w:tcPr>
            <w:tcW w:w="1080" w:type="dxa"/>
            <w:shd w:val="clear" w:color="auto" w:fill="auto"/>
          </w:tcPr>
          <w:p w:rsidRPr="00535CF1" w:rsidR="0055142E" w:rsidP="00921953" w:rsidRDefault="0055142E">
            <w:pPr>
              <w:rPr>
                <w:rFonts w:ascii="Times New Roman" w:hAnsi="Times New Roman"/>
                <w:sz w:val="22"/>
                <w:szCs w:val="22"/>
                <w:u w:val="single"/>
              </w:rPr>
            </w:pPr>
            <w:r w:rsidRPr="00535CF1">
              <w:rPr>
                <w:rFonts w:ascii="Times New Roman" w:hAnsi="Times New Roman"/>
                <w:sz w:val="22"/>
                <w:szCs w:val="22"/>
                <w:u w:val="single"/>
              </w:rPr>
              <w:t># of Responses per Respondent</w:t>
            </w:r>
          </w:p>
        </w:tc>
        <w:tc>
          <w:tcPr>
            <w:tcW w:w="1260" w:type="dxa"/>
            <w:shd w:val="clear" w:color="auto" w:fill="auto"/>
          </w:tcPr>
          <w:p w:rsidRPr="00535CF1" w:rsidR="0055142E" w:rsidP="00921953" w:rsidRDefault="00471C93">
            <w:pPr>
              <w:rPr>
                <w:rFonts w:ascii="Times New Roman" w:hAnsi="Times New Roman"/>
                <w:sz w:val="22"/>
                <w:szCs w:val="22"/>
                <w:u w:val="single"/>
              </w:rPr>
            </w:pPr>
            <w:r w:rsidRPr="00535CF1">
              <w:rPr>
                <w:rFonts w:ascii="Times New Roman" w:hAnsi="Times New Roman"/>
                <w:sz w:val="22"/>
                <w:szCs w:val="22"/>
                <w:u w:val="single"/>
              </w:rPr>
              <w:t>Total Responses</w:t>
            </w:r>
          </w:p>
        </w:tc>
        <w:tc>
          <w:tcPr>
            <w:tcW w:w="1080" w:type="dxa"/>
            <w:shd w:val="clear" w:color="auto" w:fill="auto"/>
          </w:tcPr>
          <w:p w:rsidRPr="00535CF1" w:rsidR="0055142E" w:rsidP="00921953" w:rsidRDefault="0055142E">
            <w:pPr>
              <w:rPr>
                <w:rFonts w:ascii="Times New Roman" w:hAnsi="Times New Roman"/>
                <w:sz w:val="22"/>
                <w:szCs w:val="22"/>
              </w:rPr>
            </w:pPr>
            <w:r w:rsidRPr="00535CF1">
              <w:rPr>
                <w:rFonts w:ascii="Times New Roman" w:hAnsi="Times New Roman"/>
                <w:sz w:val="22"/>
                <w:szCs w:val="22"/>
                <w:u w:val="single"/>
              </w:rPr>
              <w:t>Burden per Response</w:t>
            </w:r>
          </w:p>
        </w:tc>
        <w:tc>
          <w:tcPr>
            <w:tcW w:w="990" w:type="dxa"/>
            <w:shd w:val="clear" w:color="auto" w:fill="auto"/>
          </w:tcPr>
          <w:p w:rsidRPr="00535CF1" w:rsidR="0055142E" w:rsidP="00921953" w:rsidRDefault="0055142E">
            <w:pPr>
              <w:rPr>
                <w:rFonts w:ascii="Times New Roman" w:hAnsi="Times New Roman"/>
                <w:sz w:val="22"/>
                <w:szCs w:val="22"/>
                <w:u w:val="single"/>
              </w:rPr>
            </w:pPr>
            <w:r w:rsidRPr="00535CF1">
              <w:rPr>
                <w:rFonts w:ascii="Times New Roman" w:hAnsi="Times New Roman"/>
                <w:sz w:val="22"/>
                <w:szCs w:val="22"/>
                <w:u w:val="single"/>
              </w:rPr>
              <w:t>Total Burden</w:t>
            </w:r>
          </w:p>
        </w:tc>
        <w:tc>
          <w:tcPr>
            <w:tcW w:w="1260" w:type="dxa"/>
            <w:shd w:val="clear" w:color="auto" w:fill="auto"/>
          </w:tcPr>
          <w:p w:rsidRPr="00535CF1" w:rsidR="0055142E" w:rsidP="00921953" w:rsidRDefault="0055142E">
            <w:pPr>
              <w:rPr>
                <w:rFonts w:ascii="Times New Roman" w:hAnsi="Times New Roman"/>
                <w:sz w:val="22"/>
                <w:szCs w:val="22"/>
                <w:u w:val="single"/>
              </w:rPr>
            </w:pPr>
            <w:r w:rsidRPr="00535CF1">
              <w:rPr>
                <w:rFonts w:ascii="Times New Roman" w:hAnsi="Times New Roman"/>
                <w:sz w:val="22"/>
                <w:szCs w:val="22"/>
                <w:u w:val="single"/>
              </w:rPr>
              <w:t>Est. Hourly Wage of Respondent</w:t>
            </w:r>
          </w:p>
        </w:tc>
        <w:tc>
          <w:tcPr>
            <w:tcW w:w="1350" w:type="dxa"/>
            <w:shd w:val="clear" w:color="auto" w:fill="auto"/>
          </w:tcPr>
          <w:p w:rsidRPr="00535CF1" w:rsidR="0055142E" w:rsidP="00921953" w:rsidRDefault="0055142E">
            <w:pPr>
              <w:rPr>
                <w:rFonts w:ascii="Times New Roman" w:hAnsi="Times New Roman"/>
                <w:sz w:val="22"/>
                <w:szCs w:val="22"/>
                <w:u w:val="single"/>
              </w:rPr>
            </w:pPr>
            <w:bookmarkStart w:name="_Hlk17093021" w:id="2"/>
            <w:r w:rsidRPr="00535CF1">
              <w:rPr>
                <w:rFonts w:ascii="Times New Roman" w:hAnsi="Times New Roman"/>
                <w:sz w:val="22"/>
                <w:szCs w:val="22"/>
                <w:u w:val="single"/>
              </w:rPr>
              <w:t xml:space="preserve">Total Est. </w:t>
            </w:r>
            <w:r w:rsidRPr="00535CF1" w:rsidR="00A26178">
              <w:rPr>
                <w:rFonts w:ascii="Times New Roman" w:hAnsi="Times New Roman"/>
                <w:sz w:val="22"/>
                <w:szCs w:val="22"/>
                <w:u w:val="single"/>
              </w:rPr>
              <w:t xml:space="preserve">In-House </w:t>
            </w:r>
            <w:r w:rsidRPr="00535CF1">
              <w:rPr>
                <w:rFonts w:ascii="Times New Roman" w:hAnsi="Times New Roman"/>
                <w:sz w:val="22"/>
                <w:szCs w:val="22"/>
                <w:u w:val="single"/>
              </w:rPr>
              <w:t>Cost to Respondent</w:t>
            </w:r>
            <w:bookmarkEnd w:id="2"/>
          </w:p>
        </w:tc>
      </w:tr>
      <w:tr w:rsidRPr="009675FC" w:rsidR="00535CF1" w:rsidTr="00FB0E5B">
        <w:tc>
          <w:tcPr>
            <w:tcW w:w="1098"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Section 11.15</w:t>
            </w:r>
          </w:p>
        </w:tc>
        <w:tc>
          <w:tcPr>
            <w:tcW w:w="1687"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5142E" w:rsidP="00921953" w:rsidRDefault="00471C93">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0.</w:t>
            </w:r>
            <w:r w:rsidRPr="00FB0E5B" w:rsidR="00C974AE">
              <w:rPr>
                <w:rFonts w:ascii="Times New Roman" w:hAnsi="Times New Roman"/>
                <w:sz w:val="22"/>
                <w:szCs w:val="22"/>
              </w:rPr>
              <w:t xml:space="preserve">1 </w:t>
            </w:r>
            <w:r w:rsidRPr="00FB0E5B">
              <w:rPr>
                <w:rFonts w:ascii="Times New Roman" w:hAnsi="Times New Roman"/>
                <w:sz w:val="22"/>
                <w:szCs w:val="22"/>
              </w:rPr>
              <w:t>hour</w:t>
            </w:r>
            <w:r w:rsidRPr="00FB0E5B" w:rsidR="00FA772B">
              <w:rPr>
                <w:rFonts w:ascii="Times New Roman" w:hAnsi="Times New Roman"/>
                <w:sz w:val="22"/>
                <w:szCs w:val="22"/>
              </w:rPr>
              <w:t>s</w:t>
            </w:r>
          </w:p>
        </w:tc>
        <w:tc>
          <w:tcPr>
            <w:tcW w:w="990" w:type="dxa"/>
            <w:shd w:val="clear" w:color="auto" w:fill="auto"/>
          </w:tcPr>
          <w:p w:rsidRPr="00FB0E5B" w:rsidR="0055142E" w:rsidP="00921953" w:rsidRDefault="00491CF8">
            <w:pPr>
              <w:rPr>
                <w:rFonts w:ascii="Times New Roman" w:hAnsi="Times New Roman"/>
                <w:sz w:val="22"/>
                <w:szCs w:val="22"/>
              </w:rPr>
            </w:pPr>
            <w:r w:rsidRPr="00FB0E5B">
              <w:rPr>
                <w:rFonts w:ascii="Times New Roman" w:hAnsi="Times New Roman"/>
                <w:sz w:val="22"/>
                <w:szCs w:val="22"/>
              </w:rPr>
              <w:t xml:space="preserve">6,300 </w:t>
            </w:r>
            <w:r w:rsidRPr="00FB0E5B" w:rsidR="0055142E">
              <w:rPr>
                <w:rFonts w:ascii="Times New Roman" w:hAnsi="Times New Roman"/>
                <w:sz w:val="22"/>
                <w:szCs w:val="22"/>
              </w:rPr>
              <w:t>hours</w:t>
            </w:r>
          </w:p>
        </w:tc>
        <w:tc>
          <w:tcPr>
            <w:tcW w:w="126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$3</w:t>
            </w:r>
            <w:r w:rsidRPr="00FB0E5B" w:rsidR="00B92D57">
              <w:rPr>
                <w:rFonts w:ascii="Times New Roman" w:hAnsi="Times New Roman"/>
                <w:sz w:val="22"/>
                <w:szCs w:val="22"/>
              </w:rPr>
              <w:t>8</w:t>
            </w:r>
          </w:p>
        </w:tc>
        <w:tc>
          <w:tcPr>
            <w:tcW w:w="135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w:t>
            </w:r>
            <w:r w:rsidRPr="00FB0E5B" w:rsidR="00491CF8">
              <w:rPr>
                <w:rFonts w:ascii="Times New Roman" w:hAnsi="Times New Roman"/>
                <w:sz w:val="22"/>
                <w:szCs w:val="22"/>
              </w:rPr>
              <w:t>239,400</w:t>
            </w:r>
          </w:p>
        </w:tc>
      </w:tr>
      <w:tr w:rsidRPr="009675FC" w:rsidR="00535CF1" w:rsidTr="00FB0E5B">
        <w:tc>
          <w:tcPr>
            <w:tcW w:w="1098"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Section 11.21</w:t>
            </w:r>
          </w:p>
        </w:tc>
        <w:tc>
          <w:tcPr>
            <w:tcW w:w="1687"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50</w:t>
            </w:r>
          </w:p>
          <w:p w:rsidRPr="00FB0E5B" w:rsidR="00A55E61" w:rsidP="00921953" w:rsidRDefault="00A55E61">
            <w:pPr>
              <w:rPr>
                <w:rFonts w:ascii="Times New Roman" w:hAnsi="Times New Roman"/>
                <w:sz w:val="22"/>
                <w:szCs w:val="22"/>
              </w:rPr>
            </w:pPr>
            <w:r w:rsidRPr="00FB0E5B">
              <w:rPr>
                <w:rFonts w:ascii="Times New Roman" w:hAnsi="Times New Roman"/>
                <w:sz w:val="22"/>
                <w:szCs w:val="22"/>
              </w:rPr>
              <w:t>(states)</w:t>
            </w:r>
          </w:p>
        </w:tc>
        <w:tc>
          <w:tcPr>
            <w:tcW w:w="108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5142E" w:rsidP="00921953" w:rsidRDefault="00471C93">
            <w:pPr>
              <w:rPr>
                <w:rFonts w:ascii="Times New Roman" w:hAnsi="Times New Roman"/>
                <w:sz w:val="22"/>
                <w:szCs w:val="22"/>
              </w:rPr>
            </w:pPr>
            <w:r w:rsidRPr="00FB0E5B">
              <w:rPr>
                <w:rFonts w:ascii="Times New Roman" w:hAnsi="Times New Roman"/>
                <w:sz w:val="22"/>
                <w:szCs w:val="22"/>
              </w:rPr>
              <w:t>50</w:t>
            </w:r>
          </w:p>
        </w:tc>
        <w:tc>
          <w:tcPr>
            <w:tcW w:w="108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1</w:t>
            </w:r>
            <w:r w:rsidRPr="00FB0E5B" w:rsidR="00863C4B">
              <w:rPr>
                <w:rFonts w:ascii="Times New Roman" w:hAnsi="Times New Roman"/>
                <w:sz w:val="22"/>
                <w:szCs w:val="22"/>
              </w:rPr>
              <w:t>,</w:t>
            </w:r>
            <w:r w:rsidRPr="00FB0E5B">
              <w:rPr>
                <w:rFonts w:ascii="Times New Roman" w:hAnsi="Times New Roman"/>
                <w:sz w:val="22"/>
                <w:szCs w:val="22"/>
              </w:rPr>
              <w:t>000 hours</w:t>
            </w:r>
          </w:p>
        </w:tc>
        <w:tc>
          <w:tcPr>
            <w:tcW w:w="126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55142E" w:rsidP="00921953" w:rsidRDefault="0055142E">
            <w:pPr>
              <w:rPr>
                <w:rFonts w:ascii="Times New Roman" w:hAnsi="Times New Roman"/>
                <w:sz w:val="22"/>
                <w:szCs w:val="22"/>
              </w:rPr>
            </w:pPr>
            <w:r w:rsidRPr="00FB0E5B">
              <w:rPr>
                <w:rFonts w:ascii="Times New Roman" w:hAnsi="Times New Roman"/>
                <w:sz w:val="22"/>
                <w:szCs w:val="22"/>
              </w:rPr>
              <w:t>$25,000</w:t>
            </w:r>
          </w:p>
        </w:tc>
      </w:tr>
      <w:tr w:rsidRPr="009675FC" w:rsidR="00535CF1" w:rsidTr="00FB0E5B">
        <w:tc>
          <w:tcPr>
            <w:tcW w:w="1098"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11.21</w:t>
            </w:r>
          </w:p>
        </w:tc>
        <w:tc>
          <w:tcPr>
            <w:tcW w:w="1687"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54</w:t>
            </w:r>
            <w:r w:rsidRPr="00D324B2" w:rsidR="0042780A">
              <w:rPr>
                <w:rFonts w:ascii="Times New Roman" w:hAnsi="Times New Roman"/>
                <w:sz w:val="22"/>
                <w:szCs w:val="22"/>
              </w:rPr>
              <w:t xml:space="preserve"> (SECCs)</w:t>
            </w:r>
          </w:p>
        </w:tc>
        <w:tc>
          <w:tcPr>
            <w:tcW w:w="108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463D15" w:rsidP="00463D15" w:rsidRDefault="00463D15">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100 hours</w:t>
            </w:r>
          </w:p>
        </w:tc>
        <w:tc>
          <w:tcPr>
            <w:tcW w:w="99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5</w:t>
            </w:r>
            <w:r w:rsidRPr="00D324B2" w:rsidR="00FA772B">
              <w:rPr>
                <w:rFonts w:ascii="Times New Roman" w:hAnsi="Times New Roman"/>
                <w:sz w:val="22"/>
                <w:szCs w:val="22"/>
              </w:rPr>
              <w:t>,</w:t>
            </w:r>
            <w:r w:rsidRPr="00D324B2">
              <w:rPr>
                <w:rFonts w:ascii="Times New Roman" w:hAnsi="Times New Roman"/>
                <w:sz w:val="22"/>
                <w:szCs w:val="22"/>
              </w:rPr>
              <w:t>400</w:t>
            </w:r>
            <w:r w:rsidRPr="00D324B2" w:rsidR="00B63A44">
              <w:rPr>
                <w:rFonts w:ascii="Times New Roman" w:hAnsi="Times New Roman"/>
                <w:sz w:val="22"/>
                <w:szCs w:val="22"/>
              </w:rPr>
              <w:t xml:space="preserve"> hours</w:t>
            </w:r>
          </w:p>
        </w:tc>
        <w:tc>
          <w:tcPr>
            <w:tcW w:w="126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$43.50</w:t>
            </w:r>
          </w:p>
        </w:tc>
        <w:tc>
          <w:tcPr>
            <w:tcW w:w="135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$235,000</w:t>
            </w:r>
          </w:p>
        </w:tc>
      </w:tr>
      <w:tr w:rsidRPr="009675FC" w:rsidR="00535CF1" w:rsidTr="00FB0E5B">
        <w:tc>
          <w:tcPr>
            <w:tcW w:w="1098"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11.21</w:t>
            </w:r>
          </w:p>
        </w:tc>
        <w:tc>
          <w:tcPr>
            <w:tcW w:w="1687"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54</w:t>
            </w:r>
            <w:r w:rsidRPr="00D324B2" w:rsidR="0042780A">
              <w:rPr>
                <w:rFonts w:ascii="Times New Roman" w:hAnsi="Times New Roman"/>
                <w:sz w:val="22"/>
                <w:szCs w:val="22"/>
              </w:rPr>
              <w:t xml:space="preserve"> (SECCs)</w:t>
            </w:r>
          </w:p>
        </w:tc>
        <w:tc>
          <w:tcPr>
            <w:tcW w:w="108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463D15" w:rsidP="00463D15" w:rsidRDefault="00463D15">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 hour</w:t>
            </w:r>
          </w:p>
        </w:tc>
        <w:tc>
          <w:tcPr>
            <w:tcW w:w="99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54</w:t>
            </w:r>
            <w:r w:rsidRPr="00D324B2" w:rsidR="00B63A44">
              <w:rPr>
                <w:rFonts w:ascii="Times New Roman" w:hAnsi="Times New Roman"/>
                <w:sz w:val="22"/>
                <w:szCs w:val="22"/>
              </w:rPr>
              <w:t xml:space="preserve"> hours</w:t>
            </w:r>
          </w:p>
        </w:tc>
        <w:tc>
          <w:tcPr>
            <w:tcW w:w="1260" w:type="dxa"/>
            <w:shd w:val="clear" w:color="auto" w:fill="auto"/>
          </w:tcPr>
          <w:p w:rsidRPr="00D324B2" w:rsidR="00463D15" w:rsidP="00463D15" w:rsidRDefault="00463D15">
            <w:pPr>
              <w:rPr>
                <w:rFonts w:ascii="Times New Roman" w:hAnsi="Times New Roman"/>
                <w:sz w:val="22"/>
                <w:szCs w:val="22"/>
              </w:rPr>
            </w:pPr>
            <w:r w:rsidRPr="00D324B2">
              <w:rPr>
                <w:rFonts w:ascii="Times New Roman" w:hAnsi="Times New Roman"/>
                <w:sz w:val="22"/>
                <w:szCs w:val="22"/>
              </w:rPr>
              <w:t>$19</w:t>
            </w:r>
          </w:p>
        </w:tc>
        <w:tc>
          <w:tcPr>
            <w:tcW w:w="1350" w:type="dxa"/>
            <w:shd w:val="clear" w:color="auto" w:fill="auto"/>
          </w:tcPr>
          <w:p w:rsidRPr="00D324B2" w:rsidR="00463D15" w:rsidP="00463D15" w:rsidRDefault="00D176DC">
            <w:pPr>
              <w:rPr>
                <w:rFonts w:ascii="Times New Roman" w:hAnsi="Times New Roman"/>
                <w:sz w:val="22"/>
                <w:szCs w:val="22"/>
              </w:rPr>
            </w:pPr>
            <w:r w:rsidRPr="00D324B2">
              <w:rPr>
                <w:rFonts w:ascii="Times New Roman" w:hAnsi="Times New Roman"/>
                <w:sz w:val="22"/>
                <w:szCs w:val="22"/>
              </w:rPr>
              <w:t>$</w:t>
            </w:r>
            <w:r w:rsidRPr="00D324B2" w:rsidR="00463D15">
              <w:rPr>
                <w:rFonts w:ascii="Times New Roman" w:hAnsi="Times New Roman"/>
                <w:sz w:val="22"/>
                <w:szCs w:val="22"/>
              </w:rPr>
              <w:t>1,0</w:t>
            </w:r>
            <w:r w:rsidRPr="00D324B2" w:rsidR="00FA772B">
              <w:rPr>
                <w:rFonts w:ascii="Times New Roman" w:hAnsi="Times New Roman"/>
                <w:sz w:val="22"/>
                <w:szCs w:val="22"/>
              </w:rPr>
              <w:t>26</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w:t>
            </w: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11.21</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27,468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$1,043,784</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11.34</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w:t>
            </w: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(manufacturers)</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200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$5,000</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lastRenderedPageBreak/>
              <w:t>Section 11.35</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7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$266</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150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$5,700</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11.41</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$190</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11.42</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w:t>
            </w: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(common carriers)</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$380</w:t>
            </w:r>
          </w:p>
        </w:tc>
      </w:tr>
      <w:tr w:rsidRPr="009675FC" w:rsidR="00535CF1" w:rsidTr="00FB0E5B">
        <w:tc>
          <w:tcPr>
            <w:tcW w:w="1098"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Section 11.43</w:t>
            </w:r>
          </w:p>
        </w:tc>
        <w:tc>
          <w:tcPr>
            <w:tcW w:w="1687"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10</w:t>
            </w:r>
          </w:p>
          <w:p w:rsidRPr="00D324B2" w:rsidR="00687ACF" w:rsidP="00687ACF" w:rsidRDefault="00687ACF">
            <w:pPr>
              <w:rPr>
                <w:rFonts w:ascii="Times New Roman" w:hAnsi="Times New Roman"/>
                <w:sz w:val="22"/>
                <w:szCs w:val="22"/>
              </w:rPr>
            </w:pPr>
            <w:r w:rsidRPr="00D324B2">
              <w:rPr>
                <w:rFonts w:ascii="Times New Roman" w:hAnsi="Times New Roman"/>
                <w:sz w:val="22"/>
                <w:szCs w:val="22"/>
              </w:rPr>
              <w:t>(voluntary entities)</w:t>
            </w:r>
          </w:p>
        </w:tc>
        <w:tc>
          <w:tcPr>
            <w:tcW w:w="1080"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0.5 hour</w:t>
            </w:r>
            <w:r w:rsidRPr="00D324B2" w:rsidR="00FA772B">
              <w:rPr>
                <w:rFonts w:ascii="Times New Roman" w:hAnsi="Times New Roman"/>
                <w:sz w:val="22"/>
                <w:szCs w:val="22"/>
              </w:rPr>
              <w:t>s</w:t>
            </w:r>
          </w:p>
        </w:tc>
        <w:tc>
          <w:tcPr>
            <w:tcW w:w="990"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5 hours</w:t>
            </w:r>
          </w:p>
        </w:tc>
        <w:tc>
          <w:tcPr>
            <w:tcW w:w="1260"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$38</w:t>
            </w:r>
          </w:p>
        </w:tc>
        <w:tc>
          <w:tcPr>
            <w:tcW w:w="1350" w:type="dxa"/>
            <w:shd w:val="clear" w:color="auto" w:fill="auto"/>
          </w:tcPr>
          <w:p w:rsidRPr="00D324B2" w:rsidR="00687ACF" w:rsidP="00687ACF" w:rsidRDefault="00687ACF">
            <w:pPr>
              <w:rPr>
                <w:rFonts w:ascii="Times New Roman" w:hAnsi="Times New Roman"/>
                <w:sz w:val="22"/>
                <w:szCs w:val="22"/>
              </w:rPr>
            </w:pPr>
            <w:r w:rsidRPr="00D324B2">
              <w:rPr>
                <w:rFonts w:ascii="Times New Roman" w:hAnsi="Times New Roman"/>
                <w:sz w:val="22"/>
                <w:szCs w:val="22"/>
              </w:rPr>
              <w:t>$190</w:t>
            </w:r>
          </w:p>
        </w:tc>
      </w:tr>
      <w:tr w:rsidRPr="009675FC" w:rsidR="00535CF1" w:rsidTr="00FB0E5B">
        <w:tc>
          <w:tcPr>
            <w:tcW w:w="1098" w:type="dxa"/>
            <w:shd w:val="clear" w:color="auto" w:fill="auto"/>
          </w:tcPr>
          <w:p w:rsidRPr="00D324B2" w:rsidR="00251B4A" w:rsidP="00687ACF" w:rsidRDefault="00251B4A">
            <w:pPr>
              <w:rPr>
                <w:rFonts w:ascii="Times New Roman" w:hAnsi="Times New Roman"/>
                <w:sz w:val="22"/>
                <w:szCs w:val="22"/>
              </w:rPr>
            </w:pPr>
            <w:r w:rsidRPr="00D324B2">
              <w:rPr>
                <w:rFonts w:ascii="Times New Roman" w:hAnsi="Times New Roman"/>
                <w:sz w:val="22"/>
                <w:szCs w:val="22"/>
              </w:rPr>
              <w:t>Section 11.45</w:t>
            </w:r>
          </w:p>
        </w:tc>
        <w:tc>
          <w:tcPr>
            <w:tcW w:w="1687" w:type="dxa"/>
            <w:shd w:val="clear" w:color="auto" w:fill="auto"/>
          </w:tcPr>
          <w:p w:rsidRPr="00D324B2" w:rsidR="00251B4A" w:rsidP="00687ACF" w:rsidRDefault="00F415E4">
            <w:pPr>
              <w:rPr>
                <w:rFonts w:ascii="Times New Roman" w:hAnsi="Times New Roman"/>
                <w:sz w:val="22"/>
                <w:szCs w:val="22"/>
              </w:rPr>
            </w:pPr>
            <w:r w:rsidRPr="00D324B2">
              <w:rPr>
                <w:rFonts w:ascii="Times New Roman" w:hAnsi="Times New Roman"/>
                <w:sz w:val="22"/>
                <w:szCs w:val="22"/>
              </w:rPr>
              <w:t>290</w:t>
            </w:r>
          </w:p>
        </w:tc>
        <w:tc>
          <w:tcPr>
            <w:tcW w:w="1080" w:type="dxa"/>
            <w:shd w:val="clear" w:color="auto" w:fill="auto"/>
          </w:tcPr>
          <w:p w:rsidRPr="00D324B2" w:rsidR="00251B4A" w:rsidP="00687ACF" w:rsidRDefault="00221780">
            <w:pPr>
              <w:rPr>
                <w:rFonts w:ascii="Times New Roman" w:hAnsi="Times New Roman"/>
                <w:sz w:val="22"/>
                <w:szCs w:val="22"/>
              </w:rPr>
            </w:pPr>
            <w:r w:rsidRPr="00D324B2">
              <w:rPr>
                <w:rFonts w:ascii="Times New Roman" w:hAnsi="Times New Roman"/>
                <w:sz w:val="22"/>
                <w:szCs w:val="22"/>
              </w:rPr>
              <w:t>2</w:t>
            </w:r>
          </w:p>
        </w:tc>
        <w:tc>
          <w:tcPr>
            <w:tcW w:w="1260" w:type="dxa"/>
            <w:shd w:val="clear" w:color="auto" w:fill="auto"/>
          </w:tcPr>
          <w:p w:rsidRPr="00D324B2" w:rsidR="00251B4A" w:rsidP="00194BEB" w:rsidRDefault="00194BEB">
            <w:pPr>
              <w:rPr>
                <w:rFonts w:ascii="Times New Roman" w:hAnsi="Times New Roman"/>
                <w:sz w:val="22"/>
                <w:szCs w:val="22"/>
              </w:rPr>
            </w:pPr>
            <w:r w:rsidRPr="00D324B2">
              <w:rPr>
                <w:rFonts w:ascii="Times New Roman" w:hAnsi="Times New Roman"/>
                <w:sz w:val="22"/>
                <w:szCs w:val="22"/>
              </w:rPr>
              <w:t>58</w:t>
            </w:r>
            <w:r w:rsidRPr="00D324B2" w:rsidR="00221780">
              <w:rPr>
                <w:rFonts w:ascii="Times New Roman" w:hAnsi="Times New Roman"/>
                <w:sz w:val="22"/>
                <w:szCs w:val="22"/>
              </w:rPr>
              <w:t>0</w:t>
            </w:r>
          </w:p>
        </w:tc>
        <w:tc>
          <w:tcPr>
            <w:tcW w:w="1080" w:type="dxa"/>
            <w:shd w:val="clear" w:color="auto" w:fill="auto"/>
          </w:tcPr>
          <w:p w:rsidRPr="00D324B2" w:rsidR="00251B4A" w:rsidP="00687ACF" w:rsidRDefault="00221780">
            <w:pPr>
              <w:rPr>
                <w:rFonts w:ascii="Times New Roman" w:hAnsi="Times New Roman"/>
                <w:sz w:val="22"/>
                <w:szCs w:val="22"/>
              </w:rPr>
            </w:pPr>
            <w:r w:rsidRPr="00D324B2">
              <w:rPr>
                <w:rFonts w:ascii="Times New Roman" w:hAnsi="Times New Roman"/>
                <w:sz w:val="22"/>
                <w:szCs w:val="22"/>
              </w:rPr>
              <w:t>0.25 hours</w:t>
            </w:r>
          </w:p>
        </w:tc>
        <w:tc>
          <w:tcPr>
            <w:tcW w:w="990" w:type="dxa"/>
            <w:shd w:val="clear" w:color="auto" w:fill="auto"/>
          </w:tcPr>
          <w:p w:rsidRPr="00D324B2" w:rsidR="00251B4A" w:rsidP="00687ACF" w:rsidRDefault="00221780">
            <w:pPr>
              <w:rPr>
                <w:rFonts w:ascii="Times New Roman" w:hAnsi="Times New Roman"/>
                <w:sz w:val="22"/>
                <w:szCs w:val="22"/>
              </w:rPr>
            </w:pPr>
            <w:r w:rsidRPr="00D324B2">
              <w:rPr>
                <w:rFonts w:ascii="Times New Roman" w:hAnsi="Times New Roman"/>
                <w:sz w:val="22"/>
                <w:szCs w:val="22"/>
              </w:rPr>
              <w:t>145 hours</w:t>
            </w:r>
          </w:p>
        </w:tc>
        <w:tc>
          <w:tcPr>
            <w:tcW w:w="1260" w:type="dxa"/>
            <w:shd w:val="clear" w:color="auto" w:fill="auto"/>
          </w:tcPr>
          <w:p w:rsidRPr="00D324B2" w:rsidR="00251B4A" w:rsidP="00221780" w:rsidRDefault="00221780">
            <w:pPr>
              <w:rPr>
                <w:rFonts w:ascii="Times New Roman" w:hAnsi="Times New Roman"/>
                <w:sz w:val="22"/>
                <w:szCs w:val="22"/>
              </w:rPr>
            </w:pPr>
            <w:r w:rsidRPr="00D324B2">
              <w:rPr>
                <w:rFonts w:ascii="Times New Roman" w:hAnsi="Times New Roman"/>
                <w:sz w:val="22"/>
                <w:szCs w:val="22"/>
              </w:rPr>
              <w:t>$80</w:t>
            </w:r>
          </w:p>
        </w:tc>
        <w:tc>
          <w:tcPr>
            <w:tcW w:w="1350" w:type="dxa"/>
            <w:shd w:val="clear" w:color="auto" w:fill="auto"/>
          </w:tcPr>
          <w:p w:rsidRPr="00D324B2" w:rsidR="00251B4A" w:rsidP="00687ACF" w:rsidRDefault="00F415E4">
            <w:pPr>
              <w:rPr>
                <w:rFonts w:ascii="Times New Roman" w:hAnsi="Times New Roman"/>
                <w:sz w:val="22"/>
                <w:szCs w:val="22"/>
              </w:rPr>
            </w:pPr>
            <w:r w:rsidRPr="00D324B2">
              <w:rPr>
                <w:rFonts w:ascii="Times New Roman" w:hAnsi="Times New Roman"/>
                <w:sz w:val="22"/>
                <w:szCs w:val="22"/>
              </w:rPr>
              <w:t>$11,600</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11.51</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0.17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743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$28,234</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w:t>
            </w: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11.51</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0.017</w:t>
            </w:r>
            <w:r w:rsidRPr="00FB0E5B" w:rsidR="00FA772B">
              <w:rPr>
                <w:rFonts w:ascii="Times New Roman" w:hAnsi="Times New Roman"/>
                <w:sz w:val="22"/>
                <w:szCs w:val="22"/>
              </w:rPr>
              <w:t xml:space="preserve"> hours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$380</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1.0 hour</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$190</w:t>
            </w:r>
          </w:p>
        </w:tc>
      </w:tr>
      <w:tr w:rsidRPr="009675FC" w:rsidR="00535CF1" w:rsidTr="00FB0E5B">
        <w:tc>
          <w:tcPr>
            <w:tcW w:w="1098"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11.54</w:t>
            </w:r>
          </w:p>
        </w:tc>
        <w:tc>
          <w:tcPr>
            <w:tcW w:w="1687"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B44C02" w:rsidP="00687ACF" w:rsidRDefault="00B44C02">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tc>
          <w:tcPr>
            <w:tcW w:w="1098"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535CF1" w:rsidP="00687ACF" w:rsidRDefault="00535CF1">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 hours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24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$600</w:t>
            </w:r>
          </w:p>
        </w:tc>
      </w:tr>
      <w:tr w:rsidRPr="009675FC" w:rsidR="00535CF1" w:rsidTr="00FB0E5B">
        <w:tc>
          <w:tcPr>
            <w:tcW w:w="1098"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40</w:t>
            </w:r>
          </w:p>
        </w:tc>
        <w:tc>
          <w:tcPr>
            <w:tcW w:w="1260"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2,520,000</w:t>
            </w:r>
          </w:p>
        </w:tc>
        <w:tc>
          <w:tcPr>
            <w:tcW w:w="1080"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42,840 hours</w:t>
            </w:r>
          </w:p>
        </w:tc>
        <w:tc>
          <w:tcPr>
            <w:tcW w:w="1260"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FB0E5B" w:rsidP="00687ACF" w:rsidRDefault="00FB0E5B">
            <w:pPr>
              <w:rPr>
                <w:rFonts w:ascii="Times New Roman" w:hAnsi="Times New Roman"/>
                <w:sz w:val="22"/>
                <w:szCs w:val="22"/>
              </w:rPr>
            </w:pPr>
          </w:p>
          <w:p w:rsidR="00FB0E5B" w:rsidP="00687ACF" w:rsidRDefault="00FB0E5B">
            <w:pPr>
              <w:rPr>
                <w:rFonts w:ascii="Times New Roman" w:hAnsi="Times New Roman"/>
                <w:sz w:val="22"/>
                <w:szCs w:val="22"/>
              </w:rPr>
            </w:pPr>
          </w:p>
          <w:p w:rsidRPr="00FB0E5B" w:rsidR="00687ACF" w:rsidP="00687ACF" w:rsidRDefault="00687ACF">
            <w:pPr>
              <w:rPr>
                <w:rFonts w:ascii="Times New Roman" w:hAnsi="Times New Roman"/>
                <w:sz w:val="22"/>
                <w:szCs w:val="22"/>
              </w:rPr>
            </w:pPr>
            <w:r w:rsidRPr="00FB0E5B">
              <w:rPr>
                <w:rFonts w:ascii="Times New Roman" w:hAnsi="Times New Roman"/>
                <w:sz w:val="22"/>
                <w:szCs w:val="22"/>
              </w:rPr>
              <w:t>$1,627,920</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12</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756,000</w:t>
            </w:r>
          </w:p>
        </w:tc>
        <w:tc>
          <w:tcPr>
            <w:tcW w:w="108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0.034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25,704 hours</w:t>
            </w:r>
          </w:p>
        </w:tc>
        <w:tc>
          <w:tcPr>
            <w:tcW w:w="126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$976,752</w:t>
            </w:r>
          </w:p>
        </w:tc>
      </w:tr>
      <w:tr w:rsidRPr="009675FC" w:rsidR="00535CF1" w:rsidTr="00FB0E5B">
        <w:tc>
          <w:tcPr>
            <w:tcW w:w="1098" w:type="dxa"/>
            <w:shd w:val="clear" w:color="auto" w:fill="auto"/>
          </w:tcPr>
          <w:p w:rsidRPr="00FB0E5B" w:rsidR="00687ACF" w:rsidP="00687ACF" w:rsidRDefault="00687ACF">
            <w:pPr>
              <w:rPr>
                <w:rFonts w:ascii="Times New Roman" w:hAnsi="Times New Roman"/>
                <w:sz w:val="22"/>
                <w:szCs w:val="22"/>
              </w:rPr>
            </w:pPr>
            <w:r w:rsidRPr="00FB0E5B">
              <w:rPr>
                <w:rFonts w:ascii="Times New Roman" w:hAnsi="Times New Roman"/>
                <w:sz w:val="22"/>
                <w:szCs w:val="22"/>
              </w:rPr>
              <w:t>Section 11.61</w:t>
            </w:r>
            <w:r w:rsidRPr="00FB0E5B" w:rsidR="00621F6A">
              <w:rPr>
                <w:rFonts w:ascii="Times New Roman" w:hAnsi="Times New Roman"/>
                <w:sz w:val="22"/>
                <w:szCs w:val="22"/>
              </w:rPr>
              <w:t>*</w:t>
            </w:r>
          </w:p>
        </w:tc>
        <w:tc>
          <w:tcPr>
            <w:tcW w:w="1687" w:type="dxa"/>
            <w:shd w:val="clear" w:color="auto" w:fill="auto"/>
          </w:tcPr>
          <w:p w:rsidRPr="00FB0E5B" w:rsidR="00687ACF" w:rsidP="00F44FA9" w:rsidRDefault="005C2EDE">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Pr="00FB0E5B" w:rsidR="00687ACF" w:rsidP="00F44FA9" w:rsidRDefault="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F44FA9" w:rsidRDefault="005C2EDE">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Pr="00FB0E5B" w:rsidR="00687ACF" w:rsidP="00F44FA9" w:rsidRDefault="005C2EDE">
            <w:pPr>
              <w:rPr>
                <w:rFonts w:ascii="Times New Roman" w:hAnsi="Times New Roman"/>
                <w:sz w:val="22"/>
                <w:szCs w:val="22"/>
              </w:rPr>
            </w:pPr>
            <w:r w:rsidRPr="00FB0E5B">
              <w:rPr>
                <w:rFonts w:ascii="Times New Roman" w:hAnsi="Times New Roman"/>
                <w:sz w:val="22"/>
                <w:szCs w:val="22"/>
              </w:rPr>
              <w:t>1</w:t>
            </w:r>
            <w:r w:rsidRPr="00FB0E5B" w:rsidR="00687ACF">
              <w:rPr>
                <w:rFonts w:ascii="Times New Roman" w:hAnsi="Times New Roman"/>
                <w:sz w:val="22"/>
                <w:szCs w:val="22"/>
              </w:rPr>
              <w:t xml:space="preserve"> hour</w:t>
            </w:r>
          </w:p>
        </w:tc>
        <w:tc>
          <w:tcPr>
            <w:tcW w:w="990" w:type="dxa"/>
            <w:shd w:val="clear" w:color="auto" w:fill="auto"/>
          </w:tcPr>
          <w:p w:rsidRPr="00FB0E5B" w:rsidR="00687ACF" w:rsidP="00F44FA9" w:rsidRDefault="005C2EDE">
            <w:pPr>
              <w:rPr>
                <w:rFonts w:ascii="Times New Roman" w:hAnsi="Times New Roman"/>
                <w:sz w:val="22"/>
                <w:szCs w:val="22"/>
              </w:rPr>
            </w:pPr>
            <w:r w:rsidRPr="00FB0E5B">
              <w:rPr>
                <w:rFonts w:ascii="Times New Roman" w:hAnsi="Times New Roman"/>
                <w:sz w:val="22"/>
                <w:szCs w:val="22"/>
              </w:rPr>
              <w:t>27,468</w:t>
            </w:r>
            <w:r w:rsidRPr="00FB0E5B" w:rsidR="002A44B9">
              <w:rPr>
                <w:rFonts w:ascii="Times New Roman" w:hAnsi="Times New Roman"/>
                <w:sz w:val="22"/>
                <w:szCs w:val="22"/>
              </w:rPr>
              <w:t xml:space="preserve"> hours</w:t>
            </w:r>
          </w:p>
        </w:tc>
        <w:tc>
          <w:tcPr>
            <w:tcW w:w="1260" w:type="dxa"/>
            <w:shd w:val="clear" w:color="auto" w:fill="auto"/>
          </w:tcPr>
          <w:p w:rsidRPr="00FB0E5B" w:rsidR="00687ACF" w:rsidP="00F44FA9" w:rsidRDefault="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F44FA9" w:rsidRDefault="005C2EDE">
            <w:pPr>
              <w:rPr>
                <w:rFonts w:ascii="Times New Roman" w:hAnsi="Times New Roman"/>
                <w:sz w:val="22"/>
                <w:szCs w:val="22"/>
              </w:rPr>
            </w:pPr>
            <w:r w:rsidRPr="00FB0E5B">
              <w:rPr>
                <w:rFonts w:ascii="Times New Roman" w:hAnsi="Times New Roman"/>
                <w:sz w:val="22"/>
                <w:szCs w:val="22"/>
              </w:rPr>
              <w:t>$1,043,784</w:t>
            </w:r>
          </w:p>
        </w:tc>
      </w:tr>
      <w:tr w:rsidRPr="009675FC" w:rsidR="00535CF1" w:rsidTr="00FB0E5B">
        <w:tc>
          <w:tcPr>
            <w:tcW w:w="1098" w:type="dxa"/>
            <w:shd w:val="clear" w:color="auto" w:fill="auto"/>
          </w:tcPr>
          <w:p w:rsidRPr="00D324B2" w:rsidR="00251B4A" w:rsidP="00687ACF" w:rsidRDefault="00251B4A">
            <w:pPr>
              <w:rPr>
                <w:rFonts w:ascii="Times New Roman" w:hAnsi="Times New Roman"/>
                <w:sz w:val="22"/>
                <w:szCs w:val="22"/>
              </w:rPr>
            </w:pPr>
            <w:r w:rsidRPr="00D324B2">
              <w:rPr>
                <w:rFonts w:ascii="Times New Roman" w:hAnsi="Times New Roman"/>
                <w:sz w:val="22"/>
                <w:szCs w:val="22"/>
              </w:rPr>
              <w:t>Section 11.61</w:t>
            </w:r>
          </w:p>
        </w:tc>
        <w:tc>
          <w:tcPr>
            <w:tcW w:w="1687" w:type="dxa"/>
            <w:shd w:val="clear" w:color="auto" w:fill="auto"/>
          </w:tcPr>
          <w:p w:rsidRPr="00D324B2" w:rsidR="00251B4A" w:rsidP="00687ACF" w:rsidRDefault="0059086B">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251B4A" w:rsidP="00687ACF" w:rsidRDefault="00333513">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251B4A" w:rsidP="0059086B" w:rsidRDefault="000812A5">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251B4A" w:rsidP="00687ACF" w:rsidRDefault="00333513">
            <w:pPr>
              <w:rPr>
                <w:rFonts w:ascii="Times New Roman" w:hAnsi="Times New Roman"/>
                <w:sz w:val="22"/>
                <w:szCs w:val="22"/>
              </w:rPr>
            </w:pPr>
            <w:r w:rsidRPr="00D324B2">
              <w:rPr>
                <w:rFonts w:ascii="Times New Roman" w:hAnsi="Times New Roman"/>
                <w:sz w:val="22"/>
                <w:szCs w:val="22"/>
              </w:rPr>
              <w:t>0</w:t>
            </w:r>
          </w:p>
        </w:tc>
        <w:tc>
          <w:tcPr>
            <w:tcW w:w="990" w:type="dxa"/>
            <w:shd w:val="clear" w:color="auto" w:fill="auto"/>
          </w:tcPr>
          <w:p w:rsidRPr="00D324B2" w:rsidR="00251B4A" w:rsidP="00687ACF" w:rsidRDefault="00333513">
            <w:pPr>
              <w:rPr>
                <w:rFonts w:ascii="Times New Roman" w:hAnsi="Times New Roman"/>
                <w:sz w:val="22"/>
                <w:szCs w:val="22"/>
              </w:rPr>
            </w:pPr>
            <w:r w:rsidRPr="00D324B2">
              <w:rPr>
                <w:rFonts w:ascii="Times New Roman" w:hAnsi="Times New Roman"/>
                <w:sz w:val="22"/>
                <w:szCs w:val="22"/>
              </w:rPr>
              <w:t>0</w:t>
            </w:r>
          </w:p>
        </w:tc>
        <w:tc>
          <w:tcPr>
            <w:tcW w:w="1260" w:type="dxa"/>
            <w:shd w:val="clear" w:color="auto" w:fill="auto"/>
          </w:tcPr>
          <w:p w:rsidRPr="00D324B2" w:rsidR="00251B4A" w:rsidP="00687ACF" w:rsidRDefault="00333513">
            <w:pPr>
              <w:rPr>
                <w:rFonts w:ascii="Times New Roman" w:hAnsi="Times New Roman"/>
                <w:sz w:val="22"/>
                <w:szCs w:val="22"/>
              </w:rPr>
            </w:pPr>
            <w:r w:rsidRPr="00D324B2">
              <w:rPr>
                <w:rFonts w:ascii="Times New Roman" w:hAnsi="Times New Roman"/>
                <w:sz w:val="22"/>
                <w:szCs w:val="22"/>
              </w:rPr>
              <w:t>0</w:t>
            </w:r>
          </w:p>
        </w:tc>
        <w:tc>
          <w:tcPr>
            <w:tcW w:w="1350" w:type="dxa"/>
            <w:shd w:val="clear" w:color="auto" w:fill="auto"/>
          </w:tcPr>
          <w:p w:rsidRPr="00D324B2" w:rsidR="00251B4A" w:rsidP="00687ACF" w:rsidRDefault="00333513">
            <w:pPr>
              <w:rPr>
                <w:rFonts w:ascii="Times New Roman" w:hAnsi="Times New Roman"/>
                <w:sz w:val="22"/>
                <w:szCs w:val="22"/>
              </w:rPr>
            </w:pPr>
            <w:r w:rsidRPr="00D324B2">
              <w:rPr>
                <w:rFonts w:ascii="Times New Roman" w:hAnsi="Times New Roman"/>
                <w:sz w:val="22"/>
                <w:szCs w:val="22"/>
              </w:rPr>
              <w:t>0</w:t>
            </w:r>
          </w:p>
        </w:tc>
      </w:tr>
      <w:tr w:rsidRPr="009675FC" w:rsidR="00535CF1" w:rsidTr="00FB0E5B">
        <w:tc>
          <w:tcPr>
            <w:tcW w:w="1098" w:type="dxa"/>
            <w:shd w:val="clear" w:color="auto" w:fill="auto"/>
          </w:tcPr>
          <w:p w:rsidRPr="00FB0E5B" w:rsidR="00F44FA9" w:rsidP="00687ACF" w:rsidRDefault="00F44FA9">
            <w:pPr>
              <w:rPr>
                <w:rFonts w:ascii="Times New Roman" w:hAnsi="Times New Roman"/>
                <w:b/>
                <w:sz w:val="22"/>
                <w:szCs w:val="22"/>
              </w:rPr>
            </w:pPr>
            <w:r w:rsidRPr="00FB0E5B">
              <w:rPr>
                <w:rFonts w:ascii="Times New Roman" w:hAnsi="Times New Roman"/>
                <w:b/>
                <w:sz w:val="22"/>
                <w:szCs w:val="22"/>
              </w:rPr>
              <w:t>Totals</w:t>
            </w:r>
          </w:p>
        </w:tc>
        <w:tc>
          <w:tcPr>
            <w:tcW w:w="1687" w:type="dxa"/>
            <w:shd w:val="clear" w:color="auto" w:fill="auto"/>
          </w:tcPr>
          <w:p w:rsidRPr="00FB0E5B" w:rsidR="00F44FA9" w:rsidP="00687ACF" w:rsidRDefault="00F44FA9">
            <w:pPr>
              <w:rPr>
                <w:rFonts w:ascii="Times New Roman" w:hAnsi="Times New Roman"/>
                <w:b/>
                <w:sz w:val="22"/>
                <w:szCs w:val="22"/>
              </w:rPr>
            </w:pPr>
            <w:r w:rsidRPr="00FB0E5B">
              <w:rPr>
                <w:rFonts w:ascii="Times New Roman" w:hAnsi="Times New Roman"/>
                <w:b/>
                <w:sz w:val="22"/>
                <w:szCs w:val="22"/>
              </w:rPr>
              <w:t>63,084</w:t>
            </w:r>
          </w:p>
        </w:tc>
        <w:tc>
          <w:tcPr>
            <w:tcW w:w="1080" w:type="dxa"/>
            <w:shd w:val="clear" w:color="auto" w:fill="auto"/>
          </w:tcPr>
          <w:p w:rsidRPr="00FB0E5B" w:rsidR="00F44FA9" w:rsidP="00687ACF" w:rsidRDefault="00F44FA9">
            <w:pPr>
              <w:rPr>
                <w:rFonts w:ascii="Times New Roman" w:hAnsi="Times New Roman"/>
                <w:b/>
                <w:sz w:val="22"/>
                <w:szCs w:val="22"/>
              </w:rPr>
            </w:pPr>
          </w:p>
        </w:tc>
        <w:tc>
          <w:tcPr>
            <w:tcW w:w="1260" w:type="dxa"/>
            <w:shd w:val="clear" w:color="auto" w:fill="auto"/>
          </w:tcPr>
          <w:p w:rsidRPr="00FB0E5B" w:rsidR="00F44FA9" w:rsidP="00194BEB" w:rsidRDefault="00F44FA9">
            <w:pPr>
              <w:rPr>
                <w:rFonts w:ascii="Times New Roman" w:hAnsi="Times New Roman"/>
                <w:b/>
                <w:sz w:val="22"/>
                <w:szCs w:val="22"/>
              </w:rPr>
            </w:pPr>
            <w:r w:rsidRPr="00FB0E5B">
              <w:rPr>
                <w:rFonts w:ascii="Times New Roman" w:hAnsi="Times New Roman"/>
                <w:b/>
                <w:sz w:val="22"/>
                <w:szCs w:val="22"/>
              </w:rPr>
              <w:t>3,588,</w:t>
            </w:r>
            <w:r w:rsidRPr="00FB0E5B" w:rsidR="003A781F">
              <w:rPr>
                <w:rFonts w:ascii="Times New Roman" w:hAnsi="Times New Roman"/>
                <w:b/>
                <w:sz w:val="22"/>
                <w:szCs w:val="22"/>
              </w:rPr>
              <w:t>830</w:t>
            </w:r>
          </w:p>
          <w:p w:rsidRPr="00FB0E5B" w:rsidR="00F44FA9" w:rsidP="00F44FA9" w:rsidRDefault="00F44FA9">
            <w:pPr>
              <w:rPr>
                <w:rFonts w:ascii="Times New Roman" w:hAnsi="Times New Roman"/>
                <w:b/>
                <w:sz w:val="22"/>
                <w:szCs w:val="22"/>
              </w:rPr>
            </w:pPr>
          </w:p>
        </w:tc>
        <w:tc>
          <w:tcPr>
            <w:tcW w:w="1080" w:type="dxa"/>
            <w:shd w:val="clear" w:color="auto" w:fill="auto"/>
          </w:tcPr>
          <w:p w:rsidRPr="00FB0E5B" w:rsidR="00F44FA9" w:rsidP="00687ACF" w:rsidRDefault="00F44FA9">
            <w:pPr>
              <w:rPr>
                <w:rFonts w:ascii="Times New Roman" w:hAnsi="Times New Roman"/>
                <w:b/>
                <w:sz w:val="22"/>
                <w:szCs w:val="22"/>
              </w:rPr>
            </w:pPr>
          </w:p>
        </w:tc>
        <w:tc>
          <w:tcPr>
            <w:tcW w:w="990" w:type="dxa"/>
            <w:shd w:val="clear" w:color="auto" w:fill="auto"/>
          </w:tcPr>
          <w:p w:rsidRPr="00FB0E5B" w:rsidR="00F44FA9" w:rsidP="003A781F" w:rsidRDefault="00F44FA9">
            <w:pPr>
              <w:rPr>
                <w:rFonts w:ascii="Times New Roman" w:hAnsi="Times New Roman"/>
                <w:b/>
                <w:sz w:val="22"/>
                <w:szCs w:val="22"/>
              </w:rPr>
            </w:pPr>
            <w:r w:rsidRPr="00FB0E5B">
              <w:rPr>
                <w:rFonts w:ascii="Times New Roman" w:hAnsi="Times New Roman"/>
                <w:b/>
                <w:sz w:val="22"/>
                <w:szCs w:val="22"/>
              </w:rPr>
              <w:t>1</w:t>
            </w:r>
            <w:r w:rsidRPr="00FB0E5B" w:rsidR="003A781F">
              <w:rPr>
                <w:rFonts w:ascii="Times New Roman" w:hAnsi="Times New Roman"/>
                <w:b/>
                <w:sz w:val="22"/>
                <w:szCs w:val="22"/>
              </w:rPr>
              <w:t>40,751</w:t>
            </w:r>
            <w:r w:rsidRPr="00FB0E5B">
              <w:rPr>
                <w:rFonts w:ascii="Times New Roman" w:hAnsi="Times New Roman"/>
                <w:b/>
                <w:sz w:val="22"/>
                <w:szCs w:val="22"/>
              </w:rPr>
              <w:t xml:space="preserve"> hours</w:t>
            </w:r>
          </w:p>
        </w:tc>
        <w:tc>
          <w:tcPr>
            <w:tcW w:w="1260" w:type="dxa"/>
            <w:shd w:val="clear" w:color="auto" w:fill="auto"/>
          </w:tcPr>
          <w:p w:rsidRPr="00FB0E5B" w:rsidR="00F44FA9" w:rsidP="00687ACF" w:rsidRDefault="00F44FA9">
            <w:pPr>
              <w:rPr>
                <w:rFonts w:ascii="Times New Roman" w:hAnsi="Times New Roman"/>
                <w:b/>
                <w:sz w:val="22"/>
                <w:szCs w:val="22"/>
              </w:rPr>
            </w:pPr>
          </w:p>
        </w:tc>
        <w:tc>
          <w:tcPr>
            <w:tcW w:w="1350" w:type="dxa"/>
            <w:shd w:val="clear" w:color="auto" w:fill="auto"/>
          </w:tcPr>
          <w:p w:rsidRPr="00FB0E5B" w:rsidR="00F44FA9" w:rsidP="003A781F" w:rsidRDefault="00F44FA9">
            <w:pPr>
              <w:rPr>
                <w:rFonts w:ascii="Times New Roman" w:hAnsi="Times New Roman"/>
                <w:b/>
                <w:sz w:val="22"/>
                <w:szCs w:val="22"/>
              </w:rPr>
            </w:pPr>
            <w:r w:rsidRPr="00FB0E5B">
              <w:rPr>
                <w:rFonts w:ascii="Times New Roman" w:hAnsi="Times New Roman"/>
                <w:b/>
                <w:sz w:val="22"/>
                <w:szCs w:val="22"/>
              </w:rPr>
              <w:t>$5,</w:t>
            </w:r>
            <w:r w:rsidRPr="00FB0E5B" w:rsidR="003A781F">
              <w:rPr>
                <w:rFonts w:ascii="Times New Roman" w:hAnsi="Times New Roman"/>
                <w:b/>
                <w:sz w:val="22"/>
                <w:szCs w:val="22"/>
              </w:rPr>
              <w:t>367,490</w:t>
            </w:r>
          </w:p>
        </w:tc>
      </w:tr>
    </w:tbl>
    <w:p w:rsidRPr="00921953" w:rsidR="009B43A9" w:rsidP="00921953" w:rsidRDefault="00A87F36">
      <w:pPr>
        <w:rPr>
          <w:rFonts w:ascii="Times New Roman" w:hAnsi="Times New Roman"/>
          <w:szCs w:val="24"/>
        </w:rPr>
      </w:pPr>
      <w:r w:rsidRPr="00921953">
        <w:rPr>
          <w:rFonts w:ascii="Times New Roman" w:hAnsi="Times New Roman"/>
          <w:szCs w:val="24"/>
        </w:rPr>
        <w:t xml:space="preserve"> </w:t>
      </w:r>
    </w:p>
    <w:p w:rsidRPr="00921953" w:rsidR="006A44F0" w:rsidP="00921953" w:rsidRDefault="00F34F9F">
      <w:pPr>
        <w:rPr>
          <w:rFonts w:ascii="Times New Roman" w:hAnsi="Times New Roman"/>
          <w:szCs w:val="24"/>
        </w:rPr>
      </w:pPr>
      <w:r w:rsidRPr="00921953">
        <w:rPr>
          <w:rFonts w:ascii="Times New Roman" w:hAnsi="Times New Roman"/>
          <w:szCs w:val="24"/>
        </w:rPr>
        <w:t xml:space="preserve">13. </w:t>
      </w:r>
      <w:r w:rsidRPr="00921953" w:rsidR="00F31227">
        <w:rPr>
          <w:rFonts w:ascii="Times New Roman" w:hAnsi="Times New Roman"/>
          <w:szCs w:val="24"/>
        </w:rPr>
        <w:t xml:space="preserve"> </w:t>
      </w:r>
      <w:r w:rsidRPr="00921953" w:rsidR="006A44F0">
        <w:rPr>
          <w:rFonts w:ascii="Times New Roman" w:hAnsi="Times New Roman"/>
          <w:szCs w:val="24"/>
        </w:rPr>
        <w:t>Annual Cost Burden to the Respondent</w:t>
      </w:r>
      <w:r w:rsidRPr="00921953" w:rsidR="004B7B4C">
        <w:rPr>
          <w:rFonts w:ascii="Times New Roman" w:hAnsi="Times New Roman"/>
          <w:szCs w:val="24"/>
        </w:rPr>
        <w:t xml:space="preserve">.  The </w:t>
      </w:r>
      <w:r w:rsidR="00177937">
        <w:rPr>
          <w:rFonts w:ascii="Times New Roman" w:hAnsi="Times New Roman"/>
          <w:szCs w:val="24"/>
        </w:rPr>
        <w:t>FCC</w:t>
      </w:r>
      <w:r w:rsidRPr="00921953" w:rsidR="004B7B4C">
        <w:rPr>
          <w:rFonts w:ascii="Times New Roman" w:hAnsi="Times New Roman"/>
          <w:szCs w:val="24"/>
        </w:rPr>
        <w:t xml:space="preserve"> does not anticipate that respondents will need to incur capital or start-up costs, or operation and maintenance and purchase of services costs to respond to these information collections.</w:t>
      </w:r>
      <w:r w:rsidRPr="00921953" w:rsidR="006A44F0">
        <w:rPr>
          <w:rFonts w:ascii="Times New Roman" w:hAnsi="Times New Roman"/>
          <w:szCs w:val="24"/>
        </w:rPr>
        <w:t xml:space="preserve"> </w:t>
      </w:r>
    </w:p>
    <w:p w:rsidRPr="00921953" w:rsidR="00943326" w:rsidP="00943326" w:rsidRDefault="00943326">
      <w:pPr>
        <w:rPr>
          <w:rFonts w:ascii="Times New Roman" w:hAnsi="Times New Roman"/>
          <w:szCs w:val="24"/>
        </w:rPr>
      </w:pPr>
    </w:p>
    <w:p w:rsidR="0029301B" w:rsidP="00075B7A" w:rsidRDefault="0029301B">
      <w:pPr>
        <w:rPr>
          <w:rFonts w:ascii="Times New Roman" w:hAnsi="Times New Roman"/>
          <w:szCs w:val="24"/>
        </w:rPr>
      </w:pPr>
    </w:p>
    <w:p w:rsidR="0029301B" w:rsidP="00075B7A" w:rsidRDefault="0029301B">
      <w:pPr>
        <w:rPr>
          <w:rFonts w:ascii="Times New Roman" w:hAnsi="Times New Roman"/>
          <w:szCs w:val="24"/>
        </w:rPr>
      </w:pPr>
    </w:p>
    <w:p w:rsidRPr="00075B7A" w:rsidR="00075B7A" w:rsidP="00075B7A" w:rsidRDefault="00075B7A">
      <w:pPr>
        <w:rPr>
          <w:rFonts w:ascii="Times New Roman" w:hAnsi="Times New Roman"/>
          <w:szCs w:val="24"/>
        </w:rPr>
      </w:pPr>
      <w:r w:rsidRPr="00075B7A">
        <w:rPr>
          <w:rFonts w:ascii="Times New Roman" w:hAnsi="Times New Roman"/>
          <w:szCs w:val="24"/>
        </w:rPr>
        <w:lastRenderedPageBreak/>
        <w:t>14.  Cost to the Federal Government:  The</w:t>
      </w:r>
      <w:r w:rsidR="00DF6858">
        <w:rPr>
          <w:rFonts w:ascii="Times New Roman" w:hAnsi="Times New Roman"/>
          <w:szCs w:val="24"/>
        </w:rPr>
        <w:t xml:space="preserve"> revised testing requirements for SDARS providers do not alter the current total cost to the Federal Government </w:t>
      </w:r>
      <w:r w:rsidRPr="00DF6858" w:rsidR="00DF6858">
        <w:rPr>
          <w:rFonts w:ascii="Times New Roman" w:hAnsi="Times New Roman"/>
          <w:szCs w:val="24"/>
        </w:rPr>
        <w:t>in OMB’s burden inventory for the 3060-0207 information collection</w:t>
      </w:r>
      <w:r w:rsidR="00DF6858">
        <w:rPr>
          <w:rFonts w:ascii="Times New Roman" w:hAnsi="Times New Roman"/>
          <w:szCs w:val="24"/>
        </w:rPr>
        <w:t>.  The</w:t>
      </w:r>
      <w:r w:rsidRPr="00075B7A">
        <w:rPr>
          <w:rFonts w:ascii="Times New Roman" w:hAnsi="Times New Roman"/>
          <w:szCs w:val="24"/>
        </w:rPr>
        <w:t xml:space="preserve"> Commission uses GS-13, Step 5, locality adjusted for the pay area of Washington-Baltimore-</w:t>
      </w:r>
      <w:bookmarkStart w:name="_Hlk4768790" w:id="3"/>
      <w:r w:rsidR="006E7B2C">
        <w:rPr>
          <w:rFonts w:ascii="Times New Roman" w:hAnsi="Times New Roman"/>
          <w:szCs w:val="24"/>
        </w:rPr>
        <w:t>Arlington, DC-MD-VA-WV-PA</w:t>
      </w:r>
      <w:r w:rsidRPr="00075B7A">
        <w:rPr>
          <w:rFonts w:ascii="Times New Roman" w:hAnsi="Times New Roman"/>
          <w:szCs w:val="24"/>
        </w:rPr>
        <w:t xml:space="preserve"> in 201</w:t>
      </w:r>
      <w:r w:rsidR="006E7B2C">
        <w:rPr>
          <w:rFonts w:ascii="Times New Roman" w:hAnsi="Times New Roman"/>
          <w:szCs w:val="24"/>
        </w:rPr>
        <w:t>9</w:t>
      </w:r>
      <w:r w:rsidRPr="00075B7A">
        <w:rPr>
          <w:rFonts w:ascii="Times New Roman" w:hAnsi="Times New Roman"/>
          <w:szCs w:val="24"/>
        </w:rPr>
        <w:t xml:space="preserve"> </w:t>
      </w:r>
      <w:bookmarkEnd w:id="3"/>
      <w:r w:rsidRPr="00075B7A">
        <w:rPr>
          <w:rFonts w:ascii="Times New Roman" w:hAnsi="Times New Roman"/>
          <w:szCs w:val="24"/>
        </w:rPr>
        <w:t>($5</w:t>
      </w:r>
      <w:r w:rsidR="006E7B2C">
        <w:rPr>
          <w:rFonts w:ascii="Times New Roman" w:hAnsi="Times New Roman"/>
          <w:szCs w:val="24"/>
        </w:rPr>
        <w:t>3.85</w:t>
      </w:r>
      <w:r w:rsidRPr="00075B7A">
        <w:rPr>
          <w:rFonts w:ascii="Times New Roman" w:hAnsi="Times New Roman"/>
          <w:szCs w:val="24"/>
        </w:rPr>
        <w:t>/hour) to process the information submitted to the Commission in connection with sections 11.21, 11.35, 11.41, 11.43, and 11.52.</w:t>
      </w:r>
      <w:r w:rsidRPr="00DF6858" w:rsidR="00DF6858">
        <w:t xml:space="preserve"> </w:t>
      </w:r>
    </w:p>
    <w:p w:rsidRPr="00075B7A" w:rsidR="00075B7A" w:rsidP="00075B7A" w:rsidRDefault="00075B7A">
      <w:pPr>
        <w:rPr>
          <w:rFonts w:ascii="Times New Roman" w:hAnsi="Times New Roman"/>
          <w:szCs w:val="24"/>
        </w:rPr>
      </w:pPr>
    </w:p>
    <w:p w:rsidRPr="00075B7A" w:rsidR="00075B7A" w:rsidP="00075B7A" w:rsidRDefault="00075B7A">
      <w:pPr>
        <w:rPr>
          <w:rFonts w:ascii="Times New Roman" w:hAnsi="Times New Roman"/>
          <w:szCs w:val="24"/>
        </w:rPr>
      </w:pPr>
      <w:r w:rsidRPr="00075B7A">
        <w:rPr>
          <w:rFonts w:ascii="Times New Roman" w:hAnsi="Times New Roman"/>
          <w:szCs w:val="24"/>
        </w:rPr>
        <w:t xml:space="preserve">            50 x 6 hours x $5</w:t>
      </w:r>
      <w:r w:rsidR="006E7B2C">
        <w:rPr>
          <w:rFonts w:ascii="Times New Roman" w:hAnsi="Times New Roman"/>
          <w:szCs w:val="24"/>
        </w:rPr>
        <w:t>3.85</w:t>
      </w:r>
      <w:r w:rsidRPr="00075B7A">
        <w:rPr>
          <w:rFonts w:ascii="Times New Roman" w:hAnsi="Times New Roman"/>
          <w:szCs w:val="24"/>
        </w:rPr>
        <w:t xml:space="preserve"> = $1</w:t>
      </w:r>
      <w:r w:rsidR="006E7B2C">
        <w:rPr>
          <w:rFonts w:ascii="Times New Roman" w:hAnsi="Times New Roman"/>
          <w:szCs w:val="24"/>
        </w:rPr>
        <w:t>6,155</w:t>
      </w:r>
    </w:p>
    <w:p w:rsidRPr="00075B7A" w:rsidR="00075B7A" w:rsidP="00075B7A" w:rsidRDefault="00075B7A">
      <w:pPr>
        <w:rPr>
          <w:rFonts w:ascii="Times New Roman" w:hAnsi="Times New Roman"/>
          <w:szCs w:val="24"/>
        </w:rPr>
      </w:pPr>
      <w:r w:rsidRPr="00075B7A">
        <w:rPr>
          <w:rFonts w:ascii="Times New Roman" w:hAnsi="Times New Roman"/>
          <w:szCs w:val="24"/>
        </w:rPr>
        <w:t xml:space="preserve">            300 x 0.5 hours x $5</w:t>
      </w:r>
      <w:r w:rsidR="006E7B2C">
        <w:rPr>
          <w:rFonts w:ascii="Times New Roman" w:hAnsi="Times New Roman"/>
          <w:szCs w:val="24"/>
        </w:rPr>
        <w:t>3.85</w:t>
      </w:r>
      <w:r w:rsidRPr="00075B7A">
        <w:rPr>
          <w:rFonts w:ascii="Times New Roman" w:hAnsi="Times New Roman"/>
          <w:szCs w:val="24"/>
        </w:rPr>
        <w:t xml:space="preserve"> = $</w:t>
      </w:r>
      <w:r w:rsidR="006E7B2C">
        <w:rPr>
          <w:rFonts w:ascii="Times New Roman" w:hAnsi="Times New Roman"/>
          <w:szCs w:val="24"/>
        </w:rPr>
        <w:t>8,077.50</w:t>
      </w:r>
      <w:r w:rsidRPr="00075B7A">
        <w:rPr>
          <w:rFonts w:ascii="Times New Roman" w:hAnsi="Times New Roman"/>
          <w:szCs w:val="24"/>
        </w:rPr>
        <w:t xml:space="preserve"> </w:t>
      </w:r>
    </w:p>
    <w:p w:rsidRPr="00075B7A" w:rsidR="00075B7A" w:rsidP="00075B7A" w:rsidRDefault="00075B7A">
      <w:pPr>
        <w:rPr>
          <w:rFonts w:ascii="Times New Roman" w:hAnsi="Times New Roman"/>
          <w:szCs w:val="24"/>
        </w:rPr>
      </w:pPr>
      <w:r w:rsidRPr="00075B7A">
        <w:rPr>
          <w:rFonts w:ascii="Times New Roman" w:hAnsi="Times New Roman"/>
          <w:szCs w:val="24"/>
        </w:rPr>
        <w:t xml:space="preserve">            10 x 0.5 hours x $5</w:t>
      </w:r>
      <w:r w:rsidR="006E7B2C">
        <w:rPr>
          <w:rFonts w:ascii="Times New Roman" w:hAnsi="Times New Roman"/>
          <w:szCs w:val="24"/>
        </w:rPr>
        <w:t>3.85</w:t>
      </w:r>
      <w:r w:rsidRPr="00075B7A">
        <w:rPr>
          <w:rFonts w:ascii="Times New Roman" w:hAnsi="Times New Roman"/>
          <w:szCs w:val="24"/>
        </w:rPr>
        <w:t xml:space="preserve"> = $2</w:t>
      </w:r>
      <w:r w:rsidR="007E76D8">
        <w:rPr>
          <w:rFonts w:ascii="Times New Roman" w:hAnsi="Times New Roman"/>
          <w:szCs w:val="24"/>
        </w:rPr>
        <w:t>6</w:t>
      </w:r>
      <w:r w:rsidR="006E7B2C">
        <w:rPr>
          <w:rFonts w:ascii="Times New Roman" w:hAnsi="Times New Roman"/>
          <w:szCs w:val="24"/>
        </w:rPr>
        <w:t>9.25</w:t>
      </w:r>
    </w:p>
    <w:p w:rsidRPr="00075B7A" w:rsidR="00075B7A" w:rsidP="00075B7A" w:rsidRDefault="00075B7A">
      <w:pPr>
        <w:rPr>
          <w:rFonts w:ascii="Times New Roman" w:hAnsi="Times New Roman"/>
          <w:szCs w:val="24"/>
        </w:rPr>
      </w:pPr>
      <w:r w:rsidRPr="00075B7A">
        <w:rPr>
          <w:rFonts w:ascii="Times New Roman" w:hAnsi="Times New Roman"/>
          <w:szCs w:val="24"/>
        </w:rPr>
        <w:t xml:space="preserve">            10 x 1.0 hours x $5</w:t>
      </w:r>
      <w:r w:rsidR="006E7B2C">
        <w:rPr>
          <w:rFonts w:ascii="Times New Roman" w:hAnsi="Times New Roman"/>
          <w:szCs w:val="24"/>
        </w:rPr>
        <w:t>3.85</w:t>
      </w:r>
      <w:r w:rsidRPr="00075B7A">
        <w:rPr>
          <w:rFonts w:ascii="Times New Roman" w:hAnsi="Times New Roman"/>
          <w:szCs w:val="24"/>
        </w:rPr>
        <w:t xml:space="preserve"> =$5</w:t>
      </w:r>
      <w:r w:rsidR="006E7B2C">
        <w:rPr>
          <w:rFonts w:ascii="Times New Roman" w:hAnsi="Times New Roman"/>
          <w:szCs w:val="24"/>
        </w:rPr>
        <w:t>38.50</w:t>
      </w:r>
      <w:r w:rsidRPr="00075B7A">
        <w:rPr>
          <w:rFonts w:ascii="Times New Roman" w:hAnsi="Times New Roman"/>
          <w:szCs w:val="24"/>
        </w:rPr>
        <w:t xml:space="preserve">  </w:t>
      </w:r>
    </w:p>
    <w:p w:rsidRPr="00075B7A" w:rsidR="00075B7A" w:rsidP="00075B7A" w:rsidRDefault="00075B7A">
      <w:pPr>
        <w:rPr>
          <w:rFonts w:ascii="Times New Roman" w:hAnsi="Times New Roman"/>
          <w:szCs w:val="24"/>
        </w:rPr>
      </w:pPr>
      <w:r w:rsidRPr="00075B7A">
        <w:rPr>
          <w:rFonts w:ascii="Times New Roman" w:hAnsi="Times New Roman"/>
          <w:szCs w:val="24"/>
        </w:rPr>
        <w:t xml:space="preserve">            20 x 0.5 hours x $5</w:t>
      </w:r>
      <w:r w:rsidR="006E7B2C">
        <w:rPr>
          <w:rFonts w:ascii="Times New Roman" w:hAnsi="Times New Roman"/>
          <w:szCs w:val="24"/>
        </w:rPr>
        <w:t>3.85</w:t>
      </w:r>
      <w:r w:rsidRPr="00075B7A">
        <w:rPr>
          <w:rFonts w:ascii="Times New Roman" w:hAnsi="Times New Roman"/>
          <w:szCs w:val="24"/>
        </w:rPr>
        <w:t xml:space="preserve"> = $5</w:t>
      </w:r>
      <w:r w:rsidR="006E7B2C">
        <w:rPr>
          <w:rFonts w:ascii="Times New Roman" w:hAnsi="Times New Roman"/>
          <w:szCs w:val="24"/>
        </w:rPr>
        <w:t>38.50</w:t>
      </w:r>
      <w:r w:rsidRPr="00075B7A">
        <w:rPr>
          <w:rFonts w:ascii="Times New Roman" w:hAnsi="Times New Roman"/>
          <w:szCs w:val="24"/>
        </w:rPr>
        <w:t xml:space="preserve"> </w:t>
      </w:r>
    </w:p>
    <w:p w:rsidRPr="00075B7A" w:rsidR="0059086B" w:rsidP="008E2AEA" w:rsidRDefault="00075B7A">
      <w:pPr>
        <w:rPr>
          <w:rFonts w:ascii="Times New Roman" w:hAnsi="Times New Roman"/>
          <w:szCs w:val="24"/>
        </w:rPr>
      </w:pPr>
      <w:r w:rsidRPr="00075B7A">
        <w:rPr>
          <w:rFonts w:ascii="Times New Roman" w:hAnsi="Times New Roman"/>
          <w:szCs w:val="24"/>
        </w:rPr>
        <w:t xml:space="preserve">            5 x 1.0 hours x $5</w:t>
      </w:r>
      <w:r w:rsidR="006E7B2C">
        <w:rPr>
          <w:rFonts w:ascii="Times New Roman" w:hAnsi="Times New Roman"/>
          <w:szCs w:val="24"/>
        </w:rPr>
        <w:t>3.85</w:t>
      </w:r>
      <w:r w:rsidRPr="00075B7A">
        <w:rPr>
          <w:rFonts w:ascii="Times New Roman" w:hAnsi="Times New Roman"/>
          <w:szCs w:val="24"/>
        </w:rPr>
        <w:t xml:space="preserve"> = $2</w:t>
      </w:r>
      <w:r w:rsidR="007E76D8">
        <w:rPr>
          <w:rFonts w:ascii="Times New Roman" w:hAnsi="Times New Roman"/>
          <w:szCs w:val="24"/>
        </w:rPr>
        <w:t>6</w:t>
      </w:r>
      <w:r w:rsidR="006E7B2C">
        <w:rPr>
          <w:rFonts w:ascii="Times New Roman" w:hAnsi="Times New Roman"/>
          <w:szCs w:val="24"/>
        </w:rPr>
        <w:t>9.25</w:t>
      </w:r>
      <w:r w:rsidRPr="00075B7A">
        <w:rPr>
          <w:rFonts w:ascii="Times New Roman" w:hAnsi="Times New Roman"/>
          <w:szCs w:val="24"/>
        </w:rPr>
        <w:t xml:space="preserve"> </w:t>
      </w:r>
    </w:p>
    <w:p w:rsidR="00075B7A" w:rsidP="00DF6858" w:rsidRDefault="00DF6858">
      <w:pPr>
        <w:ind w:firstLine="720"/>
        <w:rPr>
          <w:rFonts w:ascii="Times New Roman" w:hAnsi="Times New Roman"/>
          <w:szCs w:val="24"/>
        </w:rPr>
      </w:pPr>
      <w:r w:rsidRPr="00DF6858">
        <w:rPr>
          <w:rFonts w:ascii="Times New Roman" w:hAnsi="Times New Roman"/>
          <w:szCs w:val="24"/>
        </w:rPr>
        <w:t>580 x 0.5 hours x $53.85 = $15,616.50</w:t>
      </w:r>
    </w:p>
    <w:p w:rsidR="00DF6858" w:rsidP="00075B7A" w:rsidRDefault="00DF6858">
      <w:pPr>
        <w:rPr>
          <w:rFonts w:ascii="Times New Roman" w:hAnsi="Times New Roman"/>
          <w:szCs w:val="24"/>
        </w:rPr>
      </w:pPr>
      <w:r w:rsidRPr="00DF6858">
        <w:rPr>
          <w:rFonts w:ascii="Times New Roman" w:hAnsi="Times New Roman"/>
          <w:szCs w:val="24"/>
        </w:rPr>
        <w:tab/>
        <w:t xml:space="preserve">54 x </w:t>
      </w:r>
      <w:proofErr w:type="gramStart"/>
      <w:r w:rsidRPr="00DF6858">
        <w:rPr>
          <w:rFonts w:ascii="Times New Roman" w:hAnsi="Times New Roman"/>
          <w:szCs w:val="24"/>
        </w:rPr>
        <w:t>1 hour</w:t>
      </w:r>
      <w:proofErr w:type="gramEnd"/>
      <w:r w:rsidRPr="00DF6858">
        <w:rPr>
          <w:rFonts w:ascii="Times New Roman" w:hAnsi="Times New Roman"/>
          <w:szCs w:val="24"/>
        </w:rPr>
        <w:t xml:space="preserve"> x $53.85 = $2,907.90</w:t>
      </w:r>
    </w:p>
    <w:p w:rsidRPr="00075B7A" w:rsidR="00DF6858" w:rsidP="00075B7A" w:rsidRDefault="00DF6858">
      <w:pPr>
        <w:rPr>
          <w:rFonts w:ascii="Times New Roman" w:hAnsi="Times New Roman"/>
          <w:szCs w:val="24"/>
        </w:rPr>
      </w:pPr>
    </w:p>
    <w:p w:rsidR="008E3C5C" w:rsidP="00075B7A" w:rsidRDefault="00075B7A">
      <w:pPr>
        <w:rPr>
          <w:rFonts w:ascii="Times New Roman" w:hAnsi="Times New Roman"/>
          <w:szCs w:val="24"/>
        </w:rPr>
      </w:pPr>
      <w:r w:rsidRPr="00075B7A">
        <w:rPr>
          <w:rFonts w:ascii="Times New Roman" w:hAnsi="Times New Roman"/>
          <w:szCs w:val="24"/>
        </w:rPr>
        <w:t>Current Total Cost to the Federal Government:  $</w:t>
      </w:r>
      <w:r w:rsidRPr="00DF6858" w:rsidR="00DF6858">
        <w:rPr>
          <w:rFonts w:ascii="Times New Roman" w:hAnsi="Times New Roman"/>
          <w:szCs w:val="24"/>
        </w:rPr>
        <w:t>44,372.40</w:t>
      </w:r>
    </w:p>
    <w:p w:rsidR="00075B7A" w:rsidP="00126343" w:rsidRDefault="00075B7A">
      <w:pPr>
        <w:rPr>
          <w:rFonts w:ascii="Times New Roman" w:hAnsi="Times New Roman"/>
          <w:szCs w:val="24"/>
        </w:rPr>
      </w:pPr>
    </w:p>
    <w:p w:rsidR="00D13A3E" w:rsidP="00921953" w:rsidRDefault="00F34F9F">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Pr="00196AD6" w:rsidR="00BC454A">
        <w:rPr>
          <w:rFonts w:ascii="Times New Roman" w:hAnsi="Times New Roman"/>
          <w:szCs w:val="24"/>
        </w:rPr>
        <w:t xml:space="preserve">  </w:t>
      </w:r>
      <w:r w:rsidR="00C559F8">
        <w:rPr>
          <w:rFonts w:ascii="Times New Roman" w:hAnsi="Times New Roman"/>
          <w:szCs w:val="24"/>
        </w:rPr>
        <w:t xml:space="preserve">There are </w:t>
      </w:r>
      <w:r w:rsidR="00DF6858">
        <w:rPr>
          <w:rFonts w:ascii="Times New Roman" w:hAnsi="Times New Roman"/>
          <w:szCs w:val="24"/>
        </w:rPr>
        <w:t xml:space="preserve">no </w:t>
      </w:r>
      <w:r w:rsidR="00C559F8">
        <w:rPr>
          <w:rFonts w:ascii="Times New Roman" w:hAnsi="Times New Roman"/>
          <w:szCs w:val="24"/>
        </w:rPr>
        <w:t>program changes</w:t>
      </w:r>
      <w:r w:rsidR="00224D79">
        <w:rPr>
          <w:rFonts w:ascii="Times New Roman" w:hAnsi="Times New Roman"/>
          <w:szCs w:val="24"/>
        </w:rPr>
        <w:t>/increases</w:t>
      </w:r>
      <w:r w:rsidR="00C559F8">
        <w:rPr>
          <w:rFonts w:ascii="Times New Roman" w:hAnsi="Times New Roman"/>
          <w:szCs w:val="24"/>
        </w:rPr>
        <w:t xml:space="preserve"> to this information collection, a</w:t>
      </w:r>
      <w:r w:rsidR="00277E69">
        <w:rPr>
          <w:rFonts w:ascii="Times New Roman" w:hAnsi="Times New Roman"/>
          <w:szCs w:val="24"/>
        </w:rPr>
        <w:t xml:space="preserve">s a result of the reporting requirements adopted in the </w:t>
      </w:r>
      <w:r w:rsidRPr="00E56443" w:rsidR="00E56443">
        <w:rPr>
          <w:rFonts w:ascii="Times New Roman" w:hAnsi="Times New Roman"/>
          <w:szCs w:val="24"/>
        </w:rPr>
        <w:t>Order</w:t>
      </w:r>
      <w:r w:rsidR="00E56443">
        <w:rPr>
          <w:rFonts w:ascii="Times New Roman" w:hAnsi="Times New Roman"/>
          <w:szCs w:val="24"/>
        </w:rPr>
        <w:t>s.</w:t>
      </w:r>
      <w:r w:rsidRPr="00140937" w:rsidR="007C342D">
        <w:rPr>
          <w:rFonts w:ascii="Times New Roman" w:hAnsi="Times New Roman"/>
          <w:szCs w:val="24"/>
        </w:rPr>
        <w:t xml:space="preserve"> </w:t>
      </w:r>
      <w:r w:rsidR="00F11B69">
        <w:rPr>
          <w:rFonts w:ascii="Times New Roman" w:hAnsi="Times New Roman"/>
          <w:szCs w:val="24"/>
        </w:rPr>
        <w:t xml:space="preserve"> </w:t>
      </w:r>
    </w:p>
    <w:p w:rsidR="001C77EE" w:rsidP="00921953" w:rsidRDefault="001C77EE">
      <w:pPr>
        <w:rPr>
          <w:rFonts w:ascii="Times New Roman" w:hAnsi="Times New Roman"/>
          <w:szCs w:val="24"/>
        </w:rPr>
      </w:pPr>
    </w:p>
    <w:p w:rsidR="001E7968" w:rsidP="00921953" w:rsidRDefault="00A87F36">
      <w:pPr>
        <w:rPr>
          <w:rFonts w:ascii="Times New Roman" w:hAnsi="Times New Roman"/>
          <w:szCs w:val="24"/>
        </w:rPr>
      </w:pPr>
      <w:r>
        <w:rPr>
          <w:rFonts w:ascii="Times New Roman" w:hAnsi="Times New Roman"/>
          <w:szCs w:val="24"/>
        </w:rPr>
        <w:t xml:space="preserve">16.  </w:t>
      </w:r>
      <w:r w:rsidR="00691A5A">
        <w:rPr>
          <w:rFonts w:ascii="Times New Roman" w:hAnsi="Times New Roman"/>
          <w:szCs w:val="24"/>
        </w:rPr>
        <w:t xml:space="preserve">The results of this collection </w:t>
      </w:r>
      <w:r w:rsidR="00DF6858">
        <w:rPr>
          <w:rFonts w:ascii="Times New Roman" w:hAnsi="Times New Roman"/>
          <w:szCs w:val="24"/>
        </w:rPr>
        <w:t xml:space="preserve">are </w:t>
      </w:r>
      <w:r w:rsidR="00691A5A">
        <w:rPr>
          <w:rFonts w:ascii="Times New Roman" w:hAnsi="Times New Roman"/>
          <w:szCs w:val="24"/>
        </w:rPr>
        <w:t xml:space="preserve">publicly </w:t>
      </w:r>
      <w:r w:rsidR="00DF6858">
        <w:rPr>
          <w:rFonts w:ascii="Times New Roman" w:hAnsi="Times New Roman"/>
          <w:szCs w:val="24"/>
        </w:rPr>
        <w:t xml:space="preserve">available.  Specifically, </w:t>
      </w:r>
      <w:r w:rsidRPr="00F9044C" w:rsidR="00DF6858">
        <w:rPr>
          <w:rFonts w:ascii="Times New Roman" w:hAnsi="Times New Roman"/>
          <w:szCs w:val="24"/>
        </w:rPr>
        <w:t xml:space="preserve">EAS Participants </w:t>
      </w:r>
      <w:r w:rsidR="00DF6858">
        <w:rPr>
          <w:rFonts w:ascii="Times New Roman" w:hAnsi="Times New Roman"/>
          <w:szCs w:val="24"/>
        </w:rPr>
        <w:t xml:space="preserve">required to log receipt of weekly tests in lieu of transmitting them, </w:t>
      </w:r>
      <w:r w:rsidRPr="00F9044C" w:rsidR="00DF6858">
        <w:rPr>
          <w:rFonts w:ascii="Times New Roman" w:hAnsi="Times New Roman"/>
          <w:szCs w:val="24"/>
        </w:rPr>
        <w:t xml:space="preserve">must retain </w:t>
      </w:r>
      <w:r w:rsidR="00DF6858">
        <w:rPr>
          <w:rFonts w:ascii="Times New Roman" w:hAnsi="Times New Roman"/>
          <w:szCs w:val="24"/>
        </w:rPr>
        <w:t xml:space="preserve">such logged information </w:t>
      </w:r>
      <w:r w:rsidRPr="00F9044C" w:rsidR="00DF6858">
        <w:rPr>
          <w:rFonts w:ascii="Times New Roman" w:hAnsi="Times New Roman"/>
          <w:szCs w:val="24"/>
        </w:rPr>
        <w:t>for two years at the EAS Participant's headquarters, and ma</w:t>
      </w:r>
      <w:r w:rsidR="00DF6858">
        <w:rPr>
          <w:rFonts w:ascii="Times New Roman" w:hAnsi="Times New Roman"/>
          <w:szCs w:val="24"/>
        </w:rPr>
        <w:t>k</w:t>
      </w:r>
      <w:r w:rsidRPr="00F9044C" w:rsidR="00DF6858">
        <w:rPr>
          <w:rFonts w:ascii="Times New Roman" w:hAnsi="Times New Roman"/>
          <w:szCs w:val="24"/>
        </w:rPr>
        <w:t xml:space="preserve">e </w:t>
      </w:r>
      <w:r w:rsidR="00DF6858">
        <w:rPr>
          <w:rFonts w:ascii="Times New Roman" w:hAnsi="Times New Roman"/>
          <w:szCs w:val="24"/>
        </w:rPr>
        <w:t xml:space="preserve">such information </w:t>
      </w:r>
      <w:r w:rsidRPr="00F9044C" w:rsidR="00DF6858">
        <w:rPr>
          <w:rFonts w:ascii="Times New Roman" w:hAnsi="Times New Roman"/>
          <w:szCs w:val="24"/>
        </w:rPr>
        <w:t>available for public inspection upon reasonable request.</w:t>
      </w:r>
      <w:r w:rsidR="00DF6858">
        <w:rPr>
          <w:rFonts w:ascii="Times New Roman" w:hAnsi="Times New Roman"/>
          <w:szCs w:val="24"/>
        </w:rPr>
        <w:t xml:space="preserve">  </w:t>
      </w:r>
    </w:p>
    <w:p w:rsidRPr="00C559F8" w:rsidR="001E7968" w:rsidP="00921953" w:rsidRDefault="001E7968">
      <w:pPr>
        <w:rPr>
          <w:rFonts w:ascii="Times New Roman" w:hAnsi="Times New Roman"/>
          <w:szCs w:val="24"/>
        </w:rPr>
      </w:pPr>
    </w:p>
    <w:p w:rsidRPr="00921953" w:rsidR="00F34F9F" w:rsidP="00921953" w:rsidRDefault="00F34F9F">
      <w:pPr>
        <w:suppressAutoHyphens/>
        <w:rPr>
          <w:rFonts w:ascii="Times New Roman" w:hAnsi="Times New Roman"/>
          <w:szCs w:val="24"/>
        </w:rPr>
      </w:pPr>
      <w:r w:rsidRPr="00F11B69">
        <w:rPr>
          <w:rFonts w:ascii="Times New Roman" w:hAnsi="Times New Roman"/>
          <w:szCs w:val="24"/>
        </w:rPr>
        <w:t>1</w:t>
      </w:r>
      <w:r w:rsidR="00F11B69">
        <w:rPr>
          <w:rFonts w:ascii="Times New Roman" w:hAnsi="Times New Roman"/>
          <w:szCs w:val="24"/>
        </w:rPr>
        <w:t>7</w:t>
      </w:r>
      <w:r w:rsidRPr="00F11B69">
        <w:rPr>
          <w:rFonts w:ascii="Times New Roman" w:hAnsi="Times New Roman"/>
          <w:szCs w:val="24"/>
        </w:rPr>
        <w:t xml:space="preserve">.  </w:t>
      </w:r>
      <w:r w:rsidRPr="00F11B69" w:rsidR="00194362">
        <w:rPr>
          <w:rFonts w:ascii="Times New Roman" w:hAnsi="Times New Roman"/>
          <w:szCs w:val="24"/>
        </w:rPr>
        <w:t>The 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rsidRPr="00921953" w:rsidR="00F34F9F" w:rsidP="00921953" w:rsidRDefault="00F34F9F">
      <w:pPr>
        <w:suppressAutoHyphens/>
        <w:rPr>
          <w:rFonts w:ascii="Times New Roman" w:hAnsi="Times New Roman"/>
          <w:szCs w:val="24"/>
        </w:rPr>
      </w:pPr>
    </w:p>
    <w:p w:rsidRPr="00921953" w:rsidR="00F34F9F" w:rsidP="00921953" w:rsidRDefault="00F34F9F">
      <w:pPr>
        <w:suppressAutoHyphens/>
        <w:rPr>
          <w:rFonts w:ascii="Times New Roman" w:hAnsi="Times New Roman"/>
          <w:szCs w:val="24"/>
        </w:rPr>
      </w:pPr>
      <w:r w:rsidRPr="00921953">
        <w:rPr>
          <w:rFonts w:ascii="Times New Roman" w:hAnsi="Times New Roman"/>
          <w:szCs w:val="24"/>
        </w:rPr>
        <w:t xml:space="preserve">18.  </w:t>
      </w:r>
      <w:r w:rsidRPr="00921953" w:rsidR="00532918">
        <w:rPr>
          <w:rFonts w:ascii="Times New Roman" w:hAnsi="Times New Roman"/>
          <w:szCs w:val="24"/>
        </w:rPr>
        <w:t xml:space="preserve">There are no exceptions to </w:t>
      </w:r>
      <w:r w:rsidR="00133261">
        <w:rPr>
          <w:rFonts w:ascii="Times New Roman" w:hAnsi="Times New Roman"/>
          <w:szCs w:val="24"/>
        </w:rPr>
        <w:t xml:space="preserve">the </w:t>
      </w:r>
      <w:r w:rsidR="00C559F8">
        <w:rPr>
          <w:rFonts w:ascii="Times New Roman" w:hAnsi="Times New Roman"/>
          <w:szCs w:val="24"/>
        </w:rPr>
        <w:t xml:space="preserve">Certification Statement. </w:t>
      </w:r>
    </w:p>
    <w:p w:rsidRPr="00921953" w:rsidR="007438F7" w:rsidP="00921953" w:rsidRDefault="007438F7">
      <w:pPr>
        <w:suppressAutoHyphens/>
        <w:rPr>
          <w:rFonts w:ascii="Times New Roman" w:hAnsi="Times New Roman"/>
          <w:szCs w:val="24"/>
        </w:rPr>
      </w:pPr>
    </w:p>
    <w:p w:rsidRPr="00921953" w:rsidR="00F34F9F" w:rsidP="00921953" w:rsidRDefault="00F34F9F">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Pr="00921953" w:rsidR="00894050">
        <w:rPr>
          <w:rFonts w:ascii="Times New Roman" w:hAnsi="Times New Roman"/>
          <w:b/>
          <w:szCs w:val="24"/>
          <w:u w:val="single"/>
        </w:rPr>
        <w:t>:</w:t>
      </w:r>
    </w:p>
    <w:p w:rsidRPr="00921953" w:rsidR="00F34F9F" w:rsidP="00921953" w:rsidRDefault="00F34F9F">
      <w:pPr>
        <w:suppressAutoHyphens/>
        <w:rPr>
          <w:rFonts w:ascii="Times New Roman" w:hAnsi="Times New Roman"/>
          <w:szCs w:val="24"/>
        </w:rPr>
      </w:pPr>
    </w:p>
    <w:p w:rsidRPr="00921953" w:rsidR="00F34F9F" w:rsidP="00921953" w:rsidRDefault="00F34F9F">
      <w:pPr>
        <w:suppressAutoHyphens/>
        <w:rPr>
          <w:rFonts w:ascii="Times New Roman" w:hAnsi="Times New Roman"/>
          <w:szCs w:val="24"/>
        </w:rPr>
      </w:pPr>
      <w:r w:rsidRPr="00921953">
        <w:rPr>
          <w:rFonts w:ascii="Times New Roman" w:hAnsi="Times New Roman"/>
          <w:szCs w:val="24"/>
        </w:rPr>
        <w:t xml:space="preserve">     No statistical methods are employed.</w:t>
      </w:r>
    </w:p>
    <w:p w:rsidRPr="00921953" w:rsidR="00921953" w:rsidRDefault="00921953">
      <w:pPr>
        <w:rPr>
          <w:rFonts w:ascii="Times New Roman" w:hAnsi="Times New Roman"/>
          <w:szCs w:val="24"/>
        </w:rPr>
      </w:pPr>
    </w:p>
    <w:sectPr w:rsidRPr="00921953" w:rsidR="00921953" w:rsidSect="00483A56">
      <w:footerReference w:type="even" r:id="rId8"/>
      <w:footerReference w:type="defaul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99F" w:rsidRDefault="0043599F">
      <w:r>
        <w:separator/>
      </w:r>
    </w:p>
  </w:endnote>
  <w:endnote w:type="continuationSeparator" w:id="0">
    <w:p w:rsidR="0043599F" w:rsidRDefault="0043599F">
      <w:r>
        <w:continuationSeparator/>
      </w:r>
    </w:p>
  </w:endnote>
  <w:endnote w:type="continuationNotice" w:id="1">
    <w:p w:rsidR="0043599F" w:rsidRDefault="0043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D6" w:rsidRDefault="005243D6"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3D6" w:rsidRDefault="00524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BF1" w:rsidRDefault="008A4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BF1" w:rsidRDefault="008A4BF1" w:rsidP="008A4B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99F" w:rsidRDefault="0043599F">
      <w:r>
        <w:separator/>
      </w:r>
    </w:p>
  </w:footnote>
  <w:footnote w:type="continuationSeparator" w:id="0">
    <w:p w:rsidR="0043599F" w:rsidRDefault="0043599F">
      <w:r>
        <w:continuationSeparator/>
      </w:r>
    </w:p>
  </w:footnote>
  <w:footnote w:type="continuationNotice" w:id="1">
    <w:p w:rsidR="0043599F" w:rsidRDefault="0043599F"/>
  </w:footnote>
  <w:footnote w:id="2">
    <w:p w:rsidR="00C1097E" w:rsidRPr="00D2495C" w:rsidRDefault="00C1097E" w:rsidP="008862DB">
      <w:pPr>
        <w:pStyle w:val="FootnoteText"/>
        <w:spacing w:after="120"/>
      </w:pPr>
      <w:r>
        <w:rPr>
          <w:rStyle w:val="FootnoteReference"/>
        </w:rPr>
        <w:footnoteRef/>
      </w:r>
      <w:r>
        <w:t xml:space="preserve"> </w:t>
      </w:r>
      <w:r w:rsidR="00D2495C" w:rsidRPr="00D2495C">
        <w:rPr>
          <w:rFonts w:ascii="Times New Roman" w:hAnsi="Times New Roman"/>
          <w:i/>
          <w:iCs/>
        </w:rPr>
        <w:t>Amendment of Part 11 of the Commission’s Rules Regarding the Emergency Alert System</w:t>
      </w:r>
      <w:r w:rsidR="008862DB">
        <w:rPr>
          <w:rFonts w:ascii="Times New Roman" w:hAnsi="Times New Roman"/>
          <w:i/>
          <w:iCs/>
        </w:rPr>
        <w:t>;</w:t>
      </w:r>
      <w:r w:rsidR="008862DB" w:rsidRPr="008862DB">
        <w:t xml:space="preserve"> </w:t>
      </w:r>
      <w:r w:rsidR="008862DB" w:rsidRPr="008862DB">
        <w:rPr>
          <w:rFonts w:ascii="Times New Roman" w:hAnsi="Times New Roman"/>
          <w:i/>
          <w:iCs/>
        </w:rPr>
        <w:t>Wireless Emergency Alerts</w:t>
      </w:r>
      <w:r w:rsidR="00D2495C">
        <w:rPr>
          <w:rFonts w:ascii="Times New Roman" w:hAnsi="Times New Roman"/>
        </w:rPr>
        <w:t xml:space="preserve">, </w:t>
      </w:r>
      <w:r w:rsidR="008862DB" w:rsidRPr="008862DB">
        <w:rPr>
          <w:rFonts w:ascii="Times New Roman" w:hAnsi="Times New Roman"/>
        </w:rPr>
        <w:t>PS Docket No</w:t>
      </w:r>
      <w:r w:rsidR="008862DB">
        <w:rPr>
          <w:rFonts w:ascii="Times New Roman" w:hAnsi="Times New Roman"/>
        </w:rPr>
        <w:t>s</w:t>
      </w:r>
      <w:r w:rsidR="008862DB" w:rsidRPr="008862DB">
        <w:rPr>
          <w:rFonts w:ascii="Times New Roman" w:hAnsi="Times New Roman"/>
        </w:rPr>
        <w:t>. 15-94</w:t>
      </w:r>
      <w:r w:rsidR="008862DB">
        <w:rPr>
          <w:rFonts w:ascii="Times New Roman" w:hAnsi="Times New Roman"/>
        </w:rPr>
        <w:t xml:space="preserve">, 15-91, </w:t>
      </w:r>
      <w:r w:rsidR="00D2495C" w:rsidRPr="00D2495C">
        <w:rPr>
          <w:rFonts w:ascii="Times New Roman" w:hAnsi="Times New Roman"/>
        </w:rPr>
        <w:t>Report and Order and Further Notice of Proposed Rulemaking</w:t>
      </w:r>
      <w:r w:rsidR="00D2495C">
        <w:rPr>
          <w:rFonts w:ascii="Times New Roman" w:hAnsi="Times New Roman"/>
        </w:rPr>
        <w:t xml:space="preserve">, </w:t>
      </w:r>
      <w:r w:rsidR="00D2495C" w:rsidRPr="00D2495C">
        <w:rPr>
          <w:rFonts w:ascii="Times New Roman" w:hAnsi="Times New Roman"/>
        </w:rPr>
        <w:t xml:space="preserve">33 FCC </w:t>
      </w:r>
      <w:proofErr w:type="spellStart"/>
      <w:r w:rsidR="00D2495C" w:rsidRPr="00D2495C">
        <w:rPr>
          <w:rFonts w:ascii="Times New Roman" w:hAnsi="Times New Roman"/>
        </w:rPr>
        <w:t>Rcd</w:t>
      </w:r>
      <w:proofErr w:type="spellEnd"/>
      <w:r w:rsidR="00D2495C" w:rsidRPr="00D2495C">
        <w:rPr>
          <w:rFonts w:ascii="Times New Roman" w:hAnsi="Times New Roman"/>
        </w:rPr>
        <w:t xml:space="preserve"> 7086</w:t>
      </w:r>
      <w:r w:rsidR="00D2495C">
        <w:rPr>
          <w:rFonts w:ascii="Times New Roman" w:hAnsi="Times New Roman"/>
        </w:rPr>
        <w:t xml:space="preserve"> (2018) (</w:t>
      </w:r>
      <w:r w:rsidR="00D2495C" w:rsidRPr="00D2495C">
        <w:rPr>
          <w:rFonts w:ascii="Times New Roman" w:hAnsi="Times New Roman"/>
          <w:i/>
          <w:iCs/>
        </w:rPr>
        <w:t>Alerting Reliability Order</w:t>
      </w:r>
      <w:r w:rsidR="00D2495C">
        <w:rPr>
          <w:rFonts w:ascii="Times New Roman" w:hAnsi="Times New Roman"/>
        </w:rPr>
        <w:t>).</w:t>
      </w:r>
    </w:p>
  </w:footnote>
  <w:footnote w:id="3">
    <w:p w:rsidR="00A44471" w:rsidRDefault="00A44471" w:rsidP="008862DB">
      <w:pPr>
        <w:pStyle w:val="FootnoteText"/>
        <w:spacing w:after="120"/>
      </w:pPr>
      <w:r>
        <w:rPr>
          <w:rStyle w:val="FootnoteReference"/>
        </w:rPr>
        <w:footnoteRef/>
      </w:r>
      <w:r>
        <w:t xml:space="preserve"> </w:t>
      </w:r>
      <w:r w:rsidRPr="00D2495C">
        <w:rPr>
          <w:rFonts w:ascii="Times New Roman" w:hAnsi="Times New Roman"/>
          <w:iCs/>
        </w:rPr>
        <w:t xml:space="preserve"> </w:t>
      </w:r>
      <w:r w:rsidR="00D2495C" w:rsidRPr="008862DB">
        <w:rPr>
          <w:rFonts w:ascii="Times New Roman" w:hAnsi="Times New Roman"/>
          <w:i/>
        </w:rPr>
        <w:t>Amendment of Part 11 of the Commission’s Rules Regarding the Emergency Alert System</w:t>
      </w:r>
      <w:r w:rsidR="00D2495C" w:rsidRPr="00D2495C">
        <w:rPr>
          <w:rFonts w:ascii="Times New Roman" w:hAnsi="Times New Roman"/>
          <w:iCs/>
        </w:rPr>
        <w:t xml:space="preserve">, </w:t>
      </w:r>
      <w:r w:rsidR="008862DB" w:rsidRPr="008862DB">
        <w:rPr>
          <w:rFonts w:ascii="Times New Roman" w:hAnsi="Times New Roman"/>
          <w:iCs/>
        </w:rPr>
        <w:t>PS Docket No. 15-94</w:t>
      </w:r>
      <w:r w:rsidR="008862DB">
        <w:rPr>
          <w:rFonts w:ascii="Times New Roman" w:hAnsi="Times New Roman"/>
          <w:iCs/>
        </w:rPr>
        <w:t xml:space="preserve">, </w:t>
      </w:r>
      <w:r w:rsidR="00D2495C" w:rsidRPr="00D2495C">
        <w:rPr>
          <w:rFonts w:ascii="Times New Roman" w:hAnsi="Times New Roman"/>
          <w:iCs/>
        </w:rPr>
        <w:t xml:space="preserve">Report and Order, 33 FCC </w:t>
      </w:r>
      <w:proofErr w:type="spellStart"/>
      <w:r w:rsidR="00D2495C" w:rsidRPr="00D2495C">
        <w:rPr>
          <w:rFonts w:ascii="Times New Roman" w:hAnsi="Times New Roman"/>
          <w:iCs/>
        </w:rPr>
        <w:t>Rcd</w:t>
      </w:r>
      <w:proofErr w:type="spellEnd"/>
      <w:r w:rsidR="00D2495C" w:rsidRPr="00D2495C">
        <w:rPr>
          <w:rFonts w:ascii="Times New Roman" w:hAnsi="Times New Roman"/>
          <w:iCs/>
        </w:rPr>
        <w:t xml:space="preserve"> </w:t>
      </w:r>
      <w:r w:rsidR="008862DB">
        <w:rPr>
          <w:rFonts w:ascii="Times New Roman" w:hAnsi="Times New Roman"/>
          <w:iCs/>
        </w:rPr>
        <w:t>3627</w:t>
      </w:r>
      <w:r w:rsidR="00D2495C" w:rsidRPr="00D2495C">
        <w:rPr>
          <w:rFonts w:ascii="Times New Roman" w:hAnsi="Times New Roman"/>
          <w:iCs/>
        </w:rPr>
        <w:t xml:space="preserve"> (2018) (</w:t>
      </w:r>
      <w:r w:rsidR="008862DB" w:rsidRPr="008862DB">
        <w:rPr>
          <w:rFonts w:ascii="Times New Roman" w:hAnsi="Times New Roman"/>
          <w:i/>
        </w:rPr>
        <w:t>State EAS Plan Order</w:t>
      </w:r>
      <w:r w:rsidR="00D2495C" w:rsidRPr="00D2495C">
        <w:rPr>
          <w:rFonts w:ascii="Times New Roman" w:hAnsi="Times New Roman"/>
          <w:iCs/>
        </w:rPr>
        <w:t>).</w:t>
      </w:r>
    </w:p>
  </w:footnote>
  <w:footnote w:id="4">
    <w:p w:rsidR="005243D6" w:rsidRDefault="005243D6" w:rsidP="008862DB">
      <w:pPr>
        <w:pStyle w:val="FootnoteText"/>
        <w:spacing w:after="120"/>
      </w:pPr>
      <w:r>
        <w:rPr>
          <w:rStyle w:val="FootnoteReference"/>
        </w:rPr>
        <w:footnoteRef/>
      </w:r>
      <w:r>
        <w:t xml:space="preserve"> </w:t>
      </w:r>
      <w:r w:rsidRPr="001F37A8">
        <w:rPr>
          <w:rFonts w:ascii="Times New Roman" w:hAnsi="Times New Roman"/>
          <w:i/>
          <w:iCs/>
        </w:rPr>
        <w:t>Review of the Emergency Alert System</w:t>
      </w:r>
      <w:r w:rsidRPr="001F37A8">
        <w:rPr>
          <w:rFonts w:ascii="Times New Roman" w:hAnsi="Times New Roman"/>
          <w:iCs/>
        </w:rPr>
        <w:t>, EB Docket No. 04-296</w:t>
      </w:r>
      <w:r>
        <w:rPr>
          <w:rFonts w:ascii="Times New Roman" w:hAnsi="Times New Roman"/>
          <w:iCs/>
        </w:rPr>
        <w:t xml:space="preserve">, </w:t>
      </w:r>
      <w:r w:rsidRPr="001F37A8">
        <w:rPr>
          <w:rFonts w:ascii="Times New Roman" w:hAnsi="Times New Roman"/>
          <w:iCs/>
        </w:rPr>
        <w:t xml:space="preserve">Third Report and Order, 26 FCC </w:t>
      </w:r>
      <w:proofErr w:type="spellStart"/>
      <w:r w:rsidRPr="001F37A8">
        <w:rPr>
          <w:rFonts w:ascii="Times New Roman" w:hAnsi="Times New Roman"/>
          <w:iCs/>
        </w:rPr>
        <w:t>Rcd</w:t>
      </w:r>
      <w:proofErr w:type="spellEnd"/>
      <w:r w:rsidR="008862DB">
        <w:rPr>
          <w:rFonts w:ascii="Times New Roman" w:hAnsi="Times New Roman"/>
          <w:iCs/>
        </w:rPr>
        <w:t xml:space="preserve"> </w:t>
      </w:r>
      <w:r w:rsidRPr="001F37A8">
        <w:rPr>
          <w:rFonts w:ascii="Times New Roman" w:hAnsi="Times New Roman"/>
          <w:iCs/>
        </w:rPr>
        <w:t>1460 (2011) (</w:t>
      </w:r>
      <w:r w:rsidRPr="001F37A8">
        <w:rPr>
          <w:rFonts w:ascii="Times New Roman" w:hAnsi="Times New Roman"/>
          <w:i/>
          <w:iCs/>
        </w:rPr>
        <w:t>Third Report and Order</w:t>
      </w:r>
      <w:r w:rsidRPr="001F37A8">
        <w:rPr>
          <w:rFonts w:ascii="Times New Roman" w:hAnsi="Times New Roman"/>
          <w:iCs/>
        </w:rPr>
        <w:t>)</w:t>
      </w:r>
      <w:r>
        <w:rPr>
          <w:rFonts w:ascii="Times New Roman" w:hAnsi="Times New Roman"/>
          <w:iCs/>
        </w:rPr>
        <w:t>.</w:t>
      </w:r>
    </w:p>
  </w:footnote>
  <w:footnote w:id="5">
    <w:p w:rsidR="005243D6" w:rsidRDefault="005243D6">
      <w:pPr>
        <w:pStyle w:val="FootnoteText"/>
      </w:pPr>
      <w:r>
        <w:rPr>
          <w:rStyle w:val="FootnoteReference"/>
        </w:rPr>
        <w:footnoteRef/>
      </w:r>
      <w:r>
        <w:t xml:space="preserve"> </w:t>
      </w:r>
      <w:r w:rsidRPr="001F37A8">
        <w:rPr>
          <w:rFonts w:ascii="Times New Roman" w:hAnsi="Times New Roman"/>
          <w:i/>
          <w:iCs/>
        </w:rPr>
        <w:t>Review of the Emergency Alert System; Independent Spanish Broadcasters Association, the Office of Communication of the United Church of Christ, Inc., and the Minority Media and Telecommunications Council, Petition for Immediate Relief</w:t>
      </w:r>
      <w:r w:rsidRPr="001F37A8">
        <w:rPr>
          <w:rFonts w:ascii="Times New Roman" w:hAnsi="Times New Roman"/>
          <w:iCs/>
        </w:rPr>
        <w:t xml:space="preserve">, EB Docket No. 04-296, Second Report and Order and Further Notice of Proposed Rulemaking, 22 FCC </w:t>
      </w:r>
      <w:proofErr w:type="spellStart"/>
      <w:r w:rsidRPr="001F37A8">
        <w:rPr>
          <w:rFonts w:ascii="Times New Roman" w:hAnsi="Times New Roman"/>
          <w:iCs/>
        </w:rPr>
        <w:t>Rcd</w:t>
      </w:r>
      <w:proofErr w:type="spellEnd"/>
      <w:r w:rsidRPr="001F37A8">
        <w:rPr>
          <w:rFonts w:ascii="Times New Roman" w:hAnsi="Times New Roman"/>
          <w:iCs/>
        </w:rPr>
        <w:t xml:space="preserve"> 13275</w:t>
      </w:r>
      <w:r>
        <w:rPr>
          <w:rFonts w:ascii="Times New Roman" w:hAnsi="Times New Roman"/>
          <w:iCs/>
        </w:rPr>
        <w:t xml:space="preserve"> (</w:t>
      </w:r>
      <w:r w:rsidRPr="001F37A8">
        <w:rPr>
          <w:rFonts w:ascii="Times New Roman" w:hAnsi="Times New Roman"/>
          <w:iCs/>
        </w:rPr>
        <w:t>2007)</w:t>
      </w:r>
      <w:r>
        <w:rPr>
          <w:rFonts w:ascii="Times New Roman" w:hAnsi="Times New Roman"/>
          <w:iCs/>
        </w:rPr>
        <w:t xml:space="preserve"> (</w:t>
      </w:r>
      <w:r w:rsidRPr="001F37A8">
        <w:rPr>
          <w:rFonts w:ascii="Times New Roman" w:hAnsi="Times New Roman"/>
          <w:i/>
          <w:iCs/>
        </w:rPr>
        <w:t>Second Report and Order</w:t>
      </w:r>
      <w:r>
        <w:rPr>
          <w:rFonts w:ascii="Times New Roman" w:hAnsi="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6C12"/>
    <w:multiLevelType w:val="multilevel"/>
    <w:tmpl w:val="8D241368"/>
    <w:styleLink w:val="LFO1"/>
    <w:lvl w:ilvl="0">
      <w:start w:val="1"/>
      <w:numFmt w:val="decimal"/>
      <w:pStyle w:val="StyleParaNumLeft"/>
      <w:lvlText w:val="%1."/>
      <w:lvlJc w:val="left"/>
      <w:pPr>
        <w:ind w:left="1620" w:firstLine="0"/>
      </w:pPr>
      <w:rPr>
        <w:rFonts w:ascii="Times New Roman" w:hAnsi="Times New Roman" w:cs="Times New Roman"/>
        <w:b w:val="0"/>
        <w:i w:val="0"/>
        <w:strike w:val="0"/>
        <w:dstrike w:val="0"/>
        <w:vanish w:val="0"/>
        <w:position w:val="0"/>
        <w:sz w:val="22"/>
        <w:u w:val="none"/>
        <w:vertAlign w:val="baseline"/>
      </w:rPr>
    </w:lvl>
    <w:lvl w:ilvl="1">
      <w:start w:val="4"/>
      <w:numFmt w:val="upperLetter"/>
      <w:lvlText w:val="%2."/>
      <w:lvlJc w:val="left"/>
      <w:pPr>
        <w:ind w:left="1800" w:hanging="360"/>
      </w:pPr>
      <w:rPr>
        <w:rFonts w:cs="Times New Roman"/>
      </w:rPr>
    </w:lvl>
    <w:lvl w:ilvl="2">
      <w:start w:val="3"/>
      <w:numFmt w:val="lowerLetter"/>
      <w:lvlText w:val="%3."/>
      <w:lvlJc w:val="left"/>
      <w:pPr>
        <w:ind w:left="2700" w:hanging="360"/>
      </w:pPr>
      <w:rPr>
        <w:rFonts w:cs="Times New Roman"/>
      </w:rPr>
    </w:lvl>
    <w:lvl w:ilvl="3">
      <w:start w:val="5"/>
      <w:numFmt w:val="lowerRoman"/>
      <w:lvlText w:val="(%4)"/>
      <w:lvlJc w:val="left"/>
      <w:pPr>
        <w:ind w:left="3600" w:hanging="720"/>
      </w:pPr>
      <w:rPr>
        <w:rFonts w:cs="Times New Roman"/>
        <w:i/>
      </w:rPr>
    </w:lvl>
    <w:lvl w:ilvl="4">
      <w:start w:val="1"/>
      <w:numFmt w:val="decimal"/>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15:restartNumberingAfterBreak="0">
    <w:nsid w:val="6EA46BAA"/>
    <w:multiLevelType w:val="multilevel"/>
    <w:tmpl w:val="51D241B0"/>
    <w:lvl w:ilvl="0">
      <w:start w:val="1"/>
      <w:numFmt w:val="bullet"/>
      <w:lvlText w:val=""/>
      <w:lvlJc w:val="left"/>
      <w:pPr>
        <w:ind w:left="810" w:firstLine="0"/>
      </w:pPr>
      <w:rPr>
        <w:rFonts w:ascii="Symbol" w:hAnsi="Symbol" w:hint="default"/>
        <w:b w:val="0"/>
        <w:i w:val="0"/>
        <w:strike w:val="0"/>
        <w:dstrike w:val="0"/>
        <w:vanish w:val="0"/>
        <w:position w:val="0"/>
        <w:sz w:val="22"/>
        <w:u w:val="none"/>
        <w:vertAlign w:val="baseline"/>
      </w:rPr>
    </w:lvl>
    <w:lvl w:ilvl="1">
      <w:start w:val="4"/>
      <w:numFmt w:val="upperLetter"/>
      <w:lvlText w:val="%2."/>
      <w:lvlJc w:val="left"/>
      <w:pPr>
        <w:ind w:left="990" w:hanging="360"/>
      </w:pPr>
      <w:rPr>
        <w:rFonts w:cs="Times New Roman"/>
      </w:rPr>
    </w:lvl>
    <w:lvl w:ilvl="2">
      <w:start w:val="3"/>
      <w:numFmt w:val="lowerLetter"/>
      <w:lvlText w:val="%3."/>
      <w:lvlJc w:val="left"/>
      <w:pPr>
        <w:ind w:left="1890" w:hanging="360"/>
      </w:pPr>
      <w:rPr>
        <w:rFonts w:cs="Times New Roman"/>
      </w:rPr>
    </w:lvl>
    <w:lvl w:ilvl="3">
      <w:start w:val="5"/>
      <w:numFmt w:val="lowerRoman"/>
      <w:lvlText w:val="(%4)"/>
      <w:lvlJc w:val="left"/>
      <w:pPr>
        <w:ind w:left="2790" w:hanging="720"/>
      </w:pPr>
      <w:rPr>
        <w:rFonts w:cs="Times New Roman"/>
        <w:i/>
      </w:rPr>
    </w:lvl>
    <w:lvl w:ilvl="4">
      <w:start w:val="1"/>
      <w:numFmt w:val="decimal"/>
      <w:lvlText w:val="%5)"/>
      <w:lvlJc w:val="left"/>
      <w:pPr>
        <w:ind w:left="3150" w:hanging="360"/>
      </w:pPr>
      <w:rPr>
        <w:rFonts w:cs="Times New Roman"/>
      </w:rPr>
    </w:lvl>
    <w:lvl w:ilvl="5">
      <w:start w:val="1"/>
      <w:numFmt w:val="lowerRoman"/>
      <w:lvlText w:val="%6."/>
      <w:lvlJc w:val="right"/>
      <w:pPr>
        <w:ind w:left="3870" w:hanging="180"/>
      </w:pPr>
      <w:rPr>
        <w:rFonts w:cs="Times New Roman"/>
      </w:rPr>
    </w:lvl>
    <w:lvl w:ilvl="6">
      <w:start w:val="1"/>
      <w:numFmt w:val="decimal"/>
      <w:lvlText w:val="%7."/>
      <w:lvlJc w:val="left"/>
      <w:pPr>
        <w:ind w:left="4590" w:hanging="360"/>
      </w:pPr>
      <w:rPr>
        <w:rFonts w:cs="Times New Roman"/>
      </w:rPr>
    </w:lvl>
    <w:lvl w:ilvl="7">
      <w:start w:val="1"/>
      <w:numFmt w:val="lowerLetter"/>
      <w:lvlText w:val="%8."/>
      <w:lvlJc w:val="left"/>
      <w:pPr>
        <w:ind w:left="5310" w:hanging="360"/>
      </w:pPr>
      <w:rPr>
        <w:rFonts w:cs="Times New Roman"/>
      </w:rPr>
    </w:lvl>
    <w:lvl w:ilvl="8">
      <w:start w:val="1"/>
      <w:numFmt w:val="lowerRoman"/>
      <w:lvlText w:val="%9."/>
      <w:lvlJc w:val="right"/>
      <w:pPr>
        <w:ind w:left="6030" w:hanging="180"/>
      </w:pPr>
      <w:rPr>
        <w:rFonts w:cs="Times New Roman"/>
      </w:rPr>
    </w:lvl>
  </w:abstractNum>
  <w:abstractNum w:abstractNumId="6"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301DC4"/>
    <w:multiLevelType w:val="hybridMultilevel"/>
    <w:tmpl w:val="023E7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0"/>
    <w:lvlOverride w:ilvl="0">
      <w:lvl w:ilvl="0">
        <w:start w:val="1"/>
        <w:numFmt w:val="decimal"/>
        <w:pStyle w:val="StyleParaNumLeft"/>
        <w:lvlText w:val="%1."/>
        <w:lvlJc w:val="left"/>
        <w:pPr>
          <w:ind w:left="720" w:firstLine="0"/>
        </w:pPr>
        <w:rPr>
          <w:rFonts w:ascii="Times New Roman" w:hAnsi="Times New Roman" w:cs="Times New Roman"/>
          <w:b w:val="0"/>
          <w:i w:val="0"/>
          <w:strike w:val="0"/>
          <w:dstrike w:val="0"/>
          <w:vanish w:val="0"/>
          <w:position w:val="0"/>
          <w:sz w:val="22"/>
          <w:u w:val="none"/>
          <w:vertAlign w:val="baseline"/>
        </w:rPr>
      </w:lvl>
    </w:lvlOverride>
    <w:lvlOverride w:ilvl="1">
      <w:lvl w:ilvl="1">
        <w:start w:val="4"/>
        <w:numFmt w:val="upperLetter"/>
        <w:lvlText w:val="%2."/>
        <w:lvlJc w:val="left"/>
        <w:pPr>
          <w:ind w:left="1800" w:hanging="360"/>
        </w:pPr>
        <w:rPr>
          <w:rFonts w:cs="Times New Roman"/>
        </w:rPr>
      </w:lvl>
    </w:lvlOverride>
    <w:lvlOverride w:ilvl="2">
      <w:lvl w:ilvl="2">
        <w:start w:val="3"/>
        <w:numFmt w:val="lowerLetter"/>
        <w:lvlText w:val="%3."/>
        <w:lvlJc w:val="left"/>
        <w:pPr>
          <w:ind w:left="2700" w:hanging="360"/>
        </w:pPr>
        <w:rPr>
          <w:rFonts w:cs="Times New Roman"/>
        </w:rPr>
      </w:lvl>
    </w:lvlOverride>
    <w:lvlOverride w:ilvl="3">
      <w:lvl w:ilvl="3">
        <w:start w:val="5"/>
        <w:numFmt w:val="lowerRoman"/>
        <w:lvlText w:val="(%4)"/>
        <w:lvlJc w:val="left"/>
        <w:pPr>
          <w:ind w:left="3600" w:hanging="720"/>
        </w:pPr>
        <w:rPr>
          <w:rFonts w:cs="Times New Roman"/>
          <w:i/>
        </w:rPr>
      </w:lvl>
    </w:lvlOverride>
    <w:lvlOverride w:ilvl="4">
      <w:lvl w:ilvl="4">
        <w:start w:val="1"/>
        <w:numFmt w:val="decimal"/>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718"/>
    <w:rsid w:val="000040E6"/>
    <w:rsid w:val="0000620C"/>
    <w:rsid w:val="00012D09"/>
    <w:rsid w:val="00012F33"/>
    <w:rsid w:val="0001441C"/>
    <w:rsid w:val="00017750"/>
    <w:rsid w:val="00020016"/>
    <w:rsid w:val="0003169F"/>
    <w:rsid w:val="00032BA3"/>
    <w:rsid w:val="000362BF"/>
    <w:rsid w:val="00045ED2"/>
    <w:rsid w:val="000460D8"/>
    <w:rsid w:val="00051B43"/>
    <w:rsid w:val="0005331C"/>
    <w:rsid w:val="00063692"/>
    <w:rsid w:val="000643D9"/>
    <w:rsid w:val="0006613F"/>
    <w:rsid w:val="000666EF"/>
    <w:rsid w:val="00073DD8"/>
    <w:rsid w:val="00075B7A"/>
    <w:rsid w:val="000812A5"/>
    <w:rsid w:val="000812D9"/>
    <w:rsid w:val="00085F70"/>
    <w:rsid w:val="00087484"/>
    <w:rsid w:val="000879B8"/>
    <w:rsid w:val="00090A96"/>
    <w:rsid w:val="00091612"/>
    <w:rsid w:val="00092575"/>
    <w:rsid w:val="000957FD"/>
    <w:rsid w:val="000A70C0"/>
    <w:rsid w:val="000B03B5"/>
    <w:rsid w:val="000B2D71"/>
    <w:rsid w:val="000B3422"/>
    <w:rsid w:val="000B5E5C"/>
    <w:rsid w:val="000B7887"/>
    <w:rsid w:val="000C236F"/>
    <w:rsid w:val="000D4CFE"/>
    <w:rsid w:val="000D5D60"/>
    <w:rsid w:val="000F22C5"/>
    <w:rsid w:val="000F47D1"/>
    <w:rsid w:val="000F4A99"/>
    <w:rsid w:val="000F7F6B"/>
    <w:rsid w:val="00103B49"/>
    <w:rsid w:val="0010486B"/>
    <w:rsid w:val="00111E5C"/>
    <w:rsid w:val="00116C0B"/>
    <w:rsid w:val="00126343"/>
    <w:rsid w:val="00133261"/>
    <w:rsid w:val="00140937"/>
    <w:rsid w:val="0014116D"/>
    <w:rsid w:val="0014186B"/>
    <w:rsid w:val="001418F9"/>
    <w:rsid w:val="00152418"/>
    <w:rsid w:val="0016297F"/>
    <w:rsid w:val="00164587"/>
    <w:rsid w:val="001650A7"/>
    <w:rsid w:val="00165C1B"/>
    <w:rsid w:val="00166809"/>
    <w:rsid w:val="0016767E"/>
    <w:rsid w:val="001716E5"/>
    <w:rsid w:val="00171829"/>
    <w:rsid w:val="001732F9"/>
    <w:rsid w:val="00177937"/>
    <w:rsid w:val="001819D0"/>
    <w:rsid w:val="00187142"/>
    <w:rsid w:val="00187C9F"/>
    <w:rsid w:val="00194362"/>
    <w:rsid w:val="00194BEB"/>
    <w:rsid w:val="00196AD6"/>
    <w:rsid w:val="00197FE2"/>
    <w:rsid w:val="001A0765"/>
    <w:rsid w:val="001A1FDA"/>
    <w:rsid w:val="001A3948"/>
    <w:rsid w:val="001A4A7F"/>
    <w:rsid w:val="001A73F2"/>
    <w:rsid w:val="001B236F"/>
    <w:rsid w:val="001B272B"/>
    <w:rsid w:val="001B5C9F"/>
    <w:rsid w:val="001B7B74"/>
    <w:rsid w:val="001C0F43"/>
    <w:rsid w:val="001C1F21"/>
    <w:rsid w:val="001C5799"/>
    <w:rsid w:val="001C77EE"/>
    <w:rsid w:val="001D3AD0"/>
    <w:rsid w:val="001D3CD6"/>
    <w:rsid w:val="001E3E08"/>
    <w:rsid w:val="001E3E40"/>
    <w:rsid w:val="001E3FA9"/>
    <w:rsid w:val="001E7968"/>
    <w:rsid w:val="001F37A8"/>
    <w:rsid w:val="00200092"/>
    <w:rsid w:val="002008C3"/>
    <w:rsid w:val="00200B3B"/>
    <w:rsid w:val="00202403"/>
    <w:rsid w:val="00203FD3"/>
    <w:rsid w:val="00205301"/>
    <w:rsid w:val="00205520"/>
    <w:rsid w:val="00211D85"/>
    <w:rsid w:val="00217365"/>
    <w:rsid w:val="002178E4"/>
    <w:rsid w:val="00217F7C"/>
    <w:rsid w:val="00221780"/>
    <w:rsid w:val="00224D79"/>
    <w:rsid w:val="00231243"/>
    <w:rsid w:val="00232DC3"/>
    <w:rsid w:val="0023349B"/>
    <w:rsid w:val="002359FA"/>
    <w:rsid w:val="00251B4A"/>
    <w:rsid w:val="002526CF"/>
    <w:rsid w:val="00254F71"/>
    <w:rsid w:val="00254FB9"/>
    <w:rsid w:val="00255EC3"/>
    <w:rsid w:val="0026185D"/>
    <w:rsid w:val="002647BC"/>
    <w:rsid w:val="00270E50"/>
    <w:rsid w:val="00273688"/>
    <w:rsid w:val="00274F4B"/>
    <w:rsid w:val="002758CA"/>
    <w:rsid w:val="00277E69"/>
    <w:rsid w:val="002851D6"/>
    <w:rsid w:val="002911CB"/>
    <w:rsid w:val="002925D0"/>
    <w:rsid w:val="0029301B"/>
    <w:rsid w:val="00297174"/>
    <w:rsid w:val="002A0993"/>
    <w:rsid w:val="002A3793"/>
    <w:rsid w:val="002A3EDF"/>
    <w:rsid w:val="002A44B9"/>
    <w:rsid w:val="002B2D6D"/>
    <w:rsid w:val="002C07FA"/>
    <w:rsid w:val="002C48D5"/>
    <w:rsid w:val="002C6245"/>
    <w:rsid w:val="002D0595"/>
    <w:rsid w:val="002D5FA9"/>
    <w:rsid w:val="002D6478"/>
    <w:rsid w:val="002D739D"/>
    <w:rsid w:val="002E0956"/>
    <w:rsid w:val="002E2F12"/>
    <w:rsid w:val="002E7F67"/>
    <w:rsid w:val="002F0757"/>
    <w:rsid w:val="002F13E4"/>
    <w:rsid w:val="002F1939"/>
    <w:rsid w:val="002F3610"/>
    <w:rsid w:val="002F3818"/>
    <w:rsid w:val="002F59DB"/>
    <w:rsid w:val="002F6C59"/>
    <w:rsid w:val="002F7D60"/>
    <w:rsid w:val="003028AB"/>
    <w:rsid w:val="003115C1"/>
    <w:rsid w:val="00312709"/>
    <w:rsid w:val="00312A2D"/>
    <w:rsid w:val="00316CA4"/>
    <w:rsid w:val="00320753"/>
    <w:rsid w:val="00321620"/>
    <w:rsid w:val="0032484D"/>
    <w:rsid w:val="00325D8B"/>
    <w:rsid w:val="003261A7"/>
    <w:rsid w:val="003275CB"/>
    <w:rsid w:val="0033337C"/>
    <w:rsid w:val="00333513"/>
    <w:rsid w:val="003343C1"/>
    <w:rsid w:val="00342067"/>
    <w:rsid w:val="0034311D"/>
    <w:rsid w:val="00343CE6"/>
    <w:rsid w:val="00343FCB"/>
    <w:rsid w:val="003547F3"/>
    <w:rsid w:val="00357A98"/>
    <w:rsid w:val="003605B4"/>
    <w:rsid w:val="00361A5B"/>
    <w:rsid w:val="00361E32"/>
    <w:rsid w:val="003733B5"/>
    <w:rsid w:val="003738E7"/>
    <w:rsid w:val="00385D23"/>
    <w:rsid w:val="0038689C"/>
    <w:rsid w:val="00387895"/>
    <w:rsid w:val="00392ABA"/>
    <w:rsid w:val="00392FD7"/>
    <w:rsid w:val="00396CCD"/>
    <w:rsid w:val="003A30C3"/>
    <w:rsid w:val="003A40B6"/>
    <w:rsid w:val="003A781F"/>
    <w:rsid w:val="003B146B"/>
    <w:rsid w:val="003B1D8C"/>
    <w:rsid w:val="003B4A9C"/>
    <w:rsid w:val="003B5B4C"/>
    <w:rsid w:val="003C0038"/>
    <w:rsid w:val="003C022A"/>
    <w:rsid w:val="003C198C"/>
    <w:rsid w:val="003D6442"/>
    <w:rsid w:val="003E1383"/>
    <w:rsid w:val="003E17BC"/>
    <w:rsid w:val="003E7358"/>
    <w:rsid w:val="003F1B54"/>
    <w:rsid w:val="003F5463"/>
    <w:rsid w:val="003F7F71"/>
    <w:rsid w:val="00400803"/>
    <w:rsid w:val="00411FC6"/>
    <w:rsid w:val="00412950"/>
    <w:rsid w:val="00414342"/>
    <w:rsid w:val="00414C33"/>
    <w:rsid w:val="0041503F"/>
    <w:rsid w:val="004170DC"/>
    <w:rsid w:val="004249C1"/>
    <w:rsid w:val="00426B88"/>
    <w:rsid w:val="0042780A"/>
    <w:rsid w:val="00431ABB"/>
    <w:rsid w:val="004340B9"/>
    <w:rsid w:val="00434442"/>
    <w:rsid w:val="0043599F"/>
    <w:rsid w:val="00444D35"/>
    <w:rsid w:val="004457BF"/>
    <w:rsid w:val="00445C10"/>
    <w:rsid w:val="0045121F"/>
    <w:rsid w:val="00460115"/>
    <w:rsid w:val="00460C57"/>
    <w:rsid w:val="0046229D"/>
    <w:rsid w:val="00463097"/>
    <w:rsid w:val="00463D15"/>
    <w:rsid w:val="00467EE6"/>
    <w:rsid w:val="00471C93"/>
    <w:rsid w:val="0047489E"/>
    <w:rsid w:val="0047657C"/>
    <w:rsid w:val="00477995"/>
    <w:rsid w:val="004828E7"/>
    <w:rsid w:val="00483A56"/>
    <w:rsid w:val="00491CF8"/>
    <w:rsid w:val="004933BB"/>
    <w:rsid w:val="00493573"/>
    <w:rsid w:val="00496CB3"/>
    <w:rsid w:val="004A2BC3"/>
    <w:rsid w:val="004A6AB3"/>
    <w:rsid w:val="004B0BE0"/>
    <w:rsid w:val="004B21E1"/>
    <w:rsid w:val="004B2353"/>
    <w:rsid w:val="004B26B1"/>
    <w:rsid w:val="004B6287"/>
    <w:rsid w:val="004B7B4C"/>
    <w:rsid w:val="004D467E"/>
    <w:rsid w:val="004D5FB8"/>
    <w:rsid w:val="004D6C2D"/>
    <w:rsid w:val="004D6D4E"/>
    <w:rsid w:val="004E577F"/>
    <w:rsid w:val="004E6A24"/>
    <w:rsid w:val="004F1145"/>
    <w:rsid w:val="004F38CE"/>
    <w:rsid w:val="004F42B8"/>
    <w:rsid w:val="004F4515"/>
    <w:rsid w:val="004F516E"/>
    <w:rsid w:val="004F51B9"/>
    <w:rsid w:val="00506939"/>
    <w:rsid w:val="00507A66"/>
    <w:rsid w:val="0051072B"/>
    <w:rsid w:val="0051184F"/>
    <w:rsid w:val="005156E3"/>
    <w:rsid w:val="005159D7"/>
    <w:rsid w:val="005165F7"/>
    <w:rsid w:val="00520BD4"/>
    <w:rsid w:val="005226BC"/>
    <w:rsid w:val="005243D6"/>
    <w:rsid w:val="005261A4"/>
    <w:rsid w:val="005308F3"/>
    <w:rsid w:val="0053273D"/>
    <w:rsid w:val="00532918"/>
    <w:rsid w:val="00533A18"/>
    <w:rsid w:val="0053467A"/>
    <w:rsid w:val="00535CF1"/>
    <w:rsid w:val="005369D4"/>
    <w:rsid w:val="00540936"/>
    <w:rsid w:val="00542A29"/>
    <w:rsid w:val="0054574B"/>
    <w:rsid w:val="0055142E"/>
    <w:rsid w:val="00554AF5"/>
    <w:rsid w:val="0055614E"/>
    <w:rsid w:val="00557D46"/>
    <w:rsid w:val="00563F45"/>
    <w:rsid w:val="005659F2"/>
    <w:rsid w:val="0057041B"/>
    <w:rsid w:val="00573F76"/>
    <w:rsid w:val="005809BC"/>
    <w:rsid w:val="00581952"/>
    <w:rsid w:val="005904DD"/>
    <w:rsid w:val="0059086B"/>
    <w:rsid w:val="005922FD"/>
    <w:rsid w:val="00592C10"/>
    <w:rsid w:val="0059367E"/>
    <w:rsid w:val="00593BA0"/>
    <w:rsid w:val="0059791A"/>
    <w:rsid w:val="005A2166"/>
    <w:rsid w:val="005A2324"/>
    <w:rsid w:val="005A2F91"/>
    <w:rsid w:val="005A4BAA"/>
    <w:rsid w:val="005A76AA"/>
    <w:rsid w:val="005A7FFE"/>
    <w:rsid w:val="005B5A2D"/>
    <w:rsid w:val="005C2EDE"/>
    <w:rsid w:val="005C5014"/>
    <w:rsid w:val="005C5695"/>
    <w:rsid w:val="005D2BB6"/>
    <w:rsid w:val="005D32BF"/>
    <w:rsid w:val="005E1817"/>
    <w:rsid w:val="005E4688"/>
    <w:rsid w:val="005F0EEA"/>
    <w:rsid w:val="005F2941"/>
    <w:rsid w:val="005F3665"/>
    <w:rsid w:val="005F36BF"/>
    <w:rsid w:val="005F496A"/>
    <w:rsid w:val="005F75BC"/>
    <w:rsid w:val="005F7B4F"/>
    <w:rsid w:val="00603690"/>
    <w:rsid w:val="00605284"/>
    <w:rsid w:val="00610FC3"/>
    <w:rsid w:val="006123FD"/>
    <w:rsid w:val="006124FE"/>
    <w:rsid w:val="00615D4B"/>
    <w:rsid w:val="00621F6A"/>
    <w:rsid w:val="0062405E"/>
    <w:rsid w:val="006253B6"/>
    <w:rsid w:val="00631E9A"/>
    <w:rsid w:val="00632905"/>
    <w:rsid w:val="00632F13"/>
    <w:rsid w:val="006342B0"/>
    <w:rsid w:val="0063592C"/>
    <w:rsid w:val="00637F1D"/>
    <w:rsid w:val="006408E1"/>
    <w:rsid w:val="00642F73"/>
    <w:rsid w:val="00645017"/>
    <w:rsid w:val="00647892"/>
    <w:rsid w:val="00651B50"/>
    <w:rsid w:val="00662A7A"/>
    <w:rsid w:val="006659B8"/>
    <w:rsid w:val="00665F75"/>
    <w:rsid w:val="006663A0"/>
    <w:rsid w:val="006674E0"/>
    <w:rsid w:val="006854FD"/>
    <w:rsid w:val="00686543"/>
    <w:rsid w:val="00687ACF"/>
    <w:rsid w:val="00690BAE"/>
    <w:rsid w:val="00691A5A"/>
    <w:rsid w:val="00693A6F"/>
    <w:rsid w:val="006958A3"/>
    <w:rsid w:val="00695D92"/>
    <w:rsid w:val="006967B3"/>
    <w:rsid w:val="006A2A9A"/>
    <w:rsid w:val="006A44F0"/>
    <w:rsid w:val="006A6960"/>
    <w:rsid w:val="006B1049"/>
    <w:rsid w:val="006B26FC"/>
    <w:rsid w:val="006B7EA4"/>
    <w:rsid w:val="006C01D8"/>
    <w:rsid w:val="006C6CF6"/>
    <w:rsid w:val="006E69FF"/>
    <w:rsid w:val="006E7B2C"/>
    <w:rsid w:val="006F1680"/>
    <w:rsid w:val="006F2773"/>
    <w:rsid w:val="006F3CC9"/>
    <w:rsid w:val="006F6A81"/>
    <w:rsid w:val="007029DA"/>
    <w:rsid w:val="00703178"/>
    <w:rsid w:val="00704E3F"/>
    <w:rsid w:val="00707776"/>
    <w:rsid w:val="00711B52"/>
    <w:rsid w:val="00712DAB"/>
    <w:rsid w:val="00716737"/>
    <w:rsid w:val="00721DEB"/>
    <w:rsid w:val="00722FAD"/>
    <w:rsid w:val="00723B7E"/>
    <w:rsid w:val="007246E0"/>
    <w:rsid w:val="00727E3F"/>
    <w:rsid w:val="007371CE"/>
    <w:rsid w:val="007375B0"/>
    <w:rsid w:val="007438F7"/>
    <w:rsid w:val="00743EDB"/>
    <w:rsid w:val="00745A01"/>
    <w:rsid w:val="00745E3B"/>
    <w:rsid w:val="00746DC0"/>
    <w:rsid w:val="00747ED1"/>
    <w:rsid w:val="00750EDF"/>
    <w:rsid w:val="007616D8"/>
    <w:rsid w:val="00761DE3"/>
    <w:rsid w:val="0077721A"/>
    <w:rsid w:val="00777AEE"/>
    <w:rsid w:val="00785A74"/>
    <w:rsid w:val="007868CF"/>
    <w:rsid w:val="00787122"/>
    <w:rsid w:val="00790BFF"/>
    <w:rsid w:val="00795BE9"/>
    <w:rsid w:val="007A3498"/>
    <w:rsid w:val="007A601B"/>
    <w:rsid w:val="007A66B7"/>
    <w:rsid w:val="007B0D52"/>
    <w:rsid w:val="007B71AD"/>
    <w:rsid w:val="007B77CA"/>
    <w:rsid w:val="007C250D"/>
    <w:rsid w:val="007C26FD"/>
    <w:rsid w:val="007C342D"/>
    <w:rsid w:val="007C4B95"/>
    <w:rsid w:val="007E1860"/>
    <w:rsid w:val="007E6449"/>
    <w:rsid w:val="007E76D8"/>
    <w:rsid w:val="007E7BE0"/>
    <w:rsid w:val="007E7C9F"/>
    <w:rsid w:val="007E7F60"/>
    <w:rsid w:val="007F52F2"/>
    <w:rsid w:val="00800AE6"/>
    <w:rsid w:val="0080440B"/>
    <w:rsid w:val="00805EF4"/>
    <w:rsid w:val="00810D1C"/>
    <w:rsid w:val="00812DD5"/>
    <w:rsid w:val="008212CE"/>
    <w:rsid w:val="00823C1C"/>
    <w:rsid w:val="00825C32"/>
    <w:rsid w:val="008277D6"/>
    <w:rsid w:val="00831904"/>
    <w:rsid w:val="008413FE"/>
    <w:rsid w:val="00843278"/>
    <w:rsid w:val="008442BB"/>
    <w:rsid w:val="00844575"/>
    <w:rsid w:val="00844DC5"/>
    <w:rsid w:val="00850940"/>
    <w:rsid w:val="00856C0D"/>
    <w:rsid w:val="00856EEB"/>
    <w:rsid w:val="008632EB"/>
    <w:rsid w:val="00863C4B"/>
    <w:rsid w:val="00870B4C"/>
    <w:rsid w:val="00871718"/>
    <w:rsid w:val="00873494"/>
    <w:rsid w:val="008761B9"/>
    <w:rsid w:val="00880677"/>
    <w:rsid w:val="008834B5"/>
    <w:rsid w:val="00883DEE"/>
    <w:rsid w:val="008862DB"/>
    <w:rsid w:val="00892558"/>
    <w:rsid w:val="00894050"/>
    <w:rsid w:val="0089527D"/>
    <w:rsid w:val="00895B2E"/>
    <w:rsid w:val="008960B0"/>
    <w:rsid w:val="0089645F"/>
    <w:rsid w:val="008A0005"/>
    <w:rsid w:val="008A2AD2"/>
    <w:rsid w:val="008A4846"/>
    <w:rsid w:val="008A4BF1"/>
    <w:rsid w:val="008B093F"/>
    <w:rsid w:val="008B2145"/>
    <w:rsid w:val="008B51F6"/>
    <w:rsid w:val="008B5310"/>
    <w:rsid w:val="008B7B13"/>
    <w:rsid w:val="008C1F5C"/>
    <w:rsid w:val="008C3D96"/>
    <w:rsid w:val="008D009E"/>
    <w:rsid w:val="008D0330"/>
    <w:rsid w:val="008D45C8"/>
    <w:rsid w:val="008D4E40"/>
    <w:rsid w:val="008D5484"/>
    <w:rsid w:val="008D5EEA"/>
    <w:rsid w:val="008D61EF"/>
    <w:rsid w:val="008D70EF"/>
    <w:rsid w:val="008D79DB"/>
    <w:rsid w:val="008E1D35"/>
    <w:rsid w:val="008E2AEA"/>
    <w:rsid w:val="008E3C5C"/>
    <w:rsid w:val="008E48F4"/>
    <w:rsid w:val="008E7788"/>
    <w:rsid w:val="008E77D7"/>
    <w:rsid w:val="008F1A12"/>
    <w:rsid w:val="008F275F"/>
    <w:rsid w:val="008F2A6C"/>
    <w:rsid w:val="008F3359"/>
    <w:rsid w:val="008F74E2"/>
    <w:rsid w:val="00901BDF"/>
    <w:rsid w:val="009024E0"/>
    <w:rsid w:val="00902962"/>
    <w:rsid w:val="00904E48"/>
    <w:rsid w:val="00921953"/>
    <w:rsid w:val="0092224A"/>
    <w:rsid w:val="00934F92"/>
    <w:rsid w:val="00937CDD"/>
    <w:rsid w:val="00940152"/>
    <w:rsid w:val="00940AE7"/>
    <w:rsid w:val="009410F4"/>
    <w:rsid w:val="00943326"/>
    <w:rsid w:val="00943E23"/>
    <w:rsid w:val="00947A61"/>
    <w:rsid w:val="009556FD"/>
    <w:rsid w:val="00961511"/>
    <w:rsid w:val="009647F0"/>
    <w:rsid w:val="009674E8"/>
    <w:rsid w:val="009675FC"/>
    <w:rsid w:val="00972BEA"/>
    <w:rsid w:val="009731F3"/>
    <w:rsid w:val="009739E4"/>
    <w:rsid w:val="00974112"/>
    <w:rsid w:val="00977612"/>
    <w:rsid w:val="00982B03"/>
    <w:rsid w:val="00987B31"/>
    <w:rsid w:val="0099265D"/>
    <w:rsid w:val="009967AC"/>
    <w:rsid w:val="00996E49"/>
    <w:rsid w:val="009A3C8C"/>
    <w:rsid w:val="009A7888"/>
    <w:rsid w:val="009B1AFD"/>
    <w:rsid w:val="009B43A9"/>
    <w:rsid w:val="009B4C91"/>
    <w:rsid w:val="009B5A51"/>
    <w:rsid w:val="009C0E77"/>
    <w:rsid w:val="009C463B"/>
    <w:rsid w:val="009D0F31"/>
    <w:rsid w:val="009D196C"/>
    <w:rsid w:val="009F3C90"/>
    <w:rsid w:val="009F55BC"/>
    <w:rsid w:val="009F6B5E"/>
    <w:rsid w:val="009F7070"/>
    <w:rsid w:val="009F7D07"/>
    <w:rsid w:val="00A012B4"/>
    <w:rsid w:val="00A01CE6"/>
    <w:rsid w:val="00A0325C"/>
    <w:rsid w:val="00A11C32"/>
    <w:rsid w:val="00A1703C"/>
    <w:rsid w:val="00A208FF"/>
    <w:rsid w:val="00A26178"/>
    <w:rsid w:val="00A3040D"/>
    <w:rsid w:val="00A33E36"/>
    <w:rsid w:val="00A37AF8"/>
    <w:rsid w:val="00A4012A"/>
    <w:rsid w:val="00A40CC5"/>
    <w:rsid w:val="00A43CBB"/>
    <w:rsid w:val="00A44471"/>
    <w:rsid w:val="00A53DEF"/>
    <w:rsid w:val="00A54D66"/>
    <w:rsid w:val="00A55E61"/>
    <w:rsid w:val="00A60201"/>
    <w:rsid w:val="00A60BA6"/>
    <w:rsid w:val="00A71357"/>
    <w:rsid w:val="00A82E54"/>
    <w:rsid w:val="00A87F36"/>
    <w:rsid w:val="00A9029B"/>
    <w:rsid w:val="00A914E0"/>
    <w:rsid w:val="00A953B9"/>
    <w:rsid w:val="00A957F0"/>
    <w:rsid w:val="00A96682"/>
    <w:rsid w:val="00AA6191"/>
    <w:rsid w:val="00AB1ED4"/>
    <w:rsid w:val="00AB2E84"/>
    <w:rsid w:val="00AC0BD5"/>
    <w:rsid w:val="00AC4B76"/>
    <w:rsid w:val="00AC5DF9"/>
    <w:rsid w:val="00AD3809"/>
    <w:rsid w:val="00AD65D8"/>
    <w:rsid w:val="00AD7585"/>
    <w:rsid w:val="00AE1501"/>
    <w:rsid w:val="00AE476E"/>
    <w:rsid w:val="00AE56A8"/>
    <w:rsid w:val="00AF18BA"/>
    <w:rsid w:val="00AF2AB6"/>
    <w:rsid w:val="00AF6F05"/>
    <w:rsid w:val="00AF7F3E"/>
    <w:rsid w:val="00B033D0"/>
    <w:rsid w:val="00B0674A"/>
    <w:rsid w:val="00B13896"/>
    <w:rsid w:val="00B15B5A"/>
    <w:rsid w:val="00B165BA"/>
    <w:rsid w:val="00B259C4"/>
    <w:rsid w:val="00B268F1"/>
    <w:rsid w:val="00B274C8"/>
    <w:rsid w:val="00B34E58"/>
    <w:rsid w:val="00B40D86"/>
    <w:rsid w:val="00B43022"/>
    <w:rsid w:val="00B43DEC"/>
    <w:rsid w:val="00B44C02"/>
    <w:rsid w:val="00B44FEF"/>
    <w:rsid w:val="00B53655"/>
    <w:rsid w:val="00B53EC6"/>
    <w:rsid w:val="00B5424B"/>
    <w:rsid w:val="00B56CEF"/>
    <w:rsid w:val="00B63A44"/>
    <w:rsid w:val="00B63DEB"/>
    <w:rsid w:val="00B66D64"/>
    <w:rsid w:val="00B70B41"/>
    <w:rsid w:val="00B71C14"/>
    <w:rsid w:val="00B74B22"/>
    <w:rsid w:val="00B77C3D"/>
    <w:rsid w:val="00B85E82"/>
    <w:rsid w:val="00B91D90"/>
    <w:rsid w:val="00B92697"/>
    <w:rsid w:val="00B92D57"/>
    <w:rsid w:val="00B9506D"/>
    <w:rsid w:val="00BB1016"/>
    <w:rsid w:val="00BB11F2"/>
    <w:rsid w:val="00BB27CD"/>
    <w:rsid w:val="00BC1757"/>
    <w:rsid w:val="00BC24DE"/>
    <w:rsid w:val="00BC454A"/>
    <w:rsid w:val="00BC524B"/>
    <w:rsid w:val="00BC5ADA"/>
    <w:rsid w:val="00BC5F50"/>
    <w:rsid w:val="00BD1536"/>
    <w:rsid w:val="00BD4B55"/>
    <w:rsid w:val="00BD5E65"/>
    <w:rsid w:val="00BD6CB4"/>
    <w:rsid w:val="00BE1D16"/>
    <w:rsid w:val="00BE55FE"/>
    <w:rsid w:val="00BE658E"/>
    <w:rsid w:val="00BF1467"/>
    <w:rsid w:val="00BF3949"/>
    <w:rsid w:val="00C00DE3"/>
    <w:rsid w:val="00C0213B"/>
    <w:rsid w:val="00C1097E"/>
    <w:rsid w:val="00C10E20"/>
    <w:rsid w:val="00C15EF1"/>
    <w:rsid w:val="00C22359"/>
    <w:rsid w:val="00C24A69"/>
    <w:rsid w:val="00C360CA"/>
    <w:rsid w:val="00C40B70"/>
    <w:rsid w:val="00C41C63"/>
    <w:rsid w:val="00C502C7"/>
    <w:rsid w:val="00C51662"/>
    <w:rsid w:val="00C545E3"/>
    <w:rsid w:val="00C549EC"/>
    <w:rsid w:val="00C559E9"/>
    <w:rsid w:val="00C559F8"/>
    <w:rsid w:val="00C56F6A"/>
    <w:rsid w:val="00C574FD"/>
    <w:rsid w:val="00C618AA"/>
    <w:rsid w:val="00C632F0"/>
    <w:rsid w:val="00C6383A"/>
    <w:rsid w:val="00C64438"/>
    <w:rsid w:val="00C70676"/>
    <w:rsid w:val="00C707AD"/>
    <w:rsid w:val="00C7194B"/>
    <w:rsid w:val="00C74DCD"/>
    <w:rsid w:val="00C758C8"/>
    <w:rsid w:val="00C81C55"/>
    <w:rsid w:val="00C90944"/>
    <w:rsid w:val="00C93B03"/>
    <w:rsid w:val="00C93F3A"/>
    <w:rsid w:val="00C974AE"/>
    <w:rsid w:val="00CA4101"/>
    <w:rsid w:val="00CA44CC"/>
    <w:rsid w:val="00CA497A"/>
    <w:rsid w:val="00CA7D07"/>
    <w:rsid w:val="00CB1234"/>
    <w:rsid w:val="00CB3602"/>
    <w:rsid w:val="00CB378E"/>
    <w:rsid w:val="00CC3156"/>
    <w:rsid w:val="00CC3C5D"/>
    <w:rsid w:val="00CD095B"/>
    <w:rsid w:val="00CD28D7"/>
    <w:rsid w:val="00CD4981"/>
    <w:rsid w:val="00CD5D77"/>
    <w:rsid w:val="00CE2658"/>
    <w:rsid w:val="00CF0BFE"/>
    <w:rsid w:val="00CF15AA"/>
    <w:rsid w:val="00CF47C6"/>
    <w:rsid w:val="00CF718C"/>
    <w:rsid w:val="00D00541"/>
    <w:rsid w:val="00D00A74"/>
    <w:rsid w:val="00D06F4D"/>
    <w:rsid w:val="00D07FC9"/>
    <w:rsid w:val="00D10F28"/>
    <w:rsid w:val="00D13A3E"/>
    <w:rsid w:val="00D14A2A"/>
    <w:rsid w:val="00D15C84"/>
    <w:rsid w:val="00D176DC"/>
    <w:rsid w:val="00D21500"/>
    <w:rsid w:val="00D2495C"/>
    <w:rsid w:val="00D2644E"/>
    <w:rsid w:val="00D30666"/>
    <w:rsid w:val="00D324B2"/>
    <w:rsid w:val="00D3427D"/>
    <w:rsid w:val="00D376E7"/>
    <w:rsid w:val="00D418AF"/>
    <w:rsid w:val="00D4375B"/>
    <w:rsid w:val="00D44EB7"/>
    <w:rsid w:val="00D46B31"/>
    <w:rsid w:val="00D473A7"/>
    <w:rsid w:val="00D53A9C"/>
    <w:rsid w:val="00D662E4"/>
    <w:rsid w:val="00D719DD"/>
    <w:rsid w:val="00D72B57"/>
    <w:rsid w:val="00D77726"/>
    <w:rsid w:val="00D82868"/>
    <w:rsid w:val="00D87C6D"/>
    <w:rsid w:val="00D9020A"/>
    <w:rsid w:val="00D93E22"/>
    <w:rsid w:val="00D9496D"/>
    <w:rsid w:val="00D95282"/>
    <w:rsid w:val="00D96126"/>
    <w:rsid w:val="00DA042D"/>
    <w:rsid w:val="00DA31E2"/>
    <w:rsid w:val="00DB192E"/>
    <w:rsid w:val="00DB201C"/>
    <w:rsid w:val="00DB317E"/>
    <w:rsid w:val="00DB3922"/>
    <w:rsid w:val="00DB3B99"/>
    <w:rsid w:val="00DB7541"/>
    <w:rsid w:val="00DC4730"/>
    <w:rsid w:val="00DC7649"/>
    <w:rsid w:val="00DC7807"/>
    <w:rsid w:val="00DC7DDD"/>
    <w:rsid w:val="00DE076D"/>
    <w:rsid w:val="00DE27DA"/>
    <w:rsid w:val="00DE5E2A"/>
    <w:rsid w:val="00DE7CC4"/>
    <w:rsid w:val="00DF1AE4"/>
    <w:rsid w:val="00DF2A16"/>
    <w:rsid w:val="00DF41B9"/>
    <w:rsid w:val="00DF6858"/>
    <w:rsid w:val="00DF6962"/>
    <w:rsid w:val="00E06BCF"/>
    <w:rsid w:val="00E10ED5"/>
    <w:rsid w:val="00E1324E"/>
    <w:rsid w:val="00E1775A"/>
    <w:rsid w:val="00E204C0"/>
    <w:rsid w:val="00E20AC5"/>
    <w:rsid w:val="00E21B1E"/>
    <w:rsid w:val="00E21CF4"/>
    <w:rsid w:val="00E320B6"/>
    <w:rsid w:val="00E32FDA"/>
    <w:rsid w:val="00E358EF"/>
    <w:rsid w:val="00E37AD7"/>
    <w:rsid w:val="00E4009D"/>
    <w:rsid w:val="00E41B60"/>
    <w:rsid w:val="00E44BB5"/>
    <w:rsid w:val="00E4518D"/>
    <w:rsid w:val="00E46BA5"/>
    <w:rsid w:val="00E47FB8"/>
    <w:rsid w:val="00E55BC1"/>
    <w:rsid w:val="00E56443"/>
    <w:rsid w:val="00E56F47"/>
    <w:rsid w:val="00E6420C"/>
    <w:rsid w:val="00E66436"/>
    <w:rsid w:val="00E6745B"/>
    <w:rsid w:val="00E77A4B"/>
    <w:rsid w:val="00E853AF"/>
    <w:rsid w:val="00E9373E"/>
    <w:rsid w:val="00E95E38"/>
    <w:rsid w:val="00E97182"/>
    <w:rsid w:val="00E97554"/>
    <w:rsid w:val="00EA4D6D"/>
    <w:rsid w:val="00EB2B93"/>
    <w:rsid w:val="00EB2D5A"/>
    <w:rsid w:val="00EB3783"/>
    <w:rsid w:val="00EC0633"/>
    <w:rsid w:val="00EC2DC5"/>
    <w:rsid w:val="00EC534D"/>
    <w:rsid w:val="00EC5E5B"/>
    <w:rsid w:val="00ED1676"/>
    <w:rsid w:val="00ED2BEE"/>
    <w:rsid w:val="00ED42A4"/>
    <w:rsid w:val="00ED7E59"/>
    <w:rsid w:val="00EE76FC"/>
    <w:rsid w:val="00EF1F0F"/>
    <w:rsid w:val="00EF6570"/>
    <w:rsid w:val="00EF71D8"/>
    <w:rsid w:val="00F0328F"/>
    <w:rsid w:val="00F046B2"/>
    <w:rsid w:val="00F10352"/>
    <w:rsid w:val="00F11B69"/>
    <w:rsid w:val="00F13EA2"/>
    <w:rsid w:val="00F15D31"/>
    <w:rsid w:val="00F164F3"/>
    <w:rsid w:val="00F242FC"/>
    <w:rsid w:val="00F31227"/>
    <w:rsid w:val="00F34898"/>
    <w:rsid w:val="00F34F9F"/>
    <w:rsid w:val="00F378C6"/>
    <w:rsid w:val="00F415E4"/>
    <w:rsid w:val="00F421D9"/>
    <w:rsid w:val="00F4474F"/>
    <w:rsid w:val="00F44FA9"/>
    <w:rsid w:val="00F46E39"/>
    <w:rsid w:val="00F47536"/>
    <w:rsid w:val="00F52228"/>
    <w:rsid w:val="00F557BE"/>
    <w:rsid w:val="00F6011A"/>
    <w:rsid w:val="00F60B5E"/>
    <w:rsid w:val="00F639D5"/>
    <w:rsid w:val="00F656A3"/>
    <w:rsid w:val="00F67BE9"/>
    <w:rsid w:val="00F765D9"/>
    <w:rsid w:val="00F838BB"/>
    <w:rsid w:val="00F86ECD"/>
    <w:rsid w:val="00F901A0"/>
    <w:rsid w:val="00F9044C"/>
    <w:rsid w:val="00FA09A2"/>
    <w:rsid w:val="00FA1BE4"/>
    <w:rsid w:val="00FA3A8D"/>
    <w:rsid w:val="00FA3F73"/>
    <w:rsid w:val="00FA51CC"/>
    <w:rsid w:val="00FA5669"/>
    <w:rsid w:val="00FA6767"/>
    <w:rsid w:val="00FA772B"/>
    <w:rsid w:val="00FB0DAA"/>
    <w:rsid w:val="00FB0E5B"/>
    <w:rsid w:val="00FB1BA4"/>
    <w:rsid w:val="00FC1A6D"/>
    <w:rsid w:val="00FC3564"/>
    <w:rsid w:val="00FC56B8"/>
    <w:rsid w:val="00FC5933"/>
    <w:rsid w:val="00FD14C4"/>
    <w:rsid w:val="00FD5AB2"/>
    <w:rsid w:val="00FE3D0C"/>
    <w:rsid w:val="00FF1A69"/>
    <w:rsid w:val="00FF1E3E"/>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1D2DF"/>
  <w15:docId w15:val="{41707D46-44D5-4F0A-99D9-CA1F21D1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 w:type="paragraph" w:styleId="ListParagraph">
    <w:name w:val="List Paragraph"/>
    <w:basedOn w:val="Normal"/>
    <w:uiPriority w:val="34"/>
    <w:qFormat/>
    <w:rsid w:val="009B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5119">
      <w:bodyDiv w:val="1"/>
      <w:marLeft w:val="0"/>
      <w:marRight w:val="0"/>
      <w:marTop w:val="0"/>
      <w:marBottom w:val="0"/>
      <w:divBdr>
        <w:top w:val="none" w:sz="0" w:space="0" w:color="auto"/>
        <w:left w:val="none" w:sz="0" w:space="0" w:color="auto"/>
        <w:bottom w:val="none" w:sz="0" w:space="0" w:color="auto"/>
        <w:right w:val="none" w:sz="0" w:space="0" w:color="auto"/>
      </w:divBdr>
    </w:div>
    <w:div w:id="1146430847">
      <w:bodyDiv w:val="1"/>
      <w:marLeft w:val="0"/>
      <w:marRight w:val="0"/>
      <w:marTop w:val="0"/>
      <w:marBottom w:val="0"/>
      <w:divBdr>
        <w:top w:val="none" w:sz="0" w:space="0" w:color="auto"/>
        <w:left w:val="none" w:sz="0" w:space="0" w:color="auto"/>
        <w:bottom w:val="none" w:sz="0" w:space="0" w:color="auto"/>
        <w:right w:val="none" w:sz="0" w:space="0" w:color="auto"/>
      </w:divBdr>
    </w:div>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1DC8-3A71-47C9-B8DA-721508C6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23712</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creator>jswank</dc:creator>
  <cp:lastModifiedBy>Nicole Ongele</cp:lastModifiedBy>
  <cp:revision>2</cp:revision>
  <cp:lastPrinted>2016-02-17T21:39:00Z</cp:lastPrinted>
  <dcterms:created xsi:type="dcterms:W3CDTF">2020-04-06T18:18:00Z</dcterms:created>
  <dcterms:modified xsi:type="dcterms:W3CDTF">2020-04-06T18:18:00Z</dcterms:modified>
</cp:coreProperties>
</file>