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42B6A" w:rsidR="00642B6A" w:rsidP="00642B6A" w:rsidRDefault="00642B6A" w14:paraId="50F42292" w14:textId="77777777">
      <w:pPr>
        <w:suppressAutoHyphens/>
        <w:jc w:val="center"/>
        <w:rPr>
          <w:rFonts w:eastAsia="Times New Roman" w:cs="Times New Roman"/>
          <w:b/>
          <w:szCs w:val="24"/>
        </w:rPr>
      </w:pPr>
      <w:r w:rsidRPr="00642B6A">
        <w:rPr>
          <w:rFonts w:eastAsia="Times New Roman" w:cs="Times New Roman"/>
          <w:b/>
          <w:szCs w:val="24"/>
        </w:rPr>
        <w:t>SUPPORTING STATEMENT FOR NEW AND</w:t>
      </w:r>
    </w:p>
    <w:p w:rsidRPr="00642B6A" w:rsidR="00642B6A" w:rsidP="00642B6A" w:rsidRDefault="00642B6A" w14:paraId="50F4229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P="00642B6A" w:rsidRDefault="00642B6A" w14:paraId="50F42294" w14:textId="7E7C1241">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w:t>
      </w:r>
      <w:r w:rsidR="006104B2">
        <w:rPr>
          <w:rFonts w:eastAsia="Times New Roman" w:cs="Times New Roman"/>
          <w:b/>
          <w:szCs w:val="24"/>
        </w:rPr>
        <w:t>89</w:t>
      </w:r>
    </w:p>
    <w:p w:rsidR="00607B6C" w:rsidP="002A0C56" w:rsidRDefault="006104B2" w14:paraId="0C8EB42D" w14:textId="78D55154">
      <w:pPr>
        <w:jc w:val="center"/>
        <w:outlineLvl w:val="0"/>
        <w:rPr>
          <w:rFonts w:eastAsia="Times New Roman" w:cs="Times New Roman"/>
          <w:szCs w:val="24"/>
        </w:rPr>
      </w:pPr>
      <w:r>
        <w:rPr>
          <w:rFonts w:eastAsia="Times New Roman" w:cs="Times New Roman"/>
          <w:szCs w:val="24"/>
        </w:rPr>
        <w:t>Swap Data Recordkeeping and Reporting Requirements:</w:t>
      </w:r>
    </w:p>
    <w:p w:rsidR="006104B2" w:rsidP="002A0C56" w:rsidRDefault="006104B2" w14:paraId="41E87C7E" w14:textId="150C467B">
      <w:pPr>
        <w:jc w:val="center"/>
        <w:outlineLvl w:val="0"/>
        <w:rPr>
          <w:rFonts w:eastAsia="Times New Roman" w:cs="Times New Roman"/>
          <w:szCs w:val="24"/>
        </w:rPr>
      </w:pPr>
      <w:r>
        <w:rPr>
          <w:rFonts w:eastAsia="Times New Roman" w:cs="Times New Roman"/>
          <w:szCs w:val="24"/>
        </w:rPr>
        <w:t>Pre-Enactment and Transition Swaps</w:t>
      </w:r>
    </w:p>
    <w:p w:rsidR="006104B2" w:rsidP="002A0C56" w:rsidRDefault="006104B2" w14:paraId="0E08A4A0" w14:textId="77777777">
      <w:pPr>
        <w:jc w:val="center"/>
        <w:outlineLvl w:val="0"/>
        <w:rPr>
          <w:rFonts w:eastAsia="Times New Roman" w:cs="Times New Roman"/>
          <w:szCs w:val="24"/>
        </w:rPr>
      </w:pPr>
    </w:p>
    <w:p w:rsidRPr="00642B6A" w:rsidR="00642B6A" w:rsidP="00642B6A" w:rsidRDefault="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Pr="00642B6A" w:rsidR="00642B6A" w:rsidP="00D945B5" w:rsidRDefault="00642B6A"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009133C3" w:rsidP="00E54279" w:rsidRDefault="00607B6C" w14:paraId="37C4C7CE" w14:textId="2A9DFE53">
      <w:pPr>
        <w:tabs>
          <w:tab w:val="left" w:pos="-720"/>
          <w:tab w:val="left" w:pos="0"/>
        </w:tabs>
        <w:spacing w:after="240"/>
        <w:ind w:firstLine="720"/>
        <w:rPr>
          <w:rFonts w:eastAsia="Times New Roman" w:cs="Times New Roman"/>
          <w:szCs w:val="20"/>
        </w:rPr>
      </w:pPr>
      <w:r>
        <w:t>S</w:t>
      </w:r>
      <w:r w:rsidRPr="0073151D">
        <w:t>ection 2(a)(13)(G) of the Commodity Exchange Act (“CEA”</w:t>
      </w:r>
      <w:r>
        <w:t xml:space="preserve">) requires that </w:t>
      </w:r>
      <w:r w:rsidRPr="0073151D">
        <w:t xml:space="preserve">all swaps, whether cleared or </w:t>
      </w:r>
      <w:proofErr w:type="spellStart"/>
      <w:r w:rsidRPr="0073151D">
        <w:t>uncleared</w:t>
      </w:r>
      <w:proofErr w:type="spellEnd"/>
      <w:r w:rsidRPr="0073151D">
        <w:t>, must be reported to SDRs. CEA section 21(b) directs the Commission to prescribe standards for swap data recordkeeping and reporting, which are to apply to both registered entities and cou</w:t>
      </w:r>
      <w:r>
        <w:t>nterparties involved with swaps</w:t>
      </w:r>
      <w:r w:rsidR="00E54279">
        <w:rPr>
          <w:rFonts w:eastAsia="Times New Roman" w:cs="Times New Roman"/>
          <w:szCs w:val="20"/>
        </w:rPr>
        <w:t>.</w:t>
      </w:r>
      <w:r w:rsidR="009133C3">
        <w:rPr>
          <w:rFonts w:eastAsia="Times New Roman" w:cs="Times New Roman"/>
          <w:szCs w:val="20"/>
        </w:rPr>
        <w:t xml:space="preserve"> CEA s</w:t>
      </w:r>
      <w:r w:rsidRPr="009133C3" w:rsidR="009133C3">
        <w:rPr>
          <w:rFonts w:eastAsia="Times New Roman" w:cs="Times New Roman"/>
          <w:szCs w:val="20"/>
        </w:rPr>
        <w:t>ection 2(h)(5)(B) provide</w:t>
      </w:r>
      <w:r w:rsidR="009133C3">
        <w:rPr>
          <w:rFonts w:eastAsia="Times New Roman" w:cs="Times New Roman"/>
          <w:szCs w:val="20"/>
        </w:rPr>
        <w:t>s</w:t>
      </w:r>
      <w:r w:rsidRPr="009133C3" w:rsidR="009133C3">
        <w:rPr>
          <w:rFonts w:eastAsia="Times New Roman" w:cs="Times New Roman"/>
          <w:szCs w:val="20"/>
        </w:rPr>
        <w:t xml:space="preserve"> for the reporting of data relating to both: (</w:t>
      </w:r>
      <w:proofErr w:type="spellStart"/>
      <w:r w:rsidRPr="009133C3" w:rsidR="009133C3">
        <w:rPr>
          <w:rFonts w:eastAsia="Times New Roman" w:cs="Times New Roman"/>
          <w:szCs w:val="20"/>
        </w:rPr>
        <w:t>i</w:t>
      </w:r>
      <w:proofErr w:type="spellEnd"/>
      <w:r w:rsidRPr="009133C3" w:rsidR="009133C3">
        <w:rPr>
          <w:rFonts w:eastAsia="Times New Roman" w:cs="Times New Roman"/>
          <w:szCs w:val="20"/>
        </w:rPr>
        <w:t>) swaps entered into before the date of enactment of the Dodd-Frank Act, the terms of which have not expired as of the date of enactment of that Act (“pre-enactment swaps”) and (ii) swaps entered into on or after the date of enactment of the Dodd-Frank Act and prior to the compliance date specified in Commission swap data reporting rules implementing Section 2(h)(5)(B) (“transition swaps”).</w:t>
      </w:r>
    </w:p>
    <w:p w:rsidRPr="00E54279" w:rsidR="00642B6A" w:rsidP="00E54279" w:rsidRDefault="00ED251F" w14:paraId="50F42298" w14:textId="1DEBA73B">
      <w:pPr>
        <w:tabs>
          <w:tab w:val="left" w:pos="-720"/>
          <w:tab w:val="left" w:pos="0"/>
        </w:tabs>
        <w:spacing w:after="240"/>
        <w:ind w:firstLine="720"/>
        <w:rPr>
          <w:rFonts w:eastAsia="Times New Roman" w:cs="Times New Roman"/>
          <w:szCs w:val="20"/>
        </w:rPr>
      </w:pPr>
      <w:r>
        <w:rPr>
          <w:rFonts w:eastAsia="Times New Roman" w:cs="Times New Roman"/>
          <w:szCs w:val="20"/>
        </w:rPr>
        <w:t xml:space="preserve">The Commission established these regulations in </w:t>
      </w:r>
      <w:r w:rsidR="00E54279">
        <w:rPr>
          <w:rFonts w:eastAsia="Times New Roman" w:cs="Times New Roman"/>
          <w:szCs w:val="20"/>
        </w:rPr>
        <w:t xml:space="preserve">Part </w:t>
      </w:r>
      <w:r w:rsidR="009133C3">
        <w:rPr>
          <w:rFonts w:eastAsia="Times New Roman" w:cs="Times New Roman"/>
          <w:szCs w:val="20"/>
        </w:rPr>
        <w:t xml:space="preserve">46 </w:t>
      </w:r>
      <w:r w:rsidR="00E54279">
        <w:rPr>
          <w:rFonts w:eastAsia="Times New Roman" w:cs="Times New Roman"/>
          <w:szCs w:val="20"/>
        </w:rPr>
        <w:t>of the Commission’s regulations</w:t>
      </w:r>
      <w:r>
        <w:rPr>
          <w:rFonts w:eastAsia="Times New Roman" w:cs="Times New Roman"/>
          <w:szCs w:val="20"/>
        </w:rPr>
        <w:t xml:space="preserve">. The regulations </w:t>
      </w:r>
      <w:r w:rsidR="007C72FB">
        <w:rPr>
          <w:rFonts w:eastAsia="Times New Roman" w:cs="Times New Roman"/>
          <w:szCs w:val="20"/>
        </w:rPr>
        <w:t xml:space="preserve">establish swap </w:t>
      </w:r>
      <w:r w:rsidR="00E54279">
        <w:rPr>
          <w:rFonts w:eastAsia="Times New Roman" w:cs="Times New Roman"/>
          <w:szCs w:val="20"/>
        </w:rPr>
        <w:t>reporting</w:t>
      </w:r>
      <w:r w:rsidR="007C72FB">
        <w:rPr>
          <w:rFonts w:eastAsia="Times New Roman" w:cs="Times New Roman"/>
          <w:szCs w:val="20"/>
        </w:rPr>
        <w:t xml:space="preserve"> and recordkeeping requirements for </w:t>
      </w:r>
      <w:r w:rsidR="009133C3">
        <w:rPr>
          <w:rFonts w:eastAsia="Times New Roman" w:cs="Times New Roman"/>
          <w:szCs w:val="20"/>
        </w:rPr>
        <w:t>reporting counterparties to pre-enactment swaps and transition swaps</w:t>
      </w:r>
      <w:r w:rsidR="00E54279">
        <w:rPr>
          <w:rFonts w:eastAsia="Times New Roman" w:cs="Times New Roman"/>
          <w:szCs w:val="20"/>
        </w:rPr>
        <w:t xml:space="preserve">. </w:t>
      </w:r>
    </w:p>
    <w:p w:rsidR="00A02F67" w:rsidP="00A02F67" w:rsidRDefault="00E54279" w14:paraId="7CC1F1F7" w14:textId="7FD0C061">
      <w:pPr>
        <w:autoSpaceDE w:val="0"/>
        <w:autoSpaceDN w:val="0"/>
        <w:adjustRightInd w:val="0"/>
        <w:rPr>
          <w:rFonts w:eastAsia="Times New Roman" w:cs="Times New Roman"/>
          <w:color w:val="000000"/>
          <w:szCs w:val="24"/>
        </w:rPr>
      </w:pPr>
      <w:r>
        <w:rPr>
          <w:rFonts w:eastAsia="Times New Roman" w:cs="Times New Roman"/>
          <w:color w:val="000000"/>
          <w:szCs w:val="24"/>
        </w:rPr>
        <w:tab/>
      </w:r>
      <w:r w:rsidR="00ED251F">
        <w:rPr>
          <w:rFonts w:eastAsia="Times New Roman" w:cs="Times New Roman"/>
          <w:color w:val="000000"/>
          <w:szCs w:val="24"/>
        </w:rPr>
        <w:t>The Commission is proposing amendments to Part 4</w:t>
      </w:r>
      <w:r w:rsidR="00FD472D">
        <w:rPr>
          <w:rFonts w:eastAsia="Times New Roman" w:cs="Times New Roman"/>
          <w:color w:val="000000"/>
          <w:szCs w:val="24"/>
        </w:rPr>
        <w:t>5</w:t>
      </w:r>
      <w:r w:rsidR="00ED251F">
        <w:rPr>
          <w:rFonts w:eastAsia="Times New Roman" w:cs="Times New Roman"/>
          <w:color w:val="000000"/>
          <w:szCs w:val="24"/>
        </w:rPr>
        <w:t xml:space="preserve"> to</w:t>
      </w:r>
      <w:r w:rsidRPr="00E54279">
        <w:rPr>
          <w:rFonts w:eastAsia="Times New Roman" w:cs="Times New Roman"/>
          <w:color w:val="000000"/>
          <w:szCs w:val="24"/>
        </w:rPr>
        <w:t xml:space="preserve"> streamline</w:t>
      </w:r>
      <w:r w:rsidR="00A02F67">
        <w:rPr>
          <w:rFonts w:eastAsia="Times New Roman" w:cs="Times New Roman"/>
          <w:color w:val="000000"/>
          <w:szCs w:val="24"/>
        </w:rPr>
        <w:t xml:space="preserve"> reporting requirements</w:t>
      </w:r>
      <w:r w:rsidR="00ED251F">
        <w:rPr>
          <w:rFonts w:eastAsia="Times New Roman" w:cs="Times New Roman"/>
          <w:color w:val="000000"/>
          <w:szCs w:val="24"/>
        </w:rPr>
        <w:t xml:space="preserve"> and clarify and update certain provisions</w:t>
      </w:r>
      <w:r w:rsidRPr="00E54279">
        <w:rPr>
          <w:rFonts w:eastAsia="Times New Roman" w:cs="Times New Roman"/>
          <w:color w:val="000000"/>
          <w:szCs w:val="24"/>
        </w:rPr>
        <w:t>.</w:t>
      </w:r>
      <w:r w:rsidR="00A02F67">
        <w:rPr>
          <w:rFonts w:eastAsia="Calibri" w:cs="Times New Roman"/>
          <w:szCs w:val="24"/>
        </w:rPr>
        <w:t xml:space="preserve"> </w:t>
      </w:r>
      <w:r w:rsidR="00FD472D">
        <w:rPr>
          <w:rFonts w:eastAsia="Calibri" w:cs="Times New Roman"/>
          <w:szCs w:val="24"/>
        </w:rPr>
        <w:t xml:space="preserve">Since Part 46 relies on many of the requirements set out in Part 45, the changes to Part 45 would necessitate changes for reporting counterparties with respect to the regulatory requirement in § 46.11 providing the option for reporting changes to historical swaps using the state data method of reporting. </w:t>
      </w:r>
      <w:r w:rsidR="00ED251F">
        <w:rPr>
          <w:rFonts w:eastAsia="Times New Roman" w:cs="Times New Roman"/>
          <w:color w:val="000000"/>
          <w:szCs w:val="24"/>
        </w:rPr>
        <w:t>T</w:t>
      </w:r>
      <w:r w:rsidRPr="00A02F67" w:rsidR="00A02F67">
        <w:rPr>
          <w:rFonts w:eastAsia="Times New Roman" w:cs="Times New Roman"/>
          <w:color w:val="000000"/>
          <w:szCs w:val="24"/>
        </w:rPr>
        <w:t xml:space="preserve">he Commission is proposing to </w:t>
      </w:r>
      <w:r w:rsidR="00FD472D">
        <w:rPr>
          <w:rFonts w:eastAsia="Times New Roman" w:cs="Times New Roman"/>
          <w:color w:val="000000"/>
          <w:szCs w:val="24"/>
        </w:rPr>
        <w:t>amend this requirement in</w:t>
      </w:r>
      <w:r w:rsidRPr="00A02F67" w:rsidR="00A02F67">
        <w:rPr>
          <w:rFonts w:eastAsia="Times New Roman" w:cs="Times New Roman"/>
          <w:color w:val="000000"/>
          <w:szCs w:val="24"/>
        </w:rPr>
        <w:t xml:space="preserve"> </w:t>
      </w:r>
      <w:r w:rsidR="00A02F67">
        <w:rPr>
          <w:rFonts w:eastAsia="Times New Roman" w:cs="Times New Roman"/>
          <w:color w:val="000000"/>
          <w:szCs w:val="24"/>
        </w:rPr>
        <w:t>Information Collection 3038-</w:t>
      </w:r>
      <w:r w:rsidR="009133C3">
        <w:rPr>
          <w:rFonts w:eastAsia="Times New Roman" w:cs="Times New Roman"/>
          <w:color w:val="000000"/>
          <w:szCs w:val="24"/>
        </w:rPr>
        <w:t>0089</w:t>
      </w:r>
      <w:r w:rsidRPr="00A02F67" w:rsidR="009133C3">
        <w:rPr>
          <w:rFonts w:eastAsia="Times New Roman" w:cs="Times New Roman"/>
          <w:color w:val="000000"/>
          <w:szCs w:val="24"/>
        </w:rPr>
        <w:t xml:space="preserve"> </w:t>
      </w:r>
      <w:r w:rsidRPr="00A02F67" w:rsidR="00A02F67">
        <w:rPr>
          <w:rFonts w:eastAsia="Times New Roman" w:cs="Times New Roman"/>
          <w:color w:val="000000"/>
          <w:szCs w:val="24"/>
        </w:rPr>
        <w:t xml:space="preserve">to account for </w:t>
      </w:r>
      <w:r w:rsidR="00FD472D">
        <w:rPr>
          <w:rFonts w:eastAsia="Times New Roman" w:cs="Times New Roman"/>
          <w:color w:val="000000"/>
          <w:szCs w:val="24"/>
        </w:rPr>
        <w:t>this</w:t>
      </w:r>
      <w:r w:rsidRPr="00A02F67" w:rsidR="00ED251F">
        <w:rPr>
          <w:rFonts w:eastAsia="Times New Roman" w:cs="Times New Roman"/>
          <w:color w:val="000000"/>
          <w:szCs w:val="24"/>
        </w:rPr>
        <w:t xml:space="preserve"> </w:t>
      </w:r>
      <w:r w:rsidR="00FD472D">
        <w:rPr>
          <w:rFonts w:eastAsia="Times New Roman" w:cs="Times New Roman"/>
          <w:color w:val="000000"/>
          <w:szCs w:val="24"/>
        </w:rPr>
        <w:t>amendment</w:t>
      </w:r>
      <w:r w:rsidR="00731C82">
        <w:rPr>
          <w:rFonts w:eastAsia="Times New Roman" w:cs="Times New Roman"/>
          <w:color w:val="000000"/>
          <w:szCs w:val="24"/>
        </w:rPr>
        <w:t>.</w:t>
      </w:r>
    </w:p>
    <w:p w:rsidR="00405AC8" w:rsidP="0066471D" w:rsidRDefault="00405AC8" w14:paraId="4AA0ACC5" w14:textId="77777777"/>
    <w:p w:rsidRPr="00FD472D" w:rsidR="00FD472D" w:rsidP="00FD472D" w:rsidRDefault="00FD472D" w14:paraId="2011CEC7" w14:textId="77777777">
      <w:pPr>
        <w:rPr>
          <w:bCs/>
        </w:rPr>
      </w:pPr>
      <w:r w:rsidRPr="00FD472D">
        <w:rPr>
          <w:bCs/>
        </w:rPr>
        <w:tab/>
        <w:t>Current § 46.11 provides that for pre-enactment or transition swaps for which part 46 requires reporting of continuation data, reporting counterparties reporting state data as provided in part 45 may fulfill the requirement to report errors or omissions by making appropriate corrections in their next daily report of state data pursuant to part 45. Since the Commission is proposing to remove this requirement from § 45.4, the Commission is also proposing to remove the option for state data reporting from § 46.11.</w:t>
      </w:r>
    </w:p>
    <w:p w:rsidRPr="00FD472D" w:rsidR="00A02F67" w:rsidP="00FD472D" w:rsidRDefault="00A02F67" w14:paraId="606FCFB3" w14:textId="149C0896">
      <w:pPr>
        <w:rPr>
          <w:bCs/>
        </w:rPr>
      </w:pPr>
    </w:p>
    <w:p w:rsidRPr="00B86819" w:rsidR="00642B6A" w:rsidP="00FE503D" w:rsidRDefault="00642B6A"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642B6A" w:rsidP="001577B2" w:rsidRDefault="009E356F" w14:paraId="50F4229B" w14:textId="251319D3">
      <w:pPr>
        <w:rPr>
          <w:rFonts w:eastAsia="Times New Roman" w:cs="Times New Roman"/>
          <w:color w:val="000000"/>
          <w:szCs w:val="24"/>
        </w:rPr>
      </w:pPr>
      <w:r>
        <w:rPr>
          <w:rFonts w:eastAsia="Times New Roman" w:cs="Times New Roman"/>
          <w:color w:val="000000"/>
          <w:szCs w:val="24"/>
        </w:rPr>
        <w:lastRenderedPageBreak/>
        <w:tab/>
        <w:t xml:space="preserve">The Commission’s regulations in </w:t>
      </w:r>
      <w:r w:rsidR="00DC1C85">
        <w:rPr>
          <w:rFonts w:eastAsia="Times New Roman" w:cs="Times New Roman"/>
          <w:color w:val="000000"/>
          <w:szCs w:val="24"/>
        </w:rPr>
        <w:t xml:space="preserve">Part </w:t>
      </w:r>
      <w:r>
        <w:rPr>
          <w:rFonts w:eastAsia="Times New Roman" w:cs="Times New Roman"/>
          <w:color w:val="000000"/>
          <w:szCs w:val="24"/>
        </w:rPr>
        <w:t>4</w:t>
      </w:r>
      <w:r w:rsidR="00DC1C85">
        <w:rPr>
          <w:rFonts w:eastAsia="Times New Roman" w:cs="Times New Roman"/>
          <w:color w:val="000000"/>
          <w:szCs w:val="24"/>
        </w:rPr>
        <w:t>6</w:t>
      </w:r>
      <w:r>
        <w:rPr>
          <w:rFonts w:eastAsia="Times New Roman" w:cs="Times New Roman"/>
          <w:color w:val="000000"/>
          <w:szCs w:val="24"/>
        </w:rPr>
        <w:t xml:space="preserve"> require reporting counterparties to report </w:t>
      </w:r>
      <w:r w:rsidR="00DC1C85">
        <w:rPr>
          <w:rFonts w:eastAsia="Times New Roman" w:cs="Times New Roman"/>
          <w:color w:val="000000"/>
          <w:szCs w:val="24"/>
        </w:rPr>
        <w:t xml:space="preserve">data for pre-enactment swap and transition swaps </w:t>
      </w:r>
      <w:r>
        <w:rPr>
          <w:rFonts w:eastAsia="Times New Roman" w:cs="Times New Roman"/>
          <w:color w:val="000000"/>
          <w:szCs w:val="24"/>
        </w:rPr>
        <w:t xml:space="preserve">to SDRs. The SDRs provide this data to the Commission directly. The Commission </w:t>
      </w:r>
      <w:r w:rsidR="0035705B">
        <w:rPr>
          <w:rFonts w:eastAsia="Times New Roman" w:cs="Times New Roman"/>
          <w:color w:val="000000"/>
          <w:szCs w:val="24"/>
        </w:rPr>
        <w:t xml:space="preserve">uses </w:t>
      </w:r>
      <w:r w:rsidR="00DC1C85">
        <w:rPr>
          <w:rFonts w:eastAsia="Times New Roman" w:cs="Times New Roman"/>
          <w:color w:val="000000"/>
          <w:szCs w:val="24"/>
        </w:rPr>
        <w:t xml:space="preserve">this </w:t>
      </w:r>
      <w:r>
        <w:rPr>
          <w:rFonts w:eastAsia="Times New Roman" w:cs="Times New Roman"/>
          <w:color w:val="000000"/>
          <w:szCs w:val="24"/>
        </w:rPr>
        <w:t>data in connection with fulfilling its regulatory duties.</w:t>
      </w:r>
    </w:p>
    <w:p w:rsidRPr="00B86819" w:rsidR="00B46731" w:rsidP="001577B2" w:rsidRDefault="00B46731" w14:paraId="0E543588" w14:textId="77777777">
      <w:pPr>
        <w:rPr>
          <w:rFonts w:eastAsia="Times New Roman" w:cs="Times New Roman"/>
          <w:color w:val="000000"/>
          <w:szCs w:val="24"/>
        </w:rPr>
      </w:pPr>
    </w:p>
    <w:p w:rsidRPr="00642B6A" w:rsidR="00642B6A" w:rsidP="00FE503D" w:rsidRDefault="00642B6A" w14:paraId="50F4229C" w14:textId="01173A35">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Pr="00642B6A" w:rsidR="00642B6A" w:rsidP="00AD0896" w:rsidRDefault="00836741" w14:paraId="50F4229D" w14:textId="68D26E78">
      <w:pPr>
        <w:tabs>
          <w:tab w:val="left" w:pos="-720"/>
          <w:tab w:val="left" w:pos="0"/>
        </w:tabs>
        <w:spacing w:after="240"/>
        <w:rPr>
          <w:rFonts w:eastAsia="Times New Roman" w:cs="Times New Roman"/>
          <w:szCs w:val="24"/>
        </w:rPr>
      </w:pPr>
      <w:r>
        <w:rPr>
          <w:rFonts w:eastAsia="Times New Roman" w:cs="Times New Roman"/>
          <w:szCs w:val="24"/>
        </w:rPr>
        <w:tab/>
      </w:r>
      <w:r w:rsidRPr="00B46731" w:rsidR="00B46731">
        <w:rPr>
          <w:rFonts w:eastAsia="Times New Roman" w:cs="Times New Roman"/>
          <w:szCs w:val="24"/>
        </w:rPr>
        <w:t xml:space="preserve">All of the current and proposed information collections within Information Collection </w:t>
      </w:r>
      <w:r w:rsidR="00B46731">
        <w:rPr>
          <w:rFonts w:eastAsia="Times New Roman" w:cs="Times New Roman"/>
          <w:szCs w:val="24"/>
        </w:rPr>
        <w:t>3038-00</w:t>
      </w:r>
      <w:r w:rsidR="00DC1C85">
        <w:rPr>
          <w:rFonts w:eastAsia="Times New Roman" w:cs="Times New Roman"/>
          <w:szCs w:val="24"/>
        </w:rPr>
        <w:t>89</w:t>
      </w:r>
      <w:r w:rsidRPr="00B46731" w:rsidR="00B46731">
        <w:rPr>
          <w:rFonts w:eastAsia="Times New Roman" w:cs="Times New Roman"/>
          <w:szCs w:val="24"/>
        </w:rPr>
        <w:t xml:space="preserve"> involve the use of electronic collection protocols. All required data submissions to the Commission must be electronic.</w:t>
      </w:r>
    </w:p>
    <w:p w:rsidRPr="00642B6A" w:rsidR="00642B6A" w:rsidP="00FE503D" w:rsidRDefault="00642B6A"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Pr="00AD0896" w:rsidR="00642B6A" w:rsidP="00AD0896" w:rsidRDefault="00642B6A" w14:paraId="50F4229F" w14:textId="71CE19AB">
      <w:pPr>
        <w:tabs>
          <w:tab w:val="left" w:pos="-720"/>
        </w:tabs>
        <w:spacing w:after="240"/>
        <w:rPr>
          <w:rFonts w:eastAsia="Times New Roman" w:cs="Times New Roman"/>
          <w:b/>
          <w:szCs w:val="24"/>
        </w:rPr>
      </w:pPr>
      <w:r w:rsidRPr="00642B6A">
        <w:rPr>
          <w:rFonts w:eastAsia="Times New Roman" w:cs="Times New Roman"/>
          <w:szCs w:val="24"/>
        </w:rPr>
        <w:tab/>
      </w:r>
      <w:r w:rsidRPr="00AD0896" w:rsidR="00AD0896">
        <w:rPr>
          <w:rFonts w:eastAsia="Times New Roman" w:cs="Times New Roman"/>
          <w:szCs w:val="24"/>
        </w:rPr>
        <w:t xml:space="preserve">The information </w:t>
      </w:r>
      <w:r w:rsidR="00AD0896">
        <w:rPr>
          <w:rFonts w:eastAsia="Times New Roman" w:cs="Times New Roman"/>
          <w:szCs w:val="24"/>
        </w:rPr>
        <w:t xml:space="preserve">collected pursuant to part </w:t>
      </w:r>
      <w:r w:rsidR="00DC1C85">
        <w:rPr>
          <w:rFonts w:eastAsia="Times New Roman" w:cs="Times New Roman"/>
          <w:szCs w:val="24"/>
        </w:rPr>
        <w:t>46</w:t>
      </w:r>
      <w:r w:rsidRPr="00AD0896" w:rsidR="00DC1C85">
        <w:rPr>
          <w:rFonts w:eastAsia="Times New Roman" w:cs="Times New Roman"/>
          <w:szCs w:val="24"/>
        </w:rPr>
        <w:t xml:space="preserve"> </w:t>
      </w:r>
      <w:r w:rsidRPr="00AD0896" w:rsidR="00AD0896">
        <w:rPr>
          <w:rFonts w:eastAsia="Times New Roman" w:cs="Times New Roman"/>
          <w:szCs w:val="24"/>
        </w:rPr>
        <w:t xml:space="preserve">of the Commission’s regulations is not already collected by the Commission or other regulator for any other purpose and is not publicly available through </w:t>
      </w:r>
      <w:r w:rsidR="00AD0896">
        <w:rPr>
          <w:rFonts w:eastAsia="Times New Roman" w:cs="Times New Roman"/>
          <w:szCs w:val="24"/>
        </w:rPr>
        <w:t xml:space="preserve">another source. The data </w:t>
      </w:r>
      <w:r w:rsidRPr="00AD0896" w:rsidR="00AD0896">
        <w:rPr>
          <w:rFonts w:eastAsia="Times New Roman" w:cs="Times New Roman"/>
          <w:szCs w:val="24"/>
        </w:rPr>
        <w:t>is unique and no other similar</w:t>
      </w:r>
      <w:r w:rsidR="00330578">
        <w:rPr>
          <w:rFonts w:eastAsia="Times New Roman" w:cs="Times New Roman"/>
          <w:szCs w:val="24"/>
        </w:rPr>
        <w:t xml:space="preserve"> transaction-level</w:t>
      </w:r>
      <w:r w:rsidRPr="00AD0896" w:rsidR="00AD0896">
        <w:rPr>
          <w:rFonts w:eastAsia="Times New Roman" w:cs="Times New Roman"/>
          <w:szCs w:val="24"/>
        </w:rPr>
        <w:t xml:space="preserve"> information is available. There are no other existing regulations that could be modified to serve a similar purpose in any practical way.</w:t>
      </w:r>
    </w:p>
    <w:p w:rsidRPr="00642B6A" w:rsidR="00642B6A" w:rsidP="00FE503D" w:rsidRDefault="00642B6A" w14:paraId="50F422A0"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Pr="00642B6A" w:rsidR="00642B6A" w:rsidP="00AD0896" w:rsidRDefault="00642B6A" w14:paraId="50F422A1" w14:textId="06713F8E">
      <w:pPr>
        <w:tabs>
          <w:tab w:val="left" w:pos="-720"/>
        </w:tabs>
        <w:spacing w:after="240"/>
        <w:rPr>
          <w:rFonts w:eastAsia="Times New Roman" w:cs="Times New Roman"/>
          <w:szCs w:val="24"/>
        </w:rPr>
      </w:pPr>
      <w:r w:rsidRPr="00642B6A">
        <w:rPr>
          <w:rFonts w:eastAsia="Times New Roman" w:cs="Times New Roman"/>
          <w:szCs w:val="24"/>
        </w:rPr>
        <w:tab/>
      </w:r>
      <w:r w:rsidRPr="00AD0896" w:rsidR="00AD0896">
        <w:rPr>
          <w:rFonts w:eastAsia="Times New Roman" w:cs="Times New Roman"/>
          <w:szCs w:val="24"/>
        </w:rPr>
        <w:t>This collection of information would not involve any small busines</w:t>
      </w:r>
      <w:r w:rsidR="00AD0896">
        <w:rPr>
          <w:rFonts w:eastAsia="Times New Roman" w:cs="Times New Roman"/>
          <w:szCs w:val="24"/>
        </w:rPr>
        <w:t>s or other small entities. The Commission has previously established that</w:t>
      </w:r>
      <w:r w:rsidR="00DB5211">
        <w:rPr>
          <w:rFonts w:eastAsia="Times New Roman" w:cs="Times New Roman"/>
          <w:szCs w:val="24"/>
        </w:rPr>
        <w:t xml:space="preserve"> </w:t>
      </w:r>
      <w:r w:rsidRPr="00E010A4" w:rsidR="00DB5211">
        <w:rPr>
          <w:rFonts w:eastAsia="Times New Roman" w:cs="Times New Roman"/>
          <w:szCs w:val="24"/>
        </w:rPr>
        <w:t>DCMs, DCOs, MSPs, SDs, SDRs, and SEFs are not small entities. In addition, based on its review of publicly available data, the Commission believes that the overwhelming majority of non-SD/MSP/DCO reporting counterparties affected by this proposed rulemaking are eligible contract participants (“ECPs”) that the Commission has previously determined are not small entities or do not otherwise meet the definition of “small entity.” Accordingly, the Commission does not believe that this collection of information would affect a substantial number of small entities</w:t>
      </w:r>
      <w:r w:rsidR="00AD0896">
        <w:rPr>
          <w:rFonts w:eastAsia="Times New Roman" w:cs="Times New Roman"/>
          <w:szCs w:val="24"/>
        </w:rPr>
        <w:t>.</w:t>
      </w:r>
    </w:p>
    <w:p w:rsidRPr="00642B6A" w:rsidR="00642B6A" w:rsidP="00FE503D" w:rsidRDefault="00642B6A"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AD0896" w:rsidR="00AD0896" w:rsidP="00AD0896" w:rsidRDefault="00AD0896" w14:paraId="46B6C82E" w14:textId="6D290762">
      <w:pPr>
        <w:ind w:firstLine="720"/>
        <w:rPr>
          <w:rFonts w:eastAsia="Times New Roman" w:cs="Times New Roman"/>
          <w:color w:val="000000"/>
          <w:szCs w:val="24"/>
        </w:rPr>
      </w:pPr>
      <w:r>
        <w:rPr>
          <w:rFonts w:eastAsia="Times New Roman" w:cs="Times New Roman"/>
          <w:color w:val="000000"/>
          <w:szCs w:val="24"/>
        </w:rPr>
        <w:t xml:space="preserve">Without the required frequency of reporting set forth in the Commission’s regulations, </w:t>
      </w:r>
      <w:r w:rsidR="00330578">
        <w:rPr>
          <w:rFonts w:eastAsia="Times New Roman" w:cs="Times New Roman"/>
          <w:color w:val="000000"/>
          <w:szCs w:val="24"/>
        </w:rPr>
        <w:t>the Commission would be unable to fulfill its regulatory mandate of monitoring systemic risk.</w:t>
      </w:r>
    </w:p>
    <w:p w:rsidRPr="00642B6A" w:rsidR="00642B6A" w:rsidP="00642B6A" w:rsidRDefault="00642B6A" w14:paraId="50F422A3" w14:textId="77777777">
      <w:pPr>
        <w:ind w:firstLine="720"/>
        <w:rPr>
          <w:rFonts w:eastAsia="Times New Roman" w:cs="Times New Roman"/>
          <w:color w:val="000000"/>
          <w:szCs w:val="24"/>
        </w:rPr>
      </w:pPr>
    </w:p>
    <w:p w:rsidRPr="00642B6A" w:rsidR="00642B6A" w:rsidP="00FE503D" w:rsidRDefault="00642B6A"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Pr="00642B6A" w:rsidR="00642B6A" w:rsidP="00FE503D" w:rsidRDefault="00642B6A" w14:paraId="50F422A5"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lastRenderedPageBreak/>
        <w:t>requiring respondents to report information to the agency more often than quarterly;</w:t>
      </w:r>
    </w:p>
    <w:p w:rsidRPr="00642B6A" w:rsidR="00642B6A" w:rsidP="00642B6A" w:rsidRDefault="00642B6A" w14:paraId="50F422A6" w14:textId="5A0D2C57">
      <w:pPr>
        <w:tabs>
          <w:tab w:val="left" w:pos="-720"/>
        </w:tabs>
        <w:spacing w:after="240"/>
        <w:rPr>
          <w:rFonts w:eastAsia="Times New Roman" w:cs="Times New Roman"/>
          <w:szCs w:val="24"/>
        </w:rPr>
      </w:pPr>
      <w:r w:rsidRPr="00642B6A">
        <w:rPr>
          <w:rFonts w:eastAsia="Times New Roman" w:cs="Times New Roman"/>
          <w:szCs w:val="24"/>
        </w:rPr>
        <w:tab/>
      </w:r>
      <w:r w:rsidR="00330578">
        <w:rPr>
          <w:rFonts w:eastAsia="Times New Roman" w:cs="Times New Roman"/>
          <w:szCs w:val="24"/>
        </w:rPr>
        <w:t>Swap data</w:t>
      </w:r>
      <w:r w:rsidR="009402E6">
        <w:rPr>
          <w:rFonts w:eastAsia="Times New Roman" w:cs="Times New Roman"/>
          <w:szCs w:val="24"/>
        </w:rPr>
        <w:t xml:space="preserve"> is not required to be reported to the Commission.</w:t>
      </w:r>
    </w:p>
    <w:p w:rsidRPr="00642B6A" w:rsidR="00642B6A" w:rsidP="00FE503D" w:rsidRDefault="00642B6A" w14:paraId="50F422A7"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642B6A" w:rsidR="00642B6A" w:rsidP="00642B6A" w:rsidRDefault="00ED251F" w14:paraId="50F422A8" w14:textId="0B2F9EE9">
      <w:pPr>
        <w:tabs>
          <w:tab w:val="left" w:pos="-720"/>
          <w:tab w:val="left" w:pos="0"/>
          <w:tab w:val="left" w:pos="720"/>
        </w:tabs>
        <w:spacing w:after="240"/>
        <w:rPr>
          <w:rFonts w:eastAsia="Times New Roman" w:cs="Times New Roman"/>
          <w:szCs w:val="24"/>
        </w:rPr>
      </w:pPr>
      <w:r>
        <w:rPr>
          <w:rFonts w:eastAsia="Times New Roman" w:cs="Times New Roman"/>
          <w:szCs w:val="24"/>
        </w:rPr>
        <w:tab/>
      </w:r>
      <w:r w:rsidR="009402E6">
        <w:rPr>
          <w:rFonts w:eastAsia="Times New Roman" w:cs="Times New Roman"/>
          <w:szCs w:val="24"/>
        </w:rPr>
        <w:t>This does not apply.</w:t>
      </w:r>
    </w:p>
    <w:p w:rsidRPr="00642B6A" w:rsidR="00642B6A" w:rsidP="00FE503D" w:rsidRDefault="00642B6A" w14:paraId="50F422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Pr="00642B6A" w:rsidR="00642B6A" w:rsidP="00AD0896" w:rsidRDefault="00747BF5" w14:paraId="50F422AA" w14:textId="6EA1E273">
      <w:pPr>
        <w:tabs>
          <w:tab w:val="left" w:pos="-720"/>
          <w:tab w:val="left" w:pos="0"/>
          <w:tab w:val="left" w:pos="720"/>
        </w:tabs>
        <w:spacing w:after="240"/>
        <w:rPr>
          <w:rFonts w:eastAsia="Times New Roman" w:cs="Times New Roman"/>
          <w:b/>
          <w:szCs w:val="24"/>
        </w:rPr>
      </w:pPr>
      <w:r>
        <w:rPr>
          <w:rFonts w:eastAsia="Times New Roman" w:cs="Times New Roman"/>
          <w:szCs w:val="24"/>
        </w:rPr>
        <w:tab/>
      </w:r>
      <w:r w:rsidRPr="00AD0896" w:rsidR="00AD0896">
        <w:rPr>
          <w:rFonts w:eastAsia="Times New Roman" w:cs="Times New Roman"/>
          <w:szCs w:val="24"/>
        </w:rPr>
        <w:t>Not applicable, respondents are not required to submit more than an original and two copies of any document.</w:t>
      </w:r>
    </w:p>
    <w:p w:rsidRPr="00642B6A" w:rsidR="00642B6A" w:rsidP="00FE503D" w:rsidRDefault="00642B6A" w14:paraId="50F422AB" w14:textId="77777777">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Pr="00642B6A" w:rsidR="00642B6A" w:rsidP="00642B6A" w:rsidRDefault="00642B6A" w14:paraId="50F422AC" w14:textId="09D9E7DB">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Pr="00CE561C" w:rsidR="00BA10C3">
        <w:rPr>
          <w:rFonts w:eastAsia="Times New Roman" w:cs="Times New Roman"/>
          <w:szCs w:val="24"/>
        </w:rPr>
        <w:t xml:space="preserve">The proposed amendments to </w:t>
      </w:r>
      <w:r w:rsidR="00DC1C85">
        <w:rPr>
          <w:rFonts w:eastAsia="Times New Roman" w:cs="Times New Roman"/>
          <w:szCs w:val="24"/>
        </w:rPr>
        <w:t>P</w:t>
      </w:r>
      <w:r w:rsidRPr="00CE561C" w:rsidR="00DC1C85">
        <w:rPr>
          <w:rFonts w:eastAsia="Times New Roman" w:cs="Times New Roman"/>
          <w:szCs w:val="24"/>
        </w:rPr>
        <w:t>art 4</w:t>
      </w:r>
      <w:r w:rsidR="00DC1C85">
        <w:rPr>
          <w:rFonts w:eastAsia="Times New Roman" w:cs="Times New Roman"/>
          <w:szCs w:val="24"/>
        </w:rPr>
        <w:t xml:space="preserve">6 </w:t>
      </w:r>
      <w:r w:rsidRPr="00CE561C" w:rsidR="00BA10C3">
        <w:rPr>
          <w:rFonts w:eastAsia="Times New Roman" w:cs="Times New Roman"/>
          <w:szCs w:val="24"/>
        </w:rPr>
        <w:t>would not modify Information Collection 3038-00</w:t>
      </w:r>
      <w:r w:rsidR="00330578">
        <w:rPr>
          <w:rFonts w:eastAsia="Times New Roman" w:cs="Times New Roman"/>
          <w:szCs w:val="24"/>
        </w:rPr>
        <w:t>96</w:t>
      </w:r>
      <w:r w:rsidRPr="00CE561C" w:rsidR="00BA10C3">
        <w:rPr>
          <w:rFonts w:eastAsia="Times New Roman" w:cs="Times New Roman"/>
          <w:szCs w:val="24"/>
        </w:rPr>
        <w:t xml:space="preserve"> in regards to recordkeeping requirements</w:t>
      </w:r>
      <w:r w:rsidR="00CF4C53">
        <w:rPr>
          <w:rFonts w:eastAsia="Times New Roman" w:cs="Times New Roman"/>
          <w:szCs w:val="24"/>
        </w:rPr>
        <w:t>.</w:t>
      </w:r>
    </w:p>
    <w:p w:rsidRPr="00642B6A" w:rsidR="00642B6A" w:rsidP="00FE503D" w:rsidRDefault="00642B6A" w14:paraId="50F422A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97065" w:rsidP="00AD0896" w:rsidRDefault="00AD0896" w14:paraId="50F422AE" w14:textId="23D50D6F">
      <w:pPr>
        <w:tabs>
          <w:tab w:val="left" w:pos="-720"/>
          <w:tab w:val="left" w:pos="0"/>
          <w:tab w:val="left" w:pos="720"/>
        </w:tabs>
        <w:spacing w:after="240"/>
        <w:ind w:firstLine="720"/>
        <w:contextualSpacing/>
        <w:rPr>
          <w:rFonts w:eastAsia="Times New Roman" w:cs="Times New Roman"/>
        </w:rPr>
      </w:pPr>
      <w:r w:rsidRPr="00AD0896">
        <w:rPr>
          <w:rFonts w:eastAsia="Times New Roman" w:cs="Times New Roman"/>
        </w:rPr>
        <w:t>Not applicable, the proposed collection is not connected or related to any statistical survey.</w:t>
      </w:r>
    </w:p>
    <w:p w:rsidRPr="00642B6A" w:rsidR="00AD0896" w:rsidP="00AD0896" w:rsidRDefault="00AD0896" w14:paraId="6C30B678" w14:textId="77777777">
      <w:pPr>
        <w:tabs>
          <w:tab w:val="left" w:pos="-720"/>
          <w:tab w:val="left" w:pos="0"/>
          <w:tab w:val="left" w:pos="720"/>
        </w:tabs>
        <w:spacing w:after="240"/>
        <w:contextualSpacing/>
        <w:rPr>
          <w:rFonts w:eastAsia="Times New Roman" w:cs="Times New Roman"/>
        </w:rPr>
      </w:pPr>
    </w:p>
    <w:p w:rsidR="00642B6A" w:rsidP="004618A5" w:rsidRDefault="00642B6A" w14:paraId="50F422AF" w14:textId="77777777">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rsidRPr="004618A5" w:rsidR="00AD0896" w:rsidP="00AD0896" w:rsidRDefault="00AD0896" w14:paraId="71BC1115" w14:textId="25FAE5A8">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t>Not applicable, the proposed collection does not involve the use of any statistical data classification.</w:t>
      </w:r>
    </w:p>
    <w:p w:rsidR="00642B6A" w:rsidP="00FE503D" w:rsidRDefault="00642B6A" w14:paraId="50F422B0"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AD0896" w:rsidRDefault="00AD0896" w14:paraId="28473775" w14:textId="2C849FD6">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Not applicable, the proposed collection does not include any pledges of confidentiality that are not supported by authority established in statute or regulation.</w:t>
      </w:r>
    </w:p>
    <w:p w:rsidRPr="00B86819" w:rsidR="00642B6A" w:rsidP="00FE503D" w:rsidRDefault="00642B6A"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9497A" w:rsidR="00642B6A" w:rsidP="00E42A80" w:rsidRDefault="00AD0896" w14:paraId="50F422B2" w14:textId="30F7EB83">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lastRenderedPageBreak/>
        <w:t>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w:t>
      </w:r>
      <w:proofErr w:type="gramStart"/>
      <w:r w:rsidRPr="00AD0896">
        <w:rPr>
          <w:rFonts w:eastAsia="Times New Roman" w:cs="Times New Roman"/>
          <w:szCs w:val="24"/>
        </w:rPr>
        <w:t>)(</w:t>
      </w:r>
      <w:proofErr w:type="gramEnd"/>
      <w:r w:rsidRPr="00AD0896">
        <w:rPr>
          <w:rFonts w:eastAsia="Times New Roman" w:cs="Times New Roman"/>
          <w:szCs w:val="24"/>
        </w:rPr>
        <w:t xml:space="preserve">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p>
    <w:p w:rsidRPr="00642B6A" w:rsidR="00642B6A" w:rsidP="00FE503D" w:rsidRDefault="00642B6A"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Pr="00642B6A" w:rsidR="00653547" w:rsidP="007A1013" w:rsidRDefault="00B86819" w14:paraId="50F422B4" w14:textId="2399799D">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Pr="00AD0896" w:rsidR="00AD0896">
        <w:rPr>
          <w:rFonts w:eastAsia="Times New Roman" w:cs="Times New Roman"/>
          <w:szCs w:val="24"/>
        </w:rPr>
        <w:t>The Commission seeks public comment on any aspect of the proposed amendments to this collection of information in the proposing release for this proposed rulemaking.</w:t>
      </w:r>
    </w:p>
    <w:p w:rsidRPr="00642B6A" w:rsidR="00642B6A" w:rsidP="00FE503D" w:rsidRDefault="00642B6A" w14:paraId="50F422B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7A1013" w:rsidRDefault="007A1013" w14:paraId="50F422B6" w14:textId="002D470A">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rsidRPr="00642B6A" w:rsidR="00642B6A" w:rsidP="00FE503D" w:rsidRDefault="00642B6A"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Pr="007A1013" w:rsidR="00D945B5" w:rsidP="007A1013" w:rsidRDefault="00FB2184" w14:paraId="50F422B8" w14:textId="52831B7F">
      <w:pPr>
        <w:tabs>
          <w:tab w:val="left" w:pos="-720"/>
        </w:tabs>
        <w:spacing w:after="240"/>
        <w:ind w:firstLine="720"/>
        <w:rPr>
          <w:rFonts w:eastAsia="Times New Roman" w:cs="Times New Roman"/>
          <w:szCs w:val="24"/>
        </w:rPr>
      </w:pPr>
      <w:r w:rsidRPr="00FB2184">
        <w:rPr>
          <w:rFonts w:eastAsia="Times New Roman" w:cs="Times New Roman"/>
          <w:szCs w:val="24"/>
        </w:rPr>
        <w:t xml:space="preserve">The Commission does not provide respondents with an assurance of </w:t>
      </w:r>
      <w:proofErr w:type="gramStart"/>
      <w:r w:rsidRPr="00FB2184">
        <w:rPr>
          <w:rFonts w:eastAsia="Times New Roman" w:cs="Times New Roman"/>
          <w:szCs w:val="24"/>
        </w:rPr>
        <w:t>confidentiality  beyond</w:t>
      </w:r>
      <w:proofErr w:type="gramEnd"/>
      <w:r w:rsidRPr="00FB2184">
        <w:rPr>
          <w:rFonts w:eastAsia="Times New Roman" w:cs="Times New Roman"/>
          <w:szCs w:val="24"/>
        </w:rPr>
        <w:t xml:space="preserve"> that provided by applicable law. </w:t>
      </w:r>
      <w:r w:rsidRPr="007A1013" w:rsidR="007A1013">
        <w:rPr>
          <w:rFonts w:eastAsia="Times New Roman" w:cs="Times New Roman"/>
          <w:szCs w:val="24"/>
        </w:rPr>
        <w:t>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w:t>
      </w:r>
      <w:proofErr w:type="gramStart"/>
      <w:r w:rsidRPr="007A1013" w:rsidR="007A1013">
        <w:rPr>
          <w:rFonts w:eastAsia="Times New Roman" w:cs="Times New Roman"/>
          <w:szCs w:val="24"/>
        </w:rPr>
        <w:t>)(</w:t>
      </w:r>
      <w:proofErr w:type="gramEnd"/>
      <w:r w:rsidRPr="007A1013" w:rsidR="007A1013">
        <w:rPr>
          <w:rFonts w:eastAsia="Times New Roman" w:cs="Times New Roman"/>
          <w:szCs w:val="24"/>
        </w:rPr>
        <w:t xml:space="preserve">6) of the Act as well as in §§ </w:t>
      </w:r>
      <w:r w:rsidR="007A1013">
        <w:rPr>
          <w:rFonts w:eastAsia="Times New Roman" w:cs="Times New Roman"/>
          <w:szCs w:val="24"/>
        </w:rPr>
        <w:t xml:space="preserve">43.4, </w:t>
      </w:r>
      <w:r w:rsidRPr="007A1013" w:rsidR="007A1013">
        <w:rPr>
          <w:rFonts w:eastAsia="Times New Roman" w:cs="Times New Roman"/>
          <w:szCs w:val="24"/>
        </w:rPr>
        <w:t>49.16, 49.17, and 49.18, and parts 145 and 147 of the Commission’s regulations.</w:t>
      </w:r>
    </w:p>
    <w:p w:rsidRPr="00642B6A" w:rsidR="00642B6A" w:rsidP="00FE503D" w:rsidRDefault="00642B6A"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41C5" w:rsidR="008F41C5" w:rsidP="008F41C5" w:rsidRDefault="008F41C5" w14:paraId="6D0DBF20" w14:textId="77777777">
      <w:pPr>
        <w:tabs>
          <w:tab w:val="left" w:pos="-720"/>
        </w:tabs>
        <w:suppressAutoHyphens/>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Pr="00642B6A" w:rsidR="008F41C5" w:rsidP="008F41C5" w:rsidRDefault="008F41C5" w14:paraId="04A5B53A" w14:textId="77777777">
      <w:pPr>
        <w:tabs>
          <w:tab w:val="left" w:pos="-720"/>
        </w:tabs>
        <w:suppressAutoHyphens/>
        <w:rPr>
          <w:rFonts w:eastAsia="Times New Roman" w:cs="Times New Roman"/>
          <w:szCs w:val="24"/>
        </w:rPr>
      </w:pPr>
    </w:p>
    <w:p w:rsidRPr="00642B6A" w:rsidR="00642B6A" w:rsidP="00505251" w:rsidRDefault="00642B6A" w14:paraId="50F422BB" w14:textId="1D96D698">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rsidRDefault="00642B6A" w14:paraId="50F422BC" w14:textId="320B0D8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 xml:space="preserve">Consultation with a sample (fewer than ten) of </w:t>
      </w:r>
      <w:r w:rsidRPr="00642B6A">
        <w:rPr>
          <w:rFonts w:eastAsia="Times New Roman" w:cs="Times New Roman"/>
          <w:b/>
          <w:szCs w:val="24"/>
        </w:rPr>
        <w:lastRenderedPageBreak/>
        <w:t>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Pr="00642B6A" w:rsidR="00642B6A" w:rsidP="00FE503D" w:rsidRDefault="00642B6A" w14:paraId="50F422B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642B6A" w:rsidR="00642B6A" w:rsidP="00FE503D" w:rsidRDefault="00642B6A" w14:paraId="50F422BE" w14:textId="5292C408">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008B7145" w:rsidP="00DE5DA9" w:rsidRDefault="008F41C5" w14:paraId="65B0B072" w14:textId="77777777">
      <w:pPr>
        <w:ind w:firstLine="720"/>
        <w:rPr>
          <w:rFonts w:eastAsia="Times New Roman" w:cs="Times New Roman"/>
          <w:color w:val="000000"/>
          <w:szCs w:val="24"/>
        </w:rPr>
      </w:pPr>
      <w:r w:rsidRPr="008F41C5">
        <w:rPr>
          <w:rFonts w:eastAsia="Times New Roman" w:cs="Times New Roman"/>
          <w:color w:val="000000"/>
          <w:szCs w:val="24"/>
        </w:rPr>
        <w:t xml:space="preserve">Please see </w:t>
      </w:r>
      <w:r w:rsidR="00DC1C85">
        <w:rPr>
          <w:rFonts w:eastAsia="Times New Roman" w:cs="Times New Roman"/>
          <w:color w:val="000000"/>
          <w:szCs w:val="24"/>
        </w:rPr>
        <w:t>A</w:t>
      </w:r>
      <w:r w:rsidRPr="008F41C5" w:rsidR="00DC1C85">
        <w:rPr>
          <w:rFonts w:eastAsia="Times New Roman" w:cs="Times New Roman"/>
          <w:color w:val="000000"/>
          <w:szCs w:val="24"/>
        </w:rPr>
        <w:t xml:space="preserve">ttachment </w:t>
      </w:r>
      <w:r w:rsidRPr="008F41C5">
        <w:rPr>
          <w:rFonts w:eastAsia="Times New Roman" w:cs="Times New Roman"/>
          <w:color w:val="000000"/>
          <w:szCs w:val="24"/>
        </w:rPr>
        <w:t>A for the estimated hour burden for the proposed collections of information discussed in this supporting statement.</w:t>
      </w:r>
      <w:r w:rsidR="00DE5DA9">
        <w:rPr>
          <w:rFonts w:eastAsia="Times New Roman" w:cs="Times New Roman"/>
          <w:color w:val="000000"/>
          <w:szCs w:val="24"/>
        </w:rPr>
        <w:t xml:space="preserve">  </w:t>
      </w:r>
    </w:p>
    <w:p w:rsidR="008B7145" w:rsidP="00DE5DA9" w:rsidRDefault="008B7145" w14:paraId="3266914B" w14:textId="77777777">
      <w:pPr>
        <w:ind w:firstLine="720"/>
        <w:rPr>
          <w:rFonts w:eastAsia="Times New Roman" w:cs="Times New Roman"/>
          <w:color w:val="000000"/>
          <w:szCs w:val="24"/>
        </w:rPr>
      </w:pPr>
    </w:p>
    <w:p w:rsidR="00DE5DA9" w:rsidP="00DE5DA9" w:rsidRDefault="008B7145" w14:paraId="389F539A" w14:textId="1B4ED175">
      <w:pPr>
        <w:ind w:firstLine="720"/>
        <w:rPr>
          <w:rFonts w:eastAsia="Times New Roman"/>
          <w:color w:val="000000"/>
        </w:rPr>
      </w:pPr>
      <w:r>
        <w:rPr>
          <w:rFonts w:eastAsia="Times New Roman" w:cs="Times New Roman"/>
          <w:color w:val="000000"/>
          <w:szCs w:val="24"/>
        </w:rPr>
        <w:t xml:space="preserve">As noted above, to conform to the proposed changes to </w:t>
      </w:r>
      <w:r w:rsidRPr="00DE5DA9">
        <w:rPr>
          <w:rFonts w:eastAsia="Times New Roman"/>
          <w:color w:val="000000"/>
        </w:rPr>
        <w:t>§</w:t>
      </w:r>
      <w:r>
        <w:rPr>
          <w:rFonts w:eastAsia="Times New Roman"/>
          <w:color w:val="000000"/>
        </w:rPr>
        <w:t xml:space="preserve"> 45.4, the Commission is also proposing to remove the option for state data reporting from </w:t>
      </w:r>
      <w:r w:rsidRPr="00DE5DA9">
        <w:rPr>
          <w:rFonts w:eastAsia="Times New Roman"/>
          <w:color w:val="000000"/>
        </w:rPr>
        <w:t>§ 46.11</w:t>
      </w:r>
      <w:r>
        <w:rPr>
          <w:rFonts w:eastAsia="Times New Roman"/>
          <w:color w:val="000000"/>
        </w:rPr>
        <w:t xml:space="preserve">. </w:t>
      </w:r>
      <w:r w:rsidRPr="00DE5DA9" w:rsidR="00DE5DA9">
        <w:rPr>
          <w:rFonts w:eastAsia="Times New Roman"/>
          <w:color w:val="000000"/>
        </w:rPr>
        <w:t xml:space="preserve">The Commission believes the proposed change would reduce the number of continuation data reports reporting counterparties send SDRs for historical swaps by 50%. </w:t>
      </w:r>
      <w:r w:rsidR="00731C82">
        <w:rPr>
          <w:rFonts w:eastAsia="Times New Roman"/>
          <w:color w:val="000000"/>
        </w:rPr>
        <w:t>A</w:t>
      </w:r>
      <w:r>
        <w:rPr>
          <w:rFonts w:eastAsia="Times New Roman"/>
          <w:color w:val="000000"/>
        </w:rPr>
        <w:t xml:space="preserve">s shown on Attachment A, </w:t>
      </w:r>
      <w:r w:rsidRPr="00DE5DA9" w:rsidR="00DE5DA9">
        <w:rPr>
          <w:rFonts w:eastAsia="Times New Roman"/>
          <w:color w:val="000000"/>
        </w:rPr>
        <w:t>the Commission now estimates that to comply with proposed amended § 46</w:t>
      </w:r>
      <w:r w:rsidR="007E73BD">
        <w:rPr>
          <w:rFonts w:eastAsia="Times New Roman"/>
          <w:color w:val="000000"/>
        </w:rPr>
        <w:t>,</w:t>
      </w:r>
      <w:r w:rsidR="00906A3C">
        <w:rPr>
          <w:rFonts w:eastAsia="Times New Roman"/>
          <w:color w:val="000000"/>
        </w:rPr>
        <w:t xml:space="preserve"> the 625</w:t>
      </w:r>
      <w:r w:rsidR="00906A3C">
        <w:rPr>
          <w:rStyle w:val="FootnoteReference"/>
          <w:rFonts w:eastAsia="Times New Roman"/>
          <w:color w:val="000000"/>
        </w:rPr>
        <w:footnoteReference w:id="1"/>
      </w:r>
      <w:r w:rsidRPr="00DE5DA9" w:rsidR="00DE5DA9">
        <w:rPr>
          <w:rFonts w:eastAsia="Times New Roman"/>
          <w:color w:val="000000"/>
        </w:rPr>
        <w:t xml:space="preserve"> SD, MSP, and non-SD/MSP reporting counterparties that the Commission estimates are reporting historical swaps would each </w:t>
      </w:r>
      <w:r w:rsidR="007E73BD">
        <w:rPr>
          <w:rFonts w:eastAsia="Times New Roman"/>
          <w:color w:val="000000"/>
        </w:rPr>
        <w:t>spend 50% less time reporting their historical swaps</w:t>
      </w:r>
      <w:r w:rsidR="006657D1">
        <w:rPr>
          <w:rFonts w:eastAsia="Times New Roman"/>
          <w:color w:val="000000"/>
        </w:rPr>
        <w:t>, for a total annual reporting burden of 945 hours.</w:t>
      </w:r>
      <w:r w:rsidR="006657D1">
        <w:rPr>
          <w:rStyle w:val="FootnoteReference"/>
          <w:rFonts w:eastAsia="Times New Roman"/>
          <w:color w:val="000000"/>
        </w:rPr>
        <w:footnoteReference w:id="2"/>
      </w:r>
    </w:p>
    <w:p w:rsidR="00251F62" w:rsidP="00DE5DA9" w:rsidRDefault="00251F62" w14:paraId="1DB85E07" w14:textId="77777777">
      <w:pPr>
        <w:ind w:firstLine="720"/>
        <w:rPr>
          <w:rFonts w:eastAsia="Times New Roman"/>
          <w:color w:val="000000"/>
        </w:rPr>
      </w:pPr>
    </w:p>
    <w:p w:rsidR="009E6241" w:rsidP="00DE5DA9" w:rsidRDefault="00251F62" w14:paraId="39CD30C6" w14:textId="77777777">
      <w:pPr>
        <w:ind w:firstLine="720"/>
        <w:rPr>
          <w:rFonts w:eastAsia="Times New Roman"/>
          <w:color w:val="000000"/>
        </w:rPr>
      </w:pPr>
      <w:r w:rsidRPr="00251F62">
        <w:rPr>
          <w:rFonts w:eastAsia="Times New Roman"/>
          <w:color w:val="000000"/>
        </w:rPr>
        <w:t>In the last renewal for collection 3038-0089, the Commission estimated the total recordkeeping burden to be 78.225 hours per respondent, at a cost of $5,670 per entity, with an aggregate annual burden of 15,753 hours at an aggregate cost of $1,156,875. The Commission is not updating the recordk</w:t>
      </w:r>
      <w:r w:rsidR="009E6241">
        <w:rPr>
          <w:rFonts w:eastAsia="Times New Roman"/>
          <w:color w:val="000000"/>
        </w:rPr>
        <w:t xml:space="preserve">eeping requirements </w:t>
      </w:r>
      <w:bookmarkStart w:name="_GoBack" w:id="0"/>
      <w:bookmarkEnd w:id="0"/>
      <w:r w:rsidR="009E6241">
        <w:rPr>
          <w:rFonts w:eastAsia="Times New Roman"/>
          <w:color w:val="000000"/>
        </w:rPr>
        <w:t>in part 46.</w:t>
      </w:r>
    </w:p>
    <w:p w:rsidR="009E6241" w:rsidP="00DE5DA9" w:rsidRDefault="009E6241" w14:paraId="744AA1C0" w14:textId="77777777">
      <w:pPr>
        <w:ind w:firstLine="720"/>
        <w:rPr>
          <w:rFonts w:eastAsia="Times New Roman"/>
          <w:color w:val="000000"/>
        </w:rPr>
      </w:pPr>
    </w:p>
    <w:p w:rsidR="008F41C5" w:rsidP="008B7145" w:rsidRDefault="009E6241" w14:paraId="235558A2" w14:textId="50ED1202">
      <w:pPr>
        <w:rPr>
          <w:rFonts w:eastAsia="Times New Roman" w:cs="Times New Roman"/>
          <w:color w:val="000000"/>
          <w:szCs w:val="24"/>
        </w:rPr>
      </w:pPr>
      <w:r>
        <w:rPr>
          <w:rFonts w:eastAsia="Times New Roman" w:cs="Times New Roman"/>
          <w:color w:val="000000"/>
          <w:szCs w:val="24"/>
        </w:rPr>
        <w:tab/>
        <w:t>As a result of the proposed changes to the reporting burden,</w:t>
      </w:r>
      <w:r w:rsidRPr="009E6241">
        <w:rPr>
          <w:rFonts w:eastAsia="Times New Roman" w:cs="Times New Roman"/>
          <w:color w:val="000000"/>
          <w:szCs w:val="24"/>
        </w:rPr>
        <w:t xml:space="preserve"> the Commission’s estimated recordkeeping and reporting total </w:t>
      </w:r>
      <w:r>
        <w:rPr>
          <w:rFonts w:eastAsia="Times New Roman" w:cs="Times New Roman"/>
          <w:color w:val="000000"/>
          <w:szCs w:val="24"/>
        </w:rPr>
        <w:t xml:space="preserve">would be the estimated </w:t>
      </w:r>
      <w:r w:rsidRPr="009E6241">
        <w:rPr>
          <w:rFonts w:eastAsia="Times New Roman" w:cs="Times New Roman"/>
          <w:color w:val="000000"/>
          <w:szCs w:val="24"/>
        </w:rPr>
        <w:t>945 hours for reporting</w:t>
      </w:r>
      <w:r>
        <w:rPr>
          <w:rFonts w:eastAsia="Times New Roman" w:cs="Times New Roman"/>
          <w:color w:val="000000"/>
          <w:szCs w:val="24"/>
        </w:rPr>
        <w:t xml:space="preserve"> added</w:t>
      </w:r>
      <w:r w:rsidRPr="009E6241">
        <w:rPr>
          <w:rFonts w:eastAsia="Times New Roman" w:cs="Times New Roman"/>
          <w:color w:val="000000"/>
          <w:szCs w:val="24"/>
        </w:rPr>
        <w:t xml:space="preserve"> to the current 15,753 hours for recordkeeping</w:t>
      </w:r>
      <w:r>
        <w:rPr>
          <w:rFonts w:eastAsia="Times New Roman" w:cs="Times New Roman"/>
          <w:color w:val="000000"/>
          <w:szCs w:val="24"/>
        </w:rPr>
        <w:t xml:space="preserve"> that the Commission is not changing</w:t>
      </w:r>
      <w:r w:rsidRPr="009E6241">
        <w:rPr>
          <w:rFonts w:eastAsia="Times New Roman" w:cs="Times New Roman"/>
          <w:color w:val="000000"/>
          <w:szCs w:val="24"/>
        </w:rPr>
        <w:t>.</w:t>
      </w:r>
      <w:r>
        <w:rPr>
          <w:rFonts w:eastAsia="Times New Roman" w:cs="Times New Roman"/>
          <w:color w:val="000000"/>
          <w:szCs w:val="24"/>
        </w:rPr>
        <w:t xml:space="preserve"> The result is a total estimated recordkeeping an</w:t>
      </w:r>
      <w:r w:rsidR="0049098A">
        <w:rPr>
          <w:rFonts w:eastAsia="Times New Roman" w:cs="Times New Roman"/>
          <w:color w:val="000000"/>
          <w:szCs w:val="24"/>
        </w:rPr>
        <w:t xml:space="preserve">d report burden of 16,698 hours for </w:t>
      </w:r>
      <w:r w:rsidRPr="00783CCF" w:rsidR="0049098A">
        <w:rPr>
          <w:rFonts w:cs="Times New Roman"/>
          <w:szCs w:val="24"/>
        </w:rPr>
        <w:t>30,125</w:t>
      </w:r>
      <w:r w:rsidRPr="00783CCF" w:rsidR="0049098A">
        <w:rPr>
          <w:rFonts w:cs="Times New Roman"/>
          <w:szCs w:val="24"/>
        </w:rPr>
        <w:t xml:space="preserve"> total annual responses.</w:t>
      </w:r>
      <w:r w:rsidRPr="009E6241">
        <w:rPr>
          <w:rFonts w:eastAsia="Times New Roman" w:cs="Times New Roman"/>
          <w:color w:val="000000"/>
          <w:szCs w:val="24"/>
        </w:rPr>
        <w:t xml:space="preserve"> </w:t>
      </w:r>
      <w:r>
        <w:rPr>
          <w:rFonts w:eastAsia="Times New Roman" w:cs="Times New Roman"/>
          <w:color w:val="000000"/>
          <w:szCs w:val="24"/>
        </w:rPr>
        <w:t xml:space="preserve">The Commission notes that the total </w:t>
      </w:r>
      <w:r w:rsidRPr="009E6241">
        <w:rPr>
          <w:rFonts w:eastAsia="Times New Roman" w:cs="Times New Roman"/>
          <w:color w:val="000000"/>
          <w:szCs w:val="24"/>
        </w:rPr>
        <w:t xml:space="preserve">is </w:t>
      </w:r>
      <w:r w:rsidRPr="009E6241">
        <w:rPr>
          <w:rFonts w:eastAsia="Times New Roman" w:cs="Times New Roman"/>
          <w:i/>
          <w:color w:val="000000"/>
          <w:szCs w:val="24"/>
        </w:rPr>
        <w:t>not</w:t>
      </w:r>
      <w:r w:rsidRPr="009E6241">
        <w:rPr>
          <w:rFonts w:eastAsia="Times New Roman" w:cs="Times New Roman"/>
          <w:color w:val="000000"/>
          <w:szCs w:val="24"/>
        </w:rPr>
        <w:t xml:space="preserve"> the sum of all numbers in the “Aggregate annual burden hours  (all entities)” column</w:t>
      </w:r>
      <w:r>
        <w:rPr>
          <w:rFonts w:eastAsia="Times New Roman" w:cs="Times New Roman"/>
          <w:color w:val="000000"/>
          <w:szCs w:val="24"/>
        </w:rPr>
        <w:t xml:space="preserve"> in Attachment A</w:t>
      </w:r>
      <w:r w:rsidRPr="009E6241">
        <w:rPr>
          <w:rFonts w:eastAsia="Times New Roman" w:cs="Times New Roman"/>
          <w:color w:val="000000"/>
          <w:szCs w:val="24"/>
        </w:rPr>
        <w:t>.</w:t>
      </w:r>
    </w:p>
    <w:p w:rsidRPr="008F41C5" w:rsidR="009E6241" w:rsidP="008B7145" w:rsidRDefault="009E6241" w14:paraId="094566E9" w14:textId="77777777">
      <w:pPr>
        <w:rPr>
          <w:rFonts w:eastAsia="Times New Roman" w:cs="Times New Roman"/>
          <w:color w:val="000000"/>
          <w:szCs w:val="24"/>
        </w:rPr>
      </w:pPr>
    </w:p>
    <w:p w:rsidRPr="00642B6A" w:rsidR="00642B6A" w:rsidP="008F41C5" w:rsidRDefault="008F41C5" w14:paraId="50F422BF" w14:textId="2D4C5DA1">
      <w:pPr>
        <w:ind w:firstLine="720"/>
        <w:rPr>
          <w:rFonts w:eastAsia="Times New Roman" w:cs="Times New Roman"/>
          <w:color w:val="000000"/>
          <w:szCs w:val="24"/>
        </w:rPr>
      </w:pPr>
      <w:r w:rsidRPr="008F41C5">
        <w:rPr>
          <w:rFonts w:eastAsia="Times New Roman" w:cs="Times New Roman"/>
          <w:color w:val="000000"/>
          <w:szCs w:val="24"/>
        </w:rPr>
        <w:lastRenderedPageBreak/>
        <w:t>In calculating this cost estimate, the Commission estimates the appropriate wage rate based on salary information for the securities industry compiled by the Department of Labor’s Bureau of Labor Statistics (“BLS”). Commission staff arrived at an hourly rate of $72.23 using figures from a weighted average of salaries and bonuses across different professions contained in the most recent BLS Occupational Employme</w:t>
      </w:r>
      <w:r w:rsidR="00755F59">
        <w:rPr>
          <w:rFonts w:eastAsia="Times New Roman" w:cs="Times New Roman"/>
          <w:color w:val="000000"/>
          <w:szCs w:val="24"/>
        </w:rPr>
        <w:t xml:space="preserve">nt and Wages Report (May 2018) </w:t>
      </w:r>
      <w:r w:rsidRPr="008F41C5">
        <w:rPr>
          <w:rFonts w:eastAsia="Times New Roman" w:cs="Times New Roman"/>
          <w:color w:val="000000"/>
          <w:szCs w:val="24"/>
        </w:rPr>
        <w:t>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rsidRPr="00642B6A" w:rsidR="00642B6A" w:rsidP="00642B6A" w:rsidRDefault="00642B6A" w14:paraId="50F422C0" w14:textId="77777777">
      <w:pPr>
        <w:ind w:firstLine="720"/>
        <w:rPr>
          <w:rFonts w:eastAsia="Times New Roman" w:cs="Times New Roman"/>
          <w:color w:val="000000"/>
          <w:szCs w:val="24"/>
        </w:rPr>
      </w:pPr>
    </w:p>
    <w:p w:rsidRPr="00642B6A" w:rsidR="00642B6A" w:rsidP="00FE503D" w:rsidRDefault="00642B6A" w14:paraId="50F422C1" w14:textId="5F035295">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w:t>
      </w:r>
      <w:r w:rsidR="00C83EDF">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Pr="00642B6A" w:rsidR="00642B6A" w:rsidP="00FE503D" w:rsidRDefault="00642B6A" w14:paraId="50F422C2" w14:textId="1F35A16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sidR="00C83EDF">
        <w:rPr>
          <w:rFonts w:eastAsia="Times New Roman" w:cs="Times New Roman"/>
          <w:b/>
          <w:szCs w:val="24"/>
        </w:rPr>
        <w:t xml:space="preserve">services component. </w:t>
      </w:r>
      <w:r w:rsidRPr="00642B6A">
        <w:rPr>
          <w:rFonts w:eastAsia="Times New Roman" w:cs="Times New Roman"/>
          <w:b/>
          <w:szCs w:val="24"/>
        </w:rPr>
        <w:t>The estimates should take into account costs associated with generating, maintaining, and disclosing</w:t>
      </w:r>
      <w:r w:rsidR="00C83EDF">
        <w:rPr>
          <w:rFonts w:eastAsia="Times New Roman" w:cs="Times New Roman"/>
          <w:b/>
          <w:szCs w:val="24"/>
        </w:rPr>
        <w:t xml:space="preserve"> or providing the information. </w:t>
      </w:r>
      <w:r w:rsidRPr="00642B6A">
        <w:rPr>
          <w:rFonts w:eastAsia="Times New Roman" w:cs="Times New Roman"/>
          <w:b/>
          <w:szCs w:val="24"/>
        </w:rPr>
        <w:t>Include descriptions of methods used to estimate major costs factors including system and technology acquisition, expected useful life of capital equipment, the discount rate(s), and the time period over</w:t>
      </w:r>
      <w:r w:rsidR="00C83EDF">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rsidRPr="00642B6A" w:rsidR="00642B6A" w:rsidP="00FE503D" w:rsidRDefault="00642B6A" w14:paraId="50F422C3" w14:textId="5AA257E5">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sidR="00C83EDF">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42B6A" w:rsidR="00642B6A" w:rsidP="00FE503D" w:rsidRDefault="00642B6A" w14:paraId="50F422C4"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rsidR="00347613" w:rsidP="00642B6A" w:rsidRDefault="00FD472D" w14:paraId="157A3524" w14:textId="1D3D2ED0">
      <w:pPr>
        <w:ind w:firstLine="720"/>
        <w:rPr>
          <w:rFonts w:eastAsia="Times New Roman" w:cs="Times New Roman"/>
          <w:color w:val="000000"/>
          <w:szCs w:val="24"/>
        </w:rPr>
      </w:pPr>
      <w:r w:rsidRPr="00FD472D">
        <w:rPr>
          <w:rFonts w:eastAsia="Times New Roman" w:cs="Times New Roman"/>
          <w:color w:val="000000"/>
          <w:szCs w:val="24"/>
        </w:rPr>
        <w:t>The Commission does not believe this proposed amendment would require any system updates by SDRs or reporting counterparties. To the extent they did, these updates would be covered under the estimates for entities making updates to comply with the change proposed in § 45.4.</w:t>
      </w:r>
    </w:p>
    <w:p w:rsidRPr="00642B6A" w:rsidR="00FD472D" w:rsidP="00642B6A" w:rsidRDefault="00FD472D" w14:paraId="6C1BC3C4" w14:textId="77777777">
      <w:pPr>
        <w:ind w:firstLine="720"/>
        <w:rPr>
          <w:rFonts w:eastAsia="Times New Roman" w:cs="Times New Roman"/>
          <w:color w:val="000000"/>
          <w:szCs w:val="24"/>
        </w:rPr>
      </w:pPr>
    </w:p>
    <w:p w:rsidRPr="00642B6A" w:rsidR="00642B6A" w:rsidP="00FE503D" w:rsidRDefault="00642B6A" w14:paraId="50F422C7" w14:textId="3471EF54">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sidR="00C83EDF">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C83EDF">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sidR="00C83EDF">
        <w:rPr>
          <w:rFonts w:eastAsia="Times New Roman" w:cs="Times New Roman"/>
          <w:b/>
          <w:szCs w:val="24"/>
        </w:rPr>
        <w:t xml:space="preserve"> 13, and 14 in a single table.</w:t>
      </w:r>
    </w:p>
    <w:p w:rsidRPr="00642B6A" w:rsidR="00642B6A" w:rsidP="007553BE" w:rsidRDefault="00642B6A" w14:paraId="50F422C8" w14:textId="4922392D">
      <w:pPr>
        <w:tabs>
          <w:tab w:val="left" w:pos="-720"/>
        </w:tabs>
        <w:spacing w:after="240"/>
        <w:rPr>
          <w:rFonts w:eastAsia="Times New Roman" w:cs="Times New Roman"/>
          <w:szCs w:val="24"/>
        </w:rPr>
      </w:pPr>
      <w:r w:rsidRPr="00642B6A">
        <w:rPr>
          <w:rFonts w:eastAsia="Times New Roman" w:cs="Times New Roman"/>
          <w:szCs w:val="24"/>
        </w:rPr>
        <w:tab/>
      </w:r>
      <w:r w:rsidR="007553BE">
        <w:rPr>
          <w:rFonts w:eastAsia="Times New Roman" w:cs="Times New Roman"/>
          <w:szCs w:val="24"/>
        </w:rPr>
        <w:t>The Commission does not</w:t>
      </w:r>
      <w:r w:rsidRPr="007553BE" w:rsidR="007553BE">
        <w:rPr>
          <w:rFonts w:eastAsia="Times New Roman" w:cs="Times New Roman"/>
          <w:szCs w:val="24"/>
        </w:rPr>
        <w:t xml:space="preserve"> anticipate that </w:t>
      </w:r>
      <w:r w:rsidR="007553BE">
        <w:rPr>
          <w:rFonts w:eastAsia="Times New Roman" w:cs="Times New Roman"/>
          <w:szCs w:val="24"/>
        </w:rPr>
        <w:t xml:space="preserve">the </w:t>
      </w:r>
      <w:r w:rsidRPr="007553BE" w:rsidR="007553BE">
        <w:rPr>
          <w:rFonts w:eastAsia="Times New Roman" w:cs="Times New Roman"/>
          <w:szCs w:val="24"/>
        </w:rPr>
        <w:t>proposed changes will require additional staff time or technology resources beyond what is already dedicated to this collection, as discussed in previous filings related to Information C</w:t>
      </w:r>
      <w:r w:rsidR="007553BE">
        <w:rPr>
          <w:rFonts w:eastAsia="Times New Roman" w:cs="Times New Roman"/>
          <w:szCs w:val="24"/>
        </w:rPr>
        <w:t>ollection 3038-</w:t>
      </w:r>
      <w:r w:rsidR="00DC1C85">
        <w:rPr>
          <w:rFonts w:eastAsia="Times New Roman" w:cs="Times New Roman"/>
          <w:szCs w:val="24"/>
        </w:rPr>
        <w:t>0089</w:t>
      </w:r>
      <w:r w:rsidRPr="007553BE" w:rsidR="007553BE">
        <w:rPr>
          <w:rFonts w:eastAsia="Times New Roman" w:cs="Times New Roman"/>
          <w:szCs w:val="24"/>
        </w:rPr>
        <w:t>.</w:t>
      </w:r>
    </w:p>
    <w:p w:rsidRPr="00642B6A" w:rsidR="00642B6A" w:rsidP="00FE503D" w:rsidRDefault="00642B6A"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Pr="00642B6A" w:rsidR="00642B6A" w:rsidP="00BE76BF" w:rsidRDefault="00642B6A" w14:paraId="50F422CA" w14:textId="75D04063">
      <w:pPr>
        <w:tabs>
          <w:tab w:val="left" w:pos="-720"/>
        </w:tabs>
        <w:spacing w:after="240"/>
        <w:rPr>
          <w:rFonts w:eastAsia="Times New Roman" w:cs="Times New Roman"/>
          <w:szCs w:val="24"/>
        </w:rPr>
      </w:pPr>
      <w:r w:rsidRPr="00642B6A">
        <w:rPr>
          <w:rFonts w:eastAsia="Times New Roman" w:cs="Times New Roman"/>
          <w:szCs w:val="24"/>
        </w:rPr>
        <w:tab/>
      </w:r>
      <w:r w:rsidRPr="00752AE8" w:rsidR="00752AE8">
        <w:rPr>
          <w:rFonts w:eastAsia="Times New Roman" w:cs="Times New Roman"/>
          <w:szCs w:val="24"/>
        </w:rPr>
        <w:t>As discussed above, the Commission is</w:t>
      </w:r>
      <w:r w:rsidR="00752AE8">
        <w:rPr>
          <w:rFonts w:eastAsia="Times New Roman" w:cs="Times New Roman"/>
          <w:szCs w:val="24"/>
        </w:rPr>
        <w:t xml:space="preserve"> proposing amendments to </w:t>
      </w:r>
      <w:r w:rsidR="00DC1C85">
        <w:rPr>
          <w:rFonts w:eastAsia="Times New Roman" w:cs="Times New Roman"/>
          <w:szCs w:val="24"/>
        </w:rPr>
        <w:t>P</w:t>
      </w:r>
      <w:r w:rsidR="00752AE8">
        <w:rPr>
          <w:rFonts w:eastAsia="Times New Roman" w:cs="Times New Roman"/>
          <w:szCs w:val="24"/>
        </w:rPr>
        <w:t>art 4</w:t>
      </w:r>
      <w:r w:rsidR="00DC1C85">
        <w:rPr>
          <w:rFonts w:eastAsia="Times New Roman" w:cs="Times New Roman"/>
          <w:szCs w:val="24"/>
        </w:rPr>
        <w:t>6</w:t>
      </w:r>
      <w:r w:rsidRPr="00752AE8" w:rsidR="00752AE8">
        <w:rPr>
          <w:rFonts w:eastAsia="Times New Roman" w:cs="Times New Roman"/>
          <w:szCs w:val="24"/>
        </w:rPr>
        <w:t xml:space="preserve"> of the Commission</w:t>
      </w:r>
      <w:r w:rsidR="00AA013C">
        <w:rPr>
          <w:rFonts w:eastAsia="Times New Roman" w:cs="Times New Roman"/>
          <w:szCs w:val="24"/>
        </w:rPr>
        <w:t>’s</w:t>
      </w:r>
      <w:r w:rsidRPr="00752AE8" w:rsidR="00752AE8">
        <w:rPr>
          <w:rFonts w:eastAsia="Times New Roman" w:cs="Times New Roman"/>
          <w:szCs w:val="24"/>
        </w:rPr>
        <w:t xml:space="preserve"> regulations in order to improve the quality of </w:t>
      </w:r>
      <w:r w:rsidR="00625287">
        <w:rPr>
          <w:rFonts w:eastAsia="Times New Roman" w:cs="Times New Roman"/>
          <w:szCs w:val="24"/>
        </w:rPr>
        <w:t xml:space="preserve">swap data and </w:t>
      </w:r>
      <w:r w:rsidRPr="00752AE8" w:rsidR="00752AE8">
        <w:rPr>
          <w:rFonts w:eastAsia="Times New Roman" w:cs="Times New Roman"/>
          <w:szCs w:val="24"/>
        </w:rPr>
        <w:t>to streamline regulatory requirements govern</w:t>
      </w:r>
      <w:r w:rsidR="00752AE8">
        <w:rPr>
          <w:rFonts w:eastAsia="Times New Roman" w:cs="Times New Roman"/>
          <w:szCs w:val="24"/>
        </w:rPr>
        <w:t>ing data reporting</w:t>
      </w:r>
      <w:r w:rsidRPr="00752AE8" w:rsidR="00752AE8">
        <w:rPr>
          <w:rFonts w:eastAsia="Times New Roman" w:cs="Times New Roman"/>
          <w:szCs w:val="24"/>
        </w:rPr>
        <w:t xml:space="preserve">. This supporting statement discusses adjustments to burden </w:t>
      </w:r>
      <w:proofErr w:type="gramStart"/>
      <w:r w:rsidRPr="00752AE8" w:rsidR="00752AE8">
        <w:rPr>
          <w:rFonts w:eastAsia="Times New Roman" w:cs="Times New Roman"/>
          <w:szCs w:val="24"/>
        </w:rPr>
        <w:t>hours</w:t>
      </w:r>
      <w:proofErr w:type="gramEnd"/>
      <w:r w:rsidRPr="00752AE8" w:rsidR="00752AE8">
        <w:rPr>
          <w:rFonts w:eastAsia="Times New Roman" w:cs="Times New Roman"/>
          <w:szCs w:val="24"/>
        </w:rPr>
        <w:t xml:space="preserve"> calculations for </w:t>
      </w:r>
      <w:r w:rsidR="00752AE8">
        <w:rPr>
          <w:rFonts w:eastAsia="Times New Roman" w:cs="Times New Roman"/>
          <w:szCs w:val="24"/>
        </w:rPr>
        <w:t>Information Collection 3038-00</w:t>
      </w:r>
      <w:r w:rsidR="00DC1C85">
        <w:rPr>
          <w:rFonts w:eastAsia="Times New Roman" w:cs="Times New Roman"/>
          <w:szCs w:val="24"/>
        </w:rPr>
        <w:t>89</w:t>
      </w:r>
      <w:r w:rsidRPr="00752AE8" w:rsidR="00752AE8">
        <w:rPr>
          <w:rFonts w:eastAsia="Times New Roman" w:cs="Times New Roman"/>
          <w:szCs w:val="24"/>
        </w:rPr>
        <w:t xml:space="preserve"> to account for modified </w:t>
      </w:r>
      <w:r w:rsidR="00FD472D">
        <w:rPr>
          <w:rFonts w:eastAsia="Times New Roman" w:cs="Times New Roman"/>
          <w:szCs w:val="24"/>
        </w:rPr>
        <w:t xml:space="preserve">burdens </w:t>
      </w:r>
      <w:r w:rsidRPr="00752AE8" w:rsidR="00752AE8">
        <w:rPr>
          <w:rFonts w:eastAsia="Times New Roman" w:cs="Times New Roman"/>
          <w:szCs w:val="24"/>
        </w:rPr>
        <w:t>associated with the proposed changes to t</w:t>
      </w:r>
      <w:r w:rsidR="00752AE8">
        <w:rPr>
          <w:rFonts w:eastAsia="Times New Roman" w:cs="Times New Roman"/>
          <w:szCs w:val="24"/>
        </w:rPr>
        <w:t xml:space="preserve">he regulation. The Commission </w:t>
      </w:r>
      <w:r w:rsidRPr="00752AE8" w:rsidR="00752AE8">
        <w:rPr>
          <w:rFonts w:eastAsia="Times New Roman" w:cs="Times New Roman"/>
          <w:szCs w:val="24"/>
        </w:rPr>
        <w:t xml:space="preserve">is </w:t>
      </w:r>
      <w:r w:rsidR="00FD472D">
        <w:rPr>
          <w:rFonts w:eastAsia="Times New Roman" w:cs="Times New Roman"/>
          <w:szCs w:val="24"/>
        </w:rPr>
        <w:t>not</w:t>
      </w:r>
      <w:r w:rsidRPr="00752AE8" w:rsidR="00752AE8">
        <w:rPr>
          <w:rFonts w:eastAsia="Times New Roman" w:cs="Times New Roman"/>
          <w:szCs w:val="24"/>
        </w:rPr>
        <w:t xml:space="preserve"> updating the overall burden hours, collection volumes, and costs related to </w:t>
      </w:r>
      <w:r w:rsidR="00752AE8">
        <w:rPr>
          <w:rFonts w:eastAsia="Times New Roman" w:cs="Times New Roman"/>
          <w:szCs w:val="24"/>
        </w:rPr>
        <w:t>Information Collection 3038-00</w:t>
      </w:r>
      <w:r w:rsidR="00FD472D">
        <w:rPr>
          <w:rFonts w:eastAsia="Times New Roman" w:cs="Times New Roman"/>
          <w:szCs w:val="24"/>
        </w:rPr>
        <w:t>89.</w:t>
      </w:r>
    </w:p>
    <w:p w:rsidRPr="00642B6A" w:rsidR="00642B6A" w:rsidP="00FE503D" w:rsidRDefault="00642B6A" w14:paraId="50F422CB" w14:textId="0616E26F">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sidR="00C83EDF">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Pr="00642B6A" w:rsidR="00642B6A" w:rsidP="00642B6A" w:rsidRDefault="00642B6A" w14:paraId="50F422CC" w14:textId="0731BBEC">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results of this collection of information are not planned to be published for statistical use.</w:t>
      </w:r>
    </w:p>
    <w:p w:rsidRPr="00642B6A" w:rsidR="00642B6A" w:rsidP="00FE503D" w:rsidRDefault="00642B6A"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Pr="00642B6A" w:rsidR="00642B6A" w:rsidP="00642B6A" w:rsidRDefault="00642B6A" w14:paraId="50F422CE" w14:textId="7D71A652">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Commission is not seeking such approval for this publication.</w:t>
      </w:r>
    </w:p>
    <w:p w:rsidRPr="00642B6A" w:rsidR="00642B6A" w:rsidP="00FE503D" w:rsidRDefault="00642B6A" w14:paraId="50F422CF"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P="009D00FB" w:rsidRDefault="00642B6A" w14:paraId="50F422D0" w14:textId="40F729D4">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there are no</w:t>
      </w:r>
      <w:r w:rsidR="00BE76BF">
        <w:rPr>
          <w:rFonts w:eastAsia="Times New Roman" w:cs="Times New Roman"/>
          <w:szCs w:val="24"/>
        </w:rPr>
        <w:t xml:space="preserve"> exceptions.</w:t>
      </w:r>
    </w:p>
    <w:p w:rsidR="00B74CE1" w:rsidRDefault="00B74CE1" w14:paraId="50F422D1" w14:textId="77777777">
      <w:pPr>
        <w:spacing w:after="200" w:line="276" w:lineRule="auto"/>
        <w:rPr>
          <w:rFonts w:eastAsia="Times New Roman" w:cs="Times New Roman"/>
          <w:szCs w:val="24"/>
        </w:rPr>
      </w:pPr>
      <w:r>
        <w:rPr>
          <w:rFonts w:eastAsia="Times New Roman" w:cs="Times New Roman"/>
          <w:szCs w:val="24"/>
        </w:rPr>
        <w:br w:type="page"/>
      </w:r>
    </w:p>
    <w:p w:rsidR="009D00FB" w:rsidRDefault="009D00FB" w14:paraId="50F422D2" w14:textId="77777777">
      <w:pPr>
        <w:spacing w:after="200" w:line="276" w:lineRule="auto"/>
        <w:rPr>
          <w:rFonts w:eastAsia="Times New Roman" w:cs="Times New Roman"/>
          <w:szCs w:val="24"/>
        </w:rPr>
      </w:pPr>
    </w:p>
    <w:p w:rsidR="00642B6A" w:rsidP="005E4E5C" w:rsidRDefault="00642B6A" w14:paraId="50F422D3" w14:textId="77777777">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rsidRPr="00CF4C53" w:rsidR="00E73934" w:rsidP="005E4E5C" w:rsidRDefault="00E73934" w14:paraId="50AE44B5" w14:textId="543F376F">
      <w:pPr>
        <w:tabs>
          <w:tab w:val="left" w:pos="-720"/>
        </w:tabs>
        <w:spacing w:after="240"/>
        <w:jc w:val="center"/>
        <w:rPr>
          <w:rFonts w:eastAsia="Times New Roman" w:cs="Times New Roman"/>
          <w:szCs w:val="24"/>
        </w:rPr>
      </w:pPr>
      <w:r w:rsidRPr="00CF4C53">
        <w:rPr>
          <w:rFonts w:eastAsia="Times New Roman" w:cs="Times New Roman"/>
          <w:szCs w:val="24"/>
        </w:rPr>
        <w:t>Reporting Burden</w:t>
      </w:r>
    </w:p>
    <w:tbl>
      <w:tblPr>
        <w:tblStyle w:val="TableGrid"/>
        <w:tblW w:w="10191" w:type="dxa"/>
        <w:tblInd w:w="93" w:type="dxa"/>
        <w:tblLook w:val="04A0" w:firstRow="1" w:lastRow="0" w:firstColumn="1" w:lastColumn="0" w:noHBand="0" w:noVBand="1"/>
      </w:tblPr>
      <w:tblGrid>
        <w:gridCol w:w="3494"/>
        <w:gridCol w:w="1159"/>
        <w:gridCol w:w="1472"/>
        <w:gridCol w:w="1452"/>
        <w:gridCol w:w="2614"/>
      </w:tblGrid>
      <w:tr w:rsidRPr="00E73934" w:rsidR="00E73934" w:rsidTr="00CF4C53" w14:paraId="07A97AAE" w14:textId="77777777">
        <w:trPr>
          <w:trHeight w:val="1152"/>
        </w:trPr>
        <w:tc>
          <w:tcPr>
            <w:tcW w:w="3494" w:type="dxa"/>
            <w:vMerge w:val="restart"/>
            <w:hideMark/>
          </w:tcPr>
          <w:p w:rsidRPr="00E73934" w:rsidR="00E73934" w:rsidP="00E73934" w:rsidRDefault="00E73934" w14:paraId="2A789D0B" w14:textId="77777777">
            <w:pPr>
              <w:tabs>
                <w:tab w:val="left" w:pos="-720"/>
                <w:tab w:val="left" w:pos="0"/>
              </w:tabs>
              <w:suppressAutoHyphens/>
              <w:rPr>
                <w:rFonts w:eastAsia="Calibri" w:cs="Times New Roman"/>
                <w:szCs w:val="24"/>
              </w:rPr>
            </w:pPr>
            <w:r w:rsidRPr="00E73934">
              <w:rPr>
                <w:rFonts w:eastAsia="Calibri" w:cs="Times New Roman"/>
                <w:szCs w:val="24"/>
              </w:rPr>
              <w:t>Entity</w:t>
            </w:r>
          </w:p>
        </w:tc>
        <w:tc>
          <w:tcPr>
            <w:tcW w:w="1159" w:type="dxa"/>
            <w:vMerge w:val="restart"/>
            <w:hideMark/>
          </w:tcPr>
          <w:p w:rsidRPr="00E73934" w:rsidR="00E73934" w:rsidP="00E73934" w:rsidRDefault="00E73934" w14:paraId="702D6C5C" w14:textId="77777777">
            <w:pPr>
              <w:tabs>
                <w:tab w:val="left" w:pos="-720"/>
                <w:tab w:val="left" w:pos="0"/>
              </w:tabs>
              <w:suppressAutoHyphens/>
              <w:rPr>
                <w:rFonts w:eastAsia="Calibri" w:cs="Times New Roman"/>
                <w:szCs w:val="24"/>
              </w:rPr>
            </w:pPr>
            <w:r w:rsidRPr="00E73934">
              <w:rPr>
                <w:rFonts w:eastAsia="Calibri" w:cs="Times New Roman"/>
                <w:szCs w:val="24"/>
              </w:rPr>
              <w:t>Annual burden hours      (per entity)</w:t>
            </w:r>
          </w:p>
        </w:tc>
        <w:tc>
          <w:tcPr>
            <w:tcW w:w="1472" w:type="dxa"/>
            <w:vMerge w:val="restart"/>
            <w:hideMark/>
          </w:tcPr>
          <w:p w:rsidRPr="00E73934" w:rsidR="00E73934" w:rsidP="00E73934" w:rsidRDefault="00E73934" w14:paraId="1CBFCC73" w14:textId="77777777">
            <w:pPr>
              <w:tabs>
                <w:tab w:val="left" w:pos="-720"/>
                <w:tab w:val="left" w:pos="0"/>
              </w:tabs>
              <w:suppressAutoHyphens/>
              <w:rPr>
                <w:rFonts w:eastAsia="Calibri" w:cs="Times New Roman"/>
                <w:szCs w:val="24"/>
              </w:rPr>
            </w:pPr>
            <w:r w:rsidRPr="00E73934">
              <w:rPr>
                <w:rFonts w:eastAsia="Calibri" w:cs="Times New Roman"/>
                <w:szCs w:val="24"/>
              </w:rPr>
              <w:t>Annual cost       (per entity)</w:t>
            </w:r>
          </w:p>
        </w:tc>
        <w:tc>
          <w:tcPr>
            <w:tcW w:w="1452" w:type="dxa"/>
            <w:vMerge w:val="restart"/>
            <w:hideMark/>
          </w:tcPr>
          <w:p w:rsidRPr="00E73934" w:rsidR="00E73934" w:rsidP="00E73934" w:rsidRDefault="00E73934" w14:paraId="05130ABC" w14:textId="77777777">
            <w:pPr>
              <w:tabs>
                <w:tab w:val="left" w:pos="-720"/>
                <w:tab w:val="left" w:pos="0"/>
              </w:tabs>
              <w:suppressAutoHyphens/>
              <w:rPr>
                <w:rFonts w:eastAsia="Calibri" w:cs="Times New Roman"/>
                <w:szCs w:val="24"/>
              </w:rPr>
            </w:pPr>
            <w:r w:rsidRPr="00E73934">
              <w:rPr>
                <w:rFonts w:eastAsia="Calibri" w:cs="Times New Roman"/>
                <w:szCs w:val="24"/>
              </w:rPr>
              <w:t>Aggregate annual burden hours  (all entities)</w:t>
            </w:r>
          </w:p>
        </w:tc>
        <w:tc>
          <w:tcPr>
            <w:tcW w:w="2614" w:type="dxa"/>
            <w:vMerge w:val="restart"/>
            <w:hideMark/>
          </w:tcPr>
          <w:p w:rsidRPr="00E73934" w:rsidR="00E73934" w:rsidP="00E73934" w:rsidRDefault="00E73934" w14:paraId="468F6F31" w14:textId="77777777">
            <w:pPr>
              <w:tabs>
                <w:tab w:val="left" w:pos="-720"/>
                <w:tab w:val="left" w:pos="0"/>
              </w:tabs>
              <w:suppressAutoHyphens/>
              <w:rPr>
                <w:rFonts w:eastAsia="Calibri" w:cs="Times New Roman"/>
                <w:szCs w:val="24"/>
              </w:rPr>
            </w:pPr>
            <w:r w:rsidRPr="00E73934">
              <w:rPr>
                <w:rFonts w:eastAsia="Calibri" w:cs="Times New Roman"/>
                <w:szCs w:val="24"/>
              </w:rPr>
              <w:t>Aggregate annual cost    (all entities)</w:t>
            </w:r>
          </w:p>
        </w:tc>
      </w:tr>
      <w:tr w:rsidRPr="00E73934" w:rsidR="00E73934" w:rsidTr="00CF4C53" w14:paraId="61A4B3F5" w14:textId="77777777">
        <w:trPr>
          <w:trHeight w:val="288"/>
        </w:trPr>
        <w:tc>
          <w:tcPr>
            <w:tcW w:w="3494" w:type="dxa"/>
            <w:vMerge/>
            <w:hideMark/>
          </w:tcPr>
          <w:p w:rsidRPr="00E73934" w:rsidR="00E73934" w:rsidP="00E73934" w:rsidRDefault="00E73934" w14:paraId="0BD40A74" w14:textId="77777777">
            <w:pPr>
              <w:tabs>
                <w:tab w:val="left" w:pos="-720"/>
                <w:tab w:val="left" w:pos="0"/>
              </w:tabs>
              <w:suppressAutoHyphens/>
              <w:rPr>
                <w:rFonts w:eastAsia="Calibri" w:cs="Times New Roman"/>
                <w:szCs w:val="24"/>
              </w:rPr>
            </w:pPr>
          </w:p>
        </w:tc>
        <w:tc>
          <w:tcPr>
            <w:tcW w:w="1159" w:type="dxa"/>
            <w:vMerge/>
            <w:hideMark/>
          </w:tcPr>
          <w:p w:rsidRPr="00E73934" w:rsidR="00E73934" w:rsidP="00E73934" w:rsidRDefault="00E73934" w14:paraId="60A1C22E" w14:textId="77777777">
            <w:pPr>
              <w:tabs>
                <w:tab w:val="left" w:pos="-720"/>
                <w:tab w:val="left" w:pos="0"/>
              </w:tabs>
              <w:suppressAutoHyphens/>
              <w:rPr>
                <w:rFonts w:eastAsia="Calibri" w:cs="Times New Roman"/>
                <w:szCs w:val="24"/>
              </w:rPr>
            </w:pPr>
          </w:p>
        </w:tc>
        <w:tc>
          <w:tcPr>
            <w:tcW w:w="1472" w:type="dxa"/>
            <w:vMerge/>
            <w:hideMark/>
          </w:tcPr>
          <w:p w:rsidRPr="00E73934" w:rsidR="00E73934" w:rsidP="00E73934" w:rsidRDefault="00E73934" w14:paraId="6B07B082" w14:textId="77777777">
            <w:pPr>
              <w:tabs>
                <w:tab w:val="left" w:pos="-720"/>
                <w:tab w:val="left" w:pos="0"/>
              </w:tabs>
              <w:suppressAutoHyphens/>
              <w:rPr>
                <w:rFonts w:eastAsia="Calibri" w:cs="Times New Roman"/>
                <w:szCs w:val="24"/>
              </w:rPr>
            </w:pPr>
          </w:p>
        </w:tc>
        <w:tc>
          <w:tcPr>
            <w:tcW w:w="1452" w:type="dxa"/>
            <w:vMerge/>
            <w:hideMark/>
          </w:tcPr>
          <w:p w:rsidRPr="00E73934" w:rsidR="00E73934" w:rsidP="00E73934" w:rsidRDefault="00E73934" w14:paraId="210B6E47" w14:textId="77777777">
            <w:pPr>
              <w:tabs>
                <w:tab w:val="left" w:pos="-720"/>
                <w:tab w:val="left" w:pos="0"/>
              </w:tabs>
              <w:suppressAutoHyphens/>
              <w:rPr>
                <w:rFonts w:eastAsia="Calibri" w:cs="Times New Roman"/>
                <w:szCs w:val="24"/>
              </w:rPr>
            </w:pPr>
          </w:p>
        </w:tc>
        <w:tc>
          <w:tcPr>
            <w:tcW w:w="2614" w:type="dxa"/>
            <w:vMerge/>
            <w:hideMark/>
          </w:tcPr>
          <w:p w:rsidRPr="00E73934" w:rsidR="00E73934" w:rsidP="00E73934" w:rsidRDefault="00E73934" w14:paraId="4E9267CB" w14:textId="77777777">
            <w:pPr>
              <w:tabs>
                <w:tab w:val="left" w:pos="-720"/>
                <w:tab w:val="left" w:pos="0"/>
              </w:tabs>
              <w:suppressAutoHyphens/>
              <w:rPr>
                <w:rFonts w:eastAsia="Calibri" w:cs="Times New Roman"/>
                <w:szCs w:val="24"/>
              </w:rPr>
            </w:pPr>
          </w:p>
        </w:tc>
      </w:tr>
      <w:tr w:rsidRPr="00E73934" w:rsidR="00E73934" w:rsidTr="00CF4C53" w14:paraId="31B25940" w14:textId="77777777">
        <w:trPr>
          <w:trHeight w:val="288"/>
        </w:trPr>
        <w:tc>
          <w:tcPr>
            <w:tcW w:w="3494" w:type="dxa"/>
            <w:noWrap/>
            <w:hideMark/>
          </w:tcPr>
          <w:p w:rsidRPr="00E73934" w:rsidR="00E73934" w:rsidP="00E73934" w:rsidRDefault="00E73934" w14:paraId="06989659" w14:textId="7A23CDE5">
            <w:pPr>
              <w:tabs>
                <w:tab w:val="left" w:pos="-720"/>
                <w:tab w:val="left" w:pos="0"/>
              </w:tabs>
              <w:suppressAutoHyphens/>
              <w:rPr>
                <w:rFonts w:eastAsia="Calibri" w:cs="Times New Roman"/>
                <w:szCs w:val="24"/>
              </w:rPr>
            </w:pPr>
            <w:r w:rsidRPr="00E73934">
              <w:rPr>
                <w:rFonts w:eastAsia="Calibri" w:cs="Times New Roman"/>
                <w:szCs w:val="24"/>
              </w:rPr>
              <w:t>125</w:t>
            </w:r>
            <w:r>
              <w:rPr>
                <w:rFonts w:eastAsia="Calibri" w:cs="Times New Roman"/>
                <w:szCs w:val="24"/>
              </w:rPr>
              <w:t xml:space="preserve"> SDs/MSPs</w:t>
            </w:r>
            <w:r>
              <w:rPr>
                <w:rStyle w:val="FootnoteReference"/>
                <w:rFonts w:eastAsia="Calibri" w:cs="Times New Roman"/>
                <w:szCs w:val="24"/>
              </w:rPr>
              <w:footnoteReference w:id="3"/>
            </w:r>
          </w:p>
        </w:tc>
        <w:tc>
          <w:tcPr>
            <w:tcW w:w="1159" w:type="dxa"/>
            <w:noWrap/>
            <w:hideMark/>
          </w:tcPr>
          <w:p w:rsidRPr="00E73934" w:rsidR="00E73934" w:rsidP="00E73934" w:rsidRDefault="00E73934" w14:paraId="26CC8DBB" w14:textId="183E8ACC">
            <w:pPr>
              <w:tabs>
                <w:tab w:val="left" w:pos="-720"/>
                <w:tab w:val="left" w:pos="0"/>
              </w:tabs>
              <w:suppressAutoHyphens/>
              <w:rPr>
                <w:rFonts w:eastAsia="Calibri" w:cs="Times New Roman"/>
                <w:szCs w:val="24"/>
              </w:rPr>
            </w:pPr>
            <w:r w:rsidRPr="00E73934">
              <w:rPr>
                <w:rFonts w:eastAsia="Calibri" w:cs="Times New Roman"/>
                <w:szCs w:val="24"/>
              </w:rPr>
              <w:t>5</w:t>
            </w:r>
            <w:r>
              <w:rPr>
                <w:rStyle w:val="FootnoteReference"/>
                <w:rFonts w:eastAsia="Calibri" w:cs="Times New Roman"/>
                <w:szCs w:val="24"/>
              </w:rPr>
              <w:footnoteReference w:id="4"/>
            </w:r>
          </w:p>
        </w:tc>
        <w:tc>
          <w:tcPr>
            <w:tcW w:w="1472" w:type="dxa"/>
            <w:noWrap/>
            <w:hideMark/>
          </w:tcPr>
          <w:p w:rsidRPr="00E73934" w:rsidR="00E73934" w:rsidP="00E73934" w:rsidRDefault="00E73934" w14:paraId="32DAAEC4" w14:textId="707494C8">
            <w:pPr>
              <w:tabs>
                <w:tab w:val="left" w:pos="-720"/>
                <w:tab w:val="left" w:pos="0"/>
              </w:tabs>
              <w:suppressAutoHyphens/>
              <w:rPr>
                <w:rFonts w:eastAsia="Calibri" w:cs="Times New Roman"/>
                <w:szCs w:val="24"/>
              </w:rPr>
            </w:pPr>
            <w:r>
              <w:rPr>
                <w:rFonts w:eastAsia="Calibri" w:cs="Times New Roman"/>
                <w:szCs w:val="24"/>
              </w:rPr>
              <w:t>$361</w:t>
            </w:r>
            <w:r>
              <w:rPr>
                <w:rStyle w:val="FootnoteReference"/>
                <w:rFonts w:eastAsia="Calibri" w:cs="Times New Roman"/>
                <w:szCs w:val="24"/>
              </w:rPr>
              <w:footnoteReference w:id="5"/>
            </w:r>
          </w:p>
        </w:tc>
        <w:tc>
          <w:tcPr>
            <w:tcW w:w="1452" w:type="dxa"/>
            <w:noWrap/>
            <w:hideMark/>
          </w:tcPr>
          <w:p w:rsidRPr="00E73934" w:rsidR="00E73934" w:rsidP="00E73934" w:rsidRDefault="00E73934" w14:paraId="0A6F5AAA" w14:textId="77777777">
            <w:pPr>
              <w:tabs>
                <w:tab w:val="left" w:pos="-720"/>
                <w:tab w:val="left" w:pos="0"/>
              </w:tabs>
              <w:suppressAutoHyphens/>
              <w:rPr>
                <w:rFonts w:eastAsia="Calibri" w:cs="Times New Roman"/>
                <w:szCs w:val="24"/>
              </w:rPr>
            </w:pPr>
            <w:r w:rsidRPr="00E73934">
              <w:rPr>
                <w:rFonts w:eastAsia="Calibri" w:cs="Times New Roman"/>
                <w:szCs w:val="24"/>
              </w:rPr>
              <w:t>625</w:t>
            </w:r>
          </w:p>
        </w:tc>
        <w:tc>
          <w:tcPr>
            <w:tcW w:w="2614" w:type="dxa"/>
            <w:noWrap/>
            <w:hideMark/>
          </w:tcPr>
          <w:p w:rsidRPr="00E73934" w:rsidR="00E73934" w:rsidP="00E73934" w:rsidRDefault="00E73934" w14:paraId="6CF5EDD8" w14:textId="77777777">
            <w:pPr>
              <w:tabs>
                <w:tab w:val="left" w:pos="-720"/>
                <w:tab w:val="left" w:pos="0"/>
              </w:tabs>
              <w:suppressAutoHyphens/>
              <w:rPr>
                <w:rFonts w:eastAsia="Calibri" w:cs="Times New Roman"/>
                <w:szCs w:val="24"/>
              </w:rPr>
            </w:pPr>
            <w:r w:rsidRPr="00E73934">
              <w:rPr>
                <w:rFonts w:eastAsia="Calibri" w:cs="Times New Roman"/>
                <w:szCs w:val="24"/>
              </w:rPr>
              <w:t xml:space="preserve">$45,144 </w:t>
            </w:r>
          </w:p>
        </w:tc>
      </w:tr>
      <w:tr w:rsidRPr="00E73934" w:rsidR="00E73934" w:rsidTr="00CF4C53" w14:paraId="52BD73C2" w14:textId="77777777">
        <w:trPr>
          <w:trHeight w:val="288"/>
        </w:trPr>
        <w:tc>
          <w:tcPr>
            <w:tcW w:w="3494" w:type="dxa"/>
            <w:noWrap/>
            <w:hideMark/>
          </w:tcPr>
          <w:p w:rsidRPr="00E73934" w:rsidR="00E73934" w:rsidP="00E73934" w:rsidRDefault="00E73934" w14:paraId="2216C7BD" w14:textId="4CE0D5A2">
            <w:pPr>
              <w:tabs>
                <w:tab w:val="left" w:pos="-720"/>
                <w:tab w:val="left" w:pos="0"/>
              </w:tabs>
              <w:suppressAutoHyphens/>
              <w:rPr>
                <w:rFonts w:eastAsia="Calibri" w:cs="Times New Roman"/>
                <w:szCs w:val="24"/>
              </w:rPr>
            </w:pPr>
            <w:r w:rsidRPr="00E73934">
              <w:rPr>
                <w:rFonts w:eastAsia="Calibri" w:cs="Times New Roman"/>
                <w:szCs w:val="24"/>
              </w:rPr>
              <w:t>500</w:t>
            </w:r>
            <w:r>
              <w:rPr>
                <w:rFonts w:eastAsia="Calibri" w:cs="Times New Roman"/>
                <w:szCs w:val="24"/>
              </w:rPr>
              <w:t xml:space="preserve"> Non-SDs/MSPs</w:t>
            </w:r>
            <w:r>
              <w:rPr>
                <w:rStyle w:val="FootnoteReference"/>
                <w:rFonts w:eastAsia="Calibri" w:cs="Times New Roman"/>
                <w:szCs w:val="24"/>
              </w:rPr>
              <w:footnoteReference w:id="6"/>
            </w:r>
          </w:p>
        </w:tc>
        <w:tc>
          <w:tcPr>
            <w:tcW w:w="1159" w:type="dxa"/>
            <w:noWrap/>
            <w:hideMark/>
          </w:tcPr>
          <w:p w:rsidRPr="00E73934" w:rsidR="00E73934" w:rsidP="00E73934" w:rsidRDefault="00E73934" w14:paraId="5EF96F2E" w14:textId="6835D944">
            <w:pPr>
              <w:tabs>
                <w:tab w:val="left" w:pos="-720"/>
                <w:tab w:val="left" w:pos="0"/>
              </w:tabs>
              <w:suppressAutoHyphens/>
              <w:rPr>
                <w:rFonts w:eastAsia="Calibri" w:cs="Times New Roman"/>
                <w:szCs w:val="24"/>
              </w:rPr>
            </w:pPr>
            <w:r w:rsidRPr="00E73934">
              <w:rPr>
                <w:rFonts w:eastAsia="Calibri" w:cs="Times New Roman"/>
                <w:szCs w:val="24"/>
              </w:rPr>
              <w:t>0.64</w:t>
            </w:r>
            <w:r>
              <w:rPr>
                <w:rStyle w:val="FootnoteReference"/>
                <w:rFonts w:eastAsia="Calibri" w:cs="Times New Roman"/>
                <w:szCs w:val="24"/>
              </w:rPr>
              <w:footnoteReference w:id="7"/>
            </w:r>
          </w:p>
        </w:tc>
        <w:tc>
          <w:tcPr>
            <w:tcW w:w="1472" w:type="dxa"/>
            <w:noWrap/>
            <w:hideMark/>
          </w:tcPr>
          <w:p w:rsidRPr="00E73934" w:rsidR="00E73934" w:rsidP="00E73934" w:rsidRDefault="00A66675" w14:paraId="6CE4F682" w14:textId="79DC1A16">
            <w:pPr>
              <w:tabs>
                <w:tab w:val="left" w:pos="-720"/>
                <w:tab w:val="left" w:pos="0"/>
              </w:tabs>
              <w:suppressAutoHyphens/>
              <w:rPr>
                <w:rFonts w:eastAsia="Calibri" w:cs="Times New Roman"/>
                <w:szCs w:val="24"/>
              </w:rPr>
            </w:pPr>
            <w:r>
              <w:rPr>
                <w:rFonts w:eastAsia="Calibri" w:cs="Times New Roman"/>
                <w:szCs w:val="24"/>
              </w:rPr>
              <w:t>$46</w:t>
            </w:r>
            <w:r>
              <w:rPr>
                <w:rStyle w:val="FootnoteReference"/>
                <w:rFonts w:eastAsia="Calibri" w:cs="Times New Roman"/>
                <w:szCs w:val="24"/>
              </w:rPr>
              <w:footnoteReference w:id="8"/>
            </w:r>
          </w:p>
        </w:tc>
        <w:tc>
          <w:tcPr>
            <w:tcW w:w="1452" w:type="dxa"/>
            <w:noWrap/>
            <w:hideMark/>
          </w:tcPr>
          <w:p w:rsidRPr="00E73934" w:rsidR="00E73934" w:rsidP="00E73934" w:rsidRDefault="00E73934" w14:paraId="26D1CA98" w14:textId="77777777">
            <w:pPr>
              <w:tabs>
                <w:tab w:val="left" w:pos="-720"/>
                <w:tab w:val="left" w:pos="0"/>
              </w:tabs>
              <w:suppressAutoHyphens/>
              <w:rPr>
                <w:rFonts w:eastAsia="Calibri" w:cs="Times New Roman"/>
                <w:szCs w:val="24"/>
              </w:rPr>
            </w:pPr>
            <w:r w:rsidRPr="00E73934">
              <w:rPr>
                <w:rFonts w:eastAsia="Calibri" w:cs="Times New Roman"/>
                <w:szCs w:val="24"/>
              </w:rPr>
              <w:t>320</w:t>
            </w:r>
          </w:p>
        </w:tc>
        <w:tc>
          <w:tcPr>
            <w:tcW w:w="2614" w:type="dxa"/>
            <w:noWrap/>
            <w:hideMark/>
          </w:tcPr>
          <w:p w:rsidRPr="00E73934" w:rsidR="00E73934" w:rsidP="00E73934" w:rsidRDefault="00E73934" w14:paraId="5955FC50" w14:textId="77777777">
            <w:pPr>
              <w:tabs>
                <w:tab w:val="left" w:pos="-720"/>
                <w:tab w:val="left" w:pos="0"/>
              </w:tabs>
              <w:suppressAutoHyphens/>
              <w:rPr>
                <w:rFonts w:eastAsia="Calibri" w:cs="Times New Roman"/>
                <w:szCs w:val="24"/>
              </w:rPr>
            </w:pPr>
            <w:r w:rsidRPr="00E73934">
              <w:rPr>
                <w:rFonts w:eastAsia="Calibri" w:cs="Times New Roman"/>
                <w:szCs w:val="24"/>
              </w:rPr>
              <w:t xml:space="preserve">$23,114 </w:t>
            </w:r>
          </w:p>
        </w:tc>
      </w:tr>
      <w:tr w:rsidRPr="00E73934" w:rsidR="00E73934" w:rsidTr="00CF4C53" w14:paraId="00458F0F" w14:textId="77777777">
        <w:trPr>
          <w:trHeight w:val="288"/>
        </w:trPr>
        <w:tc>
          <w:tcPr>
            <w:tcW w:w="3494" w:type="dxa"/>
            <w:noWrap/>
            <w:hideMark/>
          </w:tcPr>
          <w:p w:rsidRPr="00E73934" w:rsidR="00E73934" w:rsidP="00E73934" w:rsidRDefault="00E73934" w14:paraId="490ECC7E" w14:textId="49189F90">
            <w:pPr>
              <w:tabs>
                <w:tab w:val="left" w:pos="-720"/>
                <w:tab w:val="left" w:pos="0"/>
              </w:tabs>
              <w:suppressAutoHyphens/>
              <w:rPr>
                <w:rFonts w:eastAsia="Calibri" w:cs="Times New Roman"/>
                <w:szCs w:val="24"/>
              </w:rPr>
            </w:pPr>
            <w:r w:rsidRPr="00E73934">
              <w:rPr>
                <w:rFonts w:eastAsia="Calibri" w:cs="Times New Roman"/>
                <w:szCs w:val="24"/>
              </w:rPr>
              <w:t>Total</w:t>
            </w:r>
            <w:r>
              <w:rPr>
                <w:rFonts w:eastAsia="Calibri" w:cs="Times New Roman"/>
                <w:szCs w:val="24"/>
              </w:rPr>
              <w:t xml:space="preserve"> for Reporting</w:t>
            </w:r>
          </w:p>
        </w:tc>
        <w:tc>
          <w:tcPr>
            <w:tcW w:w="1159" w:type="dxa"/>
            <w:noWrap/>
            <w:hideMark/>
          </w:tcPr>
          <w:p w:rsidRPr="00E73934" w:rsidR="00E73934" w:rsidP="00E73934" w:rsidRDefault="00E73934" w14:paraId="57C7D0A5" w14:textId="77777777">
            <w:pPr>
              <w:tabs>
                <w:tab w:val="left" w:pos="-720"/>
                <w:tab w:val="left" w:pos="0"/>
              </w:tabs>
              <w:suppressAutoHyphens/>
              <w:rPr>
                <w:rFonts w:eastAsia="Calibri" w:cs="Times New Roman"/>
                <w:szCs w:val="24"/>
              </w:rPr>
            </w:pPr>
            <w:r w:rsidRPr="00E73934">
              <w:rPr>
                <w:rFonts w:eastAsia="Calibri" w:cs="Times New Roman"/>
                <w:szCs w:val="24"/>
              </w:rPr>
              <w:t>5.64</w:t>
            </w:r>
          </w:p>
        </w:tc>
        <w:tc>
          <w:tcPr>
            <w:tcW w:w="1472" w:type="dxa"/>
            <w:noWrap/>
            <w:hideMark/>
          </w:tcPr>
          <w:p w:rsidRPr="00E73934" w:rsidR="00E73934" w:rsidP="00E73934" w:rsidRDefault="00E73934" w14:paraId="2B7A4850" w14:textId="77777777">
            <w:pPr>
              <w:tabs>
                <w:tab w:val="left" w:pos="-720"/>
                <w:tab w:val="left" w:pos="0"/>
              </w:tabs>
              <w:suppressAutoHyphens/>
              <w:rPr>
                <w:rFonts w:eastAsia="Calibri" w:cs="Times New Roman"/>
                <w:szCs w:val="24"/>
              </w:rPr>
            </w:pPr>
            <w:r w:rsidRPr="00E73934">
              <w:rPr>
                <w:rFonts w:eastAsia="Calibri" w:cs="Times New Roman"/>
                <w:szCs w:val="24"/>
              </w:rPr>
              <w:t xml:space="preserve">$407 </w:t>
            </w:r>
          </w:p>
        </w:tc>
        <w:tc>
          <w:tcPr>
            <w:tcW w:w="1452" w:type="dxa"/>
            <w:noWrap/>
            <w:hideMark/>
          </w:tcPr>
          <w:p w:rsidRPr="00E73934" w:rsidR="00E73934" w:rsidP="00E73934" w:rsidRDefault="00E73934" w14:paraId="0D34F6D0" w14:textId="77777777">
            <w:pPr>
              <w:tabs>
                <w:tab w:val="left" w:pos="-720"/>
                <w:tab w:val="left" w:pos="0"/>
              </w:tabs>
              <w:suppressAutoHyphens/>
              <w:rPr>
                <w:rFonts w:eastAsia="Calibri" w:cs="Times New Roman"/>
                <w:szCs w:val="24"/>
              </w:rPr>
            </w:pPr>
            <w:r w:rsidRPr="00E73934">
              <w:rPr>
                <w:rFonts w:eastAsia="Calibri" w:cs="Times New Roman"/>
                <w:szCs w:val="24"/>
              </w:rPr>
              <w:t>945</w:t>
            </w:r>
          </w:p>
        </w:tc>
        <w:tc>
          <w:tcPr>
            <w:tcW w:w="2614" w:type="dxa"/>
            <w:noWrap/>
            <w:hideMark/>
          </w:tcPr>
          <w:p w:rsidRPr="00E73934" w:rsidR="00E73934" w:rsidP="00E73934" w:rsidRDefault="00E73934" w14:paraId="43ED438F" w14:textId="77777777">
            <w:pPr>
              <w:tabs>
                <w:tab w:val="left" w:pos="-720"/>
                <w:tab w:val="left" w:pos="0"/>
              </w:tabs>
              <w:suppressAutoHyphens/>
              <w:rPr>
                <w:rFonts w:eastAsia="Calibri" w:cs="Times New Roman"/>
                <w:szCs w:val="24"/>
              </w:rPr>
            </w:pPr>
            <w:r w:rsidRPr="00E73934">
              <w:rPr>
                <w:rFonts w:eastAsia="Calibri" w:cs="Times New Roman"/>
                <w:szCs w:val="24"/>
              </w:rPr>
              <w:t xml:space="preserve">$68,257 </w:t>
            </w:r>
          </w:p>
        </w:tc>
      </w:tr>
      <w:tr w:rsidRPr="00E73934" w:rsidR="00E73934" w:rsidTr="00CF4C53" w14:paraId="299ECED0" w14:textId="77777777">
        <w:trPr>
          <w:trHeight w:val="288"/>
        </w:trPr>
        <w:tc>
          <w:tcPr>
            <w:tcW w:w="3494" w:type="dxa"/>
            <w:noWrap/>
            <w:hideMark/>
          </w:tcPr>
          <w:p w:rsidRPr="00E73934" w:rsidR="00E73934" w:rsidP="00E73934" w:rsidRDefault="00E73934" w14:paraId="06FCA4D5" w14:textId="639EA9C8">
            <w:pPr>
              <w:tabs>
                <w:tab w:val="left" w:pos="-720"/>
                <w:tab w:val="left" w:pos="0"/>
              </w:tabs>
              <w:suppressAutoHyphens/>
              <w:rPr>
                <w:rFonts w:eastAsia="Calibri" w:cs="Times New Roman"/>
                <w:szCs w:val="24"/>
              </w:rPr>
            </w:pPr>
            <w:r>
              <w:rPr>
                <w:rFonts w:eastAsia="Calibri" w:cs="Times New Roman"/>
                <w:szCs w:val="24"/>
              </w:rPr>
              <w:t>Total for Recordkeeping</w:t>
            </w:r>
            <w:r w:rsidR="00A66675">
              <w:rPr>
                <w:rStyle w:val="FootnoteReference"/>
                <w:rFonts w:eastAsia="Calibri" w:cs="Times New Roman"/>
                <w:szCs w:val="24"/>
              </w:rPr>
              <w:footnoteReference w:id="9"/>
            </w:r>
            <w:r>
              <w:rPr>
                <w:rFonts w:eastAsia="Calibri" w:cs="Times New Roman"/>
                <w:szCs w:val="24"/>
              </w:rPr>
              <w:t xml:space="preserve"> and Reporting</w:t>
            </w:r>
          </w:p>
        </w:tc>
        <w:tc>
          <w:tcPr>
            <w:tcW w:w="1159" w:type="dxa"/>
            <w:noWrap/>
            <w:hideMark/>
          </w:tcPr>
          <w:p w:rsidRPr="00E73934" w:rsidR="00E73934" w:rsidP="00E73934" w:rsidRDefault="00E73934" w14:paraId="254C3E05" w14:textId="7E74F853">
            <w:pPr>
              <w:tabs>
                <w:tab w:val="left" w:pos="-720"/>
                <w:tab w:val="left" w:pos="0"/>
              </w:tabs>
              <w:suppressAutoHyphens/>
              <w:rPr>
                <w:rFonts w:eastAsia="Calibri" w:cs="Times New Roman"/>
                <w:szCs w:val="24"/>
              </w:rPr>
            </w:pPr>
            <w:r>
              <w:rPr>
                <w:rFonts w:eastAsia="Calibri" w:cs="Times New Roman"/>
                <w:szCs w:val="24"/>
              </w:rPr>
              <w:t>83.9</w:t>
            </w:r>
          </w:p>
        </w:tc>
        <w:tc>
          <w:tcPr>
            <w:tcW w:w="1472" w:type="dxa"/>
            <w:noWrap/>
            <w:hideMark/>
          </w:tcPr>
          <w:p w:rsidRPr="00E73934" w:rsidR="00E73934" w:rsidP="00E73934" w:rsidRDefault="00E73934" w14:paraId="4794CB88" w14:textId="2F5D68EB">
            <w:pPr>
              <w:tabs>
                <w:tab w:val="left" w:pos="-720"/>
                <w:tab w:val="left" w:pos="0"/>
              </w:tabs>
              <w:suppressAutoHyphens/>
              <w:rPr>
                <w:rFonts w:eastAsia="Calibri" w:cs="Times New Roman"/>
                <w:szCs w:val="24"/>
              </w:rPr>
            </w:pPr>
            <w:r>
              <w:rPr>
                <w:rFonts w:eastAsia="Calibri" w:cs="Times New Roman"/>
                <w:szCs w:val="24"/>
              </w:rPr>
              <w:t>$6,079</w:t>
            </w:r>
          </w:p>
        </w:tc>
        <w:tc>
          <w:tcPr>
            <w:tcW w:w="1452" w:type="dxa"/>
            <w:noWrap/>
            <w:hideMark/>
          </w:tcPr>
          <w:p w:rsidRPr="00E73934" w:rsidR="00E73934" w:rsidP="00E73934" w:rsidRDefault="00E73934" w14:paraId="32510017" w14:textId="40D6ABB9">
            <w:pPr>
              <w:tabs>
                <w:tab w:val="left" w:pos="-720"/>
                <w:tab w:val="left" w:pos="0"/>
              </w:tabs>
              <w:suppressAutoHyphens/>
              <w:rPr>
                <w:rFonts w:eastAsia="Calibri" w:cs="Times New Roman"/>
                <w:szCs w:val="24"/>
              </w:rPr>
            </w:pPr>
            <w:r>
              <w:rPr>
                <w:rFonts w:eastAsia="Calibri" w:cs="Times New Roman"/>
                <w:szCs w:val="24"/>
              </w:rPr>
              <w:t>16,</w:t>
            </w:r>
            <w:r w:rsidR="00FB647C">
              <w:rPr>
                <w:rFonts w:eastAsia="Calibri" w:cs="Times New Roman"/>
                <w:szCs w:val="24"/>
              </w:rPr>
              <w:t>698</w:t>
            </w:r>
            <w:r w:rsidR="00251F62">
              <w:rPr>
                <w:rStyle w:val="FootnoteReference"/>
                <w:rFonts w:eastAsia="Calibri" w:cs="Times New Roman"/>
                <w:szCs w:val="24"/>
              </w:rPr>
              <w:footnoteReference w:id="10"/>
            </w:r>
          </w:p>
        </w:tc>
        <w:tc>
          <w:tcPr>
            <w:tcW w:w="2614" w:type="dxa"/>
            <w:noWrap/>
            <w:hideMark/>
          </w:tcPr>
          <w:p w:rsidRPr="00E73934" w:rsidR="00E73934" w:rsidP="00E73934" w:rsidRDefault="00E73934" w14:paraId="687D4A78" w14:textId="239E3188">
            <w:pPr>
              <w:tabs>
                <w:tab w:val="left" w:pos="-720"/>
                <w:tab w:val="left" w:pos="0"/>
              </w:tabs>
              <w:suppressAutoHyphens/>
              <w:rPr>
                <w:rFonts w:eastAsia="Calibri" w:cs="Times New Roman"/>
                <w:szCs w:val="24"/>
              </w:rPr>
            </w:pPr>
            <w:r>
              <w:rPr>
                <w:rFonts w:eastAsia="Calibri" w:cs="Times New Roman"/>
                <w:szCs w:val="24"/>
              </w:rPr>
              <w:t>$1,225,242</w:t>
            </w:r>
          </w:p>
        </w:tc>
      </w:tr>
    </w:tbl>
    <w:p w:rsidR="009B10DF" w:rsidP="00CF4C53" w:rsidRDefault="009B10DF" w14:paraId="3DDB511F" w14:textId="77777777">
      <w:pPr>
        <w:tabs>
          <w:tab w:val="left" w:pos="-720"/>
          <w:tab w:val="left" w:pos="0"/>
        </w:tabs>
        <w:suppressAutoHyphens/>
      </w:pPr>
    </w:p>
    <w:sectPr w:rsidR="009B10DF" w:rsidSect="0058571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42384" w14:textId="77777777" w:rsidR="009C6DB4" w:rsidRDefault="009C6DB4" w:rsidP="009C6DB4">
      <w:r>
        <w:separator/>
      </w:r>
    </w:p>
  </w:endnote>
  <w:endnote w:type="continuationSeparator" w:id="0">
    <w:p w14:paraId="50F42385" w14:textId="77777777" w:rsidR="009C6DB4" w:rsidRDefault="009C6DB4" w:rsidP="009C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F5BB" w14:textId="77777777" w:rsidR="00435E09" w:rsidRDefault="00435E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617204"/>
      <w:docPartObj>
        <w:docPartGallery w:val="Page Numbers (Bottom of Page)"/>
        <w:docPartUnique/>
      </w:docPartObj>
    </w:sdtPr>
    <w:sdtEndPr>
      <w:rPr>
        <w:noProof/>
      </w:rPr>
    </w:sdtEndPr>
    <w:sdtContent>
      <w:p w14:paraId="530D38DF" w14:textId="3125323F" w:rsidR="00435E09" w:rsidRDefault="00435E09" w:rsidP="00435E09">
        <w:pPr>
          <w:pStyle w:val="Footer"/>
          <w:jc w:val="center"/>
        </w:pPr>
        <w:r>
          <w:fldChar w:fldCharType="begin"/>
        </w:r>
        <w:r>
          <w:instrText xml:space="preserve"> PAGE   \* MERGEFORMAT </w:instrText>
        </w:r>
        <w:r>
          <w:fldChar w:fldCharType="separate"/>
        </w:r>
        <w:r w:rsidR="00783CCF">
          <w:rPr>
            <w:noProof/>
          </w:rPr>
          <w:t>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4ADBD" w14:textId="77777777" w:rsidR="00435E09" w:rsidRDefault="00435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42382" w14:textId="77777777" w:rsidR="009C6DB4" w:rsidRDefault="009C6DB4" w:rsidP="009C6DB4">
      <w:r>
        <w:separator/>
      </w:r>
    </w:p>
  </w:footnote>
  <w:footnote w:type="continuationSeparator" w:id="0">
    <w:p w14:paraId="50F42383" w14:textId="77777777" w:rsidR="009C6DB4" w:rsidRDefault="009C6DB4" w:rsidP="009C6DB4">
      <w:r>
        <w:continuationSeparator/>
      </w:r>
    </w:p>
  </w:footnote>
  <w:footnote w:id="1">
    <w:p w14:paraId="2AB0A856" w14:textId="40F997A4" w:rsidR="00906A3C" w:rsidRDefault="00906A3C">
      <w:pPr>
        <w:pStyle w:val="FootnoteText"/>
      </w:pPr>
      <w:r>
        <w:rPr>
          <w:rStyle w:val="FootnoteReference"/>
        </w:rPr>
        <w:footnoteRef/>
      </w:r>
      <w:r>
        <w:t xml:space="preserve"> The preamble accompanying the rule release erroneously stated</w:t>
      </w:r>
      <w:r w:rsidR="00FB647C">
        <w:t xml:space="preserve"> that</w:t>
      </w:r>
      <w:r>
        <w:t xml:space="preserve"> there were 500 SD, MSP, and non-SD/MSP respondents. This </w:t>
      </w:r>
      <w:proofErr w:type="spellStart"/>
      <w:r>
        <w:t>mis</w:t>
      </w:r>
      <w:proofErr w:type="spellEnd"/>
      <w:r>
        <w:t xml:space="preserve">-stated the number of respondents by failing to separate the 125 SD/MSP respondents from the 500 non-SD/MSP respondents. The correct </w:t>
      </w:r>
      <w:r w:rsidR="00FB647C">
        <w:t>estimate of</w:t>
      </w:r>
      <w:r>
        <w:t xml:space="preserve"> 625 SD, MSP, and non-SD/MSP reporting </w:t>
      </w:r>
      <w:proofErr w:type="gramStart"/>
      <w:r>
        <w:t>counterparties is</w:t>
      </w:r>
      <w:proofErr w:type="gramEnd"/>
      <w:r>
        <w:t xml:space="preserve"> used in Attachment A.</w:t>
      </w:r>
    </w:p>
  </w:footnote>
  <w:footnote w:id="2">
    <w:p w14:paraId="39C647DA" w14:textId="1C7A96F8" w:rsidR="006657D1" w:rsidRDefault="006657D1">
      <w:pPr>
        <w:pStyle w:val="FootnoteText"/>
      </w:pPr>
      <w:r>
        <w:rPr>
          <w:rStyle w:val="FootnoteReference"/>
        </w:rPr>
        <w:footnoteRef/>
      </w:r>
      <w:r>
        <w:t xml:space="preserve"> The preamble accompanying the rule release also erroneously stated</w:t>
      </w:r>
      <w:r w:rsidR="00FB647C">
        <w:t xml:space="preserve"> that</w:t>
      </w:r>
      <w:r>
        <w:t xml:space="preserve"> the annual gross reporting burden as 1,000 hours. The more-precise, correct estimate, shown in </w:t>
      </w:r>
      <w:r w:rsidR="00FB647C">
        <w:t>Attachment</w:t>
      </w:r>
      <w:r>
        <w:t xml:space="preserve"> A, is 945 hours.</w:t>
      </w:r>
    </w:p>
  </w:footnote>
  <w:footnote w:id="3">
    <w:p w14:paraId="4A9ECDFD" w14:textId="2B5DAEB4" w:rsidR="00E73934" w:rsidRDefault="00E73934">
      <w:pPr>
        <w:pStyle w:val="FootnoteText"/>
      </w:pPr>
      <w:r>
        <w:rPr>
          <w:rStyle w:val="FootnoteReference"/>
        </w:rPr>
        <w:footnoteRef/>
      </w:r>
      <w:r>
        <w:t xml:space="preserve"> In the last renewal for collection 3038-0089, the Commission estimated that 125 SD/MSP respondents spend 10 hours on historical reports under part 46, at an annual cost of $737 per entity, for a total of 1,250 burden hours for all entities at a total cost of $92,125. The Commission is updating this estimate based on the pro</w:t>
      </w:r>
      <w:r w:rsidR="00FB647C">
        <w:t>posed changes to part</w:t>
      </w:r>
      <w:r w:rsidR="006657D1">
        <w:t xml:space="preserve"> 46.</w:t>
      </w:r>
    </w:p>
  </w:footnote>
  <w:footnote w:id="4">
    <w:p w14:paraId="325F760C" w14:textId="37696E29" w:rsidR="00E73934" w:rsidRDefault="00E73934">
      <w:pPr>
        <w:pStyle w:val="FootnoteText"/>
      </w:pPr>
      <w:r>
        <w:rPr>
          <w:rStyle w:val="FootnoteReference"/>
        </w:rPr>
        <w:footnoteRef/>
      </w:r>
      <w:r>
        <w:t xml:space="preserve"> The Commission had previously estimated that the 125 SD/MSP respondents spend 10 hours per entity for historical swap reporting. As discussed above, the Commission estimate</w:t>
      </w:r>
      <w:r w:rsidR="00FB647C">
        <w:t>s that the proposed changes to part</w:t>
      </w:r>
      <w:r>
        <w:t xml:space="preserve"> 46 would reduce the </w:t>
      </w:r>
      <w:r w:rsidR="00F22C9D">
        <w:t>number of report</w:t>
      </w:r>
      <w:r w:rsidR="00B41ECB">
        <w:t>s</w:t>
      </w:r>
      <w:r>
        <w:t xml:space="preserve"> each SD/MSP respondent </w:t>
      </w:r>
      <w:r w:rsidR="00F22C9D">
        <w:t>sends to SDRs</w:t>
      </w:r>
      <w:r>
        <w:t xml:space="preserve"> by 50%, </w:t>
      </w:r>
      <w:r w:rsidR="00FF3316">
        <w:t xml:space="preserve">and thereby reduce the amount of time spent on reporting by </w:t>
      </w:r>
      <w:r>
        <w:t>5 hours per</w:t>
      </w:r>
      <w:r w:rsidR="00FF3316">
        <w:t xml:space="preserve"> SD/MSP</w:t>
      </w:r>
      <w:r>
        <w:t xml:space="preserve"> entity. The Commission is updating the rest of the estimate accordingly.</w:t>
      </w:r>
    </w:p>
  </w:footnote>
  <w:footnote w:id="5">
    <w:p w14:paraId="437CA63B" w14:textId="409047EB" w:rsidR="00E73934" w:rsidRDefault="00E73934">
      <w:pPr>
        <w:pStyle w:val="FootnoteText"/>
      </w:pPr>
      <w:r>
        <w:rPr>
          <w:rStyle w:val="FootnoteReference"/>
        </w:rPr>
        <w:footnoteRef/>
      </w:r>
      <w:r>
        <w:t xml:space="preserve"> The Commission had previously estimated the cost based on an average wage rate of $72.48. The Commission is updating the wage rate to $72.23.</w:t>
      </w:r>
    </w:p>
  </w:footnote>
  <w:footnote w:id="6">
    <w:p w14:paraId="68709791" w14:textId="4F235D1D" w:rsidR="00E73934" w:rsidRDefault="00E73934">
      <w:pPr>
        <w:pStyle w:val="FootnoteText"/>
      </w:pPr>
      <w:r>
        <w:rPr>
          <w:rStyle w:val="FootnoteReference"/>
        </w:rPr>
        <w:footnoteRef/>
      </w:r>
      <w:r>
        <w:t xml:space="preserve"> </w:t>
      </w:r>
      <w:r w:rsidRPr="00E73934">
        <w:t>In the last renewal for collection 3038-0089, t</w:t>
      </w:r>
      <w:r>
        <w:t>he Commission estimated that 500</w:t>
      </w:r>
      <w:r w:rsidRPr="00E73934">
        <w:t xml:space="preserve"> </w:t>
      </w:r>
      <w:r>
        <w:t>non-SD/MSP respondents spend 1.275</w:t>
      </w:r>
      <w:r w:rsidRPr="00E73934">
        <w:t xml:space="preserve"> hours on historical reports under pa</w:t>
      </w:r>
      <w:r>
        <w:t>rt 46, at an annual cost of $94</w:t>
      </w:r>
      <w:r w:rsidRPr="00E73934">
        <w:t xml:space="preserve"> </w:t>
      </w:r>
      <w:r>
        <w:t>per entity, for a total of 325</w:t>
      </w:r>
      <w:r w:rsidRPr="00E73934">
        <w:t xml:space="preserve"> burden hours for all entities at a total cos</w:t>
      </w:r>
      <w:r>
        <w:t>t of $47,000</w:t>
      </w:r>
      <w:r w:rsidRPr="00E73934">
        <w:t>. The Commission is updating this estimate ba</w:t>
      </w:r>
      <w:r w:rsidR="00FB647C">
        <w:t>sed on the proposed changes to part</w:t>
      </w:r>
      <w:r w:rsidRPr="00E73934">
        <w:t xml:space="preserve"> 46 reporting.</w:t>
      </w:r>
    </w:p>
  </w:footnote>
  <w:footnote w:id="7">
    <w:p w14:paraId="74DCEFA6" w14:textId="57F57923" w:rsidR="00E73934" w:rsidRDefault="00E73934">
      <w:pPr>
        <w:pStyle w:val="FootnoteText"/>
      </w:pPr>
      <w:r>
        <w:rPr>
          <w:rStyle w:val="FootnoteReference"/>
        </w:rPr>
        <w:footnoteRef/>
      </w:r>
      <w:r>
        <w:t xml:space="preserve"> </w:t>
      </w:r>
      <w:r w:rsidRPr="00E73934">
        <w:t>The Commission had p</w:t>
      </w:r>
      <w:r>
        <w:t>reviously estimated that the 500 non-SD/MSP respondents spend 1.275</w:t>
      </w:r>
      <w:r w:rsidRPr="00E73934">
        <w:t xml:space="preserve"> hours per entity for historical swap reporting. As discussed above, the Commission estimate</w:t>
      </w:r>
      <w:r w:rsidR="00FB647C">
        <w:t>s that the proposed changes to part</w:t>
      </w:r>
      <w:r w:rsidRPr="00E73934">
        <w:t xml:space="preserve"> 46 would reduce the </w:t>
      </w:r>
      <w:r w:rsidR="00B41ECB">
        <w:t>number of reports</w:t>
      </w:r>
      <w:r w:rsidRPr="00E73934">
        <w:t xml:space="preserve"> each </w:t>
      </w:r>
      <w:r>
        <w:t>non-</w:t>
      </w:r>
      <w:r w:rsidRPr="00E73934">
        <w:t xml:space="preserve">SD/MSP respondent </w:t>
      </w:r>
      <w:r w:rsidR="00B41ECB">
        <w:t>sends by SDRs</w:t>
      </w:r>
      <w:r w:rsidRPr="00E73934">
        <w:t xml:space="preserve"> by 50%, </w:t>
      </w:r>
      <w:r w:rsidR="00FF3316">
        <w:t>thereby reducing the amount of time spent on reporting by non-SD/MSP reporting counterparties by 50% to</w:t>
      </w:r>
      <w:r w:rsidRPr="00E73934">
        <w:t xml:space="preserve"> </w:t>
      </w:r>
      <w:r w:rsidR="00A66675">
        <w:t xml:space="preserve">.64 </w:t>
      </w:r>
      <w:r w:rsidRPr="00E73934">
        <w:t>hours per entity. The Commission is updating the rest of the estimate accordingly.</w:t>
      </w:r>
    </w:p>
  </w:footnote>
  <w:footnote w:id="8">
    <w:p w14:paraId="0BE1C072" w14:textId="515FCF40" w:rsidR="00A66675" w:rsidRDefault="00A66675">
      <w:pPr>
        <w:pStyle w:val="FootnoteText"/>
      </w:pPr>
      <w:r>
        <w:rPr>
          <w:rStyle w:val="FootnoteReference"/>
        </w:rPr>
        <w:footnoteRef/>
      </w:r>
      <w:r>
        <w:t xml:space="preserve"> </w:t>
      </w:r>
      <w:r w:rsidRPr="00A66675">
        <w:t>The Commission had previously estimated the cost based on an average wage rate of $72.48. The Commission is updating the wage rate to $72.23.</w:t>
      </w:r>
    </w:p>
  </w:footnote>
  <w:footnote w:id="9">
    <w:p w14:paraId="58E44E33" w14:textId="159B03AD" w:rsidR="00A66675" w:rsidRDefault="00A66675">
      <w:pPr>
        <w:pStyle w:val="FootnoteText"/>
      </w:pPr>
      <w:r>
        <w:rPr>
          <w:rStyle w:val="FootnoteReference"/>
        </w:rPr>
        <w:footnoteRef/>
      </w:r>
      <w:r>
        <w:t xml:space="preserve"> In the last renewal for collection 3038-0089, the Commission estimated the total recordkeeping burden to be 78.225 hours per respondent, at a cost of $5,670 per entity, with an aggregate annual burden of 15,753 hours at an aggregate cost of $1,156,875. The Commission is not updating the</w:t>
      </w:r>
      <w:r w:rsidR="00FB647C">
        <w:t xml:space="preserve"> recordkeeping requirements in part</w:t>
      </w:r>
      <w:r>
        <w:t xml:space="preserve"> 46. Therefore, the Commission is adding the updating estimates for the reporting burden to the current estimates for the recordkeeping burden to come to the new total.</w:t>
      </w:r>
    </w:p>
  </w:footnote>
  <w:footnote w:id="10">
    <w:p w14:paraId="0686AD7B" w14:textId="7F2A8835" w:rsidR="00251F62" w:rsidRDefault="00251F62">
      <w:pPr>
        <w:pStyle w:val="FootnoteText"/>
      </w:pPr>
      <w:r>
        <w:rPr>
          <w:rStyle w:val="FootnoteReference"/>
        </w:rPr>
        <w:footnoteRef/>
      </w:r>
      <w:r>
        <w:t xml:space="preserve"> As explained in note 9 above, the Commission’s estimated recordkeeping and reporting total results from adding 945 hours for reporting to the current 15,753 hours for recordkeeping. It is not the sum of all numbers in the “</w:t>
      </w:r>
      <w:r w:rsidRPr="00251F62">
        <w:t xml:space="preserve">Aggregate annual burden </w:t>
      </w:r>
      <w:proofErr w:type="gramStart"/>
      <w:r w:rsidRPr="00251F62">
        <w:t>hours  (</w:t>
      </w:r>
      <w:proofErr w:type="gramEnd"/>
      <w:r w:rsidRPr="00251F62">
        <w:t>all entities)</w:t>
      </w:r>
      <w:r>
        <w:t>” column.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90A68" w14:textId="77777777" w:rsidR="00435E09" w:rsidRDefault="00435E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B0944" w14:textId="77777777" w:rsidR="00435E09" w:rsidRDefault="00435E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490E" w14:textId="77777777" w:rsidR="00435E09" w:rsidRDefault="00435E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0F9"/>
    <w:multiLevelType w:val="hybridMultilevel"/>
    <w:tmpl w:val="93547A32"/>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6F079C"/>
    <w:multiLevelType w:val="hybridMultilevel"/>
    <w:tmpl w:val="1AFE0AF6"/>
    <w:lvl w:ilvl="0" w:tplc="7ECA6AE4">
      <w:start w:val="4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76532"/>
    <w:multiLevelType w:val="hybridMultilevel"/>
    <w:tmpl w:val="8C26F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ED6527"/>
    <w:multiLevelType w:val="hybridMultilevel"/>
    <w:tmpl w:val="C3228042"/>
    <w:lvl w:ilvl="0" w:tplc="5908128C">
      <w:start w:val="43"/>
      <w:numFmt w:val="bullet"/>
      <w:lvlText w:val="-"/>
      <w:lvlJc w:val="left"/>
      <w:pPr>
        <w:ind w:left="765" w:hanging="360"/>
      </w:pPr>
      <w:rPr>
        <w:rFonts w:ascii="Times New Roman" w:eastAsiaTheme="minorHAnsi"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1D20AAE"/>
    <w:multiLevelType w:val="hybridMultilevel"/>
    <w:tmpl w:val="1CBE2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894802"/>
    <w:multiLevelType w:val="hybridMultilevel"/>
    <w:tmpl w:val="8EDE799E"/>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9346A6"/>
    <w:multiLevelType w:val="hybridMultilevel"/>
    <w:tmpl w:val="15FA9B74"/>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67727A"/>
    <w:multiLevelType w:val="hybridMultilevel"/>
    <w:tmpl w:val="EA4E65CC"/>
    <w:lvl w:ilvl="0" w:tplc="A49EF17C">
      <w:start w:val="4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4AFA13B0"/>
    <w:multiLevelType w:val="hybridMultilevel"/>
    <w:tmpl w:val="EE189606"/>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A80FF2"/>
    <w:multiLevelType w:val="hybridMultilevel"/>
    <w:tmpl w:val="2A1CEFEE"/>
    <w:lvl w:ilvl="0" w:tplc="F69667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F41336"/>
    <w:multiLevelType w:val="hybridMultilevel"/>
    <w:tmpl w:val="4C5CD256"/>
    <w:lvl w:ilvl="0" w:tplc="42A64854">
      <w:numFmt w:val="bullet"/>
      <w:lvlText w:val=""/>
      <w:lvlJc w:val="left"/>
      <w:pPr>
        <w:ind w:left="1440" w:hanging="360"/>
      </w:pPr>
      <w:rPr>
        <w:rFonts w:ascii="Symbol" w:eastAsiaTheme="minorHAnsi"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BE5093D"/>
    <w:multiLevelType w:val="hybridMultilevel"/>
    <w:tmpl w:val="267A7F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7"/>
  </w:num>
  <w:num w:numId="4">
    <w:abstractNumId w:val="3"/>
  </w:num>
  <w:num w:numId="5">
    <w:abstractNumId w:val="1"/>
  </w:num>
  <w:num w:numId="6">
    <w:abstractNumId w:val="0"/>
  </w:num>
  <w:num w:numId="7">
    <w:abstractNumId w:val="5"/>
  </w:num>
  <w:num w:numId="8">
    <w:abstractNumId w:val="8"/>
  </w:num>
  <w:num w:numId="9">
    <w:abstractNumId w:val="6"/>
  </w:num>
  <w:num w:numId="10">
    <w:abstractNumId w:val="12"/>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revisionView w:markup="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32BDD"/>
    <w:rsid w:val="00037E90"/>
    <w:rsid w:val="000576BF"/>
    <w:rsid w:val="0007012C"/>
    <w:rsid w:val="00072761"/>
    <w:rsid w:val="000803D6"/>
    <w:rsid w:val="000828A0"/>
    <w:rsid w:val="000835FF"/>
    <w:rsid w:val="00083F72"/>
    <w:rsid w:val="000C2D0E"/>
    <w:rsid w:val="000C3307"/>
    <w:rsid w:val="000E0987"/>
    <w:rsid w:val="000F7B50"/>
    <w:rsid w:val="00107258"/>
    <w:rsid w:val="00116FC7"/>
    <w:rsid w:val="0012080B"/>
    <w:rsid w:val="00142EAD"/>
    <w:rsid w:val="00153901"/>
    <w:rsid w:val="001577B2"/>
    <w:rsid w:val="00176391"/>
    <w:rsid w:val="00180982"/>
    <w:rsid w:val="00181EC6"/>
    <w:rsid w:val="001D4BB9"/>
    <w:rsid w:val="001D7B90"/>
    <w:rsid w:val="00200207"/>
    <w:rsid w:val="00233D65"/>
    <w:rsid w:val="00237E4A"/>
    <w:rsid w:val="00241E30"/>
    <w:rsid w:val="00243435"/>
    <w:rsid w:val="00250ABB"/>
    <w:rsid w:val="00251F62"/>
    <w:rsid w:val="002600FA"/>
    <w:rsid w:val="00260C07"/>
    <w:rsid w:val="00274687"/>
    <w:rsid w:val="00276808"/>
    <w:rsid w:val="0027708A"/>
    <w:rsid w:val="002879E8"/>
    <w:rsid w:val="00294EB4"/>
    <w:rsid w:val="002A0C56"/>
    <w:rsid w:val="002A40CC"/>
    <w:rsid w:val="002A6ACD"/>
    <w:rsid w:val="002B4220"/>
    <w:rsid w:val="002B4A1D"/>
    <w:rsid w:val="002C7E70"/>
    <w:rsid w:val="002D0489"/>
    <w:rsid w:val="002E05BD"/>
    <w:rsid w:val="002E0DEB"/>
    <w:rsid w:val="002E5E5E"/>
    <w:rsid w:val="002F1E80"/>
    <w:rsid w:val="00307E70"/>
    <w:rsid w:val="00330578"/>
    <w:rsid w:val="00330DF8"/>
    <w:rsid w:val="00337642"/>
    <w:rsid w:val="00347613"/>
    <w:rsid w:val="0035705B"/>
    <w:rsid w:val="00357784"/>
    <w:rsid w:val="00357E35"/>
    <w:rsid w:val="003607A6"/>
    <w:rsid w:val="00361683"/>
    <w:rsid w:val="0036758D"/>
    <w:rsid w:val="003677B4"/>
    <w:rsid w:val="00370522"/>
    <w:rsid w:val="0037312F"/>
    <w:rsid w:val="0037421B"/>
    <w:rsid w:val="003755F4"/>
    <w:rsid w:val="003C1CFA"/>
    <w:rsid w:val="003D6F96"/>
    <w:rsid w:val="003E1141"/>
    <w:rsid w:val="00405AC8"/>
    <w:rsid w:val="00422FB0"/>
    <w:rsid w:val="00435E09"/>
    <w:rsid w:val="00443D7B"/>
    <w:rsid w:val="0044799F"/>
    <w:rsid w:val="004618A5"/>
    <w:rsid w:val="00464286"/>
    <w:rsid w:val="00476AB6"/>
    <w:rsid w:val="0049098A"/>
    <w:rsid w:val="004917AF"/>
    <w:rsid w:val="004A2A2B"/>
    <w:rsid w:val="004A5F11"/>
    <w:rsid w:val="004A7924"/>
    <w:rsid w:val="004C2276"/>
    <w:rsid w:val="004D4BEA"/>
    <w:rsid w:val="004E0A52"/>
    <w:rsid w:val="004F4C42"/>
    <w:rsid w:val="00505251"/>
    <w:rsid w:val="00506FE2"/>
    <w:rsid w:val="00517E9A"/>
    <w:rsid w:val="00525395"/>
    <w:rsid w:val="0052742B"/>
    <w:rsid w:val="005503C6"/>
    <w:rsid w:val="00551E62"/>
    <w:rsid w:val="00554929"/>
    <w:rsid w:val="00557EF2"/>
    <w:rsid w:val="00560340"/>
    <w:rsid w:val="00577F1F"/>
    <w:rsid w:val="00585718"/>
    <w:rsid w:val="005D34A0"/>
    <w:rsid w:val="005E41B2"/>
    <w:rsid w:val="005E4E5C"/>
    <w:rsid w:val="005F316D"/>
    <w:rsid w:val="006061AF"/>
    <w:rsid w:val="00607B6C"/>
    <w:rsid w:val="00607D38"/>
    <w:rsid w:val="006104B2"/>
    <w:rsid w:val="006243BC"/>
    <w:rsid w:val="00625287"/>
    <w:rsid w:val="0063622E"/>
    <w:rsid w:val="00637711"/>
    <w:rsid w:val="00640784"/>
    <w:rsid w:val="00642B6A"/>
    <w:rsid w:val="00643925"/>
    <w:rsid w:val="00653547"/>
    <w:rsid w:val="0066471D"/>
    <w:rsid w:val="006657D1"/>
    <w:rsid w:val="00666FBF"/>
    <w:rsid w:val="00667CD6"/>
    <w:rsid w:val="006913E4"/>
    <w:rsid w:val="00697065"/>
    <w:rsid w:val="006B2A40"/>
    <w:rsid w:val="006B5336"/>
    <w:rsid w:val="006F00A1"/>
    <w:rsid w:val="007029A9"/>
    <w:rsid w:val="00715F21"/>
    <w:rsid w:val="0072353B"/>
    <w:rsid w:val="00731C82"/>
    <w:rsid w:val="0074122B"/>
    <w:rsid w:val="00747BF5"/>
    <w:rsid w:val="00751B4D"/>
    <w:rsid w:val="00752AE8"/>
    <w:rsid w:val="007553BE"/>
    <w:rsid w:val="00755826"/>
    <w:rsid w:val="00755F59"/>
    <w:rsid w:val="00760311"/>
    <w:rsid w:val="00761BD2"/>
    <w:rsid w:val="0076443A"/>
    <w:rsid w:val="00771D97"/>
    <w:rsid w:val="007724B6"/>
    <w:rsid w:val="00774C1A"/>
    <w:rsid w:val="00783CCF"/>
    <w:rsid w:val="0078471A"/>
    <w:rsid w:val="007A1013"/>
    <w:rsid w:val="007B1735"/>
    <w:rsid w:val="007B7CE3"/>
    <w:rsid w:val="007C5B3F"/>
    <w:rsid w:val="007C72FB"/>
    <w:rsid w:val="007D22E3"/>
    <w:rsid w:val="007D7026"/>
    <w:rsid w:val="007E10D4"/>
    <w:rsid w:val="007E73BD"/>
    <w:rsid w:val="007F27F5"/>
    <w:rsid w:val="007F3179"/>
    <w:rsid w:val="00826F27"/>
    <w:rsid w:val="00833DC9"/>
    <w:rsid w:val="00836741"/>
    <w:rsid w:val="008435FA"/>
    <w:rsid w:val="00843603"/>
    <w:rsid w:val="00882745"/>
    <w:rsid w:val="008B7145"/>
    <w:rsid w:val="008F2F98"/>
    <w:rsid w:val="008F41C5"/>
    <w:rsid w:val="008F6D4A"/>
    <w:rsid w:val="00902356"/>
    <w:rsid w:val="00906A3C"/>
    <w:rsid w:val="009133C3"/>
    <w:rsid w:val="009138D7"/>
    <w:rsid w:val="009309EC"/>
    <w:rsid w:val="009402E6"/>
    <w:rsid w:val="00963975"/>
    <w:rsid w:val="009729E7"/>
    <w:rsid w:val="00981C2F"/>
    <w:rsid w:val="0099690D"/>
    <w:rsid w:val="009B10DF"/>
    <w:rsid w:val="009B1E93"/>
    <w:rsid w:val="009B2F52"/>
    <w:rsid w:val="009C6DB4"/>
    <w:rsid w:val="009D00FB"/>
    <w:rsid w:val="009E356F"/>
    <w:rsid w:val="009E5AF5"/>
    <w:rsid w:val="009E6241"/>
    <w:rsid w:val="00A014A3"/>
    <w:rsid w:val="00A02F67"/>
    <w:rsid w:val="00A13E98"/>
    <w:rsid w:val="00A22D0E"/>
    <w:rsid w:val="00A257E3"/>
    <w:rsid w:val="00A34FBC"/>
    <w:rsid w:val="00A43EC0"/>
    <w:rsid w:val="00A54471"/>
    <w:rsid w:val="00A616FB"/>
    <w:rsid w:val="00A66675"/>
    <w:rsid w:val="00A708B1"/>
    <w:rsid w:val="00A80B52"/>
    <w:rsid w:val="00AA013C"/>
    <w:rsid w:val="00AA3183"/>
    <w:rsid w:val="00AB00BD"/>
    <w:rsid w:val="00AB3F2D"/>
    <w:rsid w:val="00AB4BD7"/>
    <w:rsid w:val="00AC2529"/>
    <w:rsid w:val="00AC59BE"/>
    <w:rsid w:val="00AD0896"/>
    <w:rsid w:val="00AD0B9F"/>
    <w:rsid w:val="00AD5FD4"/>
    <w:rsid w:val="00AF2C79"/>
    <w:rsid w:val="00AF47B8"/>
    <w:rsid w:val="00B1090B"/>
    <w:rsid w:val="00B235EE"/>
    <w:rsid w:val="00B31A84"/>
    <w:rsid w:val="00B328FB"/>
    <w:rsid w:val="00B33652"/>
    <w:rsid w:val="00B362D7"/>
    <w:rsid w:val="00B40C91"/>
    <w:rsid w:val="00B41ECB"/>
    <w:rsid w:val="00B46731"/>
    <w:rsid w:val="00B6776C"/>
    <w:rsid w:val="00B712CC"/>
    <w:rsid w:val="00B74CE1"/>
    <w:rsid w:val="00B86819"/>
    <w:rsid w:val="00B91704"/>
    <w:rsid w:val="00BA0A82"/>
    <w:rsid w:val="00BA10C3"/>
    <w:rsid w:val="00BB57CB"/>
    <w:rsid w:val="00BE3923"/>
    <w:rsid w:val="00BE6AC8"/>
    <w:rsid w:val="00BE76BF"/>
    <w:rsid w:val="00BF3442"/>
    <w:rsid w:val="00C032F4"/>
    <w:rsid w:val="00C03FBF"/>
    <w:rsid w:val="00C173E1"/>
    <w:rsid w:val="00C2000F"/>
    <w:rsid w:val="00C20143"/>
    <w:rsid w:val="00C23A3C"/>
    <w:rsid w:val="00C83EDF"/>
    <w:rsid w:val="00C90C42"/>
    <w:rsid w:val="00C91CB5"/>
    <w:rsid w:val="00C9497A"/>
    <w:rsid w:val="00CE561C"/>
    <w:rsid w:val="00CF1C34"/>
    <w:rsid w:val="00CF4155"/>
    <w:rsid w:val="00CF4C53"/>
    <w:rsid w:val="00D0347F"/>
    <w:rsid w:val="00D04832"/>
    <w:rsid w:val="00D10E69"/>
    <w:rsid w:val="00D12FEB"/>
    <w:rsid w:val="00D25BD2"/>
    <w:rsid w:val="00D27AE8"/>
    <w:rsid w:val="00D37F72"/>
    <w:rsid w:val="00D46559"/>
    <w:rsid w:val="00D51979"/>
    <w:rsid w:val="00D5232E"/>
    <w:rsid w:val="00D65E7C"/>
    <w:rsid w:val="00D945B5"/>
    <w:rsid w:val="00DA5113"/>
    <w:rsid w:val="00DB00E1"/>
    <w:rsid w:val="00DB08F2"/>
    <w:rsid w:val="00DB1AD1"/>
    <w:rsid w:val="00DB5211"/>
    <w:rsid w:val="00DB7297"/>
    <w:rsid w:val="00DC10F5"/>
    <w:rsid w:val="00DC1C85"/>
    <w:rsid w:val="00DC3A95"/>
    <w:rsid w:val="00DC77C0"/>
    <w:rsid w:val="00DD36CC"/>
    <w:rsid w:val="00DD51EE"/>
    <w:rsid w:val="00DE5DA9"/>
    <w:rsid w:val="00E102D1"/>
    <w:rsid w:val="00E12FD5"/>
    <w:rsid w:val="00E15E4F"/>
    <w:rsid w:val="00E317E0"/>
    <w:rsid w:val="00E42A80"/>
    <w:rsid w:val="00E446C6"/>
    <w:rsid w:val="00E54279"/>
    <w:rsid w:val="00E57EF7"/>
    <w:rsid w:val="00E73934"/>
    <w:rsid w:val="00E73A61"/>
    <w:rsid w:val="00E7701F"/>
    <w:rsid w:val="00E81E1F"/>
    <w:rsid w:val="00E87F36"/>
    <w:rsid w:val="00E87F90"/>
    <w:rsid w:val="00EA49A2"/>
    <w:rsid w:val="00EB0FA7"/>
    <w:rsid w:val="00EB5E77"/>
    <w:rsid w:val="00EC238C"/>
    <w:rsid w:val="00ED075E"/>
    <w:rsid w:val="00ED251F"/>
    <w:rsid w:val="00F02CC0"/>
    <w:rsid w:val="00F21958"/>
    <w:rsid w:val="00F22C9D"/>
    <w:rsid w:val="00F22FCB"/>
    <w:rsid w:val="00F238AF"/>
    <w:rsid w:val="00F336E8"/>
    <w:rsid w:val="00F378A6"/>
    <w:rsid w:val="00F4707F"/>
    <w:rsid w:val="00F568E5"/>
    <w:rsid w:val="00F71C48"/>
    <w:rsid w:val="00F825B7"/>
    <w:rsid w:val="00F860C4"/>
    <w:rsid w:val="00FA28E9"/>
    <w:rsid w:val="00FA7B73"/>
    <w:rsid w:val="00FB0145"/>
    <w:rsid w:val="00FB2184"/>
    <w:rsid w:val="00FB647C"/>
    <w:rsid w:val="00FC51F5"/>
    <w:rsid w:val="00FC54D4"/>
    <w:rsid w:val="00FD472D"/>
    <w:rsid w:val="00FD6D7D"/>
    <w:rsid w:val="00FE1133"/>
    <w:rsid w:val="00FE503D"/>
    <w:rsid w:val="00FE6860"/>
    <w:rsid w:val="00FE6FE8"/>
    <w:rsid w:val="00FF3316"/>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0F4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character" w:styleId="Hyperlink">
    <w:name w:val="Hyperlink"/>
    <w:basedOn w:val="DefaultParagraphFont"/>
    <w:uiPriority w:val="99"/>
    <w:unhideWhenUsed/>
    <w:rsid w:val="00FD472D"/>
    <w:rPr>
      <w:color w:val="0000FF"/>
      <w:u w:val="single"/>
    </w:rPr>
  </w:style>
  <w:style w:type="paragraph" w:styleId="NormalWeb">
    <w:name w:val="Normal (Web)"/>
    <w:basedOn w:val="Normal"/>
    <w:uiPriority w:val="99"/>
    <w:semiHidden/>
    <w:unhideWhenUsed/>
    <w:rsid w:val="00FD472D"/>
    <w:rPr>
      <w:rFonts w:cs="Times New Roman"/>
      <w:szCs w:val="24"/>
    </w:rPr>
  </w:style>
  <w:style w:type="table" w:customStyle="1" w:styleId="TableGrid1">
    <w:name w:val="Table Grid1"/>
    <w:basedOn w:val="TableNormal"/>
    <w:next w:val="TableGrid"/>
    <w:uiPriority w:val="59"/>
    <w:rsid w:val="0073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3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E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character" w:styleId="Hyperlink">
    <w:name w:val="Hyperlink"/>
    <w:basedOn w:val="DefaultParagraphFont"/>
    <w:uiPriority w:val="99"/>
    <w:unhideWhenUsed/>
    <w:rsid w:val="00FD472D"/>
    <w:rPr>
      <w:color w:val="0000FF"/>
      <w:u w:val="single"/>
    </w:rPr>
  </w:style>
  <w:style w:type="paragraph" w:styleId="NormalWeb">
    <w:name w:val="Normal (Web)"/>
    <w:basedOn w:val="Normal"/>
    <w:uiPriority w:val="99"/>
    <w:semiHidden/>
    <w:unhideWhenUsed/>
    <w:rsid w:val="00FD472D"/>
    <w:rPr>
      <w:rFonts w:cs="Times New Roman"/>
      <w:szCs w:val="24"/>
    </w:rPr>
  </w:style>
  <w:style w:type="table" w:customStyle="1" w:styleId="TableGrid1">
    <w:name w:val="Table Grid1"/>
    <w:basedOn w:val="TableNormal"/>
    <w:next w:val="TableGrid"/>
    <w:uiPriority w:val="59"/>
    <w:rsid w:val="0073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3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E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10575">
      <w:bodyDiv w:val="1"/>
      <w:marLeft w:val="0"/>
      <w:marRight w:val="0"/>
      <w:marTop w:val="0"/>
      <w:marBottom w:val="0"/>
      <w:divBdr>
        <w:top w:val="none" w:sz="0" w:space="0" w:color="auto"/>
        <w:left w:val="none" w:sz="0" w:space="0" w:color="auto"/>
        <w:bottom w:val="none" w:sz="0" w:space="0" w:color="auto"/>
        <w:right w:val="none" w:sz="0" w:space="0" w:color="auto"/>
      </w:divBdr>
    </w:div>
    <w:div w:id="1408722913">
      <w:bodyDiv w:val="1"/>
      <w:marLeft w:val="0"/>
      <w:marRight w:val="0"/>
      <w:marTop w:val="0"/>
      <w:marBottom w:val="0"/>
      <w:divBdr>
        <w:top w:val="none" w:sz="0" w:space="0" w:color="auto"/>
        <w:left w:val="none" w:sz="0" w:space="0" w:color="auto"/>
        <w:bottom w:val="none" w:sz="0" w:space="0" w:color="auto"/>
        <w:right w:val="none" w:sz="0" w:space="0" w:color="auto"/>
      </w:divBdr>
    </w:div>
    <w:div w:id="1453742467">
      <w:bodyDiv w:val="1"/>
      <w:marLeft w:val="0"/>
      <w:marRight w:val="0"/>
      <w:marTop w:val="0"/>
      <w:marBottom w:val="0"/>
      <w:divBdr>
        <w:top w:val="none" w:sz="0" w:space="0" w:color="auto"/>
        <w:left w:val="none" w:sz="0" w:space="0" w:color="auto"/>
        <w:bottom w:val="none" w:sz="0" w:space="0" w:color="auto"/>
        <w:right w:val="none" w:sz="0" w:space="0" w:color="auto"/>
      </w:divBdr>
    </w:div>
    <w:div w:id="209774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F8C64E8EF5D4F838F827AA9BAC992" ma:contentTypeVersion="0" ma:contentTypeDescription="Create a new document." ma:contentTypeScope="" ma:versionID="58eccbbde2b8734d5698cba15988f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7CBB-B949-4A71-ACFE-8DD0396879C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8A6830F-4055-49A1-B980-1416E748F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4.xml><?xml version="1.0" encoding="utf-8"?>
<ds:datastoreItem xmlns:ds="http://schemas.openxmlformats.org/officeDocument/2006/customXml" ds:itemID="{E3A59165-C2E5-4110-91ED-EE6AE09D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keywords>PRA Blank</cp:keywords>
  <cp:lastModifiedBy>Office of the General Counsel</cp:lastModifiedBy>
  <cp:revision>2</cp:revision>
  <cp:lastPrinted>2020-03-04T15:42:00Z</cp:lastPrinted>
  <dcterms:created xsi:type="dcterms:W3CDTF">2020-06-25T21:05:00Z</dcterms:created>
  <dcterms:modified xsi:type="dcterms:W3CDTF">2020-06-25T21:05:00Z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0x0101004A8F8C64E8EF5D4F838F827AA9BAC992</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