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04A80" w:rsidR="00903CCF" w:rsidP="00175927" w:rsidRDefault="00903CCF" w14:paraId="439B2529" w14:textId="77777777">
      <w:pPr>
        <w:spacing w:before="120" w:after="120"/>
        <w:ind w:firstLine="6480"/>
        <w:contextualSpacing/>
        <w:jc w:val="right"/>
      </w:pPr>
      <w:r w:rsidRPr="00A04A80">
        <w:t>2140-</w:t>
      </w:r>
      <w:r w:rsidR="00C34A96">
        <w:t>0031</w:t>
      </w:r>
    </w:p>
    <w:p w:rsidR="00903CCF" w:rsidP="00175927" w:rsidRDefault="00175927" w14:paraId="31ED7EA5" w14:textId="77777777">
      <w:pPr>
        <w:spacing w:before="120" w:after="120"/>
        <w:ind w:firstLine="6480"/>
        <w:contextualSpacing/>
        <w:jc w:val="right"/>
      </w:pPr>
      <w:r>
        <w:t>April 2020</w:t>
      </w:r>
    </w:p>
    <w:p w:rsidRPr="00A04A80" w:rsidR="00175927" w:rsidP="00175927" w:rsidRDefault="00175927" w14:paraId="7F20573B" w14:textId="77777777">
      <w:pPr>
        <w:spacing w:before="120" w:after="120"/>
        <w:ind w:firstLine="6480"/>
        <w:contextualSpacing/>
        <w:jc w:val="right"/>
      </w:pPr>
      <w:r>
        <w:t>Expires 5/30/20</w:t>
      </w:r>
    </w:p>
    <w:p w:rsidRPr="00A04A80" w:rsidR="00903CCF" w:rsidP="0051666E" w:rsidRDefault="00903CCF" w14:paraId="16BF63BA" w14:textId="77777777">
      <w:pPr>
        <w:spacing w:before="120" w:after="120"/>
        <w:contextualSpacing/>
      </w:pPr>
    </w:p>
    <w:p w:rsidR="00C34A96" w:rsidP="00C34A96" w:rsidRDefault="00C34A96" w14:paraId="4761A29F" w14:textId="77777777">
      <w:pPr>
        <w:spacing w:before="120" w:after="120"/>
        <w:contextualSpacing/>
        <w:jc w:val="center"/>
        <w:rPr>
          <w:b/>
        </w:rPr>
      </w:pPr>
      <w:r w:rsidRPr="004B7981">
        <w:rPr>
          <w:b/>
        </w:rPr>
        <w:t>SUPPORTING STATEMENT</w:t>
      </w:r>
    </w:p>
    <w:p w:rsidRPr="00EA11F2" w:rsidR="00C34A96" w:rsidP="00C34A96" w:rsidRDefault="00C34A96" w14:paraId="07A8959E" w14:textId="77777777">
      <w:pPr>
        <w:jc w:val="center"/>
        <w:rPr>
          <w:b/>
        </w:rPr>
      </w:pPr>
      <w:r w:rsidRPr="00EA11F2">
        <w:rPr>
          <w:b/>
        </w:rPr>
        <w:t>FOR REQUEST OF OMB APPROVAL</w:t>
      </w:r>
    </w:p>
    <w:p w:rsidRPr="00EA11F2" w:rsidR="00C34A96" w:rsidP="00C34A96" w:rsidRDefault="00C34A96" w14:paraId="6980786E" w14:textId="77777777">
      <w:pPr>
        <w:widowControl/>
        <w:tabs>
          <w:tab w:val="center" w:pos="4680"/>
        </w:tabs>
        <w:jc w:val="center"/>
        <w:rPr>
          <w:b/>
          <w:bCs/>
        </w:rPr>
      </w:pPr>
      <w:r w:rsidRPr="00EA11F2">
        <w:rPr>
          <w:b/>
        </w:rPr>
        <w:t xml:space="preserve">UNDER THE PAPERWORK REDUCTION ACT AND 5 C.F.R. § </w:t>
      </w:r>
      <w:r w:rsidRPr="00EA11F2">
        <w:rPr>
          <w:b/>
          <w:bCs/>
        </w:rPr>
        <w:t>1320</w:t>
      </w:r>
    </w:p>
    <w:p w:rsidR="00C34A96" w:rsidP="00C34A96" w:rsidRDefault="00C34A96" w14:paraId="00991059" w14:textId="77777777">
      <w:pPr>
        <w:spacing w:before="120" w:after="120"/>
        <w:contextualSpacing/>
      </w:pPr>
    </w:p>
    <w:p w:rsidR="00C34A96" w:rsidP="00C34A96" w:rsidRDefault="00C34A96" w14:paraId="0B14C787" w14:textId="77777777">
      <w:pPr>
        <w:spacing w:before="120" w:after="120"/>
        <w:ind w:firstLine="720"/>
        <w:contextualSpacing/>
      </w:pPr>
      <w:r>
        <w:t>The Surface Transportation Board (STB or Board) requests a three-year extension of approval of the regulations governing the c</w:t>
      </w:r>
      <w:r w:rsidR="0058720F">
        <w:t>ollection of petitions for declaratory orders</w:t>
      </w:r>
      <w:r>
        <w:t>.</w:t>
      </w:r>
    </w:p>
    <w:p w:rsidRPr="00A04A80" w:rsidR="00135508" w:rsidP="0051666E" w:rsidRDefault="00135508" w14:paraId="37374B6E" w14:textId="77777777">
      <w:pPr>
        <w:spacing w:before="120" w:after="120"/>
        <w:contextualSpacing/>
      </w:pPr>
    </w:p>
    <w:p w:rsidRPr="00A04A80" w:rsidR="00726250" w:rsidP="0051666E" w:rsidRDefault="00903CCF" w14:paraId="5F558194" w14:textId="77777777">
      <w:pPr>
        <w:spacing w:before="120" w:after="120"/>
        <w:contextualSpacing/>
        <w:rPr>
          <w:b/>
          <w:bCs/>
          <w:u w:val="single"/>
        </w:rPr>
      </w:pPr>
      <w:r w:rsidRPr="00A04A80">
        <w:rPr>
          <w:b/>
          <w:bCs/>
        </w:rPr>
        <w:t xml:space="preserve">A.  </w:t>
      </w:r>
      <w:r w:rsidRPr="00A04A80">
        <w:rPr>
          <w:b/>
          <w:bCs/>
          <w:u w:val="single"/>
        </w:rPr>
        <w:t>Justification:</w:t>
      </w:r>
    </w:p>
    <w:p w:rsidRPr="00A04A80" w:rsidR="00726250" w:rsidP="0051666E" w:rsidRDefault="00726250" w14:paraId="6E58FF5A" w14:textId="77777777">
      <w:pPr>
        <w:spacing w:before="120" w:after="120"/>
        <w:contextualSpacing/>
        <w:rPr>
          <w:b/>
          <w:bCs/>
          <w:u w:val="single"/>
        </w:rPr>
      </w:pPr>
    </w:p>
    <w:p w:rsidRPr="00602CD2" w:rsidR="00653E86" w:rsidP="00602CD2" w:rsidRDefault="00E07B23" w14:paraId="674911CF" w14:textId="49C9A88F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1.  </w:t>
      </w:r>
      <w:r w:rsidRPr="00A04A80" w:rsidR="00783008">
        <w:rPr>
          <w:u w:val="single"/>
        </w:rPr>
        <w:t>Why the collection is necessary</w:t>
      </w:r>
      <w:r w:rsidRPr="00A04A80" w:rsidR="00783008">
        <w:t xml:space="preserve">.  </w:t>
      </w:r>
      <w:r w:rsidR="003E71AD">
        <w:t>By statute, t</w:t>
      </w:r>
      <w:r w:rsidRPr="00A04A80" w:rsidR="00925110">
        <w:t xml:space="preserve">he Surface Transportation Board is responsible for the economic regulation of common carrier freight railroads and certain other carriers operating in the United States.  </w:t>
      </w:r>
      <w:r w:rsidRPr="00A04A80" w:rsidR="00602CD2">
        <w:t>U</w:t>
      </w:r>
      <w:r w:rsidRPr="00A04A80" w:rsidR="00602CD2">
        <w:rPr>
          <w:color w:val="000000"/>
        </w:rPr>
        <w:t xml:space="preserve">nder </w:t>
      </w:r>
      <w:r w:rsidR="0044138D">
        <w:t>5 U.S.C. § 554(e) and 49 U.S.C.</w:t>
      </w:r>
      <w:r w:rsidRPr="002141F2" w:rsidR="0044138D">
        <w:t xml:space="preserve"> </w:t>
      </w:r>
      <w:r w:rsidR="0044138D">
        <w:t>§ 721,</w:t>
      </w:r>
      <w:r w:rsidR="0044138D">
        <w:rPr>
          <w:color w:val="000000"/>
        </w:rPr>
        <w:t xml:space="preserve"> a</w:t>
      </w:r>
      <w:r w:rsidR="00602CD2">
        <w:t xml:space="preserve">ny person may </w:t>
      </w:r>
      <w:r w:rsidR="00DF7E97">
        <w:t xml:space="preserve">ask </w:t>
      </w:r>
      <w:r w:rsidR="00602CD2">
        <w:t>the Board</w:t>
      </w:r>
      <w:r w:rsidR="0044138D">
        <w:t xml:space="preserve"> </w:t>
      </w:r>
      <w:r w:rsidRPr="006A4D99" w:rsidR="0044138D">
        <w:t xml:space="preserve">to </w:t>
      </w:r>
      <w:r w:rsidR="00DF7E97">
        <w:t xml:space="preserve">issue a decision to </w:t>
      </w:r>
      <w:r w:rsidRPr="006A4D99" w:rsidR="0044138D">
        <w:t>terminate a controversy or remove uncertainty</w:t>
      </w:r>
      <w:r w:rsidR="0044138D">
        <w:t xml:space="preserve"> </w:t>
      </w:r>
      <w:r w:rsidR="00DF7E97">
        <w:t xml:space="preserve">in a matter arising </w:t>
      </w:r>
      <w:r w:rsidR="0044138D">
        <w:t xml:space="preserve">under the </w:t>
      </w:r>
      <w:r w:rsidRPr="00A04A80" w:rsidR="00F34BF5">
        <w:rPr>
          <w:color w:val="000000"/>
        </w:rPr>
        <w:t>Interstate Commerce Act, 49 U.S.C. §§ 10101</w:t>
      </w:r>
      <w:r w:rsidR="00F34BF5">
        <w:rPr>
          <w:color w:val="000000"/>
        </w:rPr>
        <w:t>-16106 (ICA)</w:t>
      </w:r>
      <w:r w:rsidR="00175927">
        <w:rPr>
          <w:color w:val="000000"/>
        </w:rPr>
        <w:t>,</w:t>
      </w:r>
      <w:r w:rsidR="00F34BF5">
        <w:rPr>
          <w:color w:val="000000"/>
        </w:rPr>
        <w:t xml:space="preserve"> or corresponding regulations</w:t>
      </w:r>
      <w:r w:rsidRPr="00A04A80" w:rsidR="00F34BF5">
        <w:rPr>
          <w:color w:val="000000"/>
        </w:rPr>
        <w:t xml:space="preserve">.  </w:t>
      </w:r>
      <w:r w:rsidRPr="00A04A80" w:rsidR="00925110">
        <w:rPr>
          <w:color w:val="000000"/>
        </w:rPr>
        <w:t xml:space="preserve">The </w:t>
      </w:r>
      <w:r w:rsidRPr="00A04A80" w:rsidR="006D0E6B">
        <w:rPr>
          <w:color w:val="000000"/>
        </w:rPr>
        <w:t xml:space="preserve">Board’s </w:t>
      </w:r>
      <w:r w:rsidRPr="00A04A80" w:rsidR="00925110">
        <w:rPr>
          <w:color w:val="000000"/>
        </w:rPr>
        <w:t xml:space="preserve">collection of </w:t>
      </w:r>
      <w:r w:rsidR="0044138D">
        <w:rPr>
          <w:color w:val="000000"/>
        </w:rPr>
        <w:t>petitions for declaratory order</w:t>
      </w:r>
      <w:r w:rsidR="0058720F">
        <w:rPr>
          <w:color w:val="000000"/>
        </w:rPr>
        <w:t>s</w:t>
      </w:r>
      <w:r w:rsidRPr="00A04A80" w:rsidR="00925110">
        <w:rPr>
          <w:color w:val="000000"/>
        </w:rPr>
        <w:t xml:space="preserve"> enables </w:t>
      </w:r>
      <w:r w:rsidRPr="00A04A80" w:rsidR="00562F36">
        <w:rPr>
          <w:color w:val="000000"/>
        </w:rPr>
        <w:t>the Boar</w:t>
      </w:r>
      <w:r w:rsidRPr="00A04A80" w:rsidR="00925110">
        <w:rPr>
          <w:color w:val="000000"/>
        </w:rPr>
        <w:t>d to meet its statutory duty</w:t>
      </w:r>
      <w:r w:rsidR="003913A8">
        <w:rPr>
          <w:color w:val="000000"/>
        </w:rPr>
        <w:t xml:space="preserve"> more efficiently</w:t>
      </w:r>
      <w:r w:rsidRPr="00A04A80" w:rsidR="00E17185">
        <w:rPr>
          <w:color w:val="000000"/>
        </w:rPr>
        <w:t>.</w:t>
      </w:r>
    </w:p>
    <w:p w:rsidRPr="00A04A80" w:rsidR="00653E86" w:rsidP="00F34BF5" w:rsidRDefault="00653E86" w14:paraId="793D249D" w14:textId="77777777">
      <w:pPr>
        <w:spacing w:before="120" w:after="120"/>
        <w:contextualSpacing/>
      </w:pPr>
    </w:p>
    <w:p w:rsidRPr="00A04A80" w:rsidR="00726250" w:rsidP="0051666E" w:rsidRDefault="00726250" w14:paraId="39B282E3" w14:textId="1E560176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2.  </w:t>
      </w:r>
      <w:r w:rsidRPr="00A04A80" w:rsidR="00487127">
        <w:rPr>
          <w:u w:val="single"/>
        </w:rPr>
        <w:t>How the collection will be used</w:t>
      </w:r>
      <w:r w:rsidRPr="00A04A80" w:rsidR="00487127">
        <w:t xml:space="preserve">.  </w:t>
      </w:r>
      <w:r w:rsidRPr="00A04A80" w:rsidR="00127125">
        <w:t>P</w:t>
      </w:r>
      <w:r w:rsidRPr="00A04A80" w:rsidR="00135508">
        <w:rPr>
          <w:color w:val="000000"/>
        </w:rPr>
        <w:t>erson</w:t>
      </w:r>
      <w:r w:rsidRPr="00A04A80" w:rsidR="00F632B3">
        <w:rPr>
          <w:color w:val="000000"/>
        </w:rPr>
        <w:t>s</w:t>
      </w:r>
      <w:r w:rsidRPr="00A04A80" w:rsidR="00135508">
        <w:rPr>
          <w:color w:val="000000"/>
        </w:rPr>
        <w:t xml:space="preserve"> </w:t>
      </w:r>
      <w:r w:rsidR="00DF7E97">
        <w:rPr>
          <w:color w:val="000000"/>
        </w:rPr>
        <w:t>wishing</w:t>
      </w:r>
      <w:r w:rsidRPr="00A04A80" w:rsidR="00127125">
        <w:rPr>
          <w:color w:val="000000"/>
        </w:rPr>
        <w:t xml:space="preserve"> to</w:t>
      </w:r>
      <w:r w:rsidRPr="006A4D99" w:rsidR="00F34BF5">
        <w:t xml:space="preserve"> terminate a controversy or remove uncertainty</w:t>
      </w:r>
      <w:r w:rsidRPr="00A04A80" w:rsidR="00127125">
        <w:rPr>
          <w:color w:val="000000"/>
        </w:rPr>
        <w:t xml:space="preserve"> </w:t>
      </w:r>
      <w:r w:rsidR="00F34BF5">
        <w:rPr>
          <w:color w:val="000000"/>
        </w:rPr>
        <w:t xml:space="preserve">under the ICA or corresponding regulations </w:t>
      </w:r>
      <w:r w:rsidRPr="00A04A80" w:rsidR="00127125">
        <w:rPr>
          <w:color w:val="000000"/>
        </w:rPr>
        <w:t>m</w:t>
      </w:r>
      <w:r w:rsidR="00DF7E97">
        <w:rPr>
          <w:color w:val="000000"/>
        </w:rPr>
        <w:t>ay</w:t>
      </w:r>
      <w:r w:rsidRPr="00A04A80" w:rsidR="00127125">
        <w:rPr>
          <w:color w:val="000000"/>
        </w:rPr>
        <w:t xml:space="preserve"> </w:t>
      </w:r>
      <w:r w:rsidRPr="00A04A80" w:rsidR="00135508">
        <w:rPr>
          <w:color w:val="000000"/>
        </w:rPr>
        <w:t>file</w:t>
      </w:r>
      <w:r w:rsidRPr="00A04A80" w:rsidR="003E71AD">
        <w:rPr>
          <w:color w:val="000000"/>
        </w:rPr>
        <w:t xml:space="preserve"> </w:t>
      </w:r>
      <w:r w:rsidR="003E71AD">
        <w:rPr>
          <w:color w:val="000000"/>
        </w:rPr>
        <w:t>with</w:t>
      </w:r>
      <w:r w:rsidRPr="00A04A80" w:rsidR="003E71AD">
        <w:rPr>
          <w:color w:val="000000"/>
        </w:rPr>
        <w:t xml:space="preserve"> the Board</w:t>
      </w:r>
      <w:r w:rsidRPr="00A04A80" w:rsidR="00135508">
        <w:rPr>
          <w:color w:val="000000"/>
        </w:rPr>
        <w:t xml:space="preserve"> a </w:t>
      </w:r>
      <w:r w:rsidR="00F34BF5">
        <w:rPr>
          <w:color w:val="000000"/>
        </w:rPr>
        <w:t>petition for declaratory order</w:t>
      </w:r>
      <w:r w:rsidRPr="00A04A80" w:rsidR="00127125">
        <w:rPr>
          <w:color w:val="000000"/>
        </w:rPr>
        <w:t xml:space="preserve">.  </w:t>
      </w:r>
      <w:r w:rsidR="00492262">
        <w:t>P</w:t>
      </w:r>
      <w:r w:rsidRPr="006A4D99" w:rsidR="00492262">
        <w:t>etitions for declaratory order</w:t>
      </w:r>
      <w:r w:rsidR="0058720F">
        <w:t>s</w:t>
      </w:r>
      <w:r w:rsidRPr="006A4D99" w:rsidR="00492262">
        <w:t xml:space="preserve"> cover a broad range of requests.</w:t>
      </w:r>
      <w:r w:rsidR="00492262">
        <w:t xml:space="preserve">  In recent years, </w:t>
      </w:r>
      <w:r w:rsidR="003913A8">
        <w:t xml:space="preserve">for example, </w:t>
      </w:r>
      <w:r w:rsidR="00492262">
        <w:t xml:space="preserve">petitions filed with the Board have sought </w:t>
      </w:r>
      <w:r w:rsidR="004B0409">
        <w:t xml:space="preserve">a </w:t>
      </w:r>
      <w:r w:rsidR="00492262">
        <w:t xml:space="preserve">declaratory order on whether the provisions of the ICA and the Board’s regulations preempt state and local laws (i.e., local permitting and land use laws) </w:t>
      </w:r>
      <w:r w:rsidR="003913A8">
        <w:t>or</w:t>
      </w:r>
      <w:r w:rsidR="00492262">
        <w:t xml:space="preserve"> whether certain railroad practices are appropriate and legal.  </w:t>
      </w:r>
      <w:r w:rsidRPr="00A04A80" w:rsidR="00F632B3">
        <w:rPr>
          <w:color w:val="000000"/>
        </w:rPr>
        <w:t xml:space="preserve">The Board uses the </w:t>
      </w:r>
      <w:r w:rsidRPr="00A04A80" w:rsidR="00CD100A">
        <w:rPr>
          <w:color w:val="000000"/>
        </w:rPr>
        <w:t xml:space="preserve">information in the </w:t>
      </w:r>
      <w:r w:rsidR="00492262">
        <w:rPr>
          <w:color w:val="000000"/>
        </w:rPr>
        <w:t>petition for declaratory order</w:t>
      </w:r>
      <w:r w:rsidRPr="00A04A80" w:rsidR="00CD100A">
        <w:rPr>
          <w:color w:val="000000"/>
        </w:rPr>
        <w:t xml:space="preserve"> </w:t>
      </w:r>
      <w:r w:rsidR="00492262">
        <w:rPr>
          <w:color w:val="000000"/>
        </w:rPr>
        <w:t xml:space="preserve">to </w:t>
      </w:r>
      <w:r w:rsidR="002B270C">
        <w:rPr>
          <w:color w:val="000000"/>
        </w:rPr>
        <w:t xml:space="preserve">help the Board resolve </w:t>
      </w:r>
      <w:r w:rsidR="00492262">
        <w:rPr>
          <w:color w:val="000000"/>
        </w:rPr>
        <w:t xml:space="preserve">the </w:t>
      </w:r>
      <w:r w:rsidR="003741E0">
        <w:rPr>
          <w:color w:val="000000"/>
        </w:rPr>
        <w:t>questions or issues</w:t>
      </w:r>
      <w:r w:rsidR="00492262">
        <w:rPr>
          <w:color w:val="000000"/>
        </w:rPr>
        <w:t xml:space="preserve"> raised in the petition</w:t>
      </w:r>
      <w:r w:rsidRPr="00A04A80" w:rsidR="00CD100A">
        <w:rPr>
          <w:color w:val="000000"/>
        </w:rPr>
        <w:t>.</w:t>
      </w:r>
    </w:p>
    <w:p w:rsidRPr="00A04A80" w:rsidR="00726250" w:rsidP="0051666E" w:rsidRDefault="00726250" w14:paraId="10540F04" w14:textId="77777777">
      <w:pPr>
        <w:spacing w:before="120" w:after="120"/>
        <w:contextualSpacing/>
      </w:pPr>
    </w:p>
    <w:p w:rsidRPr="00A04A80" w:rsidR="00726250" w:rsidP="0051666E" w:rsidRDefault="00726250" w14:paraId="03D0CA0C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3.  </w:t>
      </w:r>
      <w:r w:rsidRPr="00A04A80" w:rsidR="00487127">
        <w:rPr>
          <w:u w:val="single"/>
        </w:rPr>
        <w:t>Extent of automated information collection</w:t>
      </w:r>
      <w:r w:rsidRPr="00A04A80" w:rsidR="00487127">
        <w:t xml:space="preserve">. </w:t>
      </w:r>
      <w:r w:rsidRPr="00A04A80" w:rsidR="00E80B87">
        <w:t xml:space="preserve"> </w:t>
      </w:r>
      <w:r w:rsidRPr="00A04A80" w:rsidR="00BD0F06">
        <w:t>These documents may be e-filed on the Board’s website,</w:t>
      </w:r>
      <w:r w:rsidRPr="00A04A80" w:rsidR="00EE4633">
        <w:t xml:space="preserve"> located at</w:t>
      </w:r>
      <w:r w:rsidRPr="00A04A80" w:rsidR="00BD0F06">
        <w:t xml:space="preserve"> </w:t>
      </w:r>
      <w:r w:rsidRPr="00473D19" w:rsidR="00473D19">
        <w:t>www.stb.</w:t>
      </w:r>
      <w:r w:rsidRPr="00B91DEC" w:rsidR="00473D19">
        <w:t>gov</w:t>
      </w:r>
      <w:r w:rsidRPr="00A04A80" w:rsidR="00BD0F06">
        <w:t xml:space="preserve">.  </w:t>
      </w:r>
      <w:r w:rsidR="00736298">
        <w:t>With limited exceptions (as discussed in response #10), t</w:t>
      </w:r>
      <w:r w:rsidRPr="00A04A80" w:rsidR="00736298">
        <w:t>h</w:t>
      </w:r>
      <w:r w:rsidR="00736298">
        <w:t xml:space="preserve">ese documents </w:t>
      </w:r>
      <w:r w:rsidRPr="00A04A80" w:rsidR="00736298">
        <w:t>are publicly available on the Board’s website.</w:t>
      </w:r>
    </w:p>
    <w:p w:rsidRPr="00A04A80" w:rsidR="001C6B55" w:rsidP="0051666E" w:rsidRDefault="001C6B55" w14:paraId="7BE3EDAC" w14:textId="77777777">
      <w:pPr>
        <w:spacing w:before="120" w:after="120"/>
        <w:ind w:firstLine="720"/>
        <w:contextualSpacing/>
      </w:pPr>
    </w:p>
    <w:p w:rsidRPr="00A04A80" w:rsidR="00580FAA" w:rsidP="0051666E" w:rsidRDefault="00580FAA" w14:paraId="7221CBFA" w14:textId="77777777">
      <w:pPr>
        <w:spacing w:before="120" w:after="120"/>
        <w:ind w:firstLine="720"/>
        <w:contextualSpacing/>
        <w:sectPr w:rsidRPr="00A04A80" w:rsidR="00580FAA" w:rsidSect="002A1577">
          <w:footerReference w:type="default" r:id="rId8"/>
          <w:type w:val="continuous"/>
          <w:pgSz w:w="12240" w:h="15840" w:code="1"/>
          <w:pgMar w:top="1440" w:right="1440" w:bottom="1440" w:left="1440" w:header="1440" w:footer="1440" w:gutter="0"/>
          <w:cols w:space="720"/>
          <w:noEndnote/>
          <w:titlePg/>
        </w:sectPr>
      </w:pPr>
    </w:p>
    <w:p w:rsidRPr="00A04A80" w:rsidR="00726250" w:rsidP="0051666E" w:rsidRDefault="00726250" w14:paraId="159B36A0" w14:textId="77777777">
      <w:pPr>
        <w:spacing w:before="120" w:after="120"/>
        <w:ind w:firstLine="720"/>
        <w:contextualSpacing/>
      </w:pPr>
      <w:r w:rsidRPr="00A04A80">
        <w:t xml:space="preserve">4.  </w:t>
      </w:r>
      <w:r w:rsidRPr="00A04A80" w:rsidR="005E62FF">
        <w:rPr>
          <w:u w:val="single"/>
        </w:rPr>
        <w:t>Identification of duplication</w:t>
      </w:r>
      <w:r w:rsidRPr="00A04A80" w:rsidR="005E62FF">
        <w:t xml:space="preserve">.  </w:t>
      </w:r>
      <w:r w:rsidRPr="00A04A80" w:rsidR="00BD0F06">
        <w:t xml:space="preserve">The information requested does not duplicate any other information available to the Board or the public.  </w:t>
      </w:r>
      <w:r w:rsidRPr="00A04A80" w:rsidR="00637B10">
        <w:t xml:space="preserve">No other entity has authority to </w:t>
      </w:r>
      <w:r w:rsidR="001A1FF9">
        <w:t>address these petitions</w:t>
      </w:r>
      <w:r w:rsidRPr="00A04A80" w:rsidR="00637B10">
        <w:t>, and n</w:t>
      </w:r>
      <w:r w:rsidRPr="00A04A80">
        <w:t xml:space="preserve">o other </w:t>
      </w:r>
      <w:r w:rsidRPr="00A04A80" w:rsidR="00637B10">
        <w:t xml:space="preserve">federal </w:t>
      </w:r>
      <w:r w:rsidRPr="00A04A80">
        <w:t>agency collects th</w:t>
      </w:r>
      <w:r w:rsidRPr="00A04A80" w:rsidR="00D37CCB">
        <w:t>is</w:t>
      </w:r>
      <w:r w:rsidRPr="00A04A80">
        <w:t xml:space="preserve"> </w:t>
      </w:r>
      <w:r w:rsidRPr="00A04A80" w:rsidR="00BD0F06">
        <w:t>information.</w:t>
      </w:r>
    </w:p>
    <w:p w:rsidRPr="00A04A80" w:rsidR="00726250" w:rsidP="0051666E" w:rsidRDefault="00726250" w14:paraId="7E8B54E3" w14:textId="77777777">
      <w:pPr>
        <w:spacing w:before="120" w:after="120"/>
        <w:contextualSpacing/>
      </w:pPr>
    </w:p>
    <w:p w:rsidRPr="002511FC" w:rsidR="00932ADC" w:rsidP="0051666E" w:rsidRDefault="00726250" w14:paraId="42449495" w14:textId="1A6A2C28">
      <w:pPr>
        <w:spacing w:before="120" w:after="120"/>
        <w:ind w:firstLine="720"/>
        <w:contextualSpacing/>
        <w:rPr>
          <w:strike/>
        </w:rPr>
      </w:pPr>
      <w:r w:rsidRPr="00A04A80">
        <w:t xml:space="preserve">5.  </w:t>
      </w:r>
      <w:r w:rsidRPr="00A04A80" w:rsidR="002B2EB9">
        <w:rPr>
          <w:u w:val="single"/>
        </w:rPr>
        <w:t>Effects on small business</w:t>
      </w:r>
      <w:r w:rsidRPr="00A04A80" w:rsidR="002B2EB9">
        <w:t xml:space="preserve">.  </w:t>
      </w:r>
      <w:r w:rsidRPr="00A04A80" w:rsidR="00637B10">
        <w:t>T</w:t>
      </w:r>
      <w:r w:rsidRPr="00A04A80" w:rsidR="00CE663C">
        <w:t>his collection does not have a significant economic effect on a substantial number of small entities.</w:t>
      </w:r>
      <w:r w:rsidRPr="00A04A80" w:rsidR="00D37CCB">
        <w:t xml:space="preserve">  </w:t>
      </w:r>
      <w:r w:rsidR="009C451D">
        <w:t>P</w:t>
      </w:r>
      <w:r w:rsidR="00B751DE">
        <w:t>etition</w:t>
      </w:r>
      <w:r w:rsidR="009C451D">
        <w:t>s</w:t>
      </w:r>
      <w:r w:rsidR="00B751DE">
        <w:t xml:space="preserve"> for declaratory order</w:t>
      </w:r>
      <w:r w:rsidR="0058720F">
        <w:t>s</w:t>
      </w:r>
      <w:r w:rsidR="00B751DE">
        <w:t xml:space="preserve"> </w:t>
      </w:r>
      <w:r w:rsidR="009C451D">
        <w:t xml:space="preserve">are usually used to seek the Board’s opinion on a specific legal question, or narrow set of questions, under the Board’s jurisdiction and </w:t>
      </w:r>
      <w:r w:rsidR="003741E0">
        <w:t>are</w:t>
      </w:r>
      <w:r w:rsidR="009C451D">
        <w:t xml:space="preserve"> thereby </w:t>
      </w:r>
      <w:r w:rsidR="003741E0">
        <w:t>limited in nature</w:t>
      </w:r>
      <w:r w:rsidR="00B751DE">
        <w:t>.</w:t>
      </w:r>
      <w:r w:rsidR="009C451D">
        <w:t xml:space="preserve">  </w:t>
      </w:r>
      <w:r w:rsidR="003E71AD">
        <w:t xml:space="preserve">In contrast with a formal adjudication, which can entail substantial litigation expenses, the declaratory order option </w:t>
      </w:r>
      <w:r w:rsidR="009C451D">
        <w:t xml:space="preserve">allows the parties to better understand their position </w:t>
      </w:r>
      <w:r w:rsidR="00DF7E97">
        <w:t xml:space="preserve">under an efficient process limited to the specific </w:t>
      </w:r>
      <w:r w:rsidR="009C451D">
        <w:t xml:space="preserve">facts </w:t>
      </w:r>
      <w:r w:rsidR="003741E0">
        <w:t>that pertain to</w:t>
      </w:r>
      <w:r w:rsidR="009C451D">
        <w:t xml:space="preserve"> a specific claim.</w:t>
      </w:r>
      <w:r w:rsidRPr="00A04A80" w:rsidR="00637B10">
        <w:t xml:space="preserve"> </w:t>
      </w:r>
      <w:r w:rsidRPr="00A04A80" w:rsidR="008713A4">
        <w:t xml:space="preserve"> </w:t>
      </w:r>
      <w:r w:rsidR="00846BD7">
        <w:t>In this way</w:t>
      </w:r>
      <w:r w:rsidR="000145EF">
        <w:t xml:space="preserve">, the petition for declaratory </w:t>
      </w:r>
      <w:r w:rsidRPr="002511FC" w:rsidR="000145EF">
        <w:t>order</w:t>
      </w:r>
      <w:r w:rsidR="0058720F">
        <w:t>s</w:t>
      </w:r>
      <w:r w:rsidRPr="002511FC" w:rsidR="000145EF">
        <w:t xml:space="preserve"> </w:t>
      </w:r>
      <w:r w:rsidRPr="002511FC" w:rsidR="00F213E2">
        <w:t>may</w:t>
      </w:r>
      <w:r w:rsidRPr="002511FC" w:rsidR="000145EF">
        <w:t xml:space="preserve"> </w:t>
      </w:r>
      <w:r w:rsidRPr="002511FC" w:rsidR="00F213E2">
        <w:t>benefit small entities by</w:t>
      </w:r>
      <w:r w:rsidRPr="002511FC" w:rsidR="00846BD7">
        <w:t xml:space="preserve"> allowing them to resolve a specific issue </w:t>
      </w:r>
      <w:r w:rsidRPr="002511FC" w:rsidR="00F213E2">
        <w:t xml:space="preserve">and thereby avoid </w:t>
      </w:r>
      <w:r w:rsidRPr="002511FC" w:rsidR="001B301C">
        <w:t>costlier</w:t>
      </w:r>
      <w:r w:rsidRPr="002511FC" w:rsidR="00F213E2">
        <w:t xml:space="preserve"> administrative proceedings</w:t>
      </w:r>
      <w:r w:rsidR="002511FC">
        <w:t>.</w:t>
      </w:r>
    </w:p>
    <w:p w:rsidRPr="00A04A80" w:rsidR="002D595A" w:rsidP="0051666E" w:rsidRDefault="002D595A" w14:paraId="5C04E561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42E09E7E" w14:textId="77777777">
      <w:pPr>
        <w:spacing w:before="120" w:after="120"/>
        <w:ind w:firstLine="720"/>
        <w:contextualSpacing/>
        <w:rPr>
          <w:b/>
        </w:rPr>
      </w:pPr>
      <w:r w:rsidRPr="00A04A80">
        <w:t xml:space="preserve">6.  </w:t>
      </w:r>
      <w:r w:rsidRPr="00A04A80" w:rsidR="00F1683D">
        <w:rPr>
          <w:u w:val="single"/>
        </w:rPr>
        <w:t>Impact of less frequent collections</w:t>
      </w:r>
      <w:r w:rsidRPr="00A04A80" w:rsidR="00F1683D">
        <w:t xml:space="preserve">.  </w:t>
      </w:r>
      <w:r w:rsidR="003913A8">
        <w:rPr>
          <w:color w:val="000000"/>
        </w:rPr>
        <w:t xml:space="preserve">Respondents may file these petitions to </w:t>
      </w:r>
      <w:r w:rsidRPr="006A4D99" w:rsidR="003913A8">
        <w:t>terminate a controversy or remove uncertainty</w:t>
      </w:r>
      <w:r w:rsidR="00C03926">
        <w:rPr>
          <w:color w:val="000000"/>
        </w:rPr>
        <w:t xml:space="preserve">.  </w:t>
      </w:r>
      <w:r w:rsidRPr="00A04A80" w:rsidR="009A1274">
        <w:rPr>
          <w:color w:val="000000"/>
        </w:rPr>
        <w:t xml:space="preserve">Failure </w:t>
      </w:r>
      <w:r w:rsidRPr="00A04A80" w:rsidR="00932ADC">
        <w:rPr>
          <w:color w:val="000000"/>
        </w:rPr>
        <w:t xml:space="preserve">to allow </w:t>
      </w:r>
      <w:r w:rsidRPr="00A04A80" w:rsidR="00A32290">
        <w:rPr>
          <w:color w:val="000000"/>
        </w:rPr>
        <w:t>railroads</w:t>
      </w:r>
      <w:r w:rsidR="0062559F">
        <w:rPr>
          <w:color w:val="000000"/>
        </w:rPr>
        <w:t>, other regulated carriers</w:t>
      </w:r>
      <w:r w:rsidRPr="00A04A80" w:rsidR="00A32290">
        <w:rPr>
          <w:color w:val="000000"/>
        </w:rPr>
        <w:t xml:space="preserve">, shippers, and other persons to </w:t>
      </w:r>
      <w:r w:rsidR="003913A8">
        <w:rPr>
          <w:color w:val="000000"/>
        </w:rPr>
        <w:t>do so</w:t>
      </w:r>
      <w:r w:rsidRPr="00A04A80" w:rsidR="00A32290">
        <w:rPr>
          <w:color w:val="000000"/>
        </w:rPr>
        <w:t xml:space="preserve"> would </w:t>
      </w:r>
      <w:r w:rsidR="003913A8">
        <w:rPr>
          <w:color w:val="000000"/>
        </w:rPr>
        <w:t xml:space="preserve">remove a means by which the agency’s stakeholders can avoid </w:t>
      </w:r>
      <w:r w:rsidR="001B301C">
        <w:rPr>
          <w:color w:val="000000"/>
        </w:rPr>
        <w:t>c</w:t>
      </w:r>
      <w:r w:rsidR="003913A8">
        <w:rPr>
          <w:color w:val="000000"/>
        </w:rPr>
        <w:t>ostl</w:t>
      </w:r>
      <w:r w:rsidR="001B301C">
        <w:rPr>
          <w:color w:val="000000"/>
        </w:rPr>
        <w:t>ier</w:t>
      </w:r>
      <w:r w:rsidR="003913A8">
        <w:rPr>
          <w:color w:val="000000"/>
        </w:rPr>
        <w:t xml:space="preserve"> administrative proceedings by having legal questions resolved early and would hamper the </w:t>
      </w:r>
      <w:r w:rsidR="003741E0">
        <w:t xml:space="preserve">Board’s ability </w:t>
      </w:r>
      <w:r w:rsidR="00C03926">
        <w:t xml:space="preserve">to </w:t>
      </w:r>
      <w:r w:rsidRPr="00A04A80" w:rsidR="009A1274">
        <w:rPr>
          <w:color w:val="000000"/>
        </w:rPr>
        <w:t>fulfill its statutory mandate</w:t>
      </w:r>
      <w:r w:rsidR="003913A8">
        <w:rPr>
          <w:color w:val="000000"/>
        </w:rPr>
        <w:t xml:space="preserve"> efficiently</w:t>
      </w:r>
      <w:r w:rsidRPr="00A04A80" w:rsidR="009A1274">
        <w:rPr>
          <w:color w:val="000000"/>
        </w:rPr>
        <w:t>.</w:t>
      </w:r>
      <w:r w:rsidRPr="00A04A80" w:rsidR="00A32290">
        <w:rPr>
          <w:color w:val="000000"/>
        </w:rPr>
        <w:t xml:space="preserve">  </w:t>
      </w:r>
    </w:p>
    <w:p w:rsidRPr="00A04A80" w:rsidR="00726250" w:rsidP="0051666E" w:rsidRDefault="00726250" w14:paraId="3E2D22F6" w14:textId="77777777">
      <w:pPr>
        <w:spacing w:before="120" w:after="120"/>
        <w:contextualSpacing/>
      </w:pPr>
    </w:p>
    <w:p w:rsidRPr="00A04A80" w:rsidR="003D358F" w:rsidP="0051666E" w:rsidRDefault="00726250" w14:paraId="64A31361" w14:textId="77777777">
      <w:pPr>
        <w:spacing w:before="120" w:after="120"/>
        <w:ind w:firstLine="720"/>
        <w:contextualSpacing/>
      </w:pPr>
      <w:r w:rsidRPr="00A04A80">
        <w:t xml:space="preserve">7.  </w:t>
      </w:r>
      <w:r w:rsidRPr="00A04A80" w:rsidR="003D358F">
        <w:rPr>
          <w:u w:val="single"/>
        </w:rPr>
        <w:t>Special circumstances</w:t>
      </w:r>
      <w:r w:rsidRPr="00A04A80" w:rsidR="003D358F">
        <w:t>.  No special circumstances apply to this collection.</w:t>
      </w:r>
    </w:p>
    <w:p w:rsidRPr="00A04A80" w:rsidR="00726250" w:rsidP="0051666E" w:rsidRDefault="00726250" w14:paraId="5F2B4C2C" w14:textId="77777777">
      <w:pPr>
        <w:spacing w:before="120" w:after="120"/>
        <w:ind w:firstLine="720"/>
        <w:contextualSpacing/>
      </w:pPr>
    </w:p>
    <w:p w:rsidRPr="00A04A80" w:rsidR="004E071F" w:rsidP="0051666E" w:rsidRDefault="00726250" w14:paraId="1B162F52" w14:textId="6BBFA6DF">
      <w:pPr>
        <w:spacing w:before="120" w:after="120"/>
        <w:ind w:firstLine="720"/>
        <w:contextualSpacing/>
      </w:pPr>
      <w:r w:rsidRPr="00A04A80">
        <w:t xml:space="preserve">8.  </w:t>
      </w:r>
      <w:r w:rsidRPr="00A04A80" w:rsidR="005B5DE1">
        <w:rPr>
          <w:u w:val="single"/>
        </w:rPr>
        <w:t>Compliance with 5 C.F.R. § 1320.8</w:t>
      </w:r>
      <w:r w:rsidRPr="00A04A80" w:rsidR="005B5DE1">
        <w:t xml:space="preserve">.  </w:t>
      </w:r>
      <w:r w:rsidRPr="00A04A80" w:rsidR="00217E0B">
        <w:t xml:space="preserve">As required, the Board published a notice providing a 60-day comment period regarding this collection.  </w:t>
      </w:r>
      <w:r w:rsidRPr="00A04A80" w:rsidR="00217E0B">
        <w:rPr>
          <w:u w:val="single"/>
        </w:rPr>
        <w:t>See</w:t>
      </w:r>
      <w:r w:rsidRPr="00A04A80" w:rsidR="00217E0B">
        <w:t xml:space="preserve"> </w:t>
      </w:r>
      <w:r w:rsidRPr="004E364C" w:rsidR="00217E0B">
        <w:t>8</w:t>
      </w:r>
      <w:r w:rsidR="00A617A6">
        <w:t>5</w:t>
      </w:r>
      <w:r w:rsidRPr="004E364C" w:rsidR="00217E0B">
        <w:t xml:space="preserve"> F</w:t>
      </w:r>
      <w:r w:rsidR="00217E0B">
        <w:t xml:space="preserve">ed. </w:t>
      </w:r>
      <w:r w:rsidRPr="004E364C" w:rsidR="00217E0B">
        <w:t>R</w:t>
      </w:r>
      <w:r w:rsidR="00217E0B">
        <w:t>eg.</w:t>
      </w:r>
      <w:r w:rsidRPr="004E364C" w:rsidR="00217E0B">
        <w:t xml:space="preserve"> </w:t>
      </w:r>
      <w:r w:rsidR="00A617A6">
        <w:t>10508</w:t>
      </w:r>
      <w:r w:rsidRPr="004E364C" w:rsidR="00217E0B">
        <w:t xml:space="preserve"> </w:t>
      </w:r>
      <w:r w:rsidR="00217E0B">
        <w:t>(</w:t>
      </w:r>
      <w:r w:rsidR="00A617A6">
        <w:t>Feb. 24, 2020</w:t>
      </w:r>
      <w:r w:rsidR="00217E0B">
        <w:t>)</w:t>
      </w:r>
      <w:r w:rsidRPr="00A04A80" w:rsidR="00217E0B">
        <w:t xml:space="preserve">.  No comments were received.  A 30-day notice was published concurrently with this submission to </w:t>
      </w:r>
      <w:r w:rsidRPr="00A04A80" w:rsidR="00217E0B">
        <w:rPr>
          <w:rFonts w:cs="Shruti"/>
        </w:rPr>
        <w:t>Office of Management and Budget (OMB)</w:t>
      </w:r>
      <w:r w:rsidRPr="00A04A80" w:rsidR="00217E0B">
        <w:t xml:space="preserve">.  </w:t>
      </w:r>
      <w:r w:rsidR="00217E0B">
        <w:t>8</w:t>
      </w:r>
      <w:r w:rsidR="00A617A6">
        <w:t>5</w:t>
      </w:r>
      <w:r w:rsidRPr="00A04A80" w:rsidR="00217E0B">
        <w:t xml:space="preserve"> Fed. </w:t>
      </w:r>
      <w:r w:rsidRPr="00543EBB" w:rsidR="00217E0B">
        <w:t xml:space="preserve">Reg. </w:t>
      </w:r>
      <w:r w:rsidRPr="00230EE6" w:rsidR="00543EBB">
        <w:t>23591 (Apr. 28</w:t>
      </w:r>
      <w:r w:rsidRPr="00230EE6" w:rsidR="00217E0B">
        <w:t>,</w:t>
      </w:r>
      <w:r w:rsidRPr="00543EBB" w:rsidR="00217E0B">
        <w:t xml:space="preserve"> 20</w:t>
      </w:r>
      <w:r w:rsidRPr="00230EE6" w:rsidR="00A617A6">
        <w:t>20</w:t>
      </w:r>
      <w:r w:rsidRPr="00230EE6" w:rsidR="00217E0B">
        <w:t>).</w:t>
      </w:r>
    </w:p>
    <w:p w:rsidRPr="00A04A80" w:rsidR="00726250" w:rsidP="0051666E" w:rsidRDefault="00726250" w14:paraId="3D220F84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5EBA13AB" w14:textId="77777777">
      <w:pPr>
        <w:spacing w:before="120" w:after="120"/>
        <w:ind w:firstLine="720"/>
        <w:contextualSpacing/>
      </w:pPr>
      <w:r w:rsidRPr="00A04A80">
        <w:t xml:space="preserve">9.  </w:t>
      </w:r>
      <w:r w:rsidRPr="00A04A80" w:rsidR="00290F01">
        <w:rPr>
          <w:u w:val="single"/>
        </w:rPr>
        <w:t>Payments or</w:t>
      </w:r>
      <w:r w:rsidRPr="00A04A80" w:rsidR="0069229D">
        <w:rPr>
          <w:u w:val="single"/>
        </w:rPr>
        <w:t xml:space="preserve"> gifts to respondents</w:t>
      </w:r>
      <w:r w:rsidRPr="00A04A80" w:rsidR="0069229D">
        <w:t xml:space="preserve">.  </w:t>
      </w:r>
      <w:r w:rsidRPr="00A04A80">
        <w:t>The Board does not provide any payment or gift to respondents.</w:t>
      </w:r>
    </w:p>
    <w:p w:rsidRPr="00A04A80" w:rsidR="00726250" w:rsidP="0051666E" w:rsidRDefault="00726250" w14:paraId="2391635C" w14:textId="77777777">
      <w:pPr>
        <w:spacing w:before="120" w:after="120"/>
        <w:ind w:firstLine="7200"/>
        <w:contextualSpacing/>
      </w:pPr>
    </w:p>
    <w:p w:rsidRPr="00A04A80" w:rsidR="000A3FF0" w:rsidP="0051666E" w:rsidRDefault="00726250" w14:paraId="1B9D8AE7" w14:textId="77777777">
      <w:pPr>
        <w:spacing w:before="120" w:after="120"/>
        <w:ind w:firstLine="720"/>
        <w:contextualSpacing/>
        <w:rPr>
          <w:rFonts w:cs="Shruti"/>
        </w:rPr>
      </w:pPr>
      <w:r w:rsidRPr="00A04A80">
        <w:t xml:space="preserve">10.  </w:t>
      </w:r>
      <w:r w:rsidRPr="00A04A80" w:rsidR="007134A0">
        <w:rPr>
          <w:u w:val="single"/>
        </w:rPr>
        <w:t>Assurance of confidentiality</w:t>
      </w:r>
      <w:r w:rsidRPr="00A04A80" w:rsidR="007134A0">
        <w:t xml:space="preserve">.  </w:t>
      </w:r>
      <w:r w:rsidRPr="00A04A80" w:rsidR="000A3FF0">
        <w:t>T</w:t>
      </w:r>
      <w:r w:rsidRPr="00A04A80">
        <w:rPr>
          <w:rFonts w:cs="Shruti"/>
        </w:rPr>
        <w:t>h</w:t>
      </w:r>
      <w:r w:rsidRPr="00A04A80" w:rsidR="009D2671">
        <w:rPr>
          <w:rFonts w:cs="Shruti"/>
        </w:rPr>
        <w:t>is</w:t>
      </w:r>
      <w:r w:rsidRPr="00A04A80" w:rsidR="00557158">
        <w:rPr>
          <w:rFonts w:cs="Shruti"/>
        </w:rPr>
        <w:t xml:space="preserve"> collection </w:t>
      </w:r>
      <w:r w:rsidRPr="00A04A80" w:rsidR="009D2671">
        <w:rPr>
          <w:rFonts w:cs="Shruti"/>
        </w:rPr>
        <w:t>is</w:t>
      </w:r>
      <w:r w:rsidRPr="00A04A80">
        <w:rPr>
          <w:rFonts w:cs="Shruti"/>
        </w:rPr>
        <w:t xml:space="preserve"> </w:t>
      </w:r>
      <w:r w:rsidRPr="00A04A80" w:rsidR="00292A83">
        <w:rPr>
          <w:rFonts w:cs="Shruti"/>
        </w:rPr>
        <w:t xml:space="preserve">generally </w:t>
      </w:r>
      <w:r w:rsidRPr="00A04A80">
        <w:rPr>
          <w:rFonts w:cs="Shruti"/>
        </w:rPr>
        <w:t>available to the public</w:t>
      </w:r>
      <w:r w:rsidRPr="00A04A80" w:rsidR="008A7F47">
        <w:rPr>
          <w:rFonts w:cs="Shruti"/>
        </w:rPr>
        <w:t xml:space="preserve"> </w:t>
      </w:r>
      <w:r w:rsidRPr="00A04A80" w:rsidR="00EE4633">
        <w:rPr>
          <w:rFonts w:cs="Shruti"/>
        </w:rPr>
        <w:t xml:space="preserve">as filings </w:t>
      </w:r>
      <w:r w:rsidRPr="00A04A80" w:rsidR="00557158">
        <w:rPr>
          <w:rFonts w:cs="Shruti"/>
        </w:rPr>
        <w:t>on the Board’s website, located at</w:t>
      </w:r>
      <w:r w:rsidR="00A617A6">
        <w:rPr>
          <w:rFonts w:cs="Shruti"/>
        </w:rPr>
        <w:t xml:space="preserve"> </w:t>
      </w:r>
      <w:hyperlink w:history="1" r:id="rId9">
        <w:r w:rsidRPr="0087281C" w:rsidR="00A617A6">
          <w:rPr>
            <w:rStyle w:val="Hyperlink"/>
            <w:rFonts w:cs="Shruti"/>
          </w:rPr>
          <w:t>www.st</w:t>
        </w:r>
        <w:r w:rsidRPr="0087281C" w:rsidR="00A617A6">
          <w:rPr>
            <w:rStyle w:val="Hyperlink"/>
            <w:rFonts w:cs="Shruti"/>
          </w:rPr>
          <w:t>b</w:t>
        </w:r>
        <w:r w:rsidRPr="0087281C" w:rsidR="00A617A6">
          <w:rPr>
            <w:rStyle w:val="Hyperlink"/>
            <w:rFonts w:cs="Shruti"/>
          </w:rPr>
          <w:t>.gov</w:t>
        </w:r>
      </w:hyperlink>
      <w:r w:rsidRPr="00A04A80" w:rsidR="00557158">
        <w:rPr>
          <w:rFonts w:cs="Shruti"/>
        </w:rPr>
        <w:t>.</w:t>
      </w:r>
      <w:r w:rsidRPr="00A04A80" w:rsidR="000A3FF0">
        <w:rPr>
          <w:rFonts w:cs="Shruti"/>
        </w:rPr>
        <w:t xml:space="preserve">  </w:t>
      </w:r>
      <w:r w:rsidRPr="00A04A80" w:rsidR="00292A83">
        <w:rPr>
          <w:rFonts w:cs="Shruti"/>
        </w:rPr>
        <w:t xml:space="preserve">However, </w:t>
      </w:r>
      <w:r w:rsidRPr="00A04A80" w:rsidR="000A3FF0">
        <w:t>some of the information collected may be protected and treated as confidential.  At</w:t>
      </w:r>
      <w:r w:rsidRPr="00A04A80" w:rsidR="000A3FF0">
        <w:rPr>
          <w:color w:val="000000"/>
        </w:rPr>
        <w:t xml:space="preserve"> times, persons filing </w:t>
      </w:r>
      <w:r w:rsidRPr="00A04A80" w:rsidR="009D2671">
        <w:rPr>
          <w:color w:val="000000"/>
        </w:rPr>
        <w:t xml:space="preserve">a </w:t>
      </w:r>
      <w:r w:rsidR="001A1FF9">
        <w:rPr>
          <w:color w:val="000000"/>
        </w:rPr>
        <w:t>petition for declaratory order</w:t>
      </w:r>
      <w:r w:rsidR="0058720F">
        <w:rPr>
          <w:color w:val="000000"/>
        </w:rPr>
        <w:t>s</w:t>
      </w:r>
      <w:r w:rsidRPr="00A04A80" w:rsidR="000A3FF0">
        <w:rPr>
          <w:color w:val="000000"/>
        </w:rPr>
        <w:t xml:space="preserve"> bef</w:t>
      </w:r>
      <w:r w:rsidR="001A1FF9">
        <w:rPr>
          <w:color w:val="000000"/>
        </w:rPr>
        <w:t>ore the Board, or responding to one</w:t>
      </w:r>
      <w:r w:rsidRPr="00A04A80" w:rsidR="000A3FF0">
        <w:rPr>
          <w:color w:val="000000"/>
        </w:rPr>
        <w:t xml:space="preserve">, may wish to file commercially sensitive information.  </w:t>
      </w:r>
      <w:r w:rsidRPr="00A04A80" w:rsidR="000A3FF0">
        <w:t>To protect such information,</w:t>
      </w:r>
      <w:r w:rsidRPr="00A04A80" w:rsidR="000A3FF0">
        <w:rPr>
          <w:color w:val="000000"/>
        </w:rPr>
        <w:t xml:space="preserve"> parties may mark documents or portions of documents as “confidential” or “highly confidential” and simultaneously file a motion for a protective order.</w:t>
      </w:r>
      <w:r w:rsidRPr="00A04A80" w:rsidR="000A3FF0">
        <w:t xml:space="preserve">  49 C.F.R. § 1104.14.  Generally, the Board will issue a protective order (sometimes with modifications), limiting access to confidential pleadings to parties </w:t>
      </w:r>
      <w:r w:rsidR="00516892">
        <w:t>that</w:t>
      </w:r>
      <w:r w:rsidRPr="00A04A80" w:rsidR="000A3FF0">
        <w:t xml:space="preserve"> demonstrate a need for the information and adequately ensuring that the docume</w:t>
      </w:r>
      <w:r w:rsidRPr="00A04A80" w:rsidR="00F9722D">
        <w:t>nts will be kept confidential.</w:t>
      </w:r>
      <w:r w:rsidR="009F1A00">
        <w:t xml:space="preserve">  In such circumstances, a redacted public version of the document will be posted on the Board’s website in lieu of the document containing confidential information.</w:t>
      </w:r>
    </w:p>
    <w:p w:rsidRPr="00A04A80" w:rsidR="00726250" w:rsidP="0051666E" w:rsidRDefault="00726250" w14:paraId="05E68887" w14:textId="77777777">
      <w:pPr>
        <w:spacing w:before="120" w:after="120"/>
        <w:contextualSpacing/>
      </w:pPr>
    </w:p>
    <w:p w:rsidRPr="00A04A80" w:rsidR="00726250" w:rsidP="0051666E" w:rsidRDefault="00726250" w14:paraId="781056E4" w14:textId="77777777">
      <w:pPr>
        <w:spacing w:before="120" w:after="120"/>
        <w:ind w:firstLine="720"/>
        <w:contextualSpacing/>
        <w:rPr>
          <w:color w:val="000000"/>
        </w:rPr>
      </w:pPr>
      <w:r w:rsidRPr="00A04A80">
        <w:t xml:space="preserve">11.  </w:t>
      </w:r>
      <w:r w:rsidRPr="00A04A80" w:rsidR="005E5C69">
        <w:rPr>
          <w:u w:val="single"/>
        </w:rPr>
        <w:t>Justification for collection of sensitive information</w:t>
      </w:r>
      <w:r w:rsidRPr="00A04A80" w:rsidR="005E5C69">
        <w:t xml:space="preserve">.  </w:t>
      </w:r>
      <w:r w:rsidRPr="00A04A80" w:rsidR="000A3FF0">
        <w:t>No sensitive information of a personal nature is requested.</w:t>
      </w:r>
    </w:p>
    <w:p w:rsidRPr="00A04A80" w:rsidR="00726250" w:rsidP="0051666E" w:rsidRDefault="00726250" w14:paraId="25E25D58" w14:textId="77777777">
      <w:pPr>
        <w:spacing w:before="120" w:after="120"/>
        <w:contextualSpacing/>
      </w:pPr>
    </w:p>
    <w:p w:rsidRPr="0052359E" w:rsidR="00EE4633" w:rsidP="0051666E" w:rsidRDefault="00726250" w14:paraId="7823BDD3" w14:textId="77777777">
      <w:pPr>
        <w:spacing w:before="120" w:after="120"/>
        <w:ind w:firstLine="720"/>
        <w:contextualSpacing/>
      </w:pPr>
      <w:r w:rsidRPr="00A04A80">
        <w:t xml:space="preserve">12.  </w:t>
      </w:r>
      <w:r w:rsidRPr="00A04A80" w:rsidR="005E5C69">
        <w:rPr>
          <w:u w:val="single"/>
        </w:rPr>
        <w:t>Estimation of burden hours for respondents</w:t>
      </w:r>
      <w:r w:rsidRPr="00A04A80" w:rsidR="005E5C69">
        <w:t xml:space="preserve">.  </w:t>
      </w:r>
      <w:r w:rsidRPr="00A04A80" w:rsidR="00EE4633">
        <w:t xml:space="preserve">The following information pertains to the estimate of </w:t>
      </w:r>
      <w:r w:rsidRPr="0052359E" w:rsidR="00EE4633">
        <w:t xml:space="preserve">burden hours associated with this collection: </w:t>
      </w:r>
    </w:p>
    <w:p w:rsidRPr="0052359E" w:rsidR="00EE4633" w:rsidP="0051666E" w:rsidRDefault="006C605A" w14:paraId="0E364516" w14:textId="77777777">
      <w:pPr>
        <w:pStyle w:val="Default"/>
        <w:numPr>
          <w:ilvl w:val="0"/>
          <w:numId w:val="2"/>
        </w:numPr>
        <w:spacing w:before="120" w:after="120"/>
        <w:contextualSpacing/>
      </w:pPr>
      <w:r w:rsidRPr="0052359E">
        <w:t xml:space="preserve">Number of respondents:  </w:t>
      </w:r>
      <w:r w:rsidR="0052359E">
        <w:t xml:space="preserve">Approximately </w:t>
      </w:r>
      <w:r w:rsidR="00BA543A">
        <w:t>1</w:t>
      </w:r>
      <w:r w:rsidR="0089358F">
        <w:t>0.</w:t>
      </w:r>
    </w:p>
    <w:p w:rsidRPr="0052359E" w:rsidR="00EE4633" w:rsidP="0051666E" w:rsidRDefault="00EE4633" w14:paraId="5305132A" w14:textId="77777777">
      <w:pPr>
        <w:pStyle w:val="Default"/>
        <w:spacing w:before="120" w:after="120"/>
        <w:contextualSpacing/>
      </w:pPr>
    </w:p>
    <w:p w:rsidRPr="0052359E" w:rsidR="00BF3FCF" w:rsidP="002511FC" w:rsidRDefault="00EE4633" w14:paraId="04BD189D" w14:textId="77777777">
      <w:pPr>
        <w:pStyle w:val="Default"/>
        <w:spacing w:before="120" w:after="120"/>
        <w:ind w:left="720"/>
        <w:contextualSpacing/>
      </w:pPr>
      <w:r w:rsidRPr="0052359E">
        <w:t xml:space="preserve">Frequency of response: </w:t>
      </w:r>
      <w:r w:rsidRPr="0052359E" w:rsidR="006C605A">
        <w:t xml:space="preserve"> </w:t>
      </w:r>
      <w:r w:rsidRPr="0052359E" w:rsidR="00F213E2">
        <w:t xml:space="preserve">On occasion. </w:t>
      </w:r>
      <w:r w:rsidRPr="0052359E" w:rsidR="00211D9C">
        <w:t xml:space="preserve"> </w:t>
      </w:r>
      <w:r w:rsidRPr="0052359E" w:rsidR="00F213E2">
        <w:t>(</w:t>
      </w:r>
      <w:r w:rsidR="0052359E">
        <w:t xml:space="preserve">In </w:t>
      </w:r>
      <w:r w:rsidR="00BA543A">
        <w:t>calendar years 201</w:t>
      </w:r>
      <w:r w:rsidR="0089358F">
        <w:t>7</w:t>
      </w:r>
      <w:r w:rsidR="00BA543A">
        <w:t>-201</w:t>
      </w:r>
      <w:r w:rsidR="0089358F">
        <w:t>9</w:t>
      </w:r>
      <w:r w:rsidR="0052359E">
        <w:t xml:space="preserve">, an average of </w:t>
      </w:r>
      <w:r w:rsidR="00BA543A">
        <w:t>1</w:t>
      </w:r>
      <w:r w:rsidR="0089358F">
        <w:t>0</w:t>
      </w:r>
      <w:r w:rsidRPr="0052359E" w:rsidR="00921FD6">
        <w:t xml:space="preserve"> </w:t>
      </w:r>
      <w:r w:rsidRPr="0052359E" w:rsidR="005D67E8">
        <w:t>petitions for declaratory order</w:t>
      </w:r>
      <w:r w:rsidR="0058720F">
        <w:t>s</w:t>
      </w:r>
      <w:r w:rsidRPr="0052359E" w:rsidR="00921FD6">
        <w:t xml:space="preserve"> were filed </w:t>
      </w:r>
      <w:r w:rsidR="0052359E">
        <w:t>with the Board.</w:t>
      </w:r>
      <w:r w:rsidRPr="0052359E" w:rsidR="00F213E2">
        <w:t>)</w:t>
      </w:r>
    </w:p>
    <w:p w:rsidRPr="0052359E" w:rsidR="003741E0" w:rsidP="002511FC" w:rsidRDefault="003741E0" w14:paraId="6565F728" w14:textId="77777777">
      <w:pPr>
        <w:pStyle w:val="Default"/>
        <w:spacing w:before="120" w:after="120"/>
        <w:ind w:left="720"/>
        <w:contextualSpacing/>
      </w:pPr>
    </w:p>
    <w:p w:rsidRPr="00A04A80" w:rsidR="00726250" w:rsidP="0051666E" w:rsidRDefault="00EE4633" w14:paraId="13C7953F" w14:textId="77777777">
      <w:pPr>
        <w:pStyle w:val="Default"/>
        <w:numPr>
          <w:ilvl w:val="0"/>
          <w:numId w:val="2"/>
        </w:numPr>
        <w:spacing w:before="120" w:after="120"/>
        <w:contextualSpacing/>
      </w:pPr>
      <w:r w:rsidRPr="0052359E">
        <w:t xml:space="preserve">Annual hour burden per respondent and total for all respondents: </w:t>
      </w:r>
      <w:r w:rsidRPr="0052359E" w:rsidR="009D2671">
        <w:t xml:space="preserve"> </w:t>
      </w:r>
      <w:r w:rsidRPr="00A04A80" w:rsidR="0075091D">
        <w:t xml:space="preserve">Based on informal feedback </w:t>
      </w:r>
      <w:r w:rsidR="0075091D">
        <w:t>previously</w:t>
      </w:r>
      <w:r w:rsidRPr="00A04A80" w:rsidR="0075091D">
        <w:t xml:space="preserve"> provided by a small sampling </w:t>
      </w:r>
      <w:r w:rsidR="0075091D">
        <w:t xml:space="preserve">(less than five) </w:t>
      </w:r>
      <w:r w:rsidRPr="00A04A80" w:rsidR="0075091D">
        <w:t>of respondents</w:t>
      </w:r>
      <w:r w:rsidR="0075091D">
        <w:t>,</w:t>
      </w:r>
      <w:r w:rsidRPr="00A04A80" w:rsidR="0075091D">
        <w:t xml:space="preserve"> it is estimated that it takes approximately</w:t>
      </w:r>
      <w:r w:rsidRPr="00A04A80" w:rsidR="007407EF">
        <w:t xml:space="preserve"> </w:t>
      </w:r>
      <w:r w:rsidRPr="0052359E" w:rsidR="005D67E8">
        <w:t>183</w:t>
      </w:r>
      <w:r w:rsidRPr="0052359E" w:rsidR="00921FD6">
        <w:t xml:space="preserve"> hours</w:t>
      </w:r>
      <w:r w:rsidR="007407EF">
        <w:t xml:space="preserve"> </w:t>
      </w:r>
      <w:r w:rsidR="0075091D">
        <w:t>to file a</w:t>
      </w:r>
      <w:r w:rsidR="007407EF">
        <w:t xml:space="preserve"> petition for declaratory order</w:t>
      </w:r>
      <w:r w:rsidRPr="0052359E">
        <w:t xml:space="preserve">. </w:t>
      </w:r>
      <w:r w:rsidRPr="0052359E" w:rsidR="000145EF">
        <w:t xml:space="preserve"> </w:t>
      </w:r>
      <w:r w:rsidRPr="0052359E">
        <w:t xml:space="preserve">The resulting total hourly burden for this collection is estimated at </w:t>
      </w:r>
      <w:r w:rsidR="0089358F">
        <w:t>1,830</w:t>
      </w:r>
      <w:r w:rsidRPr="0052359E">
        <w:t xml:space="preserve"> hours (</w:t>
      </w:r>
      <w:r w:rsidRPr="0052359E" w:rsidR="00921FD6">
        <w:t xml:space="preserve">estimated </w:t>
      </w:r>
      <w:r w:rsidRPr="0052359E" w:rsidR="00921FD6">
        <w:lastRenderedPageBreak/>
        <w:t xml:space="preserve">hours per </w:t>
      </w:r>
      <w:r w:rsidRPr="0052359E" w:rsidR="001A1FF9">
        <w:t>petition for declaratory order</w:t>
      </w:r>
      <w:r w:rsidR="0058720F">
        <w:t>s</w:t>
      </w:r>
      <w:r w:rsidRPr="0052359E" w:rsidR="00921FD6">
        <w:t xml:space="preserve"> (</w:t>
      </w:r>
      <w:r w:rsidRPr="0052359E" w:rsidR="005D67E8">
        <w:t>183</w:t>
      </w:r>
      <w:r w:rsidRPr="0052359E" w:rsidR="00921FD6">
        <w:t xml:space="preserve">) X number of </w:t>
      </w:r>
      <w:r w:rsidRPr="0052359E" w:rsidR="005D67E8">
        <w:t>petitions for declaratory order</w:t>
      </w:r>
      <w:r w:rsidR="0058720F">
        <w:t>s</w:t>
      </w:r>
      <w:r w:rsidRPr="0052359E" w:rsidR="00921FD6">
        <w:t xml:space="preserve"> (</w:t>
      </w:r>
      <w:r w:rsidR="00BA543A">
        <w:t>1</w:t>
      </w:r>
      <w:r w:rsidR="0089358F">
        <w:t>0</w:t>
      </w:r>
      <w:r w:rsidRPr="0052359E" w:rsidR="00921FD6">
        <w:t>)</w:t>
      </w:r>
      <w:r w:rsidRPr="0052359E" w:rsidR="009D2671">
        <w:t>)</w:t>
      </w:r>
      <w:r w:rsidRPr="0052359E" w:rsidR="00921FD6">
        <w:t>.</w:t>
      </w:r>
    </w:p>
    <w:p w:rsidRPr="00A04A80" w:rsidR="00726250" w:rsidP="00230EE6" w:rsidRDefault="00726250" w14:paraId="4915BCBB" w14:textId="6E9857C7">
      <w:pPr>
        <w:widowControl/>
        <w:spacing w:before="120" w:after="120"/>
        <w:ind w:firstLine="720"/>
        <w:contextualSpacing/>
      </w:pPr>
      <w:r w:rsidRPr="00A04A80">
        <w:t xml:space="preserve">13.  </w:t>
      </w:r>
      <w:r w:rsidRPr="00A04A80">
        <w:rPr>
          <w:u w:val="single"/>
        </w:rPr>
        <w:t>Other costs to respondents</w:t>
      </w:r>
      <w:r w:rsidRPr="00A04A80">
        <w:t xml:space="preserve">:  </w:t>
      </w:r>
      <w:r w:rsidRPr="002A2D92" w:rsidR="00230EE6">
        <w:rPr>
          <w:color w:val="000000"/>
        </w:rPr>
        <w:t>None identified</w:t>
      </w:r>
      <w:r w:rsidR="00230EE6">
        <w:rPr>
          <w:color w:val="000000"/>
        </w:rPr>
        <w:t>.  Filings may be submitted electronically to the Board.</w:t>
      </w:r>
      <w:r w:rsidR="00230EE6">
        <w:t xml:space="preserve">  </w:t>
      </w:r>
      <w:bookmarkStart w:name="_GoBack" w:id="0"/>
      <w:bookmarkEnd w:id="0"/>
    </w:p>
    <w:p w:rsidRPr="00A04A80" w:rsidR="009032DC" w:rsidP="0051666E" w:rsidRDefault="00726250" w14:paraId="61F62986" w14:textId="77777777">
      <w:pPr>
        <w:spacing w:before="120" w:after="120"/>
        <w:ind w:firstLine="720"/>
        <w:contextualSpacing/>
      </w:pPr>
      <w:r w:rsidRPr="00A04A80">
        <w:t xml:space="preserve">14.  </w:t>
      </w:r>
      <w:r w:rsidR="00A617A6">
        <w:rPr>
          <w:u w:val="single"/>
        </w:rPr>
        <w:t>Annualized Cost to the Federal Government</w:t>
      </w:r>
      <w:r w:rsidRPr="00F735E8" w:rsidR="00A617A6">
        <w:t xml:space="preserve">.  </w:t>
      </w:r>
      <w:r w:rsidR="00A617A6">
        <w:t>There will be no cost beyond the normal labor costs for Board staff</w:t>
      </w:r>
      <w:r w:rsidRPr="00460A78" w:rsidR="009B786F">
        <w:t>.</w:t>
      </w:r>
    </w:p>
    <w:p w:rsidRPr="00A04A80" w:rsidR="00726250" w:rsidP="0051666E" w:rsidRDefault="00726250" w14:paraId="3BA3E07B" w14:textId="77777777">
      <w:pPr>
        <w:spacing w:before="120" w:after="120"/>
        <w:contextualSpacing/>
      </w:pPr>
    </w:p>
    <w:p w:rsidRPr="00A04A80" w:rsidR="00CA011E" w:rsidP="00A36F32" w:rsidRDefault="00726250" w14:paraId="18E7B09E" w14:textId="77777777">
      <w:pPr>
        <w:spacing w:before="120" w:after="120"/>
        <w:ind w:firstLine="720"/>
        <w:contextualSpacing/>
      </w:pPr>
      <w:r w:rsidRPr="00A04A80">
        <w:t xml:space="preserve">15.  </w:t>
      </w:r>
      <w:r w:rsidRPr="00A04A80" w:rsidR="005E5C69">
        <w:rPr>
          <w:u w:val="single"/>
        </w:rPr>
        <w:t>Changes in burden hours</w:t>
      </w:r>
      <w:r w:rsidRPr="00A04A80" w:rsidR="005E5C69">
        <w:t xml:space="preserve">.  </w:t>
      </w:r>
      <w:r w:rsidRPr="0089358F" w:rsidR="00A36F32">
        <w:t xml:space="preserve">This is an existing collection, which is being adjusted to update the burdens and costs based on the actual number of </w:t>
      </w:r>
      <w:r w:rsidRPr="0089358F" w:rsidR="002B45DC">
        <w:t>petition</w:t>
      </w:r>
      <w:r w:rsidRPr="0089358F" w:rsidR="00A36F32">
        <w:t>s</w:t>
      </w:r>
      <w:r w:rsidRPr="0089358F" w:rsidR="002B45DC">
        <w:t xml:space="preserve"> for declaratory order</w:t>
      </w:r>
      <w:r w:rsidRPr="0089358F" w:rsidR="0058720F">
        <w:t>s</w:t>
      </w:r>
      <w:r w:rsidRPr="0089358F" w:rsidR="00A36F32">
        <w:t xml:space="preserve"> filed at the Board in the last three calendar years.</w:t>
      </w:r>
    </w:p>
    <w:p w:rsidRPr="00A04A80" w:rsidR="00726250" w:rsidP="0051666E" w:rsidRDefault="00726250" w14:paraId="0B6F6063" w14:textId="77777777">
      <w:pPr>
        <w:spacing w:before="120" w:after="120"/>
        <w:ind w:firstLine="720"/>
        <w:contextualSpacing/>
      </w:pPr>
    </w:p>
    <w:p w:rsidR="002E6511" w:rsidP="0051666E" w:rsidRDefault="00726250" w14:paraId="4AD17847" w14:textId="77777777">
      <w:pPr>
        <w:spacing w:before="120" w:after="120"/>
        <w:ind w:firstLine="720"/>
        <w:contextualSpacing/>
      </w:pPr>
      <w:r w:rsidRPr="00A04A80">
        <w:t xml:space="preserve">16.  </w:t>
      </w:r>
      <w:r w:rsidRPr="00A04A80" w:rsidR="00460E62">
        <w:rPr>
          <w:u w:val="single"/>
        </w:rPr>
        <w:t>Plans for tabulation and publication</w:t>
      </w:r>
      <w:r w:rsidRPr="00A04A80" w:rsidR="00460E62">
        <w:t xml:space="preserve">:  </w:t>
      </w:r>
      <w:r w:rsidRPr="00A04A80" w:rsidR="00BA568B">
        <w:t xml:space="preserve">Generally, </w:t>
      </w:r>
      <w:r w:rsidR="001A1FF9">
        <w:t>petitions for declaratory order</w:t>
      </w:r>
      <w:r w:rsidR="0058720F">
        <w:t>s</w:t>
      </w:r>
      <w:r w:rsidRPr="00A04A80" w:rsidR="00E302F4">
        <w:t xml:space="preserve"> are published on the Board’s website, located at </w:t>
      </w:r>
      <w:hyperlink w:history="1" r:id="rId10">
        <w:r w:rsidRPr="0087281C" w:rsidR="00A617A6">
          <w:rPr>
            <w:rStyle w:val="Hyperlink"/>
          </w:rPr>
          <w:t>www.stb.gov</w:t>
        </w:r>
      </w:hyperlink>
      <w:r w:rsidRPr="00A04A80" w:rsidR="00E302F4">
        <w:t xml:space="preserve">.  </w:t>
      </w:r>
      <w:r w:rsidRPr="00A04A80" w:rsidR="00BA568B">
        <w:t>However, a</w:t>
      </w:r>
      <w:r w:rsidRPr="00A04A80" w:rsidR="00E302F4">
        <w:t xml:space="preserve">s discussed above, when </w:t>
      </w:r>
      <w:r w:rsidR="001A1FF9">
        <w:t>these petitions</w:t>
      </w:r>
      <w:r w:rsidRPr="00A04A80" w:rsidR="00E302F4">
        <w:t xml:space="preserve"> contain confidential information, only a public, redacted version is published on the Board’s website.  </w:t>
      </w:r>
    </w:p>
    <w:p w:rsidRPr="00A04A80" w:rsidR="005C62B6" w:rsidP="0051666E" w:rsidRDefault="005C62B6" w14:paraId="61000C1D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59DDA9F2" w14:textId="77777777">
      <w:pPr>
        <w:spacing w:before="120" w:after="120"/>
        <w:ind w:firstLine="720"/>
        <w:contextualSpacing/>
      </w:pPr>
      <w:r w:rsidRPr="00A04A80">
        <w:t xml:space="preserve">17.  </w:t>
      </w:r>
      <w:r w:rsidRPr="00A04A80" w:rsidR="00884BA4">
        <w:rPr>
          <w:u w:val="single"/>
        </w:rPr>
        <w:t>Display of expiration date for OMB approval</w:t>
      </w:r>
      <w:r w:rsidRPr="00A04A80" w:rsidR="00884BA4">
        <w:t xml:space="preserve">.  </w:t>
      </w:r>
      <w:r w:rsidRPr="00A04A80" w:rsidR="00BA568B">
        <w:t xml:space="preserve">There is no form associated with this collection.  </w:t>
      </w:r>
      <w:r w:rsidRPr="00A04A80" w:rsidR="00E302F4">
        <w:t xml:space="preserve">When issued, the control number and expiration date for this collection will be published in the </w:t>
      </w:r>
      <w:r w:rsidRPr="00A04A80" w:rsidR="00E302F4">
        <w:rPr>
          <w:u w:val="single"/>
        </w:rPr>
        <w:t>Federal</w:t>
      </w:r>
      <w:r w:rsidRPr="00A04A80" w:rsidR="00E302F4">
        <w:t xml:space="preserve"> </w:t>
      </w:r>
      <w:r w:rsidRPr="00A04A80" w:rsidR="00E302F4">
        <w:rPr>
          <w:u w:val="single"/>
        </w:rPr>
        <w:t>Register</w:t>
      </w:r>
      <w:r w:rsidRPr="00A04A80" w:rsidR="00E302F4">
        <w:t>.</w:t>
      </w:r>
    </w:p>
    <w:p w:rsidRPr="00A04A80" w:rsidR="00884BA4" w:rsidP="0051666E" w:rsidRDefault="00884BA4" w14:paraId="27CD9AF5" w14:textId="77777777">
      <w:pPr>
        <w:spacing w:before="120" w:after="120"/>
        <w:ind w:firstLine="720"/>
        <w:contextualSpacing/>
      </w:pPr>
    </w:p>
    <w:p w:rsidRPr="00A04A80" w:rsidR="00726250" w:rsidP="0051666E" w:rsidRDefault="00726250" w14:paraId="15BE6E04" w14:textId="77777777">
      <w:pPr>
        <w:spacing w:before="120" w:after="120"/>
        <w:ind w:firstLine="720"/>
        <w:contextualSpacing/>
      </w:pPr>
      <w:r w:rsidRPr="00A04A80">
        <w:t xml:space="preserve">18.  </w:t>
      </w:r>
      <w:r w:rsidRPr="00A04A80" w:rsidR="00884BA4">
        <w:rPr>
          <w:u w:val="single"/>
        </w:rPr>
        <w:t>Exceptions to Certification Statement</w:t>
      </w:r>
      <w:r w:rsidRPr="00A04A80" w:rsidR="00884BA4">
        <w:t xml:space="preserve">.  </w:t>
      </w:r>
      <w:r w:rsidRPr="00A04A80">
        <w:t>Not applicable</w:t>
      </w:r>
      <w:r w:rsidR="00754529">
        <w:t>.</w:t>
      </w:r>
    </w:p>
    <w:p w:rsidRPr="00A04A80" w:rsidR="00726250" w:rsidP="0051666E" w:rsidRDefault="00726250" w14:paraId="458F4E18" w14:textId="77777777">
      <w:pPr>
        <w:spacing w:before="120" w:after="120"/>
        <w:contextualSpacing/>
        <w:rPr>
          <w:b/>
          <w:bCs/>
          <w:u w:val="single"/>
        </w:rPr>
      </w:pPr>
    </w:p>
    <w:p w:rsidRPr="00A04A80" w:rsidR="00726250" w:rsidP="0051666E" w:rsidRDefault="00726250" w14:paraId="25B3C2DD" w14:textId="77777777">
      <w:pPr>
        <w:spacing w:before="120" w:after="120"/>
        <w:contextualSpacing/>
        <w:rPr>
          <w:b/>
          <w:bCs/>
          <w:u w:val="single"/>
        </w:rPr>
      </w:pPr>
    </w:p>
    <w:p w:rsidRPr="00A04A80" w:rsidR="00726250" w:rsidP="0051666E" w:rsidRDefault="00726250" w14:paraId="7C477172" w14:textId="77777777">
      <w:pPr>
        <w:spacing w:before="120" w:after="120"/>
        <w:contextualSpacing/>
        <w:rPr>
          <w:b/>
          <w:bCs/>
          <w:u w:val="single"/>
        </w:rPr>
      </w:pPr>
      <w:r w:rsidRPr="00A04A80">
        <w:rPr>
          <w:b/>
          <w:bCs/>
        </w:rPr>
        <w:t xml:space="preserve">B.  </w:t>
      </w:r>
      <w:r w:rsidRPr="00A04A80">
        <w:rPr>
          <w:b/>
          <w:bCs/>
          <w:u w:val="single"/>
        </w:rPr>
        <w:t>Collections of Information Employing Statistical Methods</w:t>
      </w:r>
      <w:r w:rsidRPr="00A04A80">
        <w:rPr>
          <w:b/>
          <w:bCs/>
        </w:rPr>
        <w:t>:</w:t>
      </w:r>
    </w:p>
    <w:p w:rsidRPr="00A04A80" w:rsidR="00726250" w:rsidP="0051666E" w:rsidRDefault="00726250" w14:paraId="5BD82876" w14:textId="77777777">
      <w:pPr>
        <w:spacing w:before="120" w:after="120"/>
        <w:contextualSpacing/>
      </w:pPr>
    </w:p>
    <w:p w:rsidR="00903CCF" w:rsidP="00754529" w:rsidRDefault="00726250" w14:paraId="0E950F10" w14:textId="77777777">
      <w:pPr>
        <w:spacing w:before="120" w:after="120"/>
        <w:ind w:firstLine="720"/>
        <w:contextualSpacing/>
      </w:pPr>
      <w:r w:rsidRPr="00A04A80">
        <w:t>Not applicable</w:t>
      </w:r>
      <w:r w:rsidR="00754529">
        <w:t>.</w:t>
      </w:r>
    </w:p>
    <w:sectPr w:rsidR="00903CCF" w:rsidSect="00903CC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98B04" w14:textId="77777777" w:rsidR="005B6E6D" w:rsidRDefault="005B6E6D" w:rsidP="00781746">
      <w:r>
        <w:separator/>
      </w:r>
    </w:p>
  </w:endnote>
  <w:endnote w:type="continuationSeparator" w:id="0">
    <w:p w14:paraId="34BCCCA3" w14:textId="77777777" w:rsidR="005B6E6D" w:rsidRDefault="005B6E6D" w:rsidP="007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5A1AE" w14:textId="77777777" w:rsidR="002A1577" w:rsidRDefault="002A15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E30">
      <w:rPr>
        <w:noProof/>
      </w:rPr>
      <w:t>2</w:t>
    </w:r>
    <w:r>
      <w:rPr>
        <w:noProof/>
      </w:rPr>
      <w:fldChar w:fldCharType="end"/>
    </w:r>
  </w:p>
  <w:p w14:paraId="6A8896B4" w14:textId="77777777" w:rsidR="002A1577" w:rsidRDefault="002A1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12AE" w14:textId="77777777" w:rsidR="005B6E6D" w:rsidRDefault="005B6E6D" w:rsidP="00781746">
      <w:r>
        <w:separator/>
      </w:r>
    </w:p>
  </w:footnote>
  <w:footnote w:type="continuationSeparator" w:id="0">
    <w:p w14:paraId="6CDD98A0" w14:textId="77777777" w:rsidR="005B6E6D" w:rsidRDefault="005B6E6D" w:rsidP="0078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78D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C6161"/>
    <w:multiLevelType w:val="hybridMultilevel"/>
    <w:tmpl w:val="BC1C2324"/>
    <w:lvl w:ilvl="0" w:tplc="0B225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F"/>
    <w:rsid w:val="00007BE9"/>
    <w:rsid w:val="0001284C"/>
    <w:rsid w:val="000145EF"/>
    <w:rsid w:val="00014FF0"/>
    <w:rsid w:val="00020D3A"/>
    <w:rsid w:val="000235BE"/>
    <w:rsid w:val="000276E0"/>
    <w:rsid w:val="00027A89"/>
    <w:rsid w:val="000316AC"/>
    <w:rsid w:val="000369EC"/>
    <w:rsid w:val="00040FCB"/>
    <w:rsid w:val="00046548"/>
    <w:rsid w:val="0004797E"/>
    <w:rsid w:val="00062343"/>
    <w:rsid w:val="00065C02"/>
    <w:rsid w:val="00072677"/>
    <w:rsid w:val="00094E10"/>
    <w:rsid w:val="000976DC"/>
    <w:rsid w:val="000A3FF0"/>
    <w:rsid w:val="000A73A0"/>
    <w:rsid w:val="000C22F2"/>
    <w:rsid w:val="000D3C53"/>
    <w:rsid w:val="000E3466"/>
    <w:rsid w:val="000E5330"/>
    <w:rsid w:val="001032C5"/>
    <w:rsid w:val="00127125"/>
    <w:rsid w:val="001329CA"/>
    <w:rsid w:val="00135508"/>
    <w:rsid w:val="00140E1C"/>
    <w:rsid w:val="00146540"/>
    <w:rsid w:val="00170594"/>
    <w:rsid w:val="00173F0E"/>
    <w:rsid w:val="00175927"/>
    <w:rsid w:val="00177218"/>
    <w:rsid w:val="001920FD"/>
    <w:rsid w:val="00193613"/>
    <w:rsid w:val="001A0A97"/>
    <w:rsid w:val="001A1FF9"/>
    <w:rsid w:val="001A20CA"/>
    <w:rsid w:val="001A49D8"/>
    <w:rsid w:val="001A5E9B"/>
    <w:rsid w:val="001B2607"/>
    <w:rsid w:val="001B301C"/>
    <w:rsid w:val="001C5EF8"/>
    <w:rsid w:val="001C6B55"/>
    <w:rsid w:val="001F21DB"/>
    <w:rsid w:val="00210EF1"/>
    <w:rsid w:val="002114A6"/>
    <w:rsid w:val="00211D9C"/>
    <w:rsid w:val="002165EF"/>
    <w:rsid w:val="00217E0B"/>
    <w:rsid w:val="00222BE2"/>
    <w:rsid w:val="00226588"/>
    <w:rsid w:val="00230EE6"/>
    <w:rsid w:val="0023181B"/>
    <w:rsid w:val="002504F9"/>
    <w:rsid w:val="002511FC"/>
    <w:rsid w:val="00262263"/>
    <w:rsid w:val="00272B90"/>
    <w:rsid w:val="002834B2"/>
    <w:rsid w:val="002873C1"/>
    <w:rsid w:val="00290F01"/>
    <w:rsid w:val="00292A83"/>
    <w:rsid w:val="002A1577"/>
    <w:rsid w:val="002A402D"/>
    <w:rsid w:val="002A785A"/>
    <w:rsid w:val="002B0342"/>
    <w:rsid w:val="002B2640"/>
    <w:rsid w:val="002B270C"/>
    <w:rsid w:val="002B2EB9"/>
    <w:rsid w:val="002B45DC"/>
    <w:rsid w:val="002B5647"/>
    <w:rsid w:val="002B681F"/>
    <w:rsid w:val="002C1E22"/>
    <w:rsid w:val="002D2FB6"/>
    <w:rsid w:val="002D3FF2"/>
    <w:rsid w:val="002D595A"/>
    <w:rsid w:val="002E349A"/>
    <w:rsid w:val="002E6511"/>
    <w:rsid w:val="00306706"/>
    <w:rsid w:val="00310CF4"/>
    <w:rsid w:val="00313E57"/>
    <w:rsid w:val="00320B65"/>
    <w:rsid w:val="003213BB"/>
    <w:rsid w:val="00323245"/>
    <w:rsid w:val="0034167E"/>
    <w:rsid w:val="00347D6A"/>
    <w:rsid w:val="003647CA"/>
    <w:rsid w:val="00365159"/>
    <w:rsid w:val="003651BC"/>
    <w:rsid w:val="003727CF"/>
    <w:rsid w:val="003741E0"/>
    <w:rsid w:val="00376002"/>
    <w:rsid w:val="003875F5"/>
    <w:rsid w:val="003913A8"/>
    <w:rsid w:val="003C50EC"/>
    <w:rsid w:val="003D358F"/>
    <w:rsid w:val="003E71AD"/>
    <w:rsid w:val="00400691"/>
    <w:rsid w:val="004120D1"/>
    <w:rsid w:val="00414BCE"/>
    <w:rsid w:val="00416DE1"/>
    <w:rsid w:val="0044138D"/>
    <w:rsid w:val="0044345D"/>
    <w:rsid w:val="00445754"/>
    <w:rsid w:val="00454859"/>
    <w:rsid w:val="00454EDA"/>
    <w:rsid w:val="00455478"/>
    <w:rsid w:val="004572FF"/>
    <w:rsid w:val="0046001E"/>
    <w:rsid w:val="00460A78"/>
    <w:rsid w:val="00460E62"/>
    <w:rsid w:val="00466DB6"/>
    <w:rsid w:val="00473D19"/>
    <w:rsid w:val="004809B7"/>
    <w:rsid w:val="00481A3A"/>
    <w:rsid w:val="00487127"/>
    <w:rsid w:val="00492262"/>
    <w:rsid w:val="004A1225"/>
    <w:rsid w:val="004A2CE3"/>
    <w:rsid w:val="004A4134"/>
    <w:rsid w:val="004A4844"/>
    <w:rsid w:val="004B0409"/>
    <w:rsid w:val="004B544C"/>
    <w:rsid w:val="004C3A97"/>
    <w:rsid w:val="004C6B8F"/>
    <w:rsid w:val="004D1FAE"/>
    <w:rsid w:val="004E071F"/>
    <w:rsid w:val="004E52C9"/>
    <w:rsid w:val="004E5F07"/>
    <w:rsid w:val="00505CD7"/>
    <w:rsid w:val="0050625C"/>
    <w:rsid w:val="00511169"/>
    <w:rsid w:val="00513D02"/>
    <w:rsid w:val="00515429"/>
    <w:rsid w:val="0051666E"/>
    <w:rsid w:val="00516892"/>
    <w:rsid w:val="00520C6D"/>
    <w:rsid w:val="0052359E"/>
    <w:rsid w:val="0052625D"/>
    <w:rsid w:val="00527D54"/>
    <w:rsid w:val="005315B6"/>
    <w:rsid w:val="00543EBB"/>
    <w:rsid w:val="005530B5"/>
    <w:rsid w:val="00553295"/>
    <w:rsid w:val="00557158"/>
    <w:rsid w:val="00562F36"/>
    <w:rsid w:val="00580FAA"/>
    <w:rsid w:val="00584059"/>
    <w:rsid w:val="00584E25"/>
    <w:rsid w:val="0058720F"/>
    <w:rsid w:val="005964F5"/>
    <w:rsid w:val="005A5D6A"/>
    <w:rsid w:val="005B5DE1"/>
    <w:rsid w:val="005B6E6D"/>
    <w:rsid w:val="005C62B6"/>
    <w:rsid w:val="005D2AA7"/>
    <w:rsid w:val="005D5E5F"/>
    <w:rsid w:val="005D67E8"/>
    <w:rsid w:val="005E4D49"/>
    <w:rsid w:val="005E5C69"/>
    <w:rsid w:val="005E62FF"/>
    <w:rsid w:val="005F31F6"/>
    <w:rsid w:val="005F41B0"/>
    <w:rsid w:val="00602CD2"/>
    <w:rsid w:val="00617E3B"/>
    <w:rsid w:val="0062559F"/>
    <w:rsid w:val="00626EBC"/>
    <w:rsid w:val="006271AD"/>
    <w:rsid w:val="00637A6D"/>
    <w:rsid w:val="00637B10"/>
    <w:rsid w:val="006454AD"/>
    <w:rsid w:val="00645E03"/>
    <w:rsid w:val="0065185B"/>
    <w:rsid w:val="00653BDC"/>
    <w:rsid w:val="00653E86"/>
    <w:rsid w:val="006610EA"/>
    <w:rsid w:val="00664543"/>
    <w:rsid w:val="00672CF6"/>
    <w:rsid w:val="00685609"/>
    <w:rsid w:val="0069229D"/>
    <w:rsid w:val="006C605A"/>
    <w:rsid w:val="006C6227"/>
    <w:rsid w:val="006C7845"/>
    <w:rsid w:val="006D032E"/>
    <w:rsid w:val="006D0E6B"/>
    <w:rsid w:val="006D1575"/>
    <w:rsid w:val="006D27B7"/>
    <w:rsid w:val="006D56D2"/>
    <w:rsid w:val="006D5726"/>
    <w:rsid w:val="006E00FC"/>
    <w:rsid w:val="00702D96"/>
    <w:rsid w:val="007134A0"/>
    <w:rsid w:val="00726250"/>
    <w:rsid w:val="00736298"/>
    <w:rsid w:val="00736A93"/>
    <w:rsid w:val="00736D40"/>
    <w:rsid w:val="007407EF"/>
    <w:rsid w:val="00741558"/>
    <w:rsid w:val="007437E5"/>
    <w:rsid w:val="007458C0"/>
    <w:rsid w:val="0075091D"/>
    <w:rsid w:val="00754529"/>
    <w:rsid w:val="00754DA3"/>
    <w:rsid w:val="00766D12"/>
    <w:rsid w:val="00773B8C"/>
    <w:rsid w:val="0078023B"/>
    <w:rsid w:val="00781746"/>
    <w:rsid w:val="00783008"/>
    <w:rsid w:val="0078455C"/>
    <w:rsid w:val="007858DD"/>
    <w:rsid w:val="007A2BFF"/>
    <w:rsid w:val="007C3C5B"/>
    <w:rsid w:val="007E384A"/>
    <w:rsid w:val="008117C7"/>
    <w:rsid w:val="00815F04"/>
    <w:rsid w:val="0082197B"/>
    <w:rsid w:val="0082260A"/>
    <w:rsid w:val="00825084"/>
    <w:rsid w:val="00827B45"/>
    <w:rsid w:val="00832A3A"/>
    <w:rsid w:val="008341BB"/>
    <w:rsid w:val="00836DB5"/>
    <w:rsid w:val="00841AAA"/>
    <w:rsid w:val="00845056"/>
    <w:rsid w:val="00845FDF"/>
    <w:rsid w:val="00846BD7"/>
    <w:rsid w:val="008473FE"/>
    <w:rsid w:val="0085359B"/>
    <w:rsid w:val="00862A2C"/>
    <w:rsid w:val="00863571"/>
    <w:rsid w:val="008713A4"/>
    <w:rsid w:val="00873AC5"/>
    <w:rsid w:val="00883CE8"/>
    <w:rsid w:val="00884BA4"/>
    <w:rsid w:val="00885B53"/>
    <w:rsid w:val="0089052A"/>
    <w:rsid w:val="0089358F"/>
    <w:rsid w:val="008946BB"/>
    <w:rsid w:val="00896529"/>
    <w:rsid w:val="008A7F47"/>
    <w:rsid w:val="008B5E99"/>
    <w:rsid w:val="008C7C59"/>
    <w:rsid w:val="008E161C"/>
    <w:rsid w:val="008E5853"/>
    <w:rsid w:val="008E700A"/>
    <w:rsid w:val="008F1332"/>
    <w:rsid w:val="008F2B87"/>
    <w:rsid w:val="009032DC"/>
    <w:rsid w:val="00903609"/>
    <w:rsid w:val="00903CCF"/>
    <w:rsid w:val="009127D3"/>
    <w:rsid w:val="00914524"/>
    <w:rsid w:val="00921FD6"/>
    <w:rsid w:val="00925110"/>
    <w:rsid w:val="00932ADC"/>
    <w:rsid w:val="00937586"/>
    <w:rsid w:val="00941B62"/>
    <w:rsid w:val="00951C13"/>
    <w:rsid w:val="00963E20"/>
    <w:rsid w:val="00972829"/>
    <w:rsid w:val="00976304"/>
    <w:rsid w:val="00976E30"/>
    <w:rsid w:val="00980018"/>
    <w:rsid w:val="009967B1"/>
    <w:rsid w:val="00996880"/>
    <w:rsid w:val="009A1274"/>
    <w:rsid w:val="009A1EA1"/>
    <w:rsid w:val="009B786F"/>
    <w:rsid w:val="009B79F0"/>
    <w:rsid w:val="009C35F7"/>
    <w:rsid w:val="009C451D"/>
    <w:rsid w:val="009D2671"/>
    <w:rsid w:val="009E69E3"/>
    <w:rsid w:val="009F1A00"/>
    <w:rsid w:val="00A024C9"/>
    <w:rsid w:val="00A04A80"/>
    <w:rsid w:val="00A05AD6"/>
    <w:rsid w:val="00A32290"/>
    <w:rsid w:val="00A3354B"/>
    <w:rsid w:val="00A36F32"/>
    <w:rsid w:val="00A37355"/>
    <w:rsid w:val="00A4434F"/>
    <w:rsid w:val="00A51512"/>
    <w:rsid w:val="00A617A6"/>
    <w:rsid w:val="00A713ED"/>
    <w:rsid w:val="00A83A9C"/>
    <w:rsid w:val="00A97C5E"/>
    <w:rsid w:val="00AA29CA"/>
    <w:rsid w:val="00AE3CDB"/>
    <w:rsid w:val="00AE3F63"/>
    <w:rsid w:val="00B05061"/>
    <w:rsid w:val="00B07095"/>
    <w:rsid w:val="00B10F83"/>
    <w:rsid w:val="00B217A4"/>
    <w:rsid w:val="00B264A1"/>
    <w:rsid w:val="00B3114F"/>
    <w:rsid w:val="00B34885"/>
    <w:rsid w:val="00B40936"/>
    <w:rsid w:val="00B4556C"/>
    <w:rsid w:val="00B46995"/>
    <w:rsid w:val="00B50F49"/>
    <w:rsid w:val="00B751DE"/>
    <w:rsid w:val="00B7677B"/>
    <w:rsid w:val="00B76B2A"/>
    <w:rsid w:val="00B831B9"/>
    <w:rsid w:val="00B85984"/>
    <w:rsid w:val="00B905A2"/>
    <w:rsid w:val="00B91DEC"/>
    <w:rsid w:val="00B92573"/>
    <w:rsid w:val="00B941D9"/>
    <w:rsid w:val="00B95634"/>
    <w:rsid w:val="00BA3012"/>
    <w:rsid w:val="00BA501B"/>
    <w:rsid w:val="00BA543A"/>
    <w:rsid w:val="00BA568B"/>
    <w:rsid w:val="00BC2B55"/>
    <w:rsid w:val="00BD0F06"/>
    <w:rsid w:val="00BE6AE7"/>
    <w:rsid w:val="00BF3FCF"/>
    <w:rsid w:val="00C03926"/>
    <w:rsid w:val="00C10E3B"/>
    <w:rsid w:val="00C1457C"/>
    <w:rsid w:val="00C24F97"/>
    <w:rsid w:val="00C26830"/>
    <w:rsid w:val="00C34A96"/>
    <w:rsid w:val="00C3523A"/>
    <w:rsid w:val="00C402FA"/>
    <w:rsid w:val="00C41D03"/>
    <w:rsid w:val="00C41EBD"/>
    <w:rsid w:val="00C43079"/>
    <w:rsid w:val="00C430F5"/>
    <w:rsid w:val="00C51DD0"/>
    <w:rsid w:val="00C6733D"/>
    <w:rsid w:val="00C775D9"/>
    <w:rsid w:val="00C8345D"/>
    <w:rsid w:val="00C95CAF"/>
    <w:rsid w:val="00CA011E"/>
    <w:rsid w:val="00CA11C9"/>
    <w:rsid w:val="00CA4C65"/>
    <w:rsid w:val="00CA5C13"/>
    <w:rsid w:val="00CB3725"/>
    <w:rsid w:val="00CB7163"/>
    <w:rsid w:val="00CC0015"/>
    <w:rsid w:val="00CC6249"/>
    <w:rsid w:val="00CC79C2"/>
    <w:rsid w:val="00CD100A"/>
    <w:rsid w:val="00CD33D6"/>
    <w:rsid w:val="00CD38B8"/>
    <w:rsid w:val="00CE169A"/>
    <w:rsid w:val="00CE663C"/>
    <w:rsid w:val="00CF691D"/>
    <w:rsid w:val="00D145B1"/>
    <w:rsid w:val="00D37CCB"/>
    <w:rsid w:val="00D403FD"/>
    <w:rsid w:val="00D518E8"/>
    <w:rsid w:val="00D53874"/>
    <w:rsid w:val="00D552AA"/>
    <w:rsid w:val="00D565FB"/>
    <w:rsid w:val="00D96617"/>
    <w:rsid w:val="00DA4B5D"/>
    <w:rsid w:val="00DA583F"/>
    <w:rsid w:val="00DB4E9E"/>
    <w:rsid w:val="00DC15B3"/>
    <w:rsid w:val="00DC3B03"/>
    <w:rsid w:val="00DE2F6C"/>
    <w:rsid w:val="00DF3C1D"/>
    <w:rsid w:val="00DF65AB"/>
    <w:rsid w:val="00DF7E97"/>
    <w:rsid w:val="00E00AC3"/>
    <w:rsid w:val="00E065E3"/>
    <w:rsid w:val="00E07AF2"/>
    <w:rsid w:val="00E07B23"/>
    <w:rsid w:val="00E07BB6"/>
    <w:rsid w:val="00E14AD3"/>
    <w:rsid w:val="00E17185"/>
    <w:rsid w:val="00E300A8"/>
    <w:rsid w:val="00E302F4"/>
    <w:rsid w:val="00E51E56"/>
    <w:rsid w:val="00E634D2"/>
    <w:rsid w:val="00E6476D"/>
    <w:rsid w:val="00E66E75"/>
    <w:rsid w:val="00E72F82"/>
    <w:rsid w:val="00E73D0B"/>
    <w:rsid w:val="00E77CF8"/>
    <w:rsid w:val="00E80B87"/>
    <w:rsid w:val="00E80ED0"/>
    <w:rsid w:val="00E85E44"/>
    <w:rsid w:val="00E9042A"/>
    <w:rsid w:val="00E9543A"/>
    <w:rsid w:val="00E95C83"/>
    <w:rsid w:val="00EA2F84"/>
    <w:rsid w:val="00EB26DF"/>
    <w:rsid w:val="00ED0B78"/>
    <w:rsid w:val="00ED11E8"/>
    <w:rsid w:val="00EE3B77"/>
    <w:rsid w:val="00EE4633"/>
    <w:rsid w:val="00EE550E"/>
    <w:rsid w:val="00F05E21"/>
    <w:rsid w:val="00F10C65"/>
    <w:rsid w:val="00F161FB"/>
    <w:rsid w:val="00F1683D"/>
    <w:rsid w:val="00F16E11"/>
    <w:rsid w:val="00F178E6"/>
    <w:rsid w:val="00F213E2"/>
    <w:rsid w:val="00F31F38"/>
    <w:rsid w:val="00F34BF5"/>
    <w:rsid w:val="00F418C4"/>
    <w:rsid w:val="00F6154F"/>
    <w:rsid w:val="00F632B3"/>
    <w:rsid w:val="00F6351A"/>
    <w:rsid w:val="00F926EA"/>
    <w:rsid w:val="00F93E83"/>
    <w:rsid w:val="00F94ACD"/>
    <w:rsid w:val="00F9722D"/>
    <w:rsid w:val="00FA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3FD66F"/>
  <w15:chartTrackingRefBased/>
  <w15:docId w15:val="{0464FF5A-0712-4FBD-A755-39AE56D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</w:style>
  <w:style w:type="character" w:styleId="CommentReference">
    <w:name w:val="annotation reference"/>
    <w:rsid w:val="00E80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B87"/>
  </w:style>
  <w:style w:type="paragraph" w:styleId="CommentSubject">
    <w:name w:val="annotation subject"/>
    <w:basedOn w:val="CommentText"/>
    <w:next w:val="CommentText"/>
    <w:link w:val="CommentSubjectChar"/>
    <w:rsid w:val="00E80B87"/>
    <w:rPr>
      <w:b/>
      <w:bCs/>
    </w:rPr>
  </w:style>
  <w:style w:type="character" w:customStyle="1" w:styleId="CommentSubjectChar">
    <w:name w:val="Comment Subject Char"/>
    <w:link w:val="CommentSubject"/>
    <w:rsid w:val="00E80B87"/>
    <w:rPr>
      <w:b/>
      <w:bCs/>
    </w:rPr>
  </w:style>
  <w:style w:type="paragraph" w:customStyle="1" w:styleId="STBNormalFirstline0">
    <w:name w:val="STB Normal + First line:  0&quot;"/>
    <w:basedOn w:val="Normal"/>
    <w:link w:val="STBNormalFirstline0Char"/>
    <w:uiPriority w:val="99"/>
    <w:rsid w:val="00320B65"/>
    <w:pPr>
      <w:widowControl/>
      <w:autoSpaceDE/>
      <w:autoSpaceDN/>
      <w:adjustRightInd/>
      <w:spacing w:after="120"/>
      <w:ind w:firstLine="720"/>
    </w:pPr>
    <w:rPr>
      <w:rFonts w:ascii="Verdana" w:hAnsi="Verdana"/>
      <w:szCs w:val="20"/>
    </w:rPr>
  </w:style>
  <w:style w:type="character" w:customStyle="1" w:styleId="STBNormalFirstline0Char">
    <w:name w:val="STB Normal + First line:  0&quot; Char"/>
    <w:link w:val="STBNormalFirstline0"/>
    <w:uiPriority w:val="99"/>
    <w:locked/>
    <w:rsid w:val="00320B65"/>
    <w:rPr>
      <w:rFonts w:ascii="Verdana" w:hAnsi="Verdana"/>
      <w:sz w:val="24"/>
    </w:rPr>
  </w:style>
  <w:style w:type="paragraph" w:styleId="Revision">
    <w:name w:val="Revision"/>
    <w:hidden/>
    <w:uiPriority w:val="99"/>
    <w:semiHidden/>
    <w:rsid w:val="006D27B7"/>
    <w:rPr>
      <w:sz w:val="24"/>
      <w:szCs w:val="24"/>
    </w:rPr>
  </w:style>
  <w:style w:type="character" w:styleId="Hyperlink">
    <w:name w:val="Hyperlink"/>
    <w:uiPriority w:val="99"/>
    <w:rsid w:val="00BD0F0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7817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746"/>
  </w:style>
  <w:style w:type="paragraph" w:customStyle="1" w:styleId="Default">
    <w:name w:val="Default"/>
    <w:rsid w:val="00EE46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633"/>
    <w:pPr>
      <w:ind w:left="720"/>
    </w:pPr>
  </w:style>
  <w:style w:type="paragraph" w:styleId="Header">
    <w:name w:val="header"/>
    <w:basedOn w:val="Normal"/>
    <w:link w:val="HeaderChar"/>
    <w:rsid w:val="002A1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15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15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57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A617A6"/>
    <w:rPr>
      <w:color w:val="605E5C"/>
      <w:shd w:val="clear" w:color="auto" w:fill="E1DFDD"/>
    </w:rPr>
  </w:style>
  <w:style w:type="character" w:styleId="FollowedHyperlink">
    <w:name w:val="FollowedHyperlink"/>
    <w:rsid w:val="00A617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b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b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9F8B-CBE4-4A9B-8682-625D8080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2140-0001</vt:lpstr>
    </vt:vector>
  </TitlesOfParts>
  <Company>Surface Transportation Board</Company>
  <LinksUpToDate>false</LinksUpToDate>
  <CharactersWithSpaces>7049</CharactersWithSpaces>
  <SharedDoc>false</SharedDoc>
  <HLinks>
    <vt:vector size="12" baseType="variant">
      <vt:variant>
        <vt:i4>2818149</vt:i4>
      </vt:variant>
      <vt:variant>
        <vt:i4>3</vt:i4>
      </vt:variant>
      <vt:variant>
        <vt:i4>0</vt:i4>
      </vt:variant>
      <vt:variant>
        <vt:i4>5</vt:i4>
      </vt:variant>
      <vt:variant>
        <vt:lpwstr>http://www.stb.gov/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http://www.stb.gov/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2140-0001</dc:title>
  <dc:subject/>
  <dc:creator>levittm</dc:creator>
  <cp:keywords/>
  <cp:lastModifiedBy>Oehrle, Christopher</cp:lastModifiedBy>
  <cp:revision>2</cp:revision>
  <cp:lastPrinted>2013-08-14T20:13:00Z</cp:lastPrinted>
  <dcterms:created xsi:type="dcterms:W3CDTF">2020-04-28T14:30:00Z</dcterms:created>
  <dcterms:modified xsi:type="dcterms:W3CDTF">2020-04-28T14:30:00Z</dcterms:modified>
</cp:coreProperties>
</file>