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FF3" w:rsidRDefault="00FF4970" w14:paraId="5C594215" w14:textId="77777777">
      <w:pPr>
        <w:spacing w:after="0"/>
        <w:jc w:val="center"/>
        <w:rPr>
          <w:rFonts w:ascii="Times New Roman" w:hAnsi="Times New Roman" w:cs="Times New Roman"/>
          <w:sz w:val="26"/>
          <w:szCs w:val="26"/>
        </w:rPr>
      </w:pPr>
      <w:r>
        <w:rPr>
          <w:rFonts w:ascii="Times New Roman" w:hAnsi="Times New Roman" w:cs="Times New Roman"/>
          <w:sz w:val="26"/>
          <w:szCs w:val="26"/>
        </w:rPr>
        <w:t>Supporting</w:t>
      </w:r>
      <w:r>
        <w:rPr>
          <w:rFonts w:ascii="Times New Roman" w:hAnsi="Times New Roman" w:cs="Times New Roman"/>
          <w:sz w:val="26"/>
          <w:szCs w:val="26"/>
        </w:rPr>
        <w:t xml:space="preserve"> Statement for </w:t>
      </w:r>
    </w:p>
    <w:p w:rsidR="00582FF3" w:rsidRDefault="00FF4970" w14:paraId="6748FCD6" w14:textId="77777777">
      <w:pPr>
        <w:spacing w:after="0"/>
        <w:jc w:val="center"/>
        <w:rPr>
          <w:rFonts w:ascii="Times New Roman" w:hAnsi="Times New Roman" w:cs="Times New Roman"/>
          <w:sz w:val="26"/>
          <w:szCs w:val="26"/>
        </w:rPr>
      </w:pPr>
      <w:r>
        <w:rPr>
          <w:rFonts w:ascii="Times New Roman" w:hAnsi="Times New Roman" w:cs="Times New Roman"/>
          <w:b/>
          <w:sz w:val="26"/>
          <w:szCs w:val="26"/>
        </w:rPr>
        <w:t>FERC-725A(1B), (Mandatory Reliability Standard for TOP-010-1), OMB Control No: 1902-0292</w:t>
      </w:r>
    </w:p>
    <w:p w:rsidR="00582FF3" w:rsidRDefault="00582FF3" w14:paraId="76189C71" w14:textId="77777777">
      <w:pPr>
        <w:spacing w:after="0"/>
        <w:jc w:val="center"/>
        <w:rPr>
          <w:rFonts w:ascii="Times New Roman" w:hAnsi="Times New Roman" w:cs="Times New Roman"/>
          <w:sz w:val="26"/>
          <w:szCs w:val="26"/>
        </w:rPr>
      </w:pPr>
    </w:p>
    <w:p w:rsidR="00582FF3" w:rsidRDefault="00FF4970" w14:paraId="2936A12D" w14:textId="77777777">
      <w:pPr>
        <w:spacing w:after="0"/>
        <w:rPr>
          <w:rFonts w:ascii="Times New Roman" w:hAnsi="Times New Roman" w:cs="Times New Roman"/>
          <w:sz w:val="26"/>
          <w:szCs w:val="26"/>
        </w:rPr>
      </w:pPr>
      <w:r>
        <w:rPr>
          <w:rFonts w:ascii="Times New Roman" w:hAnsi="Times New Roman" w:cs="Times New Roman"/>
          <w:sz w:val="26"/>
          <w:szCs w:val="26"/>
        </w:rPr>
        <w:t xml:space="preserve">The Federal Energy Regulatory Commission (Commission or FERC) requests the Office of Management and Budget (OMB) review and </w:t>
      </w:r>
      <w:r>
        <w:rPr>
          <w:rFonts w:ascii="Times New Roman" w:hAnsi="Times New Roman" w:cs="Times New Roman"/>
          <w:sz w:val="26"/>
          <w:szCs w:val="26"/>
        </w:rPr>
        <w:t>approve the information collection FERC-725A(1B) for an extension of three years, Mandatory Reliability Standard TOP-010-1 (Real-t</w:t>
      </w:r>
      <w:bookmarkStart w:name="_GoBack" w:id="0"/>
      <w:bookmarkEnd w:id="0"/>
      <w:r>
        <w:rPr>
          <w:rFonts w:ascii="Times New Roman" w:hAnsi="Times New Roman" w:cs="Times New Roman"/>
          <w:sz w:val="26"/>
          <w:szCs w:val="26"/>
        </w:rPr>
        <w:t>ime Reliability Monitoring and Analysis Capabilities).</w:t>
      </w:r>
    </w:p>
    <w:p w:rsidR="00582FF3" w:rsidRDefault="00582FF3" w14:paraId="2FD1F438" w14:textId="77777777">
      <w:pPr>
        <w:spacing w:after="0"/>
        <w:rPr>
          <w:rFonts w:ascii="Times New Roman" w:hAnsi="Times New Roman" w:cs="Times New Roman"/>
          <w:sz w:val="26"/>
          <w:szCs w:val="26"/>
        </w:rPr>
      </w:pPr>
    </w:p>
    <w:p w:rsidR="00582FF3" w:rsidRDefault="00FF4970" w14:paraId="2492DD04" w14:textId="77777777">
      <w:pPr>
        <w:spacing w:after="0"/>
        <w:rPr>
          <w:rFonts w:ascii="Times New Roman" w:hAnsi="Times New Roman" w:cs="Times New Roman"/>
          <w:sz w:val="26"/>
          <w:szCs w:val="26"/>
        </w:rPr>
      </w:pPr>
      <w:r>
        <w:rPr>
          <w:rFonts w:ascii="Times New Roman" w:hAnsi="Times New Roman" w:cs="Times New Roman"/>
          <w:b/>
          <w:sz w:val="26"/>
          <w:szCs w:val="26"/>
          <w:u w:val="single"/>
        </w:rPr>
        <w:t>Background</w:t>
      </w:r>
    </w:p>
    <w:p w:rsidR="00582FF3" w:rsidRDefault="00582FF3" w14:paraId="31359FAC" w14:textId="77777777">
      <w:pPr>
        <w:spacing w:after="0"/>
        <w:rPr>
          <w:rFonts w:ascii="Times New Roman" w:hAnsi="Times New Roman" w:cs="Times New Roman"/>
          <w:sz w:val="26"/>
          <w:szCs w:val="26"/>
        </w:rPr>
      </w:pPr>
    </w:p>
    <w:p w:rsidR="00582FF3" w:rsidRDefault="00FF4970" w14:paraId="713B4C51" w14:textId="77777777">
      <w:pPr>
        <w:spacing w:after="0"/>
        <w:rPr>
          <w:rFonts w:ascii="Times New Roman" w:hAnsi="Times New Roman" w:cs="Times New Roman"/>
          <w:sz w:val="26"/>
          <w:szCs w:val="26"/>
        </w:rPr>
      </w:pPr>
      <w:r>
        <w:rPr>
          <w:rFonts w:ascii="Times New Roman" w:hAnsi="Times New Roman" w:cs="Times New Roman"/>
          <w:sz w:val="26"/>
          <w:szCs w:val="26"/>
        </w:rPr>
        <w:t>On August 8, 2005, The Electricity Modernization Act of 20</w:t>
      </w:r>
      <w:r>
        <w:rPr>
          <w:rFonts w:ascii="Times New Roman" w:hAnsi="Times New Roman" w:cs="Times New Roman"/>
          <w:sz w:val="26"/>
          <w:szCs w:val="26"/>
        </w:rPr>
        <w:t>05, which is Title XII of the Energy Policy Act of 2005 (</w:t>
      </w:r>
      <w:proofErr w:type="spellStart"/>
      <w:r>
        <w:rPr>
          <w:rFonts w:ascii="Times New Roman" w:hAnsi="Times New Roman" w:cs="Times New Roman"/>
          <w:sz w:val="26"/>
          <w:szCs w:val="26"/>
        </w:rPr>
        <w:t>EPAct</w:t>
      </w:r>
      <w:proofErr w:type="spellEnd"/>
      <w:r>
        <w:rPr>
          <w:rFonts w:ascii="Times New Roman" w:hAnsi="Times New Roman" w:cs="Times New Roman"/>
          <w:sz w:val="26"/>
          <w:szCs w:val="26"/>
        </w:rPr>
        <w:t xml:space="preserve"> 2005), was enacted into law.</w:t>
      </w:r>
      <w:r>
        <w:rPr>
          <w:rFonts w:ascii="Times New Roman" w:hAnsi="Times New Roman" w:cs="Times New Roman"/>
          <w:sz w:val="26"/>
          <w:szCs w:val="26"/>
          <w:vertAlign w:val="superscript"/>
        </w:rPr>
        <w:footnoteReference w:id="2"/>
      </w:r>
      <w:r>
        <w:rPr>
          <w:rFonts w:ascii="Times New Roman" w:hAnsi="Times New Roman" w:cs="Times New Roman"/>
          <w:sz w:val="26"/>
          <w:szCs w:val="26"/>
        </w:rPr>
        <w:t xml:space="preserve">  Under section 215 of the Federal Power Act (FPA), the Commission requires a Commission-certified Electric Reliability Organization (ERO) to develop mandatory and </w:t>
      </w:r>
      <w:r>
        <w:rPr>
          <w:rFonts w:ascii="Times New Roman" w:hAnsi="Times New Roman" w:cs="Times New Roman"/>
          <w:sz w:val="26"/>
          <w:szCs w:val="26"/>
        </w:rPr>
        <w:t>enforceable Reliability Standards</w:t>
      </w:r>
      <w:r>
        <w:rPr>
          <w:rFonts w:ascii="Times New Roman" w:hAnsi="Times New Roman" w:cs="Times New Roman"/>
          <w:sz w:val="26"/>
          <w:szCs w:val="26"/>
          <w:vertAlign w:val="superscript"/>
        </w:rPr>
        <w:footnoteReference w:id="3"/>
      </w:r>
      <w:r>
        <w:rPr>
          <w:rFonts w:ascii="Times New Roman" w:hAnsi="Times New Roman" w:cs="Times New Roman"/>
          <w:sz w:val="26"/>
          <w:szCs w:val="26"/>
        </w:rPr>
        <w:t>, which are subject to Commission review and approval.  In 2006, the Commission established a process to select and certify an ERO and, subsequently, certified NERC as the ERO.</w:t>
      </w:r>
      <w:r>
        <w:rPr>
          <w:rFonts w:ascii="Times New Roman" w:hAnsi="Times New Roman" w:cs="Times New Roman"/>
          <w:sz w:val="26"/>
          <w:szCs w:val="26"/>
          <w:vertAlign w:val="superscript"/>
        </w:rPr>
        <w:footnoteReference w:id="4"/>
      </w:r>
      <w:r>
        <w:rPr>
          <w:rFonts w:ascii="Times New Roman" w:hAnsi="Times New Roman" w:cs="Times New Roman"/>
          <w:sz w:val="26"/>
          <w:szCs w:val="26"/>
          <w:vertAlign w:val="superscript"/>
        </w:rPr>
        <w:t xml:space="preserve"> </w:t>
      </w:r>
      <w:r>
        <w:rPr>
          <w:rFonts w:ascii="Times New Roman" w:hAnsi="Times New Roman" w:cs="Times New Roman"/>
          <w:sz w:val="26"/>
          <w:szCs w:val="26"/>
        </w:rPr>
        <w:t xml:space="preserve"> In Order No. 693, the Commission approved 8</w:t>
      </w:r>
      <w:r>
        <w:rPr>
          <w:rFonts w:ascii="Times New Roman" w:hAnsi="Times New Roman" w:cs="Times New Roman"/>
          <w:sz w:val="26"/>
          <w:szCs w:val="26"/>
        </w:rPr>
        <w:t>3 of 107 proposed Reliability Standards submitted by NERC, including the several Transmission Operations (TOP) Reliability standards. The Commission also directed NERC to address issues with respect to some TOP standards regarding monitoring and analysis c</w:t>
      </w:r>
      <w:r>
        <w:rPr>
          <w:rFonts w:ascii="Times New Roman" w:hAnsi="Times New Roman" w:cs="Times New Roman"/>
          <w:sz w:val="26"/>
          <w:szCs w:val="26"/>
        </w:rPr>
        <w:t xml:space="preserve">apabilities.  </w:t>
      </w:r>
    </w:p>
    <w:p w:rsidR="00582FF3" w:rsidRDefault="00582FF3" w14:paraId="0AEBC088" w14:textId="77777777">
      <w:pPr>
        <w:spacing w:after="0"/>
        <w:rPr>
          <w:rFonts w:ascii="Times New Roman" w:hAnsi="Times New Roman" w:cs="Times New Roman"/>
          <w:sz w:val="26"/>
          <w:szCs w:val="26"/>
        </w:rPr>
      </w:pPr>
    </w:p>
    <w:p w:rsidR="00582FF3" w:rsidRDefault="00FF4970" w14:paraId="1145D3B0" w14:textId="77777777">
      <w:pPr>
        <w:spacing w:after="0"/>
        <w:rPr>
          <w:rFonts w:ascii="Times New Roman" w:hAnsi="Times New Roman" w:cs="Times New Roman"/>
          <w:b/>
          <w:sz w:val="26"/>
          <w:szCs w:val="26"/>
        </w:rPr>
      </w:pPr>
      <w:r>
        <w:rPr>
          <w:rFonts w:ascii="Times New Roman" w:hAnsi="Times New Roman" w:cs="Times New Roman"/>
          <w:b/>
          <w:sz w:val="26"/>
          <w:szCs w:val="26"/>
        </w:rPr>
        <w:t xml:space="preserve">A.   </w:t>
      </w:r>
      <w:r>
        <w:rPr>
          <w:rFonts w:ascii="Times New Roman" w:hAnsi="Times New Roman" w:cs="Times New Roman"/>
          <w:b/>
          <w:sz w:val="26"/>
          <w:szCs w:val="26"/>
          <w:u w:val="single"/>
        </w:rPr>
        <w:t>Justification</w:t>
      </w:r>
    </w:p>
    <w:p w:rsidR="00582FF3" w:rsidRDefault="00582FF3" w14:paraId="3ED6B5D8" w14:textId="77777777">
      <w:pPr>
        <w:spacing w:after="0"/>
        <w:rPr>
          <w:rFonts w:ascii="Times New Roman" w:hAnsi="Times New Roman" w:cs="Times New Roman"/>
          <w:sz w:val="26"/>
          <w:szCs w:val="26"/>
        </w:rPr>
      </w:pPr>
    </w:p>
    <w:p w:rsidR="00582FF3" w:rsidRDefault="00FF4970" w14:paraId="4E0AEE11" w14:textId="77777777">
      <w:pPr>
        <w:pStyle w:val="ListParagraph"/>
        <w:numPr>
          <w:ilvl w:val="0"/>
          <w:numId w:val="1"/>
        </w:numPr>
        <w:spacing w:after="0" w:line="240" w:lineRule="auto"/>
        <w:rPr>
          <w:rFonts w:ascii="Times New Roman" w:hAnsi="Times New Roman" w:cs="Times New Roman"/>
          <w:b/>
          <w:sz w:val="26"/>
          <w:szCs w:val="26"/>
        </w:rPr>
      </w:pPr>
      <w:r>
        <w:rPr>
          <w:rFonts w:ascii="Times New Roman" w:hAnsi="Times New Roman" w:cs="Times New Roman"/>
          <w:b/>
          <w:sz w:val="26"/>
          <w:szCs w:val="26"/>
        </w:rPr>
        <w:t>CIRCUMSTANCES THAT MAKE THE COLLECTION OF INFORMATION NECESSARY</w:t>
      </w:r>
    </w:p>
    <w:p w:rsidR="00582FF3" w:rsidRDefault="00582FF3" w14:paraId="145BF0C6" w14:textId="77777777">
      <w:pPr>
        <w:spacing w:after="0"/>
        <w:rPr>
          <w:rFonts w:ascii="Times New Roman" w:hAnsi="Times New Roman" w:cs="Times New Roman"/>
          <w:sz w:val="26"/>
          <w:szCs w:val="26"/>
        </w:rPr>
      </w:pPr>
    </w:p>
    <w:p w:rsidR="00582FF3" w:rsidRDefault="00FF4970" w14:paraId="2630934E" w14:textId="77777777">
      <w:pPr>
        <w:spacing w:after="0"/>
        <w:rPr>
          <w:rFonts w:ascii="Times New Roman" w:hAnsi="Times New Roman" w:cs="Times New Roman"/>
          <w:sz w:val="26"/>
          <w:szCs w:val="26"/>
        </w:rPr>
      </w:pPr>
      <w:r>
        <w:rPr>
          <w:rFonts w:ascii="Times New Roman" w:hAnsi="Times New Roman" w:cs="Times New Roman"/>
          <w:sz w:val="26"/>
          <w:szCs w:val="26"/>
        </w:rPr>
        <w:lastRenderedPageBreak/>
        <w:t>Under section 215 of the Federal Power Act (FPA),</w:t>
      </w:r>
      <w:r>
        <w:rPr>
          <w:rStyle w:val="FootnoteReference"/>
          <w:rFonts w:ascii="Times New Roman" w:hAnsi="Times New Roman" w:cs="Times New Roman"/>
          <w:sz w:val="26"/>
          <w:szCs w:val="26"/>
        </w:rPr>
        <w:footnoteReference w:id="5"/>
      </w:r>
      <w:r>
        <w:rPr>
          <w:rFonts w:ascii="Times New Roman" w:hAnsi="Times New Roman" w:cs="Times New Roman"/>
          <w:sz w:val="26"/>
          <w:szCs w:val="26"/>
        </w:rPr>
        <w:t xml:space="preserve"> the Commission approved Reliability Standard TOP-010-1 </w:t>
      </w:r>
      <w:r>
        <w:rPr>
          <w:rFonts w:ascii="Times New Roman" w:hAnsi="Times New Roman" w:eastAsia="Times New Roman" w:cs="Times New Roman"/>
          <w:sz w:val="26"/>
          <w:szCs w:val="26"/>
        </w:rPr>
        <w:t>(Real-time Reliability Monitoring and Analysis Ca</w:t>
      </w:r>
      <w:r>
        <w:rPr>
          <w:rFonts w:ascii="Times New Roman" w:hAnsi="Times New Roman" w:eastAsia="Times New Roman" w:cs="Times New Roman"/>
          <w:sz w:val="26"/>
          <w:szCs w:val="26"/>
        </w:rPr>
        <w:t>pabilities)</w:t>
      </w:r>
      <w:r>
        <w:rPr>
          <w:rFonts w:ascii="Times New Roman" w:hAnsi="Times New Roman" w:cs="Times New Roman"/>
          <w:sz w:val="26"/>
          <w:szCs w:val="26"/>
        </w:rPr>
        <w:t xml:space="preserve"> </w:t>
      </w:r>
      <w:r>
        <w:rPr>
          <w:rFonts w:ascii="Times New Roman" w:hAnsi="Times New Roman" w:eastAsia="Times New Roman" w:cs="Times New Roman"/>
          <w:sz w:val="26"/>
          <w:szCs w:val="26"/>
        </w:rPr>
        <w:t xml:space="preserve">submitted by North American Electric Reliability Corporation (NERC).  The </w:t>
      </w:r>
      <w:r>
        <w:rPr>
          <w:rFonts w:ascii="Times New Roman" w:hAnsi="Times New Roman" w:cs="Times New Roman"/>
          <w:sz w:val="26"/>
          <w:szCs w:val="26"/>
        </w:rPr>
        <w:t xml:space="preserve">Reliability Standard </w:t>
      </w:r>
      <w:r>
        <w:rPr>
          <w:rFonts w:ascii="Times New Roman" w:hAnsi="Times New Roman" w:cs="Times New Roman"/>
          <w:sz w:val="26"/>
          <w:szCs w:val="26"/>
        </w:rPr>
        <w:t xml:space="preserve">establishes requirements for </w:t>
      </w:r>
      <w:r>
        <w:rPr>
          <w:rFonts w:ascii="Times New Roman" w:hAnsi="Times New Roman" w:cs="Times New Roman"/>
          <w:sz w:val="26"/>
          <w:szCs w:val="26"/>
        </w:rPr>
        <w:t xml:space="preserve">Real-time </w:t>
      </w:r>
      <w:r>
        <w:rPr>
          <w:rFonts w:ascii="Times New Roman" w:hAnsi="Times New Roman" w:cs="Times New Roman"/>
          <w:sz w:val="26"/>
          <w:szCs w:val="26"/>
        </w:rPr>
        <w:t>monitoring</w:t>
      </w:r>
      <w:r>
        <w:rPr>
          <w:rFonts w:ascii="Times New Roman" w:hAnsi="Times New Roman" w:cs="Times New Roman"/>
          <w:sz w:val="26"/>
          <w:szCs w:val="26"/>
        </w:rPr>
        <w:t xml:space="preserve"> </w:t>
      </w:r>
      <w:proofErr w:type="spellStart"/>
      <w:r>
        <w:rPr>
          <w:rFonts w:ascii="Times New Roman" w:hAnsi="Times New Roman" w:cs="Times New Roman"/>
          <w:sz w:val="26"/>
          <w:szCs w:val="26"/>
        </w:rPr>
        <w:t>an</w:t>
      </w:r>
      <w:r>
        <w:rPr>
          <w:rFonts w:ascii="Times New Roman" w:hAnsi="Times New Roman" w:cs="Times New Roman"/>
          <w:sz w:val="26"/>
          <w:szCs w:val="26"/>
        </w:rPr>
        <w:t>d</w:t>
      </w:r>
      <w:r>
        <w:rPr>
          <w:rFonts w:ascii="Times New Roman" w:hAnsi="Times New Roman" w:cs="Times New Roman"/>
          <w:sz w:val="26"/>
          <w:szCs w:val="26"/>
        </w:rPr>
        <w:t>R</w:t>
      </w:r>
      <w:r>
        <w:rPr>
          <w:rFonts w:ascii="Times New Roman" w:hAnsi="Times New Roman" w:cs="Times New Roman"/>
          <w:sz w:val="26"/>
          <w:szCs w:val="26"/>
        </w:rPr>
        <w:t>eal</w:t>
      </w:r>
      <w:proofErr w:type="spellEnd"/>
      <w:r>
        <w:rPr>
          <w:rFonts w:ascii="Times New Roman" w:hAnsi="Times New Roman" w:cs="Times New Roman"/>
          <w:sz w:val="26"/>
          <w:szCs w:val="26"/>
        </w:rPr>
        <w:t xml:space="preserve">-time </w:t>
      </w:r>
      <w:r>
        <w:rPr>
          <w:rFonts w:ascii="Times New Roman" w:hAnsi="Times New Roman" w:cs="Times New Roman"/>
          <w:sz w:val="26"/>
          <w:szCs w:val="26"/>
        </w:rPr>
        <w:t>A</w:t>
      </w:r>
      <w:r>
        <w:rPr>
          <w:rFonts w:ascii="Times New Roman" w:hAnsi="Times New Roman" w:cs="Times New Roman"/>
          <w:sz w:val="26"/>
          <w:szCs w:val="26"/>
        </w:rPr>
        <w:t xml:space="preserve">ssessments </w:t>
      </w:r>
      <w:r>
        <w:rPr>
          <w:rFonts w:ascii="Times New Roman" w:hAnsi="Times New Roman" w:cs="Times New Roman"/>
          <w:sz w:val="26"/>
          <w:szCs w:val="26"/>
        </w:rPr>
        <w:t xml:space="preserve">capabilities </w:t>
      </w:r>
      <w:r>
        <w:rPr>
          <w:rFonts w:ascii="Times New Roman" w:hAnsi="Times New Roman" w:cs="Times New Roman"/>
          <w:sz w:val="26"/>
          <w:szCs w:val="26"/>
        </w:rPr>
        <w:t xml:space="preserve">to </w:t>
      </w:r>
      <w:r>
        <w:rPr>
          <w:rFonts w:ascii="Times New Roman" w:hAnsi="Times New Roman" w:cs="Times New Roman"/>
          <w:sz w:val="26"/>
          <w:szCs w:val="26"/>
        </w:rPr>
        <w:t xml:space="preserve">support </w:t>
      </w:r>
      <w:r>
        <w:rPr>
          <w:rFonts w:ascii="Times New Roman" w:hAnsi="Times New Roman" w:cs="Times New Roman"/>
          <w:sz w:val="26"/>
          <w:szCs w:val="26"/>
        </w:rPr>
        <w:t xml:space="preserve">reliable System </w:t>
      </w:r>
      <w:r>
        <w:rPr>
          <w:rFonts w:ascii="Times New Roman" w:hAnsi="Times New Roman" w:cs="Times New Roman"/>
          <w:sz w:val="26"/>
          <w:szCs w:val="26"/>
        </w:rPr>
        <w:t>operations</w:t>
      </w:r>
      <w:r>
        <w:rPr>
          <w:rFonts w:ascii="Times New Roman" w:hAnsi="Times New Roman" w:cs="Times New Roman"/>
          <w:sz w:val="26"/>
          <w:szCs w:val="26"/>
        </w:rPr>
        <w:t>.  The Reliability Standard TOP-010-1 accomplished this by requiring applicable entities to:  (1) provide notification to operators of real-time monitoring alarm failures; (2) provide operators with indications of t</w:t>
      </w:r>
      <w:r>
        <w:rPr>
          <w:rFonts w:ascii="Times New Roman" w:hAnsi="Times New Roman" w:cs="Times New Roman"/>
          <w:sz w:val="26"/>
          <w:szCs w:val="26"/>
        </w:rPr>
        <w:t>he quality of information being provided by their monitoring and analysis capabilities; and (3) address deficiencies in the quality of information being provided by their monitoring and analysis capabilities. The Reliability Standard TOP-010-1, Requirement</w:t>
      </w:r>
      <w:r>
        <w:rPr>
          <w:rFonts w:ascii="Times New Roman" w:hAnsi="Times New Roman" w:cs="Times New Roman"/>
          <w:sz w:val="26"/>
          <w:szCs w:val="26"/>
        </w:rPr>
        <w:t xml:space="preserve"> R4 addresses situational awareness objectives by providing for operator awareness when key alarming tools are not performing as intended.  </w:t>
      </w:r>
    </w:p>
    <w:p w:rsidR="00582FF3" w:rsidRDefault="00582FF3" w14:paraId="308FD3BB" w14:textId="77777777">
      <w:pPr>
        <w:spacing w:after="0"/>
        <w:rPr>
          <w:rFonts w:ascii="Times New Roman" w:hAnsi="Times New Roman" w:cs="Times New Roman"/>
          <w:sz w:val="26"/>
          <w:szCs w:val="26"/>
        </w:rPr>
      </w:pPr>
    </w:p>
    <w:p w:rsidR="00582FF3" w:rsidRDefault="00FF4970" w14:paraId="18BA6FD9" w14:textId="77777777">
      <w:pPr>
        <w:pStyle w:val="ListParagraph"/>
        <w:numPr>
          <w:ilvl w:val="0"/>
          <w:numId w:val="1"/>
        </w:numPr>
        <w:spacing w:after="0"/>
        <w:rPr>
          <w:rFonts w:ascii="Times New Roman" w:hAnsi="Times New Roman" w:cs="Times New Roman"/>
          <w:b/>
          <w:sz w:val="26"/>
          <w:szCs w:val="26"/>
        </w:rPr>
      </w:pPr>
      <w:r>
        <w:rPr>
          <w:rFonts w:ascii="Times New Roman" w:hAnsi="Times New Roman" w:cs="Times New Roman"/>
          <w:b/>
          <w:sz w:val="26"/>
          <w:szCs w:val="26"/>
        </w:rPr>
        <w:t>HOW, BY WHOM, AND FOR WHAT PURPOSE THE INFORMATION IS TO BE USED AND THE CONSEQUENCES OF NOT COLLECTING THE INFORM</w:t>
      </w:r>
      <w:r>
        <w:rPr>
          <w:rFonts w:ascii="Times New Roman" w:hAnsi="Times New Roman" w:cs="Times New Roman"/>
          <w:b/>
          <w:sz w:val="26"/>
          <w:szCs w:val="26"/>
        </w:rPr>
        <w:t>ATION</w:t>
      </w:r>
    </w:p>
    <w:p w:rsidR="00582FF3" w:rsidRDefault="00582FF3" w14:paraId="4361932D" w14:textId="77777777">
      <w:pPr>
        <w:spacing w:after="0" w:line="240" w:lineRule="auto"/>
        <w:rPr>
          <w:rFonts w:ascii="Times New Roman" w:hAnsi="Times New Roman" w:cs="Times New Roman"/>
          <w:sz w:val="26"/>
          <w:szCs w:val="26"/>
        </w:rPr>
      </w:pPr>
    </w:p>
    <w:p w:rsidR="00582FF3" w:rsidRDefault="00FF4970" w14:paraId="1157F9CC"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In general, information collection and record retention requirements related to Reliability Standards are not submitted to, or retained for audit by, FERC.  Rather they are submitted to, or retained for audit by, NERC or the Compliance Enforcement Authorit</w:t>
      </w:r>
      <w:r>
        <w:rPr>
          <w:rFonts w:ascii="Times New Roman" w:hAnsi="Times New Roman" w:cs="Times New Roman"/>
          <w:sz w:val="26"/>
          <w:szCs w:val="26"/>
        </w:rPr>
        <w:t xml:space="preserve">y, as specified in each individual Reliability Standard. </w:t>
      </w:r>
      <w:r>
        <w:rPr>
          <w:rFonts w:ascii="Times New Roman" w:hAnsi="Times New Roman" w:eastAsia="Times New Roman" w:cs="Times New Roman"/>
          <w:sz w:val="26"/>
          <w:szCs w:val="26"/>
        </w:rPr>
        <w:t>TOP-010-1 (Real-time Reliability Monitoring and Analysis Capabilities), improves real-time situational awareness capabilities and enhances reliable operations by requiring reliability coordinators, t</w:t>
      </w:r>
      <w:r>
        <w:rPr>
          <w:rFonts w:ascii="Times New Roman" w:hAnsi="Times New Roman" w:eastAsia="Times New Roman" w:cs="Times New Roman"/>
          <w:sz w:val="26"/>
          <w:szCs w:val="26"/>
        </w:rPr>
        <w:t>ransmission operators, and balancing authorities to provide operators with an improved awareness of system conditions analysis capabilities, including alarm availability, so that operators may take appropriate steps to ensure reliability. These functions i</w:t>
      </w:r>
      <w:r>
        <w:rPr>
          <w:rFonts w:ascii="Times New Roman" w:hAnsi="Times New Roman" w:eastAsia="Times New Roman" w:cs="Times New Roman"/>
          <w:sz w:val="26"/>
          <w:szCs w:val="26"/>
        </w:rPr>
        <w:t>nclude planning, operations, data sharing, monitoring, and analysis.  Without collecting this information, reliability of the bulk-power system could become compromised, potentially resulting in outages.</w:t>
      </w:r>
    </w:p>
    <w:p w:rsidR="00582FF3" w:rsidRDefault="00582FF3" w14:paraId="7716AF6B" w14:textId="77777777">
      <w:pPr>
        <w:spacing w:after="0"/>
        <w:rPr>
          <w:rFonts w:ascii="Times New Roman" w:hAnsi="Times New Roman" w:cs="Times New Roman"/>
          <w:b/>
          <w:sz w:val="26"/>
          <w:szCs w:val="26"/>
        </w:rPr>
      </w:pPr>
    </w:p>
    <w:p w:rsidR="00582FF3" w:rsidRDefault="00FF4970" w14:paraId="3C54916F" w14:textId="77777777">
      <w:pPr>
        <w:pStyle w:val="ListParagraph"/>
        <w:numPr>
          <w:ilvl w:val="0"/>
          <w:numId w:val="1"/>
        </w:numPr>
        <w:spacing w:after="0" w:line="240" w:lineRule="auto"/>
        <w:rPr>
          <w:rFonts w:ascii="Times New Roman" w:hAnsi="Times New Roman" w:cs="Times New Roman"/>
          <w:b/>
          <w:sz w:val="26"/>
          <w:szCs w:val="26"/>
        </w:rPr>
      </w:pPr>
      <w:r>
        <w:rPr>
          <w:rFonts w:ascii="Times New Roman" w:hAnsi="Times New Roman" w:cs="Times New Roman"/>
          <w:b/>
          <w:sz w:val="26"/>
          <w:szCs w:val="26"/>
        </w:rPr>
        <w:t>DESCRIBE ANY CONSIDERATION OF THE USE OF IMPROVED I</w:t>
      </w:r>
      <w:r>
        <w:rPr>
          <w:rFonts w:ascii="Times New Roman" w:hAnsi="Times New Roman" w:cs="Times New Roman"/>
          <w:b/>
          <w:sz w:val="26"/>
          <w:szCs w:val="26"/>
        </w:rPr>
        <w:t>NFORMATION TECHNOLOGY TO REDUCE THE BURDEN AND TECHNICAL OR LEGAL OBSTACLES TO REDUCING BURDEN</w:t>
      </w:r>
    </w:p>
    <w:p w:rsidR="00582FF3" w:rsidRDefault="00582FF3" w14:paraId="135C2904" w14:textId="77777777">
      <w:pPr>
        <w:spacing w:after="0" w:line="240" w:lineRule="auto"/>
        <w:rPr>
          <w:rFonts w:ascii="Times New Roman" w:hAnsi="Times New Roman" w:cs="Times New Roman"/>
          <w:b/>
          <w:sz w:val="26"/>
          <w:szCs w:val="26"/>
        </w:rPr>
      </w:pPr>
    </w:p>
    <w:p w:rsidR="00582FF3" w:rsidRDefault="00FF4970" w14:paraId="519E4230"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use of current technology and the medium are not covered in TOP Reliability Standards. </w:t>
      </w:r>
    </w:p>
    <w:p w:rsidR="00582FF3" w:rsidRDefault="00582FF3" w14:paraId="3F5E0D12" w14:textId="77777777">
      <w:pPr>
        <w:spacing w:after="0" w:line="240" w:lineRule="auto"/>
        <w:rPr>
          <w:rFonts w:ascii="Times New Roman" w:hAnsi="Times New Roman" w:cs="Times New Roman"/>
          <w:sz w:val="26"/>
          <w:szCs w:val="26"/>
        </w:rPr>
      </w:pPr>
    </w:p>
    <w:p w:rsidR="00582FF3" w:rsidRDefault="00FF4970" w14:paraId="16283905"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Nearly all of the respondents are likely to make and keep related records in an electronic format.  Each of the six Regional Entities has a well-established compli</w:t>
      </w:r>
      <w:r>
        <w:rPr>
          <w:rFonts w:ascii="Times New Roman" w:hAnsi="Times New Roman" w:cs="Times New Roman"/>
          <w:sz w:val="26"/>
          <w:szCs w:val="26"/>
        </w:rPr>
        <w:t xml:space="preserve">ance portal for registered entities to electronically submit compliance information and reports.  The compliance portals allow documents developed by the registered entities to be attached and uploaded to the Regional Entity’s portal.  Compliance data can </w:t>
      </w:r>
      <w:r>
        <w:rPr>
          <w:rFonts w:ascii="Times New Roman" w:hAnsi="Times New Roman" w:cs="Times New Roman"/>
          <w:sz w:val="26"/>
          <w:szCs w:val="26"/>
        </w:rPr>
        <w:t>also be submitted by filling out data forms on the portals.  These portals are accessible through an internet browser password-protected user interface. In general, the Commission supports the use of information technology to reduce burden.</w:t>
      </w:r>
    </w:p>
    <w:p w:rsidR="00582FF3" w:rsidRDefault="00582FF3" w14:paraId="20202140" w14:textId="77777777">
      <w:pPr>
        <w:spacing w:after="0" w:line="240" w:lineRule="auto"/>
        <w:rPr>
          <w:rFonts w:ascii="Times New Roman" w:hAnsi="Times New Roman" w:cs="Times New Roman"/>
          <w:sz w:val="26"/>
          <w:szCs w:val="26"/>
        </w:rPr>
      </w:pPr>
    </w:p>
    <w:p w:rsidR="00582FF3" w:rsidRDefault="00FF4970" w14:paraId="0BA86314" w14:textId="77777777">
      <w:pPr>
        <w:pStyle w:val="ListParagraph"/>
        <w:numPr>
          <w:ilvl w:val="0"/>
          <w:numId w:val="1"/>
        </w:numPr>
        <w:spacing w:after="0" w:line="240" w:lineRule="auto"/>
        <w:rPr>
          <w:rFonts w:ascii="Times New Roman" w:hAnsi="Times New Roman" w:cs="Times New Roman"/>
          <w:b/>
          <w:sz w:val="26"/>
          <w:szCs w:val="26"/>
        </w:rPr>
      </w:pPr>
      <w:r>
        <w:rPr>
          <w:rFonts w:ascii="Times New Roman" w:hAnsi="Times New Roman" w:cs="Times New Roman"/>
          <w:b/>
          <w:sz w:val="26"/>
          <w:szCs w:val="26"/>
        </w:rPr>
        <w:t>DESCRIBE EFFOR</w:t>
      </w:r>
      <w:r>
        <w:rPr>
          <w:rFonts w:ascii="Times New Roman" w:hAnsi="Times New Roman" w:cs="Times New Roman"/>
          <w:b/>
          <w:sz w:val="26"/>
          <w:szCs w:val="26"/>
        </w:rPr>
        <w:t>TS TO IDENTIFY DUPLICATION AND SHOW SPECIFICALLY WHY ANY SIMILAR INFORMATION ALREADY AVAILABLE CANNOT BE USED OR MODIFIED FOR USE FOR THE PURPOSE(S) DESCRIBED IN INSTRUCTION NO. 2</w:t>
      </w:r>
    </w:p>
    <w:p w:rsidR="00582FF3" w:rsidRDefault="00582FF3" w14:paraId="55EDAD0A" w14:textId="77777777">
      <w:pPr>
        <w:spacing w:after="0" w:line="240" w:lineRule="auto"/>
        <w:rPr>
          <w:rFonts w:ascii="Times New Roman" w:hAnsi="Times New Roman" w:cs="Times New Roman"/>
          <w:sz w:val="26"/>
          <w:szCs w:val="26"/>
        </w:rPr>
      </w:pPr>
    </w:p>
    <w:p w:rsidR="00582FF3" w:rsidRDefault="00FF4970" w14:paraId="1A142A02"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Filing requirements are periodically reviewed as OMB review dates arise or </w:t>
      </w:r>
      <w:r>
        <w:rPr>
          <w:rFonts w:ascii="Times New Roman" w:hAnsi="Times New Roman" w:cs="Times New Roman"/>
          <w:sz w:val="26"/>
          <w:szCs w:val="26"/>
        </w:rPr>
        <w:t>as the Commission may deem necessary in carrying out its regulatory responsibilities</w:t>
      </w:r>
      <w:r>
        <w:rPr>
          <w:rFonts w:ascii="Times New Roman" w:hAnsi="Times New Roman" w:eastAsia="Calibri" w:cs="Times New Roman"/>
          <w:sz w:val="26"/>
          <w:szCs w:val="26"/>
        </w:rPr>
        <w:t xml:space="preserve"> </w:t>
      </w:r>
      <w:r>
        <w:rPr>
          <w:rFonts w:ascii="Times New Roman" w:hAnsi="Times New Roman" w:cs="Times New Roman"/>
          <w:sz w:val="26"/>
          <w:szCs w:val="26"/>
        </w:rPr>
        <w:t>under the FPA in order to eliminate duplication and ensure that filing burden is minimized.  There are no similar sources for information available that can be used or mod</w:t>
      </w:r>
      <w:r>
        <w:rPr>
          <w:rFonts w:ascii="Times New Roman" w:hAnsi="Times New Roman" w:cs="Times New Roman"/>
          <w:sz w:val="26"/>
          <w:szCs w:val="26"/>
        </w:rPr>
        <w:t xml:space="preserve">ified for these reporting purposes. </w:t>
      </w:r>
    </w:p>
    <w:p w:rsidR="00582FF3" w:rsidRDefault="00582FF3" w14:paraId="129C4C3F" w14:textId="77777777">
      <w:pPr>
        <w:spacing w:after="0" w:line="240" w:lineRule="auto"/>
        <w:rPr>
          <w:rFonts w:ascii="Times New Roman" w:hAnsi="Times New Roman" w:cs="Times New Roman"/>
          <w:sz w:val="26"/>
          <w:szCs w:val="26"/>
        </w:rPr>
      </w:pPr>
    </w:p>
    <w:p w:rsidR="00582FF3" w:rsidRDefault="00FF4970" w14:paraId="1125C53C" w14:textId="77777777">
      <w:pPr>
        <w:pStyle w:val="ListParagraph"/>
        <w:numPr>
          <w:ilvl w:val="0"/>
          <w:numId w:val="1"/>
        </w:numPr>
        <w:spacing w:after="0" w:line="240" w:lineRule="auto"/>
        <w:rPr>
          <w:rFonts w:ascii="Times New Roman" w:hAnsi="Times New Roman" w:cs="Times New Roman"/>
          <w:b/>
          <w:sz w:val="26"/>
          <w:szCs w:val="26"/>
        </w:rPr>
      </w:pPr>
      <w:r>
        <w:rPr>
          <w:rFonts w:ascii="Times New Roman" w:hAnsi="Times New Roman" w:cs="Times New Roman"/>
          <w:b/>
          <w:sz w:val="26"/>
          <w:szCs w:val="26"/>
        </w:rPr>
        <w:t>METHODS USED TO MINIMIZE THE BURDEN IN COLLECTION OF INFORMATION INVOLVING SMALL ENTITIES</w:t>
      </w:r>
    </w:p>
    <w:p w:rsidR="00582FF3" w:rsidRDefault="00582FF3" w14:paraId="710C590C" w14:textId="77777777">
      <w:pPr>
        <w:spacing w:after="0" w:line="240" w:lineRule="auto"/>
        <w:rPr>
          <w:rFonts w:ascii="Times New Roman" w:hAnsi="Times New Roman" w:cs="Times New Roman"/>
          <w:sz w:val="26"/>
          <w:szCs w:val="26"/>
        </w:rPr>
      </w:pPr>
    </w:p>
    <w:p w:rsidR="00582FF3" w:rsidRDefault="00FF4970" w14:paraId="01C121CA"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The TOP-010-1</w:t>
      </w:r>
      <w:r>
        <w:rPr>
          <w:rFonts w:ascii="Times New Roman" w:hAnsi="Times New Roman" w:cs="Times New Roman"/>
          <w:sz w:val="26"/>
          <w:szCs w:val="26"/>
        </w:rPr>
        <w:t xml:space="preserve"> </w:t>
      </w:r>
      <w:r>
        <w:rPr>
          <w:rFonts w:ascii="Times New Roman" w:hAnsi="Times New Roman" w:cs="Times New Roman"/>
          <w:sz w:val="26"/>
          <w:szCs w:val="26"/>
        </w:rPr>
        <w:t>Reliability Standard requires applicable entities to provide notification to operators of real-time monitoring of</w:t>
      </w:r>
      <w:r>
        <w:rPr>
          <w:rFonts w:ascii="Times New Roman" w:hAnsi="Times New Roman" w:cs="Times New Roman"/>
          <w:sz w:val="26"/>
          <w:szCs w:val="26"/>
        </w:rPr>
        <w:t xml:space="preserve"> alarm failures.  TOP-010-1 also requires applicable entities to implement operating processes or operating procedures to:  (i) provide operators with indication(s) of the quality of information being provided by their monitoring and analysis capabilities;</w:t>
      </w:r>
      <w:r>
        <w:rPr>
          <w:rFonts w:ascii="Times New Roman" w:hAnsi="Times New Roman" w:cs="Times New Roman"/>
          <w:sz w:val="26"/>
          <w:szCs w:val="26"/>
        </w:rPr>
        <w:t xml:space="preserve"> and (ii) address deficiencies in the quality of information being provided by their monitoring and analysis capabilities.  </w:t>
      </w:r>
    </w:p>
    <w:p w:rsidR="00582FF3" w:rsidRDefault="00582FF3" w14:paraId="693A02BE" w14:textId="77777777">
      <w:pPr>
        <w:spacing w:after="0" w:line="240" w:lineRule="auto"/>
        <w:rPr>
          <w:rFonts w:ascii="Times New Roman" w:hAnsi="Times New Roman" w:cs="Times New Roman"/>
          <w:sz w:val="26"/>
          <w:szCs w:val="26"/>
        </w:rPr>
      </w:pPr>
    </w:p>
    <w:p w:rsidR="00582FF3" w:rsidRDefault="00FF4970" w14:paraId="71883459"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Our estimates regarding the number of respondents are based on the NERC Compliance Registry as of April 24, 2020.  According to th</w:t>
      </w:r>
      <w:r>
        <w:rPr>
          <w:rFonts w:ascii="Times New Roman" w:hAnsi="Times New Roman" w:cs="Times New Roman"/>
          <w:sz w:val="26"/>
          <w:szCs w:val="26"/>
        </w:rPr>
        <w:t xml:space="preserve">e NERC Compliance Registry, there are 12 reliability coordinators, 98 balancing authorities and 169 transmission operators registered.  </w:t>
      </w:r>
      <w:r>
        <w:rPr>
          <w:rFonts w:ascii="Times New Roman" w:hAnsi="Times New Roman" w:eastAsia="Times New Roman" w:cs="Times New Roman"/>
          <w:sz w:val="26"/>
          <w:szCs w:val="26"/>
        </w:rPr>
        <w:t>There are benefits (for small and large entities) to clarifying and bringing efficiencies to the TOP Reliability Standar</w:t>
      </w:r>
      <w:r>
        <w:rPr>
          <w:rFonts w:ascii="Times New Roman" w:hAnsi="Times New Roman" w:eastAsia="Times New Roman" w:cs="Times New Roman"/>
          <w:sz w:val="26"/>
          <w:szCs w:val="26"/>
        </w:rPr>
        <w:t>ds, consistent with the promoting increased efficiencies in Reliability Standards and reducing requirements that are either redundant with other currently-effective requirements or have little reliability benefit.</w:t>
      </w:r>
    </w:p>
    <w:p w:rsidR="00582FF3" w:rsidRDefault="00582FF3" w14:paraId="114D3ECF" w14:textId="77777777">
      <w:pPr>
        <w:spacing w:after="0" w:line="240" w:lineRule="auto"/>
        <w:rPr>
          <w:rFonts w:ascii="Times New Roman" w:hAnsi="Times New Roman" w:cs="Times New Roman"/>
          <w:sz w:val="26"/>
          <w:szCs w:val="26"/>
        </w:rPr>
      </w:pPr>
    </w:p>
    <w:p w:rsidR="00582FF3" w:rsidRDefault="00FF4970" w14:paraId="5B6F4412" w14:textId="77777777">
      <w:pPr>
        <w:pStyle w:val="ListParagraph"/>
        <w:numPr>
          <w:ilvl w:val="0"/>
          <w:numId w:val="1"/>
        </w:numPr>
        <w:spacing w:after="0" w:line="240" w:lineRule="auto"/>
        <w:rPr>
          <w:rFonts w:ascii="Times New Roman" w:hAnsi="Times New Roman" w:cs="Times New Roman"/>
          <w:b/>
          <w:sz w:val="26"/>
          <w:szCs w:val="26"/>
        </w:rPr>
      </w:pPr>
      <w:r>
        <w:rPr>
          <w:rFonts w:ascii="Times New Roman" w:hAnsi="Times New Roman" w:cs="Times New Roman"/>
          <w:b/>
          <w:sz w:val="26"/>
          <w:szCs w:val="26"/>
        </w:rPr>
        <w:t>CONSEQUENCE TO FEDERAL PROGRAM IF COLLECT</w:t>
      </w:r>
      <w:r>
        <w:rPr>
          <w:rFonts w:ascii="Times New Roman" w:hAnsi="Times New Roman" w:cs="Times New Roman"/>
          <w:b/>
          <w:sz w:val="26"/>
          <w:szCs w:val="26"/>
        </w:rPr>
        <w:t>ION WERE CONDUCTED LESS FREQUENTLY</w:t>
      </w:r>
    </w:p>
    <w:p w:rsidR="00582FF3" w:rsidRDefault="00FF4970" w14:paraId="56933B35" w14:textId="77777777">
      <w:pPr>
        <w:tabs>
          <w:tab w:val="num" w:pos="720"/>
        </w:tabs>
        <w:autoSpaceDE w:val="0"/>
        <w:autoSpaceDN w:val="0"/>
        <w:adjustRightInd w:val="0"/>
        <w:spacing w:before="100" w:beforeAutospacing="1" w:after="240" w:line="240" w:lineRule="auto"/>
        <w:rPr>
          <w:rFonts w:ascii="Times New Roman" w:hAnsi="Times New Roman" w:eastAsia="Times New Roman" w:cs="Times New Roman"/>
          <w:bCs/>
          <w:sz w:val="26"/>
          <w:szCs w:val="26"/>
        </w:rPr>
      </w:pPr>
      <w:r>
        <w:rPr>
          <w:rFonts w:ascii="Times New Roman" w:hAnsi="Times New Roman" w:eastAsia="Times New Roman" w:cs="Times New Roman"/>
          <w:sz w:val="26"/>
          <w:szCs w:val="26"/>
        </w:rPr>
        <w:t xml:space="preserve">The Reliability Standard improves real-time situational awareness capabilities and enhance reliable operations by requiring reliability coordinators, transmission operators, </w:t>
      </w:r>
      <w:r>
        <w:rPr>
          <w:rFonts w:ascii="Times New Roman" w:hAnsi="Times New Roman" w:eastAsia="Times New Roman" w:cs="Times New Roman"/>
          <w:sz w:val="26"/>
          <w:szCs w:val="26"/>
        </w:rPr>
        <w:lastRenderedPageBreak/>
        <w:t xml:space="preserve">and balancing authorities to provide operators </w:t>
      </w:r>
      <w:r>
        <w:rPr>
          <w:rFonts w:ascii="Times New Roman" w:hAnsi="Times New Roman" w:eastAsia="Times New Roman" w:cs="Times New Roman"/>
          <w:sz w:val="26"/>
          <w:szCs w:val="26"/>
        </w:rPr>
        <w:t>with awareness of monitoring and analysis capabilities, including alarm availability, so that operators may take appropriate steps to protect reliability. Failure to follow requirements and compliance of TOP-010-1 could directly affect the ability to effec</w:t>
      </w:r>
      <w:r>
        <w:rPr>
          <w:rFonts w:ascii="Times New Roman" w:hAnsi="Times New Roman" w:eastAsia="Times New Roman" w:cs="Times New Roman"/>
          <w:sz w:val="26"/>
          <w:szCs w:val="26"/>
        </w:rPr>
        <w:t xml:space="preserve">tively monitor and control and ensure reliability of the bulk electric system. </w:t>
      </w:r>
    </w:p>
    <w:p w:rsidR="00582FF3" w:rsidRDefault="00FF4970" w14:paraId="695343D5" w14:textId="77777777">
      <w:pPr>
        <w:pStyle w:val="ListParagraph"/>
        <w:numPr>
          <w:ilvl w:val="0"/>
          <w:numId w:val="1"/>
        </w:numPr>
        <w:spacing w:after="0" w:line="240" w:lineRule="auto"/>
        <w:rPr>
          <w:rFonts w:ascii="Times New Roman" w:hAnsi="Times New Roman" w:cs="Times New Roman"/>
          <w:b/>
          <w:sz w:val="26"/>
          <w:szCs w:val="26"/>
        </w:rPr>
      </w:pPr>
      <w:r>
        <w:rPr>
          <w:rFonts w:ascii="Times New Roman" w:hAnsi="Times New Roman" w:cs="Times New Roman"/>
          <w:b/>
          <w:sz w:val="26"/>
          <w:szCs w:val="26"/>
        </w:rPr>
        <w:t>EXPLAIN ANY SPECIAL CIRCUMSTANCES RELATING TO THE INFORMATION COLLECTION</w:t>
      </w:r>
    </w:p>
    <w:p w:rsidR="00582FF3" w:rsidRDefault="00582FF3" w14:paraId="3A5E2B94" w14:textId="77777777">
      <w:pPr>
        <w:spacing w:after="0"/>
        <w:rPr>
          <w:rFonts w:ascii="Times New Roman" w:hAnsi="Times New Roman" w:cs="Times New Roman"/>
          <w:b/>
          <w:sz w:val="26"/>
          <w:szCs w:val="26"/>
        </w:rPr>
      </w:pPr>
    </w:p>
    <w:p w:rsidR="00582FF3" w:rsidRDefault="00FF4970" w14:paraId="49BAA781" w14:textId="77777777">
      <w:pPr>
        <w:spacing w:after="0"/>
        <w:rPr>
          <w:rFonts w:ascii="Times New Roman" w:hAnsi="Times New Roman" w:eastAsia="Times New Roman" w:cs="Times New Roman"/>
          <w:sz w:val="26"/>
          <w:szCs w:val="26"/>
        </w:rPr>
      </w:pPr>
      <w:r>
        <w:rPr>
          <w:rFonts w:ascii="Times New Roman" w:hAnsi="Times New Roman" w:cs="Times New Roman"/>
          <w:bCs/>
          <w:sz w:val="26"/>
          <w:szCs w:val="26"/>
        </w:rPr>
        <w:t xml:space="preserve">There are </w:t>
      </w:r>
      <w:r>
        <w:rPr>
          <w:rFonts w:ascii="Times New Roman" w:hAnsi="Times New Roman" w:cs="Times New Roman"/>
          <w:bCs/>
          <w:sz w:val="26"/>
          <w:szCs w:val="26"/>
        </w:rPr>
        <w:t>special circumstances relating to this collection</w:t>
      </w:r>
      <w:r>
        <w:rPr>
          <w:rFonts w:ascii="Times New Roman" w:hAnsi="Times New Roman" w:cs="Times New Roman"/>
          <w:bCs/>
          <w:sz w:val="26"/>
          <w:szCs w:val="26"/>
        </w:rPr>
        <w:t xml:space="preserve"> that require respondents to provide inf</w:t>
      </w:r>
      <w:r>
        <w:rPr>
          <w:rFonts w:ascii="Times New Roman" w:hAnsi="Times New Roman" w:cs="Times New Roman"/>
          <w:bCs/>
          <w:sz w:val="26"/>
          <w:szCs w:val="26"/>
        </w:rPr>
        <w:t xml:space="preserve">ormation with fewer than 30 </w:t>
      </w:r>
      <w:proofErr w:type="spellStart"/>
      <w:r>
        <w:rPr>
          <w:rFonts w:ascii="Times New Roman" w:hAnsi="Times New Roman" w:cs="Times New Roman"/>
          <w:bCs/>
          <w:sz w:val="26"/>
          <w:szCs w:val="26"/>
        </w:rPr>
        <w:t>days notice</w:t>
      </w:r>
      <w:proofErr w:type="spellEnd"/>
      <w:r>
        <w:rPr>
          <w:rFonts w:ascii="Times New Roman" w:hAnsi="Times New Roman" w:cs="Times New Roman"/>
          <w:bCs/>
          <w:sz w:val="26"/>
          <w:szCs w:val="26"/>
        </w:rPr>
        <w:t xml:space="preserve"> (</w:t>
      </w:r>
      <w:r>
        <w:rPr>
          <w:rFonts w:ascii="Times New Roman" w:hAnsi="Times New Roman" w:cs="Times New Roman"/>
          <w:bCs/>
          <w:sz w:val="26"/>
          <w:szCs w:val="26"/>
        </w:rPr>
        <w:t xml:space="preserve">i.e., real-time data </w:t>
      </w:r>
      <w:proofErr w:type="spellStart"/>
      <w:r>
        <w:rPr>
          <w:rFonts w:ascii="Times New Roman" w:hAnsi="Times New Roman" w:cs="Times New Roman"/>
          <w:bCs/>
          <w:sz w:val="26"/>
          <w:szCs w:val="26"/>
        </w:rPr>
        <w:t>monitorying</w:t>
      </w:r>
      <w:proofErr w:type="spellEnd"/>
      <w:r>
        <w:rPr>
          <w:rFonts w:ascii="Times New Roman" w:hAnsi="Times New Roman" w:cs="Times New Roman"/>
          <w:bCs/>
          <w:sz w:val="26"/>
          <w:szCs w:val="26"/>
        </w:rPr>
        <w:t xml:space="preserve"> and real-time assessments, etc.)</w:t>
      </w:r>
      <w:r>
        <w:rPr>
          <w:rFonts w:ascii="Times New Roman" w:hAnsi="Times New Roman" w:cs="Times New Roman"/>
          <w:bCs/>
          <w:sz w:val="26"/>
          <w:szCs w:val="26"/>
        </w:rPr>
        <w:t xml:space="preserve">. </w:t>
      </w:r>
      <w:r>
        <w:rPr>
          <w:rFonts w:ascii="Times New Roman" w:hAnsi="Times New Roman" w:eastAsia="Times New Roman" w:cs="Times New Roman"/>
          <w:sz w:val="26"/>
          <w:szCs w:val="26"/>
        </w:rPr>
        <w:t xml:space="preserve">Reliability Standards and TOP-010-1, Requirements R1 and R2 go beyond documentation and specification of data and require the </w:t>
      </w:r>
      <w:r>
        <w:rPr>
          <w:rFonts w:ascii="Times New Roman" w:hAnsi="Times New Roman" w:eastAsia="Times New Roman" w:cs="Times New Roman"/>
          <w:sz w:val="26"/>
          <w:szCs w:val="26"/>
        </w:rPr>
        <w:t xml:space="preserve">implementation </w:t>
      </w:r>
      <w:r>
        <w:rPr>
          <w:rFonts w:ascii="Times New Roman" w:hAnsi="Times New Roman" w:eastAsia="Times New Roman" w:cs="Times New Roman"/>
          <w:sz w:val="26"/>
          <w:szCs w:val="26"/>
        </w:rPr>
        <w:t xml:space="preserve">of an operating process or operating procedure to </w:t>
      </w:r>
      <w:r>
        <w:rPr>
          <w:rFonts w:ascii="Times New Roman" w:hAnsi="Times New Roman" w:eastAsia="Times New Roman" w:cs="Times New Roman"/>
          <w:sz w:val="26"/>
          <w:szCs w:val="26"/>
        </w:rPr>
        <w:t xml:space="preserve">address </w:t>
      </w:r>
      <w:r>
        <w:rPr>
          <w:rFonts w:ascii="Times New Roman" w:hAnsi="Times New Roman" w:eastAsia="Times New Roman" w:cs="Times New Roman"/>
          <w:sz w:val="26"/>
          <w:szCs w:val="26"/>
        </w:rPr>
        <w:t>“the quality of the Real-time data n</w:t>
      </w:r>
      <w:r>
        <w:rPr>
          <w:rFonts w:ascii="Times New Roman" w:hAnsi="Times New Roman" w:eastAsia="Times New Roman" w:cs="Times New Roman"/>
          <w:sz w:val="26"/>
          <w:szCs w:val="26"/>
        </w:rPr>
        <w:t>ecessary to perform Real-time data monitoring and Real-time Assessments or analysis functions.”</w:t>
      </w:r>
      <w:r>
        <w:rPr>
          <w:rFonts w:ascii="Times New Roman" w:hAnsi="Times New Roman" w:eastAsia="Times New Roman" w:cs="Times New Roman"/>
          <w:b/>
          <w:sz w:val="26"/>
          <w:szCs w:val="26"/>
          <w:vertAlign w:val="superscript"/>
        </w:rPr>
        <w:footnoteReference w:id="6"/>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The operating process </w:t>
      </w:r>
      <w:r>
        <w:rPr>
          <w:rFonts w:ascii="Times New Roman" w:hAnsi="Times New Roman" w:eastAsia="Times New Roman" w:cs="Times New Roman"/>
          <w:sz w:val="26"/>
          <w:szCs w:val="26"/>
        </w:rPr>
        <w:t>or procedure includes criteria for evaluating the quality of data, provision</w:t>
      </w:r>
      <w:r>
        <w:rPr>
          <w:rFonts w:ascii="Times New Roman" w:hAnsi="Times New Roman" w:eastAsia="Times New Roman" w:cs="Times New Roman"/>
          <w:sz w:val="26"/>
          <w:szCs w:val="26"/>
        </w:rPr>
        <w:t>s</w:t>
      </w:r>
      <w:r>
        <w:rPr>
          <w:rFonts w:ascii="Times New Roman" w:hAnsi="Times New Roman" w:eastAsia="Times New Roman" w:cs="Times New Roman"/>
          <w:sz w:val="26"/>
          <w:szCs w:val="26"/>
        </w:rPr>
        <w:t xml:space="preserve"> to indicate the</w:t>
      </w:r>
      <w:r>
        <w:rPr>
          <w:rFonts w:ascii="Times New Roman" w:hAnsi="Times New Roman" w:eastAsia="Times New Roman" w:cs="Times New Roman"/>
          <w:sz w:val="26"/>
          <w:szCs w:val="26"/>
        </w:rPr>
        <w:t xml:space="preserve"> quality of data and, action</w:t>
      </w:r>
      <w:r>
        <w:rPr>
          <w:rFonts w:ascii="Times New Roman" w:hAnsi="Times New Roman" w:eastAsia="Times New Roman" w:cs="Times New Roman"/>
          <w:sz w:val="26"/>
          <w:szCs w:val="26"/>
        </w:rPr>
        <w:t>s</w:t>
      </w:r>
      <w:r>
        <w:rPr>
          <w:rFonts w:ascii="Times New Roman" w:hAnsi="Times New Roman" w:eastAsia="Times New Roman" w:cs="Times New Roman"/>
          <w:sz w:val="26"/>
          <w:szCs w:val="26"/>
        </w:rPr>
        <w:t xml:space="preserve"> to address quality issues with </w:t>
      </w:r>
      <w:r>
        <w:rPr>
          <w:rFonts w:ascii="Times New Roman" w:hAnsi="Times New Roman" w:eastAsia="Times New Roman" w:cs="Times New Roman"/>
          <w:sz w:val="26"/>
          <w:szCs w:val="26"/>
        </w:rPr>
        <w:t>the entity(</w:t>
      </w:r>
      <w:proofErr w:type="spellStart"/>
      <w:r>
        <w:rPr>
          <w:rFonts w:ascii="Times New Roman" w:hAnsi="Times New Roman" w:eastAsia="Times New Roman" w:cs="Times New Roman"/>
          <w:sz w:val="26"/>
          <w:szCs w:val="26"/>
        </w:rPr>
        <w:t>ies</w:t>
      </w:r>
      <w:proofErr w:type="spellEnd"/>
      <w:r>
        <w:rPr>
          <w:rFonts w:ascii="Times New Roman" w:hAnsi="Times New Roman" w:eastAsia="Times New Roman" w:cs="Times New Roman"/>
          <w:sz w:val="26"/>
          <w:szCs w:val="26"/>
        </w:rPr>
        <w:t>) providing the data.</w:t>
      </w:r>
      <w:r>
        <w:rPr>
          <w:rFonts w:ascii="Times New Roman" w:hAnsi="Times New Roman" w:eastAsia="Times New Roman" w:cs="Times New Roman"/>
          <w:sz w:val="26"/>
          <w:szCs w:val="26"/>
        </w:rPr>
        <w:t xml:space="preserve"> </w:t>
      </w:r>
      <w:r>
        <w:t xml:space="preserve"> </w:t>
      </w:r>
      <w:r>
        <w:rPr>
          <w:rFonts w:ascii="Times New Roman" w:hAnsi="Times New Roman" w:eastAsia="Times New Roman" w:cs="Times New Roman"/>
          <w:sz w:val="26"/>
          <w:szCs w:val="26"/>
        </w:rPr>
        <w:t xml:space="preserve">Reliability Standards TOP-010-1 satisfy the Commission’s criteria in Order No. 672, and are just, reasonable, not unduly discriminatory or preferential, and in the public </w:t>
      </w:r>
      <w:r>
        <w:rPr>
          <w:rFonts w:ascii="Times New Roman" w:hAnsi="Times New Roman" w:eastAsia="Times New Roman" w:cs="Times New Roman"/>
          <w:sz w:val="26"/>
          <w:szCs w:val="26"/>
        </w:rPr>
        <w:t>interest.</w:t>
      </w:r>
    </w:p>
    <w:p w:rsidR="00582FF3" w:rsidRDefault="00582FF3" w14:paraId="18B8D86E" w14:textId="77777777">
      <w:pPr>
        <w:spacing w:after="0"/>
        <w:rPr>
          <w:rFonts w:ascii="Times New Roman" w:hAnsi="Times New Roman" w:eastAsia="Times New Roman" w:cs="Times New Roman"/>
          <w:sz w:val="26"/>
          <w:szCs w:val="26"/>
        </w:rPr>
      </w:pPr>
    </w:p>
    <w:p w:rsidR="00582FF3" w:rsidRDefault="00FF4970" w14:paraId="0653C244" w14:textId="77777777">
      <w:pPr>
        <w:spacing w:after="0"/>
        <w:rPr>
          <w:rFonts w:ascii="Times New Roman" w:hAnsi="Times New Roman" w:eastAsia="Times New Roman" w:cs="Times New Roman"/>
          <w:sz w:val="26"/>
          <w:szCs w:val="26"/>
        </w:rPr>
      </w:pPr>
      <w:r>
        <w:rPr>
          <w:rFonts w:ascii="Times New Roman" w:hAnsi="Times New Roman" w:eastAsia="Times New Roman" w:cs="Times New Roman"/>
          <w:sz w:val="26"/>
          <w:szCs w:val="26"/>
        </w:rPr>
        <w:t>To be effective in support of situational awareness, Real-time monitoring and analysis must:</w:t>
      </w:r>
    </w:p>
    <w:p w:rsidRPr="00377187" w:rsidR="00582FF3" w:rsidP="00377187" w:rsidRDefault="00FF4970" w14:paraId="5650570F" w14:textId="77777777">
      <w:pPr>
        <w:pStyle w:val="ListParagraph"/>
        <w:numPr>
          <w:ilvl w:val="0"/>
          <w:numId w:val="12"/>
        </w:numPr>
        <w:spacing w:after="0"/>
        <w:ind w:left="360"/>
        <w:rPr>
          <w:rFonts w:ascii="Times New Roman" w:hAnsi="Times New Roman" w:eastAsia="Times New Roman" w:cs="Times New Roman"/>
          <w:sz w:val="26"/>
          <w:szCs w:val="26"/>
        </w:rPr>
      </w:pPr>
      <w:r w:rsidRPr="00377187">
        <w:rPr>
          <w:rFonts w:ascii="Times New Roman" w:hAnsi="Times New Roman" w:eastAsia="Times New Roman" w:cs="Times New Roman"/>
          <w:sz w:val="26"/>
          <w:szCs w:val="26"/>
        </w:rPr>
        <w:t>be performed with sufficient frequency to allow operators to understand operating</w:t>
      </w:r>
    </w:p>
    <w:p w:rsidR="00582FF3" w:rsidP="00377187" w:rsidRDefault="00FF4970" w14:paraId="6328C8AB" w14:textId="77777777">
      <w:pPr>
        <w:spacing w:after="0"/>
        <w:ind w:left="360"/>
        <w:rPr>
          <w:rFonts w:ascii="Times New Roman" w:hAnsi="Times New Roman" w:eastAsia="Times New Roman" w:cs="Times New Roman"/>
          <w:sz w:val="26"/>
          <w:szCs w:val="26"/>
        </w:rPr>
      </w:pPr>
      <w:r w:rsidRPr="00377187">
        <w:rPr>
          <w:rFonts w:ascii="Times New Roman" w:hAnsi="Times New Roman" w:eastAsia="Times New Roman" w:cs="Times New Roman"/>
          <w:sz w:val="26"/>
          <w:szCs w:val="26"/>
        </w:rPr>
        <w:t>conditions and take corrective actions when necessary;</w:t>
      </w:r>
      <w:r>
        <w:rPr>
          <w:rFonts w:ascii="Times New Roman" w:hAnsi="Times New Roman" w:eastAsia="Times New Roman" w:cs="Times New Roman"/>
          <w:sz w:val="26"/>
          <w:szCs w:val="26"/>
        </w:rPr>
        <w:t xml:space="preserve"> </w:t>
      </w:r>
    </w:p>
    <w:p w:rsidRPr="00377187" w:rsidR="00582FF3" w:rsidP="00377187" w:rsidRDefault="00FF4970" w14:paraId="2EA72961" w14:textId="77777777">
      <w:pPr>
        <w:pStyle w:val="ListParagraph"/>
        <w:numPr>
          <w:ilvl w:val="0"/>
          <w:numId w:val="12"/>
        </w:numPr>
        <w:spacing w:after="0"/>
        <w:ind w:left="360"/>
        <w:rPr>
          <w:rFonts w:ascii="Times New Roman" w:hAnsi="Times New Roman" w:eastAsia="Times New Roman" w:cs="Times New Roman"/>
          <w:sz w:val="26"/>
          <w:szCs w:val="26"/>
        </w:rPr>
      </w:pPr>
      <w:r w:rsidRPr="00377187">
        <w:rPr>
          <w:rFonts w:ascii="Times New Roman" w:hAnsi="Times New Roman" w:eastAsia="Times New Roman" w:cs="Times New Roman"/>
          <w:sz w:val="26"/>
          <w:szCs w:val="26"/>
        </w:rPr>
        <w:t>provide awaren</w:t>
      </w:r>
      <w:r w:rsidRPr="00377187">
        <w:rPr>
          <w:rFonts w:ascii="Times New Roman" w:hAnsi="Times New Roman" w:eastAsia="Times New Roman" w:cs="Times New Roman"/>
          <w:sz w:val="26"/>
          <w:szCs w:val="26"/>
        </w:rPr>
        <w:t>ess of information quality to allow operators to assess the accuracy of</w:t>
      </w:r>
      <w:r w:rsidRPr="00377187">
        <w:rPr>
          <w:rFonts w:ascii="Times New Roman" w:hAnsi="Times New Roman" w:eastAsia="Times New Roman" w:cs="Times New Roman"/>
          <w:sz w:val="26"/>
          <w:szCs w:val="26"/>
        </w:rPr>
        <w:t xml:space="preserve"> </w:t>
      </w:r>
    </w:p>
    <w:p w:rsidRPr="00377187" w:rsidR="00582FF3" w:rsidP="00377187" w:rsidRDefault="00FF4970" w14:paraId="5DEB3F3C" w14:textId="77777777">
      <w:pPr>
        <w:spacing w:after="0"/>
        <w:ind w:left="360"/>
        <w:rPr>
          <w:rFonts w:ascii="Times New Roman" w:hAnsi="Times New Roman" w:eastAsia="Times New Roman" w:cs="Times New Roman"/>
          <w:sz w:val="26"/>
          <w:szCs w:val="26"/>
        </w:rPr>
      </w:pPr>
      <w:r w:rsidRPr="00377187">
        <w:rPr>
          <w:rFonts w:ascii="Times New Roman" w:hAnsi="Times New Roman" w:eastAsia="Times New Roman" w:cs="Times New Roman"/>
          <w:sz w:val="26"/>
          <w:szCs w:val="26"/>
        </w:rPr>
        <w:t>information being received on system conditions and take corrective actions when</w:t>
      </w:r>
    </w:p>
    <w:p w:rsidRPr="00377187" w:rsidR="00582FF3" w:rsidP="00377187" w:rsidRDefault="00FF4970" w14:paraId="24E5C833" w14:textId="77777777">
      <w:pPr>
        <w:spacing w:after="0"/>
        <w:ind w:left="360"/>
        <w:rPr>
          <w:rFonts w:ascii="Times New Roman" w:hAnsi="Times New Roman" w:eastAsia="Times New Roman" w:cs="Times New Roman"/>
          <w:sz w:val="26"/>
          <w:szCs w:val="26"/>
        </w:rPr>
      </w:pPr>
      <w:r w:rsidRPr="00377187">
        <w:rPr>
          <w:rFonts w:ascii="Times New Roman" w:hAnsi="Times New Roman" w:eastAsia="Times New Roman" w:cs="Times New Roman"/>
          <w:sz w:val="26"/>
          <w:szCs w:val="26"/>
        </w:rPr>
        <w:t>necessary; and</w:t>
      </w:r>
    </w:p>
    <w:p w:rsidRPr="00377187" w:rsidR="00582FF3" w:rsidP="00377187" w:rsidRDefault="00FF4970" w14:paraId="1E3E197B" w14:textId="77777777">
      <w:pPr>
        <w:pStyle w:val="ListParagraph"/>
        <w:numPr>
          <w:ilvl w:val="0"/>
          <w:numId w:val="12"/>
        </w:numPr>
        <w:spacing w:after="0"/>
        <w:ind w:left="360"/>
        <w:rPr>
          <w:rFonts w:ascii="Times New Roman" w:hAnsi="Times New Roman" w:eastAsia="Times New Roman" w:cs="Times New Roman"/>
          <w:sz w:val="26"/>
          <w:szCs w:val="26"/>
        </w:rPr>
      </w:pPr>
      <w:r w:rsidRPr="00377187">
        <w:rPr>
          <w:rFonts w:ascii="Times New Roman" w:hAnsi="Times New Roman" w:eastAsia="Times New Roman" w:cs="Times New Roman"/>
          <w:sz w:val="26"/>
          <w:szCs w:val="26"/>
        </w:rPr>
        <w:t>indicate when monitoring or analysis processes are not operating normally or are</w:t>
      </w:r>
    </w:p>
    <w:p w:rsidRPr="00377187" w:rsidR="00582FF3" w:rsidP="00377187" w:rsidRDefault="00FF4970" w14:paraId="4F644C10" w14:textId="77777777">
      <w:pPr>
        <w:spacing w:after="0"/>
        <w:ind w:left="360"/>
        <w:rPr>
          <w:rFonts w:ascii="Times New Roman" w:hAnsi="Times New Roman" w:eastAsia="Times New Roman" w:cs="Times New Roman"/>
          <w:sz w:val="26"/>
          <w:szCs w:val="26"/>
        </w:rPr>
      </w:pPr>
      <w:r w:rsidRPr="00377187">
        <w:rPr>
          <w:rFonts w:ascii="Times New Roman" w:hAnsi="Times New Roman" w:eastAsia="Times New Roman" w:cs="Times New Roman"/>
          <w:sz w:val="26"/>
          <w:szCs w:val="26"/>
        </w:rPr>
        <w:t>unavailable in order to provide operator awareness of the accuracy of the information</w:t>
      </w:r>
    </w:p>
    <w:p w:rsidRPr="00377187" w:rsidR="00582FF3" w:rsidP="00377187" w:rsidRDefault="00FF4970" w14:paraId="55C6ED7C" w14:textId="77777777">
      <w:pPr>
        <w:spacing w:after="0"/>
        <w:ind w:left="360"/>
        <w:rPr>
          <w:rFonts w:ascii="Times New Roman" w:hAnsi="Times New Roman" w:eastAsia="Times New Roman" w:cs="Times New Roman"/>
          <w:sz w:val="26"/>
          <w:szCs w:val="26"/>
        </w:rPr>
      </w:pPr>
      <w:r w:rsidRPr="00377187">
        <w:rPr>
          <w:rFonts w:ascii="Times New Roman" w:hAnsi="Times New Roman" w:eastAsia="Times New Roman" w:cs="Times New Roman"/>
          <w:sz w:val="26"/>
          <w:szCs w:val="26"/>
        </w:rPr>
        <w:t>being provided.</w:t>
      </w:r>
    </w:p>
    <w:p w:rsidR="00582FF3" w:rsidRDefault="00582FF3" w14:paraId="4B91888F" w14:textId="77777777">
      <w:pPr>
        <w:spacing w:after="0"/>
        <w:rPr>
          <w:rFonts w:ascii="Times New Roman" w:hAnsi="Times New Roman" w:cs="Times New Roman"/>
          <w:bCs/>
          <w:sz w:val="26"/>
          <w:szCs w:val="26"/>
        </w:rPr>
      </w:pPr>
    </w:p>
    <w:p w:rsidR="00582FF3" w:rsidRDefault="00FF4970" w14:paraId="2930BFF9" w14:textId="77777777">
      <w:pPr>
        <w:pStyle w:val="ListParagraph"/>
        <w:numPr>
          <w:ilvl w:val="0"/>
          <w:numId w:val="1"/>
        </w:numPr>
        <w:spacing w:after="0" w:line="240" w:lineRule="auto"/>
        <w:rPr>
          <w:rFonts w:ascii="Times New Roman" w:hAnsi="Times New Roman" w:cs="Times New Roman"/>
          <w:sz w:val="26"/>
          <w:szCs w:val="26"/>
        </w:rPr>
      </w:pPr>
      <w:r>
        <w:rPr>
          <w:rFonts w:ascii="Times New Roman" w:hAnsi="Times New Roman" w:eastAsia="Calibri" w:cs="Times New Roman"/>
          <w:b/>
          <w:sz w:val="26"/>
          <w:szCs w:val="26"/>
        </w:rPr>
        <w:t>DESCRIBE EFFORTS TO CONSULT OUTSIDE THE AGENCY: SUMMARIZE PUBLIC COMMENTS AND THE AGENCY’S RESPONSE</w:t>
      </w:r>
    </w:p>
    <w:p w:rsidR="00582FF3" w:rsidRDefault="00582FF3" w14:paraId="4E418E1F" w14:textId="77777777">
      <w:pPr>
        <w:pStyle w:val="ListParagraph"/>
        <w:spacing w:after="0" w:line="240" w:lineRule="auto"/>
        <w:ind w:left="360"/>
        <w:rPr>
          <w:rFonts w:ascii="Times New Roman" w:hAnsi="Times New Roman" w:cs="Times New Roman"/>
          <w:sz w:val="26"/>
          <w:szCs w:val="26"/>
        </w:rPr>
      </w:pPr>
    </w:p>
    <w:p w:rsidR="00582FF3" w:rsidRDefault="00FF4970" w14:paraId="43F60CDC" w14:textId="77777777">
      <w:pPr>
        <w:spacing w:line="240" w:lineRule="auto"/>
        <w:rPr>
          <w:rFonts w:ascii="Times New Roman" w:hAnsi="Times New Roman" w:eastAsia="Times New Roman" w:cs="Times New Roman"/>
          <w:sz w:val="26"/>
          <w:szCs w:val="26"/>
        </w:rPr>
      </w:pPr>
      <w:r>
        <w:rPr>
          <w:rFonts w:ascii="Times New Roman" w:hAnsi="Times New Roman" w:cs="Times New Roman"/>
          <w:sz w:val="26"/>
          <w:szCs w:val="26"/>
        </w:rPr>
        <w:lastRenderedPageBreak/>
        <w:t>FERC notices were published in the Federal Register,</w:t>
      </w:r>
      <w:r>
        <w:rPr>
          <w:rFonts w:ascii="Times New Roman" w:hAnsi="Times New Roman" w:cs="Times New Roman"/>
          <w:sz w:val="26"/>
          <w:szCs w:val="26"/>
        </w:rPr>
        <w:t xml:space="preserve"> thereby allowing all public utilities, natural gas and oil pipeline companies, state commissions, federal agencies, and other interested parties an opportunity to submit comments, or suggestions concerning the proposal.  The 60-day Notice was published in</w:t>
      </w:r>
      <w:r>
        <w:rPr>
          <w:rFonts w:ascii="Times New Roman" w:hAnsi="Times New Roman" w:cs="Times New Roman"/>
          <w:sz w:val="26"/>
          <w:szCs w:val="26"/>
        </w:rPr>
        <w:t xml:space="preserve"> the Federal Register (</w:t>
      </w:r>
      <w:r>
        <w:rPr>
          <w:rFonts w:ascii="Times New Roman" w:hAnsi="Times New Roman" w:eastAsia="Times New Roman" w:cs="Times New Roman"/>
          <w:sz w:val="24"/>
          <w:szCs w:val="24"/>
        </w:rPr>
        <w:t>85 FR 10670</w:t>
      </w:r>
      <w:r>
        <w:rPr>
          <w:rFonts w:ascii="Times New Roman" w:hAnsi="Times New Roman" w:cs="Times New Roman"/>
          <w:sz w:val="26"/>
          <w:szCs w:val="26"/>
        </w:rPr>
        <w:t>, dated 02/25/2020) and no comments were received.  The 30-day Notice was published in the Federal Register (85 FR 28621, dated 05/13/2020). An Errata notice was issued correcting columns 3-5 of the table within section #1</w:t>
      </w:r>
      <w:r>
        <w:rPr>
          <w:rFonts w:ascii="Times New Roman" w:hAnsi="Times New Roman" w:cs="Times New Roman"/>
          <w:sz w:val="26"/>
          <w:szCs w:val="26"/>
        </w:rPr>
        <w:t>2.</w:t>
      </w:r>
      <w:r>
        <w:rPr>
          <w:rFonts w:ascii="Times New Roman" w:hAnsi="Times New Roman" w:cs="Times New Roman"/>
          <w:sz w:val="26"/>
          <w:szCs w:val="26"/>
          <w:vertAlign w:val="superscript"/>
        </w:rPr>
        <w:t>6.</w:t>
      </w:r>
      <w:r>
        <w:rPr>
          <w:rFonts w:ascii="Times New Roman" w:hAnsi="Times New Roman" w:cs="Times New Roman"/>
          <w:sz w:val="26"/>
          <w:szCs w:val="26"/>
        </w:rPr>
        <w:t xml:space="preserve"> </w:t>
      </w:r>
    </w:p>
    <w:p w:rsidR="00582FF3" w:rsidRDefault="00FF4970" w14:paraId="51582658" w14:textId="77777777">
      <w:pPr>
        <w:pStyle w:val="ListParagraph"/>
        <w:numPr>
          <w:ilvl w:val="0"/>
          <w:numId w:val="1"/>
        </w:numPr>
        <w:spacing w:after="0" w:line="240" w:lineRule="auto"/>
        <w:rPr>
          <w:rFonts w:ascii="Times New Roman" w:hAnsi="Times New Roman" w:cs="Times New Roman"/>
          <w:b/>
          <w:sz w:val="26"/>
          <w:szCs w:val="26"/>
        </w:rPr>
      </w:pPr>
      <w:r>
        <w:rPr>
          <w:rFonts w:ascii="Times New Roman" w:hAnsi="Times New Roman" w:cs="Times New Roman"/>
          <w:b/>
          <w:sz w:val="26"/>
          <w:szCs w:val="26"/>
        </w:rPr>
        <w:t>EXPLAIN ANY PAYMENT OR GIFTS TO RESPONDENTS</w:t>
      </w:r>
    </w:p>
    <w:p w:rsidR="00582FF3" w:rsidRDefault="00582FF3" w14:paraId="3DC3D051" w14:textId="77777777">
      <w:pPr>
        <w:spacing w:after="0" w:line="240" w:lineRule="auto"/>
        <w:rPr>
          <w:rFonts w:ascii="Times New Roman" w:hAnsi="Times New Roman" w:cs="Times New Roman"/>
          <w:sz w:val="26"/>
          <w:szCs w:val="26"/>
        </w:rPr>
      </w:pPr>
    </w:p>
    <w:p w:rsidR="00582FF3" w:rsidRDefault="00FF4970" w14:paraId="1C1B7ECE"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The Commission does not make payments or provide gifts for respondents related to FERC-725A(1B).</w:t>
      </w:r>
    </w:p>
    <w:p w:rsidR="00582FF3" w:rsidRDefault="00582FF3" w14:paraId="65DC7455" w14:textId="77777777">
      <w:pPr>
        <w:spacing w:after="0" w:line="240" w:lineRule="auto"/>
        <w:rPr>
          <w:rFonts w:ascii="Times New Roman" w:hAnsi="Times New Roman" w:cs="Times New Roman"/>
          <w:sz w:val="26"/>
          <w:szCs w:val="26"/>
        </w:rPr>
      </w:pPr>
    </w:p>
    <w:p w:rsidR="00582FF3" w:rsidRDefault="00FF4970" w14:paraId="5567D65E" w14:textId="77777777">
      <w:pPr>
        <w:pStyle w:val="ListParagraph"/>
        <w:numPr>
          <w:ilvl w:val="0"/>
          <w:numId w:val="1"/>
        </w:numPr>
        <w:spacing w:after="0" w:line="240" w:lineRule="auto"/>
        <w:rPr>
          <w:rFonts w:ascii="Times New Roman" w:hAnsi="Times New Roman" w:cs="Times New Roman"/>
          <w:b/>
          <w:sz w:val="26"/>
          <w:szCs w:val="26"/>
        </w:rPr>
      </w:pPr>
      <w:r>
        <w:rPr>
          <w:rFonts w:ascii="Times New Roman" w:hAnsi="Times New Roman" w:cs="Times New Roman"/>
          <w:b/>
          <w:sz w:val="26"/>
          <w:szCs w:val="26"/>
        </w:rPr>
        <w:t>DESCRIBE ANY ASSURANCE OF CONFIDENTIALITY PROVIDED TO RESPONDENTS</w:t>
      </w:r>
    </w:p>
    <w:p w:rsidR="00582FF3" w:rsidRDefault="00582FF3" w14:paraId="0B97A6CC" w14:textId="77777777">
      <w:pPr>
        <w:spacing w:after="0" w:line="240" w:lineRule="auto"/>
        <w:rPr>
          <w:rFonts w:ascii="Times New Roman" w:hAnsi="Times New Roman" w:cs="Times New Roman"/>
          <w:sz w:val="26"/>
          <w:szCs w:val="26"/>
        </w:rPr>
      </w:pPr>
    </w:p>
    <w:p w:rsidR="00582FF3" w:rsidRDefault="00FF4970" w14:paraId="53E6A0FF"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Responding entities do not submit the in</w:t>
      </w:r>
      <w:r>
        <w:rPr>
          <w:rFonts w:ascii="Times New Roman" w:hAnsi="Times New Roman" w:cs="Times New Roman"/>
          <w:sz w:val="26"/>
          <w:szCs w:val="26"/>
        </w:rPr>
        <w:t xml:space="preserve">formation collections to FERC.  Rather, they submit the information to NERC, the Regional Entities, or maintain it internally.  Since there are no submissions made to FERC, FERC provides no specific provisions in order to protect confidentiality.  </w:t>
      </w:r>
    </w:p>
    <w:p w:rsidR="00582FF3" w:rsidRDefault="00582FF3" w14:paraId="51BB3C04" w14:textId="77777777">
      <w:pPr>
        <w:spacing w:after="0" w:line="240" w:lineRule="auto"/>
        <w:rPr>
          <w:rFonts w:ascii="Times New Roman" w:hAnsi="Times New Roman" w:cs="Times New Roman"/>
          <w:sz w:val="26"/>
          <w:szCs w:val="26"/>
        </w:rPr>
      </w:pPr>
    </w:p>
    <w:p w:rsidR="00582FF3" w:rsidRDefault="00FF4970" w14:paraId="16FA3614"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Accord</w:t>
      </w:r>
      <w:r>
        <w:rPr>
          <w:rFonts w:ascii="Times New Roman" w:hAnsi="Times New Roman" w:cs="Times New Roman"/>
          <w:sz w:val="26"/>
          <w:szCs w:val="26"/>
        </w:rPr>
        <w:t>ing to the NERC Rules of Procedure section 1502, “…a Receiving Entity shall keep in confidence and not copy, disclose, or distribute any Confidential Information or any part thereof without the permission of the Submitting Entity, except as otherwise legal</w:t>
      </w:r>
      <w:r>
        <w:rPr>
          <w:rFonts w:ascii="Times New Roman" w:hAnsi="Times New Roman" w:cs="Times New Roman"/>
          <w:sz w:val="26"/>
          <w:szCs w:val="26"/>
        </w:rPr>
        <w:t>ly required.”  This serves to protect confidential information submitted to or retained for NERC or Regional Entities.</w:t>
      </w:r>
    </w:p>
    <w:p w:rsidR="00582FF3" w:rsidRDefault="00582FF3" w14:paraId="17F961D4" w14:textId="77777777">
      <w:pPr>
        <w:spacing w:after="0" w:line="240" w:lineRule="auto"/>
        <w:rPr>
          <w:rFonts w:ascii="Times New Roman" w:hAnsi="Times New Roman" w:cs="Times New Roman"/>
          <w:sz w:val="26"/>
          <w:szCs w:val="26"/>
        </w:rPr>
      </w:pPr>
    </w:p>
    <w:p w:rsidR="00582FF3" w:rsidRDefault="00FF4970" w14:paraId="552ABD35" w14:textId="77777777">
      <w:pPr>
        <w:pStyle w:val="ListParagraph"/>
        <w:numPr>
          <w:ilvl w:val="0"/>
          <w:numId w:val="1"/>
        </w:num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PROVIDE ADDITIONAL JUSTIFICATION FOR ANY QUESTIONS OF A SENSITIVE NATURE, SUCH AS SEXUAL BEHAVIOR AND ATTITUDES, RELIGIOUS BELIEFS, AND OTHER MATTERS THAT ARE COMMONLY CONSIDERED PRIVATE </w:t>
      </w:r>
    </w:p>
    <w:p w:rsidR="00582FF3" w:rsidRDefault="00582FF3" w14:paraId="63A9871F" w14:textId="77777777">
      <w:pPr>
        <w:spacing w:after="0" w:line="240" w:lineRule="auto"/>
        <w:rPr>
          <w:rFonts w:ascii="Times New Roman" w:hAnsi="Times New Roman" w:cs="Times New Roman"/>
          <w:sz w:val="26"/>
          <w:szCs w:val="26"/>
        </w:rPr>
      </w:pPr>
    </w:p>
    <w:p w:rsidR="00582FF3" w:rsidRDefault="00FF4970" w14:paraId="79B1AD8A"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There are no questions of a sensitive nature that are considered pr</w:t>
      </w:r>
      <w:r>
        <w:rPr>
          <w:rFonts w:ascii="Times New Roman" w:hAnsi="Times New Roman" w:cs="Times New Roman"/>
          <w:sz w:val="26"/>
          <w:szCs w:val="26"/>
        </w:rPr>
        <w:t>ivate in FERC-725A(1B).</w:t>
      </w:r>
    </w:p>
    <w:p w:rsidR="00582FF3" w:rsidRDefault="00582FF3" w14:paraId="305B7BF3" w14:textId="77777777">
      <w:pPr>
        <w:spacing w:after="0" w:line="240" w:lineRule="auto"/>
        <w:rPr>
          <w:rFonts w:ascii="Times New Roman" w:hAnsi="Times New Roman" w:cs="Times New Roman"/>
          <w:sz w:val="26"/>
          <w:szCs w:val="26"/>
        </w:rPr>
      </w:pPr>
    </w:p>
    <w:p w:rsidR="00582FF3" w:rsidRDefault="00FF4970" w14:paraId="40AED3A6" w14:textId="77777777">
      <w:pPr>
        <w:pStyle w:val="ListParagraph"/>
        <w:numPr>
          <w:ilvl w:val="0"/>
          <w:numId w:val="1"/>
        </w:numPr>
        <w:spacing w:after="0" w:line="240" w:lineRule="auto"/>
        <w:rPr>
          <w:rFonts w:ascii="Times New Roman" w:hAnsi="Times New Roman" w:cs="Times New Roman"/>
          <w:b/>
          <w:sz w:val="26"/>
          <w:szCs w:val="26"/>
        </w:rPr>
      </w:pPr>
      <w:r>
        <w:rPr>
          <w:rFonts w:ascii="Times New Roman" w:hAnsi="Times New Roman" w:cs="Times New Roman"/>
          <w:b/>
          <w:sz w:val="26"/>
          <w:szCs w:val="26"/>
        </w:rPr>
        <w:t>ESTIMATED BURDEN OF COLLECTION OF INFORMATION</w:t>
      </w:r>
    </w:p>
    <w:p w:rsidR="00582FF3" w:rsidRDefault="00582FF3" w14:paraId="0DFA4DE4" w14:textId="77777777">
      <w:pPr>
        <w:spacing w:after="0" w:line="240" w:lineRule="auto"/>
        <w:rPr>
          <w:rFonts w:ascii="Times New Roman" w:hAnsi="Times New Roman" w:cs="Times New Roman"/>
          <w:sz w:val="26"/>
          <w:szCs w:val="26"/>
        </w:rPr>
      </w:pPr>
    </w:p>
    <w:p w:rsidR="00582FF3" w:rsidRDefault="00FF4970" w14:paraId="568ADB59"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r>
        <w:rPr>
          <w:rFonts w:ascii="Times New Roman" w:hAnsi="Times New Roman" w:eastAsia="Calibri" w:cs="Times New Roman"/>
          <w:bCs/>
          <w:sz w:val="26"/>
          <w:szCs w:val="26"/>
        </w:rPr>
        <w:t>The</w:t>
      </w:r>
      <w:r>
        <w:rPr>
          <w:rFonts w:ascii="Times New Roman" w:hAnsi="Times New Roman" w:eastAsia="Calibri" w:cs="Times New Roman"/>
          <w:b/>
          <w:sz w:val="26"/>
          <w:szCs w:val="26"/>
        </w:rPr>
        <w:t xml:space="preserve"> </w:t>
      </w:r>
      <w:r>
        <w:rPr>
          <w:rFonts w:ascii="Times New Roman" w:hAnsi="Times New Roman" w:eastAsia="Calibri" w:cs="Times New Roman"/>
          <w:sz w:val="26"/>
          <w:szCs w:val="26"/>
        </w:rPr>
        <w:t xml:space="preserve">TOP Reliability Standard has reduced in the number of respondents and will result in a small decrease in total burden for requirements imposed on entities to provide notification to operators of real-time situational awareness. </w:t>
      </w:r>
    </w:p>
    <w:p w:rsidR="00582FF3" w:rsidRDefault="00582FF3" w14:paraId="280DD607" w14:textId="77777777">
      <w:pPr>
        <w:widowControl w:val="0"/>
        <w:autoSpaceDE w:val="0"/>
        <w:autoSpaceDN w:val="0"/>
        <w:adjustRightInd w:val="0"/>
        <w:spacing w:after="0" w:line="240" w:lineRule="auto"/>
        <w:rPr>
          <w:rFonts w:ascii="Times New Roman" w:hAnsi="Times New Roman" w:eastAsia="Times New Roman" w:cs="Times New Roman"/>
          <w:b/>
          <w:sz w:val="26"/>
          <w:szCs w:val="26"/>
        </w:rPr>
      </w:pPr>
    </w:p>
    <w:p w:rsidR="00582FF3" w:rsidRDefault="00FF4970" w14:paraId="35D88536"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The estimated burdens and </w:t>
      </w:r>
      <w:r>
        <w:rPr>
          <w:rFonts w:ascii="Times New Roman" w:hAnsi="Times New Roman" w:eastAsia="Times New Roman" w:cs="Times New Roman"/>
          <w:sz w:val="26"/>
          <w:szCs w:val="26"/>
        </w:rPr>
        <w:t>costs related to the estimated changes in Docket No. IC20-6 are as follows:</w:t>
      </w:r>
    </w:p>
    <w:tbl>
      <w:tblPr>
        <w:tblW w:w="5535" w:type="pct"/>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47"/>
        <w:gridCol w:w="1451"/>
        <w:gridCol w:w="1070"/>
        <w:gridCol w:w="1000"/>
        <w:gridCol w:w="1170"/>
        <w:gridCol w:w="1261"/>
        <w:gridCol w:w="1526"/>
        <w:gridCol w:w="1625"/>
      </w:tblGrid>
      <w:tr w:rsidR="00582FF3" w14:paraId="5C98AD29" w14:textId="77777777">
        <w:trPr>
          <w:cantSplit/>
          <w:trHeight w:val="350"/>
        </w:trPr>
        <w:tc>
          <w:tcPr>
            <w:tcW w:w="5000" w:type="pct"/>
            <w:gridSpan w:val="8"/>
            <w:shd w:val="clear" w:color="auto" w:fill="D9D9D9" w:themeFill="background1" w:themeFillShade="D9"/>
            <w:vAlign w:val="center"/>
          </w:tcPr>
          <w:p w:rsidR="00582FF3" w:rsidRDefault="00FF4970" w14:paraId="4E7B4B13" w14:textId="77777777">
            <w:pPr>
              <w:keepNext/>
              <w:widowControl w:val="0"/>
              <w:autoSpaceDE w:val="0"/>
              <w:autoSpaceDN w:val="0"/>
              <w:adjustRightInd w:val="0"/>
              <w:spacing w:after="0" w:line="240"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lastRenderedPageBreak/>
              <w:t>FERC-725A(1B)</w:t>
            </w:r>
            <w:r>
              <w:rPr>
                <w:rFonts w:ascii="Times New Roman" w:hAnsi="Times New Roman" w:eastAsia="Calibri" w:cs="Times New Roman"/>
                <w:sz w:val="26"/>
                <w:szCs w:val="26"/>
                <w:vertAlign w:val="superscript"/>
              </w:rPr>
              <w:footnoteReference w:id="7"/>
            </w:r>
          </w:p>
          <w:p w:rsidR="00582FF3" w:rsidRDefault="00582FF3" w14:paraId="6AFBE54D" w14:textId="77777777">
            <w:pPr>
              <w:keepNext/>
              <w:widowControl w:val="0"/>
              <w:autoSpaceDE w:val="0"/>
              <w:autoSpaceDN w:val="0"/>
              <w:adjustRightInd w:val="0"/>
              <w:spacing w:after="0" w:line="240" w:lineRule="auto"/>
              <w:jc w:val="center"/>
              <w:rPr>
                <w:rFonts w:ascii="Times New Roman" w:hAnsi="Times New Roman" w:eastAsia="Calibri" w:cs="Times New Roman"/>
                <w:b/>
                <w:sz w:val="26"/>
                <w:szCs w:val="26"/>
              </w:rPr>
            </w:pPr>
          </w:p>
        </w:tc>
      </w:tr>
      <w:tr w:rsidR="00582FF3" w14:paraId="37A0AFD5" w14:textId="77777777">
        <w:trPr>
          <w:cantSplit/>
        </w:trPr>
        <w:tc>
          <w:tcPr>
            <w:tcW w:w="603" w:type="pct"/>
            <w:shd w:val="clear" w:color="auto" w:fill="D9D9D9"/>
            <w:vAlign w:val="bottom"/>
          </w:tcPr>
          <w:p w:rsidR="00582FF3" w:rsidRDefault="00FF4970" w14:paraId="6837F734" w14:textId="77777777">
            <w:pPr>
              <w:keepNext/>
              <w:widowControl w:val="0"/>
              <w:autoSpaceDE w:val="0"/>
              <w:autoSpaceDN w:val="0"/>
              <w:adjustRightInd w:val="0"/>
              <w:spacing w:after="0" w:line="240"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Entity</w:t>
            </w:r>
          </w:p>
        </w:tc>
        <w:tc>
          <w:tcPr>
            <w:tcW w:w="701" w:type="pct"/>
            <w:tcBorders>
              <w:bottom w:val="single" w:color="auto" w:sz="4" w:space="0"/>
            </w:tcBorders>
            <w:shd w:val="clear" w:color="auto" w:fill="D9D9D9"/>
            <w:vAlign w:val="bottom"/>
          </w:tcPr>
          <w:p w:rsidR="00582FF3" w:rsidRDefault="00FF4970" w14:paraId="461362A7" w14:textId="77777777">
            <w:pPr>
              <w:keepNext/>
              <w:widowControl w:val="0"/>
              <w:autoSpaceDE w:val="0"/>
              <w:autoSpaceDN w:val="0"/>
              <w:adjustRightInd w:val="0"/>
              <w:spacing w:after="0" w:line="240" w:lineRule="auto"/>
              <w:jc w:val="center"/>
              <w:rPr>
                <w:rFonts w:ascii="Times New Roman" w:hAnsi="Times New Roman" w:eastAsia="Calibri" w:cs="Times New Roman"/>
                <w:b/>
                <w:sz w:val="26"/>
                <w:szCs w:val="26"/>
              </w:rPr>
            </w:pPr>
            <w:r>
              <w:rPr>
                <w:rFonts w:ascii="Times New Roman" w:hAnsi="Times New Roman" w:eastAsia="Times New Roman" w:cs="Times New Roman"/>
                <w:b/>
                <w:sz w:val="26"/>
                <w:szCs w:val="26"/>
              </w:rPr>
              <w:t>Requirements &amp; Period</w:t>
            </w:r>
          </w:p>
        </w:tc>
        <w:tc>
          <w:tcPr>
            <w:tcW w:w="517" w:type="pct"/>
            <w:tcBorders>
              <w:bottom w:val="single" w:color="auto" w:sz="4" w:space="0"/>
            </w:tcBorders>
            <w:shd w:val="clear" w:color="auto" w:fill="D9D9D9"/>
            <w:vAlign w:val="bottom"/>
          </w:tcPr>
          <w:p w:rsidR="00582FF3" w:rsidRDefault="00FF4970" w14:paraId="70BC758F" w14:textId="77777777">
            <w:pPr>
              <w:keepNext/>
              <w:widowControl w:val="0"/>
              <w:autoSpaceDE w:val="0"/>
              <w:autoSpaceDN w:val="0"/>
              <w:adjustRightInd w:val="0"/>
              <w:spacing w:after="0" w:line="240"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No. of Re</w:t>
            </w:r>
          </w:p>
          <w:p w:rsidR="00582FF3" w:rsidRDefault="00FF4970" w14:paraId="08F6E770" w14:textId="77777777">
            <w:pPr>
              <w:keepNext/>
              <w:widowControl w:val="0"/>
              <w:autoSpaceDE w:val="0"/>
              <w:autoSpaceDN w:val="0"/>
              <w:adjustRightInd w:val="0"/>
              <w:spacing w:after="0" w:line="240" w:lineRule="auto"/>
              <w:jc w:val="center"/>
              <w:rPr>
                <w:rFonts w:ascii="Times New Roman" w:hAnsi="Times New Roman" w:eastAsia="Calibri" w:cs="Times New Roman"/>
                <w:b/>
                <w:sz w:val="26"/>
                <w:szCs w:val="26"/>
              </w:rPr>
            </w:pPr>
            <w:proofErr w:type="spellStart"/>
            <w:r>
              <w:rPr>
                <w:rFonts w:ascii="Times New Roman" w:hAnsi="Times New Roman" w:eastAsia="Calibri" w:cs="Times New Roman"/>
                <w:b/>
                <w:sz w:val="26"/>
                <w:szCs w:val="26"/>
              </w:rPr>
              <w:t>spon</w:t>
            </w:r>
            <w:proofErr w:type="spellEnd"/>
          </w:p>
          <w:p w:rsidR="00582FF3" w:rsidRDefault="00FF4970" w14:paraId="03196A2A" w14:textId="77777777">
            <w:pPr>
              <w:keepNext/>
              <w:widowControl w:val="0"/>
              <w:autoSpaceDE w:val="0"/>
              <w:autoSpaceDN w:val="0"/>
              <w:adjustRightInd w:val="0"/>
              <w:spacing w:after="0" w:line="240"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dents</w:t>
            </w:r>
            <w:r>
              <w:rPr>
                <w:rFonts w:ascii="Times New Roman" w:hAnsi="Times New Roman" w:eastAsia="Calibri" w:cs="Times New Roman"/>
                <w:b/>
                <w:sz w:val="26"/>
                <w:szCs w:val="26"/>
                <w:vertAlign w:val="superscript"/>
              </w:rPr>
              <w:footnoteReference w:id="8"/>
            </w:r>
            <w:r>
              <w:rPr>
                <w:rFonts w:ascii="Times New Roman" w:hAnsi="Times New Roman" w:eastAsia="Calibri" w:cs="Times New Roman"/>
                <w:b/>
                <w:sz w:val="26"/>
                <w:szCs w:val="26"/>
              </w:rPr>
              <w:br/>
              <w:t>(1)</w:t>
            </w:r>
          </w:p>
        </w:tc>
        <w:tc>
          <w:tcPr>
            <w:tcW w:w="483" w:type="pct"/>
            <w:tcBorders>
              <w:bottom w:val="single" w:color="auto" w:sz="4" w:space="0"/>
            </w:tcBorders>
            <w:shd w:val="clear" w:color="auto" w:fill="D9D9D9"/>
            <w:vAlign w:val="bottom"/>
          </w:tcPr>
          <w:p w:rsidR="00582FF3" w:rsidRDefault="00FF4970" w14:paraId="010A82C3" w14:textId="77777777">
            <w:pPr>
              <w:keepNext/>
              <w:widowControl w:val="0"/>
              <w:autoSpaceDE w:val="0"/>
              <w:autoSpaceDN w:val="0"/>
              <w:adjustRightInd w:val="0"/>
              <w:spacing w:after="0" w:line="240"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Annual No. of Responses per Respondent</w:t>
            </w:r>
          </w:p>
          <w:p w:rsidR="00582FF3" w:rsidRDefault="00FF4970" w14:paraId="0B471A7C" w14:textId="77777777">
            <w:pPr>
              <w:keepNext/>
              <w:widowControl w:val="0"/>
              <w:autoSpaceDE w:val="0"/>
              <w:autoSpaceDN w:val="0"/>
              <w:adjustRightInd w:val="0"/>
              <w:spacing w:after="0" w:line="240"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(2)</w:t>
            </w:r>
          </w:p>
        </w:tc>
        <w:tc>
          <w:tcPr>
            <w:tcW w:w="565" w:type="pct"/>
            <w:tcBorders>
              <w:bottom w:val="single" w:color="auto" w:sz="4" w:space="0"/>
            </w:tcBorders>
            <w:shd w:val="clear" w:color="auto" w:fill="D9D9D9"/>
            <w:vAlign w:val="bottom"/>
          </w:tcPr>
          <w:p w:rsidR="00582FF3" w:rsidRDefault="00FF4970" w14:paraId="41CFAE87" w14:textId="77777777">
            <w:pPr>
              <w:keepNext/>
              <w:widowControl w:val="0"/>
              <w:autoSpaceDE w:val="0"/>
              <w:autoSpaceDN w:val="0"/>
              <w:adjustRightInd w:val="0"/>
              <w:spacing w:after="0" w:line="240"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Total No. of Responses (1)*(2)=(3)</w:t>
            </w:r>
          </w:p>
        </w:tc>
        <w:tc>
          <w:tcPr>
            <w:tcW w:w="609" w:type="pct"/>
            <w:tcBorders>
              <w:bottom w:val="single" w:color="auto" w:sz="4" w:space="0"/>
            </w:tcBorders>
            <w:shd w:val="clear" w:color="auto" w:fill="D9D9D9"/>
            <w:vAlign w:val="bottom"/>
          </w:tcPr>
          <w:p w:rsidR="00582FF3" w:rsidRDefault="00FF4970" w14:paraId="5767538E" w14:textId="77777777">
            <w:pPr>
              <w:keepNext/>
              <w:widowControl w:val="0"/>
              <w:autoSpaceDE w:val="0"/>
              <w:autoSpaceDN w:val="0"/>
              <w:adjustRightInd w:val="0"/>
              <w:spacing w:after="0" w:line="240"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 xml:space="preserve">Average Burden &amp; Cost Per </w:t>
            </w:r>
            <w:r>
              <w:rPr>
                <w:rFonts w:ascii="Times New Roman" w:hAnsi="Times New Roman" w:eastAsia="Calibri" w:cs="Times New Roman"/>
                <w:b/>
                <w:sz w:val="26"/>
                <w:szCs w:val="26"/>
              </w:rPr>
              <w:t>Response</w:t>
            </w:r>
            <w:r>
              <w:rPr>
                <w:rFonts w:ascii="Times New Roman" w:hAnsi="Times New Roman" w:eastAsia="Calibri" w:cs="Times New Roman"/>
                <w:b/>
                <w:sz w:val="26"/>
                <w:szCs w:val="26"/>
                <w:vertAlign w:val="superscript"/>
              </w:rPr>
              <w:footnoteReference w:id="9"/>
            </w:r>
          </w:p>
          <w:p w:rsidR="00582FF3" w:rsidRDefault="00FF4970" w14:paraId="31FD4AD3" w14:textId="77777777">
            <w:pPr>
              <w:keepNext/>
              <w:widowControl w:val="0"/>
              <w:autoSpaceDE w:val="0"/>
              <w:autoSpaceDN w:val="0"/>
              <w:adjustRightInd w:val="0"/>
              <w:spacing w:after="0" w:line="240"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(4)</w:t>
            </w:r>
          </w:p>
        </w:tc>
        <w:tc>
          <w:tcPr>
            <w:tcW w:w="737" w:type="pct"/>
            <w:tcBorders>
              <w:bottom w:val="single" w:color="auto" w:sz="4" w:space="0"/>
            </w:tcBorders>
            <w:shd w:val="clear" w:color="auto" w:fill="D9D9D9"/>
            <w:vAlign w:val="bottom"/>
          </w:tcPr>
          <w:p w:rsidR="00582FF3" w:rsidRDefault="00FF4970" w14:paraId="5D2C4B21" w14:textId="77777777">
            <w:pPr>
              <w:keepNext/>
              <w:widowControl w:val="0"/>
              <w:autoSpaceDE w:val="0"/>
              <w:autoSpaceDN w:val="0"/>
              <w:adjustRightInd w:val="0"/>
              <w:spacing w:after="0" w:line="240"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Total Annual Burden Hours &amp; Total Annual Cost</w:t>
            </w:r>
          </w:p>
          <w:p w:rsidR="00582FF3" w:rsidRDefault="00FF4970" w14:paraId="074B1FF6" w14:textId="77777777">
            <w:pPr>
              <w:keepNext/>
              <w:widowControl w:val="0"/>
              <w:autoSpaceDE w:val="0"/>
              <w:autoSpaceDN w:val="0"/>
              <w:adjustRightInd w:val="0"/>
              <w:spacing w:after="0" w:line="240"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(3)*(4)=(5)</w:t>
            </w:r>
          </w:p>
        </w:tc>
        <w:tc>
          <w:tcPr>
            <w:tcW w:w="784" w:type="pct"/>
            <w:tcBorders>
              <w:bottom w:val="single" w:color="auto" w:sz="4" w:space="0"/>
            </w:tcBorders>
            <w:shd w:val="clear" w:color="auto" w:fill="D9D9D9"/>
            <w:vAlign w:val="bottom"/>
          </w:tcPr>
          <w:p w:rsidR="00582FF3" w:rsidRDefault="00FF4970" w14:paraId="6815D437" w14:textId="77777777">
            <w:pPr>
              <w:keepNext/>
              <w:widowControl w:val="0"/>
              <w:autoSpaceDE w:val="0"/>
              <w:autoSpaceDN w:val="0"/>
              <w:adjustRightInd w:val="0"/>
              <w:spacing w:after="0" w:line="240"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Cost per Respondent</w:t>
            </w:r>
          </w:p>
          <w:p w:rsidR="00582FF3" w:rsidRDefault="00FF4970" w14:paraId="287B367F" w14:textId="77777777">
            <w:pPr>
              <w:keepNext/>
              <w:widowControl w:val="0"/>
              <w:autoSpaceDE w:val="0"/>
              <w:autoSpaceDN w:val="0"/>
              <w:adjustRightInd w:val="0"/>
              <w:spacing w:after="0" w:line="240"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 xml:space="preserve"> ($)</w:t>
            </w:r>
          </w:p>
          <w:p w:rsidR="00582FF3" w:rsidRDefault="00FF4970" w14:paraId="19E66AEC" w14:textId="77777777">
            <w:pPr>
              <w:keepNext/>
              <w:widowControl w:val="0"/>
              <w:autoSpaceDE w:val="0"/>
              <w:autoSpaceDN w:val="0"/>
              <w:adjustRightInd w:val="0"/>
              <w:spacing w:after="0" w:line="240"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(5)÷(1)</w:t>
            </w:r>
          </w:p>
        </w:tc>
      </w:tr>
      <w:tr w:rsidR="00582FF3" w14:paraId="0387E977" w14:textId="77777777">
        <w:trPr>
          <w:trHeight w:val="374"/>
        </w:trPr>
        <w:tc>
          <w:tcPr>
            <w:tcW w:w="603" w:type="pct"/>
            <w:vMerge w:val="restart"/>
            <w:tcBorders>
              <w:right w:val="single" w:color="auto" w:sz="4" w:space="0"/>
            </w:tcBorders>
            <w:vAlign w:val="center"/>
          </w:tcPr>
          <w:p w:rsidR="00582FF3" w:rsidRDefault="00FF4970" w14:paraId="2A865EE3" w14:textId="77777777">
            <w:pPr>
              <w:keepNext/>
              <w:widowControl w:val="0"/>
              <w:autoSpaceDE w:val="0"/>
              <w:autoSpaceDN w:val="0"/>
              <w:adjustRightInd w:val="0"/>
              <w:spacing w:after="0" w:line="240"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BA</w:t>
            </w:r>
            <w:r>
              <w:rPr>
                <w:rFonts w:ascii="Times New Roman" w:hAnsi="Times New Roman" w:eastAsia="Times New Roman" w:cs="Times New Roman"/>
                <w:b/>
                <w:sz w:val="26"/>
                <w:szCs w:val="26"/>
                <w:vertAlign w:val="superscript"/>
              </w:rPr>
              <w:footnoteReference w:id="10"/>
            </w:r>
          </w:p>
        </w:tc>
        <w:tc>
          <w:tcPr>
            <w:tcW w:w="701" w:type="pct"/>
            <w:tcBorders>
              <w:top w:val="single" w:color="auto" w:sz="4" w:space="0"/>
              <w:left w:val="single" w:color="auto" w:sz="4" w:space="0"/>
              <w:bottom w:val="nil"/>
              <w:right w:val="single" w:color="auto" w:sz="4" w:space="0"/>
            </w:tcBorders>
            <w:vAlign w:val="center"/>
          </w:tcPr>
          <w:p w:rsidR="00582FF3" w:rsidRDefault="00582FF3" w14:paraId="7FF30281" w14:textId="77777777">
            <w:pPr>
              <w:keepNext/>
              <w:widowControl w:val="0"/>
              <w:autoSpaceDE w:val="0"/>
              <w:autoSpaceDN w:val="0"/>
              <w:adjustRightInd w:val="0"/>
              <w:spacing w:after="0" w:line="240" w:lineRule="auto"/>
              <w:rPr>
                <w:rFonts w:ascii="Times New Roman" w:hAnsi="Times New Roman" w:eastAsia="Times New Roman" w:cs="Times New Roman"/>
                <w:b/>
                <w:sz w:val="26"/>
                <w:szCs w:val="26"/>
              </w:rPr>
            </w:pPr>
          </w:p>
        </w:tc>
        <w:tc>
          <w:tcPr>
            <w:tcW w:w="517" w:type="pct"/>
            <w:tcBorders>
              <w:top w:val="single" w:color="auto" w:sz="4" w:space="0"/>
              <w:left w:val="single" w:color="auto" w:sz="4" w:space="0"/>
              <w:bottom w:val="nil"/>
              <w:right w:val="single" w:color="auto" w:sz="4" w:space="0"/>
            </w:tcBorders>
            <w:vAlign w:val="bottom"/>
          </w:tcPr>
          <w:p w:rsidR="00582FF3" w:rsidRDefault="00582FF3" w14:paraId="28B3F91D"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p>
        </w:tc>
        <w:tc>
          <w:tcPr>
            <w:tcW w:w="483" w:type="pct"/>
            <w:tcBorders>
              <w:top w:val="single" w:color="auto" w:sz="4" w:space="0"/>
              <w:left w:val="single" w:color="auto" w:sz="4" w:space="0"/>
              <w:bottom w:val="nil"/>
              <w:right w:val="single" w:color="auto" w:sz="4" w:space="0"/>
            </w:tcBorders>
            <w:vAlign w:val="bottom"/>
          </w:tcPr>
          <w:p w:rsidR="00582FF3" w:rsidRDefault="00582FF3" w14:paraId="1B6896E4"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p>
        </w:tc>
        <w:tc>
          <w:tcPr>
            <w:tcW w:w="565" w:type="pct"/>
            <w:tcBorders>
              <w:top w:val="single" w:color="auto" w:sz="4" w:space="0"/>
              <w:left w:val="single" w:color="auto" w:sz="4" w:space="0"/>
              <w:bottom w:val="nil"/>
              <w:right w:val="single" w:color="auto" w:sz="4" w:space="0"/>
            </w:tcBorders>
            <w:vAlign w:val="bottom"/>
          </w:tcPr>
          <w:p w:rsidR="00582FF3" w:rsidRDefault="00582FF3" w14:paraId="16717C00"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p>
        </w:tc>
        <w:tc>
          <w:tcPr>
            <w:tcW w:w="609" w:type="pct"/>
            <w:tcBorders>
              <w:top w:val="single" w:color="auto" w:sz="4" w:space="0"/>
              <w:left w:val="single" w:color="auto" w:sz="4" w:space="0"/>
              <w:bottom w:val="nil"/>
              <w:right w:val="single" w:color="auto" w:sz="4" w:space="0"/>
            </w:tcBorders>
            <w:vAlign w:val="bottom"/>
          </w:tcPr>
          <w:p w:rsidR="00582FF3" w:rsidRDefault="00582FF3" w14:paraId="1AAED74E"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p>
        </w:tc>
        <w:tc>
          <w:tcPr>
            <w:tcW w:w="737" w:type="pct"/>
            <w:tcBorders>
              <w:top w:val="single" w:color="auto" w:sz="4" w:space="0"/>
              <w:left w:val="single" w:color="auto" w:sz="4" w:space="0"/>
              <w:bottom w:val="nil"/>
              <w:right w:val="single" w:color="auto" w:sz="4" w:space="0"/>
            </w:tcBorders>
            <w:vAlign w:val="bottom"/>
          </w:tcPr>
          <w:p w:rsidR="00582FF3" w:rsidRDefault="00582FF3" w14:paraId="408693DE"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p>
        </w:tc>
        <w:tc>
          <w:tcPr>
            <w:tcW w:w="784" w:type="pct"/>
            <w:tcBorders>
              <w:top w:val="single" w:color="auto" w:sz="4" w:space="0"/>
              <w:left w:val="single" w:color="auto" w:sz="4" w:space="0"/>
              <w:bottom w:val="nil"/>
              <w:right w:val="single" w:color="auto" w:sz="4" w:space="0"/>
            </w:tcBorders>
            <w:vAlign w:val="bottom"/>
          </w:tcPr>
          <w:p w:rsidR="00582FF3" w:rsidRDefault="00582FF3" w14:paraId="05E37EE6"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p>
        </w:tc>
      </w:tr>
      <w:tr w:rsidR="00582FF3" w14:paraId="5FAB34FA" w14:textId="77777777">
        <w:trPr>
          <w:trHeight w:val="374"/>
        </w:trPr>
        <w:tc>
          <w:tcPr>
            <w:tcW w:w="603" w:type="pct"/>
            <w:vMerge/>
            <w:vAlign w:val="center"/>
          </w:tcPr>
          <w:p w:rsidR="00582FF3" w:rsidRDefault="00582FF3" w14:paraId="10143EA5" w14:textId="77777777">
            <w:pPr>
              <w:keepNext/>
              <w:widowControl w:val="0"/>
              <w:autoSpaceDE w:val="0"/>
              <w:autoSpaceDN w:val="0"/>
              <w:adjustRightInd w:val="0"/>
              <w:spacing w:after="0" w:line="240" w:lineRule="auto"/>
              <w:jc w:val="center"/>
              <w:rPr>
                <w:rFonts w:ascii="Times New Roman" w:hAnsi="Times New Roman" w:eastAsia="Times New Roman" w:cs="Times New Roman"/>
                <w:b/>
                <w:sz w:val="26"/>
                <w:szCs w:val="26"/>
              </w:rPr>
            </w:pPr>
          </w:p>
        </w:tc>
        <w:tc>
          <w:tcPr>
            <w:tcW w:w="701" w:type="pct"/>
            <w:tcBorders>
              <w:top w:val="nil"/>
              <w:bottom w:val="single" w:color="auto" w:sz="4" w:space="0"/>
              <w:right w:val="single" w:color="auto" w:sz="4" w:space="0"/>
            </w:tcBorders>
            <w:vAlign w:val="center"/>
          </w:tcPr>
          <w:p w:rsidR="00582FF3" w:rsidRDefault="00FF4970" w14:paraId="73B3ED32" w14:textId="77777777">
            <w:pPr>
              <w:keepNext/>
              <w:widowControl w:val="0"/>
              <w:autoSpaceDE w:val="0"/>
              <w:autoSpaceDN w:val="0"/>
              <w:adjustRightInd w:val="0"/>
              <w:spacing w:after="0" w:line="240" w:lineRule="auto"/>
              <w:rPr>
                <w:rFonts w:ascii="Times New Roman" w:hAnsi="Times New Roman" w:eastAsia="Times New Roman" w:cs="Times New Roman"/>
                <w:b/>
                <w:sz w:val="26"/>
                <w:szCs w:val="26"/>
              </w:rPr>
            </w:pPr>
            <w:r>
              <w:rPr>
                <w:rFonts w:ascii="Times New Roman" w:hAnsi="Times New Roman" w:eastAsia="Times New Roman" w:cs="Times New Roman"/>
                <w:b/>
                <w:sz w:val="26"/>
                <w:szCs w:val="26"/>
              </w:rPr>
              <w:t>Annual reporting</w:t>
            </w:r>
          </w:p>
          <w:p w:rsidR="00582FF3" w:rsidRDefault="00582FF3" w14:paraId="589F8C47" w14:textId="77777777">
            <w:pPr>
              <w:keepNext/>
              <w:widowControl w:val="0"/>
              <w:autoSpaceDE w:val="0"/>
              <w:autoSpaceDN w:val="0"/>
              <w:adjustRightInd w:val="0"/>
              <w:spacing w:after="0" w:line="240" w:lineRule="auto"/>
              <w:rPr>
                <w:rFonts w:ascii="Times New Roman" w:hAnsi="Times New Roman" w:eastAsia="Times New Roman" w:cs="Times New Roman"/>
                <w:b/>
                <w:sz w:val="26"/>
                <w:szCs w:val="26"/>
              </w:rPr>
            </w:pPr>
          </w:p>
        </w:tc>
        <w:tc>
          <w:tcPr>
            <w:tcW w:w="517" w:type="pct"/>
            <w:tcBorders>
              <w:top w:val="nil"/>
              <w:left w:val="single" w:color="auto" w:sz="4" w:space="0"/>
              <w:bottom w:val="single" w:color="auto" w:sz="4" w:space="0"/>
              <w:right w:val="single" w:color="auto" w:sz="4" w:space="0"/>
            </w:tcBorders>
            <w:vAlign w:val="bottom"/>
          </w:tcPr>
          <w:p w:rsidR="00582FF3" w:rsidRDefault="00582FF3" w14:paraId="7BD55608"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p>
          <w:p w:rsidR="00582FF3" w:rsidRDefault="00FF4970" w14:paraId="425273BB"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98</w:t>
            </w:r>
          </w:p>
        </w:tc>
        <w:tc>
          <w:tcPr>
            <w:tcW w:w="483" w:type="pct"/>
            <w:tcBorders>
              <w:top w:val="nil"/>
              <w:left w:val="single" w:color="auto" w:sz="4" w:space="0"/>
              <w:bottom w:val="single" w:color="auto" w:sz="4" w:space="0"/>
              <w:right w:val="single" w:color="auto" w:sz="4" w:space="0"/>
            </w:tcBorders>
            <w:vAlign w:val="bottom"/>
          </w:tcPr>
          <w:p w:rsidR="00582FF3" w:rsidRDefault="00582FF3" w14:paraId="702EAC77"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p>
          <w:p w:rsidR="00582FF3" w:rsidRDefault="00FF4970" w14:paraId="499B41C6"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1</w:t>
            </w:r>
          </w:p>
        </w:tc>
        <w:tc>
          <w:tcPr>
            <w:tcW w:w="565" w:type="pct"/>
            <w:tcBorders>
              <w:top w:val="nil"/>
              <w:left w:val="single" w:color="auto" w:sz="4" w:space="0"/>
              <w:bottom w:val="single" w:color="auto" w:sz="4" w:space="0"/>
              <w:right w:val="single" w:color="auto" w:sz="4" w:space="0"/>
            </w:tcBorders>
            <w:vAlign w:val="bottom"/>
          </w:tcPr>
          <w:p w:rsidR="00582FF3" w:rsidRDefault="00582FF3" w14:paraId="64371C2C"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p>
          <w:p w:rsidR="00582FF3" w:rsidRDefault="00FF4970" w14:paraId="3140BC9F"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98 </w:t>
            </w:r>
          </w:p>
        </w:tc>
        <w:tc>
          <w:tcPr>
            <w:tcW w:w="609" w:type="pct"/>
            <w:tcBorders>
              <w:top w:val="nil"/>
              <w:left w:val="single" w:color="auto" w:sz="4" w:space="0"/>
              <w:bottom w:val="single" w:color="auto" w:sz="4" w:space="0"/>
              <w:right w:val="single" w:color="auto" w:sz="4" w:space="0"/>
            </w:tcBorders>
            <w:vAlign w:val="bottom"/>
          </w:tcPr>
          <w:p w:rsidR="00582FF3" w:rsidRDefault="00FF4970" w14:paraId="1B90E42C"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42 hrs.; </w:t>
            </w:r>
          </w:p>
          <w:p w:rsidR="00582FF3" w:rsidRDefault="00582FF3" w14:paraId="208E3F9B"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p>
          <w:p w:rsidR="00582FF3" w:rsidRDefault="00FF4970" w14:paraId="0C2AEC10"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$2,863.14</w:t>
            </w:r>
          </w:p>
        </w:tc>
        <w:tc>
          <w:tcPr>
            <w:tcW w:w="737" w:type="pct"/>
            <w:tcBorders>
              <w:top w:val="nil"/>
              <w:left w:val="single" w:color="auto" w:sz="4" w:space="0"/>
              <w:bottom w:val="single" w:color="auto" w:sz="4" w:space="0"/>
              <w:right w:val="single" w:color="auto" w:sz="4" w:space="0"/>
            </w:tcBorders>
            <w:vAlign w:val="bottom"/>
          </w:tcPr>
          <w:p w:rsidR="00582FF3" w:rsidRDefault="00FF4970" w14:paraId="65AED19D"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4,116 hrs.;</w:t>
            </w:r>
          </w:p>
          <w:p w:rsidR="00582FF3" w:rsidRDefault="00582FF3" w14:paraId="7EAC6FE3"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p>
          <w:p w:rsidR="00582FF3" w:rsidRDefault="00FF4970" w14:paraId="384D6155"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$280,587.72</w:t>
            </w:r>
          </w:p>
        </w:tc>
        <w:tc>
          <w:tcPr>
            <w:tcW w:w="784" w:type="pct"/>
            <w:tcBorders>
              <w:top w:val="nil"/>
              <w:left w:val="single" w:color="auto" w:sz="4" w:space="0"/>
              <w:bottom w:val="single" w:color="auto" w:sz="4" w:space="0"/>
            </w:tcBorders>
            <w:vAlign w:val="bottom"/>
          </w:tcPr>
          <w:p w:rsidR="00582FF3" w:rsidRDefault="00582FF3" w14:paraId="0B9BDC1D"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p>
          <w:p w:rsidR="00582FF3" w:rsidRDefault="00582FF3" w14:paraId="7557FD07"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p>
          <w:p w:rsidR="00582FF3" w:rsidRDefault="00FF4970" w14:paraId="4B92F419"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$2,863.14</w:t>
            </w:r>
          </w:p>
        </w:tc>
      </w:tr>
      <w:tr w:rsidR="00582FF3" w14:paraId="13088985" w14:textId="77777777">
        <w:trPr>
          <w:trHeight w:val="374"/>
        </w:trPr>
        <w:tc>
          <w:tcPr>
            <w:tcW w:w="603" w:type="pct"/>
            <w:vMerge w:val="restart"/>
            <w:tcBorders>
              <w:right w:val="single" w:color="auto" w:sz="4" w:space="0"/>
            </w:tcBorders>
            <w:vAlign w:val="center"/>
          </w:tcPr>
          <w:p w:rsidR="00582FF3" w:rsidRDefault="00FF4970" w14:paraId="461C491D" w14:textId="77777777">
            <w:pPr>
              <w:keepNext/>
              <w:widowControl w:val="0"/>
              <w:autoSpaceDE w:val="0"/>
              <w:autoSpaceDN w:val="0"/>
              <w:adjustRightInd w:val="0"/>
              <w:spacing w:after="0" w:line="240"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TOP</w:t>
            </w:r>
            <w:r>
              <w:rPr>
                <w:rFonts w:ascii="Times New Roman" w:hAnsi="Times New Roman" w:eastAsia="Times New Roman" w:cs="Times New Roman"/>
                <w:b/>
                <w:sz w:val="26"/>
                <w:szCs w:val="26"/>
                <w:vertAlign w:val="superscript"/>
              </w:rPr>
              <w:footnoteReference w:id="11"/>
            </w:r>
          </w:p>
        </w:tc>
        <w:tc>
          <w:tcPr>
            <w:tcW w:w="701" w:type="pct"/>
            <w:tcBorders>
              <w:top w:val="single" w:color="auto" w:sz="4" w:space="0"/>
              <w:left w:val="single" w:color="auto" w:sz="4" w:space="0"/>
              <w:bottom w:val="nil"/>
            </w:tcBorders>
            <w:vAlign w:val="center"/>
          </w:tcPr>
          <w:p w:rsidR="00582FF3" w:rsidRDefault="00582FF3" w14:paraId="462DC5C3" w14:textId="77777777">
            <w:pPr>
              <w:keepNext/>
              <w:widowControl w:val="0"/>
              <w:autoSpaceDE w:val="0"/>
              <w:autoSpaceDN w:val="0"/>
              <w:adjustRightInd w:val="0"/>
              <w:spacing w:after="0" w:line="240" w:lineRule="auto"/>
              <w:rPr>
                <w:rFonts w:ascii="Times New Roman" w:hAnsi="Times New Roman" w:eastAsia="Times New Roman" w:cs="Times New Roman"/>
                <w:b/>
                <w:sz w:val="26"/>
                <w:szCs w:val="26"/>
              </w:rPr>
            </w:pPr>
          </w:p>
        </w:tc>
        <w:tc>
          <w:tcPr>
            <w:tcW w:w="517" w:type="pct"/>
            <w:tcBorders>
              <w:top w:val="single" w:color="auto" w:sz="4" w:space="0"/>
              <w:bottom w:val="nil"/>
            </w:tcBorders>
            <w:vAlign w:val="bottom"/>
          </w:tcPr>
          <w:p w:rsidR="00582FF3" w:rsidRDefault="00582FF3" w14:paraId="650896B7"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p>
        </w:tc>
        <w:tc>
          <w:tcPr>
            <w:tcW w:w="483" w:type="pct"/>
            <w:tcBorders>
              <w:top w:val="single" w:color="auto" w:sz="4" w:space="0"/>
              <w:bottom w:val="nil"/>
            </w:tcBorders>
            <w:vAlign w:val="bottom"/>
          </w:tcPr>
          <w:p w:rsidR="00582FF3" w:rsidRDefault="00582FF3" w14:paraId="158AD242"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p>
        </w:tc>
        <w:tc>
          <w:tcPr>
            <w:tcW w:w="565" w:type="pct"/>
            <w:tcBorders>
              <w:top w:val="single" w:color="auto" w:sz="4" w:space="0"/>
              <w:bottom w:val="nil"/>
            </w:tcBorders>
            <w:vAlign w:val="bottom"/>
          </w:tcPr>
          <w:p w:rsidR="00582FF3" w:rsidRDefault="00582FF3" w14:paraId="09B0F769"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p>
        </w:tc>
        <w:tc>
          <w:tcPr>
            <w:tcW w:w="609" w:type="pct"/>
            <w:tcBorders>
              <w:top w:val="single" w:color="auto" w:sz="4" w:space="0"/>
              <w:bottom w:val="nil"/>
            </w:tcBorders>
            <w:vAlign w:val="bottom"/>
          </w:tcPr>
          <w:p w:rsidR="00582FF3" w:rsidRDefault="00582FF3" w14:paraId="65102AEB"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p>
        </w:tc>
        <w:tc>
          <w:tcPr>
            <w:tcW w:w="737" w:type="pct"/>
            <w:tcBorders>
              <w:top w:val="single" w:color="auto" w:sz="4" w:space="0"/>
              <w:bottom w:val="nil"/>
            </w:tcBorders>
            <w:vAlign w:val="bottom"/>
          </w:tcPr>
          <w:p w:rsidR="00582FF3" w:rsidRDefault="00582FF3" w14:paraId="384B66EB"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p>
        </w:tc>
        <w:tc>
          <w:tcPr>
            <w:tcW w:w="784" w:type="pct"/>
            <w:tcBorders>
              <w:top w:val="single" w:color="auto" w:sz="4" w:space="0"/>
              <w:bottom w:val="nil"/>
              <w:right w:val="single" w:color="auto" w:sz="4" w:space="0"/>
            </w:tcBorders>
            <w:vAlign w:val="bottom"/>
          </w:tcPr>
          <w:p w:rsidR="00582FF3" w:rsidRDefault="00582FF3" w14:paraId="3FB80E47"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p>
        </w:tc>
      </w:tr>
      <w:tr w:rsidR="00582FF3" w14:paraId="000970F0" w14:textId="77777777">
        <w:trPr>
          <w:trHeight w:val="1502"/>
        </w:trPr>
        <w:tc>
          <w:tcPr>
            <w:tcW w:w="603" w:type="pct"/>
            <w:vMerge/>
            <w:vAlign w:val="center"/>
          </w:tcPr>
          <w:p w:rsidR="00582FF3" w:rsidRDefault="00582FF3" w14:paraId="499070FB" w14:textId="77777777">
            <w:pPr>
              <w:keepNext/>
              <w:widowControl w:val="0"/>
              <w:autoSpaceDE w:val="0"/>
              <w:autoSpaceDN w:val="0"/>
              <w:adjustRightInd w:val="0"/>
              <w:spacing w:after="0" w:line="240" w:lineRule="auto"/>
              <w:jc w:val="center"/>
              <w:rPr>
                <w:rFonts w:ascii="Times New Roman" w:hAnsi="Times New Roman" w:eastAsia="Times New Roman" w:cs="Times New Roman"/>
                <w:b/>
                <w:sz w:val="26"/>
                <w:szCs w:val="26"/>
              </w:rPr>
            </w:pPr>
          </w:p>
        </w:tc>
        <w:tc>
          <w:tcPr>
            <w:tcW w:w="701" w:type="pct"/>
            <w:tcBorders>
              <w:top w:val="nil"/>
            </w:tcBorders>
            <w:vAlign w:val="center"/>
          </w:tcPr>
          <w:p w:rsidR="00582FF3" w:rsidRDefault="00582FF3" w14:paraId="454B39D4" w14:textId="77777777">
            <w:pPr>
              <w:keepNext/>
              <w:widowControl w:val="0"/>
              <w:autoSpaceDE w:val="0"/>
              <w:autoSpaceDN w:val="0"/>
              <w:adjustRightInd w:val="0"/>
              <w:spacing w:after="0" w:line="240" w:lineRule="auto"/>
              <w:rPr>
                <w:rFonts w:ascii="Times New Roman" w:hAnsi="Times New Roman" w:eastAsia="Times New Roman" w:cs="Times New Roman"/>
                <w:b/>
                <w:sz w:val="26"/>
                <w:szCs w:val="26"/>
              </w:rPr>
            </w:pPr>
          </w:p>
          <w:p w:rsidR="00582FF3" w:rsidRDefault="00FF4970" w14:paraId="71F66263" w14:textId="77777777">
            <w:pPr>
              <w:keepNext/>
              <w:widowControl w:val="0"/>
              <w:autoSpaceDE w:val="0"/>
              <w:autoSpaceDN w:val="0"/>
              <w:adjustRightInd w:val="0"/>
              <w:spacing w:after="0" w:line="240" w:lineRule="auto"/>
              <w:rPr>
                <w:rFonts w:ascii="Times New Roman" w:hAnsi="Times New Roman" w:eastAsia="Times New Roman" w:cs="Times New Roman"/>
                <w:b/>
                <w:sz w:val="26"/>
                <w:szCs w:val="26"/>
              </w:rPr>
            </w:pPr>
            <w:r>
              <w:rPr>
                <w:rFonts w:ascii="Times New Roman" w:hAnsi="Times New Roman" w:eastAsia="Times New Roman" w:cs="Times New Roman"/>
                <w:b/>
                <w:sz w:val="26"/>
                <w:szCs w:val="26"/>
              </w:rPr>
              <w:t>Annual reporting</w:t>
            </w:r>
          </w:p>
        </w:tc>
        <w:tc>
          <w:tcPr>
            <w:tcW w:w="517" w:type="pct"/>
            <w:tcBorders>
              <w:top w:val="nil"/>
            </w:tcBorders>
            <w:vAlign w:val="bottom"/>
          </w:tcPr>
          <w:p w:rsidR="00582FF3" w:rsidRDefault="00582FF3" w14:paraId="14297125"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p>
          <w:p w:rsidR="00582FF3" w:rsidRDefault="00FF4970" w14:paraId="14E6519D"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169</w:t>
            </w:r>
          </w:p>
        </w:tc>
        <w:tc>
          <w:tcPr>
            <w:tcW w:w="483" w:type="pct"/>
            <w:tcBorders>
              <w:top w:val="nil"/>
            </w:tcBorders>
            <w:vAlign w:val="bottom"/>
          </w:tcPr>
          <w:p w:rsidR="00582FF3" w:rsidRDefault="00582FF3" w14:paraId="62D5BE36"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p>
          <w:p w:rsidR="00582FF3" w:rsidRDefault="00FF4970" w14:paraId="3CEF1714"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1</w:t>
            </w:r>
          </w:p>
        </w:tc>
        <w:tc>
          <w:tcPr>
            <w:tcW w:w="565" w:type="pct"/>
            <w:tcBorders>
              <w:top w:val="nil"/>
            </w:tcBorders>
            <w:vAlign w:val="bottom"/>
          </w:tcPr>
          <w:p w:rsidR="00582FF3" w:rsidRDefault="00582FF3" w14:paraId="3B551E9A"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p>
          <w:p w:rsidR="00582FF3" w:rsidRDefault="00FF4970" w14:paraId="4B83C699"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169</w:t>
            </w:r>
          </w:p>
        </w:tc>
        <w:tc>
          <w:tcPr>
            <w:tcW w:w="609" w:type="pct"/>
            <w:tcBorders>
              <w:top w:val="nil"/>
            </w:tcBorders>
            <w:vAlign w:val="bottom"/>
          </w:tcPr>
          <w:p w:rsidR="00582FF3" w:rsidRDefault="00FF4970" w14:paraId="1966AE75"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40 hrs.;</w:t>
            </w:r>
          </w:p>
          <w:p w:rsidR="00582FF3" w:rsidRDefault="00582FF3" w14:paraId="133F6DF0"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p>
          <w:p w:rsidR="00582FF3" w:rsidRDefault="00FF4970" w14:paraId="036942D8"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$2,726.80</w:t>
            </w:r>
          </w:p>
        </w:tc>
        <w:tc>
          <w:tcPr>
            <w:tcW w:w="737" w:type="pct"/>
            <w:tcBorders>
              <w:top w:val="nil"/>
            </w:tcBorders>
            <w:vAlign w:val="bottom"/>
          </w:tcPr>
          <w:p w:rsidR="00582FF3" w:rsidRDefault="00FF4970" w14:paraId="783603D9"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6,760 hrs.;</w:t>
            </w:r>
          </w:p>
          <w:p w:rsidR="00582FF3" w:rsidRDefault="00582FF3" w14:paraId="4B3EA28E"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p>
          <w:p w:rsidR="00582FF3" w:rsidRDefault="00FF4970" w14:paraId="3CEEEBD7"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$460,829.20</w:t>
            </w:r>
          </w:p>
        </w:tc>
        <w:tc>
          <w:tcPr>
            <w:tcW w:w="784" w:type="pct"/>
            <w:tcBorders>
              <w:top w:val="nil"/>
              <w:bottom w:val="single" w:color="auto" w:sz="4" w:space="0"/>
            </w:tcBorders>
            <w:vAlign w:val="bottom"/>
          </w:tcPr>
          <w:p w:rsidR="00582FF3" w:rsidRDefault="00582FF3" w14:paraId="34DA712C"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p>
          <w:p w:rsidR="00582FF3" w:rsidRDefault="00582FF3" w14:paraId="3B346533"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p>
          <w:p w:rsidR="00582FF3" w:rsidRDefault="00FF4970" w14:paraId="641B228D"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$2,726.80 </w:t>
            </w:r>
          </w:p>
        </w:tc>
      </w:tr>
      <w:tr w:rsidR="00582FF3" w14:paraId="62DA30CB" w14:textId="77777777">
        <w:trPr>
          <w:trHeight w:val="854"/>
        </w:trPr>
        <w:tc>
          <w:tcPr>
            <w:tcW w:w="603" w:type="pct"/>
            <w:vAlign w:val="center"/>
          </w:tcPr>
          <w:p w:rsidR="00582FF3" w:rsidRDefault="00FF4970" w14:paraId="053E6861" w14:textId="77777777">
            <w:pPr>
              <w:keepNext/>
              <w:widowControl w:val="0"/>
              <w:autoSpaceDE w:val="0"/>
              <w:autoSpaceDN w:val="0"/>
              <w:adjustRightInd w:val="0"/>
              <w:spacing w:after="0" w:line="240"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BA/TOP</w:t>
            </w:r>
          </w:p>
        </w:tc>
        <w:tc>
          <w:tcPr>
            <w:tcW w:w="701" w:type="pct"/>
            <w:vAlign w:val="center"/>
          </w:tcPr>
          <w:p w:rsidR="00582FF3" w:rsidRDefault="00FF4970" w14:paraId="463705C4" w14:textId="77777777">
            <w:pPr>
              <w:keepNext/>
              <w:widowControl w:val="0"/>
              <w:autoSpaceDE w:val="0"/>
              <w:autoSpaceDN w:val="0"/>
              <w:adjustRightInd w:val="0"/>
              <w:spacing w:after="0" w:line="240" w:lineRule="auto"/>
              <w:rPr>
                <w:rFonts w:ascii="Times New Roman" w:hAnsi="Times New Roman" w:eastAsia="Times New Roman" w:cs="Times New Roman"/>
                <w:b/>
                <w:sz w:val="26"/>
                <w:szCs w:val="26"/>
              </w:rPr>
            </w:pPr>
            <w:r>
              <w:rPr>
                <w:rFonts w:ascii="Times New Roman" w:hAnsi="Times New Roman" w:eastAsia="Times New Roman" w:cs="Times New Roman"/>
                <w:b/>
                <w:sz w:val="26"/>
                <w:szCs w:val="26"/>
              </w:rPr>
              <w:t>Annual Record Retention</w:t>
            </w:r>
          </w:p>
        </w:tc>
        <w:tc>
          <w:tcPr>
            <w:tcW w:w="517" w:type="pct"/>
            <w:shd w:val="clear" w:color="auto" w:fill="auto"/>
            <w:vAlign w:val="bottom"/>
          </w:tcPr>
          <w:p w:rsidR="00582FF3" w:rsidRDefault="00FF4970" w14:paraId="47E4FDFF"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267</w:t>
            </w:r>
          </w:p>
        </w:tc>
        <w:tc>
          <w:tcPr>
            <w:tcW w:w="483" w:type="pct"/>
            <w:shd w:val="clear" w:color="auto" w:fill="auto"/>
            <w:vAlign w:val="bottom"/>
          </w:tcPr>
          <w:p w:rsidR="00582FF3" w:rsidRDefault="00FF4970" w14:paraId="36F10670"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1</w:t>
            </w:r>
          </w:p>
        </w:tc>
        <w:tc>
          <w:tcPr>
            <w:tcW w:w="565" w:type="pct"/>
            <w:shd w:val="clear" w:color="auto" w:fill="auto"/>
            <w:vAlign w:val="bottom"/>
          </w:tcPr>
          <w:p w:rsidR="00582FF3" w:rsidRDefault="00FF4970" w14:paraId="5790D89E"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267</w:t>
            </w:r>
          </w:p>
        </w:tc>
        <w:tc>
          <w:tcPr>
            <w:tcW w:w="609" w:type="pct"/>
            <w:shd w:val="clear" w:color="auto" w:fill="auto"/>
            <w:vAlign w:val="bottom"/>
          </w:tcPr>
          <w:p w:rsidR="00582FF3" w:rsidRDefault="00FF4970" w14:paraId="6AD30EBF"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2 hrs.;</w:t>
            </w:r>
          </w:p>
          <w:p w:rsidR="00582FF3" w:rsidRDefault="00582FF3" w14:paraId="3DE99E10"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p>
          <w:p w:rsidR="00582FF3" w:rsidRDefault="00FF4970" w14:paraId="46619C36"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$81.61</w:t>
            </w:r>
          </w:p>
        </w:tc>
        <w:tc>
          <w:tcPr>
            <w:tcW w:w="737" w:type="pct"/>
            <w:shd w:val="clear" w:color="auto" w:fill="auto"/>
            <w:vAlign w:val="bottom"/>
          </w:tcPr>
          <w:p w:rsidR="00582FF3" w:rsidRDefault="00FF4970" w14:paraId="29B299A3"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534 hrs.;</w:t>
            </w:r>
          </w:p>
          <w:p w:rsidR="00582FF3" w:rsidRDefault="00582FF3" w14:paraId="43BCC9C5"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p>
          <w:p w:rsidR="00582FF3" w:rsidRDefault="00FF4970" w14:paraId="3C957650"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$21,789.87</w:t>
            </w:r>
          </w:p>
        </w:tc>
        <w:tc>
          <w:tcPr>
            <w:tcW w:w="784" w:type="pct"/>
            <w:shd w:val="clear" w:color="auto" w:fill="auto"/>
            <w:vAlign w:val="bottom"/>
          </w:tcPr>
          <w:p w:rsidR="00582FF3" w:rsidRDefault="00582FF3" w14:paraId="4CE8BC8B"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p>
          <w:p w:rsidR="00582FF3" w:rsidRDefault="00582FF3" w14:paraId="17960667"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p>
          <w:p w:rsidR="00582FF3" w:rsidRDefault="00FF4970" w14:paraId="71805217"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$81.61</w:t>
            </w:r>
          </w:p>
        </w:tc>
      </w:tr>
      <w:tr w:rsidR="00582FF3" w14:paraId="6A93B984" w14:textId="77777777">
        <w:trPr>
          <w:trHeight w:val="393"/>
        </w:trPr>
        <w:tc>
          <w:tcPr>
            <w:tcW w:w="603" w:type="pct"/>
            <w:vAlign w:val="center"/>
          </w:tcPr>
          <w:p w:rsidR="00582FF3" w:rsidRDefault="00FF4970" w14:paraId="678EC013" w14:textId="77777777">
            <w:pPr>
              <w:keepNext/>
              <w:widowControl w:val="0"/>
              <w:autoSpaceDE w:val="0"/>
              <w:autoSpaceDN w:val="0"/>
              <w:adjustRightInd w:val="0"/>
              <w:spacing w:after="0" w:line="240" w:lineRule="auto"/>
              <w:rPr>
                <w:rFonts w:ascii="Times New Roman" w:hAnsi="Times New Roman" w:eastAsia="Times New Roman" w:cs="Times New Roman"/>
                <w:b/>
                <w:sz w:val="26"/>
                <w:szCs w:val="26"/>
              </w:rPr>
            </w:pPr>
            <w:r>
              <w:rPr>
                <w:rFonts w:ascii="Times New Roman" w:hAnsi="Times New Roman" w:eastAsia="Times New Roman" w:cs="Times New Roman"/>
                <w:b/>
                <w:sz w:val="26"/>
                <w:szCs w:val="26"/>
              </w:rPr>
              <w:t>Total Burden</w:t>
            </w:r>
          </w:p>
          <w:p w:rsidR="00582FF3" w:rsidRDefault="00FF4970" w14:paraId="6A6B7B0E" w14:textId="77777777">
            <w:pPr>
              <w:keepNext/>
              <w:widowControl w:val="0"/>
              <w:autoSpaceDE w:val="0"/>
              <w:autoSpaceDN w:val="0"/>
              <w:adjustRightInd w:val="0"/>
              <w:spacing w:after="0" w:line="240" w:lineRule="auto"/>
              <w:rPr>
                <w:rFonts w:ascii="Times New Roman" w:hAnsi="Times New Roman" w:eastAsia="Times New Roman" w:cs="Times New Roman"/>
                <w:b/>
                <w:sz w:val="26"/>
                <w:szCs w:val="26"/>
              </w:rPr>
            </w:pPr>
            <w:r>
              <w:rPr>
                <w:rFonts w:ascii="Times New Roman" w:hAnsi="Times New Roman" w:eastAsia="Times New Roman" w:cs="Times New Roman"/>
                <w:b/>
                <w:sz w:val="26"/>
                <w:szCs w:val="26"/>
              </w:rPr>
              <w:t>Hours Per Year</w:t>
            </w:r>
          </w:p>
        </w:tc>
        <w:tc>
          <w:tcPr>
            <w:tcW w:w="2875" w:type="pct"/>
            <w:gridSpan w:val="5"/>
            <w:vAlign w:val="bottom"/>
          </w:tcPr>
          <w:p w:rsidR="00582FF3" w:rsidRDefault="00582FF3" w14:paraId="385CC657"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p>
        </w:tc>
        <w:tc>
          <w:tcPr>
            <w:tcW w:w="737" w:type="pct"/>
            <w:shd w:val="clear" w:color="auto" w:fill="auto"/>
          </w:tcPr>
          <w:p w:rsidR="00582FF3" w:rsidRDefault="00FF4970" w14:paraId="5A31D3EA"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11,410 hrs.; </w:t>
            </w:r>
          </w:p>
          <w:p w:rsidR="00582FF3" w:rsidRDefault="00FF4970" w14:paraId="449BAFD1"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$763,206.79 per year </w:t>
            </w:r>
          </w:p>
        </w:tc>
        <w:tc>
          <w:tcPr>
            <w:tcW w:w="784" w:type="pct"/>
            <w:shd w:val="pct15" w:color="auto" w:fill="auto"/>
          </w:tcPr>
          <w:p w:rsidR="00582FF3" w:rsidRDefault="00582FF3" w14:paraId="23B4CFC7" w14:textId="77777777">
            <w:pPr>
              <w:keepNext/>
              <w:widowControl w:val="0"/>
              <w:autoSpaceDE w:val="0"/>
              <w:autoSpaceDN w:val="0"/>
              <w:adjustRightInd w:val="0"/>
              <w:spacing w:after="0" w:line="240" w:lineRule="auto"/>
              <w:jc w:val="right"/>
              <w:rPr>
                <w:rFonts w:ascii="Times New Roman" w:hAnsi="Times New Roman" w:eastAsia="Times New Roman" w:cs="Times New Roman"/>
                <w:sz w:val="26"/>
                <w:szCs w:val="26"/>
              </w:rPr>
            </w:pPr>
          </w:p>
        </w:tc>
      </w:tr>
    </w:tbl>
    <w:p w:rsidR="00582FF3" w:rsidRDefault="00582FF3" w14:paraId="4040EDF2" w14:textId="77777777">
      <w:pPr>
        <w:widowControl w:val="0"/>
        <w:autoSpaceDE w:val="0"/>
        <w:autoSpaceDN w:val="0"/>
        <w:adjustRightInd w:val="0"/>
        <w:spacing w:after="0" w:line="240" w:lineRule="auto"/>
        <w:rPr>
          <w:rFonts w:ascii="Times New Roman" w:hAnsi="Times New Roman" w:eastAsia="Times New Roman" w:cs="Times New Roman"/>
          <w:b/>
          <w:sz w:val="26"/>
          <w:szCs w:val="26"/>
        </w:rPr>
      </w:pPr>
    </w:p>
    <w:p w:rsidR="00582FF3" w:rsidRDefault="00582FF3" w14:paraId="15F53376" w14:textId="77777777">
      <w:pPr>
        <w:widowControl w:val="0"/>
        <w:autoSpaceDE w:val="0"/>
        <w:autoSpaceDN w:val="0"/>
        <w:adjustRightInd w:val="0"/>
        <w:spacing w:after="0" w:line="240" w:lineRule="auto"/>
        <w:rPr>
          <w:rFonts w:ascii="Times New Roman" w:hAnsi="Times New Roman" w:eastAsia="Times New Roman" w:cs="Times New Roman"/>
          <w:b/>
          <w:sz w:val="26"/>
          <w:szCs w:val="26"/>
        </w:rPr>
      </w:pPr>
    </w:p>
    <w:p w:rsidR="00582FF3" w:rsidRDefault="00582FF3" w14:paraId="7AC3E179" w14:textId="77777777">
      <w:pPr>
        <w:widowControl w:val="0"/>
        <w:autoSpaceDE w:val="0"/>
        <w:autoSpaceDN w:val="0"/>
        <w:adjustRightInd w:val="0"/>
        <w:spacing w:after="0" w:line="240" w:lineRule="auto"/>
        <w:contextualSpacing/>
        <w:rPr>
          <w:rFonts w:ascii="Times New Roman" w:hAnsi="Times New Roman" w:cs="Times New Roman"/>
          <w:sz w:val="26"/>
          <w:szCs w:val="26"/>
        </w:rPr>
      </w:pPr>
    </w:p>
    <w:p w:rsidR="00582FF3" w:rsidRDefault="00FF4970" w14:paraId="47ADD438" w14:textId="77777777">
      <w:pPr>
        <w:pStyle w:val="ListParagraph"/>
        <w:numPr>
          <w:ilvl w:val="0"/>
          <w:numId w:val="1"/>
        </w:num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ESTIMATE OF THE TOTAL ANNUAL COST </w:t>
      </w:r>
      <w:r>
        <w:rPr>
          <w:rFonts w:ascii="Times New Roman" w:hAnsi="Times New Roman" w:cs="Times New Roman"/>
          <w:b/>
          <w:sz w:val="26"/>
          <w:szCs w:val="26"/>
        </w:rPr>
        <w:t>BURDEN TO RESPONDENTS</w:t>
      </w:r>
    </w:p>
    <w:p w:rsidR="00582FF3" w:rsidRDefault="00582FF3" w14:paraId="72B34C85" w14:textId="77777777">
      <w:pPr>
        <w:pStyle w:val="ListParagraph"/>
        <w:spacing w:after="0" w:line="240" w:lineRule="auto"/>
        <w:ind w:left="360"/>
        <w:rPr>
          <w:rFonts w:ascii="Times New Roman" w:hAnsi="Times New Roman" w:cs="Times New Roman"/>
          <w:b/>
          <w:sz w:val="26"/>
          <w:szCs w:val="26"/>
        </w:rPr>
      </w:pPr>
    </w:p>
    <w:p w:rsidR="00582FF3" w:rsidRDefault="00FF4970" w14:paraId="638B84E6"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Total Capital and Start-up cost: $0</w:t>
      </w:r>
    </w:p>
    <w:p w:rsidR="00582FF3" w:rsidRDefault="00FF4970" w14:paraId="7A764BAF"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Total Operation, Maintenance, and Purchase of Services: $0</w:t>
      </w:r>
    </w:p>
    <w:p w:rsidR="00582FF3" w:rsidRDefault="00582FF3" w14:paraId="27427A80" w14:textId="77777777">
      <w:pPr>
        <w:spacing w:after="0" w:line="240" w:lineRule="auto"/>
        <w:rPr>
          <w:rFonts w:ascii="Times New Roman" w:hAnsi="Times New Roman" w:cs="Times New Roman"/>
          <w:sz w:val="26"/>
          <w:szCs w:val="26"/>
        </w:rPr>
      </w:pPr>
    </w:p>
    <w:p w:rsidR="00582FF3" w:rsidRDefault="00FF4970" w14:paraId="3C625924" w14:textId="77777777">
      <w:pPr>
        <w:pStyle w:val="ListParagraph"/>
        <w:numPr>
          <w:ilvl w:val="0"/>
          <w:numId w:val="1"/>
        </w:numPr>
        <w:spacing w:after="0" w:line="240" w:lineRule="auto"/>
        <w:rPr>
          <w:rFonts w:ascii="Times New Roman" w:hAnsi="Times New Roman" w:cs="Times New Roman"/>
          <w:b/>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ESTIMATED ANNUALIZED COST TO FEDERAL GOVERNMENT</w:t>
      </w:r>
    </w:p>
    <w:p w:rsidR="00582FF3" w:rsidRDefault="00582FF3" w14:paraId="24028F59" w14:textId="77777777">
      <w:pPr>
        <w:spacing w:after="0" w:line="240" w:lineRule="auto"/>
        <w:rPr>
          <w:rFonts w:ascii="Times New Roman" w:hAnsi="Times New Roman" w:cs="Times New Roman"/>
          <w:sz w:val="26"/>
          <w:szCs w:val="26"/>
        </w:rPr>
      </w:pPr>
    </w:p>
    <w:p w:rsidR="00582FF3" w:rsidRDefault="00FF4970" w14:paraId="114217EF"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The Commission does incur the costs associated with obtaining OMB clearance for this collection under the Paperwork Reduction Act (PRA).  The PRA Administrative  Cost (estimate of $4,832 per collection annually) is a Federal Cost associated with preparing,</w:t>
      </w:r>
      <w:r>
        <w:rPr>
          <w:rFonts w:ascii="Times New Roman" w:hAnsi="Times New Roman" w:cs="Times New Roman"/>
          <w:sz w:val="26"/>
          <w:szCs w:val="26"/>
        </w:rPr>
        <w:t xml:space="preserve"> issuing, and submitting materials necessary to comply with the Paperwork Reduction Act of 1995 (PRA) for rulemakings, orders, or any other vehicle used to create, modify, extend, or discontinue an information collection.  This average annual cost includes</w:t>
      </w:r>
      <w:r>
        <w:rPr>
          <w:rFonts w:ascii="Times New Roman" w:hAnsi="Times New Roman" w:cs="Times New Roman"/>
          <w:sz w:val="26"/>
          <w:szCs w:val="26"/>
        </w:rPr>
        <w:t xml:space="preserve"> requests for extensions, all associated rulemakings or orders, and other changes to the collection, as well as necessary publications in the Federal Register. </w:t>
      </w:r>
    </w:p>
    <w:p w:rsidR="00582FF3" w:rsidRDefault="00582FF3" w14:paraId="2F9CF40E" w14:textId="77777777">
      <w:pPr>
        <w:spacing w:after="0" w:line="240" w:lineRule="auto"/>
        <w:rPr>
          <w:rFonts w:ascii="Times New Roman" w:hAnsi="Times New Roman" w:cs="Times New Roman"/>
          <w:b/>
          <w:bCs/>
          <w:sz w:val="26"/>
          <w:szCs w:val="26"/>
        </w:rPr>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2995"/>
      </w:tblGrid>
      <w:tr w:rsidR="00582FF3" w14:paraId="1167A0DA" w14:textId="77777777">
        <w:tc>
          <w:tcPr>
            <w:tcW w:w="3182" w:type="dxa"/>
            <w:tcBorders>
              <w:top w:val="single" w:color="auto" w:sz="4" w:space="0"/>
              <w:left w:val="single" w:color="auto" w:sz="4" w:space="0"/>
              <w:bottom w:val="single" w:color="auto" w:sz="4" w:space="0"/>
              <w:right w:val="single" w:color="auto" w:sz="4" w:space="0"/>
            </w:tcBorders>
            <w:shd w:val="clear" w:color="auto" w:fill="CCCCCC"/>
          </w:tcPr>
          <w:p w:rsidR="00582FF3" w:rsidRDefault="00582FF3" w14:paraId="334B9AD3" w14:textId="77777777">
            <w:pPr>
              <w:spacing w:after="0" w:line="240" w:lineRule="auto"/>
              <w:rPr>
                <w:rFonts w:ascii="Times New Roman" w:hAnsi="Times New Roman" w:cs="Times New Roman"/>
                <w:sz w:val="26"/>
                <w:szCs w:val="26"/>
              </w:rPr>
            </w:pPr>
          </w:p>
        </w:tc>
        <w:tc>
          <w:tcPr>
            <w:tcW w:w="3201" w:type="dxa"/>
            <w:tcBorders>
              <w:top w:val="single" w:color="auto" w:sz="4" w:space="0"/>
              <w:left w:val="single" w:color="auto" w:sz="4" w:space="0"/>
              <w:bottom w:val="single" w:color="auto" w:sz="4" w:space="0"/>
              <w:right w:val="single" w:color="auto" w:sz="4" w:space="0"/>
            </w:tcBorders>
            <w:shd w:val="clear" w:color="auto" w:fill="CCCCCC"/>
            <w:hideMark/>
          </w:tcPr>
          <w:p w:rsidR="00582FF3" w:rsidRDefault="00FF4970" w14:paraId="767F4D0B" w14:textId="77777777">
            <w:pPr>
              <w:spacing w:after="0" w:line="240" w:lineRule="auto"/>
              <w:rPr>
                <w:rFonts w:ascii="Times New Roman" w:hAnsi="Times New Roman" w:cs="Times New Roman"/>
                <w:b/>
                <w:sz w:val="26"/>
                <w:szCs w:val="26"/>
              </w:rPr>
            </w:pPr>
            <w:r>
              <w:rPr>
                <w:rFonts w:ascii="Times New Roman" w:hAnsi="Times New Roman" w:cs="Times New Roman"/>
                <w:b/>
                <w:sz w:val="26"/>
                <w:szCs w:val="26"/>
              </w:rPr>
              <w:t>Number of Employees (FTE)</w:t>
            </w:r>
          </w:p>
        </w:tc>
        <w:tc>
          <w:tcPr>
            <w:tcW w:w="2995" w:type="dxa"/>
            <w:tcBorders>
              <w:top w:val="single" w:color="auto" w:sz="4" w:space="0"/>
              <w:left w:val="single" w:color="auto" w:sz="4" w:space="0"/>
              <w:bottom w:val="single" w:color="auto" w:sz="4" w:space="0"/>
              <w:right w:val="single" w:color="auto" w:sz="4" w:space="0"/>
            </w:tcBorders>
            <w:shd w:val="clear" w:color="auto" w:fill="CCCCCC"/>
            <w:hideMark/>
          </w:tcPr>
          <w:p w:rsidR="00582FF3" w:rsidRDefault="00FF4970" w14:paraId="0CBB8846" w14:textId="77777777">
            <w:pPr>
              <w:spacing w:after="0" w:line="240" w:lineRule="auto"/>
              <w:rPr>
                <w:rFonts w:ascii="Times New Roman" w:hAnsi="Times New Roman" w:cs="Times New Roman"/>
                <w:b/>
                <w:sz w:val="26"/>
                <w:szCs w:val="26"/>
              </w:rPr>
            </w:pPr>
            <w:r>
              <w:rPr>
                <w:rFonts w:ascii="Times New Roman" w:hAnsi="Times New Roman" w:cs="Times New Roman"/>
                <w:b/>
                <w:sz w:val="26"/>
                <w:szCs w:val="26"/>
              </w:rPr>
              <w:t>Estimated Annual Federal Cost</w:t>
            </w:r>
          </w:p>
        </w:tc>
      </w:tr>
      <w:tr w:rsidR="00582FF3" w14:paraId="1406A938" w14:textId="77777777">
        <w:tc>
          <w:tcPr>
            <w:tcW w:w="3182" w:type="dxa"/>
            <w:tcBorders>
              <w:top w:val="single" w:color="auto" w:sz="4" w:space="0"/>
              <w:left w:val="single" w:color="auto" w:sz="4" w:space="0"/>
              <w:bottom w:val="single" w:color="auto" w:sz="4" w:space="0"/>
              <w:right w:val="single" w:color="auto" w:sz="4" w:space="0"/>
            </w:tcBorders>
            <w:hideMark/>
          </w:tcPr>
          <w:p w:rsidR="00582FF3" w:rsidRDefault="00FF4970" w14:paraId="4F92803E" w14:textId="77777777">
            <w:pPr>
              <w:spacing w:after="0" w:line="240" w:lineRule="auto"/>
              <w:rPr>
                <w:rFonts w:ascii="Times New Roman" w:hAnsi="Times New Roman" w:cs="Times New Roman"/>
                <w:sz w:val="26"/>
                <w:szCs w:val="26"/>
                <w:vertAlign w:val="superscript"/>
              </w:rPr>
            </w:pPr>
            <w:r>
              <w:rPr>
                <w:rFonts w:ascii="Times New Roman" w:hAnsi="Times New Roman" w:cs="Times New Roman"/>
                <w:sz w:val="26"/>
                <w:szCs w:val="26"/>
              </w:rPr>
              <w:t xml:space="preserve">Analysis and Processing of filings </w:t>
            </w:r>
          </w:p>
        </w:tc>
        <w:tc>
          <w:tcPr>
            <w:tcW w:w="3201" w:type="dxa"/>
            <w:tcBorders>
              <w:top w:val="single" w:color="auto" w:sz="4" w:space="0"/>
              <w:left w:val="single" w:color="auto" w:sz="4" w:space="0"/>
              <w:bottom w:val="single" w:color="auto" w:sz="4" w:space="0"/>
              <w:right w:val="single" w:color="auto" w:sz="4" w:space="0"/>
            </w:tcBorders>
            <w:vAlign w:val="bottom"/>
            <w:hideMark/>
          </w:tcPr>
          <w:p w:rsidR="00582FF3" w:rsidRDefault="00FF4970" w14:paraId="424EBB71"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0</w:t>
            </w:r>
          </w:p>
        </w:tc>
        <w:tc>
          <w:tcPr>
            <w:tcW w:w="2995" w:type="dxa"/>
            <w:vAlign w:val="bottom"/>
            <w:hideMark/>
          </w:tcPr>
          <w:p w:rsidR="00582FF3" w:rsidRDefault="00FF4970" w14:paraId="6179AD9F" w14:textId="7777777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r w:rsidR="00582FF3" w14:paraId="2054D4E7" w14:textId="77777777">
        <w:tc>
          <w:tcPr>
            <w:tcW w:w="3182" w:type="dxa"/>
            <w:tcBorders>
              <w:top w:val="single" w:color="auto" w:sz="4" w:space="0"/>
              <w:left w:val="single" w:color="auto" w:sz="4" w:space="0"/>
              <w:bottom w:val="single" w:color="auto" w:sz="4" w:space="0"/>
              <w:right w:val="single" w:color="auto" w:sz="4" w:space="0"/>
            </w:tcBorders>
            <w:hideMark/>
          </w:tcPr>
          <w:p w:rsidR="00582FF3" w:rsidRDefault="00FF4970" w14:paraId="5E9697DE"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PRA</w:t>
            </w:r>
            <w:r>
              <w:rPr>
                <w:rFonts w:ascii="Times New Roman" w:hAnsi="Times New Roman" w:cs="Times New Roman"/>
                <w:sz w:val="26"/>
                <w:szCs w:val="26"/>
                <w:vertAlign w:val="superscript"/>
              </w:rPr>
              <w:footnoteReference w:id="12"/>
            </w:r>
            <w:r>
              <w:rPr>
                <w:rFonts w:ascii="Times New Roman" w:hAnsi="Times New Roman" w:cs="Times New Roman"/>
                <w:sz w:val="26"/>
                <w:szCs w:val="26"/>
              </w:rPr>
              <w:t xml:space="preserve"> Administrative Cost</w:t>
            </w:r>
            <w:r>
              <w:rPr>
                <w:rFonts w:ascii="Times New Roman" w:hAnsi="Times New Roman" w:cs="Times New Roman"/>
                <w:sz w:val="26"/>
                <w:szCs w:val="26"/>
                <w:vertAlign w:val="superscript"/>
              </w:rPr>
              <w:footnoteReference w:id="13"/>
            </w:r>
          </w:p>
        </w:tc>
        <w:tc>
          <w:tcPr>
            <w:tcW w:w="3201" w:type="dxa"/>
            <w:vMerge w:val="restart"/>
            <w:tcBorders>
              <w:top w:val="single" w:color="auto" w:sz="4" w:space="0"/>
              <w:left w:val="single" w:color="auto" w:sz="4" w:space="0"/>
              <w:bottom w:val="single" w:color="auto" w:sz="4" w:space="0"/>
              <w:right w:val="single" w:color="auto" w:sz="4" w:space="0"/>
            </w:tcBorders>
            <w:shd w:val="clear" w:color="auto" w:fill="D9D9D9"/>
            <w:vAlign w:val="center"/>
          </w:tcPr>
          <w:p w:rsidR="00582FF3" w:rsidRDefault="00582FF3" w14:paraId="524D0746" w14:textId="77777777">
            <w:pPr>
              <w:spacing w:after="0" w:line="240" w:lineRule="auto"/>
              <w:rPr>
                <w:rFonts w:ascii="Times New Roman" w:hAnsi="Times New Roman" w:cs="Times New Roman"/>
                <w:sz w:val="26"/>
                <w:szCs w:val="26"/>
              </w:rPr>
            </w:pPr>
          </w:p>
        </w:tc>
        <w:tc>
          <w:tcPr>
            <w:tcW w:w="2995" w:type="dxa"/>
            <w:vAlign w:val="center"/>
            <w:hideMark/>
          </w:tcPr>
          <w:p w:rsidR="00582FF3" w:rsidRDefault="00FF4970" w14:paraId="701CEA49" w14:textId="7777777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$4,832</w:t>
            </w:r>
          </w:p>
        </w:tc>
      </w:tr>
      <w:tr w:rsidR="00582FF3" w14:paraId="74346213" w14:textId="77777777">
        <w:tc>
          <w:tcPr>
            <w:tcW w:w="3182" w:type="dxa"/>
            <w:tcBorders>
              <w:top w:val="single" w:color="auto" w:sz="4" w:space="0"/>
              <w:left w:val="single" w:color="auto" w:sz="4" w:space="0"/>
              <w:bottom w:val="single" w:color="auto" w:sz="4" w:space="0"/>
              <w:right w:val="single" w:color="auto" w:sz="4" w:space="0"/>
            </w:tcBorders>
            <w:hideMark/>
          </w:tcPr>
          <w:p w:rsidR="00582FF3" w:rsidRDefault="00FF4970" w14:paraId="7178686C" w14:textId="77777777">
            <w:pPr>
              <w:spacing w:after="0" w:line="240" w:lineRule="auto"/>
              <w:rPr>
                <w:rFonts w:ascii="Times New Roman" w:hAnsi="Times New Roman" w:cs="Times New Roman"/>
                <w:b/>
                <w:sz w:val="26"/>
                <w:szCs w:val="26"/>
              </w:rPr>
            </w:pPr>
            <w:r>
              <w:rPr>
                <w:rFonts w:ascii="Times New Roman" w:hAnsi="Times New Roman" w:cs="Times New Roman"/>
                <w:b/>
                <w:sz w:val="26"/>
                <w:szCs w:val="26"/>
              </w:rPr>
              <w:t>FERC Total</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00582FF3" w:rsidRDefault="00582FF3" w14:paraId="334AF484" w14:textId="77777777">
            <w:pPr>
              <w:spacing w:after="0" w:line="240" w:lineRule="auto"/>
              <w:rPr>
                <w:rFonts w:ascii="Times New Roman" w:hAnsi="Times New Roman" w:cs="Times New Roman"/>
                <w:sz w:val="26"/>
                <w:szCs w:val="26"/>
              </w:rPr>
            </w:pPr>
          </w:p>
        </w:tc>
        <w:tc>
          <w:tcPr>
            <w:tcW w:w="2995" w:type="dxa"/>
            <w:vAlign w:val="center"/>
            <w:hideMark/>
          </w:tcPr>
          <w:p w:rsidR="00582FF3" w:rsidRDefault="00FF4970" w14:paraId="5D933A67" w14:textId="7777777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$4,832</w:t>
            </w:r>
          </w:p>
        </w:tc>
      </w:tr>
    </w:tbl>
    <w:p w:rsidR="00582FF3" w:rsidRDefault="00582FF3" w14:paraId="18A358E2" w14:textId="77777777">
      <w:pPr>
        <w:spacing w:after="0" w:line="240" w:lineRule="auto"/>
        <w:rPr>
          <w:rFonts w:ascii="Times New Roman" w:hAnsi="Times New Roman" w:cs="Times New Roman"/>
          <w:sz w:val="26"/>
          <w:szCs w:val="26"/>
        </w:rPr>
      </w:pPr>
    </w:p>
    <w:p w:rsidR="00582FF3" w:rsidRDefault="00FF4970" w14:paraId="4D9591D2" w14:textId="77777777">
      <w:pPr>
        <w:pStyle w:val="ListParagraph"/>
        <w:numPr>
          <w:ilvl w:val="0"/>
          <w:numId w:val="1"/>
        </w:numPr>
        <w:spacing w:after="0" w:line="240" w:lineRule="auto"/>
        <w:rPr>
          <w:rFonts w:ascii="Times New Roman" w:hAnsi="Times New Roman" w:cs="Times New Roman"/>
          <w:b/>
          <w:sz w:val="26"/>
          <w:szCs w:val="26"/>
        </w:rPr>
      </w:pPr>
      <w:r>
        <w:rPr>
          <w:rFonts w:ascii="Times New Roman" w:hAnsi="Times New Roman" w:cs="Times New Roman"/>
          <w:b/>
          <w:sz w:val="26"/>
          <w:szCs w:val="26"/>
        </w:rPr>
        <w:t>REASONS FOR CHANGES IN BURDEN INCLUDING THE NEED FOR ANY INCREASE</w:t>
      </w:r>
    </w:p>
    <w:p w:rsidR="00582FF3" w:rsidRDefault="00FF4970" w14:paraId="7E07F635" w14:textId="77777777">
      <w:pPr>
        <w:tabs>
          <w:tab w:val="num" w:pos="720"/>
        </w:tabs>
        <w:autoSpaceDE w:val="0"/>
        <w:autoSpaceDN w:val="0"/>
        <w:adjustRightInd w:val="0"/>
        <w:spacing w:before="100" w:beforeAutospacing="1" w:after="240" w:line="240" w:lineRule="auto"/>
        <w:rPr>
          <w:rFonts w:ascii="Times New Roman" w:hAnsi="Times New Roman" w:eastAsia="Times New Roman" w:cs="Times New Roman"/>
          <w:sz w:val="26"/>
          <w:szCs w:val="26"/>
        </w:rPr>
      </w:pPr>
      <w:r>
        <w:rPr>
          <w:rFonts w:ascii="Times New Roman" w:hAnsi="Times New Roman" w:eastAsia="Times New Roman" w:cs="Times New Roman"/>
          <w:b/>
          <w:bCs/>
          <w:sz w:val="26"/>
          <w:szCs w:val="26"/>
        </w:rPr>
        <w:t xml:space="preserve">Original FERC-725A(1B).  </w:t>
      </w:r>
      <w:r>
        <w:rPr>
          <w:rFonts w:ascii="Times New Roman" w:hAnsi="Times New Roman" w:eastAsia="Times New Roman" w:cs="Times New Roman"/>
          <w:sz w:val="26"/>
          <w:szCs w:val="26"/>
        </w:rPr>
        <w:t>TOP-010-1 (Real-time Reliability Monitoring and Analysis Capabilities), associated with FERC-725A(</w:t>
      </w:r>
      <w:r>
        <w:rPr>
          <w:rFonts w:ascii="Times New Roman" w:hAnsi="Times New Roman" w:eastAsia="Times New Roman" w:cs="Times New Roman"/>
          <w:sz w:val="26"/>
          <w:szCs w:val="26"/>
        </w:rPr>
        <w:t>1B) improved reliability by providing rigorous functional requirements for real-time monitoring and analysis.  Reliability Standard TOP-010-1 was created to improve real-time situational awareness capabilities and enhance reliable operations by requiring r</w:t>
      </w:r>
      <w:r>
        <w:rPr>
          <w:rFonts w:ascii="Times New Roman" w:hAnsi="Times New Roman" w:eastAsia="Times New Roman" w:cs="Times New Roman"/>
          <w:sz w:val="26"/>
          <w:szCs w:val="26"/>
        </w:rPr>
        <w:t xml:space="preserve">eliability coordinators, transmission operators, and balancing authorities to provide operators with awareness of monitoring and analysis capabilities, including alarm availability, so that entities may take appropriate steps to ensure reliability. </w:t>
      </w:r>
    </w:p>
    <w:p w:rsidR="00582FF3" w:rsidRDefault="00FF4970" w14:paraId="127D560E" w14:textId="77777777">
      <w:pPr>
        <w:tabs>
          <w:tab w:val="num" w:pos="720"/>
        </w:tabs>
        <w:autoSpaceDE w:val="0"/>
        <w:autoSpaceDN w:val="0"/>
        <w:adjustRightInd w:val="0"/>
        <w:spacing w:before="100" w:beforeAutospacing="1"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lastRenderedPageBreak/>
        <w:t>In 201</w:t>
      </w:r>
      <w:r>
        <w:rPr>
          <w:rFonts w:ascii="Times New Roman" w:hAnsi="Times New Roman" w:eastAsia="Times New Roman" w:cs="Times New Roman"/>
          <w:sz w:val="26"/>
          <w:szCs w:val="26"/>
        </w:rPr>
        <w:t>6 in Docket No. RD16-6, Reliability Standard TOP-010-1 was approved by the Commission to enhance reliability by accomplishing Blackout Report Recommendation 22 to evaluate and adopt better real-time tools for operators and reliability coordinators and esta</w:t>
      </w:r>
      <w:r>
        <w:rPr>
          <w:rFonts w:ascii="Times New Roman" w:hAnsi="Times New Roman" w:eastAsia="Times New Roman" w:cs="Times New Roman"/>
          <w:sz w:val="26"/>
          <w:szCs w:val="26"/>
        </w:rPr>
        <w:t>blish requirements to perform real-time monitoring and analysis capabilities to support reliable system operations.  The Reliability Standard built upon existing requirements to support effective real-time monitoring and analysis and improved situational a</w:t>
      </w:r>
      <w:r>
        <w:rPr>
          <w:rFonts w:ascii="Times New Roman" w:hAnsi="Times New Roman" w:eastAsia="Times New Roman" w:cs="Times New Roman"/>
          <w:sz w:val="26"/>
          <w:szCs w:val="26"/>
        </w:rPr>
        <w:t xml:space="preserve">wareness, and thereby enhance reliable operations.  Reliability Standard TOP-010-1 applies to transmission operators and balancing authorities.  </w:t>
      </w:r>
    </w:p>
    <w:p w:rsidR="00582FF3" w:rsidRDefault="00FF4970" w14:paraId="6D5B01DE" w14:textId="77777777">
      <w:pPr>
        <w:tabs>
          <w:tab w:val="num" w:pos="720"/>
        </w:tabs>
        <w:autoSpaceDE w:val="0"/>
        <w:autoSpaceDN w:val="0"/>
        <w:adjustRightInd w:val="0"/>
        <w:spacing w:before="100" w:beforeAutospacing="1" w:after="240" w:line="240" w:lineRule="auto"/>
        <w:rPr>
          <w:rFonts w:ascii="Times New Roman" w:hAnsi="Times New Roman" w:eastAsia="Times New Roman" w:cs="Times New Roman"/>
          <w:sz w:val="26"/>
          <w:szCs w:val="26"/>
        </w:rPr>
      </w:pPr>
      <w:r>
        <w:rPr>
          <w:rFonts w:ascii="Times New Roman" w:hAnsi="Times New Roman" w:eastAsia="Times New Roman" w:cs="Times New Roman"/>
          <w:b/>
          <w:bCs/>
          <w:sz w:val="26"/>
          <w:szCs w:val="26"/>
        </w:rPr>
        <w:t xml:space="preserve">Adjustment in Estimate.  </w:t>
      </w:r>
      <w:r>
        <w:rPr>
          <w:rFonts w:ascii="Times New Roman" w:hAnsi="Times New Roman" w:eastAsia="Times New Roman" w:cs="Times New Roman"/>
          <w:sz w:val="26"/>
          <w:szCs w:val="26"/>
        </w:rPr>
        <w:t>For this renewal period there was a reduction in responses from 271 to 267 and corres</w:t>
      </w:r>
      <w:r>
        <w:rPr>
          <w:rFonts w:ascii="Times New Roman" w:hAnsi="Times New Roman" w:eastAsia="Times New Roman" w:cs="Times New Roman"/>
          <w:sz w:val="26"/>
          <w:szCs w:val="26"/>
        </w:rPr>
        <w:t xml:space="preserve">ponding reduction of  172 hours, due to normal fluctuations in industry. </w:t>
      </w:r>
    </w:p>
    <w:p w:rsidR="00582FF3" w:rsidRDefault="00FF4970" w14:paraId="576396FC" w14:textId="77777777">
      <w:pPr>
        <w:tabs>
          <w:tab w:val="num" w:pos="720"/>
        </w:tabs>
        <w:autoSpaceDE w:val="0"/>
        <w:autoSpaceDN w:val="0"/>
        <w:adjustRightInd w:val="0"/>
        <w:spacing w:before="100" w:beforeAutospacing="1" w:after="240" w:line="240" w:lineRule="auto"/>
        <w:rPr>
          <w:rFonts w:ascii="Times New Roman" w:hAnsi="Times New Roman" w:eastAsia="Times New Roman" w:cs="Times New Roman"/>
          <w:sz w:val="26"/>
          <w:szCs w:val="26"/>
        </w:rPr>
      </w:pPr>
      <w:r>
        <w:rPr>
          <w:rFonts w:ascii="Times New Roman" w:hAnsi="Times New Roman" w:eastAsia="Times New Roman" w:cs="Times New Roman"/>
          <w:b/>
          <w:bCs/>
          <w:sz w:val="26"/>
          <w:szCs w:val="26"/>
        </w:rPr>
        <w:t>Program change.</w:t>
      </w:r>
      <w:r>
        <w:rPr>
          <w:rFonts w:ascii="Times New Roman" w:hAnsi="Times New Roman" w:eastAsia="Times New Roman" w:cs="Times New Roman"/>
          <w:sz w:val="26"/>
          <w:szCs w:val="26"/>
        </w:rPr>
        <w:t xml:space="preserve"> There is a decrease (of 2,643 hrs.)  due to the removal of the Year 1 implementation burden estimate submitted for approval in 2017. Since 3 years have elapsed, the </w:t>
      </w:r>
      <w:proofErr w:type="spellStart"/>
      <w:r>
        <w:rPr>
          <w:rFonts w:ascii="Times New Roman" w:hAnsi="Times New Roman" w:eastAsia="Times New Roman" w:cs="Times New Roman"/>
          <w:sz w:val="26"/>
          <w:szCs w:val="26"/>
        </w:rPr>
        <w:t>o</w:t>
      </w:r>
      <w:r>
        <w:rPr>
          <w:rFonts w:ascii="Times New Roman" w:hAnsi="Times New Roman" w:eastAsia="Times New Roman" w:cs="Times New Roman"/>
          <w:sz w:val="26"/>
          <w:szCs w:val="26"/>
        </w:rPr>
        <w:t>ne time</w:t>
      </w:r>
      <w:proofErr w:type="spellEnd"/>
      <w:r>
        <w:rPr>
          <w:rFonts w:ascii="Times New Roman" w:hAnsi="Times New Roman" w:eastAsia="Times New Roman" w:cs="Times New Roman"/>
          <w:sz w:val="26"/>
          <w:szCs w:val="26"/>
        </w:rPr>
        <w:t xml:space="preserve"> 19,512 burden hours for Year 1 (that were averaged over Years 1-3), were removed.  The decrease in 4 responses (adjustment discussed above) caused 11,582 to be reduced to 11,410 hrs.</w:t>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Description w:val="table that charts list comparision"/>
      </w:tblPr>
      <w:tblGrid>
        <w:gridCol w:w="2160"/>
        <w:gridCol w:w="1779"/>
        <w:gridCol w:w="1959"/>
        <w:gridCol w:w="1958"/>
        <w:gridCol w:w="1504"/>
      </w:tblGrid>
      <w:tr w:rsidR="00582FF3" w14:paraId="505CA607" w14:textId="77777777">
        <w:trPr>
          <w:trHeight w:val="899"/>
        </w:trPr>
        <w:tc>
          <w:tcPr>
            <w:tcW w:w="216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00582FF3" w:rsidRDefault="00582FF3" w14:paraId="22A42CC5" w14:textId="77777777">
            <w:pPr>
              <w:widowControl w:val="0"/>
              <w:autoSpaceDE w:val="0"/>
              <w:autoSpaceDN w:val="0"/>
              <w:adjustRightInd w:val="0"/>
              <w:spacing w:after="0" w:line="240" w:lineRule="auto"/>
              <w:jc w:val="center"/>
              <w:rPr>
                <w:rFonts w:ascii="Times New Roman" w:hAnsi="Times New Roman" w:eastAsia="Calibri" w:cs="Times New Roman"/>
                <w:b/>
                <w:sz w:val="26"/>
                <w:szCs w:val="26"/>
              </w:rPr>
            </w:pPr>
          </w:p>
        </w:tc>
        <w:tc>
          <w:tcPr>
            <w:tcW w:w="1779"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00582FF3" w:rsidRDefault="00FF4970" w14:paraId="0F5658A3" w14:textId="77777777">
            <w:pPr>
              <w:widowControl w:val="0"/>
              <w:autoSpaceDE w:val="0"/>
              <w:autoSpaceDN w:val="0"/>
              <w:adjustRightInd w:val="0"/>
              <w:spacing w:after="0" w:line="240"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Total Request</w:t>
            </w:r>
          </w:p>
        </w:tc>
        <w:tc>
          <w:tcPr>
            <w:tcW w:w="1959"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00582FF3" w:rsidRDefault="00FF4970" w14:paraId="7E931B3C" w14:textId="77777777">
            <w:pPr>
              <w:widowControl w:val="0"/>
              <w:autoSpaceDE w:val="0"/>
              <w:autoSpaceDN w:val="0"/>
              <w:adjustRightInd w:val="0"/>
              <w:spacing w:after="0" w:line="240"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Previously Approved</w:t>
            </w:r>
          </w:p>
        </w:tc>
        <w:tc>
          <w:tcPr>
            <w:tcW w:w="1958"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00582FF3" w:rsidRDefault="00FF4970" w14:paraId="6C88CB93" w14:textId="77777777">
            <w:pPr>
              <w:widowControl w:val="0"/>
              <w:autoSpaceDE w:val="0"/>
              <w:autoSpaceDN w:val="0"/>
              <w:adjustRightInd w:val="0"/>
              <w:spacing w:after="0" w:line="240"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Change due to Adjustment in Es</w:t>
            </w:r>
            <w:r>
              <w:rPr>
                <w:rFonts w:ascii="Times New Roman" w:hAnsi="Times New Roman" w:eastAsia="Calibri" w:cs="Times New Roman"/>
                <w:b/>
                <w:sz w:val="26"/>
                <w:szCs w:val="26"/>
              </w:rPr>
              <w:t>timate</w:t>
            </w:r>
          </w:p>
        </w:tc>
        <w:tc>
          <w:tcPr>
            <w:tcW w:w="1504"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00582FF3" w:rsidRDefault="00FF4970" w14:paraId="56F6AD21" w14:textId="77777777">
            <w:pPr>
              <w:widowControl w:val="0"/>
              <w:autoSpaceDE w:val="0"/>
              <w:autoSpaceDN w:val="0"/>
              <w:adjustRightInd w:val="0"/>
              <w:spacing w:after="0" w:line="240"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Change Due to Agency Discretion</w:t>
            </w:r>
          </w:p>
        </w:tc>
      </w:tr>
      <w:tr w:rsidR="00582FF3" w14:paraId="56D51994" w14:textId="77777777">
        <w:trPr>
          <w:trHeight w:val="591"/>
        </w:trPr>
        <w:tc>
          <w:tcPr>
            <w:tcW w:w="9360" w:type="dxa"/>
            <w:gridSpan w:val="5"/>
            <w:tcBorders>
              <w:top w:val="single" w:color="auto" w:sz="4" w:space="0"/>
              <w:left w:val="single" w:color="auto" w:sz="4" w:space="0"/>
              <w:bottom w:val="single" w:color="auto" w:sz="4" w:space="0"/>
              <w:right w:val="single" w:color="auto" w:sz="4" w:space="0"/>
            </w:tcBorders>
            <w:vAlign w:val="bottom"/>
          </w:tcPr>
          <w:p w:rsidR="00582FF3" w:rsidRDefault="00FF4970" w14:paraId="0D5A289F" w14:textId="77777777">
            <w:pPr>
              <w:widowControl w:val="0"/>
              <w:autoSpaceDE w:val="0"/>
              <w:autoSpaceDN w:val="0"/>
              <w:adjustRightInd w:val="0"/>
              <w:spacing w:after="0" w:line="240"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FERC-725A(1B) (OMB Control No. 1902-0292)</w:t>
            </w:r>
          </w:p>
        </w:tc>
      </w:tr>
      <w:tr w:rsidR="00582FF3" w14:paraId="22E3AA85" w14:textId="77777777">
        <w:trPr>
          <w:trHeight w:val="602"/>
        </w:trPr>
        <w:tc>
          <w:tcPr>
            <w:tcW w:w="2160" w:type="dxa"/>
            <w:tcBorders>
              <w:top w:val="single" w:color="auto" w:sz="4" w:space="0"/>
              <w:left w:val="single" w:color="auto" w:sz="4" w:space="0"/>
              <w:bottom w:val="single" w:color="auto" w:sz="4" w:space="0"/>
              <w:right w:val="single" w:color="auto" w:sz="4" w:space="0"/>
            </w:tcBorders>
            <w:vAlign w:val="bottom"/>
            <w:hideMark/>
          </w:tcPr>
          <w:p w:rsidR="00582FF3" w:rsidRDefault="00FF4970" w14:paraId="484316FC" w14:textId="77777777">
            <w:pPr>
              <w:widowControl w:val="0"/>
              <w:autoSpaceDE w:val="0"/>
              <w:autoSpaceDN w:val="0"/>
              <w:adjustRightInd w:val="0"/>
              <w:spacing w:after="0" w:line="240" w:lineRule="auto"/>
              <w:rPr>
                <w:rFonts w:ascii="Times New Roman" w:hAnsi="Times New Roman" w:eastAsia="Calibri" w:cs="Times New Roman"/>
                <w:sz w:val="26"/>
                <w:szCs w:val="26"/>
              </w:rPr>
            </w:pPr>
            <w:r>
              <w:rPr>
                <w:rFonts w:ascii="Times New Roman" w:hAnsi="Times New Roman" w:eastAsia="Calibri" w:cs="Times New Roman"/>
                <w:sz w:val="26"/>
                <w:szCs w:val="26"/>
              </w:rPr>
              <w:t>Annual Number of Responses</w:t>
            </w:r>
          </w:p>
        </w:tc>
        <w:tc>
          <w:tcPr>
            <w:tcW w:w="1779" w:type="dxa"/>
            <w:tcBorders>
              <w:top w:val="single" w:color="auto" w:sz="4" w:space="0"/>
              <w:left w:val="single" w:color="auto" w:sz="4" w:space="0"/>
              <w:bottom w:val="single" w:color="auto" w:sz="4" w:space="0"/>
              <w:right w:val="single" w:color="auto" w:sz="4" w:space="0"/>
            </w:tcBorders>
            <w:vAlign w:val="bottom"/>
          </w:tcPr>
          <w:p w:rsidR="00582FF3" w:rsidRDefault="00FF4970" w14:paraId="50D5A1AE" w14:textId="77777777">
            <w:pPr>
              <w:widowControl w:val="0"/>
              <w:autoSpaceDE w:val="0"/>
              <w:autoSpaceDN w:val="0"/>
              <w:adjustRightInd w:val="0"/>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267</w:t>
            </w:r>
          </w:p>
        </w:tc>
        <w:tc>
          <w:tcPr>
            <w:tcW w:w="1959" w:type="dxa"/>
            <w:tcBorders>
              <w:top w:val="single" w:color="auto" w:sz="4" w:space="0"/>
              <w:left w:val="single" w:color="auto" w:sz="4" w:space="0"/>
              <w:bottom w:val="single" w:color="auto" w:sz="4" w:space="0"/>
              <w:right w:val="single" w:color="auto" w:sz="4" w:space="0"/>
            </w:tcBorders>
            <w:vAlign w:val="bottom"/>
          </w:tcPr>
          <w:p w:rsidR="00582FF3" w:rsidRDefault="00FF4970" w14:paraId="2EA86BC6" w14:textId="77777777">
            <w:pPr>
              <w:widowControl w:val="0"/>
              <w:autoSpaceDE w:val="0"/>
              <w:autoSpaceDN w:val="0"/>
              <w:adjustRightInd w:val="0"/>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271</w:t>
            </w:r>
          </w:p>
        </w:tc>
        <w:tc>
          <w:tcPr>
            <w:tcW w:w="1958" w:type="dxa"/>
            <w:tcBorders>
              <w:top w:val="single" w:color="auto" w:sz="4" w:space="0"/>
              <w:left w:val="single" w:color="auto" w:sz="4" w:space="0"/>
              <w:bottom w:val="single" w:color="auto" w:sz="4" w:space="0"/>
              <w:right w:val="single" w:color="auto" w:sz="4" w:space="0"/>
            </w:tcBorders>
            <w:vAlign w:val="bottom"/>
          </w:tcPr>
          <w:p w:rsidR="00582FF3" w:rsidRDefault="00FF4970" w14:paraId="0E3B636C" w14:textId="77777777">
            <w:pPr>
              <w:widowControl w:val="0"/>
              <w:autoSpaceDE w:val="0"/>
              <w:autoSpaceDN w:val="0"/>
              <w:adjustRightInd w:val="0"/>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-4</w:t>
            </w:r>
          </w:p>
        </w:tc>
        <w:tc>
          <w:tcPr>
            <w:tcW w:w="1504" w:type="dxa"/>
            <w:tcBorders>
              <w:top w:val="single" w:color="auto" w:sz="4" w:space="0"/>
              <w:left w:val="single" w:color="auto" w:sz="4" w:space="0"/>
              <w:bottom w:val="single" w:color="auto" w:sz="4" w:space="0"/>
              <w:right w:val="single" w:color="auto" w:sz="4" w:space="0"/>
            </w:tcBorders>
            <w:vAlign w:val="bottom"/>
          </w:tcPr>
          <w:p w:rsidR="00582FF3" w:rsidRDefault="00FF4970" w14:paraId="1761ED92" w14:textId="77777777">
            <w:pPr>
              <w:widowControl w:val="0"/>
              <w:autoSpaceDE w:val="0"/>
              <w:autoSpaceDN w:val="0"/>
              <w:adjustRightInd w:val="0"/>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0</w:t>
            </w:r>
          </w:p>
        </w:tc>
      </w:tr>
      <w:tr w:rsidR="00582FF3" w14:paraId="2B6033F6" w14:textId="77777777">
        <w:trPr>
          <w:trHeight w:val="575"/>
        </w:trPr>
        <w:tc>
          <w:tcPr>
            <w:tcW w:w="2160" w:type="dxa"/>
            <w:tcBorders>
              <w:top w:val="single" w:color="auto" w:sz="4" w:space="0"/>
              <w:left w:val="single" w:color="auto" w:sz="4" w:space="0"/>
              <w:bottom w:val="single" w:color="auto" w:sz="4" w:space="0"/>
              <w:right w:val="single" w:color="auto" w:sz="4" w:space="0"/>
            </w:tcBorders>
            <w:vAlign w:val="bottom"/>
            <w:hideMark/>
          </w:tcPr>
          <w:p w:rsidR="00582FF3" w:rsidRDefault="00FF4970" w14:paraId="131177CD" w14:textId="77777777">
            <w:pPr>
              <w:widowControl w:val="0"/>
              <w:autoSpaceDE w:val="0"/>
              <w:autoSpaceDN w:val="0"/>
              <w:adjustRightInd w:val="0"/>
              <w:spacing w:after="0" w:line="240" w:lineRule="auto"/>
              <w:rPr>
                <w:rFonts w:ascii="Times New Roman" w:hAnsi="Times New Roman" w:eastAsia="Calibri" w:cs="Times New Roman"/>
                <w:sz w:val="26"/>
                <w:szCs w:val="26"/>
              </w:rPr>
            </w:pPr>
            <w:r>
              <w:rPr>
                <w:rFonts w:ascii="Times New Roman" w:hAnsi="Times New Roman" w:eastAsia="Calibri" w:cs="Times New Roman"/>
                <w:sz w:val="26"/>
                <w:szCs w:val="26"/>
              </w:rPr>
              <w:t>Annual Time Burden (Hr.)</w:t>
            </w:r>
          </w:p>
        </w:tc>
        <w:tc>
          <w:tcPr>
            <w:tcW w:w="1779" w:type="dxa"/>
            <w:tcBorders>
              <w:top w:val="single" w:color="auto" w:sz="4" w:space="0"/>
              <w:left w:val="single" w:color="auto" w:sz="4" w:space="0"/>
              <w:bottom w:val="single" w:color="auto" w:sz="4" w:space="0"/>
              <w:right w:val="single" w:color="auto" w:sz="4" w:space="0"/>
            </w:tcBorders>
            <w:vAlign w:val="bottom"/>
          </w:tcPr>
          <w:p w:rsidR="00582FF3" w:rsidRDefault="00FF4970" w14:paraId="202DB1E4" w14:textId="77777777">
            <w:pPr>
              <w:widowControl w:val="0"/>
              <w:autoSpaceDE w:val="0"/>
              <w:autoSpaceDN w:val="0"/>
              <w:adjustRightInd w:val="0"/>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11,410</w:t>
            </w:r>
          </w:p>
        </w:tc>
        <w:tc>
          <w:tcPr>
            <w:tcW w:w="1959" w:type="dxa"/>
            <w:tcBorders>
              <w:top w:val="single" w:color="auto" w:sz="4" w:space="0"/>
              <w:left w:val="single" w:color="auto" w:sz="4" w:space="0"/>
              <w:bottom w:val="single" w:color="auto" w:sz="4" w:space="0"/>
              <w:right w:val="single" w:color="auto" w:sz="4" w:space="0"/>
            </w:tcBorders>
            <w:vAlign w:val="bottom"/>
          </w:tcPr>
          <w:p w:rsidR="00582FF3" w:rsidRDefault="00FF4970" w14:paraId="140E3712" w14:textId="77777777">
            <w:pPr>
              <w:widowControl w:val="0"/>
              <w:autoSpaceDE w:val="0"/>
              <w:autoSpaceDN w:val="0"/>
              <w:adjustRightInd w:val="0"/>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14,225</w:t>
            </w:r>
          </w:p>
        </w:tc>
        <w:tc>
          <w:tcPr>
            <w:tcW w:w="1958" w:type="dxa"/>
            <w:tcBorders>
              <w:top w:val="single" w:color="auto" w:sz="4" w:space="0"/>
              <w:left w:val="single" w:color="auto" w:sz="4" w:space="0"/>
              <w:bottom w:val="single" w:color="auto" w:sz="4" w:space="0"/>
              <w:right w:val="single" w:color="auto" w:sz="4" w:space="0"/>
            </w:tcBorders>
            <w:vAlign w:val="bottom"/>
          </w:tcPr>
          <w:p w:rsidR="00582FF3" w:rsidRDefault="00FF4970" w14:paraId="00636CB5" w14:textId="77777777">
            <w:pPr>
              <w:widowControl w:val="0"/>
              <w:autoSpaceDE w:val="0"/>
              <w:autoSpaceDN w:val="0"/>
              <w:adjustRightInd w:val="0"/>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-172</w:t>
            </w:r>
          </w:p>
        </w:tc>
        <w:tc>
          <w:tcPr>
            <w:tcW w:w="1504" w:type="dxa"/>
            <w:tcBorders>
              <w:top w:val="single" w:color="auto" w:sz="4" w:space="0"/>
              <w:left w:val="single" w:color="auto" w:sz="4" w:space="0"/>
              <w:bottom w:val="single" w:color="auto" w:sz="4" w:space="0"/>
              <w:right w:val="single" w:color="auto" w:sz="4" w:space="0"/>
            </w:tcBorders>
            <w:vAlign w:val="bottom"/>
          </w:tcPr>
          <w:p w:rsidR="00582FF3" w:rsidRDefault="00FF4970" w14:paraId="014E13F4" w14:textId="77777777">
            <w:pPr>
              <w:widowControl w:val="0"/>
              <w:autoSpaceDE w:val="0"/>
              <w:autoSpaceDN w:val="0"/>
              <w:adjustRightInd w:val="0"/>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-2,643</w:t>
            </w:r>
          </w:p>
        </w:tc>
      </w:tr>
      <w:tr w:rsidR="00582FF3" w14:paraId="0A191B5C" w14:textId="77777777">
        <w:trPr>
          <w:trHeight w:val="295"/>
        </w:trPr>
        <w:tc>
          <w:tcPr>
            <w:tcW w:w="2160" w:type="dxa"/>
            <w:tcBorders>
              <w:top w:val="single" w:color="auto" w:sz="4" w:space="0"/>
              <w:left w:val="single" w:color="auto" w:sz="4" w:space="0"/>
              <w:bottom w:val="single" w:color="auto" w:sz="4" w:space="0"/>
              <w:right w:val="single" w:color="auto" w:sz="4" w:space="0"/>
            </w:tcBorders>
            <w:vAlign w:val="bottom"/>
            <w:hideMark/>
          </w:tcPr>
          <w:p w:rsidR="00582FF3" w:rsidRDefault="00FF4970" w14:paraId="24B62EAF" w14:textId="77777777">
            <w:pPr>
              <w:widowControl w:val="0"/>
              <w:autoSpaceDE w:val="0"/>
              <w:autoSpaceDN w:val="0"/>
              <w:adjustRightInd w:val="0"/>
              <w:spacing w:after="0" w:line="240" w:lineRule="auto"/>
              <w:rPr>
                <w:rFonts w:ascii="Times New Roman" w:hAnsi="Times New Roman" w:eastAsia="Calibri" w:cs="Times New Roman"/>
                <w:sz w:val="26"/>
                <w:szCs w:val="26"/>
              </w:rPr>
            </w:pPr>
            <w:r>
              <w:rPr>
                <w:rFonts w:ascii="Times New Roman" w:hAnsi="Times New Roman" w:eastAsia="Calibri" w:cs="Times New Roman"/>
                <w:sz w:val="26"/>
                <w:szCs w:val="26"/>
              </w:rPr>
              <w:t>Annual Cost Burden ($)</w:t>
            </w:r>
          </w:p>
        </w:tc>
        <w:tc>
          <w:tcPr>
            <w:tcW w:w="1779" w:type="dxa"/>
            <w:tcBorders>
              <w:top w:val="single" w:color="auto" w:sz="4" w:space="0"/>
              <w:left w:val="single" w:color="auto" w:sz="4" w:space="0"/>
              <w:bottom w:val="single" w:color="auto" w:sz="4" w:space="0"/>
              <w:right w:val="single" w:color="auto" w:sz="4" w:space="0"/>
            </w:tcBorders>
            <w:vAlign w:val="bottom"/>
          </w:tcPr>
          <w:p w:rsidR="00582FF3" w:rsidRDefault="00582FF3" w14:paraId="7C29C537" w14:textId="77777777">
            <w:pPr>
              <w:widowControl w:val="0"/>
              <w:autoSpaceDE w:val="0"/>
              <w:autoSpaceDN w:val="0"/>
              <w:adjustRightInd w:val="0"/>
              <w:spacing w:after="0" w:line="240" w:lineRule="auto"/>
              <w:jc w:val="right"/>
              <w:rPr>
                <w:rFonts w:ascii="Times New Roman" w:hAnsi="Times New Roman" w:eastAsia="Calibri" w:cs="Times New Roman"/>
                <w:sz w:val="26"/>
                <w:szCs w:val="26"/>
              </w:rPr>
            </w:pPr>
          </w:p>
        </w:tc>
        <w:tc>
          <w:tcPr>
            <w:tcW w:w="1959" w:type="dxa"/>
            <w:tcBorders>
              <w:top w:val="single" w:color="auto" w:sz="4" w:space="0"/>
              <w:left w:val="single" w:color="auto" w:sz="4" w:space="0"/>
              <w:bottom w:val="single" w:color="auto" w:sz="4" w:space="0"/>
              <w:right w:val="single" w:color="auto" w:sz="4" w:space="0"/>
            </w:tcBorders>
            <w:vAlign w:val="bottom"/>
          </w:tcPr>
          <w:p w:rsidR="00582FF3" w:rsidRDefault="00FF4970" w14:paraId="697FC06B" w14:textId="77777777">
            <w:pPr>
              <w:widowControl w:val="0"/>
              <w:autoSpaceDE w:val="0"/>
              <w:autoSpaceDN w:val="0"/>
              <w:adjustRightInd w:val="0"/>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0</w:t>
            </w:r>
          </w:p>
        </w:tc>
        <w:tc>
          <w:tcPr>
            <w:tcW w:w="1958" w:type="dxa"/>
            <w:tcBorders>
              <w:top w:val="single" w:color="auto" w:sz="4" w:space="0"/>
              <w:left w:val="single" w:color="auto" w:sz="4" w:space="0"/>
              <w:bottom w:val="single" w:color="auto" w:sz="4" w:space="0"/>
              <w:right w:val="single" w:color="auto" w:sz="4" w:space="0"/>
            </w:tcBorders>
            <w:vAlign w:val="bottom"/>
          </w:tcPr>
          <w:p w:rsidR="00582FF3" w:rsidRDefault="00FF4970" w14:paraId="6505C95F" w14:textId="77777777">
            <w:pPr>
              <w:widowControl w:val="0"/>
              <w:autoSpaceDE w:val="0"/>
              <w:autoSpaceDN w:val="0"/>
              <w:adjustRightInd w:val="0"/>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0</w:t>
            </w:r>
          </w:p>
        </w:tc>
        <w:tc>
          <w:tcPr>
            <w:tcW w:w="1504" w:type="dxa"/>
            <w:tcBorders>
              <w:top w:val="single" w:color="auto" w:sz="4" w:space="0"/>
              <w:left w:val="single" w:color="auto" w:sz="4" w:space="0"/>
              <w:bottom w:val="single" w:color="auto" w:sz="4" w:space="0"/>
              <w:right w:val="single" w:color="auto" w:sz="4" w:space="0"/>
            </w:tcBorders>
            <w:vAlign w:val="bottom"/>
          </w:tcPr>
          <w:p w:rsidR="00582FF3" w:rsidRDefault="00FF4970" w14:paraId="2A0B2F0F" w14:textId="77777777">
            <w:pPr>
              <w:widowControl w:val="0"/>
              <w:autoSpaceDE w:val="0"/>
              <w:autoSpaceDN w:val="0"/>
              <w:adjustRightInd w:val="0"/>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0</w:t>
            </w:r>
          </w:p>
        </w:tc>
      </w:tr>
    </w:tbl>
    <w:p w:rsidR="00582FF3" w:rsidRDefault="00582FF3" w14:paraId="003B41C9" w14:textId="77777777">
      <w:pPr>
        <w:spacing w:after="0" w:line="240" w:lineRule="auto"/>
        <w:rPr>
          <w:rFonts w:ascii="Times New Roman" w:hAnsi="Times New Roman" w:cs="Times New Roman"/>
          <w:b/>
          <w:sz w:val="26"/>
          <w:szCs w:val="26"/>
        </w:rPr>
      </w:pPr>
    </w:p>
    <w:p w:rsidR="00582FF3" w:rsidRDefault="00FF4970" w14:paraId="7C5779AF" w14:textId="77777777">
      <w:pPr>
        <w:spacing w:after="0" w:line="240" w:lineRule="auto"/>
        <w:rPr>
          <w:rFonts w:ascii="Times New Roman" w:hAnsi="Times New Roman" w:cs="Times New Roman"/>
          <w:b/>
          <w:sz w:val="26"/>
          <w:szCs w:val="26"/>
        </w:rPr>
      </w:pPr>
      <w:r>
        <w:rPr>
          <w:rFonts w:ascii="Times New Roman" w:hAnsi="Times New Roman" w:cs="Times New Roman"/>
          <w:b/>
          <w:sz w:val="26"/>
          <w:szCs w:val="26"/>
        </w:rPr>
        <w:t>16. TIME SCHEDULE FOR PUBLICATION OF DATA</w:t>
      </w:r>
    </w:p>
    <w:p w:rsidR="00582FF3" w:rsidRDefault="00582FF3" w14:paraId="42E41B39" w14:textId="77777777">
      <w:pPr>
        <w:spacing w:after="0" w:line="240" w:lineRule="auto"/>
        <w:rPr>
          <w:rFonts w:ascii="Times New Roman" w:hAnsi="Times New Roman" w:cs="Times New Roman"/>
          <w:sz w:val="26"/>
          <w:szCs w:val="26"/>
        </w:rPr>
      </w:pPr>
    </w:p>
    <w:p w:rsidR="00582FF3" w:rsidRDefault="00FF4970" w14:paraId="43F52A1B"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There is no publication of data associated with FERC-725A(1B) collection of information.</w:t>
      </w:r>
    </w:p>
    <w:p w:rsidR="00582FF3" w:rsidRDefault="00582FF3" w14:paraId="2F5D23D4" w14:textId="77777777">
      <w:pPr>
        <w:spacing w:after="0" w:line="240" w:lineRule="auto"/>
        <w:rPr>
          <w:rFonts w:ascii="Times New Roman" w:hAnsi="Times New Roman" w:cs="Times New Roman"/>
          <w:sz w:val="26"/>
          <w:szCs w:val="26"/>
        </w:rPr>
      </w:pPr>
    </w:p>
    <w:p w:rsidR="00582FF3" w:rsidRDefault="00FF4970" w14:paraId="23344393" w14:textId="77777777">
      <w:pPr>
        <w:pStyle w:val="ListParagraph"/>
        <w:numPr>
          <w:ilvl w:val="0"/>
          <w:numId w:val="8"/>
        </w:numPr>
        <w:spacing w:after="0" w:line="240" w:lineRule="auto"/>
        <w:rPr>
          <w:rFonts w:ascii="Times New Roman" w:hAnsi="Times New Roman" w:cs="Times New Roman"/>
          <w:b/>
          <w:sz w:val="26"/>
          <w:szCs w:val="26"/>
        </w:rPr>
      </w:pPr>
      <w:r>
        <w:rPr>
          <w:rFonts w:ascii="Times New Roman" w:hAnsi="Times New Roman" w:cs="Times New Roman"/>
          <w:b/>
          <w:sz w:val="26"/>
          <w:szCs w:val="26"/>
        </w:rPr>
        <w:t>DISPLAY OF EXPIRATION DATE</w:t>
      </w:r>
    </w:p>
    <w:p w:rsidR="00582FF3" w:rsidRDefault="00582FF3" w14:paraId="271123CA" w14:textId="77777777">
      <w:pPr>
        <w:spacing w:after="0" w:line="240" w:lineRule="auto"/>
        <w:rPr>
          <w:rFonts w:ascii="Times New Roman" w:hAnsi="Times New Roman" w:cs="Times New Roman"/>
          <w:sz w:val="26"/>
          <w:szCs w:val="26"/>
        </w:rPr>
      </w:pPr>
    </w:p>
    <w:p w:rsidR="00582FF3" w:rsidRDefault="00FF4970" w14:paraId="5796B780"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expiration dates are posted on ferc.gov at </w:t>
      </w:r>
      <w:hyperlink w:history="1" r:id="rId13">
        <w:r>
          <w:rPr>
            <w:rStyle w:val="Hyperlink"/>
            <w:rFonts w:ascii="Times New Roman" w:hAnsi="Times New Roman" w:cs="Times New Roman"/>
            <w:sz w:val="26"/>
            <w:szCs w:val="26"/>
          </w:rPr>
          <w:t>http://www.ferc.gov/do</w:t>
        </w:r>
        <w:r>
          <w:rPr>
            <w:rStyle w:val="Hyperlink"/>
            <w:rFonts w:ascii="Times New Roman" w:hAnsi="Times New Roman" w:cs="Times New Roman"/>
            <w:sz w:val="26"/>
            <w:szCs w:val="26"/>
          </w:rPr>
          <w:t>cs-filing/info-collections.asp</w:t>
        </w:r>
      </w:hyperlink>
      <w:r>
        <w:rPr>
          <w:rFonts w:ascii="Times New Roman" w:hAnsi="Times New Roman" w:cs="Times New Roman"/>
          <w:sz w:val="26"/>
          <w:szCs w:val="26"/>
        </w:rPr>
        <w:t xml:space="preserve">. </w:t>
      </w:r>
    </w:p>
    <w:p w:rsidR="00582FF3" w:rsidRDefault="00582FF3" w14:paraId="4C0A8F67" w14:textId="77777777">
      <w:pPr>
        <w:spacing w:after="0" w:line="240" w:lineRule="auto"/>
        <w:rPr>
          <w:rFonts w:ascii="Times New Roman" w:hAnsi="Times New Roman" w:cs="Times New Roman"/>
          <w:sz w:val="26"/>
          <w:szCs w:val="26"/>
        </w:rPr>
      </w:pPr>
    </w:p>
    <w:p w:rsidR="00582FF3" w:rsidRDefault="00FF4970" w14:paraId="4C2C3D75" w14:textId="77777777">
      <w:pPr>
        <w:pStyle w:val="ListParagraph"/>
        <w:numPr>
          <w:ilvl w:val="0"/>
          <w:numId w:val="8"/>
        </w:numPr>
        <w:spacing w:after="0" w:line="240" w:lineRule="auto"/>
        <w:rPr>
          <w:rFonts w:ascii="Times New Roman" w:hAnsi="Times New Roman" w:cs="Times New Roman"/>
          <w:b/>
          <w:sz w:val="26"/>
          <w:szCs w:val="26"/>
        </w:rPr>
      </w:pPr>
      <w:r>
        <w:rPr>
          <w:rFonts w:ascii="Times New Roman" w:hAnsi="Times New Roman" w:cs="Times New Roman"/>
          <w:b/>
          <w:sz w:val="26"/>
          <w:szCs w:val="26"/>
        </w:rPr>
        <w:t>EXCEPTIONS TO THE CERTIFICATION STATEMENT</w:t>
      </w:r>
    </w:p>
    <w:p w:rsidR="00582FF3" w:rsidRDefault="00582FF3" w14:paraId="583E7F94" w14:textId="77777777">
      <w:pPr>
        <w:spacing w:after="0" w:line="240" w:lineRule="auto"/>
        <w:rPr>
          <w:rFonts w:ascii="Times New Roman" w:hAnsi="Times New Roman" w:cs="Times New Roman"/>
          <w:b/>
          <w:sz w:val="26"/>
          <w:szCs w:val="26"/>
        </w:rPr>
      </w:pPr>
    </w:p>
    <w:p w:rsidR="00582FF3" w:rsidRDefault="00FF4970" w14:paraId="70B134F1" w14:textId="77777777">
      <w:pPr>
        <w:spacing w:after="0" w:line="240" w:lineRule="auto"/>
        <w:rPr>
          <w:rFonts w:ascii="Times New Roman" w:hAnsi="Times New Roman" w:cs="Times New Roman"/>
          <w:sz w:val="26"/>
          <w:szCs w:val="26"/>
        </w:rPr>
      </w:pPr>
      <w:r>
        <w:rPr>
          <w:rFonts w:ascii="Times New Roman" w:hAnsi="Times New Roman" w:eastAsia="Calibri" w:cs="Times New Roman"/>
          <w:sz w:val="26"/>
          <w:szCs w:val="26"/>
        </w:rPr>
        <w:t>There are no exceptions.</w:t>
      </w:r>
    </w:p>
    <w:sectPr w:rsidR="00582FF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4B662" w14:textId="77777777" w:rsidR="00582FF3" w:rsidRDefault="00FF4970">
      <w:pPr>
        <w:spacing w:after="0" w:line="240" w:lineRule="auto"/>
      </w:pPr>
      <w:r>
        <w:separator/>
      </w:r>
    </w:p>
  </w:endnote>
  <w:endnote w:type="continuationSeparator" w:id="0">
    <w:p w14:paraId="565A17C0" w14:textId="77777777" w:rsidR="00582FF3" w:rsidRDefault="00FF4970">
      <w:pPr>
        <w:spacing w:after="0" w:line="240" w:lineRule="auto"/>
      </w:pPr>
      <w:r>
        <w:continuationSeparator/>
      </w:r>
    </w:p>
  </w:endnote>
  <w:endnote w:type="continuationNotice" w:id="1">
    <w:p w14:paraId="1F73A5F4" w14:textId="77777777" w:rsidR="00582FF3" w:rsidRDefault="00582F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96F1F" w14:textId="77777777" w:rsidR="00377187" w:rsidRDefault="00377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575590"/>
      <w:docPartObj>
        <w:docPartGallery w:val="Page Numbers (Bottom of Page)"/>
        <w:docPartUnique/>
      </w:docPartObj>
    </w:sdtPr>
    <w:sdtEndPr>
      <w:rPr>
        <w:noProof/>
      </w:rPr>
    </w:sdtEndPr>
    <w:sdtContent>
      <w:p w14:paraId="2CBB4BC8" w14:textId="77777777" w:rsidR="00582FF3" w:rsidRDefault="00FF4970">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2856F553" w14:textId="77777777" w:rsidR="00582FF3" w:rsidRDefault="00582F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75DA4" w14:textId="77777777" w:rsidR="00377187" w:rsidRDefault="00377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8C4A5" w14:textId="77777777" w:rsidR="00582FF3" w:rsidRDefault="00FF4970">
      <w:pPr>
        <w:spacing w:after="0" w:line="240" w:lineRule="auto"/>
      </w:pPr>
      <w:r>
        <w:separator/>
      </w:r>
    </w:p>
  </w:footnote>
  <w:footnote w:type="continuationSeparator" w:id="0">
    <w:p w14:paraId="4DADD015" w14:textId="77777777" w:rsidR="00582FF3" w:rsidRDefault="00FF4970">
      <w:pPr>
        <w:spacing w:after="0" w:line="240" w:lineRule="auto"/>
      </w:pPr>
      <w:r>
        <w:continuationSeparator/>
      </w:r>
    </w:p>
  </w:footnote>
  <w:footnote w:type="continuationNotice" w:id="1">
    <w:p w14:paraId="5337B914" w14:textId="77777777" w:rsidR="00582FF3" w:rsidRDefault="00582FF3">
      <w:pPr>
        <w:spacing w:after="0" w:line="240" w:lineRule="auto"/>
      </w:pPr>
    </w:p>
  </w:footnote>
  <w:footnote w:id="2">
    <w:p w14:paraId="5EF4D2CF" w14:textId="77777777" w:rsidR="00582FF3" w:rsidRDefault="00FF4970">
      <w:pPr>
        <w:pStyle w:val="FootnoteText"/>
        <w:rPr>
          <w:rFonts w:ascii="Times New Roman" w:hAnsi="Times New Roman" w:cs="Times New Roman"/>
        </w:rPr>
      </w:pPr>
      <w:r>
        <w:rPr>
          <w:rStyle w:val="FootnoteReference"/>
          <w:rFonts w:ascii="Times New Roman" w:hAnsi="Times New Roman" w:cs="Times New Roman"/>
          <w:b/>
          <w:bCs/>
        </w:rPr>
        <w:footnoteRef/>
      </w:r>
      <w:r>
        <w:rPr>
          <w:rFonts w:ascii="Times New Roman" w:hAnsi="Times New Roman" w:cs="Times New Roman"/>
          <w:b/>
          <w:bCs/>
        </w:rPr>
        <w:t xml:space="preserve"> </w:t>
      </w:r>
      <w:r>
        <w:rPr>
          <w:rFonts w:ascii="Times New Roman" w:hAnsi="Times New Roman" w:cs="Times New Roman"/>
        </w:rPr>
        <w:t>The Energy Policy Act of 2005 (</w:t>
      </w:r>
      <w:proofErr w:type="spellStart"/>
      <w:r>
        <w:rPr>
          <w:rFonts w:ascii="Times New Roman" w:hAnsi="Times New Roman" w:cs="Times New Roman"/>
        </w:rPr>
        <w:t>EPAct</w:t>
      </w:r>
      <w:proofErr w:type="spellEnd"/>
      <w:r>
        <w:rPr>
          <w:rFonts w:ascii="Times New Roman" w:hAnsi="Times New Roman" w:cs="Times New Roman"/>
        </w:rPr>
        <w:t xml:space="preserve"> 2005), Pub. L. No 109-58, Title XII, Subtitle</w:t>
      </w:r>
      <w:r>
        <w:rPr>
          <w:rFonts w:ascii="Times New Roman" w:hAnsi="Times New Roman" w:cs="Times New Roman"/>
        </w:rPr>
        <w:t xml:space="preserve"> A, 119 Stat. 594, 941 (2005), codified at 16 U.S.C. 824o (2000).</w:t>
      </w:r>
    </w:p>
  </w:footnote>
  <w:footnote w:id="3">
    <w:p w14:paraId="7148492E" w14:textId="77777777" w:rsidR="00582FF3" w:rsidRDefault="00FF4970">
      <w:pPr>
        <w:pStyle w:val="FootnoteText"/>
        <w:rPr>
          <w:rFonts w:ascii="Times New Roman" w:hAnsi="Times New Roman" w:cs="Times New Roman"/>
        </w:rPr>
      </w:pPr>
      <w:r>
        <w:rPr>
          <w:rStyle w:val="FootnoteReference"/>
          <w:rFonts w:ascii="Times New Roman" w:hAnsi="Times New Roman" w:cs="Times New Roman"/>
          <w:b/>
          <w:bCs/>
        </w:rPr>
        <w:footnoteRef/>
      </w:r>
      <w:r>
        <w:rPr>
          <w:rFonts w:ascii="Times New Roman" w:hAnsi="Times New Roman" w:cs="Times New Roman"/>
          <w:vertAlign w:val="superscript"/>
        </w:rPr>
        <w:t xml:space="preserve"> </w:t>
      </w:r>
      <w:r>
        <w:rPr>
          <w:rFonts w:ascii="Times New Roman" w:hAnsi="Times New Roman" w:cs="Times New Roman"/>
        </w:rPr>
        <w:t xml:space="preserve">The Federal Power Act (as modified by the </w:t>
      </w:r>
      <w:proofErr w:type="spellStart"/>
      <w:r>
        <w:rPr>
          <w:rFonts w:ascii="Times New Roman" w:hAnsi="Times New Roman" w:cs="Times New Roman"/>
        </w:rPr>
        <w:t>EPAct</w:t>
      </w:r>
      <w:proofErr w:type="spellEnd"/>
      <w:r>
        <w:rPr>
          <w:rFonts w:ascii="Times New Roman" w:hAnsi="Times New Roman" w:cs="Times New Roman"/>
        </w:rPr>
        <w:t xml:space="preserve"> 2005) states “[t]he term “reliability standard” means a requirement, approved by the Commission under this section, to provide for reliable </w:t>
      </w:r>
      <w:r>
        <w:rPr>
          <w:rFonts w:ascii="Times New Roman" w:hAnsi="Times New Roman" w:cs="Times New Roman"/>
        </w:rPr>
        <w:t>operation of the bulk-power system. The term includes requirements for the operation of existing bulk-power system facilities, including cybersecurity protection, and the design of planned additions or modifications to such facilities to the extent necessa</w:t>
      </w:r>
      <w:r>
        <w:rPr>
          <w:rFonts w:ascii="Times New Roman" w:hAnsi="Times New Roman" w:cs="Times New Roman"/>
        </w:rPr>
        <w:t>ry to provide for reliable operation of the bulk-power system, but the term does not include any requirement to enlarge such facilities or to construct new transmission capacity or generation capacity.”</w:t>
      </w:r>
    </w:p>
  </w:footnote>
  <w:footnote w:id="4">
    <w:p w14:paraId="7D2C5ED2" w14:textId="77777777" w:rsidR="00582FF3" w:rsidRDefault="00FF4970">
      <w:pPr>
        <w:pStyle w:val="FootnoteText"/>
        <w:rPr>
          <w:rFonts w:ascii="Times New Roman" w:hAnsi="Times New Roman" w:cs="Times New Roman"/>
        </w:rPr>
      </w:pPr>
      <w:r>
        <w:rPr>
          <w:rStyle w:val="FootnoteReference"/>
          <w:rFonts w:ascii="Times New Roman" w:hAnsi="Times New Roman" w:cs="Times New Roman"/>
          <w:b/>
          <w:bCs/>
        </w:rPr>
        <w:footnoteRef/>
      </w:r>
      <w:r>
        <w:rPr>
          <w:rFonts w:ascii="Times New Roman" w:hAnsi="Times New Roman" w:cs="Times New Roman"/>
        </w:rPr>
        <w:t xml:space="preserve"> North American Electric Reliability Corp., 116 FERC</w:t>
      </w:r>
      <w:r>
        <w:rPr>
          <w:rFonts w:ascii="Times New Roman" w:hAnsi="Times New Roman" w:cs="Times New Roman"/>
        </w:rPr>
        <w:t xml:space="preserve"> ¶ 61,062, order on reh’g and compliance, 117 FERC ¶ 61,126 (2006), order on compliance, 118 FERC ¶ 61,190, order on reh’g, 119 FERC ¶ 61,046 (2007), aff’d sub nom. Alcoa Inc. v. FERC, 564 F.3d 1342 (D.C. Cir. 2009).</w:t>
      </w:r>
    </w:p>
  </w:footnote>
  <w:footnote w:id="5">
    <w:p w14:paraId="2A3E9AE5" w14:textId="77777777" w:rsidR="00582FF3" w:rsidRDefault="00FF4970">
      <w:pPr>
        <w:pStyle w:val="FootnoteText"/>
      </w:pPr>
      <w:r>
        <w:rPr>
          <w:rStyle w:val="FootnoteReference"/>
          <w:rFonts w:ascii="Times New Roman" w:hAnsi="Times New Roman" w:cs="Times New Roman"/>
          <w:b/>
          <w:bCs/>
        </w:rPr>
        <w:footnoteRef/>
      </w:r>
      <w:r>
        <w:rPr>
          <w:b/>
          <w:bCs/>
        </w:rPr>
        <w:t xml:space="preserve"> </w:t>
      </w:r>
      <w:r>
        <w:rPr>
          <w:rFonts w:ascii="Times New Roman" w:hAnsi="Times New Roman" w:cs="Times New Roman"/>
        </w:rPr>
        <w:t>Section 215 was added by the Energy P</w:t>
      </w:r>
      <w:r>
        <w:rPr>
          <w:rFonts w:ascii="Times New Roman" w:hAnsi="Times New Roman" w:cs="Times New Roman"/>
        </w:rPr>
        <w:t>olicy Act of 2005, Pub. L. No. 109-58, 119 Stat. 594 (2005) (codified at 16 USC 824o).</w:t>
      </w:r>
    </w:p>
  </w:footnote>
  <w:footnote w:id="6">
    <w:p w14:paraId="3EC91FBA" w14:textId="77777777" w:rsidR="00582FF3" w:rsidRDefault="00FF4970">
      <w:pPr>
        <w:pStyle w:val="FootnoteText"/>
        <w:rPr>
          <w:rFonts w:ascii="Times New Roman" w:hAnsi="Times New Roman" w:cs="Times New Roman"/>
        </w:rPr>
      </w:pPr>
      <w:r>
        <w:rPr>
          <w:rStyle w:val="FootnoteReference"/>
          <w:rFonts w:ascii="Times New Roman" w:hAnsi="Times New Roman" w:cs="Times New Roman"/>
          <w:b/>
          <w:bCs/>
        </w:rPr>
        <w:footnoteRef/>
      </w:r>
      <w:r>
        <w:rPr>
          <w:rFonts w:ascii="Times New Roman" w:hAnsi="Times New Roman" w:cs="Times New Roman"/>
        </w:rPr>
        <w:t xml:space="preserve">  NERC Petition at 18.  NERC emphasizes the importance of the quality of this type of data by noting that “[e]</w:t>
      </w:r>
      <w:proofErr w:type="spellStart"/>
      <w:r>
        <w:rPr>
          <w:rFonts w:ascii="Times New Roman" w:hAnsi="Times New Roman" w:cs="Times New Roman"/>
        </w:rPr>
        <w:t>ntities</w:t>
      </w:r>
      <w:proofErr w:type="spellEnd"/>
      <w:r>
        <w:rPr>
          <w:rFonts w:ascii="Times New Roman" w:hAnsi="Times New Roman" w:cs="Times New Roman"/>
        </w:rPr>
        <w:t xml:space="preserve"> continue to address lower-priority data quality is</w:t>
      </w:r>
      <w:r>
        <w:rPr>
          <w:rFonts w:ascii="Times New Roman" w:hAnsi="Times New Roman" w:cs="Times New Roman"/>
        </w:rPr>
        <w:t xml:space="preserve">sues (i.e., data quality issues not affecting Real-time monitoring or analysis) according to their operating practices.” </w:t>
      </w:r>
    </w:p>
    <w:p w14:paraId="44D308EC" w14:textId="77777777" w:rsidR="00582FF3" w:rsidRDefault="00FF4970">
      <w:pPr>
        <w:pStyle w:val="FootnoteText"/>
        <w:rPr>
          <w:rFonts w:ascii="Times New Roman" w:hAnsi="Times New Roman" w:cs="Times New Roman"/>
        </w:rPr>
      </w:pPr>
      <w:r>
        <w:rPr>
          <w:rFonts w:ascii="Times New Roman" w:hAnsi="Times New Roman" w:cs="Times New Roman"/>
          <w:b/>
          <w:bCs/>
          <w:vertAlign w:val="superscript"/>
        </w:rPr>
        <w:t>6</w:t>
      </w:r>
      <w:r>
        <w:rPr>
          <w:rFonts w:ascii="Times New Roman" w:hAnsi="Times New Roman" w:cs="Times New Roman"/>
          <w:vertAlign w:val="superscript"/>
        </w:rPr>
        <w:t xml:space="preserve">  </w:t>
      </w:r>
      <w:r>
        <w:rPr>
          <w:rFonts w:ascii="Times New Roman" w:hAnsi="Times New Roman" w:cs="Times New Roman"/>
        </w:rPr>
        <w:t xml:space="preserve">An Errata Notice (posted at </w:t>
      </w:r>
      <w:hyperlink r:id="rId1" w:history="1">
        <w:r>
          <w:rPr>
            <w:rStyle w:val="Hyperlink"/>
            <w:rFonts w:ascii="Times New Roman" w:hAnsi="Times New Roman" w:cs="Times New Roman"/>
          </w:rPr>
          <w:t>https://elibrary.ferc.gov/idmws/common/opennat.asp?fileID=15543711</w:t>
        </w:r>
      </w:hyperlink>
      <w:r>
        <w:rPr>
          <w:rFonts w:ascii="Times New Roman" w:hAnsi="Times New Roman" w:cs="Times New Roman"/>
        </w:rPr>
        <w:t>) was issued for the 30-day notice that affects the 3</w:t>
      </w:r>
      <w:r>
        <w:rPr>
          <w:rFonts w:ascii="Times New Roman" w:hAnsi="Times New Roman" w:cs="Times New Roman"/>
          <w:vertAlign w:val="superscript"/>
        </w:rPr>
        <w:t>rd</w:t>
      </w:r>
      <w:r>
        <w:rPr>
          <w:rFonts w:ascii="Times New Roman" w:hAnsi="Times New Roman" w:cs="Times New Roman"/>
        </w:rPr>
        <w:t>, 4</w:t>
      </w:r>
      <w:r>
        <w:rPr>
          <w:rFonts w:ascii="Times New Roman" w:hAnsi="Times New Roman" w:cs="Times New Roman"/>
          <w:vertAlign w:val="superscript"/>
        </w:rPr>
        <w:t>th</w:t>
      </w:r>
      <w:r>
        <w:rPr>
          <w:rFonts w:ascii="Times New Roman" w:hAnsi="Times New Roman" w:cs="Times New Roman"/>
        </w:rPr>
        <w:t>, and 5</w:t>
      </w:r>
      <w:r>
        <w:rPr>
          <w:rFonts w:ascii="Times New Roman" w:hAnsi="Times New Roman" w:cs="Times New Roman"/>
          <w:vertAlign w:val="superscript"/>
        </w:rPr>
        <w:t>th</w:t>
      </w:r>
      <w:r>
        <w:rPr>
          <w:rFonts w:ascii="Times New Roman" w:hAnsi="Times New Roman" w:cs="Times New Roman"/>
        </w:rPr>
        <w:t xml:space="preserve"> columns of the table. This will correct the public notices for both 60-day and 30-day publications.; the corrected figur</w:t>
      </w:r>
      <w:r>
        <w:rPr>
          <w:rFonts w:ascii="Times New Roman" w:hAnsi="Times New Roman" w:cs="Times New Roman"/>
        </w:rPr>
        <w:t>es are included in section #12 of this supporting statement.</w:t>
      </w:r>
    </w:p>
  </w:footnote>
  <w:footnote w:id="7">
    <w:p w14:paraId="6F0A2437" w14:textId="77777777" w:rsidR="00582FF3" w:rsidRDefault="00FF4970">
      <w:pPr>
        <w:pStyle w:val="FootnoteText"/>
        <w:rPr>
          <w:rFonts w:ascii="Times New Roman" w:hAnsi="Times New Roman" w:cs="Times New Roman"/>
        </w:rPr>
      </w:pPr>
      <w:r>
        <w:rPr>
          <w:rStyle w:val="FootnoteReference"/>
          <w:rFonts w:ascii="Times New Roman" w:hAnsi="Times New Roman" w:cs="Times New Roman"/>
          <w:b/>
          <w:bCs/>
        </w:rPr>
        <w:t>7</w:t>
      </w:r>
      <w:r>
        <w:rPr>
          <w:rFonts w:ascii="Times New Roman" w:hAnsi="Times New Roman" w:cs="Times New Roman"/>
        </w:rPr>
        <w:t xml:space="preserve"> Our estimates are based on the NERC Compliance Registry, Summary of Entities and Functions as of April 24, 2020, which indicates they are registered as </w:t>
      </w:r>
      <w:bookmarkStart w:id="1" w:name="_Hlk41480055"/>
      <w:r>
        <w:rPr>
          <w:rFonts w:ascii="Times New Roman" w:hAnsi="Times New Roman" w:cs="Times New Roman"/>
        </w:rPr>
        <w:t>BA and TOP</w:t>
      </w:r>
      <w:bookmarkEnd w:id="1"/>
      <w:r>
        <w:rPr>
          <w:rFonts w:ascii="Times New Roman" w:hAnsi="Times New Roman" w:cs="Times New Roman"/>
        </w:rPr>
        <w:t>.</w:t>
      </w:r>
    </w:p>
  </w:footnote>
  <w:footnote w:id="8">
    <w:p w14:paraId="731C540E" w14:textId="77777777" w:rsidR="00582FF3" w:rsidRDefault="00FF4970">
      <w:pPr>
        <w:pStyle w:val="FootnoteText"/>
        <w:rPr>
          <w:rFonts w:ascii="Times New Roman" w:hAnsi="Times New Roman" w:cs="Times New Roman"/>
        </w:rPr>
      </w:pPr>
      <w:r>
        <w:rPr>
          <w:rStyle w:val="FootnoteReference"/>
          <w:rFonts w:ascii="Times New Roman" w:hAnsi="Times New Roman" w:cs="Times New Roman"/>
          <w:b/>
          <w:bCs/>
        </w:rPr>
        <w:t>8</w:t>
      </w:r>
      <w:r>
        <w:rPr>
          <w:rFonts w:ascii="Times New Roman" w:hAnsi="Times New Roman" w:cs="Times New Roman"/>
        </w:rPr>
        <w:t xml:space="preserve"> The number of respondents i</w:t>
      </w:r>
      <w:r>
        <w:rPr>
          <w:rFonts w:ascii="Times New Roman" w:hAnsi="Times New Roman" w:cs="Times New Roman"/>
        </w:rPr>
        <w:t xml:space="preserve">s the number of entities in which a change in burden from the removal of Year 1 Implementation approved in the 2017 submission.  The removal of 70 </w:t>
      </w:r>
      <w:proofErr w:type="spellStart"/>
      <w:r>
        <w:rPr>
          <w:rFonts w:ascii="Times New Roman" w:hAnsi="Times New Roman" w:cs="Times New Roman"/>
        </w:rPr>
        <w:t>hrs</w:t>
      </w:r>
      <w:proofErr w:type="spellEnd"/>
      <w:r>
        <w:rPr>
          <w:rFonts w:ascii="Times New Roman" w:hAnsi="Times New Roman" w:cs="Times New Roman"/>
        </w:rPr>
        <w:t xml:space="preserve"> per response (averaged over 3 years) </w:t>
      </w:r>
    </w:p>
  </w:footnote>
  <w:footnote w:id="9">
    <w:p w14:paraId="20D18384" w14:textId="77777777" w:rsidR="00582FF3" w:rsidRDefault="00FF4970">
      <w:pPr>
        <w:pStyle w:val="FootnoteText"/>
      </w:pPr>
      <w:r>
        <w:rPr>
          <w:rStyle w:val="FootnoteReference"/>
          <w:rFonts w:ascii="Times New Roman" w:hAnsi="Times New Roman" w:cs="Times New Roman"/>
          <w:b/>
          <w:bCs/>
        </w:rPr>
        <w:t>9</w:t>
      </w:r>
      <w:r>
        <w:rPr>
          <w:rFonts w:ascii="Times New Roman" w:hAnsi="Times New Roman" w:cs="Times New Roman"/>
        </w:rPr>
        <w:t xml:space="preserve"> The estimated hourly costs (salary plus benefits) are based on Bu</w:t>
      </w:r>
      <w:r>
        <w:rPr>
          <w:rFonts w:ascii="Times New Roman" w:hAnsi="Times New Roman" w:cs="Times New Roman"/>
        </w:rPr>
        <w:t>reau of Labor Statistics (BLS) information, as of May 2019 (at http://www.bls.gov/oes/current/naics2_22.htm, with updated benefits information for March 2019 at http://www.bls.gov/news.release/ecec.nr0.htm), for an electrical engineer (code 17-2071, $68.17</w:t>
      </w:r>
      <w:r>
        <w:rPr>
          <w:rFonts w:ascii="Times New Roman" w:hAnsi="Times New Roman" w:cs="Times New Roman"/>
        </w:rPr>
        <w:t>/hour), and for information and record clerks record keeper (code 43-4199, $40.84/hour).  The hourly figure for engineers is used for reporting; the hourly figure for information and record clerks is used for document retention.</w:t>
      </w:r>
    </w:p>
  </w:footnote>
  <w:footnote w:id="10">
    <w:p w14:paraId="20AF1E1F" w14:textId="77777777" w:rsidR="00582FF3" w:rsidRDefault="00FF4970">
      <w:pPr>
        <w:pStyle w:val="FootnoteText"/>
        <w:rPr>
          <w:rFonts w:ascii="Times New Roman" w:hAnsi="Times New Roman" w:cs="Times New Roman"/>
        </w:rPr>
      </w:pPr>
      <w:r>
        <w:rPr>
          <w:rStyle w:val="FootnoteReference"/>
          <w:rFonts w:ascii="Times New Roman" w:hAnsi="Times New Roman" w:cs="Times New Roman"/>
          <w:b/>
          <w:bCs/>
        </w:rPr>
        <w:t>10</w:t>
      </w:r>
      <w:r>
        <w:rPr>
          <w:rFonts w:ascii="Times New Roman" w:hAnsi="Times New Roman" w:cs="Times New Roman"/>
        </w:rPr>
        <w:t xml:space="preserve"> Balancing Authority (BA)</w:t>
      </w:r>
      <w:r>
        <w:rPr>
          <w:rFonts w:ascii="Times New Roman" w:hAnsi="Times New Roman" w:cs="Times New Roman"/>
        </w:rPr>
        <w:t>. The following Requirements and associated measures apply to balancing authorities:  Requirement R1:</w:t>
      </w:r>
      <w:r>
        <w:rPr>
          <w:rFonts w:ascii="Times New Roman" w:hAnsi="Times New Roman" w:cs="Times New Roman"/>
          <w:color w:val="000000"/>
        </w:rPr>
        <w:t xml:space="preserve">  A revised data specification and writing the required operating process/operating procedure; and Requirement R2:  quality monitoring logs and the data er</w:t>
      </w:r>
      <w:r>
        <w:rPr>
          <w:rFonts w:ascii="Times New Roman" w:hAnsi="Times New Roman" w:cs="Times New Roman"/>
          <w:color w:val="000000"/>
        </w:rPr>
        <w:t>rors and corrective action logs.</w:t>
      </w:r>
    </w:p>
  </w:footnote>
  <w:footnote w:id="11">
    <w:p w14:paraId="79234374" w14:textId="77777777" w:rsidR="00582FF3" w:rsidRDefault="00FF4970">
      <w:pPr>
        <w:pStyle w:val="FootnoteText"/>
        <w:rPr>
          <w:rFonts w:ascii="Times New Roman" w:hAnsi="Times New Roman" w:cs="Times New Roman"/>
        </w:rPr>
      </w:pPr>
      <w:r>
        <w:rPr>
          <w:rStyle w:val="FootnoteReference"/>
          <w:rFonts w:ascii="Times New Roman" w:hAnsi="Times New Roman" w:cs="Times New Roman"/>
          <w:b/>
          <w:bCs/>
        </w:rPr>
        <w:t>1</w:t>
      </w:r>
      <w:r>
        <w:rPr>
          <w:rFonts w:ascii="Times New Roman" w:hAnsi="Times New Roman" w:cs="Times New Roman"/>
          <w:b/>
          <w:bCs/>
          <w:vertAlign w:val="superscript"/>
        </w:rPr>
        <w:t>1</w:t>
      </w:r>
      <w:r>
        <w:rPr>
          <w:rFonts w:ascii="Times New Roman" w:hAnsi="Times New Roman" w:cs="Times New Roman"/>
        </w:rPr>
        <w:t xml:space="preserve"> Transmission Operations (TOP). The following Requirements and associated measures apply to transmission operators:  Requirement R1:  A</w:t>
      </w:r>
      <w:r>
        <w:rPr>
          <w:rFonts w:ascii="Times New Roman" w:hAnsi="Times New Roman" w:cs="Times New Roman"/>
          <w:color w:val="000000"/>
        </w:rPr>
        <w:t xml:space="preserve"> revised data specification and</w:t>
      </w:r>
      <w:r>
        <w:rPr>
          <w:rFonts w:ascii="Times New Roman" w:hAnsi="Times New Roman" w:cs="Times New Roman"/>
          <w:color w:val="000000"/>
          <w:sz w:val="26"/>
          <w:szCs w:val="26"/>
        </w:rPr>
        <w:t xml:space="preserve"> </w:t>
      </w:r>
      <w:r>
        <w:rPr>
          <w:rFonts w:ascii="Times New Roman" w:hAnsi="Times New Roman" w:cs="Times New Roman"/>
          <w:color w:val="000000"/>
        </w:rPr>
        <w:t>writing the required operating</w:t>
      </w:r>
      <w:r>
        <w:rPr>
          <w:rFonts w:ascii="Times New Roman" w:hAnsi="Times New Roman" w:cs="Times New Roman"/>
          <w:color w:val="000000"/>
          <w:sz w:val="26"/>
          <w:szCs w:val="26"/>
        </w:rPr>
        <w:t xml:space="preserve"> </w:t>
      </w:r>
      <w:r>
        <w:rPr>
          <w:rFonts w:ascii="Times New Roman" w:hAnsi="Times New Roman" w:cs="Times New Roman"/>
          <w:color w:val="000000"/>
        </w:rPr>
        <w:t>process/operating</w:t>
      </w:r>
      <w:r>
        <w:rPr>
          <w:rFonts w:ascii="Times New Roman" w:hAnsi="Times New Roman" w:cs="Times New Roman"/>
          <w:color w:val="000000"/>
          <w:sz w:val="26"/>
          <w:szCs w:val="26"/>
        </w:rPr>
        <w:t xml:space="preserve"> </w:t>
      </w:r>
      <w:r>
        <w:rPr>
          <w:rFonts w:ascii="Times New Roman" w:hAnsi="Times New Roman" w:cs="Times New Roman"/>
          <w:color w:val="000000"/>
        </w:rPr>
        <w:t>proce</w:t>
      </w:r>
      <w:r>
        <w:rPr>
          <w:rFonts w:ascii="Times New Roman" w:hAnsi="Times New Roman" w:cs="Times New Roman"/>
          <w:color w:val="000000"/>
        </w:rPr>
        <w:t xml:space="preserve">dure; and Requirement </w:t>
      </w:r>
      <w:r>
        <w:rPr>
          <w:rFonts w:ascii="Times New Roman" w:hAnsi="Times New Roman" w:cs="Times New Roman"/>
        </w:rPr>
        <w:t>R3:  a</w:t>
      </w:r>
      <w:r>
        <w:rPr>
          <w:rFonts w:ascii="Times New Roman" w:hAnsi="Times New Roman" w:cs="Times New Roman"/>
          <w:color w:val="000000"/>
        </w:rPr>
        <w:t>larm process monitor performance logs to maintain performance logs and corrective action plans.</w:t>
      </w:r>
    </w:p>
  </w:footnote>
  <w:footnote w:id="12">
    <w:p w14:paraId="58DFC22F" w14:textId="77777777" w:rsidR="00582FF3" w:rsidRDefault="00FF4970">
      <w:pPr>
        <w:pStyle w:val="FootnoteText"/>
        <w:rPr>
          <w:rFonts w:ascii="Times New Roman" w:hAnsi="Times New Roman" w:cs="Times New Roman"/>
        </w:rPr>
      </w:pPr>
      <w:r>
        <w:rPr>
          <w:rStyle w:val="FootnoteReference"/>
          <w:rFonts w:ascii="Times New Roman" w:hAnsi="Times New Roman" w:cs="Times New Roman"/>
          <w:b/>
        </w:rPr>
        <w:t>12</w:t>
      </w:r>
      <w:r>
        <w:rPr>
          <w:rFonts w:ascii="Times New Roman" w:hAnsi="Times New Roman" w:cs="Times New Roman"/>
        </w:rPr>
        <w:t xml:space="preserve"> Paperwork Reduction Act of 1995 (PRA)</w:t>
      </w:r>
    </w:p>
  </w:footnote>
  <w:footnote w:id="13">
    <w:p w14:paraId="1B296775" w14:textId="77777777" w:rsidR="00582FF3" w:rsidRDefault="00582FF3">
      <w:pPr>
        <w:pStyle w:val="FootnoteText"/>
        <w:rPr>
          <w:rFonts w:ascii="Times New Roman" w:hAnsi="Times New Roman" w:cs="Times New Roman"/>
          <w:vertAlign w:val="superscrip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6A651" w14:textId="77777777" w:rsidR="00377187" w:rsidRDefault="003771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0F6D3" w14:textId="77777777" w:rsidR="00582FF3" w:rsidRDefault="00FF4970">
    <w:pPr>
      <w:pStyle w:val="Header"/>
      <w:rPr>
        <w:rFonts w:ascii="Times New Roman" w:hAnsi="Times New Roman" w:cs="Times New Roman"/>
        <w:sz w:val="24"/>
        <w:szCs w:val="24"/>
      </w:rPr>
    </w:pPr>
    <w:r>
      <w:rPr>
        <w:rFonts w:ascii="Times New Roman" w:hAnsi="Times New Roman" w:cs="Times New Roman"/>
        <w:sz w:val="24"/>
        <w:szCs w:val="24"/>
      </w:rPr>
      <w:t>FERC-725A(1B) (OMB Control No.: 1902-0292)</w:t>
    </w:r>
  </w:p>
  <w:p w14:paraId="7A99EF4A" w14:textId="77777777" w:rsidR="00582FF3" w:rsidRDefault="00FF4970">
    <w:pPr>
      <w:pStyle w:val="Header"/>
      <w:rPr>
        <w:rFonts w:ascii="Times New Roman" w:hAnsi="Times New Roman" w:cs="Times New Roman"/>
        <w:sz w:val="24"/>
        <w:szCs w:val="24"/>
      </w:rPr>
    </w:pPr>
    <w:r>
      <w:rPr>
        <w:rFonts w:ascii="Times New Roman" w:hAnsi="Times New Roman" w:cs="Times New Roman"/>
        <w:sz w:val="24"/>
        <w:szCs w:val="24"/>
      </w:rPr>
      <w:t>Docket No. IC20-6-000</w:t>
    </w:r>
  </w:p>
  <w:p w14:paraId="7E7DE6A3" w14:textId="77777777" w:rsidR="00582FF3" w:rsidRDefault="00FF4970">
    <w:pPr>
      <w:pStyle w:val="Header"/>
    </w:pPr>
    <w:r>
      <w:rPr>
        <w:rFonts w:ascii="Times New Roman" w:hAnsi="Times New Roman" w:cs="Times New Roman"/>
        <w:sz w:val="24"/>
        <w:szCs w:val="24"/>
      </w:rPr>
      <w:t>(8/</w:t>
    </w:r>
    <w:r w:rsidR="00377187">
      <w:rPr>
        <w:rFonts w:ascii="Times New Roman" w:hAnsi="Times New Roman" w:cs="Times New Roman"/>
        <w:sz w:val="24"/>
        <w:szCs w:val="24"/>
      </w:rPr>
      <w:t>12</w:t>
    </w:r>
    <w:r>
      <w:rPr>
        <w:rFonts w:ascii="Times New Roman" w:hAnsi="Times New Roman" w:cs="Times New Roman"/>
        <w:sz w:val="24"/>
        <w:szCs w:val="24"/>
      </w:rPr>
      <w:t>/2020)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185B3" w14:textId="77777777" w:rsidR="00377187" w:rsidRDefault="003771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018E"/>
    <w:multiLevelType w:val="hybridMultilevel"/>
    <w:tmpl w:val="A6E2A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B112F"/>
    <w:multiLevelType w:val="hybridMultilevel"/>
    <w:tmpl w:val="57D6463E"/>
    <w:lvl w:ilvl="0" w:tplc="6FB013E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D2961"/>
    <w:multiLevelType w:val="hybridMultilevel"/>
    <w:tmpl w:val="6A1C2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A96117"/>
    <w:multiLevelType w:val="hybridMultilevel"/>
    <w:tmpl w:val="33D4B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D567E2"/>
    <w:multiLevelType w:val="hybridMultilevel"/>
    <w:tmpl w:val="C17C4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EF516B"/>
    <w:multiLevelType w:val="hybridMultilevel"/>
    <w:tmpl w:val="F90CCA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A72F7"/>
    <w:multiLevelType w:val="hybridMultilevel"/>
    <w:tmpl w:val="5596ABA0"/>
    <w:lvl w:ilvl="0" w:tplc="8078EF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8B77FA5"/>
    <w:multiLevelType w:val="hybridMultilevel"/>
    <w:tmpl w:val="B4B408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CD487E"/>
    <w:multiLevelType w:val="hybridMultilevel"/>
    <w:tmpl w:val="C0C83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FD35AF"/>
    <w:multiLevelType w:val="hybridMultilevel"/>
    <w:tmpl w:val="943EA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CC1895"/>
    <w:multiLevelType w:val="hybridMultilevel"/>
    <w:tmpl w:val="40CA1A8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A200EA"/>
    <w:multiLevelType w:val="hybridMultilevel"/>
    <w:tmpl w:val="75326C6A"/>
    <w:lvl w:ilvl="0" w:tplc="5276128C">
      <w:start w:val="1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7"/>
  </w:num>
  <w:num w:numId="4">
    <w:abstractNumId w:val="5"/>
  </w:num>
  <w:num w:numId="5">
    <w:abstractNumId w:val="3"/>
  </w:num>
  <w:num w:numId="6">
    <w:abstractNumId w:val="1"/>
  </w:num>
  <w:num w:numId="7">
    <w:abstractNumId w:val="8"/>
  </w:num>
  <w:num w:numId="8">
    <w:abstractNumId w:val="11"/>
  </w:num>
  <w:num w:numId="9">
    <w:abstractNumId w:val="0"/>
  </w:num>
  <w:num w:numId="10">
    <w:abstractNumId w:val="2"/>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FF3"/>
    <w:rsid w:val="00377187"/>
    <w:rsid w:val="00582FF3"/>
    <w:rsid w:val="00FF4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E4352C"/>
  <w15:docId w15:val="{FFF168D6-2F89-49D6-9BF2-536F029C0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nhideWhenUsed/>
    <w:pPr>
      <w:spacing w:after="0" w:line="240" w:lineRule="auto"/>
    </w:pPr>
    <w:rPr>
      <w:sz w:val="20"/>
      <w:szCs w:val="20"/>
    </w:rPr>
  </w:style>
  <w:style w:type="character" w:customStyle="1" w:styleId="FootnoteTextChar">
    <w:name w:val="Footnote Text Char"/>
    <w:aliases w:val="Footnote Text Char2 Char Char1,Footnote Text Char Char1 Char Char1,Footnote Text Char1 Char Char Char Char1,Footnote Text Char Char Char Char Char Char1,Footnote Text Char1 Char Char Char Char Char Char Char Char1,ft Char1,fn Char1"/>
    <w:basedOn w:val="DefaultParagraphFont"/>
    <w:link w:val="FootnoteText"/>
    <w:rPr>
      <w:sz w:val="20"/>
      <w:szCs w:val="20"/>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basedOn w:val="DefaultParagraphFont"/>
    <w:unhideWhenUsed/>
    <w:rPr>
      <w:vertAlign w:val="superscript"/>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spacing w:after="200" w:line="276" w:lineRule="auto"/>
      <w:ind w:left="720"/>
      <w:contextualSpacing/>
    </w:pPr>
  </w:style>
  <w:style w:type="character" w:styleId="Hyperlink">
    <w:name w:val="Hyperlink"/>
    <w:rPr>
      <w:strike w:val="0"/>
      <w:dstrike w:val="0"/>
      <w:color w:val="004B91"/>
      <w:u w:val="none"/>
      <w:effect w:val="none"/>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Revision">
    <w:name w:val="Revision"/>
    <w:hidden/>
    <w:uiPriority w:val="99"/>
    <w:semiHidden/>
    <w:pPr>
      <w:spacing w:after="0" w:line="240" w:lineRule="auto"/>
    </w:p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docs-filing/info-collections.as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library.ferc.gov/idmws/common/opennat.asp?fileID=155437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725A(1B)</_x0031__x002e__x0020_Collection_x0020_Number>
    <Date xmlns="d6eefc7d-9817-4fa6-84d5-3bc009be21b8">2020-05-28T04:00:00.000Z</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IC20-6</_x0031__x002e__x0020_Docket_x0020_Number>
    <_x0033__x002e__x0020_Collection_x0020_Number xmlns="d6eefc7d-9817-4fa6-84d5-3bc009be21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37030-878A-47B2-874A-FE8135C23730}">
  <ds:schemaRefs>
    <ds:schemaRef ds:uri="d6eefc7d-9817-4fa6-84d5-3bc009be21b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0A125A5-02BC-4BB9-AE56-90D3E59370C3}">
  <ds:schemaRefs>
    <ds:schemaRef ds:uri="http://schemas.microsoft.com/sharepoint/v3/contenttype/forms"/>
  </ds:schemaRefs>
</ds:datastoreItem>
</file>

<file path=customXml/itemProps3.xml><?xml version="1.0" encoding="utf-8"?>
<ds:datastoreItem xmlns:ds="http://schemas.openxmlformats.org/officeDocument/2006/customXml" ds:itemID="{F437ACAE-56AF-4894-91A8-7A43F208A52B}">
  <ds:schemaRefs>
    <ds:schemaRef ds:uri="Microsoft.SharePoint.Taxonomy.ContentTypeSync"/>
  </ds:schemaRefs>
</ds:datastoreItem>
</file>

<file path=customXml/itemProps4.xml><?xml version="1.0" encoding="utf-8"?>
<ds:datastoreItem xmlns:ds="http://schemas.openxmlformats.org/officeDocument/2006/customXml" ds:itemID="{41E21F6B-209F-4BAC-8797-D7CA0BBF91E5}">
  <ds:schemaRefs>
    <ds:schemaRef ds:uri="http://schemas.microsoft.com/office/2006/metadata/customXsn"/>
  </ds:schemaRefs>
</ds:datastoreItem>
</file>

<file path=customXml/itemProps5.xml><?xml version="1.0" encoding="utf-8"?>
<ds:datastoreItem xmlns:ds="http://schemas.openxmlformats.org/officeDocument/2006/customXml" ds:itemID="{46B82F35-53CA-4AFD-9FB9-4F6598B0C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DD187E2-0C64-4E26-A1E5-4E06276C5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2216</Words>
  <Characters>12635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 Chambers</dc:creator>
  <cp:lastModifiedBy>Kayla Williams</cp:lastModifiedBy>
  <cp:revision>2</cp:revision>
  <dcterms:created xsi:type="dcterms:W3CDTF">2020-08-12T17:24:00Z</dcterms:created>
  <dcterms:modified xsi:type="dcterms:W3CDTF">2020-08-12T17:24:00Z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0x0101001EA51C0686BDB848B772F285AB6866B0</vt:lpwstr>
  </property>
  <property fmtid="{D5CDD505-2E9C-101B-9397-08002B2CF9AE}" pid="4" name="MSIP_Label_6155a89b-0f08-4a93-8ea2-8a916d6643b5_Enabled">
    <vt:lpwstr>True</vt:lpwstr>
  </property>
  <property fmtid="{D5CDD505-2E9C-101B-9397-08002B2CF9AE}" pid="5" name="MSIP_Label_6155a89b-0f08-4a93-8ea2-8a916d6643b5_SiteId">
    <vt:lpwstr>19caa9e9-04ff-43fa-885f-d77fac387903</vt:lpwstr>
  </property>
  <property fmtid="{D5CDD505-2E9C-101B-9397-08002B2CF9AE}" pid="6" name="MSIP_Label_6155a89b-0f08-4a93-8ea2-8a916d6643b5_Owner">
    <vt:lpwstr>Dennis.Fuentes-Pedrosa@ferc.gov</vt:lpwstr>
  </property>
  <property fmtid="{D5CDD505-2E9C-101B-9397-08002B2CF9AE}" pid="7" name="MSIP_Label_6155a89b-0f08-4a93-8ea2-8a916d6643b5_SetDate">
    <vt:lpwstr>2020-05-01T21:18:01.5644128Z</vt:lpwstr>
  </property>
  <property fmtid="{D5CDD505-2E9C-101B-9397-08002B2CF9AE}" pid="8" name="MSIP_Label_6155a89b-0f08-4a93-8ea2-8a916d6643b5_Name">
    <vt:lpwstr>General</vt:lpwstr>
  </property>
  <property fmtid="{D5CDD505-2E9C-101B-9397-08002B2CF9AE}" pid="9" name="MSIP_Label_6155a89b-0f08-4a93-8ea2-8a916d6643b5_Application">
    <vt:lpwstr>Microsoft Azure Information Protection</vt:lpwstr>
  </property>
  <property fmtid="{D5CDD505-2E9C-101B-9397-08002B2CF9AE}" pid="10" name="MSIP_Label_6155a89b-0f08-4a93-8ea2-8a916d6643b5_ActionId">
    <vt:lpwstr>88d1f4e0-9336-4302-b67c-9c107af21bda</vt:lpwstr>
  </property>
  <property fmtid="{D5CDD505-2E9C-101B-9397-08002B2CF9AE}" pid="11" name="MSIP_Label_6155a89b-0f08-4a93-8ea2-8a916d6643b5_Extended_MSFT_Method">
    <vt:lpwstr>Manual</vt:lpwstr>
  </property>
  <property fmtid="{D5CDD505-2E9C-101B-9397-08002B2CF9AE}" pid="12" name="Sensitivity">
    <vt:lpwstr>General</vt:lpwstr>
  </property>
</Properties>
</file>