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6E444933"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4CB90DC8" w14:textId="77777777">
      <w:pPr>
        <w:jc w:val="center"/>
      </w:pPr>
      <w:r>
        <w:t>FEDERAL ENERGY REGULATORY COMMISSION</w:t>
      </w:r>
    </w:p>
    <w:p w:rsidR="00A2604E" w:rsidP="00A2604E" w:rsidRDefault="00A2604E" w14:paraId="72528CFE" w14:textId="77777777"/>
    <w:p w:rsidR="00A2604E" w:rsidP="00A2604E" w:rsidRDefault="00A2604E" w14:paraId="63F7D638" w14:textId="42CED8B3">
      <w:pPr>
        <w:jc w:val="center"/>
      </w:pPr>
      <w:r w:rsidRPr="00FD185A">
        <w:t xml:space="preserve">[Docket No. </w:t>
      </w:r>
      <w:r w:rsidRPr="00FD185A" w:rsidR="00FD185A">
        <w:t>IC</w:t>
      </w:r>
      <w:r w:rsidR="002C15DE">
        <w:t>20</w:t>
      </w:r>
      <w:r w:rsidRPr="00FD185A" w:rsidR="00FD185A">
        <w:t>-</w:t>
      </w:r>
      <w:r w:rsidR="002C15DE">
        <w:t>6</w:t>
      </w:r>
      <w:r w:rsidRPr="00FD185A" w:rsidR="00FD185A">
        <w:t>-000</w:t>
      </w:r>
      <w:r w:rsidRPr="00FD185A">
        <w:t>]</w:t>
      </w:r>
    </w:p>
    <w:p w:rsidR="00A2604E" w:rsidP="00A2604E" w:rsidRDefault="00A2604E" w14:paraId="35E21C8D" w14:textId="77777777"/>
    <w:p w:rsidRPr="00A22B29" w:rsidR="00A2604E" w:rsidP="00A2604E" w:rsidRDefault="00A2604E" w14:paraId="3E6E30E1" w14:textId="35A4570D">
      <w:pPr>
        <w:jc w:val="center"/>
      </w:pPr>
      <w:r>
        <w:t>COMMISSION INFORMATION COLLECTION ACTIVITIES (FERC-</w:t>
      </w:r>
      <w:r w:rsidR="00A44611">
        <w:t>725A(1B)</w:t>
      </w:r>
      <w:r w:rsidRPr="00A22B29">
        <w:t>;</w:t>
      </w:r>
    </w:p>
    <w:p w:rsidRPr="00A22B29" w:rsidR="00A2604E" w:rsidP="00A2604E" w:rsidRDefault="00A2604E" w14:paraId="2455F18B" w14:textId="77777777">
      <w:pPr>
        <w:jc w:val="center"/>
      </w:pPr>
      <w:r w:rsidRPr="00A22B29">
        <w:t>COMMENT REQUEST; EXTENSION</w:t>
      </w:r>
    </w:p>
    <w:p w:rsidRPr="00A22B29" w:rsidR="00810D18" w:rsidP="00810D18" w:rsidRDefault="00810D18" w14:paraId="1020381E" w14:textId="77777777"/>
    <w:p w:rsidR="002946DC" w:rsidP="001739D6" w:rsidRDefault="001739D6" w14:paraId="72720B08" w14:textId="18B16B18">
      <w:pPr>
        <w:jc w:val="center"/>
      </w:pPr>
      <w:r w:rsidRPr="001739D6">
        <w:t>(February 19, 2020)</w:t>
      </w:r>
    </w:p>
    <w:p w:rsidRPr="001739D6" w:rsidR="001739D6" w:rsidP="001739D6" w:rsidRDefault="001739D6" w14:paraId="69663DC6" w14:textId="77777777"/>
    <w:p w:rsidRPr="00A22B29" w:rsidR="00A2604E" w:rsidP="00A2604E" w:rsidRDefault="00A2604E" w14:paraId="373A1B90" w14:textId="77777777">
      <w:r w:rsidRPr="00A22B29">
        <w:rPr>
          <w:b/>
        </w:rPr>
        <w:t>AGENCY:</w:t>
      </w:r>
      <w:r w:rsidRPr="00A22B29">
        <w:t xml:space="preserve">  Federal Energy Regulatory Commission.</w:t>
      </w:r>
    </w:p>
    <w:p w:rsidRPr="00A22B29" w:rsidR="00A2604E" w:rsidP="00A2604E" w:rsidRDefault="00A2604E" w14:paraId="4B402D0B" w14:textId="77777777"/>
    <w:p w:rsidRPr="00A22B29" w:rsidR="00A2604E" w:rsidP="00A2604E" w:rsidRDefault="00A2604E" w14:paraId="780CCEA4" w14:textId="77777777">
      <w:pPr>
        <w:spacing w:line="480" w:lineRule="auto"/>
      </w:pPr>
      <w:r w:rsidRPr="00A22B29">
        <w:rPr>
          <w:b/>
        </w:rPr>
        <w:t>ACTION:</w:t>
      </w:r>
      <w:r w:rsidRPr="00A22B29">
        <w:t xml:space="preserve">  Notice of information collection and request for comments.</w:t>
      </w:r>
    </w:p>
    <w:p w:rsidR="00516246" w:rsidP="00A2604E" w:rsidRDefault="00A2604E" w14:paraId="241C087C" w14:textId="79285DDB">
      <w:pPr>
        <w:spacing w:line="480" w:lineRule="auto"/>
      </w:pPr>
      <w:r w:rsidRPr="00A22B29">
        <w:rPr>
          <w:b/>
        </w:rPr>
        <w:t>SUMMARY:</w:t>
      </w:r>
      <w:r w:rsidRPr="00A22B29">
        <w:t xml:space="preserve">  In compliance with the requirements of the Paperwork Reduction Act of 1995, the Federal Energy Regulatory Commission (Commission or FERC) is soliciting public comment on the currently approved information collection, </w:t>
      </w:r>
      <w:r w:rsidRPr="00A22B29" w:rsidR="00516246">
        <w:t>FERC-</w:t>
      </w:r>
      <w:r w:rsidR="00A44611">
        <w:t>725A(1B)</w:t>
      </w:r>
      <w:r w:rsidRPr="00A22B29" w:rsidR="00516246">
        <w:t>,</w:t>
      </w:r>
      <w:r w:rsidRPr="00516246" w:rsidR="00516246">
        <w:t xml:space="preserve"> (Mandatory Reliability Standards for the Bulk Power System)</w:t>
      </w:r>
    </w:p>
    <w:p w:rsidR="00A2604E" w:rsidP="00A2604E" w:rsidRDefault="00A2604E" w14:paraId="744289EA" w14:textId="44D114E9">
      <w:pPr>
        <w:spacing w:line="480" w:lineRule="auto"/>
      </w:pPr>
      <w:r w:rsidRPr="00CE64F2">
        <w:rPr>
          <w:b/>
        </w:rPr>
        <w:t>DATES:</w:t>
      </w:r>
      <w:r>
        <w:t xml:space="preserve">  Comments on the collection of information are due </w:t>
      </w:r>
      <w:r w:rsidRPr="006B4B0B">
        <w:rPr>
          <w:caps/>
        </w:rPr>
        <w:t>[</w:t>
      </w:r>
      <w:r w:rsidRPr="006B4B0B" w:rsidR="008017C6">
        <w:rPr>
          <w:b/>
          <w:caps/>
        </w:rPr>
        <w:t>I</w:t>
      </w:r>
      <w:r w:rsidRPr="006B4B0B">
        <w:rPr>
          <w:b/>
          <w:caps/>
        </w:rPr>
        <w:t xml:space="preserve">nsert date 60 days after </w:t>
      </w:r>
      <w:r w:rsidRPr="006B4B0B" w:rsidR="00CA6D76">
        <w:rPr>
          <w:b/>
          <w:caps/>
        </w:rPr>
        <w:t xml:space="preserve">date of </w:t>
      </w:r>
      <w:r w:rsidRPr="006B4B0B">
        <w:rPr>
          <w:b/>
          <w:caps/>
        </w:rPr>
        <w:t>publication in the Federal Register</w:t>
      </w:r>
      <w:r w:rsidRPr="006B4B0B">
        <w:rPr>
          <w:caps/>
        </w:rPr>
        <w:t xml:space="preserve">]. </w:t>
      </w:r>
    </w:p>
    <w:p w:rsidR="00A2604E" w:rsidP="00A2604E" w:rsidRDefault="00A2604E" w14:paraId="37B1CBF2" w14:textId="2FBDA8BA">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Pr="00FD185A" w:rsidR="00FD185A">
        <w:t>IC</w:t>
      </w:r>
      <w:r w:rsidR="00516246">
        <w:t>20</w:t>
      </w:r>
      <w:r w:rsidRPr="00FD185A" w:rsidR="00FD185A">
        <w:t>-</w:t>
      </w:r>
      <w:r w:rsidR="00516246">
        <w:t>6</w:t>
      </w:r>
      <w:r w:rsidRPr="00FD185A" w:rsidR="00FD185A">
        <w:t>-000</w:t>
      </w:r>
      <w:r w:rsidRPr="00FD185A">
        <w:t>) by either of the following methods:</w:t>
      </w:r>
    </w:p>
    <w:p w:rsidR="00A2604E" w:rsidP="00A2604E" w:rsidRDefault="00A2604E" w14:paraId="3AE9D928" w14:textId="77777777">
      <w:pPr>
        <w:numPr>
          <w:ilvl w:val="0"/>
          <w:numId w:val="2"/>
        </w:numPr>
        <w:tabs>
          <w:tab w:val="clear" w:pos="1500"/>
          <w:tab w:val="num" w:pos="1080"/>
        </w:tabs>
        <w:spacing w:line="480" w:lineRule="auto"/>
        <w:ind w:left="720" w:firstLine="0"/>
      </w:pPr>
      <w:bookmarkStart w:name="OLE_LINK1" w:id="1"/>
      <w:proofErr w:type="spellStart"/>
      <w:r>
        <w:t>eFiling</w:t>
      </w:r>
      <w:proofErr w:type="spellEnd"/>
      <w:r>
        <w:t xml:space="preserve"> at Commission’s Web Site: </w:t>
      </w:r>
      <w:hyperlink w:history="1" r:id="rId12">
        <w:r w:rsidRPr="00EC7068">
          <w:rPr>
            <w:rStyle w:val="Hyperlink"/>
          </w:rPr>
          <w:t>http://www.ferc.gov/docs-filing/efiling.asp</w:t>
        </w:r>
      </w:hyperlink>
    </w:p>
    <w:p w:rsidR="00A2604E" w:rsidP="00A2604E" w:rsidRDefault="00A2604E" w14:paraId="383CAFFE" w14:textId="77777777">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rsidR="00A2604E" w:rsidP="00A2604E" w:rsidRDefault="00A2604E" w14:paraId="0B3882A9" w14:textId="77777777">
      <w:pPr>
        <w:spacing w:line="480" w:lineRule="auto"/>
      </w:pPr>
      <w:r>
        <w:rPr>
          <w:i/>
        </w:rPr>
        <w:t xml:space="preserve">Instructions: </w:t>
      </w:r>
      <w:r>
        <w:t xml:space="preserve">All submissions must be formatted and filed in accordance with submission guidelines at: </w:t>
      </w:r>
      <w:hyperlink w:history="1" r:id="rId13">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rsidRPr="00241BFD" w:rsidR="00A2604E" w:rsidP="00A2604E" w:rsidRDefault="00A2604E" w14:paraId="11F949A4" w14:textId="77777777">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00A2604E" w:rsidP="00A2604E" w:rsidRDefault="00A2604E" w14:paraId="238ACD8E" w14:textId="14EFA99C">
      <w:pPr>
        <w:spacing w:line="480" w:lineRule="auto"/>
      </w:pPr>
      <w:r w:rsidRPr="00656DF0">
        <w:rPr>
          <w:b/>
        </w:rPr>
        <w:t>FOR FURTHER INFORMATION</w:t>
      </w:r>
      <w:r w:rsidR="0011340B">
        <w:rPr>
          <w:b/>
        </w:rPr>
        <w:t xml:space="preserve"> CONTACT</w:t>
      </w:r>
      <w:r w:rsidRPr="00656DF0">
        <w:rPr>
          <w:b/>
        </w:rPr>
        <w:t>:</w:t>
      </w:r>
      <w:r>
        <w:t xml:space="preserve">  </w:t>
      </w:r>
      <w:r w:rsidRPr="007731D6">
        <w:t>Ellen Brown</w:t>
      </w:r>
      <w:r>
        <w:t xml:space="preserve"> may be reached by e-mail at </w:t>
      </w:r>
      <w:hyperlink w:history="1" r:id="rId15">
        <w:r w:rsidRPr="00006D4B">
          <w:rPr>
            <w:rStyle w:val="Hyperlink"/>
          </w:rPr>
          <w:t>DataClearance@FERC.gov</w:t>
        </w:r>
      </w:hyperlink>
      <w:r>
        <w:t>, telephone at (202) 502-8663</w:t>
      </w:r>
      <w:r w:rsidR="00B511DA">
        <w:t>.</w:t>
      </w:r>
    </w:p>
    <w:p w:rsidRPr="00853ABC" w:rsidR="00A2604E" w:rsidP="00C1124F" w:rsidRDefault="00A2604E" w14:paraId="1EFC842C" w14:textId="77777777">
      <w:pPr>
        <w:tabs>
          <w:tab w:val="left" w:pos="7880"/>
        </w:tabs>
        <w:spacing w:line="480" w:lineRule="auto"/>
      </w:pPr>
      <w:r>
        <w:t xml:space="preserve"> </w:t>
      </w:r>
      <w:r w:rsidRPr="001C3703">
        <w:rPr>
          <w:b/>
        </w:rPr>
        <w:t>SUPPLEMENTARY INFORMATION:</w:t>
      </w:r>
      <w:r>
        <w:t xml:space="preserve">  </w:t>
      </w:r>
    </w:p>
    <w:p w:rsidRPr="00A22B29" w:rsidR="00B01B16" w:rsidP="00B01B16" w:rsidRDefault="00B01B16" w14:paraId="58675FAE" w14:textId="19B5EB00">
      <w:pPr>
        <w:spacing w:line="480" w:lineRule="auto"/>
      </w:pPr>
      <w:r>
        <w:rPr>
          <w:i/>
        </w:rPr>
        <w:t xml:space="preserve">Title: </w:t>
      </w:r>
      <w:r w:rsidRPr="00B511DA" w:rsidR="00516246">
        <w:t>FERC-</w:t>
      </w:r>
      <w:r w:rsidR="00A44611">
        <w:t>725A(1B)</w:t>
      </w:r>
      <w:r w:rsidRPr="00A22B29" w:rsidR="00516246">
        <w:t>, (Mandatory Reliability Standards for the Bulk Power System)</w:t>
      </w:r>
    </w:p>
    <w:p w:rsidRPr="00A22B29" w:rsidR="00B01B16" w:rsidP="00B01B16" w:rsidRDefault="00B01B16" w14:paraId="10CE6BEF" w14:textId="22C1F603">
      <w:pPr>
        <w:spacing w:line="480" w:lineRule="auto"/>
      </w:pPr>
      <w:r w:rsidRPr="00A22B29">
        <w:rPr>
          <w:i/>
        </w:rPr>
        <w:t>OMB Control No.:</w:t>
      </w:r>
      <w:r w:rsidRPr="00A22B29">
        <w:t xml:space="preserve"> </w:t>
      </w:r>
      <w:r w:rsidRPr="00A22B29" w:rsidR="006765C9">
        <w:t>1902-02</w:t>
      </w:r>
      <w:r w:rsidRPr="00A22B29" w:rsidR="00516246">
        <w:t>92</w:t>
      </w:r>
    </w:p>
    <w:p w:rsidRPr="00A22B29" w:rsidR="00B01B16" w:rsidP="00B01B16" w:rsidRDefault="00B01B16" w14:paraId="5A0F5B82" w14:textId="27DB9EE1">
      <w:pPr>
        <w:spacing w:line="480" w:lineRule="auto"/>
      </w:pPr>
      <w:r w:rsidRPr="00A22B29">
        <w:rPr>
          <w:i/>
        </w:rPr>
        <w:t>Type of Request:</w:t>
      </w:r>
      <w:r w:rsidRPr="00A22B29">
        <w:t xml:space="preserve"> Three-year extension of the </w:t>
      </w:r>
      <w:r w:rsidRPr="00A22B29" w:rsidR="000174B2">
        <w:t>FERC-</w:t>
      </w:r>
      <w:r w:rsidR="00A44611">
        <w:t>725A(1B)</w:t>
      </w:r>
      <w:r w:rsidRPr="00A22B29">
        <w:t xml:space="preserve"> information collection requirements with no changes to the current reporting </w:t>
      </w:r>
      <w:r w:rsidRPr="00A22B29" w:rsidR="00C36799">
        <w:t xml:space="preserve">and recordkeeping </w:t>
      </w:r>
      <w:r w:rsidRPr="00A22B29">
        <w:t xml:space="preserve">requirements. </w:t>
      </w:r>
    </w:p>
    <w:p w:rsidRPr="003D25C9" w:rsidR="0095427A" w:rsidP="00863194" w:rsidRDefault="00B01B16" w14:paraId="0CAE49C7" w14:textId="497CFA4D">
      <w:pPr>
        <w:spacing w:line="480" w:lineRule="auto"/>
      </w:pPr>
      <w:r w:rsidRPr="00A22B29">
        <w:rPr>
          <w:i/>
        </w:rPr>
        <w:t xml:space="preserve">Abstract: </w:t>
      </w:r>
      <w:r w:rsidRPr="00A22B29" w:rsidR="0095427A">
        <w:t>The FERC-</w:t>
      </w:r>
      <w:r w:rsidR="00A44611">
        <w:t>725A(1B)</w:t>
      </w:r>
      <w:r w:rsidRPr="00A22B29" w:rsidR="0095427A">
        <w:t xml:space="preserve"> </w:t>
      </w:r>
      <w:r w:rsidRPr="00A22B29" w:rsidR="003C174B">
        <w:t>Under section 215 of the Federal Power Act (FPA),1the Commission proposes to approve Reliability Standards TOP–010–1 (Real- time Reliability Monitoring and Analysis Capabilities) submitted by North American Electric Corporation (NERC). In this order, the Reliability Standards</w:t>
      </w:r>
      <w:r w:rsidRPr="003C174B" w:rsidR="003C174B">
        <w:t xml:space="preserve"> build on monitoring, real-time assessments and support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 FERC–</w:t>
      </w:r>
      <w:r w:rsidR="00A44611">
        <w:t>725A(1B)</w:t>
      </w:r>
      <w:r w:rsidRPr="00A22B29" w:rsidR="003C174B">
        <w:t xml:space="preserve"> address</w:t>
      </w:r>
      <w:r w:rsidRPr="003C174B" w:rsidR="003C174B">
        <w:t xml:space="preserve"> situational awareness objectives by providing for operator awareness when key alarming tools are not performing as intended. These collections will improve real-time situational awareness capabilities and </w:t>
      </w:r>
      <w:r w:rsidRPr="003C174B" w:rsidR="003C174B">
        <w:lastRenderedPageBreak/>
        <w:t xml:space="preserve">enhance reliable operations by requiring reliability coordinators, transmission operators, and balancing authorities to provide operators with an improved awareness of system conditions analysis capabilities, including alarm availability, so that operators may take appropriate steps to ensure reliability. These functions include planning, operations, data sharing, monitoring, and analysis. </w:t>
      </w:r>
    </w:p>
    <w:p w:rsidR="00863194" w:rsidP="003D25C9" w:rsidRDefault="006765C9" w14:paraId="00AA4272" w14:textId="77777777">
      <w:pPr>
        <w:spacing w:line="480" w:lineRule="auto"/>
        <w:rPr>
          <w:bCs/>
        </w:rPr>
      </w:pPr>
      <w:r w:rsidRPr="003D25C9">
        <w:rPr>
          <w:bCs/>
          <w:i/>
        </w:rPr>
        <w:t xml:space="preserve">Type of Respondent: </w:t>
      </w:r>
      <w:r w:rsidRPr="00863194" w:rsidR="00863194">
        <w:rPr>
          <w:bCs/>
        </w:rPr>
        <w:t xml:space="preserve">Balancing Authority (BA),Transmission Operations (TOP) and Reliability Coordinators (RC). </w:t>
      </w:r>
    </w:p>
    <w:p w:rsidRPr="00CB1515" w:rsidR="003F2CBD" w:rsidP="003D25C9" w:rsidRDefault="00B01B16" w14:paraId="47CA9B51" w14:textId="1EC3B149">
      <w:pPr>
        <w:spacing w:line="480" w:lineRule="auto"/>
        <w:rPr>
          <w:sz w:val="24"/>
          <w:highlight w:val="cyan"/>
        </w:rPr>
      </w:pPr>
      <w:r w:rsidRPr="004E2C78">
        <w:rPr>
          <w:i/>
        </w:rPr>
        <w:t>Estimate of Annual Burden</w:t>
      </w:r>
      <w:r w:rsidRPr="003D25C9">
        <w:rPr>
          <w:rStyle w:val="FootnoteReference"/>
          <w:i/>
        </w:rPr>
        <w:footnoteReference w:id="1"/>
      </w:r>
      <w:r w:rsidRPr="003D25C9">
        <w:t xml:space="preserve">: The Commission estimates the total </w:t>
      </w:r>
      <w:r w:rsidRPr="003D25C9" w:rsidR="00EA689F">
        <w:t>annual b</w:t>
      </w:r>
      <w:r w:rsidRPr="003D25C9">
        <w:t xml:space="preserve">urden </w:t>
      </w:r>
      <w:r w:rsidRPr="003D25C9" w:rsidR="00EA689F">
        <w:t>and cost</w:t>
      </w:r>
      <w:r w:rsidRPr="003D25C9" w:rsidR="00EA689F">
        <w:rPr>
          <w:rStyle w:val="FootnoteReference"/>
        </w:rPr>
        <w:footnoteReference w:id="2"/>
      </w:r>
      <w:r w:rsidRPr="003D25C9" w:rsidR="00EA689F">
        <w:t xml:space="preserve"> </w:t>
      </w:r>
      <w:r w:rsidRPr="003D25C9">
        <w:t xml:space="preserve">for this information collection </w:t>
      </w:r>
      <w:r w:rsidRPr="003D25C9" w:rsidR="002041AF">
        <w:t>in the table</w:t>
      </w:r>
      <w:r w:rsidRPr="003D25C9" w:rsidR="00011521">
        <w:t xml:space="preserve"> below</w:t>
      </w:r>
      <w:r w:rsidRPr="003D25C9" w:rsidR="00EA689F">
        <w:t>.</w:t>
      </w:r>
      <w:r w:rsidRPr="003D25C9" w:rsidR="002041AF">
        <w:t xml:space="preserve">  </w:t>
      </w:r>
    </w:p>
    <w:tbl>
      <w:tblPr>
        <w:tblW w:w="5535" w:type="pct"/>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9"/>
        <w:gridCol w:w="1449"/>
        <w:gridCol w:w="1072"/>
        <w:gridCol w:w="1000"/>
        <w:gridCol w:w="1170"/>
        <w:gridCol w:w="1261"/>
        <w:gridCol w:w="1526"/>
        <w:gridCol w:w="1623"/>
      </w:tblGrid>
      <w:tr w:rsidRPr="00516246" w:rsidR="00516246" w:rsidTr="00A44611" w14:paraId="2A312A7D" w14:textId="77777777">
        <w:trPr>
          <w:cantSplit/>
          <w:trHeight w:val="350"/>
        </w:trPr>
        <w:tc>
          <w:tcPr>
            <w:tcW w:w="5000" w:type="pct"/>
            <w:gridSpan w:val="8"/>
            <w:shd w:val="clear" w:color="auto" w:fill="D9D9D9" w:themeFill="background1" w:themeFillShade="D9"/>
            <w:vAlign w:val="center"/>
          </w:tcPr>
          <w:p w:rsidRPr="00516246" w:rsidR="00516246" w:rsidP="00516246" w:rsidRDefault="00516246" w14:paraId="2A5A39DC" w14:textId="1B5A2AC8">
            <w:pPr>
              <w:keepNext/>
              <w:widowControl w:val="0"/>
              <w:autoSpaceDE w:val="0"/>
              <w:autoSpaceDN w:val="0"/>
              <w:adjustRightInd w:val="0"/>
              <w:jc w:val="center"/>
              <w:rPr>
                <w:rFonts w:eastAsia="Calibri"/>
                <w:b/>
                <w:szCs w:val="26"/>
              </w:rPr>
            </w:pPr>
            <w:r w:rsidRPr="00516246">
              <w:rPr>
                <w:rFonts w:eastAsia="Calibri"/>
                <w:b/>
                <w:szCs w:val="26"/>
              </w:rPr>
              <w:lastRenderedPageBreak/>
              <w:t>FERC-</w:t>
            </w:r>
            <w:r w:rsidR="00A44611">
              <w:rPr>
                <w:rFonts w:eastAsia="Calibri"/>
                <w:b/>
                <w:szCs w:val="26"/>
              </w:rPr>
              <w:t>725A(1B)</w:t>
            </w:r>
            <w:r w:rsidRPr="00516246">
              <w:rPr>
                <w:rFonts w:eastAsia="Calibri"/>
                <w:b/>
                <w:szCs w:val="26"/>
              </w:rPr>
              <w:t>, changes due to TOP-010-1 in Docket</w:t>
            </w:r>
            <w:r>
              <w:rPr>
                <w:rFonts w:eastAsia="Calibri"/>
                <w:b/>
                <w:szCs w:val="26"/>
              </w:rPr>
              <w:t xml:space="preserve"> No. IC20-6-000</w:t>
            </w:r>
            <w:r w:rsidR="007521CB">
              <w:rPr>
                <w:rStyle w:val="FootnoteReference"/>
                <w:rFonts w:eastAsia="Calibri"/>
                <w:b w:val="0"/>
              </w:rPr>
              <w:footnoteReference w:id="3"/>
            </w:r>
          </w:p>
          <w:p w:rsidRPr="00516246" w:rsidR="00516246" w:rsidP="00516246" w:rsidRDefault="00516246" w14:paraId="626A7C58" w14:textId="77777777">
            <w:pPr>
              <w:keepNext/>
              <w:widowControl w:val="0"/>
              <w:autoSpaceDE w:val="0"/>
              <w:autoSpaceDN w:val="0"/>
              <w:adjustRightInd w:val="0"/>
              <w:jc w:val="center"/>
              <w:rPr>
                <w:rFonts w:eastAsia="Calibri"/>
                <w:b/>
                <w:szCs w:val="26"/>
              </w:rPr>
            </w:pPr>
          </w:p>
        </w:tc>
      </w:tr>
      <w:tr w:rsidRPr="00516246" w:rsidR="00A44611" w:rsidTr="00A44611" w14:paraId="4BEFDA0A" w14:textId="77777777">
        <w:trPr>
          <w:cantSplit/>
        </w:trPr>
        <w:tc>
          <w:tcPr>
            <w:tcW w:w="604" w:type="pct"/>
            <w:shd w:val="clear" w:color="auto" w:fill="D9D9D9"/>
            <w:vAlign w:val="center"/>
          </w:tcPr>
          <w:p w:rsidRPr="00516246" w:rsidR="00516246" w:rsidP="00516246" w:rsidRDefault="00516246" w14:paraId="3B37D42E" w14:textId="77777777">
            <w:pPr>
              <w:keepNext/>
              <w:widowControl w:val="0"/>
              <w:autoSpaceDE w:val="0"/>
              <w:autoSpaceDN w:val="0"/>
              <w:adjustRightInd w:val="0"/>
              <w:jc w:val="center"/>
              <w:rPr>
                <w:b/>
                <w:szCs w:val="26"/>
              </w:rPr>
            </w:pPr>
            <w:r w:rsidRPr="00516246">
              <w:rPr>
                <w:b/>
                <w:szCs w:val="26"/>
              </w:rPr>
              <w:t>Entity</w:t>
            </w:r>
          </w:p>
        </w:tc>
        <w:tc>
          <w:tcPr>
            <w:tcW w:w="700" w:type="pct"/>
            <w:shd w:val="clear" w:color="auto" w:fill="D9D9D9"/>
            <w:vAlign w:val="center"/>
          </w:tcPr>
          <w:p w:rsidRPr="00516246" w:rsidR="00516246" w:rsidP="00516246" w:rsidRDefault="00516246" w14:paraId="67D3A939" w14:textId="77777777">
            <w:pPr>
              <w:keepNext/>
              <w:widowControl w:val="0"/>
              <w:autoSpaceDE w:val="0"/>
              <w:autoSpaceDN w:val="0"/>
              <w:adjustRightInd w:val="0"/>
              <w:jc w:val="center"/>
              <w:rPr>
                <w:rFonts w:eastAsia="Calibri"/>
                <w:b/>
                <w:szCs w:val="26"/>
              </w:rPr>
            </w:pPr>
            <w:r w:rsidRPr="00516246">
              <w:rPr>
                <w:b/>
                <w:szCs w:val="26"/>
              </w:rPr>
              <w:t>Requirements &amp; Period</w:t>
            </w:r>
          </w:p>
        </w:tc>
        <w:tc>
          <w:tcPr>
            <w:tcW w:w="518" w:type="pct"/>
            <w:shd w:val="clear" w:color="auto" w:fill="D9D9D9"/>
            <w:vAlign w:val="bottom"/>
          </w:tcPr>
          <w:p w:rsidRPr="00516246" w:rsidR="00516246" w:rsidP="00516246" w:rsidRDefault="00516246" w14:paraId="3E0FD89B" w14:textId="77777777">
            <w:pPr>
              <w:keepNext/>
              <w:widowControl w:val="0"/>
              <w:autoSpaceDE w:val="0"/>
              <w:autoSpaceDN w:val="0"/>
              <w:adjustRightInd w:val="0"/>
              <w:jc w:val="center"/>
              <w:rPr>
                <w:rFonts w:eastAsia="Calibri"/>
                <w:b/>
                <w:szCs w:val="26"/>
              </w:rPr>
            </w:pPr>
            <w:r w:rsidRPr="00516246">
              <w:rPr>
                <w:rFonts w:eastAsia="Calibri"/>
                <w:b/>
                <w:szCs w:val="26"/>
              </w:rPr>
              <w:t>No. of Re</w:t>
            </w:r>
          </w:p>
          <w:p w:rsidRPr="00516246" w:rsidR="00516246" w:rsidP="00516246" w:rsidRDefault="00516246" w14:paraId="00F5978A" w14:textId="77777777">
            <w:pPr>
              <w:keepNext/>
              <w:widowControl w:val="0"/>
              <w:autoSpaceDE w:val="0"/>
              <w:autoSpaceDN w:val="0"/>
              <w:adjustRightInd w:val="0"/>
              <w:jc w:val="center"/>
              <w:rPr>
                <w:rFonts w:eastAsia="Calibri"/>
                <w:b/>
                <w:szCs w:val="26"/>
              </w:rPr>
            </w:pPr>
            <w:proofErr w:type="spellStart"/>
            <w:r w:rsidRPr="00516246">
              <w:rPr>
                <w:rFonts w:eastAsia="Calibri"/>
                <w:b/>
                <w:szCs w:val="26"/>
              </w:rPr>
              <w:t>spon</w:t>
            </w:r>
            <w:proofErr w:type="spellEnd"/>
          </w:p>
          <w:p w:rsidRPr="00516246" w:rsidR="00516246" w:rsidP="00516246" w:rsidRDefault="00516246" w14:paraId="68C34BD1" w14:textId="77777777">
            <w:pPr>
              <w:keepNext/>
              <w:widowControl w:val="0"/>
              <w:autoSpaceDE w:val="0"/>
              <w:autoSpaceDN w:val="0"/>
              <w:adjustRightInd w:val="0"/>
              <w:jc w:val="center"/>
              <w:rPr>
                <w:rFonts w:eastAsia="Calibri"/>
                <w:b/>
                <w:szCs w:val="26"/>
              </w:rPr>
            </w:pPr>
            <w:r w:rsidRPr="00516246">
              <w:rPr>
                <w:rFonts w:eastAsia="Calibri"/>
                <w:b/>
                <w:szCs w:val="26"/>
              </w:rPr>
              <w:t>dents</w:t>
            </w:r>
            <w:r w:rsidRPr="00516246">
              <w:rPr>
                <w:rFonts w:eastAsia="Calibri"/>
                <w:b/>
                <w:szCs w:val="26"/>
                <w:vertAlign w:val="superscript"/>
              </w:rPr>
              <w:footnoteReference w:id="4"/>
            </w:r>
            <w:r w:rsidRPr="00516246">
              <w:rPr>
                <w:rFonts w:eastAsia="Calibri"/>
                <w:b/>
                <w:szCs w:val="26"/>
              </w:rPr>
              <w:br/>
              <w:t>(1)</w:t>
            </w:r>
          </w:p>
        </w:tc>
        <w:tc>
          <w:tcPr>
            <w:tcW w:w="483" w:type="pct"/>
            <w:shd w:val="clear" w:color="auto" w:fill="D9D9D9"/>
            <w:vAlign w:val="bottom"/>
          </w:tcPr>
          <w:p w:rsidRPr="00516246" w:rsidR="00516246" w:rsidP="00516246" w:rsidRDefault="00516246" w14:paraId="27408418" w14:textId="77777777">
            <w:pPr>
              <w:keepNext/>
              <w:widowControl w:val="0"/>
              <w:autoSpaceDE w:val="0"/>
              <w:autoSpaceDN w:val="0"/>
              <w:adjustRightInd w:val="0"/>
              <w:jc w:val="center"/>
              <w:rPr>
                <w:rFonts w:eastAsia="Calibri"/>
                <w:b/>
                <w:szCs w:val="26"/>
              </w:rPr>
            </w:pPr>
            <w:r w:rsidRPr="00516246">
              <w:rPr>
                <w:rFonts w:eastAsia="Calibri"/>
                <w:b/>
                <w:szCs w:val="26"/>
              </w:rPr>
              <w:t>Annual No. of Responses per Respondent</w:t>
            </w:r>
          </w:p>
          <w:p w:rsidRPr="00516246" w:rsidR="00516246" w:rsidP="00516246" w:rsidRDefault="00516246" w14:paraId="711852A0" w14:textId="77777777">
            <w:pPr>
              <w:keepNext/>
              <w:widowControl w:val="0"/>
              <w:autoSpaceDE w:val="0"/>
              <w:autoSpaceDN w:val="0"/>
              <w:adjustRightInd w:val="0"/>
              <w:jc w:val="center"/>
              <w:rPr>
                <w:rFonts w:eastAsia="Calibri"/>
                <w:b/>
                <w:szCs w:val="26"/>
              </w:rPr>
            </w:pPr>
            <w:r w:rsidRPr="00516246">
              <w:rPr>
                <w:rFonts w:eastAsia="Calibri"/>
                <w:b/>
                <w:szCs w:val="26"/>
              </w:rPr>
              <w:t>(2)</w:t>
            </w:r>
          </w:p>
        </w:tc>
        <w:tc>
          <w:tcPr>
            <w:tcW w:w="565" w:type="pct"/>
            <w:shd w:val="clear" w:color="auto" w:fill="D9D9D9"/>
            <w:vAlign w:val="bottom"/>
          </w:tcPr>
          <w:p w:rsidRPr="00516246" w:rsidR="00516246" w:rsidP="00516246" w:rsidRDefault="00516246" w14:paraId="4D26B005" w14:textId="77777777">
            <w:pPr>
              <w:keepNext/>
              <w:widowControl w:val="0"/>
              <w:autoSpaceDE w:val="0"/>
              <w:autoSpaceDN w:val="0"/>
              <w:adjustRightInd w:val="0"/>
              <w:jc w:val="center"/>
              <w:rPr>
                <w:rFonts w:eastAsia="Calibri"/>
                <w:b/>
                <w:szCs w:val="26"/>
              </w:rPr>
            </w:pPr>
            <w:r w:rsidRPr="00516246">
              <w:rPr>
                <w:rFonts w:eastAsia="Calibri"/>
                <w:b/>
                <w:szCs w:val="26"/>
              </w:rPr>
              <w:t>Total No. of Responses (1)*(2)=(3)</w:t>
            </w:r>
          </w:p>
        </w:tc>
        <w:tc>
          <w:tcPr>
            <w:tcW w:w="609" w:type="pct"/>
            <w:shd w:val="clear" w:color="auto" w:fill="D9D9D9"/>
            <w:vAlign w:val="bottom"/>
          </w:tcPr>
          <w:p w:rsidRPr="00516246" w:rsidR="00516246" w:rsidP="00516246" w:rsidRDefault="00516246" w14:paraId="603B9F3C" w14:textId="77777777">
            <w:pPr>
              <w:keepNext/>
              <w:widowControl w:val="0"/>
              <w:autoSpaceDE w:val="0"/>
              <w:autoSpaceDN w:val="0"/>
              <w:adjustRightInd w:val="0"/>
              <w:jc w:val="center"/>
              <w:rPr>
                <w:rFonts w:eastAsia="Calibri"/>
                <w:b/>
                <w:szCs w:val="26"/>
              </w:rPr>
            </w:pPr>
            <w:r w:rsidRPr="00516246">
              <w:rPr>
                <w:rFonts w:eastAsia="Calibri"/>
                <w:b/>
                <w:szCs w:val="26"/>
              </w:rPr>
              <w:t>Average Burden &amp; Cost Per Response</w:t>
            </w:r>
            <w:r w:rsidRPr="00516246">
              <w:rPr>
                <w:rFonts w:eastAsia="Calibri"/>
                <w:b/>
                <w:szCs w:val="26"/>
                <w:vertAlign w:val="superscript"/>
              </w:rPr>
              <w:footnoteReference w:id="5"/>
            </w:r>
          </w:p>
          <w:p w:rsidRPr="00516246" w:rsidR="00516246" w:rsidP="00516246" w:rsidRDefault="00516246" w14:paraId="6A589E74" w14:textId="77777777">
            <w:pPr>
              <w:keepNext/>
              <w:widowControl w:val="0"/>
              <w:autoSpaceDE w:val="0"/>
              <w:autoSpaceDN w:val="0"/>
              <w:adjustRightInd w:val="0"/>
              <w:jc w:val="center"/>
              <w:rPr>
                <w:rFonts w:eastAsia="Calibri"/>
                <w:b/>
                <w:szCs w:val="26"/>
              </w:rPr>
            </w:pPr>
            <w:r w:rsidRPr="00516246">
              <w:rPr>
                <w:rFonts w:eastAsia="Calibri"/>
                <w:b/>
                <w:szCs w:val="26"/>
              </w:rPr>
              <w:t>(4)</w:t>
            </w:r>
          </w:p>
        </w:tc>
        <w:tc>
          <w:tcPr>
            <w:tcW w:w="737" w:type="pct"/>
            <w:shd w:val="clear" w:color="auto" w:fill="D9D9D9"/>
            <w:vAlign w:val="bottom"/>
          </w:tcPr>
          <w:p w:rsidRPr="00516246" w:rsidR="00516246" w:rsidP="00516246" w:rsidRDefault="00516246" w14:paraId="64C3CA4A" w14:textId="77777777">
            <w:pPr>
              <w:keepNext/>
              <w:widowControl w:val="0"/>
              <w:autoSpaceDE w:val="0"/>
              <w:autoSpaceDN w:val="0"/>
              <w:adjustRightInd w:val="0"/>
              <w:jc w:val="center"/>
              <w:rPr>
                <w:rFonts w:eastAsia="Calibri"/>
                <w:b/>
                <w:szCs w:val="26"/>
              </w:rPr>
            </w:pPr>
            <w:r w:rsidRPr="00516246">
              <w:rPr>
                <w:rFonts w:eastAsia="Calibri"/>
                <w:b/>
                <w:szCs w:val="26"/>
              </w:rPr>
              <w:t>Total Annual Burden Hours &amp; Total Annual Cost</w:t>
            </w:r>
          </w:p>
          <w:p w:rsidRPr="00516246" w:rsidR="00516246" w:rsidP="00516246" w:rsidRDefault="00516246" w14:paraId="46346647" w14:textId="77777777">
            <w:pPr>
              <w:keepNext/>
              <w:widowControl w:val="0"/>
              <w:autoSpaceDE w:val="0"/>
              <w:autoSpaceDN w:val="0"/>
              <w:adjustRightInd w:val="0"/>
              <w:jc w:val="center"/>
              <w:rPr>
                <w:rFonts w:eastAsia="Calibri"/>
                <w:b/>
                <w:szCs w:val="26"/>
              </w:rPr>
            </w:pPr>
            <w:r w:rsidRPr="00516246">
              <w:rPr>
                <w:rFonts w:eastAsia="Calibri"/>
                <w:b/>
                <w:szCs w:val="26"/>
              </w:rPr>
              <w:t>(3)*(4)=(5)</w:t>
            </w:r>
          </w:p>
        </w:tc>
        <w:tc>
          <w:tcPr>
            <w:tcW w:w="783" w:type="pct"/>
            <w:shd w:val="clear" w:color="auto" w:fill="D9D9D9"/>
            <w:vAlign w:val="bottom"/>
          </w:tcPr>
          <w:p w:rsidRPr="00516246" w:rsidR="00516246" w:rsidP="00516246" w:rsidRDefault="00516246" w14:paraId="6344931F" w14:textId="77777777">
            <w:pPr>
              <w:keepNext/>
              <w:widowControl w:val="0"/>
              <w:autoSpaceDE w:val="0"/>
              <w:autoSpaceDN w:val="0"/>
              <w:adjustRightInd w:val="0"/>
              <w:jc w:val="center"/>
              <w:rPr>
                <w:rFonts w:eastAsia="Calibri"/>
                <w:b/>
                <w:szCs w:val="26"/>
              </w:rPr>
            </w:pPr>
            <w:r w:rsidRPr="00516246">
              <w:rPr>
                <w:rFonts w:eastAsia="Calibri"/>
                <w:b/>
                <w:szCs w:val="26"/>
              </w:rPr>
              <w:t>Cost per Respondent</w:t>
            </w:r>
          </w:p>
          <w:p w:rsidRPr="00516246" w:rsidR="00516246" w:rsidP="00516246" w:rsidRDefault="00516246" w14:paraId="58CD0A97" w14:textId="77777777">
            <w:pPr>
              <w:keepNext/>
              <w:widowControl w:val="0"/>
              <w:autoSpaceDE w:val="0"/>
              <w:autoSpaceDN w:val="0"/>
              <w:adjustRightInd w:val="0"/>
              <w:jc w:val="center"/>
              <w:rPr>
                <w:rFonts w:eastAsia="Calibri"/>
                <w:b/>
                <w:szCs w:val="26"/>
              </w:rPr>
            </w:pPr>
            <w:r w:rsidRPr="00516246">
              <w:rPr>
                <w:rFonts w:eastAsia="Calibri"/>
                <w:b/>
                <w:szCs w:val="26"/>
              </w:rPr>
              <w:t xml:space="preserve"> ($)</w:t>
            </w:r>
          </w:p>
          <w:p w:rsidRPr="00516246" w:rsidR="00516246" w:rsidP="00516246" w:rsidRDefault="00516246" w14:paraId="4D1C2623" w14:textId="77777777">
            <w:pPr>
              <w:keepNext/>
              <w:widowControl w:val="0"/>
              <w:autoSpaceDE w:val="0"/>
              <w:autoSpaceDN w:val="0"/>
              <w:adjustRightInd w:val="0"/>
              <w:jc w:val="center"/>
              <w:rPr>
                <w:rFonts w:eastAsia="Calibri"/>
                <w:b/>
                <w:szCs w:val="26"/>
              </w:rPr>
            </w:pPr>
            <w:r w:rsidRPr="00516246">
              <w:rPr>
                <w:rFonts w:eastAsia="Calibri"/>
                <w:b/>
                <w:szCs w:val="26"/>
              </w:rPr>
              <w:t>(5)÷(1)</w:t>
            </w:r>
          </w:p>
        </w:tc>
      </w:tr>
      <w:tr w:rsidRPr="00516246" w:rsidR="00A44611" w:rsidTr="00A44611" w14:paraId="0547E7F1" w14:textId="77777777">
        <w:trPr>
          <w:trHeight w:val="374"/>
        </w:trPr>
        <w:tc>
          <w:tcPr>
            <w:tcW w:w="604" w:type="pct"/>
            <w:vMerge w:val="restart"/>
            <w:vAlign w:val="center"/>
          </w:tcPr>
          <w:p w:rsidRPr="00516246" w:rsidR="00516246" w:rsidP="00516246" w:rsidRDefault="00516246" w14:paraId="4B8C9CDB" w14:textId="77777777">
            <w:pPr>
              <w:keepNext/>
              <w:widowControl w:val="0"/>
              <w:autoSpaceDE w:val="0"/>
              <w:autoSpaceDN w:val="0"/>
              <w:adjustRightInd w:val="0"/>
              <w:jc w:val="center"/>
              <w:rPr>
                <w:b/>
                <w:szCs w:val="26"/>
              </w:rPr>
            </w:pPr>
            <w:r w:rsidRPr="00516246">
              <w:rPr>
                <w:b/>
                <w:szCs w:val="26"/>
              </w:rPr>
              <w:t>BA</w:t>
            </w:r>
            <w:r w:rsidRPr="00516246">
              <w:rPr>
                <w:b/>
                <w:szCs w:val="26"/>
                <w:vertAlign w:val="superscript"/>
              </w:rPr>
              <w:footnoteReference w:id="6"/>
            </w:r>
          </w:p>
        </w:tc>
        <w:tc>
          <w:tcPr>
            <w:tcW w:w="700" w:type="pct"/>
            <w:vAlign w:val="center"/>
          </w:tcPr>
          <w:p w:rsidRPr="00516246" w:rsidR="00516246" w:rsidP="00516246" w:rsidRDefault="00516246" w14:paraId="6C6A549F" w14:textId="77777777">
            <w:pPr>
              <w:keepNext/>
              <w:widowControl w:val="0"/>
              <w:autoSpaceDE w:val="0"/>
              <w:autoSpaceDN w:val="0"/>
              <w:adjustRightInd w:val="0"/>
              <w:rPr>
                <w:b/>
                <w:szCs w:val="26"/>
              </w:rPr>
            </w:pPr>
            <w:r w:rsidRPr="00516246">
              <w:rPr>
                <w:b/>
                <w:szCs w:val="26"/>
              </w:rPr>
              <w:t>Year 1 Implementation (one-time reporting)</w:t>
            </w:r>
          </w:p>
        </w:tc>
        <w:tc>
          <w:tcPr>
            <w:tcW w:w="518" w:type="pct"/>
            <w:vAlign w:val="bottom"/>
          </w:tcPr>
          <w:p w:rsidRPr="00516246" w:rsidR="00516246" w:rsidP="00516246" w:rsidRDefault="00516246" w14:paraId="463D5A83" w14:textId="77777777">
            <w:pPr>
              <w:keepNext/>
              <w:widowControl w:val="0"/>
              <w:autoSpaceDE w:val="0"/>
              <w:autoSpaceDN w:val="0"/>
              <w:adjustRightInd w:val="0"/>
              <w:jc w:val="right"/>
              <w:rPr>
                <w:szCs w:val="26"/>
              </w:rPr>
            </w:pPr>
          </w:p>
          <w:p w:rsidRPr="00516246" w:rsidR="00516246" w:rsidP="00516246" w:rsidRDefault="007521CB" w14:paraId="3AC62C15" w14:textId="305AC123">
            <w:pPr>
              <w:keepNext/>
              <w:widowControl w:val="0"/>
              <w:autoSpaceDE w:val="0"/>
              <w:autoSpaceDN w:val="0"/>
              <w:adjustRightInd w:val="0"/>
              <w:jc w:val="right"/>
              <w:rPr>
                <w:szCs w:val="26"/>
              </w:rPr>
            </w:pPr>
            <w:r>
              <w:rPr>
                <w:szCs w:val="26"/>
              </w:rPr>
              <w:t>9</w:t>
            </w:r>
            <w:r w:rsidR="00820590">
              <w:rPr>
                <w:szCs w:val="26"/>
              </w:rPr>
              <w:t>8</w:t>
            </w:r>
          </w:p>
        </w:tc>
        <w:tc>
          <w:tcPr>
            <w:tcW w:w="483" w:type="pct"/>
            <w:vAlign w:val="bottom"/>
          </w:tcPr>
          <w:p w:rsidRPr="00516246" w:rsidR="00516246" w:rsidP="00516246" w:rsidRDefault="00516246" w14:paraId="5F95E8F6" w14:textId="77777777">
            <w:pPr>
              <w:keepNext/>
              <w:widowControl w:val="0"/>
              <w:autoSpaceDE w:val="0"/>
              <w:autoSpaceDN w:val="0"/>
              <w:adjustRightInd w:val="0"/>
              <w:jc w:val="right"/>
              <w:rPr>
                <w:szCs w:val="26"/>
              </w:rPr>
            </w:pPr>
          </w:p>
          <w:p w:rsidRPr="00516246" w:rsidR="00516246" w:rsidP="00516246" w:rsidRDefault="00516246" w14:paraId="1516FC36" w14:textId="77777777">
            <w:pPr>
              <w:keepNext/>
              <w:widowControl w:val="0"/>
              <w:autoSpaceDE w:val="0"/>
              <w:autoSpaceDN w:val="0"/>
              <w:adjustRightInd w:val="0"/>
              <w:jc w:val="right"/>
              <w:rPr>
                <w:szCs w:val="26"/>
              </w:rPr>
            </w:pPr>
            <w:r w:rsidRPr="00516246">
              <w:rPr>
                <w:szCs w:val="26"/>
              </w:rPr>
              <w:t>1</w:t>
            </w:r>
          </w:p>
        </w:tc>
        <w:tc>
          <w:tcPr>
            <w:tcW w:w="565" w:type="pct"/>
            <w:vAlign w:val="bottom"/>
          </w:tcPr>
          <w:p w:rsidRPr="00516246" w:rsidR="00516246" w:rsidP="00516246" w:rsidRDefault="00516246" w14:paraId="2DD66B1A" w14:textId="77777777">
            <w:pPr>
              <w:keepNext/>
              <w:widowControl w:val="0"/>
              <w:autoSpaceDE w:val="0"/>
              <w:autoSpaceDN w:val="0"/>
              <w:adjustRightInd w:val="0"/>
              <w:jc w:val="right"/>
              <w:rPr>
                <w:szCs w:val="26"/>
              </w:rPr>
            </w:pPr>
          </w:p>
          <w:p w:rsidRPr="00516246" w:rsidR="00516246" w:rsidP="00516246" w:rsidRDefault="00B02D57" w14:paraId="15D782DD" w14:textId="24B039D4">
            <w:pPr>
              <w:keepNext/>
              <w:widowControl w:val="0"/>
              <w:autoSpaceDE w:val="0"/>
              <w:autoSpaceDN w:val="0"/>
              <w:adjustRightInd w:val="0"/>
              <w:jc w:val="right"/>
              <w:rPr>
                <w:szCs w:val="26"/>
              </w:rPr>
            </w:pPr>
            <w:r>
              <w:rPr>
                <w:szCs w:val="26"/>
              </w:rPr>
              <w:t>9</w:t>
            </w:r>
            <w:r w:rsidR="00820590">
              <w:rPr>
                <w:szCs w:val="26"/>
              </w:rPr>
              <w:t>8</w:t>
            </w:r>
          </w:p>
        </w:tc>
        <w:tc>
          <w:tcPr>
            <w:tcW w:w="609" w:type="pct"/>
            <w:vAlign w:val="bottom"/>
          </w:tcPr>
          <w:p w:rsidRPr="00516246" w:rsidR="00516246" w:rsidP="00516246" w:rsidRDefault="00516246" w14:paraId="07C41787" w14:textId="77777777">
            <w:pPr>
              <w:keepNext/>
              <w:widowControl w:val="0"/>
              <w:autoSpaceDE w:val="0"/>
              <w:autoSpaceDN w:val="0"/>
              <w:adjustRightInd w:val="0"/>
              <w:jc w:val="right"/>
              <w:rPr>
                <w:szCs w:val="26"/>
              </w:rPr>
            </w:pPr>
            <w:r w:rsidRPr="00516246">
              <w:rPr>
                <w:szCs w:val="26"/>
              </w:rPr>
              <w:t>70 hrs.;</w:t>
            </w:r>
          </w:p>
          <w:p w:rsidRPr="00516246" w:rsidR="00516246" w:rsidP="00516246" w:rsidRDefault="00516246" w14:paraId="08C75536" w14:textId="77777777">
            <w:pPr>
              <w:keepNext/>
              <w:widowControl w:val="0"/>
              <w:autoSpaceDE w:val="0"/>
              <w:autoSpaceDN w:val="0"/>
              <w:adjustRightInd w:val="0"/>
              <w:jc w:val="right"/>
              <w:rPr>
                <w:szCs w:val="26"/>
              </w:rPr>
            </w:pPr>
          </w:p>
          <w:p w:rsidRPr="00516246" w:rsidR="00516246" w:rsidP="00516246" w:rsidRDefault="00516246" w14:paraId="621CB0D0" w14:textId="77777777">
            <w:pPr>
              <w:keepNext/>
              <w:widowControl w:val="0"/>
              <w:autoSpaceDE w:val="0"/>
              <w:autoSpaceDN w:val="0"/>
              <w:adjustRightInd w:val="0"/>
              <w:jc w:val="right"/>
              <w:rPr>
                <w:szCs w:val="26"/>
              </w:rPr>
            </w:pPr>
            <w:r w:rsidRPr="00516246">
              <w:rPr>
                <w:szCs w:val="26"/>
              </w:rPr>
              <w:t>$4,494.00</w:t>
            </w:r>
          </w:p>
        </w:tc>
        <w:tc>
          <w:tcPr>
            <w:tcW w:w="737" w:type="pct"/>
            <w:vAlign w:val="bottom"/>
          </w:tcPr>
          <w:p w:rsidRPr="00516246" w:rsidR="00516246" w:rsidP="00516246" w:rsidRDefault="009B2220" w14:paraId="01B7FE3F" w14:textId="17A732E4">
            <w:pPr>
              <w:keepNext/>
              <w:widowControl w:val="0"/>
              <w:autoSpaceDE w:val="0"/>
              <w:autoSpaceDN w:val="0"/>
              <w:adjustRightInd w:val="0"/>
              <w:jc w:val="right"/>
              <w:rPr>
                <w:szCs w:val="26"/>
              </w:rPr>
            </w:pPr>
            <w:r>
              <w:rPr>
                <w:szCs w:val="26"/>
              </w:rPr>
              <w:t>6,</w:t>
            </w:r>
            <w:r w:rsidR="00C44992">
              <w:rPr>
                <w:szCs w:val="26"/>
              </w:rPr>
              <w:t>860</w:t>
            </w:r>
            <w:r w:rsidRPr="00516246" w:rsidR="00516246">
              <w:rPr>
                <w:szCs w:val="26"/>
              </w:rPr>
              <w:t xml:space="preserve"> hrs.;</w:t>
            </w:r>
          </w:p>
          <w:p w:rsidRPr="00516246" w:rsidR="00516246" w:rsidP="00516246" w:rsidRDefault="00516246" w14:paraId="0AA172D5" w14:textId="77777777">
            <w:pPr>
              <w:keepNext/>
              <w:widowControl w:val="0"/>
              <w:autoSpaceDE w:val="0"/>
              <w:autoSpaceDN w:val="0"/>
              <w:adjustRightInd w:val="0"/>
              <w:jc w:val="right"/>
              <w:rPr>
                <w:szCs w:val="26"/>
              </w:rPr>
            </w:pPr>
          </w:p>
          <w:p w:rsidRPr="00516246" w:rsidR="00516246" w:rsidP="00516246" w:rsidRDefault="00516246" w14:paraId="6EBF14D8" w14:textId="3F7D12EE">
            <w:pPr>
              <w:keepNext/>
              <w:widowControl w:val="0"/>
              <w:autoSpaceDE w:val="0"/>
              <w:autoSpaceDN w:val="0"/>
              <w:adjustRightInd w:val="0"/>
              <w:jc w:val="right"/>
              <w:rPr>
                <w:szCs w:val="26"/>
              </w:rPr>
            </w:pPr>
            <w:r w:rsidRPr="00516246">
              <w:rPr>
                <w:szCs w:val="26"/>
              </w:rPr>
              <w:t>$</w:t>
            </w:r>
            <w:r w:rsidRPr="00516246" w:rsidR="00C44992">
              <w:rPr>
                <w:szCs w:val="26"/>
              </w:rPr>
              <w:t>44</w:t>
            </w:r>
            <w:r w:rsidR="00C44992">
              <w:rPr>
                <w:szCs w:val="26"/>
              </w:rPr>
              <w:t>0</w:t>
            </w:r>
            <w:r w:rsidRPr="00516246">
              <w:rPr>
                <w:szCs w:val="26"/>
              </w:rPr>
              <w:t>,</w:t>
            </w:r>
            <w:r w:rsidR="00C44992">
              <w:rPr>
                <w:szCs w:val="26"/>
              </w:rPr>
              <w:t>412</w:t>
            </w:r>
            <w:r w:rsidRPr="00516246">
              <w:rPr>
                <w:szCs w:val="26"/>
              </w:rPr>
              <w:t>.00</w:t>
            </w:r>
          </w:p>
        </w:tc>
        <w:tc>
          <w:tcPr>
            <w:tcW w:w="783" w:type="pct"/>
            <w:vAlign w:val="bottom"/>
          </w:tcPr>
          <w:p w:rsidRPr="00516246" w:rsidR="00516246" w:rsidP="00516246" w:rsidRDefault="00516246" w14:paraId="338F8D88" w14:textId="77777777">
            <w:pPr>
              <w:keepNext/>
              <w:widowControl w:val="0"/>
              <w:autoSpaceDE w:val="0"/>
              <w:autoSpaceDN w:val="0"/>
              <w:adjustRightInd w:val="0"/>
              <w:jc w:val="right"/>
              <w:rPr>
                <w:szCs w:val="26"/>
              </w:rPr>
            </w:pPr>
          </w:p>
          <w:p w:rsidRPr="00516246" w:rsidR="00516246" w:rsidP="00516246" w:rsidRDefault="00516246" w14:paraId="25357AB1" w14:textId="77777777">
            <w:pPr>
              <w:keepNext/>
              <w:widowControl w:val="0"/>
              <w:autoSpaceDE w:val="0"/>
              <w:autoSpaceDN w:val="0"/>
              <w:adjustRightInd w:val="0"/>
              <w:jc w:val="right"/>
              <w:rPr>
                <w:szCs w:val="26"/>
              </w:rPr>
            </w:pPr>
          </w:p>
          <w:p w:rsidRPr="00516246" w:rsidR="00516246" w:rsidP="00516246" w:rsidRDefault="00516246" w14:paraId="0FB09B71" w14:textId="77777777">
            <w:pPr>
              <w:keepNext/>
              <w:widowControl w:val="0"/>
              <w:autoSpaceDE w:val="0"/>
              <w:autoSpaceDN w:val="0"/>
              <w:adjustRightInd w:val="0"/>
              <w:jc w:val="right"/>
              <w:rPr>
                <w:szCs w:val="26"/>
              </w:rPr>
            </w:pPr>
            <w:r w:rsidRPr="00516246">
              <w:rPr>
                <w:szCs w:val="26"/>
              </w:rPr>
              <w:t>$4,494.00</w:t>
            </w:r>
          </w:p>
        </w:tc>
      </w:tr>
      <w:tr w:rsidRPr="00516246" w:rsidR="00A44611" w:rsidTr="00A44611" w14:paraId="5F0AB4E2" w14:textId="77777777">
        <w:trPr>
          <w:trHeight w:val="374"/>
        </w:trPr>
        <w:tc>
          <w:tcPr>
            <w:tcW w:w="604" w:type="pct"/>
            <w:vMerge/>
            <w:vAlign w:val="center"/>
          </w:tcPr>
          <w:p w:rsidRPr="00516246" w:rsidR="00516246" w:rsidP="00516246" w:rsidRDefault="00516246" w14:paraId="3299AA45" w14:textId="77777777">
            <w:pPr>
              <w:keepNext/>
              <w:widowControl w:val="0"/>
              <w:autoSpaceDE w:val="0"/>
              <w:autoSpaceDN w:val="0"/>
              <w:adjustRightInd w:val="0"/>
              <w:jc w:val="center"/>
              <w:rPr>
                <w:b/>
                <w:szCs w:val="26"/>
              </w:rPr>
            </w:pPr>
          </w:p>
        </w:tc>
        <w:tc>
          <w:tcPr>
            <w:tcW w:w="700" w:type="pct"/>
            <w:vAlign w:val="center"/>
          </w:tcPr>
          <w:p w:rsidRPr="00516246" w:rsidR="00516246" w:rsidP="00516246" w:rsidRDefault="00516246" w14:paraId="4C25E8DD" w14:textId="77777777">
            <w:pPr>
              <w:keepNext/>
              <w:widowControl w:val="0"/>
              <w:autoSpaceDE w:val="0"/>
              <w:autoSpaceDN w:val="0"/>
              <w:adjustRightInd w:val="0"/>
              <w:rPr>
                <w:b/>
                <w:szCs w:val="26"/>
              </w:rPr>
            </w:pPr>
            <w:r w:rsidRPr="00516246">
              <w:rPr>
                <w:b/>
                <w:szCs w:val="26"/>
              </w:rPr>
              <w:t>Starting in Year 2 (annual reporting)</w:t>
            </w:r>
          </w:p>
          <w:p w:rsidRPr="00516246" w:rsidR="00516246" w:rsidP="00516246" w:rsidRDefault="00516246" w14:paraId="65635148" w14:textId="77777777">
            <w:pPr>
              <w:keepNext/>
              <w:widowControl w:val="0"/>
              <w:autoSpaceDE w:val="0"/>
              <w:autoSpaceDN w:val="0"/>
              <w:adjustRightInd w:val="0"/>
              <w:rPr>
                <w:b/>
                <w:szCs w:val="26"/>
              </w:rPr>
            </w:pPr>
          </w:p>
        </w:tc>
        <w:tc>
          <w:tcPr>
            <w:tcW w:w="518" w:type="pct"/>
            <w:vAlign w:val="bottom"/>
          </w:tcPr>
          <w:p w:rsidRPr="00516246" w:rsidR="00516246" w:rsidP="00516246" w:rsidRDefault="00516246" w14:paraId="2E321FAF" w14:textId="77777777">
            <w:pPr>
              <w:keepNext/>
              <w:widowControl w:val="0"/>
              <w:autoSpaceDE w:val="0"/>
              <w:autoSpaceDN w:val="0"/>
              <w:adjustRightInd w:val="0"/>
              <w:jc w:val="right"/>
              <w:rPr>
                <w:szCs w:val="26"/>
              </w:rPr>
            </w:pPr>
          </w:p>
          <w:p w:rsidRPr="00516246" w:rsidR="00516246" w:rsidP="00516246" w:rsidRDefault="007521CB" w14:paraId="53F63EF6" w14:textId="3C4C1DA9">
            <w:pPr>
              <w:keepNext/>
              <w:widowControl w:val="0"/>
              <w:autoSpaceDE w:val="0"/>
              <w:autoSpaceDN w:val="0"/>
              <w:adjustRightInd w:val="0"/>
              <w:jc w:val="right"/>
              <w:rPr>
                <w:szCs w:val="26"/>
              </w:rPr>
            </w:pPr>
            <w:r>
              <w:rPr>
                <w:szCs w:val="26"/>
              </w:rPr>
              <w:t>9</w:t>
            </w:r>
            <w:r w:rsidR="00820590">
              <w:rPr>
                <w:szCs w:val="26"/>
              </w:rPr>
              <w:t>8</w:t>
            </w:r>
          </w:p>
        </w:tc>
        <w:tc>
          <w:tcPr>
            <w:tcW w:w="483" w:type="pct"/>
            <w:vAlign w:val="bottom"/>
          </w:tcPr>
          <w:p w:rsidRPr="00516246" w:rsidR="00516246" w:rsidP="00516246" w:rsidRDefault="00516246" w14:paraId="28DA3AA9" w14:textId="77777777">
            <w:pPr>
              <w:keepNext/>
              <w:widowControl w:val="0"/>
              <w:autoSpaceDE w:val="0"/>
              <w:autoSpaceDN w:val="0"/>
              <w:adjustRightInd w:val="0"/>
              <w:jc w:val="right"/>
              <w:rPr>
                <w:szCs w:val="26"/>
              </w:rPr>
            </w:pPr>
          </w:p>
          <w:p w:rsidRPr="00516246" w:rsidR="00516246" w:rsidP="00516246" w:rsidRDefault="00516246" w14:paraId="57093052" w14:textId="77777777">
            <w:pPr>
              <w:keepNext/>
              <w:widowControl w:val="0"/>
              <w:autoSpaceDE w:val="0"/>
              <w:autoSpaceDN w:val="0"/>
              <w:adjustRightInd w:val="0"/>
              <w:jc w:val="right"/>
              <w:rPr>
                <w:szCs w:val="26"/>
              </w:rPr>
            </w:pPr>
            <w:r w:rsidRPr="00516246">
              <w:rPr>
                <w:szCs w:val="26"/>
              </w:rPr>
              <w:t>1</w:t>
            </w:r>
          </w:p>
        </w:tc>
        <w:tc>
          <w:tcPr>
            <w:tcW w:w="565" w:type="pct"/>
            <w:vAlign w:val="bottom"/>
          </w:tcPr>
          <w:p w:rsidRPr="00516246" w:rsidR="00516246" w:rsidP="00516246" w:rsidRDefault="00516246" w14:paraId="168FAC35" w14:textId="77777777">
            <w:pPr>
              <w:keepNext/>
              <w:widowControl w:val="0"/>
              <w:autoSpaceDE w:val="0"/>
              <w:autoSpaceDN w:val="0"/>
              <w:adjustRightInd w:val="0"/>
              <w:jc w:val="right"/>
              <w:rPr>
                <w:szCs w:val="26"/>
              </w:rPr>
            </w:pPr>
          </w:p>
          <w:p w:rsidRPr="00516246" w:rsidR="00516246" w:rsidP="00516246" w:rsidRDefault="00B02D57" w14:paraId="20CE2EBE" w14:textId="4F1AB722">
            <w:pPr>
              <w:keepNext/>
              <w:widowControl w:val="0"/>
              <w:autoSpaceDE w:val="0"/>
              <w:autoSpaceDN w:val="0"/>
              <w:adjustRightInd w:val="0"/>
              <w:jc w:val="right"/>
              <w:rPr>
                <w:szCs w:val="26"/>
              </w:rPr>
            </w:pPr>
            <w:r>
              <w:rPr>
                <w:szCs w:val="26"/>
              </w:rPr>
              <w:t>9</w:t>
            </w:r>
            <w:r w:rsidR="00820590">
              <w:rPr>
                <w:szCs w:val="26"/>
              </w:rPr>
              <w:t>8</w:t>
            </w:r>
            <w:r w:rsidRPr="00516246">
              <w:rPr>
                <w:szCs w:val="26"/>
              </w:rPr>
              <w:t xml:space="preserve"> </w:t>
            </w:r>
          </w:p>
        </w:tc>
        <w:tc>
          <w:tcPr>
            <w:tcW w:w="609" w:type="pct"/>
            <w:vAlign w:val="bottom"/>
          </w:tcPr>
          <w:p w:rsidRPr="00516246" w:rsidR="00516246" w:rsidP="00516246" w:rsidRDefault="00516246" w14:paraId="20E3FF6C" w14:textId="77777777">
            <w:pPr>
              <w:keepNext/>
              <w:widowControl w:val="0"/>
              <w:autoSpaceDE w:val="0"/>
              <w:autoSpaceDN w:val="0"/>
              <w:adjustRightInd w:val="0"/>
              <w:jc w:val="right"/>
              <w:rPr>
                <w:szCs w:val="26"/>
              </w:rPr>
            </w:pPr>
            <w:r w:rsidRPr="00516246">
              <w:rPr>
                <w:szCs w:val="26"/>
              </w:rPr>
              <w:t xml:space="preserve">42 hrs.; </w:t>
            </w:r>
          </w:p>
          <w:p w:rsidRPr="00516246" w:rsidR="00516246" w:rsidP="00516246" w:rsidRDefault="00516246" w14:paraId="65CAA840" w14:textId="77777777">
            <w:pPr>
              <w:keepNext/>
              <w:widowControl w:val="0"/>
              <w:autoSpaceDE w:val="0"/>
              <w:autoSpaceDN w:val="0"/>
              <w:adjustRightInd w:val="0"/>
              <w:jc w:val="right"/>
              <w:rPr>
                <w:szCs w:val="26"/>
              </w:rPr>
            </w:pPr>
          </w:p>
          <w:p w:rsidRPr="00516246" w:rsidR="00516246" w:rsidP="00516246" w:rsidRDefault="00516246" w14:paraId="2AA58D2C" w14:textId="77777777">
            <w:pPr>
              <w:keepNext/>
              <w:widowControl w:val="0"/>
              <w:autoSpaceDE w:val="0"/>
              <w:autoSpaceDN w:val="0"/>
              <w:adjustRightInd w:val="0"/>
              <w:jc w:val="right"/>
              <w:rPr>
                <w:szCs w:val="26"/>
              </w:rPr>
            </w:pPr>
            <w:r w:rsidRPr="00516246">
              <w:rPr>
                <w:szCs w:val="26"/>
              </w:rPr>
              <w:t>$2,696.40</w:t>
            </w:r>
          </w:p>
        </w:tc>
        <w:tc>
          <w:tcPr>
            <w:tcW w:w="737" w:type="pct"/>
            <w:vAlign w:val="bottom"/>
          </w:tcPr>
          <w:p w:rsidR="00516246" w:rsidP="00516246" w:rsidRDefault="009B2220" w14:paraId="2C25965F" w14:textId="30163954">
            <w:pPr>
              <w:keepNext/>
              <w:widowControl w:val="0"/>
              <w:autoSpaceDE w:val="0"/>
              <w:autoSpaceDN w:val="0"/>
              <w:adjustRightInd w:val="0"/>
              <w:jc w:val="right"/>
              <w:rPr>
                <w:szCs w:val="26"/>
              </w:rPr>
            </w:pPr>
            <w:r>
              <w:rPr>
                <w:szCs w:val="26"/>
              </w:rPr>
              <w:t>4,1</w:t>
            </w:r>
            <w:r w:rsidR="00BD3C86">
              <w:rPr>
                <w:szCs w:val="26"/>
              </w:rPr>
              <w:t>16</w:t>
            </w:r>
            <w:r w:rsidRPr="00516246" w:rsidR="00516246">
              <w:rPr>
                <w:szCs w:val="26"/>
              </w:rPr>
              <w:t xml:space="preserve"> hrs.;</w:t>
            </w:r>
          </w:p>
          <w:p w:rsidRPr="00516246" w:rsidR="00A44611" w:rsidP="00516246" w:rsidRDefault="00A44611" w14:paraId="5FA225A7" w14:textId="77777777">
            <w:pPr>
              <w:keepNext/>
              <w:widowControl w:val="0"/>
              <w:autoSpaceDE w:val="0"/>
              <w:autoSpaceDN w:val="0"/>
              <w:adjustRightInd w:val="0"/>
              <w:jc w:val="right"/>
              <w:rPr>
                <w:szCs w:val="26"/>
              </w:rPr>
            </w:pPr>
          </w:p>
          <w:p w:rsidRPr="00516246" w:rsidR="00516246" w:rsidP="00516246" w:rsidRDefault="00516246" w14:paraId="390675A2" w14:textId="347DDD81">
            <w:pPr>
              <w:keepNext/>
              <w:widowControl w:val="0"/>
              <w:autoSpaceDE w:val="0"/>
              <w:autoSpaceDN w:val="0"/>
              <w:adjustRightInd w:val="0"/>
              <w:jc w:val="right"/>
              <w:rPr>
                <w:szCs w:val="26"/>
              </w:rPr>
            </w:pPr>
            <w:r w:rsidRPr="00516246">
              <w:rPr>
                <w:szCs w:val="26"/>
              </w:rPr>
              <w:t>$</w:t>
            </w:r>
            <w:r w:rsidRPr="00516246" w:rsidR="00BD3C86">
              <w:rPr>
                <w:szCs w:val="26"/>
              </w:rPr>
              <w:t>26</w:t>
            </w:r>
            <w:r w:rsidR="00BD3C86">
              <w:rPr>
                <w:szCs w:val="26"/>
              </w:rPr>
              <w:t>4</w:t>
            </w:r>
            <w:r w:rsidRPr="00516246">
              <w:rPr>
                <w:szCs w:val="26"/>
              </w:rPr>
              <w:t>,</w:t>
            </w:r>
            <w:r w:rsidR="004A3F28">
              <w:rPr>
                <w:szCs w:val="26"/>
              </w:rPr>
              <w:t>247</w:t>
            </w:r>
            <w:r w:rsidRPr="00516246">
              <w:rPr>
                <w:szCs w:val="26"/>
              </w:rPr>
              <w:t>.</w:t>
            </w:r>
            <w:r w:rsidR="004A3F28">
              <w:rPr>
                <w:szCs w:val="26"/>
              </w:rPr>
              <w:t>20</w:t>
            </w:r>
          </w:p>
        </w:tc>
        <w:tc>
          <w:tcPr>
            <w:tcW w:w="783" w:type="pct"/>
            <w:vAlign w:val="bottom"/>
          </w:tcPr>
          <w:p w:rsidRPr="00516246" w:rsidR="00516246" w:rsidP="00516246" w:rsidRDefault="00516246" w14:paraId="47DB8764" w14:textId="77777777">
            <w:pPr>
              <w:keepNext/>
              <w:widowControl w:val="0"/>
              <w:autoSpaceDE w:val="0"/>
              <w:autoSpaceDN w:val="0"/>
              <w:adjustRightInd w:val="0"/>
              <w:jc w:val="right"/>
              <w:rPr>
                <w:szCs w:val="26"/>
              </w:rPr>
            </w:pPr>
          </w:p>
          <w:p w:rsidRPr="00516246" w:rsidR="00516246" w:rsidP="00516246" w:rsidRDefault="00516246" w14:paraId="4BE5E25E" w14:textId="77777777">
            <w:pPr>
              <w:keepNext/>
              <w:widowControl w:val="0"/>
              <w:autoSpaceDE w:val="0"/>
              <w:autoSpaceDN w:val="0"/>
              <w:adjustRightInd w:val="0"/>
              <w:jc w:val="right"/>
              <w:rPr>
                <w:szCs w:val="26"/>
              </w:rPr>
            </w:pPr>
          </w:p>
          <w:p w:rsidRPr="00516246" w:rsidR="00516246" w:rsidP="00516246" w:rsidRDefault="00516246" w14:paraId="4D29FE39" w14:textId="77777777">
            <w:pPr>
              <w:keepNext/>
              <w:widowControl w:val="0"/>
              <w:autoSpaceDE w:val="0"/>
              <w:autoSpaceDN w:val="0"/>
              <w:adjustRightInd w:val="0"/>
              <w:jc w:val="right"/>
              <w:rPr>
                <w:szCs w:val="26"/>
              </w:rPr>
            </w:pPr>
            <w:r w:rsidRPr="00516246">
              <w:rPr>
                <w:szCs w:val="26"/>
              </w:rPr>
              <w:t>$2,696.40</w:t>
            </w:r>
          </w:p>
        </w:tc>
      </w:tr>
      <w:tr w:rsidRPr="00516246" w:rsidR="00A44611" w:rsidTr="00A44611" w14:paraId="6032D914" w14:textId="77777777">
        <w:trPr>
          <w:trHeight w:val="374"/>
        </w:trPr>
        <w:tc>
          <w:tcPr>
            <w:tcW w:w="604" w:type="pct"/>
            <w:vMerge w:val="restart"/>
            <w:vAlign w:val="center"/>
          </w:tcPr>
          <w:p w:rsidRPr="00516246" w:rsidR="00516246" w:rsidP="00516246" w:rsidRDefault="00516246" w14:paraId="38CA3CAF" w14:textId="77777777">
            <w:pPr>
              <w:keepNext/>
              <w:widowControl w:val="0"/>
              <w:autoSpaceDE w:val="0"/>
              <w:autoSpaceDN w:val="0"/>
              <w:adjustRightInd w:val="0"/>
              <w:jc w:val="center"/>
              <w:rPr>
                <w:b/>
                <w:szCs w:val="26"/>
              </w:rPr>
            </w:pPr>
            <w:r w:rsidRPr="00516246">
              <w:rPr>
                <w:b/>
                <w:szCs w:val="26"/>
              </w:rPr>
              <w:t>TOP</w:t>
            </w:r>
            <w:r w:rsidRPr="00516246">
              <w:rPr>
                <w:b/>
                <w:szCs w:val="26"/>
                <w:vertAlign w:val="superscript"/>
              </w:rPr>
              <w:footnoteReference w:id="7"/>
            </w:r>
          </w:p>
        </w:tc>
        <w:tc>
          <w:tcPr>
            <w:tcW w:w="700" w:type="pct"/>
            <w:vAlign w:val="center"/>
          </w:tcPr>
          <w:p w:rsidRPr="00516246" w:rsidR="00516246" w:rsidP="00516246" w:rsidRDefault="00516246" w14:paraId="4186E5B5" w14:textId="77777777">
            <w:pPr>
              <w:keepNext/>
              <w:widowControl w:val="0"/>
              <w:autoSpaceDE w:val="0"/>
              <w:autoSpaceDN w:val="0"/>
              <w:adjustRightInd w:val="0"/>
              <w:rPr>
                <w:b/>
                <w:szCs w:val="26"/>
              </w:rPr>
            </w:pPr>
          </w:p>
          <w:p w:rsidRPr="00516246" w:rsidR="00516246" w:rsidP="00516246" w:rsidRDefault="00516246" w14:paraId="6F272C50" w14:textId="6C1FC877">
            <w:pPr>
              <w:keepNext/>
              <w:widowControl w:val="0"/>
              <w:autoSpaceDE w:val="0"/>
              <w:autoSpaceDN w:val="0"/>
              <w:adjustRightInd w:val="0"/>
              <w:rPr>
                <w:b/>
                <w:szCs w:val="26"/>
              </w:rPr>
            </w:pPr>
            <w:r w:rsidRPr="00516246">
              <w:rPr>
                <w:b/>
                <w:szCs w:val="26"/>
              </w:rPr>
              <w:t xml:space="preserve">Year 1 </w:t>
            </w:r>
            <w:r w:rsidR="00A44611">
              <w:rPr>
                <w:b/>
                <w:szCs w:val="26"/>
              </w:rPr>
              <w:t>I</w:t>
            </w:r>
            <w:r w:rsidRPr="00516246">
              <w:rPr>
                <w:b/>
                <w:szCs w:val="26"/>
              </w:rPr>
              <w:t>mplementation (one-time reporting)</w:t>
            </w:r>
          </w:p>
        </w:tc>
        <w:tc>
          <w:tcPr>
            <w:tcW w:w="518" w:type="pct"/>
            <w:vAlign w:val="bottom"/>
          </w:tcPr>
          <w:p w:rsidRPr="00516246" w:rsidR="00516246" w:rsidP="00516246" w:rsidRDefault="00516246" w14:paraId="4CDBF7EA" w14:textId="77777777">
            <w:pPr>
              <w:keepNext/>
              <w:widowControl w:val="0"/>
              <w:autoSpaceDE w:val="0"/>
              <w:autoSpaceDN w:val="0"/>
              <w:adjustRightInd w:val="0"/>
              <w:jc w:val="right"/>
              <w:rPr>
                <w:szCs w:val="26"/>
              </w:rPr>
            </w:pPr>
          </w:p>
          <w:p w:rsidRPr="00516246" w:rsidR="00516246" w:rsidP="00516246" w:rsidRDefault="007521CB" w14:paraId="2DC2B9C7" w14:textId="5BA775D4">
            <w:pPr>
              <w:keepNext/>
              <w:widowControl w:val="0"/>
              <w:autoSpaceDE w:val="0"/>
              <w:autoSpaceDN w:val="0"/>
              <w:adjustRightInd w:val="0"/>
              <w:jc w:val="right"/>
              <w:rPr>
                <w:szCs w:val="26"/>
              </w:rPr>
            </w:pPr>
            <w:r>
              <w:rPr>
                <w:szCs w:val="26"/>
              </w:rPr>
              <w:t>16</w:t>
            </w:r>
            <w:r w:rsidR="00820590">
              <w:rPr>
                <w:szCs w:val="26"/>
              </w:rPr>
              <w:t>9</w:t>
            </w:r>
          </w:p>
        </w:tc>
        <w:tc>
          <w:tcPr>
            <w:tcW w:w="483" w:type="pct"/>
            <w:vAlign w:val="bottom"/>
          </w:tcPr>
          <w:p w:rsidRPr="00516246" w:rsidR="00516246" w:rsidP="00516246" w:rsidRDefault="00516246" w14:paraId="225DE51B" w14:textId="77777777">
            <w:pPr>
              <w:keepNext/>
              <w:widowControl w:val="0"/>
              <w:autoSpaceDE w:val="0"/>
              <w:autoSpaceDN w:val="0"/>
              <w:adjustRightInd w:val="0"/>
              <w:jc w:val="right"/>
              <w:rPr>
                <w:szCs w:val="26"/>
              </w:rPr>
            </w:pPr>
          </w:p>
          <w:p w:rsidRPr="00516246" w:rsidR="00516246" w:rsidP="00516246" w:rsidRDefault="00516246" w14:paraId="072B002C" w14:textId="77777777">
            <w:pPr>
              <w:keepNext/>
              <w:widowControl w:val="0"/>
              <w:autoSpaceDE w:val="0"/>
              <w:autoSpaceDN w:val="0"/>
              <w:adjustRightInd w:val="0"/>
              <w:jc w:val="right"/>
              <w:rPr>
                <w:szCs w:val="26"/>
              </w:rPr>
            </w:pPr>
            <w:r w:rsidRPr="00516246">
              <w:rPr>
                <w:szCs w:val="26"/>
              </w:rPr>
              <w:t>1</w:t>
            </w:r>
          </w:p>
        </w:tc>
        <w:tc>
          <w:tcPr>
            <w:tcW w:w="565" w:type="pct"/>
            <w:vAlign w:val="bottom"/>
          </w:tcPr>
          <w:p w:rsidRPr="00516246" w:rsidR="00516246" w:rsidP="00516246" w:rsidRDefault="00516246" w14:paraId="17B256C7" w14:textId="77777777">
            <w:pPr>
              <w:keepNext/>
              <w:widowControl w:val="0"/>
              <w:autoSpaceDE w:val="0"/>
              <w:autoSpaceDN w:val="0"/>
              <w:adjustRightInd w:val="0"/>
              <w:jc w:val="right"/>
              <w:rPr>
                <w:szCs w:val="26"/>
              </w:rPr>
            </w:pPr>
          </w:p>
          <w:p w:rsidRPr="00516246" w:rsidR="00516246" w:rsidP="00516246" w:rsidRDefault="00B02D57" w14:paraId="2FB7CC03" w14:textId="4260294C">
            <w:pPr>
              <w:keepNext/>
              <w:widowControl w:val="0"/>
              <w:autoSpaceDE w:val="0"/>
              <w:autoSpaceDN w:val="0"/>
              <w:adjustRightInd w:val="0"/>
              <w:jc w:val="right"/>
              <w:rPr>
                <w:szCs w:val="26"/>
              </w:rPr>
            </w:pPr>
            <w:r>
              <w:rPr>
                <w:szCs w:val="26"/>
              </w:rPr>
              <w:t>16</w:t>
            </w:r>
            <w:r w:rsidR="00820590">
              <w:rPr>
                <w:szCs w:val="26"/>
              </w:rPr>
              <w:t>9</w:t>
            </w:r>
          </w:p>
        </w:tc>
        <w:tc>
          <w:tcPr>
            <w:tcW w:w="609" w:type="pct"/>
            <w:vAlign w:val="bottom"/>
          </w:tcPr>
          <w:p w:rsidR="00A44611" w:rsidP="00516246" w:rsidRDefault="00516246" w14:paraId="6C73C33F" w14:textId="77777777">
            <w:pPr>
              <w:keepNext/>
              <w:widowControl w:val="0"/>
              <w:autoSpaceDE w:val="0"/>
              <w:autoSpaceDN w:val="0"/>
              <w:adjustRightInd w:val="0"/>
              <w:jc w:val="right"/>
              <w:rPr>
                <w:szCs w:val="26"/>
              </w:rPr>
            </w:pPr>
            <w:r w:rsidRPr="00516246">
              <w:rPr>
                <w:szCs w:val="26"/>
              </w:rPr>
              <w:t>70 hrs.;</w:t>
            </w:r>
          </w:p>
          <w:p w:rsidRPr="00516246" w:rsidR="00516246" w:rsidP="00516246" w:rsidRDefault="00516246" w14:paraId="391A6003" w14:textId="58DB3457">
            <w:pPr>
              <w:keepNext/>
              <w:widowControl w:val="0"/>
              <w:autoSpaceDE w:val="0"/>
              <w:autoSpaceDN w:val="0"/>
              <w:adjustRightInd w:val="0"/>
              <w:jc w:val="right"/>
              <w:rPr>
                <w:szCs w:val="26"/>
              </w:rPr>
            </w:pPr>
            <w:r w:rsidRPr="00516246">
              <w:rPr>
                <w:szCs w:val="26"/>
              </w:rPr>
              <w:t xml:space="preserve"> </w:t>
            </w:r>
          </w:p>
          <w:p w:rsidRPr="00516246" w:rsidR="00516246" w:rsidP="00516246" w:rsidRDefault="00516246" w14:paraId="43E23386" w14:textId="77777777">
            <w:pPr>
              <w:keepNext/>
              <w:widowControl w:val="0"/>
              <w:autoSpaceDE w:val="0"/>
              <w:autoSpaceDN w:val="0"/>
              <w:adjustRightInd w:val="0"/>
              <w:jc w:val="right"/>
              <w:rPr>
                <w:szCs w:val="26"/>
              </w:rPr>
            </w:pPr>
            <w:r w:rsidRPr="00516246">
              <w:rPr>
                <w:szCs w:val="26"/>
              </w:rPr>
              <w:t>$4,494.00</w:t>
            </w:r>
          </w:p>
        </w:tc>
        <w:tc>
          <w:tcPr>
            <w:tcW w:w="737" w:type="pct"/>
            <w:vAlign w:val="bottom"/>
          </w:tcPr>
          <w:p w:rsidR="00516246" w:rsidP="00516246" w:rsidRDefault="00516246" w14:paraId="57DF6CC0" w14:textId="6A8B6536">
            <w:pPr>
              <w:keepNext/>
              <w:widowControl w:val="0"/>
              <w:autoSpaceDE w:val="0"/>
              <w:autoSpaceDN w:val="0"/>
              <w:adjustRightInd w:val="0"/>
              <w:jc w:val="right"/>
              <w:rPr>
                <w:szCs w:val="26"/>
              </w:rPr>
            </w:pPr>
            <w:r w:rsidRPr="00E3077A">
              <w:rPr>
                <w:szCs w:val="26"/>
              </w:rPr>
              <w:t>11,</w:t>
            </w:r>
            <w:r w:rsidR="00721158">
              <w:rPr>
                <w:szCs w:val="26"/>
              </w:rPr>
              <w:t>83</w:t>
            </w:r>
            <w:r w:rsidRPr="00E3077A" w:rsidR="009B2220">
              <w:rPr>
                <w:szCs w:val="26"/>
              </w:rPr>
              <w:t>0</w:t>
            </w:r>
            <w:r w:rsidRPr="00516246" w:rsidR="009B2220">
              <w:rPr>
                <w:szCs w:val="26"/>
              </w:rPr>
              <w:t xml:space="preserve"> </w:t>
            </w:r>
            <w:r w:rsidRPr="00516246">
              <w:rPr>
                <w:szCs w:val="26"/>
              </w:rPr>
              <w:t>hrs.;</w:t>
            </w:r>
          </w:p>
          <w:p w:rsidRPr="00516246" w:rsidR="00A44611" w:rsidP="00516246" w:rsidRDefault="00A44611" w14:paraId="00B6B7E4" w14:textId="77777777">
            <w:pPr>
              <w:keepNext/>
              <w:widowControl w:val="0"/>
              <w:autoSpaceDE w:val="0"/>
              <w:autoSpaceDN w:val="0"/>
              <w:adjustRightInd w:val="0"/>
              <w:jc w:val="right"/>
              <w:rPr>
                <w:szCs w:val="26"/>
              </w:rPr>
            </w:pPr>
          </w:p>
          <w:p w:rsidRPr="00516246" w:rsidR="00516246" w:rsidP="00516246" w:rsidRDefault="00516246" w14:paraId="315BF01F" w14:textId="60016C80">
            <w:pPr>
              <w:keepNext/>
              <w:widowControl w:val="0"/>
              <w:autoSpaceDE w:val="0"/>
              <w:autoSpaceDN w:val="0"/>
              <w:adjustRightInd w:val="0"/>
              <w:jc w:val="right"/>
              <w:rPr>
                <w:szCs w:val="26"/>
              </w:rPr>
            </w:pPr>
            <w:r w:rsidRPr="00516246">
              <w:rPr>
                <w:szCs w:val="26"/>
              </w:rPr>
              <w:t>$</w:t>
            </w:r>
            <w:r w:rsidRPr="00516246" w:rsidR="006C54F5">
              <w:rPr>
                <w:szCs w:val="26"/>
              </w:rPr>
              <w:t>7</w:t>
            </w:r>
            <w:r w:rsidR="006C54F5">
              <w:rPr>
                <w:szCs w:val="26"/>
              </w:rPr>
              <w:t>5</w:t>
            </w:r>
            <w:r w:rsidR="00721158">
              <w:rPr>
                <w:szCs w:val="26"/>
              </w:rPr>
              <w:t>9</w:t>
            </w:r>
            <w:r w:rsidRPr="00516246">
              <w:rPr>
                <w:szCs w:val="26"/>
              </w:rPr>
              <w:t>,</w:t>
            </w:r>
            <w:r w:rsidR="00721158">
              <w:rPr>
                <w:szCs w:val="26"/>
              </w:rPr>
              <w:t>486</w:t>
            </w:r>
            <w:r w:rsidRPr="00516246">
              <w:rPr>
                <w:szCs w:val="26"/>
              </w:rPr>
              <w:t>.00</w:t>
            </w:r>
          </w:p>
        </w:tc>
        <w:tc>
          <w:tcPr>
            <w:tcW w:w="783" w:type="pct"/>
            <w:vAlign w:val="bottom"/>
          </w:tcPr>
          <w:p w:rsidRPr="00516246" w:rsidR="00516246" w:rsidP="00516246" w:rsidRDefault="00516246" w14:paraId="2F179E18" w14:textId="77777777">
            <w:pPr>
              <w:keepNext/>
              <w:widowControl w:val="0"/>
              <w:autoSpaceDE w:val="0"/>
              <w:autoSpaceDN w:val="0"/>
              <w:adjustRightInd w:val="0"/>
              <w:jc w:val="right"/>
              <w:rPr>
                <w:szCs w:val="26"/>
              </w:rPr>
            </w:pPr>
          </w:p>
          <w:p w:rsidRPr="00516246" w:rsidR="00516246" w:rsidP="00516246" w:rsidRDefault="00516246" w14:paraId="3818C77A" w14:textId="77777777">
            <w:pPr>
              <w:keepNext/>
              <w:widowControl w:val="0"/>
              <w:autoSpaceDE w:val="0"/>
              <w:autoSpaceDN w:val="0"/>
              <w:adjustRightInd w:val="0"/>
              <w:jc w:val="right"/>
              <w:rPr>
                <w:szCs w:val="26"/>
              </w:rPr>
            </w:pPr>
          </w:p>
          <w:p w:rsidRPr="00516246" w:rsidR="00516246" w:rsidP="00516246" w:rsidRDefault="00516246" w14:paraId="29A9551C" w14:textId="77777777">
            <w:pPr>
              <w:keepNext/>
              <w:widowControl w:val="0"/>
              <w:autoSpaceDE w:val="0"/>
              <w:autoSpaceDN w:val="0"/>
              <w:adjustRightInd w:val="0"/>
              <w:jc w:val="right"/>
              <w:rPr>
                <w:szCs w:val="26"/>
              </w:rPr>
            </w:pPr>
            <w:r w:rsidRPr="00516246">
              <w:rPr>
                <w:szCs w:val="26"/>
              </w:rPr>
              <w:t>$4,494.00</w:t>
            </w:r>
          </w:p>
        </w:tc>
      </w:tr>
      <w:tr w:rsidRPr="00516246" w:rsidR="00A44611" w:rsidTr="00A44611" w14:paraId="5512BCAE" w14:textId="77777777">
        <w:trPr>
          <w:trHeight w:val="1502"/>
        </w:trPr>
        <w:tc>
          <w:tcPr>
            <w:tcW w:w="604" w:type="pct"/>
            <w:vMerge/>
            <w:vAlign w:val="center"/>
          </w:tcPr>
          <w:p w:rsidRPr="00516246" w:rsidR="00516246" w:rsidP="00516246" w:rsidRDefault="00516246" w14:paraId="19BEC02A" w14:textId="77777777">
            <w:pPr>
              <w:keepNext/>
              <w:widowControl w:val="0"/>
              <w:autoSpaceDE w:val="0"/>
              <w:autoSpaceDN w:val="0"/>
              <w:adjustRightInd w:val="0"/>
              <w:jc w:val="center"/>
              <w:rPr>
                <w:b/>
                <w:szCs w:val="26"/>
              </w:rPr>
            </w:pPr>
          </w:p>
        </w:tc>
        <w:tc>
          <w:tcPr>
            <w:tcW w:w="700" w:type="pct"/>
            <w:vAlign w:val="center"/>
          </w:tcPr>
          <w:p w:rsidRPr="00516246" w:rsidR="00516246" w:rsidP="00A44611" w:rsidRDefault="00516246" w14:paraId="45DED450" w14:textId="77777777">
            <w:pPr>
              <w:keepNext/>
              <w:widowControl w:val="0"/>
              <w:autoSpaceDE w:val="0"/>
              <w:autoSpaceDN w:val="0"/>
              <w:adjustRightInd w:val="0"/>
              <w:rPr>
                <w:b/>
                <w:szCs w:val="26"/>
              </w:rPr>
            </w:pPr>
          </w:p>
          <w:p w:rsidRPr="00516246" w:rsidR="00516246" w:rsidP="00A44611" w:rsidRDefault="00516246" w14:paraId="1083DEBA" w14:textId="77777777">
            <w:pPr>
              <w:keepNext/>
              <w:widowControl w:val="0"/>
              <w:autoSpaceDE w:val="0"/>
              <w:autoSpaceDN w:val="0"/>
              <w:adjustRightInd w:val="0"/>
              <w:rPr>
                <w:b/>
                <w:szCs w:val="26"/>
              </w:rPr>
            </w:pPr>
            <w:r w:rsidRPr="00516246">
              <w:rPr>
                <w:b/>
                <w:szCs w:val="26"/>
              </w:rPr>
              <w:t>Starting in Year 2 (annual reporting)</w:t>
            </w:r>
          </w:p>
        </w:tc>
        <w:tc>
          <w:tcPr>
            <w:tcW w:w="518" w:type="pct"/>
            <w:vAlign w:val="bottom"/>
          </w:tcPr>
          <w:p w:rsidRPr="00516246" w:rsidR="00516246" w:rsidP="00516246" w:rsidRDefault="00516246" w14:paraId="2E043AFF" w14:textId="77777777">
            <w:pPr>
              <w:keepNext/>
              <w:widowControl w:val="0"/>
              <w:autoSpaceDE w:val="0"/>
              <w:autoSpaceDN w:val="0"/>
              <w:adjustRightInd w:val="0"/>
              <w:jc w:val="right"/>
              <w:rPr>
                <w:szCs w:val="26"/>
              </w:rPr>
            </w:pPr>
          </w:p>
          <w:p w:rsidRPr="00516246" w:rsidR="00516246" w:rsidP="00516246" w:rsidRDefault="007521CB" w14:paraId="73580FAA" w14:textId="31AC4DDB">
            <w:pPr>
              <w:keepNext/>
              <w:widowControl w:val="0"/>
              <w:autoSpaceDE w:val="0"/>
              <w:autoSpaceDN w:val="0"/>
              <w:adjustRightInd w:val="0"/>
              <w:jc w:val="right"/>
              <w:rPr>
                <w:szCs w:val="26"/>
              </w:rPr>
            </w:pPr>
            <w:r>
              <w:rPr>
                <w:szCs w:val="26"/>
              </w:rPr>
              <w:t>16</w:t>
            </w:r>
            <w:r w:rsidR="00820590">
              <w:rPr>
                <w:szCs w:val="26"/>
              </w:rPr>
              <w:t>9</w:t>
            </w:r>
          </w:p>
        </w:tc>
        <w:tc>
          <w:tcPr>
            <w:tcW w:w="483" w:type="pct"/>
            <w:vAlign w:val="bottom"/>
          </w:tcPr>
          <w:p w:rsidRPr="00516246" w:rsidR="00516246" w:rsidP="00516246" w:rsidRDefault="00516246" w14:paraId="145DF475" w14:textId="77777777">
            <w:pPr>
              <w:keepNext/>
              <w:widowControl w:val="0"/>
              <w:autoSpaceDE w:val="0"/>
              <w:autoSpaceDN w:val="0"/>
              <w:adjustRightInd w:val="0"/>
              <w:jc w:val="right"/>
              <w:rPr>
                <w:szCs w:val="26"/>
              </w:rPr>
            </w:pPr>
          </w:p>
          <w:p w:rsidRPr="00516246" w:rsidR="00516246" w:rsidP="00516246" w:rsidRDefault="00516246" w14:paraId="7377DE2E" w14:textId="77777777">
            <w:pPr>
              <w:keepNext/>
              <w:widowControl w:val="0"/>
              <w:autoSpaceDE w:val="0"/>
              <w:autoSpaceDN w:val="0"/>
              <w:adjustRightInd w:val="0"/>
              <w:jc w:val="right"/>
              <w:rPr>
                <w:szCs w:val="26"/>
              </w:rPr>
            </w:pPr>
            <w:r w:rsidRPr="00516246">
              <w:rPr>
                <w:szCs w:val="26"/>
              </w:rPr>
              <w:t>1</w:t>
            </w:r>
          </w:p>
        </w:tc>
        <w:tc>
          <w:tcPr>
            <w:tcW w:w="565" w:type="pct"/>
            <w:vAlign w:val="bottom"/>
          </w:tcPr>
          <w:p w:rsidRPr="00516246" w:rsidR="00516246" w:rsidP="00516246" w:rsidRDefault="00516246" w14:paraId="589374F5" w14:textId="77777777">
            <w:pPr>
              <w:keepNext/>
              <w:widowControl w:val="0"/>
              <w:autoSpaceDE w:val="0"/>
              <w:autoSpaceDN w:val="0"/>
              <w:adjustRightInd w:val="0"/>
              <w:jc w:val="right"/>
              <w:rPr>
                <w:szCs w:val="26"/>
              </w:rPr>
            </w:pPr>
          </w:p>
          <w:p w:rsidRPr="00516246" w:rsidR="00516246" w:rsidP="00516246" w:rsidRDefault="00B02D57" w14:paraId="2BFACAB9" w14:textId="3A339EDB">
            <w:pPr>
              <w:keepNext/>
              <w:widowControl w:val="0"/>
              <w:autoSpaceDE w:val="0"/>
              <w:autoSpaceDN w:val="0"/>
              <w:adjustRightInd w:val="0"/>
              <w:jc w:val="right"/>
              <w:rPr>
                <w:szCs w:val="26"/>
              </w:rPr>
            </w:pPr>
            <w:r>
              <w:rPr>
                <w:szCs w:val="26"/>
              </w:rPr>
              <w:t>16</w:t>
            </w:r>
            <w:r w:rsidR="00820590">
              <w:rPr>
                <w:szCs w:val="26"/>
              </w:rPr>
              <w:t>9</w:t>
            </w:r>
          </w:p>
        </w:tc>
        <w:tc>
          <w:tcPr>
            <w:tcW w:w="609" w:type="pct"/>
            <w:vAlign w:val="bottom"/>
          </w:tcPr>
          <w:p w:rsidRPr="00516246" w:rsidR="00516246" w:rsidP="00516246" w:rsidRDefault="00516246" w14:paraId="4F3FEE60" w14:textId="79A20D0A">
            <w:pPr>
              <w:keepNext/>
              <w:widowControl w:val="0"/>
              <w:autoSpaceDE w:val="0"/>
              <w:autoSpaceDN w:val="0"/>
              <w:adjustRightInd w:val="0"/>
              <w:jc w:val="right"/>
              <w:rPr>
                <w:szCs w:val="26"/>
              </w:rPr>
            </w:pPr>
            <w:r w:rsidRPr="00516246">
              <w:rPr>
                <w:szCs w:val="26"/>
              </w:rPr>
              <w:t>40 hrs.</w:t>
            </w:r>
            <w:r w:rsidR="00A44611">
              <w:rPr>
                <w:szCs w:val="26"/>
              </w:rPr>
              <w:t>;</w:t>
            </w:r>
          </w:p>
          <w:p w:rsidRPr="00516246" w:rsidR="00516246" w:rsidP="00516246" w:rsidRDefault="00516246" w14:paraId="62A8CA8A" w14:textId="77777777">
            <w:pPr>
              <w:keepNext/>
              <w:widowControl w:val="0"/>
              <w:autoSpaceDE w:val="0"/>
              <w:autoSpaceDN w:val="0"/>
              <w:adjustRightInd w:val="0"/>
              <w:jc w:val="right"/>
              <w:rPr>
                <w:szCs w:val="26"/>
              </w:rPr>
            </w:pPr>
          </w:p>
          <w:p w:rsidRPr="00516246" w:rsidR="00516246" w:rsidP="00516246" w:rsidRDefault="00516246" w14:paraId="006EFF08" w14:textId="77777777">
            <w:pPr>
              <w:keepNext/>
              <w:widowControl w:val="0"/>
              <w:autoSpaceDE w:val="0"/>
              <w:autoSpaceDN w:val="0"/>
              <w:adjustRightInd w:val="0"/>
              <w:jc w:val="right"/>
              <w:rPr>
                <w:szCs w:val="26"/>
              </w:rPr>
            </w:pPr>
            <w:r w:rsidRPr="00516246">
              <w:rPr>
                <w:szCs w:val="26"/>
              </w:rPr>
              <w:t>$2,568.00</w:t>
            </w:r>
          </w:p>
        </w:tc>
        <w:tc>
          <w:tcPr>
            <w:tcW w:w="737" w:type="pct"/>
            <w:vAlign w:val="bottom"/>
          </w:tcPr>
          <w:p w:rsidRPr="00516246" w:rsidR="00516246" w:rsidP="00516246" w:rsidRDefault="00516246" w14:paraId="3D3A82CA" w14:textId="6961F84B">
            <w:pPr>
              <w:keepNext/>
              <w:widowControl w:val="0"/>
              <w:autoSpaceDE w:val="0"/>
              <w:autoSpaceDN w:val="0"/>
              <w:adjustRightInd w:val="0"/>
              <w:jc w:val="right"/>
              <w:rPr>
                <w:szCs w:val="26"/>
              </w:rPr>
            </w:pPr>
            <w:r w:rsidRPr="00516246">
              <w:rPr>
                <w:szCs w:val="26"/>
              </w:rPr>
              <w:t>6,</w:t>
            </w:r>
            <w:r w:rsidR="009B2220">
              <w:rPr>
                <w:szCs w:val="26"/>
              </w:rPr>
              <w:t>7</w:t>
            </w:r>
            <w:r w:rsidR="00363606">
              <w:rPr>
                <w:szCs w:val="26"/>
              </w:rPr>
              <w:t>6</w:t>
            </w:r>
            <w:r w:rsidR="009B2220">
              <w:rPr>
                <w:szCs w:val="26"/>
              </w:rPr>
              <w:t>0</w:t>
            </w:r>
            <w:r w:rsidRPr="00516246" w:rsidR="009B2220">
              <w:rPr>
                <w:szCs w:val="26"/>
              </w:rPr>
              <w:t xml:space="preserve"> </w:t>
            </w:r>
            <w:r w:rsidRPr="00516246">
              <w:rPr>
                <w:szCs w:val="26"/>
              </w:rPr>
              <w:t>hrs.;</w:t>
            </w:r>
          </w:p>
          <w:p w:rsidRPr="00516246" w:rsidR="00516246" w:rsidP="00516246" w:rsidRDefault="00516246" w14:paraId="08B851A9" w14:textId="77777777">
            <w:pPr>
              <w:keepNext/>
              <w:widowControl w:val="0"/>
              <w:autoSpaceDE w:val="0"/>
              <w:autoSpaceDN w:val="0"/>
              <w:adjustRightInd w:val="0"/>
              <w:jc w:val="right"/>
              <w:rPr>
                <w:szCs w:val="26"/>
              </w:rPr>
            </w:pPr>
          </w:p>
          <w:p w:rsidRPr="00516246" w:rsidR="00516246" w:rsidP="00516246" w:rsidRDefault="00516246" w14:paraId="222169E8" w14:textId="25A1F297">
            <w:pPr>
              <w:keepNext/>
              <w:widowControl w:val="0"/>
              <w:autoSpaceDE w:val="0"/>
              <w:autoSpaceDN w:val="0"/>
              <w:adjustRightInd w:val="0"/>
              <w:jc w:val="right"/>
              <w:rPr>
                <w:szCs w:val="26"/>
              </w:rPr>
            </w:pPr>
            <w:r w:rsidRPr="00516246">
              <w:rPr>
                <w:szCs w:val="26"/>
              </w:rPr>
              <w:t>$</w:t>
            </w:r>
            <w:r w:rsidRPr="00516246" w:rsidR="00363606">
              <w:rPr>
                <w:szCs w:val="26"/>
              </w:rPr>
              <w:t>43</w:t>
            </w:r>
            <w:r w:rsidR="00363606">
              <w:rPr>
                <w:szCs w:val="26"/>
              </w:rPr>
              <w:t>3</w:t>
            </w:r>
            <w:r w:rsidRPr="00516246">
              <w:rPr>
                <w:szCs w:val="26"/>
              </w:rPr>
              <w:t>,</w:t>
            </w:r>
            <w:r w:rsidR="00363606">
              <w:rPr>
                <w:szCs w:val="26"/>
              </w:rPr>
              <w:t>992</w:t>
            </w:r>
            <w:r w:rsidRPr="00516246">
              <w:rPr>
                <w:szCs w:val="26"/>
              </w:rPr>
              <w:t>.00</w:t>
            </w:r>
          </w:p>
        </w:tc>
        <w:tc>
          <w:tcPr>
            <w:tcW w:w="783" w:type="pct"/>
            <w:tcBorders>
              <w:bottom w:val="single" w:color="auto" w:sz="4" w:space="0"/>
            </w:tcBorders>
            <w:vAlign w:val="bottom"/>
          </w:tcPr>
          <w:p w:rsidRPr="00516246" w:rsidR="00516246" w:rsidP="00516246" w:rsidRDefault="00516246" w14:paraId="76E8B4E2" w14:textId="77777777">
            <w:pPr>
              <w:keepNext/>
              <w:widowControl w:val="0"/>
              <w:autoSpaceDE w:val="0"/>
              <w:autoSpaceDN w:val="0"/>
              <w:adjustRightInd w:val="0"/>
              <w:jc w:val="right"/>
              <w:rPr>
                <w:szCs w:val="26"/>
              </w:rPr>
            </w:pPr>
          </w:p>
          <w:p w:rsidRPr="00516246" w:rsidR="00516246" w:rsidP="00516246" w:rsidRDefault="00516246" w14:paraId="58702681" w14:textId="77777777">
            <w:pPr>
              <w:keepNext/>
              <w:widowControl w:val="0"/>
              <w:autoSpaceDE w:val="0"/>
              <w:autoSpaceDN w:val="0"/>
              <w:adjustRightInd w:val="0"/>
              <w:jc w:val="right"/>
              <w:rPr>
                <w:szCs w:val="26"/>
              </w:rPr>
            </w:pPr>
          </w:p>
          <w:p w:rsidRPr="00516246" w:rsidR="00516246" w:rsidP="00516246" w:rsidRDefault="00516246" w14:paraId="61820BFC" w14:textId="77777777">
            <w:pPr>
              <w:keepNext/>
              <w:widowControl w:val="0"/>
              <w:autoSpaceDE w:val="0"/>
              <w:autoSpaceDN w:val="0"/>
              <w:adjustRightInd w:val="0"/>
              <w:jc w:val="right"/>
              <w:rPr>
                <w:szCs w:val="26"/>
              </w:rPr>
            </w:pPr>
            <w:r w:rsidRPr="00516246">
              <w:rPr>
                <w:szCs w:val="26"/>
              </w:rPr>
              <w:t xml:space="preserve">$2,568.00 </w:t>
            </w:r>
          </w:p>
        </w:tc>
      </w:tr>
      <w:tr w:rsidRPr="00516246" w:rsidR="00A44611" w:rsidTr="00A44611" w14:paraId="733F5A64" w14:textId="77777777">
        <w:trPr>
          <w:trHeight w:val="854"/>
        </w:trPr>
        <w:tc>
          <w:tcPr>
            <w:tcW w:w="604" w:type="pct"/>
            <w:vAlign w:val="center"/>
          </w:tcPr>
          <w:p w:rsidRPr="00516246" w:rsidR="00516246" w:rsidP="00516246" w:rsidRDefault="00516246" w14:paraId="4ADD3BE6" w14:textId="77777777">
            <w:pPr>
              <w:keepNext/>
              <w:widowControl w:val="0"/>
              <w:autoSpaceDE w:val="0"/>
              <w:autoSpaceDN w:val="0"/>
              <w:adjustRightInd w:val="0"/>
              <w:jc w:val="center"/>
              <w:rPr>
                <w:b/>
                <w:szCs w:val="26"/>
              </w:rPr>
            </w:pPr>
            <w:r w:rsidRPr="00516246">
              <w:rPr>
                <w:b/>
                <w:szCs w:val="26"/>
              </w:rPr>
              <w:t>BA/TOP</w:t>
            </w:r>
          </w:p>
        </w:tc>
        <w:tc>
          <w:tcPr>
            <w:tcW w:w="700" w:type="pct"/>
            <w:vAlign w:val="center"/>
          </w:tcPr>
          <w:p w:rsidRPr="00516246" w:rsidR="00516246" w:rsidP="00516246" w:rsidRDefault="00516246" w14:paraId="244FB47B" w14:textId="77777777">
            <w:pPr>
              <w:keepNext/>
              <w:widowControl w:val="0"/>
              <w:autoSpaceDE w:val="0"/>
              <w:autoSpaceDN w:val="0"/>
              <w:adjustRightInd w:val="0"/>
              <w:rPr>
                <w:b/>
                <w:szCs w:val="26"/>
              </w:rPr>
            </w:pPr>
            <w:r w:rsidRPr="00516246">
              <w:rPr>
                <w:b/>
                <w:szCs w:val="26"/>
              </w:rPr>
              <w:t>Annual Record Retention</w:t>
            </w:r>
          </w:p>
        </w:tc>
        <w:tc>
          <w:tcPr>
            <w:tcW w:w="518" w:type="pct"/>
            <w:shd w:val="clear" w:color="auto" w:fill="auto"/>
            <w:vAlign w:val="bottom"/>
          </w:tcPr>
          <w:p w:rsidRPr="00516246" w:rsidR="00516246" w:rsidP="00516246" w:rsidRDefault="007521CB" w14:paraId="20CBA8EE" w14:textId="50E44ED1">
            <w:pPr>
              <w:keepNext/>
              <w:widowControl w:val="0"/>
              <w:autoSpaceDE w:val="0"/>
              <w:autoSpaceDN w:val="0"/>
              <w:adjustRightInd w:val="0"/>
              <w:jc w:val="right"/>
              <w:rPr>
                <w:szCs w:val="26"/>
              </w:rPr>
            </w:pPr>
            <w:r w:rsidRPr="00E3077A">
              <w:rPr>
                <w:szCs w:val="26"/>
              </w:rPr>
              <w:t>267</w:t>
            </w:r>
          </w:p>
        </w:tc>
        <w:tc>
          <w:tcPr>
            <w:tcW w:w="483" w:type="pct"/>
            <w:shd w:val="clear" w:color="auto" w:fill="auto"/>
            <w:vAlign w:val="bottom"/>
          </w:tcPr>
          <w:p w:rsidRPr="00516246" w:rsidR="00516246" w:rsidP="00516246" w:rsidRDefault="00516246" w14:paraId="401C688F" w14:textId="77777777">
            <w:pPr>
              <w:keepNext/>
              <w:widowControl w:val="0"/>
              <w:autoSpaceDE w:val="0"/>
              <w:autoSpaceDN w:val="0"/>
              <w:adjustRightInd w:val="0"/>
              <w:jc w:val="right"/>
              <w:rPr>
                <w:szCs w:val="26"/>
              </w:rPr>
            </w:pPr>
            <w:r w:rsidRPr="00516246">
              <w:rPr>
                <w:szCs w:val="26"/>
              </w:rPr>
              <w:t>1</w:t>
            </w:r>
          </w:p>
        </w:tc>
        <w:tc>
          <w:tcPr>
            <w:tcW w:w="565" w:type="pct"/>
            <w:shd w:val="clear" w:color="auto" w:fill="auto"/>
            <w:vAlign w:val="bottom"/>
          </w:tcPr>
          <w:p w:rsidRPr="00516246" w:rsidR="00516246" w:rsidP="00516246" w:rsidRDefault="00B02D57" w14:paraId="1CE41556" w14:textId="61B07819">
            <w:pPr>
              <w:keepNext/>
              <w:widowControl w:val="0"/>
              <w:autoSpaceDE w:val="0"/>
              <w:autoSpaceDN w:val="0"/>
              <w:adjustRightInd w:val="0"/>
              <w:jc w:val="right"/>
              <w:rPr>
                <w:szCs w:val="26"/>
              </w:rPr>
            </w:pPr>
            <w:r w:rsidRPr="00E3077A">
              <w:rPr>
                <w:szCs w:val="26"/>
              </w:rPr>
              <w:t>26</w:t>
            </w:r>
            <w:r w:rsidR="00381DDF">
              <w:rPr>
                <w:szCs w:val="26"/>
              </w:rPr>
              <w:t>7</w:t>
            </w:r>
          </w:p>
        </w:tc>
        <w:tc>
          <w:tcPr>
            <w:tcW w:w="609" w:type="pct"/>
            <w:shd w:val="clear" w:color="auto" w:fill="auto"/>
            <w:vAlign w:val="bottom"/>
          </w:tcPr>
          <w:p w:rsidRPr="00516246" w:rsidR="00516246" w:rsidP="00516246" w:rsidRDefault="00516246" w14:paraId="7513407B" w14:textId="77777777">
            <w:pPr>
              <w:keepNext/>
              <w:widowControl w:val="0"/>
              <w:autoSpaceDE w:val="0"/>
              <w:autoSpaceDN w:val="0"/>
              <w:adjustRightInd w:val="0"/>
              <w:jc w:val="right"/>
              <w:rPr>
                <w:szCs w:val="26"/>
              </w:rPr>
            </w:pPr>
            <w:r w:rsidRPr="00516246">
              <w:rPr>
                <w:szCs w:val="26"/>
              </w:rPr>
              <w:t>2 hrs.;</w:t>
            </w:r>
          </w:p>
          <w:p w:rsidRPr="00516246" w:rsidR="00516246" w:rsidP="00516246" w:rsidRDefault="00516246" w14:paraId="7E9DB062" w14:textId="77777777">
            <w:pPr>
              <w:keepNext/>
              <w:widowControl w:val="0"/>
              <w:autoSpaceDE w:val="0"/>
              <w:autoSpaceDN w:val="0"/>
              <w:adjustRightInd w:val="0"/>
              <w:jc w:val="right"/>
              <w:rPr>
                <w:szCs w:val="26"/>
              </w:rPr>
            </w:pPr>
          </w:p>
          <w:p w:rsidRPr="00516246" w:rsidR="00516246" w:rsidP="00516246" w:rsidRDefault="00516246" w14:paraId="028489A1" w14:textId="77777777">
            <w:pPr>
              <w:keepNext/>
              <w:widowControl w:val="0"/>
              <w:autoSpaceDE w:val="0"/>
              <w:autoSpaceDN w:val="0"/>
              <w:adjustRightInd w:val="0"/>
              <w:jc w:val="right"/>
              <w:rPr>
                <w:szCs w:val="26"/>
              </w:rPr>
            </w:pPr>
            <w:r w:rsidRPr="00516246">
              <w:rPr>
                <w:szCs w:val="26"/>
              </w:rPr>
              <w:t>$75.38</w:t>
            </w:r>
          </w:p>
        </w:tc>
        <w:tc>
          <w:tcPr>
            <w:tcW w:w="737" w:type="pct"/>
            <w:shd w:val="clear" w:color="auto" w:fill="auto"/>
            <w:vAlign w:val="bottom"/>
          </w:tcPr>
          <w:p w:rsidRPr="00E3077A" w:rsidR="00516246" w:rsidP="00516246" w:rsidRDefault="006078BC" w14:paraId="31A099DD" w14:textId="6CF8C7DE">
            <w:pPr>
              <w:keepNext/>
              <w:widowControl w:val="0"/>
              <w:autoSpaceDE w:val="0"/>
              <w:autoSpaceDN w:val="0"/>
              <w:adjustRightInd w:val="0"/>
              <w:jc w:val="right"/>
              <w:rPr>
                <w:szCs w:val="26"/>
              </w:rPr>
            </w:pPr>
            <w:r>
              <w:rPr>
                <w:szCs w:val="26"/>
              </w:rPr>
              <w:t>534</w:t>
            </w:r>
            <w:r w:rsidRPr="00E3077A" w:rsidR="009B2220">
              <w:rPr>
                <w:szCs w:val="26"/>
              </w:rPr>
              <w:t xml:space="preserve"> </w:t>
            </w:r>
            <w:r w:rsidRPr="00E3077A" w:rsidR="00516246">
              <w:rPr>
                <w:szCs w:val="26"/>
              </w:rPr>
              <w:t>hrs.;</w:t>
            </w:r>
          </w:p>
          <w:p w:rsidRPr="00E3077A" w:rsidR="00516246" w:rsidP="00516246" w:rsidRDefault="00516246" w14:paraId="793B8BD9" w14:textId="77777777">
            <w:pPr>
              <w:keepNext/>
              <w:widowControl w:val="0"/>
              <w:autoSpaceDE w:val="0"/>
              <w:autoSpaceDN w:val="0"/>
              <w:adjustRightInd w:val="0"/>
              <w:jc w:val="right"/>
              <w:rPr>
                <w:szCs w:val="26"/>
              </w:rPr>
            </w:pPr>
          </w:p>
          <w:p w:rsidRPr="00E3077A" w:rsidR="00516246" w:rsidP="00516246" w:rsidRDefault="00516246" w14:paraId="7C710F7F" w14:textId="1F187A46">
            <w:pPr>
              <w:keepNext/>
              <w:widowControl w:val="0"/>
              <w:autoSpaceDE w:val="0"/>
              <w:autoSpaceDN w:val="0"/>
              <w:adjustRightInd w:val="0"/>
              <w:jc w:val="right"/>
              <w:rPr>
                <w:szCs w:val="26"/>
              </w:rPr>
            </w:pPr>
            <w:r w:rsidRPr="00E3077A">
              <w:rPr>
                <w:szCs w:val="26"/>
              </w:rPr>
              <w:t>$20,</w:t>
            </w:r>
            <w:r w:rsidR="006C54F5">
              <w:rPr>
                <w:szCs w:val="26"/>
              </w:rPr>
              <w:t>126.46</w:t>
            </w:r>
          </w:p>
        </w:tc>
        <w:tc>
          <w:tcPr>
            <w:tcW w:w="783" w:type="pct"/>
            <w:shd w:val="clear" w:color="auto" w:fill="auto"/>
            <w:vAlign w:val="bottom"/>
          </w:tcPr>
          <w:p w:rsidRPr="00E3077A" w:rsidR="00516246" w:rsidP="00516246" w:rsidRDefault="00516246" w14:paraId="186C6B28" w14:textId="77777777">
            <w:pPr>
              <w:keepNext/>
              <w:widowControl w:val="0"/>
              <w:autoSpaceDE w:val="0"/>
              <w:autoSpaceDN w:val="0"/>
              <w:adjustRightInd w:val="0"/>
              <w:jc w:val="right"/>
              <w:rPr>
                <w:szCs w:val="26"/>
              </w:rPr>
            </w:pPr>
          </w:p>
          <w:p w:rsidRPr="00E3077A" w:rsidR="00516246" w:rsidP="00516246" w:rsidRDefault="00516246" w14:paraId="1257A64A" w14:textId="77777777">
            <w:pPr>
              <w:keepNext/>
              <w:widowControl w:val="0"/>
              <w:autoSpaceDE w:val="0"/>
              <w:autoSpaceDN w:val="0"/>
              <w:adjustRightInd w:val="0"/>
              <w:jc w:val="right"/>
              <w:rPr>
                <w:szCs w:val="26"/>
              </w:rPr>
            </w:pPr>
          </w:p>
          <w:p w:rsidRPr="00E3077A" w:rsidR="00516246" w:rsidP="00516246" w:rsidRDefault="00516246" w14:paraId="479326AB" w14:textId="77777777">
            <w:pPr>
              <w:keepNext/>
              <w:widowControl w:val="0"/>
              <w:autoSpaceDE w:val="0"/>
              <w:autoSpaceDN w:val="0"/>
              <w:adjustRightInd w:val="0"/>
              <w:jc w:val="right"/>
              <w:rPr>
                <w:szCs w:val="26"/>
              </w:rPr>
            </w:pPr>
            <w:r w:rsidRPr="00E3077A">
              <w:rPr>
                <w:szCs w:val="26"/>
              </w:rPr>
              <w:t>$75.38</w:t>
            </w:r>
          </w:p>
        </w:tc>
      </w:tr>
      <w:tr w:rsidRPr="00516246" w:rsidR="00A44611" w:rsidTr="00A44611" w14:paraId="70E1C6B8" w14:textId="77777777">
        <w:trPr>
          <w:trHeight w:val="393"/>
        </w:trPr>
        <w:tc>
          <w:tcPr>
            <w:tcW w:w="604" w:type="pct"/>
            <w:vAlign w:val="center"/>
          </w:tcPr>
          <w:p w:rsidRPr="00516246" w:rsidR="00516246" w:rsidP="00516246" w:rsidRDefault="00516246" w14:paraId="607B9A39" w14:textId="77777777">
            <w:pPr>
              <w:keepNext/>
              <w:widowControl w:val="0"/>
              <w:autoSpaceDE w:val="0"/>
              <w:autoSpaceDN w:val="0"/>
              <w:adjustRightInd w:val="0"/>
              <w:rPr>
                <w:b/>
                <w:szCs w:val="26"/>
              </w:rPr>
            </w:pPr>
            <w:r w:rsidRPr="00516246">
              <w:rPr>
                <w:b/>
                <w:szCs w:val="26"/>
              </w:rPr>
              <w:t>Total Burden</w:t>
            </w:r>
          </w:p>
          <w:p w:rsidRPr="00516246" w:rsidR="00516246" w:rsidP="00516246" w:rsidRDefault="00516246" w14:paraId="00D86C21" w14:textId="77777777">
            <w:pPr>
              <w:keepNext/>
              <w:widowControl w:val="0"/>
              <w:autoSpaceDE w:val="0"/>
              <w:autoSpaceDN w:val="0"/>
              <w:adjustRightInd w:val="0"/>
              <w:rPr>
                <w:b/>
                <w:szCs w:val="26"/>
              </w:rPr>
            </w:pPr>
            <w:r w:rsidRPr="00516246">
              <w:rPr>
                <w:b/>
                <w:szCs w:val="26"/>
              </w:rPr>
              <w:t>Hours Per Year</w:t>
            </w:r>
          </w:p>
        </w:tc>
        <w:tc>
          <w:tcPr>
            <w:tcW w:w="2875" w:type="pct"/>
            <w:gridSpan w:val="5"/>
            <w:vAlign w:val="bottom"/>
          </w:tcPr>
          <w:p w:rsidRPr="00516246" w:rsidR="00516246" w:rsidP="00516246" w:rsidRDefault="00516246" w14:paraId="09B8E54A" w14:textId="77777777">
            <w:pPr>
              <w:keepNext/>
              <w:widowControl w:val="0"/>
              <w:autoSpaceDE w:val="0"/>
              <w:autoSpaceDN w:val="0"/>
              <w:adjustRightInd w:val="0"/>
              <w:jc w:val="right"/>
              <w:rPr>
                <w:szCs w:val="26"/>
              </w:rPr>
            </w:pPr>
          </w:p>
        </w:tc>
        <w:tc>
          <w:tcPr>
            <w:tcW w:w="737" w:type="pct"/>
            <w:shd w:val="clear" w:color="auto" w:fill="auto"/>
          </w:tcPr>
          <w:p w:rsidRPr="00516246" w:rsidR="00516246" w:rsidP="00516246" w:rsidRDefault="00516246" w14:paraId="1540FD50" w14:textId="09179531">
            <w:pPr>
              <w:keepNext/>
              <w:widowControl w:val="0"/>
              <w:autoSpaceDE w:val="0"/>
              <w:autoSpaceDN w:val="0"/>
              <w:adjustRightInd w:val="0"/>
              <w:jc w:val="right"/>
              <w:rPr>
                <w:szCs w:val="26"/>
              </w:rPr>
            </w:pPr>
            <w:r w:rsidRPr="00516246">
              <w:rPr>
                <w:szCs w:val="26"/>
              </w:rPr>
              <w:t>19,</w:t>
            </w:r>
            <w:r w:rsidR="00540198">
              <w:rPr>
                <w:szCs w:val="26"/>
              </w:rPr>
              <w:t>224</w:t>
            </w:r>
            <w:r w:rsidRPr="00516246" w:rsidR="00744E1F">
              <w:rPr>
                <w:szCs w:val="26"/>
              </w:rPr>
              <w:t xml:space="preserve"> </w:t>
            </w:r>
            <w:r w:rsidRPr="00516246">
              <w:rPr>
                <w:szCs w:val="26"/>
              </w:rPr>
              <w:t>hrs.</w:t>
            </w:r>
          </w:p>
          <w:p w:rsidRPr="00516246" w:rsidR="00516246" w:rsidP="00516246" w:rsidRDefault="00516246" w14:paraId="7942923B" w14:textId="4BDC7B9B">
            <w:pPr>
              <w:keepNext/>
              <w:widowControl w:val="0"/>
              <w:autoSpaceDE w:val="0"/>
              <w:autoSpaceDN w:val="0"/>
              <w:adjustRightInd w:val="0"/>
              <w:jc w:val="right"/>
              <w:rPr>
                <w:szCs w:val="26"/>
              </w:rPr>
            </w:pPr>
            <w:r w:rsidRPr="00516246">
              <w:rPr>
                <w:szCs w:val="26"/>
              </w:rPr>
              <w:t>$1,</w:t>
            </w:r>
            <w:r w:rsidRPr="00516246" w:rsidR="0076530E">
              <w:rPr>
                <w:szCs w:val="26"/>
              </w:rPr>
              <w:t>2</w:t>
            </w:r>
            <w:r w:rsidR="0076530E">
              <w:rPr>
                <w:szCs w:val="26"/>
              </w:rPr>
              <w:t>2</w:t>
            </w:r>
            <w:r w:rsidR="00CC56D7">
              <w:rPr>
                <w:szCs w:val="26"/>
              </w:rPr>
              <w:t>0</w:t>
            </w:r>
            <w:r w:rsidRPr="00516246">
              <w:rPr>
                <w:szCs w:val="26"/>
              </w:rPr>
              <w:t>,</w:t>
            </w:r>
            <w:r w:rsidR="0076530E">
              <w:rPr>
                <w:szCs w:val="26"/>
              </w:rPr>
              <w:t>024</w:t>
            </w:r>
            <w:r w:rsidRPr="00516246">
              <w:rPr>
                <w:szCs w:val="26"/>
              </w:rPr>
              <w:t>.</w:t>
            </w:r>
            <w:r w:rsidR="0076530E">
              <w:rPr>
                <w:szCs w:val="26"/>
              </w:rPr>
              <w:t>46</w:t>
            </w:r>
            <w:r w:rsidRPr="00516246" w:rsidR="0076530E">
              <w:rPr>
                <w:szCs w:val="26"/>
              </w:rPr>
              <w:t xml:space="preserve"> </w:t>
            </w:r>
            <w:r w:rsidRPr="00516246">
              <w:rPr>
                <w:szCs w:val="26"/>
              </w:rPr>
              <w:t xml:space="preserve">(Year 1); </w:t>
            </w:r>
          </w:p>
          <w:p w:rsidRPr="00516246" w:rsidR="00516246" w:rsidP="00516246" w:rsidRDefault="00516246" w14:paraId="09F0D16B" w14:textId="647ECC23">
            <w:pPr>
              <w:keepNext/>
              <w:widowControl w:val="0"/>
              <w:autoSpaceDE w:val="0"/>
              <w:autoSpaceDN w:val="0"/>
              <w:adjustRightInd w:val="0"/>
              <w:jc w:val="right"/>
              <w:rPr>
                <w:szCs w:val="26"/>
              </w:rPr>
            </w:pPr>
            <w:r w:rsidRPr="00516246">
              <w:rPr>
                <w:szCs w:val="26"/>
              </w:rPr>
              <w:t>11,</w:t>
            </w:r>
            <w:r w:rsidR="0090481A">
              <w:rPr>
                <w:szCs w:val="26"/>
              </w:rPr>
              <w:t>41</w:t>
            </w:r>
            <w:r w:rsidR="00485341">
              <w:rPr>
                <w:szCs w:val="26"/>
              </w:rPr>
              <w:t>0</w:t>
            </w:r>
            <w:r w:rsidRPr="00516246" w:rsidR="00A36B00">
              <w:rPr>
                <w:szCs w:val="26"/>
              </w:rPr>
              <w:t xml:space="preserve"> </w:t>
            </w:r>
            <w:r w:rsidRPr="00516246">
              <w:rPr>
                <w:szCs w:val="26"/>
              </w:rPr>
              <w:t>hrs.</w:t>
            </w:r>
          </w:p>
          <w:p w:rsidRPr="00516246" w:rsidR="00516246" w:rsidP="00516246" w:rsidRDefault="00516246" w14:paraId="769EA7FF" w14:textId="4F7DBEDF">
            <w:pPr>
              <w:keepNext/>
              <w:widowControl w:val="0"/>
              <w:autoSpaceDE w:val="0"/>
              <w:autoSpaceDN w:val="0"/>
              <w:adjustRightInd w:val="0"/>
              <w:jc w:val="right"/>
              <w:rPr>
                <w:szCs w:val="26"/>
              </w:rPr>
            </w:pPr>
            <w:r w:rsidRPr="00516246">
              <w:rPr>
                <w:szCs w:val="26"/>
              </w:rPr>
              <w:t>$</w:t>
            </w:r>
            <w:r w:rsidRPr="00516246" w:rsidR="00D32347">
              <w:rPr>
                <w:szCs w:val="26"/>
              </w:rPr>
              <w:t>7</w:t>
            </w:r>
            <w:r w:rsidR="00D32347">
              <w:rPr>
                <w:szCs w:val="26"/>
              </w:rPr>
              <w:t>18</w:t>
            </w:r>
            <w:r w:rsidRPr="00516246">
              <w:rPr>
                <w:szCs w:val="26"/>
              </w:rPr>
              <w:t>,</w:t>
            </w:r>
            <w:r w:rsidR="00D32347">
              <w:rPr>
                <w:szCs w:val="26"/>
              </w:rPr>
              <w:t>365</w:t>
            </w:r>
            <w:r w:rsidRPr="00516246">
              <w:rPr>
                <w:szCs w:val="26"/>
              </w:rPr>
              <w:t>.</w:t>
            </w:r>
            <w:r w:rsidR="00D32347">
              <w:rPr>
                <w:szCs w:val="26"/>
              </w:rPr>
              <w:t>6</w:t>
            </w:r>
            <w:r w:rsidR="00650642">
              <w:rPr>
                <w:szCs w:val="26"/>
              </w:rPr>
              <w:t>6</w:t>
            </w:r>
            <w:r w:rsidRPr="00516246" w:rsidR="00650642">
              <w:rPr>
                <w:szCs w:val="26"/>
              </w:rPr>
              <w:t xml:space="preserve"> </w:t>
            </w:r>
            <w:r w:rsidRPr="00516246">
              <w:rPr>
                <w:szCs w:val="26"/>
              </w:rPr>
              <w:t xml:space="preserve">per year, (starting in Year 2) </w:t>
            </w:r>
          </w:p>
        </w:tc>
        <w:tc>
          <w:tcPr>
            <w:tcW w:w="783" w:type="pct"/>
            <w:shd w:val="pct15" w:color="auto" w:fill="auto"/>
          </w:tcPr>
          <w:p w:rsidRPr="00516246" w:rsidR="00516246" w:rsidP="00516246" w:rsidRDefault="00516246" w14:paraId="3F9FCF55" w14:textId="230B6577">
            <w:pPr>
              <w:keepNext/>
              <w:widowControl w:val="0"/>
              <w:autoSpaceDE w:val="0"/>
              <w:autoSpaceDN w:val="0"/>
              <w:adjustRightInd w:val="0"/>
              <w:jc w:val="right"/>
              <w:rPr>
                <w:szCs w:val="26"/>
              </w:rPr>
            </w:pPr>
          </w:p>
        </w:tc>
      </w:tr>
    </w:tbl>
    <w:p w:rsidRPr="00516246" w:rsidR="00516246" w:rsidP="00A44611" w:rsidRDefault="00516246" w14:paraId="2EEB6BBE" w14:textId="6D5601A8">
      <w:pPr>
        <w:widowControl w:val="0"/>
        <w:autoSpaceDE w:val="0"/>
        <w:autoSpaceDN w:val="0"/>
        <w:adjustRightInd w:val="0"/>
        <w:spacing w:line="480" w:lineRule="auto"/>
        <w:rPr>
          <w:rFonts w:eastAsiaTheme="minorHAnsi"/>
          <w:szCs w:val="26"/>
        </w:rPr>
      </w:pPr>
      <w:r w:rsidRPr="00516246">
        <w:rPr>
          <w:rFonts w:eastAsiaTheme="minorHAnsi"/>
          <w:b/>
          <w:szCs w:val="26"/>
        </w:rPr>
        <w:lastRenderedPageBreak/>
        <w:t>Averaging One-Time Burden and Responses for FERC-</w:t>
      </w:r>
      <w:r w:rsidR="00A44611">
        <w:rPr>
          <w:rFonts w:eastAsiaTheme="minorHAnsi"/>
          <w:b/>
          <w:szCs w:val="26"/>
        </w:rPr>
        <w:t>725A(1B)</w:t>
      </w:r>
      <w:r w:rsidRPr="00516246">
        <w:rPr>
          <w:rFonts w:eastAsiaTheme="minorHAnsi"/>
          <w:b/>
          <w:szCs w:val="26"/>
        </w:rPr>
        <w:t xml:space="preserve">, changes due to TOP-010-1 in Docket No. </w:t>
      </w:r>
      <w:r w:rsidR="0029636C">
        <w:rPr>
          <w:rFonts w:eastAsiaTheme="minorHAnsi"/>
          <w:b/>
          <w:szCs w:val="26"/>
        </w:rPr>
        <w:t>IC20</w:t>
      </w:r>
      <w:r w:rsidRPr="00516246">
        <w:rPr>
          <w:rFonts w:eastAsiaTheme="minorHAnsi"/>
          <w:b/>
          <w:szCs w:val="26"/>
        </w:rPr>
        <w:t xml:space="preserve">-6-000 over Years 1-3. </w:t>
      </w:r>
    </w:p>
    <w:p w:rsidRPr="00516246" w:rsidR="00516246" w:rsidP="00A44611" w:rsidRDefault="00516246" w14:paraId="18911EE9" w14:textId="26104DDA">
      <w:pPr>
        <w:widowControl w:val="0"/>
        <w:numPr>
          <w:ilvl w:val="0"/>
          <w:numId w:val="4"/>
        </w:numPr>
        <w:autoSpaceDE w:val="0"/>
        <w:autoSpaceDN w:val="0"/>
        <w:adjustRightInd w:val="0"/>
        <w:spacing w:after="160" w:line="480" w:lineRule="auto"/>
        <w:contextualSpacing/>
        <w:rPr>
          <w:rFonts w:eastAsiaTheme="minorHAnsi"/>
          <w:szCs w:val="26"/>
        </w:rPr>
      </w:pPr>
      <w:r w:rsidRPr="00516246">
        <w:rPr>
          <w:rFonts w:eastAsiaTheme="minorHAnsi"/>
          <w:szCs w:val="26"/>
        </w:rPr>
        <w:t>Year 1 has 19,</w:t>
      </w:r>
      <w:r w:rsidR="00540198">
        <w:rPr>
          <w:rFonts w:eastAsiaTheme="minorHAnsi"/>
          <w:szCs w:val="26"/>
        </w:rPr>
        <w:t>224</w:t>
      </w:r>
      <w:r w:rsidRPr="00516246" w:rsidR="00540198">
        <w:rPr>
          <w:rFonts w:eastAsiaTheme="minorHAnsi"/>
          <w:szCs w:val="26"/>
        </w:rPr>
        <w:t xml:space="preserve"> </w:t>
      </w:r>
      <w:r w:rsidRPr="00516246">
        <w:rPr>
          <w:rFonts w:eastAsiaTheme="minorHAnsi"/>
          <w:szCs w:val="26"/>
        </w:rPr>
        <w:t xml:space="preserve">hrs. of burden and record retention </w:t>
      </w:r>
    </w:p>
    <w:p w:rsidRPr="00516246" w:rsidR="00516246" w:rsidP="00A44611" w:rsidRDefault="00516246" w14:paraId="125B892E" w14:textId="5A876528">
      <w:pPr>
        <w:widowControl w:val="0"/>
        <w:numPr>
          <w:ilvl w:val="0"/>
          <w:numId w:val="4"/>
        </w:numPr>
        <w:autoSpaceDE w:val="0"/>
        <w:autoSpaceDN w:val="0"/>
        <w:adjustRightInd w:val="0"/>
        <w:spacing w:after="160" w:line="480" w:lineRule="auto"/>
        <w:contextualSpacing/>
        <w:rPr>
          <w:rFonts w:eastAsiaTheme="minorHAnsi"/>
          <w:szCs w:val="26"/>
        </w:rPr>
      </w:pPr>
      <w:r w:rsidRPr="00516246">
        <w:rPr>
          <w:rFonts w:eastAsiaTheme="minorHAnsi"/>
          <w:szCs w:val="26"/>
        </w:rPr>
        <w:t>Years 2 and 3 have on-going annual burden and record retention of 11,</w:t>
      </w:r>
      <w:r w:rsidR="0090481A">
        <w:rPr>
          <w:rFonts w:eastAsiaTheme="minorHAnsi"/>
          <w:szCs w:val="26"/>
        </w:rPr>
        <w:t>41</w:t>
      </w:r>
      <w:r w:rsidR="00485341">
        <w:rPr>
          <w:rFonts w:eastAsiaTheme="minorHAnsi"/>
          <w:szCs w:val="26"/>
        </w:rPr>
        <w:t>0</w:t>
      </w:r>
      <w:r w:rsidRPr="00516246" w:rsidR="008249FA">
        <w:rPr>
          <w:rFonts w:eastAsiaTheme="minorHAnsi"/>
          <w:szCs w:val="26"/>
        </w:rPr>
        <w:t xml:space="preserve"> </w:t>
      </w:r>
      <w:r w:rsidRPr="00516246">
        <w:rPr>
          <w:rFonts w:eastAsiaTheme="minorHAnsi"/>
          <w:szCs w:val="26"/>
        </w:rPr>
        <w:t xml:space="preserve">hrs. </w:t>
      </w:r>
    </w:p>
    <w:p w:rsidRPr="00516246" w:rsidR="00516246" w:rsidP="00A44611" w:rsidRDefault="00516246" w14:paraId="5CAA7234" w14:textId="3BD97A79">
      <w:pPr>
        <w:widowControl w:val="0"/>
        <w:autoSpaceDE w:val="0"/>
        <w:autoSpaceDN w:val="0"/>
        <w:adjustRightInd w:val="0"/>
        <w:spacing w:line="480" w:lineRule="auto"/>
        <w:rPr>
          <w:rFonts w:eastAsiaTheme="minorHAnsi"/>
          <w:szCs w:val="26"/>
        </w:rPr>
      </w:pPr>
      <w:r w:rsidRPr="00516246">
        <w:rPr>
          <w:rFonts w:eastAsiaTheme="minorHAnsi"/>
          <w:szCs w:val="26"/>
        </w:rPr>
        <w:t>For purposes of this OMB clearance, the 19,</w:t>
      </w:r>
      <w:r w:rsidR="00540198">
        <w:rPr>
          <w:rFonts w:eastAsiaTheme="minorHAnsi"/>
          <w:szCs w:val="26"/>
        </w:rPr>
        <w:t>224</w:t>
      </w:r>
      <w:r w:rsidRPr="00516246" w:rsidR="008249FA">
        <w:rPr>
          <w:rFonts w:eastAsiaTheme="minorHAnsi"/>
          <w:szCs w:val="26"/>
        </w:rPr>
        <w:t xml:space="preserve"> </w:t>
      </w:r>
      <w:r w:rsidRPr="00516246">
        <w:rPr>
          <w:rFonts w:eastAsiaTheme="minorHAnsi"/>
          <w:szCs w:val="26"/>
        </w:rPr>
        <w:t>one-time burden hours will be averaged over Years 1-3.  After Year 3, the one-time burden hours will then be removed from the inventory.  The estimated additional burden due to this Order is 14,</w:t>
      </w:r>
      <w:r w:rsidR="00B31014">
        <w:rPr>
          <w:rFonts w:eastAsiaTheme="minorHAnsi"/>
          <w:szCs w:val="26"/>
        </w:rPr>
        <w:t>01</w:t>
      </w:r>
      <w:r w:rsidR="00485341">
        <w:rPr>
          <w:rFonts w:eastAsiaTheme="minorHAnsi"/>
          <w:szCs w:val="26"/>
        </w:rPr>
        <w:t>4</w:t>
      </w:r>
      <w:r w:rsidRPr="00516246" w:rsidR="00B31014">
        <w:rPr>
          <w:rFonts w:eastAsiaTheme="minorHAnsi"/>
          <w:szCs w:val="26"/>
        </w:rPr>
        <w:t xml:space="preserve"> </w:t>
      </w:r>
      <w:r w:rsidRPr="00516246">
        <w:rPr>
          <w:rFonts w:eastAsiaTheme="minorHAnsi"/>
          <w:szCs w:val="26"/>
        </w:rPr>
        <w:t>[consisting of (19,</w:t>
      </w:r>
      <w:r w:rsidR="0090481A">
        <w:rPr>
          <w:rFonts w:eastAsiaTheme="minorHAnsi"/>
          <w:szCs w:val="26"/>
        </w:rPr>
        <w:t>224</w:t>
      </w:r>
      <w:r w:rsidRPr="00516246" w:rsidR="008249FA">
        <w:rPr>
          <w:rFonts w:eastAsiaTheme="minorHAnsi"/>
          <w:szCs w:val="26"/>
        </w:rPr>
        <w:t xml:space="preserve"> </w:t>
      </w:r>
      <w:r w:rsidRPr="00516246">
        <w:rPr>
          <w:rFonts w:eastAsiaTheme="minorHAnsi"/>
          <w:szCs w:val="26"/>
        </w:rPr>
        <w:t>+11,</w:t>
      </w:r>
      <w:r w:rsidR="0090481A">
        <w:rPr>
          <w:rFonts w:eastAsiaTheme="minorHAnsi"/>
          <w:szCs w:val="26"/>
        </w:rPr>
        <w:t>41</w:t>
      </w:r>
      <w:r w:rsidR="00485341">
        <w:rPr>
          <w:rFonts w:eastAsiaTheme="minorHAnsi"/>
          <w:szCs w:val="26"/>
        </w:rPr>
        <w:t>0</w:t>
      </w:r>
      <w:r w:rsidRPr="00516246" w:rsidR="008249FA">
        <w:rPr>
          <w:rFonts w:eastAsiaTheme="minorHAnsi"/>
          <w:szCs w:val="26"/>
        </w:rPr>
        <w:t xml:space="preserve"> </w:t>
      </w:r>
      <w:r w:rsidRPr="00516246">
        <w:rPr>
          <w:rFonts w:eastAsiaTheme="minorHAnsi"/>
          <w:szCs w:val="26"/>
        </w:rPr>
        <w:t>+ 11,</w:t>
      </w:r>
      <w:r w:rsidR="0090481A">
        <w:rPr>
          <w:rFonts w:eastAsiaTheme="minorHAnsi"/>
          <w:szCs w:val="26"/>
        </w:rPr>
        <w:t>41</w:t>
      </w:r>
      <w:r w:rsidR="00485341">
        <w:rPr>
          <w:rFonts w:eastAsiaTheme="minorHAnsi"/>
          <w:szCs w:val="26"/>
        </w:rPr>
        <w:t>0</w:t>
      </w:r>
      <w:r w:rsidRPr="00516246">
        <w:rPr>
          <w:rFonts w:eastAsiaTheme="minorHAnsi"/>
          <w:szCs w:val="26"/>
        </w:rPr>
        <w:t xml:space="preserve">) ÷ 3]. </w:t>
      </w:r>
    </w:p>
    <w:p w:rsidR="003F2CBD" w:rsidRDefault="003F2CBD" w14:paraId="40AB0F5D" w14:textId="77777777">
      <w:pPr>
        <w:spacing w:after="160" w:line="259" w:lineRule="auto"/>
      </w:pPr>
    </w:p>
    <w:p w:rsidR="00AE1F12" w:rsidP="00AE1F12" w:rsidRDefault="00AE1F12" w14:paraId="06D77A52" w14:textId="203FCDA2">
      <w:pPr>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946DC" w:rsidP="002946DC" w:rsidRDefault="002946DC" w14:paraId="7C5DCEFC" w14:textId="1E136935"/>
    <w:p w:rsidR="002946DC" w:rsidP="002946DC" w:rsidRDefault="002946DC" w14:paraId="69B7D86A" w14:textId="3B0C44CA"/>
    <w:p w:rsidRPr="002946DC" w:rsidR="002946DC" w:rsidP="002946DC" w:rsidRDefault="002946DC" w14:paraId="60B7C9C7" w14:textId="7AFB1DEC">
      <w:pPr>
        <w:ind w:firstLine="2174"/>
        <w:jc w:val="center"/>
      </w:pPr>
      <w:r w:rsidRPr="002946DC">
        <w:t>Kimberly D. Bose,</w:t>
      </w:r>
    </w:p>
    <w:p w:rsidRPr="002946DC" w:rsidR="002946DC" w:rsidP="002946DC" w:rsidRDefault="002946DC" w14:paraId="6A5B1900" w14:textId="0EB7D5DB">
      <w:pPr>
        <w:ind w:firstLine="2174"/>
        <w:jc w:val="center"/>
      </w:pPr>
      <w:r w:rsidRPr="002946DC">
        <w:t>Secretary.</w:t>
      </w:r>
    </w:p>
    <w:p w:rsidR="002946DC" w:rsidP="002946DC" w:rsidRDefault="002946DC" w14:paraId="0F67FB0C" w14:textId="77777777"/>
    <w:sectPr w:rsidR="002946D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996C" w14:textId="77777777" w:rsidR="0022446E" w:rsidRDefault="0022446E" w:rsidP="00B01B16">
      <w:r>
        <w:separator/>
      </w:r>
    </w:p>
  </w:endnote>
  <w:endnote w:type="continuationSeparator" w:id="0">
    <w:p w14:paraId="00A1E629" w14:textId="77777777" w:rsidR="0022446E" w:rsidRDefault="0022446E"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E740" w14:textId="77777777" w:rsidR="00863194" w:rsidRDefault="00863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D995" w14:textId="77777777" w:rsidR="00863194" w:rsidRDefault="00863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21E9" w14:textId="77777777" w:rsidR="00863194" w:rsidRDefault="0086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1BCC" w14:textId="77777777" w:rsidR="0022446E" w:rsidRDefault="0022446E" w:rsidP="00B01B16">
      <w:r>
        <w:separator/>
      </w:r>
    </w:p>
  </w:footnote>
  <w:footnote w:type="continuationSeparator" w:id="0">
    <w:p w14:paraId="38C2E440" w14:textId="77777777" w:rsidR="0022446E" w:rsidRDefault="0022446E" w:rsidP="00B01B16">
      <w:r>
        <w:continuationSeparator/>
      </w:r>
    </w:p>
  </w:footnote>
  <w:footnote w:id="1">
    <w:p w14:paraId="5D423E05" w14:textId="77777777" w:rsidR="00C96F59" w:rsidRPr="008E145A" w:rsidRDefault="00C96F59"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2">
    <w:p w14:paraId="34386AFD" w14:textId="213C53B8" w:rsidR="00C96F59" w:rsidRDefault="00C96F59" w:rsidP="006D236D">
      <w:pPr>
        <w:pStyle w:val="FootnoteText"/>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201</w:t>
      </w:r>
      <w:r w:rsidR="00A735A2">
        <w:rPr>
          <w:sz w:val="26"/>
          <w:szCs w:val="26"/>
        </w:rPr>
        <w:t>9</w:t>
      </w:r>
      <w:r w:rsidRPr="004E2C78">
        <w:rPr>
          <w:sz w:val="26"/>
          <w:szCs w:val="26"/>
        </w:rPr>
        <w:t xml:space="preserve"> (</w:t>
      </w:r>
      <w:r w:rsidRPr="008E145A">
        <w:rPr>
          <w:sz w:val="26"/>
          <w:szCs w:val="26"/>
        </w:rPr>
        <w:t xml:space="preserve">at </w:t>
      </w:r>
      <w:hyperlink r:id="rId1"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2"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3">
    <w:p w14:paraId="35CA5413" w14:textId="0E0C24A7" w:rsidR="007521CB" w:rsidRPr="00A22B29" w:rsidRDefault="007521CB">
      <w:pPr>
        <w:pStyle w:val="FootnoteText"/>
        <w:rPr>
          <w:sz w:val="26"/>
          <w:szCs w:val="26"/>
        </w:rPr>
      </w:pPr>
      <w:r w:rsidRPr="00FF05CF">
        <w:rPr>
          <w:rStyle w:val="FootnoteReference"/>
        </w:rPr>
        <w:footnoteRef/>
      </w:r>
      <w:r w:rsidRPr="00A22B29">
        <w:rPr>
          <w:sz w:val="26"/>
          <w:szCs w:val="26"/>
        </w:rPr>
        <w:t xml:space="preserve"> Our estimates are based on the NERC Compliance Registry Summary of Entities and Functions as of </w:t>
      </w:r>
      <w:r w:rsidR="000B20BA">
        <w:rPr>
          <w:sz w:val="26"/>
          <w:szCs w:val="26"/>
        </w:rPr>
        <w:t>January</w:t>
      </w:r>
      <w:r w:rsidRPr="00A22B29">
        <w:rPr>
          <w:sz w:val="26"/>
          <w:szCs w:val="26"/>
        </w:rPr>
        <w:t xml:space="preserve"> </w:t>
      </w:r>
      <w:r w:rsidR="000B20BA">
        <w:rPr>
          <w:sz w:val="26"/>
          <w:szCs w:val="26"/>
        </w:rPr>
        <w:t>31</w:t>
      </w:r>
      <w:r w:rsidRPr="00A22B29">
        <w:rPr>
          <w:sz w:val="26"/>
          <w:szCs w:val="26"/>
        </w:rPr>
        <w:t>, 2019, which indicates there are registered as BA and TOP.</w:t>
      </w:r>
    </w:p>
  </w:footnote>
  <w:footnote w:id="4">
    <w:p w14:paraId="20916EB1" w14:textId="77777777" w:rsidR="00516246" w:rsidRPr="007D4839" w:rsidRDefault="00516246" w:rsidP="00516246">
      <w:pPr>
        <w:pStyle w:val="FootnoteText"/>
        <w:rPr>
          <w:sz w:val="26"/>
          <w:szCs w:val="26"/>
        </w:rPr>
      </w:pPr>
      <w:r w:rsidRPr="007D4839">
        <w:rPr>
          <w:rStyle w:val="FootnoteReference"/>
        </w:rPr>
        <w:footnoteRef/>
      </w:r>
      <w:r w:rsidRPr="007D4839">
        <w:rPr>
          <w:sz w:val="26"/>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5">
    <w:p w14:paraId="06503ADF" w14:textId="50FF5C66" w:rsidR="00516246" w:rsidRPr="007D4839" w:rsidRDefault="00516246" w:rsidP="00516246">
      <w:pPr>
        <w:pStyle w:val="FootnoteText"/>
        <w:rPr>
          <w:sz w:val="26"/>
          <w:szCs w:val="26"/>
        </w:rPr>
      </w:pPr>
      <w:r w:rsidRPr="007D4839">
        <w:rPr>
          <w:rStyle w:val="FootnoteReference"/>
        </w:rPr>
        <w:footnoteRef/>
      </w:r>
      <w:r w:rsidRPr="007D4839">
        <w:rPr>
          <w:sz w:val="26"/>
          <w:szCs w:val="26"/>
        </w:rPr>
        <w:t xml:space="preserve"> </w:t>
      </w:r>
      <w:r w:rsidRPr="00A22B29">
        <w:rPr>
          <w:sz w:val="26"/>
          <w:szCs w:val="26"/>
        </w:rPr>
        <w:t>The estimated hourly costs (salary plus benefits) are based on Bureau of Labor Statistics (BLS) information, as of May 201</w:t>
      </w:r>
      <w:r w:rsidR="002C7185" w:rsidRPr="00A22B29">
        <w:rPr>
          <w:sz w:val="26"/>
          <w:szCs w:val="26"/>
        </w:rPr>
        <w:t>9</w:t>
      </w:r>
      <w:r w:rsidRPr="00A22B29">
        <w:rPr>
          <w:sz w:val="26"/>
          <w:szCs w:val="26"/>
        </w:rPr>
        <w:t xml:space="preserve"> (at http://www.bls.gov/oes/current/naics2_22.htm, with updated benefits information for March 201</w:t>
      </w:r>
      <w:r w:rsidR="00114EFC" w:rsidRPr="00A22B29">
        <w:rPr>
          <w:sz w:val="26"/>
          <w:szCs w:val="26"/>
        </w:rPr>
        <w:t>9</w:t>
      </w:r>
      <w:r w:rsidRPr="00A22B29">
        <w:rPr>
          <w:sz w:val="26"/>
          <w:szCs w:val="26"/>
        </w:rPr>
        <w:t xml:space="preserve"> at http://www.bls.gov/news.release/ecec.nr0.htm), for an electrical engineer (code 17-2071, $6</w:t>
      </w:r>
      <w:r w:rsidR="00C714EA" w:rsidRPr="00A22B29">
        <w:rPr>
          <w:sz w:val="26"/>
          <w:szCs w:val="26"/>
        </w:rPr>
        <w:t>8.17</w:t>
      </w:r>
      <w:r w:rsidRPr="00A22B29">
        <w:rPr>
          <w:sz w:val="26"/>
          <w:szCs w:val="26"/>
        </w:rPr>
        <w:t>/hour), and for information and record clerks record keeper (code 43-4199, $</w:t>
      </w:r>
      <w:r w:rsidR="002C7185" w:rsidRPr="00A22B29">
        <w:rPr>
          <w:sz w:val="26"/>
          <w:szCs w:val="26"/>
        </w:rPr>
        <w:t>40.84</w:t>
      </w:r>
      <w:r w:rsidRPr="00A22B29">
        <w:rPr>
          <w:sz w:val="26"/>
          <w:szCs w:val="26"/>
        </w:rPr>
        <w:t>/hour).  The hourly figure for engineers is used for reporting; the hourly figure for information and record clerks is used for document retention.</w:t>
      </w:r>
    </w:p>
  </w:footnote>
  <w:footnote w:id="6">
    <w:p w14:paraId="4EEF23D3" w14:textId="77777777" w:rsidR="00516246" w:rsidRPr="007D4839" w:rsidRDefault="00516246" w:rsidP="00516246">
      <w:pPr>
        <w:pStyle w:val="FootnoteText"/>
        <w:rPr>
          <w:sz w:val="26"/>
          <w:szCs w:val="26"/>
        </w:rPr>
      </w:pPr>
      <w:r w:rsidRPr="007D4839">
        <w:rPr>
          <w:rStyle w:val="FootnoteReference"/>
        </w:rPr>
        <w:footnoteRef/>
      </w:r>
      <w:r w:rsidRPr="007D4839">
        <w:rPr>
          <w:sz w:val="26"/>
          <w:szCs w:val="26"/>
        </w:rPr>
        <w:t xml:space="preserve"> </w:t>
      </w:r>
      <w:r>
        <w:rPr>
          <w:sz w:val="26"/>
          <w:szCs w:val="26"/>
        </w:rPr>
        <w:t xml:space="preserve">Balancing Authority (BA). </w:t>
      </w:r>
      <w:r w:rsidRPr="007D4839">
        <w:rPr>
          <w:sz w:val="26"/>
          <w:szCs w:val="26"/>
        </w:rPr>
        <w:t>The following Requirements and associated measures apply to balancing authorities:  Requirement R1:</w:t>
      </w:r>
      <w:r w:rsidRPr="007D4839">
        <w:rPr>
          <w:color w:val="000000"/>
          <w:sz w:val="26"/>
          <w:szCs w:val="26"/>
        </w:rPr>
        <w:t xml:space="preserve">  A revised data specification and writing the required operating process/operating procedure; and Requirement R2:  quality monitoring logs and the data errors and corrective action logs.</w:t>
      </w:r>
    </w:p>
  </w:footnote>
  <w:footnote w:id="7">
    <w:p w14:paraId="473E32F0" w14:textId="77777777" w:rsidR="00516246" w:rsidRPr="007D4839" w:rsidRDefault="00516246" w:rsidP="00516246">
      <w:pPr>
        <w:pStyle w:val="FootnoteText"/>
        <w:rPr>
          <w:sz w:val="26"/>
          <w:szCs w:val="26"/>
        </w:rPr>
      </w:pPr>
      <w:r w:rsidRPr="007D4839">
        <w:rPr>
          <w:rStyle w:val="FootnoteReference"/>
        </w:rPr>
        <w:footnoteRef/>
      </w:r>
      <w:r w:rsidRPr="007D4839">
        <w:rPr>
          <w:sz w:val="26"/>
          <w:szCs w:val="26"/>
        </w:rPr>
        <w:t xml:space="preserve"> </w:t>
      </w:r>
      <w:r>
        <w:rPr>
          <w:sz w:val="26"/>
          <w:szCs w:val="26"/>
        </w:rPr>
        <w:t xml:space="preserve">Transmission Operations (TOP). </w:t>
      </w:r>
      <w:r w:rsidRPr="007D4839">
        <w:rPr>
          <w:sz w:val="26"/>
          <w:szCs w:val="26"/>
        </w:rPr>
        <w:t>The following Requirements and associated measures apply to transmission operators:  Requirement R1:  A</w:t>
      </w:r>
      <w:r w:rsidRPr="007D4839">
        <w:rPr>
          <w:color w:val="000000"/>
          <w:sz w:val="26"/>
          <w:szCs w:val="26"/>
        </w:rPr>
        <w:t xml:space="preserve"> revised data specification and writing the required operating process/operating procedure; and Requirement </w:t>
      </w:r>
      <w:r w:rsidRPr="007D4839">
        <w:rPr>
          <w:sz w:val="26"/>
          <w:szCs w:val="26"/>
        </w:rPr>
        <w:t>R3:  a</w:t>
      </w:r>
      <w:r w:rsidRPr="007D4839">
        <w:rPr>
          <w:color w:val="000000"/>
          <w:sz w:val="26"/>
          <w:szCs w:val="26"/>
        </w:rPr>
        <w:t>larm process monitor performance logs to maintain performance logs and corrective action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8168" w14:textId="77777777" w:rsidR="00863194" w:rsidRDefault="00863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0AF7" w14:textId="500286F5" w:rsidR="00C96F59" w:rsidRDefault="00C96F59" w:rsidP="00810D18">
    <w:pPr>
      <w:pStyle w:val="Header"/>
    </w:pPr>
    <w:r w:rsidRPr="00DA19FA">
      <w:t xml:space="preserve">Docket No. </w:t>
    </w:r>
    <w:r w:rsidR="00FD185A" w:rsidRPr="00FD185A">
      <w:t>IC</w:t>
    </w:r>
    <w:r w:rsidR="00933087">
      <w:t>20</w:t>
    </w:r>
    <w:r w:rsidR="00FD185A" w:rsidRPr="00FD185A">
      <w:t>-</w:t>
    </w:r>
    <w:r w:rsidR="003C174B">
      <w:t>6</w:t>
    </w:r>
    <w:r w:rsidR="00FD185A" w:rsidRPr="00FD185A">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14:paraId="11CB63B3" w14:textId="77777777" w:rsidR="00C96F59" w:rsidRDefault="00C96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E56A" w14:textId="77777777" w:rsidR="00863194" w:rsidRDefault="0086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74B2"/>
    <w:rsid w:val="00034749"/>
    <w:rsid w:val="000459B6"/>
    <w:rsid w:val="000508F2"/>
    <w:rsid w:val="00062427"/>
    <w:rsid w:val="0006263D"/>
    <w:rsid w:val="00065A09"/>
    <w:rsid w:val="00090FE1"/>
    <w:rsid w:val="0009244C"/>
    <w:rsid w:val="000936AF"/>
    <w:rsid w:val="00094D37"/>
    <w:rsid w:val="000A0250"/>
    <w:rsid w:val="000A7E68"/>
    <w:rsid w:val="000B17BD"/>
    <w:rsid w:val="000B1CE7"/>
    <w:rsid w:val="000B20BA"/>
    <w:rsid w:val="000C29B1"/>
    <w:rsid w:val="000D4154"/>
    <w:rsid w:val="000E2568"/>
    <w:rsid w:val="0011340B"/>
    <w:rsid w:val="00114EFC"/>
    <w:rsid w:val="0011739B"/>
    <w:rsid w:val="001414DF"/>
    <w:rsid w:val="00153546"/>
    <w:rsid w:val="00156BBB"/>
    <w:rsid w:val="001600DF"/>
    <w:rsid w:val="00162E44"/>
    <w:rsid w:val="00171725"/>
    <w:rsid w:val="001739D6"/>
    <w:rsid w:val="00181BF7"/>
    <w:rsid w:val="00182C90"/>
    <w:rsid w:val="001872E9"/>
    <w:rsid w:val="001A6AD6"/>
    <w:rsid w:val="001B1EB4"/>
    <w:rsid w:val="001B78B8"/>
    <w:rsid w:val="001C3865"/>
    <w:rsid w:val="001D18E9"/>
    <w:rsid w:val="002041AF"/>
    <w:rsid w:val="00223292"/>
    <w:rsid w:val="0022446E"/>
    <w:rsid w:val="00251BE0"/>
    <w:rsid w:val="00252438"/>
    <w:rsid w:val="00263EC6"/>
    <w:rsid w:val="00273ED7"/>
    <w:rsid w:val="002767A5"/>
    <w:rsid w:val="0028362A"/>
    <w:rsid w:val="00285767"/>
    <w:rsid w:val="002926AE"/>
    <w:rsid w:val="002946DC"/>
    <w:rsid w:val="0029636C"/>
    <w:rsid w:val="002A796B"/>
    <w:rsid w:val="002B1897"/>
    <w:rsid w:val="002B530C"/>
    <w:rsid w:val="002C15DE"/>
    <w:rsid w:val="002C7185"/>
    <w:rsid w:val="002D3CFE"/>
    <w:rsid w:val="002D679B"/>
    <w:rsid w:val="002E43AC"/>
    <w:rsid w:val="002F1311"/>
    <w:rsid w:val="003017CB"/>
    <w:rsid w:val="00311D90"/>
    <w:rsid w:val="00313884"/>
    <w:rsid w:val="003149BC"/>
    <w:rsid w:val="0034094B"/>
    <w:rsid w:val="00363606"/>
    <w:rsid w:val="003673EC"/>
    <w:rsid w:val="00376525"/>
    <w:rsid w:val="00381DDF"/>
    <w:rsid w:val="003C174B"/>
    <w:rsid w:val="003C3E7A"/>
    <w:rsid w:val="003D25C9"/>
    <w:rsid w:val="003E44AD"/>
    <w:rsid w:val="003F2CBD"/>
    <w:rsid w:val="00425837"/>
    <w:rsid w:val="00443282"/>
    <w:rsid w:val="004559FF"/>
    <w:rsid w:val="00485341"/>
    <w:rsid w:val="00494C21"/>
    <w:rsid w:val="004A3F28"/>
    <w:rsid w:val="004C3D87"/>
    <w:rsid w:val="004C70C8"/>
    <w:rsid w:val="004D2CAD"/>
    <w:rsid w:val="004E2C78"/>
    <w:rsid w:val="0050354D"/>
    <w:rsid w:val="00510FCF"/>
    <w:rsid w:val="00516246"/>
    <w:rsid w:val="00530876"/>
    <w:rsid w:val="00540198"/>
    <w:rsid w:val="0054746C"/>
    <w:rsid w:val="00567282"/>
    <w:rsid w:val="005707FD"/>
    <w:rsid w:val="00577D25"/>
    <w:rsid w:val="00583C5F"/>
    <w:rsid w:val="0058544A"/>
    <w:rsid w:val="005A2F24"/>
    <w:rsid w:val="005A6A4C"/>
    <w:rsid w:val="005B3D2A"/>
    <w:rsid w:val="005B4DA4"/>
    <w:rsid w:val="005D58B8"/>
    <w:rsid w:val="005E020A"/>
    <w:rsid w:val="005E1FA1"/>
    <w:rsid w:val="005F6B16"/>
    <w:rsid w:val="005F6C40"/>
    <w:rsid w:val="00605F00"/>
    <w:rsid w:val="00606F0E"/>
    <w:rsid w:val="006078BC"/>
    <w:rsid w:val="00610F88"/>
    <w:rsid w:val="0061198F"/>
    <w:rsid w:val="006128A5"/>
    <w:rsid w:val="0061661C"/>
    <w:rsid w:val="00637F43"/>
    <w:rsid w:val="00644A1B"/>
    <w:rsid w:val="00650642"/>
    <w:rsid w:val="006536D8"/>
    <w:rsid w:val="00653732"/>
    <w:rsid w:val="00654BA4"/>
    <w:rsid w:val="006666AB"/>
    <w:rsid w:val="00675781"/>
    <w:rsid w:val="006765C9"/>
    <w:rsid w:val="00681A35"/>
    <w:rsid w:val="006825C4"/>
    <w:rsid w:val="00692902"/>
    <w:rsid w:val="006963BC"/>
    <w:rsid w:val="00696469"/>
    <w:rsid w:val="006A1CFC"/>
    <w:rsid w:val="006B4B0B"/>
    <w:rsid w:val="006B744D"/>
    <w:rsid w:val="006C54F5"/>
    <w:rsid w:val="006D0E2D"/>
    <w:rsid w:val="006D236D"/>
    <w:rsid w:val="006D288F"/>
    <w:rsid w:val="006E7CBB"/>
    <w:rsid w:val="00721158"/>
    <w:rsid w:val="007340DB"/>
    <w:rsid w:val="00742841"/>
    <w:rsid w:val="00744E1F"/>
    <w:rsid w:val="0074755F"/>
    <w:rsid w:val="0075009F"/>
    <w:rsid w:val="00750DF5"/>
    <w:rsid w:val="007521CB"/>
    <w:rsid w:val="00753DD8"/>
    <w:rsid w:val="00763112"/>
    <w:rsid w:val="0076530E"/>
    <w:rsid w:val="00795F4D"/>
    <w:rsid w:val="00797B8B"/>
    <w:rsid w:val="007A761E"/>
    <w:rsid w:val="007D3AC0"/>
    <w:rsid w:val="007D3F78"/>
    <w:rsid w:val="007F00CB"/>
    <w:rsid w:val="007F55BA"/>
    <w:rsid w:val="008017C6"/>
    <w:rsid w:val="00803CA2"/>
    <w:rsid w:val="00807CAC"/>
    <w:rsid w:val="00810D18"/>
    <w:rsid w:val="008115BF"/>
    <w:rsid w:val="00820590"/>
    <w:rsid w:val="008249FA"/>
    <w:rsid w:val="00824D81"/>
    <w:rsid w:val="00835502"/>
    <w:rsid w:val="00853ABC"/>
    <w:rsid w:val="00860A08"/>
    <w:rsid w:val="00863194"/>
    <w:rsid w:val="0087388F"/>
    <w:rsid w:val="008764F8"/>
    <w:rsid w:val="00881405"/>
    <w:rsid w:val="0089069F"/>
    <w:rsid w:val="00895D18"/>
    <w:rsid w:val="00895DA2"/>
    <w:rsid w:val="00897359"/>
    <w:rsid w:val="008A3CA6"/>
    <w:rsid w:val="008B2BB6"/>
    <w:rsid w:val="008B3CDC"/>
    <w:rsid w:val="008D25B7"/>
    <w:rsid w:val="008D4891"/>
    <w:rsid w:val="008D5479"/>
    <w:rsid w:val="008E0DF5"/>
    <w:rsid w:val="008E145A"/>
    <w:rsid w:val="008E3273"/>
    <w:rsid w:val="0090481A"/>
    <w:rsid w:val="009171DB"/>
    <w:rsid w:val="00933087"/>
    <w:rsid w:val="00940C0F"/>
    <w:rsid w:val="00945F33"/>
    <w:rsid w:val="0095427A"/>
    <w:rsid w:val="009744C8"/>
    <w:rsid w:val="00981886"/>
    <w:rsid w:val="00990FEC"/>
    <w:rsid w:val="009A1B08"/>
    <w:rsid w:val="009B2220"/>
    <w:rsid w:val="009B525A"/>
    <w:rsid w:val="009C4A13"/>
    <w:rsid w:val="009D7120"/>
    <w:rsid w:val="009E1C9D"/>
    <w:rsid w:val="009F7DE3"/>
    <w:rsid w:val="00A1074A"/>
    <w:rsid w:val="00A139D3"/>
    <w:rsid w:val="00A22B29"/>
    <w:rsid w:val="00A2604E"/>
    <w:rsid w:val="00A36B00"/>
    <w:rsid w:val="00A44611"/>
    <w:rsid w:val="00A52CA7"/>
    <w:rsid w:val="00A569FC"/>
    <w:rsid w:val="00A61250"/>
    <w:rsid w:val="00A664DF"/>
    <w:rsid w:val="00A713D0"/>
    <w:rsid w:val="00A732AF"/>
    <w:rsid w:val="00A735A2"/>
    <w:rsid w:val="00A76D87"/>
    <w:rsid w:val="00A82A29"/>
    <w:rsid w:val="00A93FC7"/>
    <w:rsid w:val="00AA516A"/>
    <w:rsid w:val="00AA5B0E"/>
    <w:rsid w:val="00AC750B"/>
    <w:rsid w:val="00AE1F12"/>
    <w:rsid w:val="00AE4155"/>
    <w:rsid w:val="00AE4B7C"/>
    <w:rsid w:val="00AF349B"/>
    <w:rsid w:val="00AF5F86"/>
    <w:rsid w:val="00B01B16"/>
    <w:rsid w:val="00B02D57"/>
    <w:rsid w:val="00B1778E"/>
    <w:rsid w:val="00B23CCB"/>
    <w:rsid w:val="00B273D5"/>
    <w:rsid w:val="00B31014"/>
    <w:rsid w:val="00B447D7"/>
    <w:rsid w:val="00B4757E"/>
    <w:rsid w:val="00B511DA"/>
    <w:rsid w:val="00B62390"/>
    <w:rsid w:val="00B65E34"/>
    <w:rsid w:val="00B76A1F"/>
    <w:rsid w:val="00B817AF"/>
    <w:rsid w:val="00B82F8C"/>
    <w:rsid w:val="00B86BF7"/>
    <w:rsid w:val="00B958F1"/>
    <w:rsid w:val="00B970FF"/>
    <w:rsid w:val="00BA1228"/>
    <w:rsid w:val="00BB41AE"/>
    <w:rsid w:val="00BD033D"/>
    <w:rsid w:val="00BD35C6"/>
    <w:rsid w:val="00BD3C86"/>
    <w:rsid w:val="00BD74AE"/>
    <w:rsid w:val="00BE3FE7"/>
    <w:rsid w:val="00BF2D74"/>
    <w:rsid w:val="00BF4CC8"/>
    <w:rsid w:val="00C025F7"/>
    <w:rsid w:val="00C1124F"/>
    <w:rsid w:val="00C13AB6"/>
    <w:rsid w:val="00C36799"/>
    <w:rsid w:val="00C36FDB"/>
    <w:rsid w:val="00C37BFF"/>
    <w:rsid w:val="00C44992"/>
    <w:rsid w:val="00C51458"/>
    <w:rsid w:val="00C53580"/>
    <w:rsid w:val="00C55838"/>
    <w:rsid w:val="00C64E8F"/>
    <w:rsid w:val="00C67A72"/>
    <w:rsid w:val="00C714EA"/>
    <w:rsid w:val="00C77EF7"/>
    <w:rsid w:val="00C820F1"/>
    <w:rsid w:val="00C91512"/>
    <w:rsid w:val="00C96F59"/>
    <w:rsid w:val="00CA6636"/>
    <w:rsid w:val="00CA6D76"/>
    <w:rsid w:val="00CB1515"/>
    <w:rsid w:val="00CB5083"/>
    <w:rsid w:val="00CC49C4"/>
    <w:rsid w:val="00CC56D7"/>
    <w:rsid w:val="00CE21CB"/>
    <w:rsid w:val="00CF4753"/>
    <w:rsid w:val="00D0083B"/>
    <w:rsid w:val="00D027FE"/>
    <w:rsid w:val="00D32347"/>
    <w:rsid w:val="00D36594"/>
    <w:rsid w:val="00D44183"/>
    <w:rsid w:val="00D6457E"/>
    <w:rsid w:val="00D94108"/>
    <w:rsid w:val="00DA19FA"/>
    <w:rsid w:val="00DA529F"/>
    <w:rsid w:val="00DC5017"/>
    <w:rsid w:val="00DD7F1B"/>
    <w:rsid w:val="00DF70F2"/>
    <w:rsid w:val="00E11C4A"/>
    <w:rsid w:val="00E22235"/>
    <w:rsid w:val="00E3077A"/>
    <w:rsid w:val="00E317B6"/>
    <w:rsid w:val="00E41DB9"/>
    <w:rsid w:val="00E51B74"/>
    <w:rsid w:val="00E63EC8"/>
    <w:rsid w:val="00E762BB"/>
    <w:rsid w:val="00E8661B"/>
    <w:rsid w:val="00EA1FD2"/>
    <w:rsid w:val="00EA66F0"/>
    <w:rsid w:val="00EA689F"/>
    <w:rsid w:val="00EB6B68"/>
    <w:rsid w:val="00ED5F7E"/>
    <w:rsid w:val="00EF33BE"/>
    <w:rsid w:val="00F012A1"/>
    <w:rsid w:val="00F034CD"/>
    <w:rsid w:val="00F309CB"/>
    <w:rsid w:val="00F44A0E"/>
    <w:rsid w:val="00F53B91"/>
    <w:rsid w:val="00F60AA8"/>
    <w:rsid w:val="00F61A05"/>
    <w:rsid w:val="00F666ED"/>
    <w:rsid w:val="00FB3EF0"/>
    <w:rsid w:val="00FC2537"/>
    <w:rsid w:val="00FC36CD"/>
    <w:rsid w:val="00FC3F00"/>
    <w:rsid w:val="00FD185A"/>
    <w:rsid w:val="00FE37BC"/>
    <w:rsid w:val="00FF05CF"/>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5390EE5"/>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4E6755-1671-437A-84A3-BF948AF31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DCF635E5-5683-4DD1-9B2D-A8A6168A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925</Words>
  <Characters>5273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FERC-725A(1B)Mandatory Reliability Standards for the Bulk Power System</vt:lpstr>
    </vt:vector>
  </TitlesOfParts>
  <Manager/>
  <Company/>
  <LinksUpToDate>false</LinksUpToDate>
  <CharactersWithSpaces>6186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FERC-725A(1B)Mandatory Reliability Standards for the Bulk Power System</dc:title>
  <dc:subject/>
  <dc:creator>Ellen Brown</dc:creator>
  <cp:keywords/>
  <dc:description/>
  <cp:lastModifiedBy>Kayla Williams</cp:lastModifiedBy>
  <cp:revision>2</cp:revision>
  <cp:lastPrinted>2020-01-28T19:06:00Z</cp:lastPrinted>
  <dcterms:created xsi:type="dcterms:W3CDTF">2020-05-19T06:39:00Z</dcterms:created>
  <dcterms:modified xsi:type="dcterms:W3CDTF">2020-05-19T06:39:00Z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Dennis.Fuentes-Pedrosa@ferc.gov</vt:lpwstr>
  </property>
  <property fmtid="{D5CDD505-2E9C-101B-9397-08002B2CF9AE}" pid="6" name="MSIP_Label_6155a89b-0f08-4a93-8ea2-8a916d6643b5_SetDate">
    <vt:lpwstr>2020-01-28T16:14:51.1470703Z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9662c9e3-40f8-4eed-b003-99fdfe14a4cd</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