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E96" w:rsidRDefault="00442912" w14:paraId="5EB71CDC" w14:textId="77777777">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Supporting Statement</w:t>
      </w:r>
    </w:p>
    <w:p w:rsidR="003E7E96" w:rsidRDefault="00442912" w14:paraId="31DB107F"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FERC-725N, Mandatory Reliability Standards: Transmission Planning (TPL)</w:t>
      </w:r>
      <w:r>
        <w:rPr>
          <w:rFonts w:ascii="Times New Roman" w:hAnsi="Times New Roman" w:eastAsia="Calibri" w:cs="Times New Roman"/>
          <w:b/>
          <w:sz w:val="26"/>
          <w:szCs w:val="26"/>
          <w:vertAlign w:val="superscript"/>
        </w:rPr>
        <w:t xml:space="preserve"> </w:t>
      </w:r>
      <w:r>
        <w:rPr>
          <w:rFonts w:ascii="Times New Roman" w:hAnsi="Times New Roman" w:eastAsia="Calibri" w:cs="Times New Roman"/>
          <w:b/>
          <w:sz w:val="26"/>
          <w:szCs w:val="26"/>
        </w:rPr>
        <w:t xml:space="preserve">Reliability Standards, </w:t>
      </w:r>
    </w:p>
    <w:p w:rsidR="003E7E96" w:rsidRDefault="00442912" w14:paraId="3C14932E" w14:textId="77777777">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as modified by the Delegated Order in Docket No. RD20-3-000</w:t>
      </w:r>
    </w:p>
    <w:p w:rsidR="003E7E96" w:rsidRDefault="003E7E96" w14:paraId="7C5F2AA4" w14:textId="77777777">
      <w:pPr>
        <w:spacing w:after="0" w:line="240" w:lineRule="auto"/>
        <w:rPr>
          <w:rFonts w:ascii="Times New Roman" w:hAnsi="Times New Roman" w:eastAsia="Calibri" w:cs="Times New Roman"/>
          <w:sz w:val="26"/>
          <w:szCs w:val="26"/>
        </w:rPr>
      </w:pPr>
    </w:p>
    <w:p w:rsidR="003E7E96" w:rsidRDefault="00442912" w14:paraId="69F3DB19" w14:textId="0D42D383">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The reporting and recordkeeping requirements for </w:t>
      </w:r>
      <w:r>
        <w:rPr>
          <w:rFonts w:ascii="Times New Roman" w:hAnsi="Times New Roman" w:cs="Times New Roman"/>
          <w:sz w:val="26"/>
          <w:szCs w:val="26"/>
        </w:rPr>
        <w:t xml:space="preserve">Reliability Standard TPL-007-4 </w:t>
      </w:r>
      <w:r>
        <w:rPr>
          <w:rFonts w:ascii="Times New Roman" w:hAnsi="Times New Roman" w:eastAsia="Cambria" w:cs="Times New Roman"/>
          <w:sz w:val="26"/>
          <w:szCs w:val="26"/>
        </w:rPr>
        <w:t>(Transmission System Planning Performance Requirements)</w:t>
      </w:r>
      <w:r>
        <w:rPr>
          <w:rStyle w:val="FootnoteReference"/>
          <w:rFonts w:ascii="Times New Roman" w:hAnsi="Times New Roman" w:cs="Times New Roman"/>
          <w:sz w:val="26"/>
          <w:szCs w:val="26"/>
          <w:vertAlign w:val="superscript"/>
        </w:rPr>
        <w:footnoteReference w:id="1"/>
      </w:r>
      <w:r>
        <w:rPr>
          <w:rFonts w:ascii="Times New Roman" w:hAnsi="Times New Roman" w:cs="Times New Roman"/>
          <w:sz w:val="26"/>
          <w:szCs w:val="26"/>
          <w:vertAlign w:val="superscript"/>
        </w:rPr>
        <w:t xml:space="preserve"> </w:t>
      </w:r>
      <w:r>
        <w:rPr>
          <w:rFonts w:ascii="Times New Roman" w:hAnsi="Times New Roman" w:eastAsia="Calibri" w:cs="Times New Roman"/>
          <w:sz w:val="26"/>
          <w:szCs w:val="26"/>
        </w:rPr>
        <w:t>are being included in FERC-725N, as discussed in the Delegated Letter in Docket No. RD20-3-000.  The Federal Energy Regulatory Commission (Commission or FERC) is requesting that the Office of Management and Budget (OMB) approve the reporting and recordkeeping requirements in FERC-725N</w:t>
      </w:r>
      <w:r w:rsidR="008C3FFB">
        <w:rPr>
          <w:rFonts w:ascii="Times New Roman" w:hAnsi="Times New Roman" w:eastAsia="Calibri" w:cs="Times New Roman"/>
          <w:sz w:val="26"/>
          <w:szCs w:val="26"/>
        </w:rPr>
        <w:t xml:space="preserve"> for existing date March 31, 2023</w:t>
      </w:r>
      <w:bookmarkStart w:name="_GoBack" w:id="0"/>
      <w:bookmarkEnd w:id="0"/>
      <w:r>
        <w:rPr>
          <w:rFonts w:ascii="Times New Roman" w:hAnsi="Times New Roman" w:eastAsia="Calibri" w:cs="Times New Roman"/>
          <w:sz w:val="26"/>
          <w:szCs w:val="26"/>
        </w:rPr>
        <w:t>.  The text of the reporting and recordkeeping requirements of Reliability Standard TPL-007-4 (excerpted from the NERC Petition) is included in ROCIS and reginfo.gov under Supplementary Documents.</w:t>
      </w:r>
    </w:p>
    <w:p w:rsidR="003E7E96" w:rsidRDefault="003E7E96" w14:paraId="4B29424C" w14:textId="77777777">
      <w:pPr>
        <w:spacing w:after="0" w:line="240" w:lineRule="auto"/>
        <w:rPr>
          <w:rFonts w:ascii="Times New Roman" w:hAnsi="Times New Roman" w:eastAsia="Calibri" w:cs="Times New Roman"/>
          <w:sz w:val="26"/>
          <w:szCs w:val="26"/>
        </w:rPr>
      </w:pPr>
    </w:p>
    <w:p w:rsidR="003E7E96" w:rsidRDefault="00442912" w14:paraId="08E12CE3"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CIRCUMSTANCES THAT MAKE THE COLLECTION OF INFORMATION NECESSARY</w:t>
      </w:r>
    </w:p>
    <w:p w:rsidR="003E7E96" w:rsidRDefault="003E7E96" w14:paraId="4183BAAF" w14:textId="77777777">
      <w:pPr>
        <w:spacing w:after="0" w:line="240" w:lineRule="auto"/>
        <w:rPr>
          <w:rFonts w:ascii="Times New Roman" w:hAnsi="Times New Roman" w:eastAsia="Calibri" w:cs="Times New Roman"/>
          <w:sz w:val="26"/>
          <w:szCs w:val="26"/>
        </w:rPr>
      </w:pPr>
    </w:p>
    <w:p w:rsidR="003E7E96" w:rsidRDefault="00442912" w14:paraId="759DAA95" w14:textId="77777777">
      <w:pPr>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On August 8, 2005, The Electricity Modernization Act of 2005, which is Title XII of the Energy Policy Act of 2005 (EPAct 2005), was enacted into law.</w:t>
      </w:r>
      <w:r>
        <w:rPr>
          <w:rFonts w:ascii="Times New Roman" w:hAnsi="Times New Roman" w:eastAsia="Times New Roman" w:cs="Times New Roman"/>
          <w:sz w:val="26"/>
          <w:szCs w:val="26"/>
          <w:vertAlign w:val="superscript"/>
        </w:rPr>
        <w:footnoteReference w:id="2"/>
      </w:r>
      <w:r>
        <w:rPr>
          <w:rFonts w:ascii="Times New Roman" w:hAnsi="Times New Roman" w:eastAsia="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w:t>
      </w:r>
    </w:p>
    <w:p w:rsidR="003E7E96" w:rsidRDefault="003E7E96" w14:paraId="3CA5FC42" w14:textId="77777777">
      <w:pPr>
        <w:spacing w:after="0" w:line="240" w:lineRule="auto"/>
        <w:rPr>
          <w:rFonts w:ascii="Times New Roman" w:hAnsi="Times New Roman" w:eastAsia="Calibri" w:cs="Times New Roman"/>
          <w:sz w:val="26"/>
          <w:szCs w:val="26"/>
        </w:rPr>
      </w:pPr>
    </w:p>
    <w:p w:rsidR="00006455" w:rsidRDefault="00442912" w14:paraId="466047E5" w14:textId="3BBA380D">
      <w:pPr>
        <w:autoSpaceDE w:val="0"/>
        <w:autoSpaceDN w:val="0"/>
        <w:adjustRightInd w:val="0"/>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t>Pursuant to section 215(d)(2) of the Federal Power Act (FPA),</w:t>
      </w:r>
      <w:r>
        <w:rPr>
          <w:rFonts w:ascii="Times New Roman" w:hAnsi="Times New Roman" w:eastAsia="Times New Roman" w:cs="Times New Roman"/>
          <w:b/>
          <w:sz w:val="26"/>
          <w:szCs w:val="26"/>
          <w:vertAlign w:val="superscript"/>
        </w:rPr>
        <w:footnoteReference w:id="3"/>
      </w:r>
      <w:r>
        <w:rPr>
          <w:rFonts w:ascii="Times New Roman" w:hAnsi="Times New Roman" w:eastAsia="Times New Roman" w:cs="Times New Roman"/>
          <w:sz w:val="26"/>
          <w:szCs w:val="26"/>
        </w:rPr>
        <w:t xml:space="preserve"> the Commission proposes to approve Reliability Standard TPL-007-4 (Transmission System Planning Performance Requirements).  </w:t>
      </w:r>
      <w:r w:rsidRPr="009D6137" w:rsidR="009D6137">
        <w:rPr>
          <w:rFonts w:ascii="Times New Roman" w:hAnsi="Times New Roman" w:cs="Times New Roman"/>
          <w:sz w:val="26"/>
          <w:szCs w:val="26"/>
        </w:rPr>
        <w:t xml:space="preserve"> </w:t>
      </w:r>
      <w:r w:rsidR="009D6137">
        <w:rPr>
          <w:rFonts w:ascii="Times New Roman" w:hAnsi="Times New Roman" w:cs="Times New Roman"/>
          <w:sz w:val="26"/>
          <w:szCs w:val="26"/>
        </w:rPr>
        <w:t>Reliability Standard TPL-007-4 requires owners and operators of the Bulk</w:t>
      </w:r>
      <w:r w:rsidR="00437CC5">
        <w:rPr>
          <w:rFonts w:ascii="Times New Roman" w:hAnsi="Times New Roman" w:cs="Times New Roman"/>
          <w:sz w:val="26"/>
          <w:szCs w:val="26"/>
        </w:rPr>
        <w:t>-</w:t>
      </w:r>
      <w:r w:rsidR="009D6137">
        <w:rPr>
          <w:rFonts w:ascii="Times New Roman" w:hAnsi="Times New Roman" w:cs="Times New Roman"/>
          <w:sz w:val="26"/>
          <w:szCs w:val="26"/>
        </w:rPr>
        <w:t xml:space="preserve">Power System (“BPS”) to conduct initial and on-going vulnerability assessments of the potential impact of defined geomagnetic disturbance (“GMD”) events on BPS equipment and the BPS as a whole.  </w:t>
      </w:r>
    </w:p>
    <w:p w:rsidR="00006455" w:rsidRDefault="00006455" w14:paraId="48032032" w14:textId="77777777">
      <w:pPr>
        <w:autoSpaceDE w:val="0"/>
        <w:autoSpaceDN w:val="0"/>
        <w:adjustRightInd w:val="0"/>
        <w:spacing w:after="0" w:line="240" w:lineRule="auto"/>
        <w:rPr>
          <w:rFonts w:ascii="Times New Roman" w:hAnsi="Times New Roman" w:cs="Times New Roman"/>
          <w:sz w:val="26"/>
          <w:szCs w:val="26"/>
        </w:rPr>
      </w:pPr>
    </w:p>
    <w:p w:rsidR="00006455" w:rsidRDefault="00006455" w14:paraId="75F3DD94" w14:textId="77777777">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requirements include the following.  </w:t>
      </w:r>
    </w:p>
    <w:p w:rsidR="00006455" w:rsidP="00006455" w:rsidRDefault="008B0ACB" w14:paraId="572F1D2F" w14:textId="27886D74">
      <w:pPr>
        <w:autoSpaceDE w:val="0"/>
        <w:autoSpaceDN w:val="0"/>
        <w:adjustRightInd w:val="0"/>
        <w:spacing w:after="0" w:line="240" w:lineRule="auto"/>
        <w:ind w:left="720"/>
        <w:rPr>
          <w:rFonts w:ascii="Times New Roman" w:hAnsi="Times New Roman" w:cs="Times New Roman"/>
          <w:sz w:val="26"/>
          <w:szCs w:val="26"/>
        </w:rPr>
      </w:pPr>
      <w:r w:rsidRPr="008B0ACB">
        <w:rPr>
          <w:rFonts w:ascii="Times New Roman" w:hAnsi="Times New Roman" w:cs="Times New Roman"/>
          <w:sz w:val="26"/>
          <w:szCs w:val="26"/>
        </w:rPr>
        <w:t xml:space="preserve">Each responsible entity, shall complete a benchmark GMD Vulnerability Assessment of the Near-Term Transmission Planning Horizon at least once every 60 calendar months. This benchmark GMD Vulnerability Assessment shall use a study or studies based on models identified in Requirement R2, document assumptions, and document summarized results of the steady state analysis. The </w:t>
      </w:r>
      <w:r w:rsidRPr="008B0ACB">
        <w:rPr>
          <w:rFonts w:ascii="Times New Roman" w:hAnsi="Times New Roman" w:cs="Times New Roman"/>
          <w:sz w:val="26"/>
          <w:szCs w:val="26"/>
        </w:rPr>
        <w:lastRenderedPageBreak/>
        <w:t>study or studies shall include the following conditions: System On-Peak Load for at least one year within the Near-Term Transmission Planning Horizon; and System Off-Peak Load for at least one year within the Near-Term Transmission Planning Horizon.</w:t>
      </w:r>
      <w:r>
        <w:rPr>
          <w:rFonts w:ascii="Times New Roman" w:hAnsi="Times New Roman" w:cs="Times New Roman"/>
          <w:sz w:val="26"/>
          <w:szCs w:val="26"/>
        </w:rPr>
        <w:t xml:space="preserve">  </w:t>
      </w:r>
    </w:p>
    <w:p w:rsidR="00006455" w:rsidP="00251F29" w:rsidRDefault="00006455" w14:paraId="37DBCA31" w14:textId="77777777">
      <w:pPr>
        <w:autoSpaceDE w:val="0"/>
        <w:autoSpaceDN w:val="0"/>
        <w:adjustRightInd w:val="0"/>
        <w:spacing w:after="0" w:line="240" w:lineRule="auto"/>
        <w:ind w:left="720"/>
        <w:rPr>
          <w:rFonts w:ascii="Times New Roman" w:hAnsi="Times New Roman" w:cs="Times New Roman"/>
          <w:sz w:val="26"/>
          <w:szCs w:val="26"/>
        </w:rPr>
      </w:pPr>
    </w:p>
    <w:p w:rsidRPr="00251F29" w:rsidR="003E7E96" w:rsidP="00251F29" w:rsidRDefault="00442912" w14:paraId="46CB39A2" w14:textId="5631FFCC">
      <w:pPr>
        <w:autoSpaceDE w:val="0"/>
        <w:autoSpaceDN w:val="0"/>
        <w:adjustRightInd w:val="0"/>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t>The North American Electric Reliability Corporation (NERC), the Commission-certified Electric Reliability Organization (ERO), submitted the proposed Reliability Standard TPL-007-4 for Commission approval to address:  (1) reliability issues concerning the study of single points of failure of protection systems discussed in Order No. 754;</w:t>
      </w:r>
      <w:r>
        <w:rPr>
          <w:rFonts w:ascii="Times New Roman" w:hAnsi="Times New Roman" w:eastAsia="Times New Roman" w:cs="Times New Roman"/>
          <w:b/>
          <w:sz w:val="26"/>
          <w:szCs w:val="26"/>
          <w:vertAlign w:val="superscript"/>
        </w:rPr>
        <w:t xml:space="preserve"> </w:t>
      </w:r>
      <w:r>
        <w:rPr>
          <w:rFonts w:ascii="Times New Roman" w:hAnsi="Times New Roman" w:eastAsia="Times New Roman" w:cs="Times New Roman"/>
          <w:b/>
          <w:sz w:val="26"/>
          <w:szCs w:val="26"/>
          <w:vertAlign w:val="superscript"/>
        </w:rPr>
        <w:footnoteReference w:id="4"/>
      </w:r>
      <w:r>
        <w:rPr>
          <w:rFonts w:ascii="Times New Roman" w:hAnsi="Times New Roman" w:eastAsia="Times New Roman" w:cs="Times New Roman"/>
          <w:sz w:val="26"/>
          <w:szCs w:val="26"/>
        </w:rPr>
        <w:t xml:space="preserve"> and (2) directives from Order No. 786</w:t>
      </w:r>
      <w:r>
        <w:rPr>
          <w:rFonts w:ascii="Times New Roman" w:hAnsi="Times New Roman" w:eastAsia="Times New Roman" w:cs="Times New Roman"/>
          <w:b/>
          <w:sz w:val="26"/>
          <w:szCs w:val="26"/>
          <w:vertAlign w:val="superscript"/>
        </w:rPr>
        <w:footnoteReference w:id="5"/>
      </w:r>
      <w:r>
        <w:rPr>
          <w:rFonts w:ascii="Times New Roman" w:hAnsi="Times New Roman" w:eastAsia="Times New Roman" w:cs="Times New Roman"/>
          <w:sz w:val="26"/>
          <w:szCs w:val="26"/>
        </w:rPr>
        <w:t xml:space="preserve"> regarding planned maintenance outages and stability analysis for spare equipment strategy.  </w:t>
      </w:r>
    </w:p>
    <w:p w:rsidR="003E7E96" w:rsidRDefault="003E7E96" w14:paraId="7D6EC487" w14:textId="77777777">
      <w:pPr>
        <w:spacing w:after="0" w:line="240" w:lineRule="auto"/>
        <w:rPr>
          <w:rFonts w:ascii="Times New Roman" w:hAnsi="Times New Roman" w:eastAsia="Times New Roman" w:cs="Times New Roman"/>
          <w:sz w:val="26"/>
          <w:szCs w:val="26"/>
        </w:rPr>
      </w:pPr>
    </w:p>
    <w:p w:rsidR="003E7E96" w:rsidRDefault="00442912" w14:paraId="1D767697"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HOW, BY WHOM, AND FOR WHAT PURPOSE THE INFORMATION IS TO BE USED AND THE CONSEQUENCES OF NOT COLLECTING THE INFORMATION</w:t>
      </w:r>
    </w:p>
    <w:p w:rsidR="003E7E96" w:rsidRDefault="003E7E96" w14:paraId="64B048F5" w14:textId="77777777">
      <w:pPr>
        <w:pStyle w:val="FERCparanumber"/>
        <w:numPr>
          <w:ilvl w:val="0"/>
          <w:numId w:val="0"/>
        </w:numPr>
        <w:spacing w:line="240" w:lineRule="auto"/>
        <w:rPr>
          <w:szCs w:val="26"/>
        </w:rPr>
      </w:pPr>
    </w:p>
    <w:p w:rsidR="003E7E96" w:rsidP="00C76A7B" w:rsidRDefault="004525D4" w14:paraId="46D0BD98" w14:textId="0930FEEC">
      <w:pPr>
        <w:autoSpaceDE w:val="0"/>
        <w:autoSpaceDN w:val="0"/>
        <w:adjustRightInd w:val="0"/>
        <w:spacing w:after="0" w:line="240" w:lineRule="auto"/>
        <w:rPr>
          <w:rFonts w:ascii="Times New Roman" w:hAnsi="Times New Roman" w:cs="Times New Roman"/>
          <w:sz w:val="26"/>
          <w:szCs w:val="26"/>
        </w:rPr>
      </w:pPr>
      <w:r w:rsidRPr="004525D4">
        <w:rPr>
          <w:rFonts w:ascii="Times New Roman" w:hAnsi="Times New Roman" w:cs="Times New Roman"/>
          <w:sz w:val="26"/>
          <w:szCs w:val="26"/>
        </w:rPr>
        <w:t xml:space="preserve">The purpose of proposed Reliability Standard TPL-007-4, which remains unchanged from prior versions of the standard, is to “[e]stablish requirements for Transmission system planned performance during geomagnetic disturbance (GMD) events.” </w:t>
      </w:r>
      <w:r>
        <w:rPr>
          <w:rFonts w:ascii="Times New Roman" w:hAnsi="Times New Roman" w:cs="Times New Roman"/>
          <w:sz w:val="26"/>
          <w:szCs w:val="26"/>
        </w:rPr>
        <w:t xml:space="preserve"> </w:t>
      </w:r>
      <w:r w:rsidRPr="004525D4">
        <w:rPr>
          <w:rFonts w:ascii="Times New Roman" w:hAnsi="Times New Roman" w:cs="Times New Roman"/>
          <w:sz w:val="26"/>
          <w:szCs w:val="26"/>
        </w:rPr>
        <w:t xml:space="preserve">The applicability of the proposed standard also remains unchanged from prior versions: the standard </w:t>
      </w:r>
      <w:r>
        <w:rPr>
          <w:rFonts w:ascii="Times New Roman" w:hAnsi="Times New Roman" w:cs="Times New Roman"/>
          <w:sz w:val="26"/>
          <w:szCs w:val="26"/>
        </w:rPr>
        <w:t>applies</w:t>
      </w:r>
      <w:r w:rsidRPr="004525D4">
        <w:rPr>
          <w:rFonts w:ascii="Times New Roman" w:hAnsi="Times New Roman" w:cs="Times New Roman"/>
          <w:sz w:val="26"/>
          <w:szCs w:val="26"/>
        </w:rPr>
        <w:t xml:space="preserve"> to</w:t>
      </w:r>
      <w:r>
        <w:rPr>
          <w:rFonts w:ascii="Times New Roman" w:hAnsi="Times New Roman" w:cs="Times New Roman"/>
          <w:sz w:val="26"/>
          <w:szCs w:val="26"/>
        </w:rPr>
        <w:t xml:space="preserve"> registered</w:t>
      </w:r>
      <w:r w:rsidRPr="004525D4">
        <w:rPr>
          <w:rFonts w:ascii="Times New Roman" w:hAnsi="Times New Roman" w:cs="Times New Roman"/>
          <w:sz w:val="26"/>
          <w:szCs w:val="26"/>
        </w:rPr>
        <w:t>: (1) Planning Coordinators and Transmission Planners whose planning areas have a Facility that includes a power transformer with a high side, wye-grounded winding with terminal voltage greater than 200 kV; and (2) Transmission Owners and Generator Owners that own a Facility that includes such equipment.</w:t>
      </w:r>
      <w:r>
        <w:rPr>
          <w:rFonts w:ascii="Times New Roman" w:hAnsi="Times New Roman" w:cs="Times New Roman"/>
          <w:sz w:val="26"/>
          <w:szCs w:val="26"/>
        </w:rPr>
        <w:t xml:space="preserve">    </w:t>
      </w:r>
      <w:r w:rsidR="00442912">
        <w:rPr>
          <w:rFonts w:ascii="Times New Roman" w:hAnsi="Times New Roman" w:cs="Times New Roman"/>
          <w:sz w:val="26"/>
          <w:szCs w:val="26"/>
        </w:rPr>
        <w:t xml:space="preserve">The modifications in the proposed standard address the Commission’s directives in Order No. 8514 related to requirements for Corrective Action Plans. </w:t>
      </w:r>
      <w:r>
        <w:rPr>
          <w:rFonts w:ascii="Times New Roman" w:hAnsi="Times New Roman" w:cs="Times New Roman"/>
          <w:sz w:val="26"/>
          <w:szCs w:val="26"/>
        </w:rPr>
        <w:t>T</w:t>
      </w:r>
      <w:r w:rsidR="00442912">
        <w:rPr>
          <w:rFonts w:ascii="Times New Roman" w:hAnsi="Times New Roman" w:cs="Times New Roman"/>
          <w:sz w:val="26"/>
          <w:szCs w:val="26"/>
        </w:rPr>
        <w:t>he proposed modifications would:</w:t>
      </w:r>
    </w:p>
    <w:p w:rsidR="003E7E96" w:rsidRDefault="00442912" w14:paraId="51063C7F" w14:textId="77777777">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 xml:space="preserve">(i) require entities to develop Corrective Action Plans for vulnerabilities identified through supplemental GMD Vulnerability Assessments; and </w:t>
      </w:r>
    </w:p>
    <w:p w:rsidR="003E7E96" w:rsidRDefault="00442912" w14:paraId="774BAA87" w14:textId="79BCFCDE">
      <w:pPr>
        <w:autoSpaceDE w:val="0"/>
        <w:autoSpaceDN w:val="0"/>
        <w:adjustRightInd w:val="0"/>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(ii) require entities to seek approval from the ERO of any extensions of time for the completion of Corrective Action Plan items. </w:t>
      </w:r>
      <w:r w:rsidRPr="004525D4" w:rsidR="004525D4">
        <w:rPr>
          <w:rFonts w:ascii="Times New Roman" w:hAnsi="Times New Roman" w:cs="Times New Roman"/>
          <w:sz w:val="26"/>
          <w:szCs w:val="26"/>
        </w:rPr>
        <w:t xml:space="preserve"> </w:t>
      </w:r>
      <w:r w:rsidR="004525D4">
        <w:rPr>
          <w:rFonts w:ascii="Times New Roman" w:hAnsi="Times New Roman" w:cs="Times New Roman"/>
          <w:sz w:val="26"/>
          <w:szCs w:val="26"/>
        </w:rPr>
        <w:t>The consequences of an entity not having a Corrective Action Plan could be that d</w:t>
      </w:r>
      <w:r w:rsidRPr="00C76A7B" w:rsidR="004525D4">
        <w:rPr>
          <w:rFonts w:ascii="Times New Roman" w:hAnsi="Times New Roman" w:cs="Times New Roman"/>
          <w:sz w:val="26"/>
          <w:szCs w:val="26"/>
        </w:rPr>
        <w:t xml:space="preserve">uring a </w:t>
      </w:r>
      <w:r w:rsidR="004525D4">
        <w:rPr>
          <w:rFonts w:ascii="Times New Roman" w:hAnsi="Times New Roman" w:cs="Times New Roman"/>
          <w:sz w:val="26"/>
          <w:szCs w:val="26"/>
        </w:rPr>
        <w:t>GMD</w:t>
      </w:r>
      <w:r w:rsidRPr="00C76A7B" w:rsidR="004525D4">
        <w:rPr>
          <w:rFonts w:ascii="Times New Roman" w:hAnsi="Times New Roman" w:cs="Times New Roman"/>
          <w:sz w:val="26"/>
          <w:szCs w:val="26"/>
        </w:rPr>
        <w:t xml:space="preserve"> event, geomagnetically-induced currents (GIC) </w:t>
      </w:r>
      <w:r w:rsidR="004525D4">
        <w:rPr>
          <w:rFonts w:ascii="Times New Roman" w:hAnsi="Times New Roman" w:cs="Times New Roman"/>
          <w:sz w:val="26"/>
          <w:szCs w:val="26"/>
        </w:rPr>
        <w:t xml:space="preserve">on the BPS </w:t>
      </w:r>
      <w:r w:rsidRPr="00C76A7B" w:rsidR="004525D4">
        <w:rPr>
          <w:rFonts w:ascii="Times New Roman" w:hAnsi="Times New Roman" w:cs="Times New Roman"/>
          <w:sz w:val="26"/>
          <w:szCs w:val="26"/>
        </w:rPr>
        <w:t>may cause</w:t>
      </w:r>
      <w:r w:rsidR="004525D4">
        <w:rPr>
          <w:rFonts w:ascii="Times New Roman" w:hAnsi="Times New Roman" w:cs="Times New Roman"/>
          <w:sz w:val="26"/>
          <w:szCs w:val="26"/>
        </w:rPr>
        <w:t xml:space="preserve"> </w:t>
      </w:r>
      <w:r w:rsidRPr="00C76A7B" w:rsidR="004525D4">
        <w:rPr>
          <w:rFonts w:ascii="Times New Roman" w:hAnsi="Times New Roman" w:cs="Times New Roman"/>
          <w:sz w:val="26"/>
          <w:szCs w:val="26"/>
        </w:rPr>
        <w:t xml:space="preserve">transformer hot-spot heating or damage, </w:t>
      </w:r>
      <w:r w:rsidRPr="00C76A7B" w:rsidR="004525D4">
        <w:rPr>
          <w:rFonts w:ascii="Times New Roman" w:hAnsi="Times New Roman" w:cs="Times New Roman"/>
          <w:sz w:val="26"/>
          <w:szCs w:val="26"/>
        </w:rPr>
        <w:lastRenderedPageBreak/>
        <w:t>loss of Reactive Power sources, increased</w:t>
      </w:r>
      <w:r w:rsidR="004525D4">
        <w:rPr>
          <w:rFonts w:ascii="Times New Roman" w:hAnsi="Times New Roman" w:cs="Times New Roman"/>
          <w:sz w:val="26"/>
          <w:szCs w:val="26"/>
        </w:rPr>
        <w:t xml:space="preserve"> </w:t>
      </w:r>
      <w:r w:rsidRPr="00C76A7B" w:rsidR="004525D4">
        <w:rPr>
          <w:rFonts w:ascii="Times New Roman" w:hAnsi="Times New Roman" w:cs="Times New Roman"/>
          <w:sz w:val="26"/>
          <w:szCs w:val="26"/>
        </w:rPr>
        <w:t>Reactive Power demand, and Misoperation(s), the combination of which may result in</w:t>
      </w:r>
      <w:r w:rsidR="004525D4">
        <w:rPr>
          <w:rFonts w:ascii="Times New Roman" w:hAnsi="Times New Roman" w:cs="Times New Roman"/>
          <w:sz w:val="26"/>
          <w:szCs w:val="26"/>
        </w:rPr>
        <w:t xml:space="preserve"> </w:t>
      </w:r>
      <w:r w:rsidRPr="00C76A7B" w:rsidR="004525D4">
        <w:rPr>
          <w:rFonts w:ascii="Times New Roman" w:hAnsi="Times New Roman" w:cs="Times New Roman"/>
          <w:sz w:val="26"/>
          <w:szCs w:val="26"/>
        </w:rPr>
        <w:t>voltage collapse and blackout.</w:t>
      </w:r>
      <w:r w:rsidR="004525D4">
        <w:rPr>
          <w:rFonts w:ascii="Times New Roman" w:hAnsi="Times New Roman" w:cs="Times New Roman"/>
          <w:sz w:val="26"/>
          <w:szCs w:val="26"/>
        </w:rPr>
        <w:t xml:space="preserve">  </w:t>
      </w:r>
    </w:p>
    <w:p w:rsidR="003E7E96" w:rsidRDefault="003E7E96" w14:paraId="2CD9E771" w14:textId="77777777">
      <w:pPr>
        <w:spacing w:after="0" w:line="240" w:lineRule="auto"/>
        <w:rPr>
          <w:rFonts w:ascii="Times New Roman" w:hAnsi="Times New Roman" w:eastAsia="Calibri" w:cs="Times New Roman"/>
          <w:sz w:val="26"/>
          <w:szCs w:val="26"/>
        </w:rPr>
      </w:pPr>
    </w:p>
    <w:p w:rsidR="003E7E96" w:rsidRDefault="00442912" w14:paraId="3E90B131"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DESCRIBE ANY CONSIDERATION OF THE USE OF IMPROVED INFORMATION TECHNOLOGY TO REDUCE THE BURDEN AND TECHNICAL OR LEGAL OBSTACLES TO REDUCING BURDEN</w:t>
      </w:r>
    </w:p>
    <w:p w:rsidR="003E7E96" w:rsidRDefault="003E7E96" w14:paraId="4FEA8828" w14:textId="77777777">
      <w:pPr>
        <w:spacing w:after="0" w:line="240" w:lineRule="auto"/>
        <w:rPr>
          <w:rFonts w:ascii="Times New Roman" w:hAnsi="Times New Roman" w:eastAsia="Calibri" w:cs="Times New Roman"/>
          <w:sz w:val="26"/>
          <w:szCs w:val="26"/>
        </w:rPr>
      </w:pPr>
    </w:p>
    <w:p w:rsidR="003E7E96" w:rsidRDefault="00442912" w14:paraId="73763AD3"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 use of current or improved technology is not covered in Reliability Standards and is, therefore, left to the discretion of each reporting entity. Commission staff think that nearly all of the respondents are likely to make and keep related records in an electronic format.  Each of the six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3E7E96" w:rsidRDefault="003E7E96" w14:paraId="19BB97C2" w14:textId="77777777">
      <w:pPr>
        <w:spacing w:after="0" w:line="240" w:lineRule="auto"/>
        <w:rPr>
          <w:rFonts w:ascii="Times New Roman" w:hAnsi="Times New Roman" w:eastAsia="Calibri" w:cs="Times New Roman"/>
          <w:sz w:val="26"/>
          <w:szCs w:val="26"/>
        </w:rPr>
      </w:pPr>
    </w:p>
    <w:p w:rsidR="003E7E96" w:rsidRDefault="00442912" w14:paraId="4CB99E8E"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 submittals are not made to FERC.</w:t>
      </w:r>
    </w:p>
    <w:p w:rsidR="003E7E96" w:rsidRDefault="003E7E96" w14:paraId="08048674" w14:textId="77777777">
      <w:pPr>
        <w:spacing w:after="0" w:line="240" w:lineRule="auto"/>
        <w:rPr>
          <w:rFonts w:ascii="Times New Roman" w:hAnsi="Times New Roman" w:eastAsia="Calibri" w:cs="Times New Roman"/>
          <w:sz w:val="26"/>
          <w:szCs w:val="26"/>
        </w:rPr>
      </w:pPr>
    </w:p>
    <w:p w:rsidR="003E7E96" w:rsidRDefault="00442912" w14:paraId="30A6D3F4"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DESCRIBE EFFORTS TO IDENTIFY DUPLICATION AND SHOW SPECIFICALLY WHY ANY SIMILAR INFORMATION ALREADY AVAILABLE CANNOT BE USED OR MODIFIED FOR USE FOR THE PURPOSE(S) DESCRIBED IN INSTRUCTION NO. 2</w:t>
      </w:r>
    </w:p>
    <w:p w:rsidR="003E7E96" w:rsidRDefault="003E7E96" w14:paraId="0B1DF9E1" w14:textId="77777777">
      <w:pPr>
        <w:spacing w:after="0" w:line="240" w:lineRule="auto"/>
        <w:rPr>
          <w:rFonts w:ascii="Times New Roman" w:hAnsi="Times New Roman" w:eastAsia="Calibri" w:cs="Times New Roman"/>
          <w:sz w:val="26"/>
          <w:szCs w:val="26"/>
        </w:rPr>
      </w:pPr>
    </w:p>
    <w:p w:rsidR="003E7E96" w:rsidRDefault="00442912" w14:paraId="1807F619"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The information collection requirements are unique to the proposed Reliability Standard and to the FERC-725N information collection.  The Commission does not know of any duplication in the requirements. </w:t>
      </w:r>
    </w:p>
    <w:p w:rsidR="003E7E96" w:rsidRDefault="003E7E96" w14:paraId="0478C9E5" w14:textId="77777777">
      <w:pPr>
        <w:spacing w:after="0" w:line="240" w:lineRule="auto"/>
        <w:rPr>
          <w:rFonts w:ascii="Times New Roman" w:hAnsi="Times New Roman" w:eastAsia="Calibri" w:cs="Times New Roman"/>
          <w:sz w:val="26"/>
          <w:szCs w:val="26"/>
        </w:rPr>
      </w:pPr>
    </w:p>
    <w:p w:rsidR="003E7E96" w:rsidRDefault="00442912" w14:paraId="28E5FB22"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METHODS USED TO MINIMIZE THE BURDEN IN COLLECTION OF INFORMATION INVOLVING SMALL ENTITIES</w:t>
      </w:r>
    </w:p>
    <w:p w:rsidR="003E7E96" w:rsidRDefault="003E7E96" w14:paraId="19E00FE3" w14:textId="77777777">
      <w:pPr>
        <w:spacing w:after="0" w:line="240" w:lineRule="auto"/>
        <w:rPr>
          <w:rFonts w:ascii="Times New Roman" w:hAnsi="Times New Roman" w:eastAsia="Calibri" w:cs="Times New Roman"/>
          <w:sz w:val="26"/>
          <w:szCs w:val="26"/>
        </w:rPr>
      </w:pPr>
    </w:p>
    <w:p w:rsidR="003E7E96" w:rsidRDefault="00442912" w14:paraId="43CE2459"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Small entities generally can reduce their burden by taking part in a joint registration organization or a coordinated functional registration.  These options allow an entity the ability to share its compliance burden with other similar entities.</w:t>
      </w:r>
    </w:p>
    <w:p w:rsidR="003E7E96" w:rsidRDefault="003E7E96" w14:paraId="56553C9A" w14:textId="77777777">
      <w:pPr>
        <w:spacing w:after="0" w:line="240" w:lineRule="auto"/>
        <w:rPr>
          <w:rFonts w:ascii="Times New Roman" w:hAnsi="Times New Roman" w:eastAsia="Calibri" w:cs="Times New Roman"/>
          <w:sz w:val="26"/>
          <w:szCs w:val="26"/>
        </w:rPr>
      </w:pPr>
    </w:p>
    <w:p w:rsidR="003E7E96" w:rsidRDefault="00442912" w14:paraId="1F02CAB8"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Detailed information regarding these options is available in NERC’s Rules of Procedure at sections 507 and 508.</w:t>
      </w:r>
      <w:r>
        <w:rPr>
          <w:rFonts w:ascii="Times New Roman" w:hAnsi="Times New Roman" w:eastAsia="Calibri" w:cs="Times New Roman"/>
          <w:sz w:val="26"/>
          <w:szCs w:val="26"/>
          <w:vertAlign w:val="superscript"/>
        </w:rPr>
        <w:footnoteReference w:id="6"/>
      </w:r>
    </w:p>
    <w:p w:rsidR="003E7E96" w:rsidRDefault="003E7E96" w14:paraId="4927C877" w14:textId="77777777">
      <w:pPr>
        <w:spacing w:after="0" w:line="240" w:lineRule="auto"/>
        <w:rPr>
          <w:rFonts w:ascii="Times New Roman" w:hAnsi="Times New Roman" w:eastAsia="Calibri" w:cs="Times New Roman"/>
          <w:sz w:val="26"/>
          <w:szCs w:val="26"/>
        </w:rPr>
      </w:pPr>
    </w:p>
    <w:p w:rsidR="003E7E96" w:rsidRDefault="00442912" w14:paraId="16424BFC"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lastRenderedPageBreak/>
        <w:t>CONSEQUENCE TO FEDERAL PROGRAM IF COLLECTION WERE CONDUCTED LESS FREQUENTLY</w:t>
      </w:r>
    </w:p>
    <w:p w:rsidR="003E7E96" w:rsidRDefault="003E7E96" w14:paraId="0869B25B" w14:textId="77777777">
      <w:pPr>
        <w:spacing w:after="0" w:line="240" w:lineRule="auto"/>
        <w:rPr>
          <w:rFonts w:ascii="Times New Roman" w:hAnsi="Times New Roman" w:eastAsia="Calibri" w:cs="Times New Roman"/>
          <w:sz w:val="26"/>
          <w:szCs w:val="26"/>
        </w:rPr>
      </w:pPr>
    </w:p>
    <w:p w:rsidR="003E7E96" w:rsidRDefault="00442912" w14:paraId="59EBFC30" w14:textId="4E2F9894">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If this standard and the associated information collection requirements did not exist or were performed less frequently, the reduction or elimination of transmission system planning would likely lead to lower system reliability and higher vulnerability and risk, such as transmission system outages and loss of load.</w:t>
      </w:r>
      <w:r w:rsidR="00783B00">
        <w:rPr>
          <w:rFonts w:ascii="Times New Roman" w:hAnsi="Times New Roman" w:eastAsia="Calibri" w:cs="Times New Roman"/>
          <w:sz w:val="26"/>
          <w:szCs w:val="26"/>
        </w:rPr>
        <w:t xml:space="preserve">  </w:t>
      </w:r>
      <w:r w:rsidRPr="00C76A7B" w:rsidR="00783B00">
        <w:rPr>
          <w:rFonts w:ascii="Times New Roman" w:hAnsi="Times New Roman" w:cs="Times New Roman"/>
          <w:sz w:val="26"/>
          <w:szCs w:val="26"/>
        </w:rPr>
        <w:t xml:space="preserve">During a </w:t>
      </w:r>
      <w:r w:rsidR="00783B00">
        <w:rPr>
          <w:rFonts w:ascii="Times New Roman" w:hAnsi="Times New Roman" w:cs="Times New Roman"/>
          <w:sz w:val="26"/>
          <w:szCs w:val="26"/>
        </w:rPr>
        <w:t>GMD</w:t>
      </w:r>
      <w:r w:rsidRPr="00C76A7B" w:rsidR="00783B00">
        <w:rPr>
          <w:rFonts w:ascii="Times New Roman" w:hAnsi="Times New Roman" w:cs="Times New Roman"/>
          <w:sz w:val="26"/>
          <w:szCs w:val="26"/>
        </w:rPr>
        <w:t xml:space="preserve"> event, GIC </w:t>
      </w:r>
      <w:r w:rsidR="00783B00">
        <w:rPr>
          <w:rFonts w:ascii="Times New Roman" w:hAnsi="Times New Roman" w:cs="Times New Roman"/>
          <w:sz w:val="26"/>
          <w:szCs w:val="26"/>
        </w:rPr>
        <w:t xml:space="preserve">on the BPS </w:t>
      </w:r>
      <w:r w:rsidRPr="00C76A7B" w:rsidR="00783B00">
        <w:rPr>
          <w:rFonts w:ascii="Times New Roman" w:hAnsi="Times New Roman" w:cs="Times New Roman"/>
          <w:sz w:val="26"/>
          <w:szCs w:val="26"/>
        </w:rPr>
        <w:t>may cause</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transformer hot-spot heating or damage, loss of Reactive Power sources, increased</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Reactive Power demand, and Misoperation(s), the combination of which may result in</w:t>
      </w:r>
      <w:r w:rsidR="00783B00">
        <w:rPr>
          <w:rFonts w:ascii="Times New Roman" w:hAnsi="Times New Roman" w:cs="Times New Roman"/>
          <w:sz w:val="26"/>
          <w:szCs w:val="26"/>
        </w:rPr>
        <w:t xml:space="preserve"> </w:t>
      </w:r>
      <w:r w:rsidRPr="00C76A7B" w:rsidR="00783B00">
        <w:rPr>
          <w:rFonts w:ascii="Times New Roman" w:hAnsi="Times New Roman" w:cs="Times New Roman"/>
          <w:sz w:val="26"/>
          <w:szCs w:val="26"/>
        </w:rPr>
        <w:t>voltage collapse and blackout.</w:t>
      </w:r>
      <w:r w:rsidR="00783B00">
        <w:rPr>
          <w:rFonts w:ascii="Times New Roman" w:hAnsi="Times New Roman" w:cs="Times New Roman"/>
          <w:sz w:val="26"/>
          <w:szCs w:val="26"/>
        </w:rPr>
        <w:t xml:space="preserve">  Conducting the vulnerability assessment and corrective action planning once every 5 years allows for system planners to reassess how changes in the system topology effect their system’s GMD vulnerabilities.</w:t>
      </w:r>
    </w:p>
    <w:p w:rsidR="003E7E96" w:rsidRDefault="003E7E96" w14:paraId="4D36A0F1" w14:textId="77777777">
      <w:pPr>
        <w:spacing w:after="0" w:line="240" w:lineRule="auto"/>
        <w:rPr>
          <w:rFonts w:ascii="Times New Roman" w:hAnsi="Times New Roman" w:eastAsia="Calibri" w:cs="Times New Roman"/>
          <w:sz w:val="26"/>
          <w:szCs w:val="26"/>
        </w:rPr>
      </w:pPr>
    </w:p>
    <w:p w:rsidR="003E7E96" w:rsidRDefault="00442912" w14:paraId="43C91FC8"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EXPLAIN ANY SPECIAL CIRCUMSTANCES RELATING TO THE INFORMATION COLLECTION</w:t>
      </w:r>
    </w:p>
    <w:p w:rsidR="003E7E96" w:rsidRDefault="003E7E96" w14:paraId="15D51A85" w14:textId="77777777">
      <w:pPr>
        <w:spacing w:after="0" w:line="240" w:lineRule="auto"/>
        <w:rPr>
          <w:rFonts w:ascii="Times New Roman" w:hAnsi="Times New Roman" w:eastAsia="Calibri" w:cs="Times New Roman"/>
          <w:sz w:val="26"/>
          <w:szCs w:val="26"/>
        </w:rPr>
      </w:pPr>
    </w:p>
    <w:p w:rsidR="003E7E96" w:rsidRDefault="00442912" w14:paraId="2B671225" w14:textId="77777777">
      <w:pPr>
        <w:spacing w:after="0" w:line="240" w:lineRule="auto"/>
        <w:rPr>
          <w:rFonts w:ascii="Times New Roman" w:hAnsi="Times New Roman" w:eastAsia="Calibri" w:cs="Times New Roman"/>
          <w:color w:val="000000"/>
          <w:sz w:val="26"/>
          <w:szCs w:val="26"/>
        </w:rPr>
      </w:pPr>
      <w:r>
        <w:rPr>
          <w:rFonts w:ascii="Times New Roman" w:hAnsi="Times New Roman" w:eastAsia="Calibri" w:cs="Times New Roman"/>
          <w:sz w:val="26"/>
          <w:szCs w:val="26"/>
        </w:rPr>
        <w:t>There are no special circumstances related to the Reliability Standard TPL-007-4.</w:t>
      </w:r>
    </w:p>
    <w:p w:rsidR="003E7E96" w:rsidRDefault="003E7E96" w14:paraId="2C2FE744" w14:textId="77777777">
      <w:pPr>
        <w:autoSpaceDE w:val="0"/>
        <w:autoSpaceDN w:val="0"/>
        <w:adjustRightInd w:val="0"/>
        <w:spacing w:after="0" w:line="240" w:lineRule="auto"/>
        <w:rPr>
          <w:rFonts w:ascii="Times New Roman" w:hAnsi="Times New Roman" w:eastAsia="Calibri" w:cs="Times New Roman"/>
          <w:color w:val="000000"/>
          <w:sz w:val="26"/>
          <w:szCs w:val="26"/>
        </w:rPr>
      </w:pPr>
    </w:p>
    <w:p w:rsidR="003E7E96" w:rsidRDefault="00442912" w14:paraId="44C7DCAA"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DESCRIBE EFFORTS TO CONSULT OUTSIDE THE AGENCY: SUMMARIZE PUBLIC COMMENTS AND THE AGENCY’S RESPONSE</w:t>
      </w:r>
    </w:p>
    <w:p w:rsidR="003E7E96" w:rsidRDefault="00442912" w14:paraId="4269521B" w14:textId="77777777">
      <w:pPr>
        <w:spacing w:after="0" w:line="240" w:lineRule="auto"/>
        <w:rPr>
          <w:rFonts w:ascii="Times New Roman" w:hAnsi="Times New Roman" w:eastAsia="Calibri" w:cs="Times New Roman"/>
          <w:bCs/>
          <w:sz w:val="26"/>
          <w:szCs w:val="26"/>
        </w:rPr>
      </w:pPr>
      <w:r>
        <w:rPr>
          <w:rFonts w:ascii="Times New Roman" w:hAnsi="Times New Roman" w:eastAsia="Calibri" w:cs="Times New Roman"/>
          <w:bCs/>
          <w:sz w:val="26"/>
          <w:szCs w:val="26"/>
        </w:rPr>
        <w:t>In accordance with OMB requirements, the Commission published a 60-day notice</w:t>
      </w:r>
      <w:r>
        <w:rPr>
          <w:rStyle w:val="FootnoteReference"/>
          <w:rFonts w:ascii="Times New Roman" w:hAnsi="Times New Roman" w:eastAsia="Calibri" w:cs="Times New Roman"/>
          <w:bCs/>
          <w:sz w:val="26"/>
          <w:szCs w:val="26"/>
          <w:vertAlign w:val="superscript"/>
        </w:rPr>
        <w:footnoteReference w:id="7"/>
      </w:r>
      <w:r>
        <w:rPr>
          <w:rFonts w:ascii="Times New Roman" w:hAnsi="Times New Roman" w:eastAsia="Calibri" w:cs="Times New Roman"/>
          <w:bCs/>
          <w:sz w:val="26"/>
          <w:szCs w:val="26"/>
          <w:vertAlign w:val="superscript"/>
        </w:rPr>
        <w:t xml:space="preserve"> </w:t>
      </w:r>
      <w:r>
        <w:rPr>
          <w:rFonts w:ascii="Times New Roman" w:hAnsi="Times New Roman" w:eastAsia="Calibri" w:cs="Times New Roman"/>
          <w:bCs/>
          <w:sz w:val="26"/>
          <w:szCs w:val="26"/>
        </w:rPr>
        <w:t xml:space="preserve"> and a 30-day notice</w:t>
      </w:r>
      <w:r>
        <w:rPr>
          <w:rStyle w:val="FootnoteReference"/>
          <w:rFonts w:ascii="Times New Roman" w:hAnsi="Times New Roman" w:eastAsia="Calibri" w:cs="Times New Roman"/>
          <w:bCs/>
          <w:sz w:val="26"/>
          <w:szCs w:val="26"/>
          <w:vertAlign w:val="superscript"/>
        </w:rPr>
        <w:footnoteReference w:id="8"/>
      </w:r>
      <w:r>
        <w:rPr>
          <w:rFonts w:ascii="Times New Roman" w:hAnsi="Times New Roman" w:eastAsia="Calibri" w:cs="Times New Roman"/>
          <w:bCs/>
          <w:sz w:val="26"/>
          <w:szCs w:val="26"/>
          <w:vertAlign w:val="superscript"/>
        </w:rPr>
        <w:t xml:space="preserve"> </w:t>
      </w:r>
      <w:r>
        <w:rPr>
          <w:rFonts w:ascii="Times New Roman" w:hAnsi="Times New Roman" w:eastAsia="Calibri" w:cs="Times New Roman"/>
          <w:bCs/>
          <w:sz w:val="26"/>
          <w:szCs w:val="26"/>
        </w:rPr>
        <w:t xml:space="preserve"> to the public regarding this information collection on 4/16/2020 and 7/7/2020 respectively.  Within the public notices, the Commission noted that it would be requesting a three-year extension of the public reporting burden.  The Commission received no comments from the public regarding this information collection.</w:t>
      </w:r>
    </w:p>
    <w:p w:rsidR="003E7E96" w:rsidRDefault="003E7E96" w14:paraId="5D7FA24F" w14:textId="77777777">
      <w:pPr>
        <w:spacing w:after="0" w:line="240" w:lineRule="auto"/>
        <w:rPr>
          <w:rFonts w:ascii="Times New Roman" w:hAnsi="Times New Roman" w:eastAsia="Calibri" w:cs="Times New Roman"/>
          <w:bCs/>
          <w:sz w:val="26"/>
          <w:szCs w:val="26"/>
        </w:rPr>
      </w:pPr>
    </w:p>
    <w:p w:rsidR="003E7E96" w:rsidRDefault="00442912" w14:paraId="04829C00"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bCs/>
          <w:sz w:val="26"/>
          <w:szCs w:val="26"/>
        </w:rPr>
        <w:t xml:space="preserve">The ERO process to establish Reliability Standards is a collaborative process with the ERO, Regional Entities and other stakeholders developing and reviewing drafts, and providing comments, with NERC submitting the final standard to the Commission for review and approval on February 7, 2020.  There were no comments filed in response to NERC’s filing.  </w:t>
      </w:r>
    </w:p>
    <w:p w:rsidR="003E7E96" w:rsidRDefault="003E7E96" w14:paraId="21A763AD" w14:textId="77777777">
      <w:pPr>
        <w:spacing w:after="0" w:line="240" w:lineRule="auto"/>
        <w:rPr>
          <w:rFonts w:ascii="Times New Roman" w:hAnsi="Times New Roman" w:eastAsia="Calibri" w:cs="Times New Roman"/>
          <w:sz w:val="26"/>
          <w:szCs w:val="26"/>
        </w:rPr>
      </w:pPr>
    </w:p>
    <w:p w:rsidR="003E7E96" w:rsidRDefault="00442912" w14:paraId="2DA795C0"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EXPLAIN ANY PAYMENT OR GIFTS TO RESPONDENTS</w:t>
      </w:r>
    </w:p>
    <w:p w:rsidR="003E7E96" w:rsidRDefault="003E7E96" w14:paraId="1128BF8B" w14:textId="77777777">
      <w:pPr>
        <w:spacing w:after="0" w:line="240" w:lineRule="auto"/>
        <w:rPr>
          <w:rFonts w:ascii="Times New Roman" w:hAnsi="Times New Roman" w:eastAsia="Calibri" w:cs="Times New Roman"/>
          <w:sz w:val="26"/>
          <w:szCs w:val="26"/>
        </w:rPr>
      </w:pPr>
    </w:p>
    <w:p w:rsidR="003E7E96" w:rsidRDefault="00442912" w14:paraId="6348F456"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 Commission does not make payments or provide gifts for respondents related to this collection.</w:t>
      </w:r>
    </w:p>
    <w:p w:rsidR="003E7E96" w:rsidRDefault="003E7E96" w14:paraId="00D273F8" w14:textId="77777777">
      <w:pPr>
        <w:spacing w:after="0" w:line="240" w:lineRule="auto"/>
        <w:rPr>
          <w:rFonts w:ascii="Times New Roman" w:hAnsi="Times New Roman" w:eastAsia="Calibri" w:cs="Times New Roman"/>
          <w:sz w:val="26"/>
          <w:szCs w:val="26"/>
        </w:rPr>
      </w:pPr>
    </w:p>
    <w:p w:rsidR="003E7E96" w:rsidRDefault="00442912" w14:paraId="24B793B6"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DESCRIBE ANY ASSURANCE OF CONFIDENTIALITY PROVIDED TO RESPONDENTS</w:t>
      </w:r>
    </w:p>
    <w:p w:rsidR="003E7E96" w:rsidRDefault="003E7E96" w14:paraId="31AA83D0" w14:textId="77777777">
      <w:pPr>
        <w:spacing w:after="0" w:line="240" w:lineRule="auto"/>
        <w:rPr>
          <w:rFonts w:ascii="Times New Roman" w:hAnsi="Times New Roman" w:eastAsia="Calibri" w:cs="Times New Roman"/>
          <w:sz w:val="26"/>
          <w:szCs w:val="26"/>
        </w:rPr>
      </w:pPr>
    </w:p>
    <w:p w:rsidR="003E7E96" w:rsidRDefault="00442912" w14:paraId="758F879B"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lastRenderedPageBreak/>
        <w:t>According to the NERC Rule of Procedure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3E7E96" w:rsidRDefault="003E7E96" w14:paraId="1E5240FB" w14:textId="77777777">
      <w:pPr>
        <w:spacing w:after="0" w:line="240" w:lineRule="auto"/>
        <w:rPr>
          <w:rFonts w:ascii="Times New Roman" w:hAnsi="Times New Roman" w:eastAsia="Calibri" w:cs="Times New Roman"/>
          <w:sz w:val="26"/>
          <w:szCs w:val="26"/>
        </w:rPr>
      </w:pPr>
    </w:p>
    <w:p w:rsidR="003E7E96" w:rsidRDefault="00442912" w14:paraId="54939C33"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Responding entities do not submit the information covered by the approved Reliability Standard to FERC.  Rather, they maintain it internally or provide it to NERC or the Regional Entities.  Since there are no submittals made to the Commission, FERC provides no specific provisions in order to protect confidentiality unless and until any such information is submitted to FERC as part of an enforcement action or other compliance review. </w:t>
      </w:r>
    </w:p>
    <w:p w:rsidR="003E7E96" w:rsidRDefault="003E7E96" w14:paraId="3DDC2127" w14:textId="77777777">
      <w:pPr>
        <w:spacing w:after="0" w:line="240" w:lineRule="auto"/>
        <w:rPr>
          <w:rFonts w:ascii="Times New Roman" w:hAnsi="Times New Roman" w:eastAsia="Calibri" w:cs="Times New Roman"/>
          <w:sz w:val="26"/>
          <w:szCs w:val="26"/>
        </w:rPr>
      </w:pPr>
    </w:p>
    <w:p w:rsidR="003E7E96" w:rsidRDefault="00442912" w14:paraId="40F099BA"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PROVIDE ADDITIONAL JUSTIFICATION FOR ANY QUESTIONS OF A SENSITIVE NATURE, SUCH AS SEXUAL BEHAVIOR AND ATTITUDES, RELIGIOUS BELIEFS, AND OTHER MATTERS THAT ARE COMMONLY CONSIDERED PRIVATE</w:t>
      </w:r>
    </w:p>
    <w:p w:rsidR="003E7E96" w:rsidRDefault="003E7E96" w14:paraId="69465620" w14:textId="77777777">
      <w:pPr>
        <w:spacing w:after="0" w:line="240" w:lineRule="auto"/>
        <w:rPr>
          <w:rFonts w:ascii="Times New Roman" w:hAnsi="Times New Roman" w:eastAsia="Calibri" w:cs="Times New Roman"/>
          <w:sz w:val="26"/>
          <w:szCs w:val="26"/>
        </w:rPr>
      </w:pPr>
    </w:p>
    <w:p w:rsidR="003E7E96" w:rsidRDefault="00442912" w14:paraId="4A62F67F"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This collection does not include any questions of a sensitive nature.</w:t>
      </w:r>
    </w:p>
    <w:p w:rsidR="003E7E96" w:rsidRDefault="003E7E96" w14:paraId="51973D0E" w14:textId="77777777">
      <w:pPr>
        <w:spacing w:after="0" w:line="240" w:lineRule="auto"/>
        <w:rPr>
          <w:rFonts w:ascii="Times New Roman" w:hAnsi="Times New Roman" w:eastAsia="Calibri" w:cs="Times New Roman"/>
          <w:sz w:val="26"/>
          <w:szCs w:val="26"/>
        </w:rPr>
      </w:pPr>
    </w:p>
    <w:p w:rsidR="003E7E96" w:rsidRDefault="00442912" w14:paraId="320E1089"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ESTIMATED BURDEN OF COLLECTION OF INFORMATION</w:t>
      </w:r>
    </w:p>
    <w:p w:rsidR="003E7E96" w:rsidRDefault="003E7E96" w14:paraId="609D386D" w14:textId="77777777">
      <w:pPr>
        <w:spacing w:after="0" w:line="240" w:lineRule="auto"/>
        <w:rPr>
          <w:rFonts w:ascii="Times New Roman" w:hAnsi="Times New Roman" w:eastAsia="Calibri" w:cs="Times New Roman"/>
          <w:sz w:val="26"/>
          <w:szCs w:val="26"/>
        </w:rPr>
      </w:pPr>
    </w:p>
    <w:p w:rsidR="003E7E96" w:rsidRDefault="00442912" w14:paraId="0A8A9394"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 Commission estimates the b</w:t>
      </w:r>
      <w:r>
        <w:rPr>
          <w:rFonts w:ascii="Times New Roman" w:hAnsi="Times New Roman" w:cs="Times New Roman"/>
          <w:sz w:val="26"/>
          <w:szCs w:val="26"/>
        </w:rPr>
        <w:t>urden</w:t>
      </w:r>
      <w:r>
        <w:rPr>
          <w:rFonts w:ascii="Times New Roman" w:hAnsi="Times New Roman" w:cs="Times New Roman"/>
          <w:b/>
          <w:sz w:val="26"/>
          <w:szCs w:val="26"/>
          <w:vertAlign w:val="superscript"/>
        </w:rPr>
        <w:footnoteReference w:id="9"/>
      </w:r>
      <w:r>
        <w:rPr>
          <w:rFonts w:ascii="Times New Roman" w:hAnsi="Times New Roman" w:eastAsia="Calibri" w:cs="Times New Roman"/>
          <w:sz w:val="26"/>
          <w:szCs w:val="26"/>
        </w:rPr>
        <w:t xml:space="preserve"> and cost</w:t>
      </w:r>
      <w:r>
        <w:rPr>
          <w:rStyle w:val="FootnoteReference"/>
          <w:rFonts w:ascii="Times New Roman" w:hAnsi="Times New Roman" w:eastAsia="Calibri" w:cs="Times New Roman"/>
          <w:sz w:val="26"/>
          <w:szCs w:val="26"/>
          <w:vertAlign w:val="superscript"/>
        </w:rPr>
        <w:footnoteReference w:id="10"/>
      </w:r>
      <w:r>
        <w:rPr>
          <w:rFonts w:ascii="Times New Roman" w:hAnsi="Times New Roman" w:eastAsia="Calibri" w:cs="Times New Roman"/>
          <w:sz w:val="26"/>
          <w:szCs w:val="26"/>
          <w:vertAlign w:val="superscript"/>
        </w:rPr>
        <w:t xml:space="preserve"> </w:t>
      </w:r>
      <w:r>
        <w:rPr>
          <w:rFonts w:ascii="Times New Roman" w:hAnsi="Times New Roman" w:eastAsia="Calibri" w:cs="Times New Roman"/>
          <w:sz w:val="26"/>
          <w:szCs w:val="26"/>
        </w:rPr>
        <w:t>for the changes to this information collection, due to the Delegated Order in RD20-3-000, as follows:</w:t>
      </w:r>
    </w:p>
    <w:p w:rsidR="003E7E96" w:rsidRDefault="003E7E96" w14:paraId="014C506A" w14:textId="77777777">
      <w:pPr>
        <w:spacing w:after="0" w:line="240" w:lineRule="auto"/>
        <w:rPr>
          <w:rFonts w:ascii="Times New Roman" w:hAnsi="Times New Roman" w:eastAsia="Calibri" w:cs="Times New Roman"/>
          <w:sz w:val="26"/>
          <w:szCs w:val="26"/>
        </w:rPr>
      </w:pPr>
    </w:p>
    <w:tbl>
      <w:tblPr>
        <w:tblW w:w="5775" w:type="pct"/>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76"/>
        <w:gridCol w:w="1706"/>
        <w:gridCol w:w="1803"/>
        <w:gridCol w:w="1438"/>
        <w:gridCol w:w="1350"/>
        <w:gridCol w:w="1797"/>
        <w:gridCol w:w="1529"/>
      </w:tblGrid>
      <w:tr w:rsidR="003E7E96" w:rsidTr="00251F29" w14:paraId="3C4C21A3" w14:textId="77777777">
        <w:trPr>
          <w:cantSplit/>
        </w:trPr>
        <w:tc>
          <w:tcPr>
            <w:tcW w:w="5000" w:type="pct"/>
            <w:gridSpan w:val="7"/>
            <w:tcBorders>
              <w:bottom w:val="single" w:color="auto" w:sz="4" w:space="0"/>
            </w:tcBorders>
            <w:shd w:val="clear" w:color="auto" w:fill="D9D9D9"/>
          </w:tcPr>
          <w:p w:rsidR="003E7E96" w:rsidRDefault="00442912" w14:paraId="67B59619" w14:textId="77777777">
            <w:pPr>
              <w:spacing w:after="0" w:line="240" w:lineRule="auto"/>
              <w:jc w:val="center"/>
              <w:rPr>
                <w:rFonts w:ascii="Times New Roman" w:hAnsi="Times New Roman" w:eastAsia="Calibri" w:cs="Times New Roman"/>
                <w:b/>
                <w:sz w:val="26"/>
                <w:szCs w:val="26"/>
              </w:rPr>
            </w:pPr>
            <w:r>
              <w:rPr>
                <w:rFonts w:ascii="Times New Roman" w:hAnsi="Times New Roman" w:eastAsia="Times New Roman" w:cs="Times New Roman"/>
                <w:b/>
                <w:sz w:val="26"/>
                <w:szCs w:val="26"/>
              </w:rPr>
              <w:t>FERC-725N in Docket No. RD20-3-000</w:t>
            </w:r>
          </w:p>
        </w:tc>
      </w:tr>
      <w:tr w:rsidR="003E7E96" w:rsidTr="00251F29" w14:paraId="44F772C9" w14:textId="77777777">
        <w:trPr>
          <w:cantSplit/>
        </w:trPr>
        <w:tc>
          <w:tcPr>
            <w:tcW w:w="544" w:type="pct"/>
            <w:shd w:val="clear" w:color="auto" w:fill="D9D9D9"/>
          </w:tcPr>
          <w:p w:rsidR="003E7E96" w:rsidRDefault="003E7E96" w14:paraId="4FB34660" w14:textId="77777777">
            <w:pPr>
              <w:spacing w:after="0" w:line="240" w:lineRule="auto"/>
              <w:jc w:val="center"/>
              <w:rPr>
                <w:rFonts w:ascii="Times New Roman" w:hAnsi="Times New Roman" w:eastAsia="Times New Roman" w:cs="Times New Roman"/>
                <w:b/>
                <w:sz w:val="26"/>
                <w:szCs w:val="26"/>
              </w:rPr>
            </w:pPr>
          </w:p>
          <w:p w:rsidR="003E7E96" w:rsidRDefault="003E7E96" w14:paraId="2B9FBAC0" w14:textId="77777777">
            <w:pPr>
              <w:spacing w:after="0" w:line="240" w:lineRule="auto"/>
              <w:jc w:val="center"/>
              <w:rPr>
                <w:rFonts w:ascii="Times New Roman" w:hAnsi="Times New Roman" w:eastAsia="Times New Roman" w:cs="Times New Roman"/>
                <w:b/>
                <w:sz w:val="26"/>
                <w:szCs w:val="26"/>
              </w:rPr>
            </w:pPr>
          </w:p>
          <w:p w:rsidR="003E7E96" w:rsidRDefault="003E7E96" w14:paraId="29CC247A" w14:textId="77777777">
            <w:pPr>
              <w:spacing w:after="0" w:line="240" w:lineRule="auto"/>
              <w:jc w:val="center"/>
              <w:rPr>
                <w:rFonts w:ascii="Times New Roman" w:hAnsi="Times New Roman" w:eastAsia="Times New Roman" w:cs="Times New Roman"/>
                <w:b/>
                <w:sz w:val="26"/>
                <w:szCs w:val="26"/>
              </w:rPr>
            </w:pPr>
          </w:p>
          <w:p w:rsidR="003E7E96" w:rsidRDefault="003E7E96" w14:paraId="17A0362A" w14:textId="77777777">
            <w:pPr>
              <w:spacing w:after="0" w:line="240" w:lineRule="auto"/>
              <w:jc w:val="center"/>
              <w:rPr>
                <w:rFonts w:ascii="Times New Roman" w:hAnsi="Times New Roman" w:eastAsia="Calibri" w:cs="Times New Roman"/>
                <w:sz w:val="26"/>
                <w:szCs w:val="26"/>
              </w:rPr>
            </w:pPr>
          </w:p>
        </w:tc>
        <w:tc>
          <w:tcPr>
            <w:tcW w:w="790" w:type="pct"/>
            <w:shd w:val="clear" w:color="auto" w:fill="D9D9D9"/>
            <w:vAlign w:val="bottom"/>
          </w:tcPr>
          <w:p w:rsidR="003E7E96" w:rsidRDefault="00442912" w14:paraId="784A9490"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Annual Number</w:t>
            </w:r>
            <w:r>
              <w:rPr>
                <w:rFonts w:ascii="Times New Roman" w:hAnsi="Times New Roman" w:eastAsia="Times New Roman" w:cs="Times New Roman"/>
                <w:sz w:val="26"/>
                <w:szCs w:val="26"/>
                <w:vertAlign w:val="superscript"/>
              </w:rPr>
              <w:t>1</w:t>
            </w:r>
            <w:r>
              <w:rPr>
                <w:rFonts w:ascii="Times New Roman" w:hAnsi="Times New Roman" w:eastAsia="Calibri" w:cs="Times New Roman"/>
                <w:b/>
                <w:sz w:val="26"/>
                <w:szCs w:val="26"/>
              </w:rPr>
              <w:t xml:space="preserve"> of Respondents</w:t>
            </w:r>
            <w:r>
              <w:rPr>
                <w:rFonts w:ascii="Times New Roman" w:hAnsi="Times New Roman" w:eastAsia="Calibri" w:cs="Times New Roman"/>
                <w:b/>
                <w:sz w:val="26"/>
                <w:szCs w:val="26"/>
              </w:rPr>
              <w:br/>
              <w:t>(1)</w:t>
            </w:r>
          </w:p>
        </w:tc>
        <w:tc>
          <w:tcPr>
            <w:tcW w:w="835" w:type="pct"/>
            <w:shd w:val="clear" w:color="auto" w:fill="D9D9D9"/>
            <w:vAlign w:val="bottom"/>
          </w:tcPr>
          <w:p w:rsidR="003E7E96" w:rsidRDefault="00442912" w14:paraId="60325810"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Annual Number of Responses per Respondent</w:t>
            </w:r>
          </w:p>
          <w:p w:rsidR="003E7E96" w:rsidRDefault="00442912" w14:paraId="0669527B"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(2)</w:t>
            </w:r>
          </w:p>
        </w:tc>
        <w:tc>
          <w:tcPr>
            <w:tcW w:w="666" w:type="pct"/>
            <w:shd w:val="clear" w:color="auto" w:fill="D9D9D9"/>
            <w:vAlign w:val="bottom"/>
          </w:tcPr>
          <w:p w:rsidR="003E7E96" w:rsidRDefault="00442912" w14:paraId="118DE50B"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 Total Number of Responses (1)*(2)=(3)</w:t>
            </w:r>
          </w:p>
        </w:tc>
        <w:tc>
          <w:tcPr>
            <w:tcW w:w="625" w:type="pct"/>
            <w:shd w:val="clear" w:color="auto" w:fill="D9D9D9"/>
            <w:vAlign w:val="bottom"/>
          </w:tcPr>
          <w:p w:rsidR="003E7E96" w:rsidRDefault="00442912" w14:paraId="0B989EDB"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Average Burden Hrs. &amp; Cost</w:t>
            </w:r>
            <w:r>
              <w:rPr>
                <w:rFonts w:ascii="Times New Roman" w:hAnsi="Times New Roman" w:eastAsia="Times New Roman" w:cs="Times New Roman"/>
                <w:b/>
                <w:sz w:val="26"/>
                <w:szCs w:val="26"/>
              </w:rPr>
              <w:t>)</w:t>
            </w:r>
            <w:r>
              <w:rPr>
                <w:rFonts w:ascii="Times New Roman" w:hAnsi="Times New Roman" w:eastAsia="Calibri" w:cs="Times New Roman"/>
                <w:b/>
                <w:sz w:val="26"/>
                <w:szCs w:val="26"/>
              </w:rPr>
              <w:t xml:space="preserve"> ($) Per Response</w:t>
            </w:r>
          </w:p>
          <w:p w:rsidR="003E7E96" w:rsidRDefault="00442912" w14:paraId="7912F273"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(4)</w:t>
            </w:r>
          </w:p>
        </w:tc>
        <w:tc>
          <w:tcPr>
            <w:tcW w:w="832" w:type="pct"/>
            <w:shd w:val="clear" w:color="auto" w:fill="D9D9D9"/>
            <w:vAlign w:val="bottom"/>
          </w:tcPr>
          <w:p w:rsidR="003E7E96" w:rsidRDefault="00442912" w14:paraId="66EC1D23"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Total Annual Burden Hours &amp; Cost ($) (rounded)</w:t>
            </w:r>
          </w:p>
          <w:p w:rsidR="003E7E96" w:rsidRDefault="00442912" w14:paraId="0B26AF32"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(3)*(4)=(5)</w:t>
            </w:r>
          </w:p>
        </w:tc>
        <w:tc>
          <w:tcPr>
            <w:tcW w:w="708" w:type="pct"/>
            <w:shd w:val="clear" w:color="auto" w:fill="D9D9D9"/>
            <w:vAlign w:val="bottom"/>
          </w:tcPr>
          <w:p w:rsidR="003E7E96" w:rsidRDefault="00442912" w14:paraId="661BBEB8"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Cost per Respondent</w:t>
            </w:r>
          </w:p>
          <w:p w:rsidR="003E7E96" w:rsidRDefault="00442912" w14:paraId="51708377"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 xml:space="preserve"> ($)</w:t>
            </w:r>
          </w:p>
          <w:p w:rsidR="003E7E96" w:rsidRDefault="00442912" w14:paraId="64705846"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(5)÷(1)</w:t>
            </w:r>
          </w:p>
        </w:tc>
      </w:tr>
      <w:tr w:rsidR="003E7E96" w:rsidTr="00251F29" w14:paraId="7E7452FC" w14:textId="77777777">
        <w:trPr>
          <w:cantSplit/>
        </w:trPr>
        <w:tc>
          <w:tcPr>
            <w:tcW w:w="544" w:type="pct"/>
            <w:vAlign w:val="center"/>
          </w:tcPr>
          <w:p w:rsidRPr="00251F29" w:rsidR="003E7E96" w:rsidRDefault="00442912" w14:paraId="63FB5E70" w14:textId="77777777">
            <w:pPr>
              <w:autoSpaceDE w:val="0"/>
              <w:autoSpaceDN w:val="0"/>
              <w:adjustRightInd w:val="0"/>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lastRenderedPageBreak/>
              <w:t xml:space="preserve">GO </w:t>
            </w:r>
            <w:r w:rsidRPr="00251F29">
              <w:rPr>
                <w:rStyle w:val="FootnoteReference"/>
                <w:rFonts w:ascii="Times New Roman" w:hAnsi="Times New Roman" w:eastAsia="Times New Roman" w:cs="Times New Roman"/>
                <w:vertAlign w:val="superscript"/>
              </w:rPr>
              <w:footnoteReference w:id="11"/>
            </w:r>
          </w:p>
        </w:tc>
        <w:tc>
          <w:tcPr>
            <w:tcW w:w="790" w:type="pct"/>
            <w:vAlign w:val="center"/>
          </w:tcPr>
          <w:p w:rsidR="003E7E96" w:rsidRDefault="00442912" w14:paraId="3D62CB39"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969</w:t>
            </w:r>
          </w:p>
        </w:tc>
        <w:tc>
          <w:tcPr>
            <w:tcW w:w="835" w:type="pct"/>
            <w:vAlign w:val="center"/>
          </w:tcPr>
          <w:p w:rsidR="003E7E96" w:rsidRDefault="00442912" w14:paraId="121B3010"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666" w:type="pct"/>
            <w:vAlign w:val="center"/>
          </w:tcPr>
          <w:p w:rsidR="003E7E96" w:rsidRDefault="00442912" w14:paraId="380F8DEF"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969</w:t>
            </w:r>
          </w:p>
        </w:tc>
        <w:tc>
          <w:tcPr>
            <w:tcW w:w="625" w:type="pct"/>
            <w:vAlign w:val="center"/>
          </w:tcPr>
          <w:p w:rsidR="003E7E96" w:rsidRDefault="00442912" w14:paraId="47C4E589"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  $3,200</w:t>
            </w:r>
          </w:p>
        </w:tc>
        <w:tc>
          <w:tcPr>
            <w:tcW w:w="832" w:type="pct"/>
            <w:vAlign w:val="center"/>
          </w:tcPr>
          <w:p w:rsidR="003E7E96" w:rsidRDefault="00442912" w14:paraId="67A69F32"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38,760 hours; $3,100,800</w:t>
            </w:r>
          </w:p>
        </w:tc>
        <w:tc>
          <w:tcPr>
            <w:tcW w:w="708" w:type="pct"/>
          </w:tcPr>
          <w:p w:rsidR="003E7E96" w:rsidRDefault="00442912" w14:paraId="7E36269D"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$3,200</w:t>
            </w:r>
          </w:p>
        </w:tc>
      </w:tr>
      <w:tr w:rsidR="003E7E96" w:rsidTr="00251F29" w14:paraId="0D9656EF" w14:textId="77777777">
        <w:trPr>
          <w:cantSplit/>
        </w:trPr>
        <w:tc>
          <w:tcPr>
            <w:tcW w:w="544" w:type="pct"/>
            <w:vAlign w:val="center"/>
          </w:tcPr>
          <w:p w:rsidRPr="00251F29" w:rsidR="003E7E96" w:rsidRDefault="00442912" w14:paraId="4FA09AC9" w14:textId="77777777">
            <w:pPr>
              <w:autoSpaceDE w:val="0"/>
              <w:autoSpaceDN w:val="0"/>
              <w:adjustRightInd w:val="0"/>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t>PC</w:t>
            </w:r>
            <w:r w:rsidRPr="00251F29">
              <w:rPr>
                <w:rStyle w:val="FootnoteReference"/>
                <w:rFonts w:ascii="Times New Roman" w:hAnsi="Times New Roman" w:eastAsia="Times New Roman" w:cs="Times New Roman"/>
                <w:vertAlign w:val="superscript"/>
              </w:rPr>
              <w:footnoteReference w:id="12"/>
            </w:r>
            <w:r w:rsidRPr="00251F29">
              <w:rPr>
                <w:rFonts w:ascii="Times New Roman" w:hAnsi="Times New Roman" w:eastAsia="Times New Roman" w:cs="Times New Roman"/>
                <w:sz w:val="26"/>
                <w:szCs w:val="26"/>
                <w:vertAlign w:val="superscript"/>
              </w:rPr>
              <w:t xml:space="preserve"> </w:t>
            </w:r>
          </w:p>
        </w:tc>
        <w:tc>
          <w:tcPr>
            <w:tcW w:w="790" w:type="pct"/>
            <w:vAlign w:val="center"/>
          </w:tcPr>
          <w:p w:rsidR="003E7E96" w:rsidRDefault="00442912" w14:paraId="5F5EF9FE"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71</w:t>
            </w:r>
          </w:p>
        </w:tc>
        <w:tc>
          <w:tcPr>
            <w:tcW w:w="835" w:type="pct"/>
            <w:vAlign w:val="center"/>
          </w:tcPr>
          <w:p w:rsidR="003E7E96" w:rsidRDefault="00442912" w14:paraId="59A97178"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666" w:type="pct"/>
            <w:vAlign w:val="center"/>
          </w:tcPr>
          <w:p w:rsidR="003E7E96" w:rsidRDefault="00442912" w14:paraId="5472ED85"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71</w:t>
            </w:r>
          </w:p>
        </w:tc>
        <w:tc>
          <w:tcPr>
            <w:tcW w:w="625" w:type="pct"/>
            <w:vAlign w:val="center"/>
          </w:tcPr>
          <w:p w:rsidR="003E7E96" w:rsidRDefault="00442912" w14:paraId="580EFADB"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  $3,200</w:t>
            </w:r>
          </w:p>
        </w:tc>
        <w:tc>
          <w:tcPr>
            <w:tcW w:w="832" w:type="pct"/>
            <w:vAlign w:val="center"/>
          </w:tcPr>
          <w:p w:rsidR="003E7E96" w:rsidRDefault="00442912" w14:paraId="51BA80D8" w14:textId="623DD72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2,840 hours; $227,200</w:t>
            </w:r>
          </w:p>
        </w:tc>
        <w:tc>
          <w:tcPr>
            <w:tcW w:w="708" w:type="pct"/>
          </w:tcPr>
          <w:p w:rsidR="003E7E96" w:rsidRDefault="00442912" w14:paraId="7AEDBDC6"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$3,200</w:t>
            </w:r>
          </w:p>
        </w:tc>
      </w:tr>
      <w:tr w:rsidR="003E7E96" w:rsidTr="00251F29" w14:paraId="16C27365" w14:textId="77777777">
        <w:trPr>
          <w:cantSplit/>
        </w:trPr>
        <w:tc>
          <w:tcPr>
            <w:tcW w:w="544" w:type="pct"/>
            <w:vAlign w:val="center"/>
          </w:tcPr>
          <w:p w:rsidRPr="00251F29" w:rsidR="003E7E96" w:rsidRDefault="00442912" w14:paraId="5B91C7FE" w14:textId="77777777">
            <w:pPr>
              <w:autoSpaceDE w:val="0"/>
              <w:autoSpaceDN w:val="0"/>
              <w:adjustRightInd w:val="0"/>
              <w:spacing w:after="0" w:line="240" w:lineRule="auto"/>
              <w:rPr>
                <w:rFonts w:ascii="Times New Roman" w:hAnsi="Times New Roman" w:cs="Times New Roman"/>
                <w:sz w:val="26"/>
                <w:szCs w:val="26"/>
              </w:rPr>
            </w:pPr>
            <w:r>
              <w:rPr>
                <w:rFonts w:ascii="Times New Roman" w:hAnsi="Times New Roman" w:eastAsia="Times New Roman" w:cs="Times New Roman"/>
                <w:sz w:val="26"/>
                <w:szCs w:val="26"/>
              </w:rPr>
              <w:t>DP</w:t>
            </w:r>
            <w:r w:rsidRPr="00251F29">
              <w:rPr>
                <w:rStyle w:val="FootnoteReference"/>
                <w:rFonts w:ascii="Times New Roman" w:hAnsi="Times New Roman" w:eastAsia="Times New Roman" w:cs="Times New Roman"/>
                <w:vertAlign w:val="superscript"/>
              </w:rPr>
              <w:footnoteReference w:id="13"/>
            </w:r>
            <w:r w:rsidRPr="00251F29">
              <w:rPr>
                <w:rFonts w:ascii="Times New Roman" w:hAnsi="Times New Roman" w:eastAsia="Times New Roman" w:cs="Times New Roman"/>
                <w:sz w:val="26"/>
                <w:szCs w:val="26"/>
                <w:vertAlign w:val="superscript"/>
              </w:rPr>
              <w:t xml:space="preserve"> </w:t>
            </w:r>
          </w:p>
        </w:tc>
        <w:tc>
          <w:tcPr>
            <w:tcW w:w="790" w:type="pct"/>
            <w:vAlign w:val="center"/>
          </w:tcPr>
          <w:p w:rsidR="003E7E96" w:rsidRDefault="00442912" w14:paraId="02B24BD2"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318</w:t>
            </w:r>
          </w:p>
        </w:tc>
        <w:tc>
          <w:tcPr>
            <w:tcW w:w="835" w:type="pct"/>
            <w:vAlign w:val="center"/>
          </w:tcPr>
          <w:p w:rsidR="003E7E96" w:rsidRDefault="00442912" w14:paraId="0D136406"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666" w:type="pct"/>
            <w:vAlign w:val="center"/>
          </w:tcPr>
          <w:p w:rsidR="003E7E96" w:rsidRDefault="00442912" w14:paraId="3BF0FE84"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318</w:t>
            </w:r>
          </w:p>
        </w:tc>
        <w:tc>
          <w:tcPr>
            <w:tcW w:w="625" w:type="pct"/>
            <w:vAlign w:val="center"/>
          </w:tcPr>
          <w:p w:rsidR="003E7E96" w:rsidRDefault="00442912" w14:paraId="2760F19A"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 &amp; $3,200</w:t>
            </w:r>
          </w:p>
        </w:tc>
        <w:tc>
          <w:tcPr>
            <w:tcW w:w="832" w:type="pct"/>
            <w:vAlign w:val="center"/>
          </w:tcPr>
          <w:p w:rsidR="003E7E96" w:rsidRDefault="00442912" w14:paraId="4D215B77"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12,720 hours; $1,017,600</w:t>
            </w:r>
          </w:p>
        </w:tc>
        <w:tc>
          <w:tcPr>
            <w:tcW w:w="708" w:type="pct"/>
          </w:tcPr>
          <w:p w:rsidR="003E7E96" w:rsidRDefault="00442912" w14:paraId="13BEB8C1"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$3,200</w:t>
            </w:r>
          </w:p>
        </w:tc>
      </w:tr>
      <w:tr w:rsidR="003E7E96" w:rsidTr="00251F29" w14:paraId="5B6C1DB6" w14:textId="77777777">
        <w:trPr>
          <w:cantSplit/>
        </w:trPr>
        <w:tc>
          <w:tcPr>
            <w:tcW w:w="544" w:type="pct"/>
            <w:vAlign w:val="center"/>
          </w:tcPr>
          <w:p w:rsidR="003E7E96" w:rsidRDefault="00442912" w14:paraId="3CD1B4C5" w14:textId="77777777">
            <w:pPr>
              <w:autoSpaceDE w:val="0"/>
              <w:autoSpaceDN w:val="0"/>
              <w:adjustRightInd w:val="0"/>
              <w:spacing w:after="0" w:line="240" w:lineRule="auto"/>
              <w:rPr>
                <w:rFonts w:ascii="Times New Roman" w:hAnsi="Times New Roman" w:eastAsia="Times New Roman" w:cs="Times New Roman"/>
                <w:sz w:val="26"/>
                <w:szCs w:val="24"/>
              </w:rPr>
            </w:pPr>
            <w:r>
              <w:rPr>
                <w:rFonts w:ascii="Times New Roman" w:hAnsi="Times New Roman" w:eastAsia="Times New Roman" w:cs="Times New Roman"/>
                <w:sz w:val="26"/>
                <w:szCs w:val="24"/>
              </w:rPr>
              <w:t>TO</w:t>
            </w:r>
            <w:r w:rsidRPr="00251F29">
              <w:rPr>
                <w:rStyle w:val="FootnoteReference"/>
                <w:rFonts w:ascii="Times New Roman" w:hAnsi="Times New Roman" w:eastAsia="Times New Roman" w:cs="Times New Roman"/>
                <w:vertAlign w:val="superscript"/>
              </w:rPr>
              <w:footnoteReference w:id="14"/>
            </w:r>
          </w:p>
        </w:tc>
        <w:tc>
          <w:tcPr>
            <w:tcW w:w="790" w:type="pct"/>
            <w:vAlign w:val="center"/>
          </w:tcPr>
          <w:p w:rsidR="003E7E96" w:rsidRDefault="00442912" w14:paraId="5410C38E" w14:textId="77777777">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321</w:t>
            </w:r>
          </w:p>
        </w:tc>
        <w:tc>
          <w:tcPr>
            <w:tcW w:w="835" w:type="pct"/>
            <w:vAlign w:val="center"/>
          </w:tcPr>
          <w:p w:rsidR="003E7E96" w:rsidRDefault="00442912" w14:paraId="222AFE32" w14:textId="77777777">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1</w:t>
            </w:r>
          </w:p>
        </w:tc>
        <w:tc>
          <w:tcPr>
            <w:tcW w:w="666" w:type="pct"/>
            <w:vAlign w:val="center"/>
          </w:tcPr>
          <w:p w:rsidR="003E7E96" w:rsidRDefault="00442912" w14:paraId="6666954F" w14:textId="77777777">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321</w:t>
            </w:r>
          </w:p>
        </w:tc>
        <w:tc>
          <w:tcPr>
            <w:tcW w:w="625" w:type="pct"/>
            <w:vAlign w:val="center"/>
          </w:tcPr>
          <w:p w:rsidR="003E7E96" w:rsidRDefault="00442912" w14:paraId="087AED0A" w14:textId="77777777">
            <w:pPr>
              <w:spacing w:after="0" w:line="240" w:lineRule="auto"/>
              <w:jc w:val="right"/>
              <w:rPr>
                <w:rFonts w:ascii="Times New Roman" w:hAnsi="Times New Roman" w:eastAsia="Times New Roman" w:cs="Times New Roman"/>
                <w:sz w:val="26"/>
                <w:szCs w:val="24"/>
              </w:rPr>
            </w:pPr>
            <w:r>
              <w:rPr>
                <w:rFonts w:ascii="Times New Roman" w:hAnsi="Times New Roman" w:eastAsia="Calibri" w:cs="Times New Roman"/>
                <w:sz w:val="26"/>
                <w:szCs w:val="26"/>
              </w:rPr>
              <w:t>40 hours &amp; $3,200</w:t>
            </w:r>
          </w:p>
        </w:tc>
        <w:tc>
          <w:tcPr>
            <w:tcW w:w="832" w:type="pct"/>
            <w:vAlign w:val="center"/>
          </w:tcPr>
          <w:p w:rsidR="003E7E96" w:rsidRDefault="00442912" w14:paraId="6EE45D57" w14:textId="77777777">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12,840 hours; $1,027,200</w:t>
            </w:r>
          </w:p>
        </w:tc>
        <w:tc>
          <w:tcPr>
            <w:tcW w:w="708" w:type="pct"/>
          </w:tcPr>
          <w:p w:rsidR="003E7E96" w:rsidRDefault="00442912" w14:paraId="49DDC219"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$3,200</w:t>
            </w:r>
          </w:p>
        </w:tc>
      </w:tr>
      <w:tr w:rsidR="003E7E96" w14:paraId="55D3E184" w14:textId="77777777">
        <w:trPr>
          <w:cantSplit/>
          <w:trHeight w:val="485"/>
        </w:trPr>
        <w:tc>
          <w:tcPr>
            <w:tcW w:w="544" w:type="pct"/>
            <w:tcBorders>
              <w:bottom w:val="single" w:color="auto" w:sz="4" w:space="0"/>
            </w:tcBorders>
          </w:tcPr>
          <w:p w:rsidR="003E7E96" w:rsidRDefault="00442912" w14:paraId="5DBCA6C8" w14:textId="77777777">
            <w:pPr>
              <w:spacing w:after="0" w:line="240" w:lineRule="auto"/>
              <w:rPr>
                <w:rFonts w:ascii="Times New Roman" w:hAnsi="Times New Roman" w:eastAsia="Calibri" w:cs="Times New Roman"/>
                <w:b/>
                <w:sz w:val="26"/>
                <w:szCs w:val="26"/>
              </w:rPr>
            </w:pPr>
            <w:r>
              <w:rPr>
                <w:rFonts w:ascii="Times New Roman" w:hAnsi="Times New Roman" w:eastAsia="Calibri" w:cs="Times New Roman"/>
                <w:b/>
                <w:sz w:val="26"/>
                <w:szCs w:val="26"/>
              </w:rPr>
              <w:t>TOTAL</w:t>
            </w:r>
          </w:p>
        </w:tc>
        <w:tc>
          <w:tcPr>
            <w:tcW w:w="1625" w:type="pct"/>
            <w:gridSpan w:val="2"/>
            <w:tcBorders>
              <w:bottom w:val="single" w:color="auto" w:sz="4" w:space="0"/>
            </w:tcBorders>
            <w:shd w:val="clear" w:color="auto" w:fill="D9D9D9"/>
          </w:tcPr>
          <w:p w:rsidR="003E7E96" w:rsidRDefault="003E7E96" w14:paraId="2957346E" w14:textId="77777777">
            <w:pPr>
              <w:spacing w:after="0" w:line="240" w:lineRule="auto"/>
              <w:jc w:val="right"/>
              <w:rPr>
                <w:rFonts w:ascii="Times New Roman" w:hAnsi="Times New Roman" w:eastAsia="Calibri" w:cs="Times New Roman"/>
                <w:sz w:val="20"/>
                <w:szCs w:val="20"/>
              </w:rPr>
            </w:pPr>
          </w:p>
        </w:tc>
        <w:tc>
          <w:tcPr>
            <w:tcW w:w="666" w:type="pct"/>
            <w:tcBorders>
              <w:bottom w:val="single" w:color="auto" w:sz="4" w:space="0"/>
            </w:tcBorders>
            <w:shd w:val="clear" w:color="auto" w:fill="auto"/>
          </w:tcPr>
          <w:p w:rsidR="003E7E96" w:rsidRDefault="00442912" w14:paraId="11831769" w14:textId="77777777">
            <w:pPr>
              <w:spacing w:after="0" w:line="240" w:lineRule="auto"/>
              <w:jc w:val="right"/>
              <w:rPr>
                <w:rFonts w:ascii="Times New Roman" w:hAnsi="Times New Roman" w:eastAsia="Calibri" w:cs="Times New Roman"/>
                <w:b/>
                <w:sz w:val="26"/>
                <w:szCs w:val="26"/>
              </w:rPr>
            </w:pPr>
            <w:r>
              <w:rPr>
                <w:rFonts w:ascii="Times New Roman" w:hAnsi="Times New Roman" w:eastAsia="Calibri" w:cs="Times New Roman"/>
                <w:b/>
                <w:sz w:val="26"/>
                <w:szCs w:val="26"/>
              </w:rPr>
              <w:t>1,679</w:t>
            </w:r>
          </w:p>
        </w:tc>
        <w:tc>
          <w:tcPr>
            <w:tcW w:w="625" w:type="pct"/>
            <w:tcBorders>
              <w:bottom w:val="single" w:color="auto" w:sz="4" w:space="0"/>
            </w:tcBorders>
            <w:shd w:val="clear" w:color="auto" w:fill="D9D9D9"/>
          </w:tcPr>
          <w:p w:rsidR="003E7E96" w:rsidRDefault="003E7E96" w14:paraId="6D25DA81" w14:textId="77777777">
            <w:pPr>
              <w:spacing w:after="0" w:line="240" w:lineRule="auto"/>
              <w:jc w:val="right"/>
              <w:rPr>
                <w:rFonts w:ascii="Times New Roman" w:hAnsi="Times New Roman" w:eastAsia="Calibri" w:cs="Times New Roman"/>
                <w:sz w:val="26"/>
                <w:szCs w:val="26"/>
              </w:rPr>
            </w:pPr>
          </w:p>
        </w:tc>
        <w:tc>
          <w:tcPr>
            <w:tcW w:w="832" w:type="pct"/>
            <w:tcBorders>
              <w:bottom w:val="single" w:color="auto" w:sz="4" w:space="0"/>
            </w:tcBorders>
          </w:tcPr>
          <w:p w:rsidR="003E7E96" w:rsidRDefault="00442912" w14:paraId="603C6C04" w14:textId="77777777">
            <w:pPr>
              <w:spacing w:after="0" w:line="240" w:lineRule="auto"/>
              <w:jc w:val="right"/>
              <w:rPr>
                <w:rFonts w:ascii="Times New Roman" w:hAnsi="Times New Roman" w:eastAsia="Calibri" w:cs="Times New Roman"/>
                <w:b/>
                <w:sz w:val="26"/>
                <w:szCs w:val="26"/>
              </w:rPr>
            </w:pPr>
            <w:r>
              <w:rPr>
                <w:rFonts w:ascii="Times New Roman" w:hAnsi="Times New Roman" w:eastAsia="Calibri" w:cs="Times New Roman"/>
                <w:b/>
                <w:sz w:val="26"/>
                <w:szCs w:val="26"/>
              </w:rPr>
              <w:t>67,160 hours;</w:t>
            </w:r>
          </w:p>
          <w:p w:rsidR="003E7E96" w:rsidRDefault="00442912" w14:paraId="0908B7B0" w14:textId="77777777">
            <w:pPr>
              <w:spacing w:after="0" w:line="240" w:lineRule="auto"/>
              <w:jc w:val="right"/>
              <w:rPr>
                <w:rFonts w:ascii="Times New Roman" w:hAnsi="Times New Roman" w:eastAsia="Calibri" w:cs="Times New Roman"/>
                <w:b/>
                <w:sz w:val="26"/>
                <w:szCs w:val="26"/>
              </w:rPr>
            </w:pPr>
            <w:r>
              <w:rPr>
                <w:rFonts w:ascii="Times New Roman" w:hAnsi="Times New Roman" w:eastAsia="Calibri" w:cs="Times New Roman"/>
                <w:b/>
                <w:sz w:val="26"/>
                <w:szCs w:val="26"/>
              </w:rPr>
              <w:t>$5,372,800</w:t>
            </w:r>
          </w:p>
        </w:tc>
        <w:tc>
          <w:tcPr>
            <w:tcW w:w="708" w:type="pct"/>
            <w:tcBorders>
              <w:bottom w:val="single" w:color="auto" w:sz="4" w:space="0"/>
            </w:tcBorders>
            <w:shd w:val="clear" w:color="auto" w:fill="D9D9D9"/>
          </w:tcPr>
          <w:p w:rsidR="003E7E96" w:rsidRDefault="003E7E96" w14:paraId="2E7B936F" w14:textId="77777777">
            <w:pPr>
              <w:spacing w:after="0" w:line="240" w:lineRule="auto"/>
              <w:jc w:val="right"/>
              <w:rPr>
                <w:rFonts w:ascii="Times New Roman" w:hAnsi="Times New Roman" w:eastAsia="Calibri" w:cs="Times New Roman"/>
                <w:b/>
                <w:sz w:val="20"/>
                <w:szCs w:val="20"/>
              </w:rPr>
            </w:pPr>
          </w:p>
        </w:tc>
      </w:tr>
    </w:tbl>
    <w:p w:rsidR="003E7E96" w:rsidRDefault="003E7E96" w14:paraId="3C7F56C6" w14:textId="77777777">
      <w:pPr>
        <w:pStyle w:val="ListParagraph"/>
        <w:spacing w:after="0" w:line="240" w:lineRule="auto"/>
        <w:rPr>
          <w:rFonts w:ascii="Times New Roman" w:hAnsi="Times New Roman" w:eastAsia="Calibri" w:cs="Times New Roman"/>
          <w:sz w:val="26"/>
          <w:szCs w:val="26"/>
        </w:rPr>
      </w:pPr>
      <w:bookmarkStart w:name="_Hlk32486049" w:id="1"/>
    </w:p>
    <w:bookmarkEnd w:id="1"/>
    <w:p w:rsidR="003E7E96" w:rsidRDefault="00442912" w14:paraId="7C30D141"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ESTIMATE OF THE TOTAL ANNUAL COST BURDEN TO RESPONDENTS</w:t>
      </w:r>
    </w:p>
    <w:p w:rsidR="003E7E96" w:rsidRDefault="003E7E96" w14:paraId="77D896F5" w14:textId="77777777">
      <w:pPr>
        <w:spacing w:after="0" w:line="240" w:lineRule="auto"/>
        <w:rPr>
          <w:rFonts w:ascii="Times New Roman" w:hAnsi="Times New Roman" w:eastAsia="Calibri" w:cs="Times New Roman"/>
          <w:sz w:val="26"/>
          <w:szCs w:val="26"/>
        </w:rPr>
      </w:pPr>
    </w:p>
    <w:p w:rsidR="003E7E96" w:rsidRDefault="00442912" w14:paraId="4B242805"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There are no non-labor costs associated with the FERC-725N.  All of the PRA-related costs due to this Final Rule in RD20-3-000 are associated with burden hours (labor) and described in Questions #12 and 15.</w:t>
      </w:r>
    </w:p>
    <w:p w:rsidR="003E7E96" w:rsidRDefault="003E7E96" w14:paraId="45201AC3" w14:textId="77777777">
      <w:pPr>
        <w:spacing w:after="0" w:line="240" w:lineRule="auto"/>
        <w:rPr>
          <w:rFonts w:ascii="Times New Roman" w:hAnsi="Times New Roman" w:eastAsia="Calibri" w:cs="Times New Roman"/>
          <w:sz w:val="26"/>
          <w:szCs w:val="26"/>
        </w:rPr>
      </w:pPr>
    </w:p>
    <w:p w:rsidR="003E7E96" w:rsidRDefault="00442912" w14:paraId="7BAF8799"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ESTIMATED ANNUALIZED COST TO FEDERAL GOVERNMENT</w:t>
      </w:r>
    </w:p>
    <w:p w:rsidR="003E7E96" w:rsidRDefault="003E7E96" w14:paraId="17F1F3D8" w14:textId="77777777">
      <w:pPr>
        <w:spacing w:after="0" w:line="240" w:lineRule="auto"/>
        <w:rPr>
          <w:rFonts w:ascii="Times New Roman" w:hAnsi="Times New Roman" w:eastAsia="Calibri" w:cs="Times New Roman"/>
          <w:sz w:val="26"/>
          <w:szCs w:val="26"/>
        </w:rPr>
      </w:pPr>
    </w:p>
    <w:p w:rsidR="003E7E96" w:rsidRDefault="00442912" w14:paraId="3824514D"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The Regional Entities and NERC do most of the data processing, monitoring and compliance work for Reliability Standards.  Any related involvement by the Commission is covered under the FERC-725 collection (OMB Control No. 1902-0225) and is not part of this request or package.  </w:t>
      </w:r>
    </w:p>
    <w:p w:rsidR="003E7E96" w:rsidRDefault="003E7E96" w14:paraId="644FDAC6" w14:textId="77777777">
      <w:pPr>
        <w:spacing w:after="0" w:line="240" w:lineRule="auto"/>
        <w:rPr>
          <w:rFonts w:ascii="Times New Roman" w:hAnsi="Times New Roman" w:eastAsia="Times New Roman" w:cs="Times New Roman"/>
          <w:sz w:val="26"/>
          <w:szCs w:val="26"/>
        </w:rPr>
      </w:pPr>
    </w:p>
    <w:p w:rsidR="003E7E96" w:rsidRDefault="00442912" w14:paraId="6688DC08" w14:textId="77777777">
      <w:pPr>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E7E96" w:rsidRDefault="003E7E96" w14:paraId="2B6E13A5" w14:textId="77777777">
      <w:pPr>
        <w:spacing w:after="0" w:line="276" w:lineRule="auto"/>
        <w:rPr>
          <w:rFonts w:ascii="Times New Roman" w:hAnsi="Times New Roman" w:eastAsia="Times New Roman" w:cs="Times New Roman"/>
          <w:sz w:val="26"/>
          <w:szCs w:val="2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2965"/>
      </w:tblGrid>
      <w:tr w:rsidR="003E7E96" w14:paraId="7F1F4119" w14:textId="77777777">
        <w:tc>
          <w:tcPr>
            <w:tcW w:w="2938" w:type="dxa"/>
            <w:shd w:val="clear" w:color="auto" w:fill="CCCCCC"/>
            <w:vAlign w:val="bottom"/>
          </w:tcPr>
          <w:p w:rsidR="003E7E96" w:rsidRDefault="00442912" w14:paraId="38F47AA2"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FERC-725N</w:t>
            </w:r>
          </w:p>
        </w:tc>
        <w:tc>
          <w:tcPr>
            <w:tcW w:w="2953" w:type="dxa"/>
            <w:shd w:val="clear" w:color="auto" w:fill="CCCCCC"/>
            <w:vAlign w:val="bottom"/>
          </w:tcPr>
          <w:p w:rsidR="003E7E96" w:rsidRDefault="00442912" w14:paraId="16115C97"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Number of Employees (Full-Time Equivalents [FTEs])</w:t>
            </w:r>
          </w:p>
        </w:tc>
        <w:tc>
          <w:tcPr>
            <w:tcW w:w="2965" w:type="dxa"/>
            <w:shd w:val="clear" w:color="auto" w:fill="CCCCCC"/>
            <w:vAlign w:val="bottom"/>
          </w:tcPr>
          <w:p w:rsidR="003E7E96" w:rsidRDefault="00442912" w14:paraId="3319C820" w14:textId="77777777">
            <w:pPr>
              <w:widowControl w:val="0"/>
              <w:autoSpaceDE w:val="0"/>
              <w:autoSpaceDN w:val="0"/>
              <w:adjustRightInd w:val="0"/>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Estimated Annual Federal Cost</w:t>
            </w:r>
          </w:p>
        </w:tc>
      </w:tr>
      <w:tr w:rsidR="003E7E96" w14:paraId="3C0BE7BA" w14:textId="77777777">
        <w:tc>
          <w:tcPr>
            <w:tcW w:w="2938" w:type="dxa"/>
            <w:shd w:val="clear" w:color="auto" w:fill="auto"/>
          </w:tcPr>
          <w:p w:rsidR="003E7E96" w:rsidRDefault="00442912" w14:paraId="6D11553D" w14:textId="79738213">
            <w:pPr>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6"/>
                <w:szCs w:val="26"/>
              </w:rPr>
              <w:t xml:space="preserve">FERC-725N, Analysis and Processing of </w:t>
            </w:r>
            <w:r>
              <w:rPr>
                <w:rFonts w:ascii="Times New Roman" w:hAnsi="Times New Roman" w:eastAsia="Times New Roman" w:cs="Times New Roman"/>
                <w:bCs/>
                <w:sz w:val="26"/>
                <w:szCs w:val="26"/>
              </w:rPr>
              <w:t>filings</w:t>
            </w:r>
          </w:p>
        </w:tc>
        <w:tc>
          <w:tcPr>
            <w:tcW w:w="2953" w:type="dxa"/>
            <w:shd w:val="clear" w:color="auto" w:fill="auto"/>
            <w:vAlign w:val="bottom"/>
          </w:tcPr>
          <w:p w:rsidR="003E7E96" w:rsidRDefault="00442912" w14:paraId="4CFFFA6C"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highlight w:val="yellow"/>
              </w:rPr>
            </w:pPr>
            <w:r>
              <w:rPr>
                <w:rFonts w:ascii="Times New Roman" w:hAnsi="Times New Roman" w:eastAsia="Times New Roman" w:cs="Times New Roman"/>
                <w:sz w:val="26"/>
                <w:szCs w:val="26"/>
              </w:rPr>
              <w:t>0</w:t>
            </w:r>
          </w:p>
        </w:tc>
        <w:tc>
          <w:tcPr>
            <w:tcW w:w="2965" w:type="dxa"/>
            <w:shd w:val="clear" w:color="auto" w:fill="auto"/>
            <w:vAlign w:val="bottom"/>
          </w:tcPr>
          <w:p w:rsidR="003E7E96" w:rsidRDefault="00442912" w14:paraId="1336E56B"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highlight w:val="yellow"/>
              </w:rPr>
            </w:pPr>
            <w:r>
              <w:rPr>
                <w:rFonts w:ascii="Times New Roman" w:hAnsi="Times New Roman" w:eastAsia="Times New Roman" w:cs="Times New Roman"/>
                <w:sz w:val="26"/>
                <w:szCs w:val="26"/>
              </w:rPr>
              <w:t>0</w:t>
            </w:r>
          </w:p>
        </w:tc>
      </w:tr>
      <w:tr w:rsidR="003E7E96" w14:paraId="3110CAAF" w14:textId="77777777">
        <w:tc>
          <w:tcPr>
            <w:tcW w:w="2938" w:type="dxa"/>
            <w:shd w:val="clear" w:color="auto" w:fill="auto"/>
          </w:tcPr>
          <w:p w:rsidR="003E7E96" w:rsidRDefault="00442912" w14:paraId="2FC5AAB4" w14:textId="77777777">
            <w:pPr>
              <w:spacing w:after="0" w:line="240" w:lineRule="auto"/>
              <w:rPr>
                <w:rFonts w:ascii="Times New Roman" w:hAnsi="Times New Roman" w:eastAsia="Calibri" w:cs="Times New Roman"/>
                <w:sz w:val="24"/>
                <w:szCs w:val="24"/>
              </w:rPr>
            </w:pPr>
            <w:r>
              <w:rPr>
                <w:rFonts w:ascii="Times New Roman" w:hAnsi="Times New Roman" w:eastAsia="Times New Roman" w:cs="Times New Roman"/>
                <w:sz w:val="26"/>
                <w:szCs w:val="26"/>
              </w:rPr>
              <w:lastRenderedPageBreak/>
              <w:t xml:space="preserve">PRA Administrative Cost </w:t>
            </w:r>
            <w:r>
              <w:rPr>
                <w:rFonts w:ascii="Times New Roman" w:hAnsi="Times New Roman" w:eastAsia="Times New Roman" w:cs="Times New Roman"/>
                <w:sz w:val="26"/>
                <w:szCs w:val="24"/>
                <w:vertAlign w:val="superscript"/>
              </w:rPr>
              <w:footnoteReference w:id="15"/>
            </w:r>
          </w:p>
        </w:tc>
        <w:tc>
          <w:tcPr>
            <w:tcW w:w="2953" w:type="dxa"/>
            <w:shd w:val="clear" w:color="auto" w:fill="auto"/>
            <w:vAlign w:val="bottom"/>
          </w:tcPr>
          <w:p w:rsidR="003E7E96" w:rsidRDefault="00442912" w14:paraId="4D3296F4"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w:t>
            </w:r>
          </w:p>
        </w:tc>
        <w:tc>
          <w:tcPr>
            <w:tcW w:w="2965" w:type="dxa"/>
            <w:shd w:val="clear" w:color="auto" w:fill="auto"/>
            <w:vAlign w:val="bottom"/>
          </w:tcPr>
          <w:p w:rsidR="003E7E96" w:rsidRDefault="00442912" w14:paraId="28D5E722"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$4,832</w:t>
            </w:r>
          </w:p>
        </w:tc>
      </w:tr>
      <w:tr w:rsidR="003E7E96" w14:paraId="698D8E4D" w14:textId="77777777">
        <w:tc>
          <w:tcPr>
            <w:tcW w:w="2938" w:type="dxa"/>
            <w:shd w:val="clear" w:color="auto" w:fill="auto"/>
          </w:tcPr>
          <w:p w:rsidR="003E7E96" w:rsidRDefault="00442912" w14:paraId="6C3C726A"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FERC Total</w:t>
            </w:r>
          </w:p>
        </w:tc>
        <w:tc>
          <w:tcPr>
            <w:tcW w:w="2953" w:type="dxa"/>
            <w:tcBorders>
              <w:bottom w:val="single" w:color="auto" w:sz="4" w:space="0"/>
            </w:tcBorders>
            <w:shd w:val="clear" w:color="auto" w:fill="BFBFBF"/>
            <w:vAlign w:val="bottom"/>
          </w:tcPr>
          <w:p w:rsidR="003E7E96" w:rsidRDefault="003E7E96" w14:paraId="65FE3A5A"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p>
        </w:tc>
        <w:tc>
          <w:tcPr>
            <w:tcW w:w="2965" w:type="dxa"/>
            <w:shd w:val="clear" w:color="auto" w:fill="auto"/>
            <w:vAlign w:val="bottom"/>
          </w:tcPr>
          <w:p w:rsidR="003E7E96" w:rsidRDefault="00442912" w14:paraId="6511739F" w14:textId="77777777">
            <w:pPr>
              <w:widowControl w:val="0"/>
              <w:autoSpaceDE w:val="0"/>
              <w:autoSpaceDN w:val="0"/>
              <w:adjustRightInd w:val="0"/>
              <w:spacing w:after="0" w:line="240"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$4,832</w:t>
            </w:r>
          </w:p>
        </w:tc>
      </w:tr>
    </w:tbl>
    <w:p w:rsidR="003E7E96" w:rsidRDefault="003E7E96" w14:paraId="7698FD41" w14:textId="77777777">
      <w:pPr>
        <w:spacing w:after="0" w:line="240" w:lineRule="auto"/>
        <w:rPr>
          <w:rFonts w:ascii="Times New Roman" w:hAnsi="Times New Roman" w:eastAsia="Calibri" w:cs="Times New Roman"/>
          <w:sz w:val="26"/>
          <w:szCs w:val="26"/>
        </w:rPr>
      </w:pPr>
    </w:p>
    <w:p w:rsidR="003E7E96" w:rsidRDefault="00442912" w14:paraId="6638AC49"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 xml:space="preserve">REASONS FOR CHANGES IN BURDEN INCLUDING THE NEED FOR ANY INCREASE </w:t>
      </w:r>
    </w:p>
    <w:p w:rsidR="003E7E96" w:rsidRDefault="003E7E96" w14:paraId="27364829" w14:textId="77777777">
      <w:pPr>
        <w:spacing w:after="0" w:line="240" w:lineRule="auto"/>
        <w:rPr>
          <w:rFonts w:ascii="Times New Roman" w:hAnsi="Times New Roman" w:eastAsia="Calibri" w:cs="Times New Roman"/>
          <w:sz w:val="26"/>
          <w:szCs w:val="26"/>
          <w:u w:val="single"/>
        </w:rPr>
      </w:pPr>
    </w:p>
    <w:p w:rsidRPr="00251F29" w:rsidR="003E7E96" w:rsidP="00251F29" w:rsidRDefault="00442912" w14:paraId="3286F4AA" w14:textId="7B1185CD">
      <w:pPr>
        <w:spacing w:after="0" w:line="240" w:lineRule="auto"/>
        <w:rPr>
          <w:rFonts w:ascii="Times New Roman" w:hAnsi="Times New Roman" w:eastAsia="Calibri" w:cs="Times New Roman"/>
          <w:sz w:val="26"/>
          <w:szCs w:val="26"/>
        </w:rPr>
      </w:pPr>
      <w:bookmarkStart w:name="_Hlk32487392" w:id="2"/>
      <w:r>
        <w:rPr>
          <w:rFonts w:ascii="Times New Roman" w:hAnsi="Times New Roman" w:cs="Times New Roman"/>
          <w:sz w:val="26"/>
          <w:szCs w:val="26"/>
        </w:rPr>
        <w:t>In the Delegated Order RD20-3-000, the Commission approved Reliability Standard TPL-007-04.  The Commission estimates an increase in burden to TPL-007-04 to be ongoing for this standard only.  This increase will only affect Reliability Standard TPL-007-4 which requires owners and operators of the Bulk-Power System (BPS) to conduct initial and on-going vulnerability assessments of the potential impact of defined geomagnetic disturbance (GMD) events on BPS equipment and the BPS as a whole.</w:t>
      </w:r>
      <w:bookmarkEnd w:id="2"/>
    </w:p>
    <w:p w:rsidR="003E7E96" w:rsidRDefault="003E7E96" w14:paraId="7E64EDED" w14:textId="77777777">
      <w:pPr>
        <w:spacing w:after="0"/>
        <w:rPr>
          <w:rFonts w:ascii="Times New Roman" w:hAnsi="Times New Roman" w:eastAsia="Calibri" w:cs="Times New Roman"/>
          <w:b/>
          <w:sz w:val="26"/>
          <w:szCs w:val="26"/>
        </w:rPr>
      </w:pPr>
    </w:p>
    <w:p w:rsidR="003E7E96" w:rsidRDefault="00442912" w14:paraId="0108AAF1"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003E7E96" w:rsidRDefault="003E7E96" w14:paraId="44928D2F" w14:textId="77777777">
      <w:pPr>
        <w:spacing w:after="0"/>
        <w:rPr>
          <w:rFonts w:ascii="Times New Roman" w:hAnsi="Times New Roman" w:eastAsia="Calibri" w:cs="Times New Roman"/>
          <w:b/>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003E7E96" w14:paraId="620A3F56" w14:textId="77777777">
        <w:trPr>
          <w:trHeight w:val="870"/>
        </w:trPr>
        <w:tc>
          <w:tcPr>
            <w:tcW w:w="2679" w:type="dxa"/>
            <w:shd w:val="clear" w:color="auto" w:fill="D9D9D9"/>
            <w:vAlign w:val="bottom"/>
          </w:tcPr>
          <w:p w:rsidR="003E7E96" w:rsidRDefault="00442912" w14:paraId="453F0F4E"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FERC-725N</w:t>
            </w:r>
          </w:p>
        </w:tc>
        <w:tc>
          <w:tcPr>
            <w:tcW w:w="1461" w:type="dxa"/>
            <w:shd w:val="clear" w:color="auto" w:fill="D9D9D9"/>
            <w:vAlign w:val="bottom"/>
          </w:tcPr>
          <w:p w:rsidR="003E7E96" w:rsidRDefault="00442912" w14:paraId="1F3AF05D"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Total Request</w:t>
            </w:r>
          </w:p>
        </w:tc>
        <w:tc>
          <w:tcPr>
            <w:tcW w:w="1620" w:type="dxa"/>
            <w:shd w:val="clear" w:color="auto" w:fill="D9D9D9"/>
            <w:vAlign w:val="bottom"/>
          </w:tcPr>
          <w:p w:rsidR="003E7E96" w:rsidRDefault="00442912" w14:paraId="3323EF23"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Previously Approved</w:t>
            </w:r>
          </w:p>
        </w:tc>
        <w:tc>
          <w:tcPr>
            <w:tcW w:w="1800" w:type="dxa"/>
            <w:shd w:val="clear" w:color="auto" w:fill="D9D9D9"/>
            <w:vAlign w:val="bottom"/>
          </w:tcPr>
          <w:p w:rsidR="003E7E96" w:rsidRDefault="00442912" w14:paraId="0499D2E8"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Change due to Adjustment in Estimate</w:t>
            </w:r>
          </w:p>
        </w:tc>
        <w:tc>
          <w:tcPr>
            <w:tcW w:w="1800" w:type="dxa"/>
            <w:shd w:val="clear" w:color="auto" w:fill="D9D9D9"/>
            <w:vAlign w:val="bottom"/>
          </w:tcPr>
          <w:p w:rsidR="003E7E96" w:rsidRDefault="00442912" w14:paraId="1C3CC2CF" w14:textId="77777777">
            <w:pPr>
              <w:spacing w:after="0" w:line="240" w:lineRule="auto"/>
              <w:jc w:val="center"/>
              <w:rPr>
                <w:rFonts w:ascii="Times New Roman" w:hAnsi="Times New Roman" w:eastAsia="Calibri" w:cs="Times New Roman"/>
                <w:b/>
                <w:sz w:val="26"/>
                <w:szCs w:val="26"/>
              </w:rPr>
            </w:pPr>
            <w:r>
              <w:rPr>
                <w:rFonts w:ascii="Times New Roman" w:hAnsi="Times New Roman" w:eastAsia="Calibri" w:cs="Times New Roman"/>
                <w:b/>
                <w:sz w:val="26"/>
                <w:szCs w:val="26"/>
              </w:rPr>
              <w:t>Change Due to Agency Discretion</w:t>
            </w:r>
          </w:p>
        </w:tc>
      </w:tr>
      <w:tr w:rsidR="003E7E96" w14:paraId="7892653D" w14:textId="77777777">
        <w:trPr>
          <w:trHeight w:val="591"/>
        </w:trPr>
        <w:tc>
          <w:tcPr>
            <w:tcW w:w="2679" w:type="dxa"/>
          </w:tcPr>
          <w:p w:rsidR="003E7E96" w:rsidRDefault="00442912" w14:paraId="3E2CB2AA" w14:textId="77777777">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Annual Number of Responses</w:t>
            </w:r>
          </w:p>
        </w:tc>
        <w:tc>
          <w:tcPr>
            <w:tcW w:w="1461" w:type="dxa"/>
            <w:vAlign w:val="center"/>
          </w:tcPr>
          <w:p w:rsidR="003E7E96" w:rsidRDefault="00442912" w14:paraId="53CEF73A"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3,784</w:t>
            </w:r>
          </w:p>
        </w:tc>
        <w:tc>
          <w:tcPr>
            <w:tcW w:w="1620" w:type="dxa"/>
            <w:vAlign w:val="center"/>
          </w:tcPr>
          <w:p w:rsidR="003E7E96" w:rsidRDefault="00442912" w14:paraId="45EF533F"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2,105</w:t>
            </w:r>
          </w:p>
        </w:tc>
        <w:tc>
          <w:tcPr>
            <w:tcW w:w="1800" w:type="dxa"/>
            <w:vAlign w:val="center"/>
          </w:tcPr>
          <w:p w:rsidR="003E7E96" w:rsidRDefault="00442912" w14:paraId="0959764D"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800" w:type="dxa"/>
            <w:vAlign w:val="center"/>
          </w:tcPr>
          <w:p w:rsidR="003E7E96" w:rsidRDefault="00442912" w14:paraId="481C165A"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1,679</w:t>
            </w:r>
          </w:p>
        </w:tc>
      </w:tr>
      <w:tr w:rsidR="003E7E96" w14:paraId="2BB0B34F" w14:textId="77777777">
        <w:trPr>
          <w:trHeight w:val="575"/>
        </w:trPr>
        <w:tc>
          <w:tcPr>
            <w:tcW w:w="2679" w:type="dxa"/>
          </w:tcPr>
          <w:p w:rsidR="003E7E96" w:rsidRDefault="00442912" w14:paraId="2342E09B" w14:textId="77777777">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Annual Time Burden (Hr.)</w:t>
            </w:r>
          </w:p>
        </w:tc>
        <w:tc>
          <w:tcPr>
            <w:tcW w:w="1461" w:type="dxa"/>
            <w:vAlign w:val="center"/>
          </w:tcPr>
          <w:p w:rsidR="003E7E96" w:rsidRDefault="00442912" w14:paraId="57AF4F22"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113,244</w:t>
            </w:r>
          </w:p>
        </w:tc>
        <w:tc>
          <w:tcPr>
            <w:tcW w:w="1620" w:type="dxa"/>
            <w:vAlign w:val="center"/>
          </w:tcPr>
          <w:p w:rsidR="003E7E96" w:rsidRDefault="00442912" w14:paraId="7B7BA75C"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46,084</w:t>
            </w:r>
          </w:p>
        </w:tc>
        <w:tc>
          <w:tcPr>
            <w:tcW w:w="1800" w:type="dxa"/>
            <w:vAlign w:val="center"/>
          </w:tcPr>
          <w:p w:rsidR="003E7E96" w:rsidRDefault="00442912" w14:paraId="51D076B9"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800" w:type="dxa"/>
            <w:vAlign w:val="center"/>
          </w:tcPr>
          <w:p w:rsidR="003E7E96" w:rsidRDefault="00442912" w14:paraId="45676C40"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67,160</w:t>
            </w:r>
          </w:p>
        </w:tc>
      </w:tr>
      <w:tr w:rsidR="003E7E96" w14:paraId="13AA5635" w14:textId="77777777">
        <w:trPr>
          <w:trHeight w:val="295"/>
        </w:trPr>
        <w:tc>
          <w:tcPr>
            <w:tcW w:w="2679" w:type="dxa"/>
          </w:tcPr>
          <w:p w:rsidR="003E7E96" w:rsidRDefault="00442912" w14:paraId="34DBB24B" w14:textId="77777777">
            <w:pPr>
              <w:spacing w:after="0" w:line="240" w:lineRule="auto"/>
              <w:jc w:val="center"/>
              <w:rPr>
                <w:rFonts w:ascii="Times New Roman" w:hAnsi="Times New Roman" w:eastAsia="Calibri" w:cs="Times New Roman"/>
                <w:sz w:val="26"/>
                <w:szCs w:val="26"/>
              </w:rPr>
            </w:pPr>
            <w:r>
              <w:rPr>
                <w:rFonts w:ascii="Times New Roman" w:hAnsi="Times New Roman" w:eastAsia="Calibri" w:cs="Times New Roman"/>
                <w:sz w:val="26"/>
                <w:szCs w:val="26"/>
              </w:rPr>
              <w:t>Annual Cost Burden ($)</w:t>
            </w:r>
          </w:p>
        </w:tc>
        <w:tc>
          <w:tcPr>
            <w:tcW w:w="1461" w:type="dxa"/>
            <w:vAlign w:val="center"/>
          </w:tcPr>
          <w:p w:rsidR="003E7E96" w:rsidRDefault="00442912" w14:paraId="6B53C3DB"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620" w:type="dxa"/>
            <w:vAlign w:val="center"/>
          </w:tcPr>
          <w:p w:rsidR="003E7E96" w:rsidRDefault="00442912" w14:paraId="078D95E2"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800" w:type="dxa"/>
            <w:vAlign w:val="center"/>
          </w:tcPr>
          <w:p w:rsidR="003E7E96" w:rsidRDefault="00442912" w14:paraId="5DBBB32D"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c>
          <w:tcPr>
            <w:tcW w:w="1800" w:type="dxa"/>
            <w:vAlign w:val="center"/>
          </w:tcPr>
          <w:p w:rsidR="003E7E96" w:rsidRDefault="00442912" w14:paraId="04D5A868" w14:textId="777777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0</w:t>
            </w:r>
          </w:p>
        </w:tc>
      </w:tr>
    </w:tbl>
    <w:p w:rsidR="003E7E96" w:rsidRDefault="003E7E96" w14:paraId="08B9DA1E" w14:textId="77777777">
      <w:pPr>
        <w:spacing w:after="0" w:line="240" w:lineRule="auto"/>
        <w:rPr>
          <w:rFonts w:ascii="Times New Roman" w:hAnsi="Times New Roman" w:eastAsia="Calibri" w:cs="Times New Roman"/>
          <w:sz w:val="26"/>
          <w:szCs w:val="26"/>
        </w:rPr>
      </w:pPr>
    </w:p>
    <w:p w:rsidR="003E7E96" w:rsidRDefault="00442912" w14:paraId="5CF1607A"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TIME SCHEDULE FOR PUBLICATION OF DATA</w:t>
      </w:r>
    </w:p>
    <w:p w:rsidR="003E7E96" w:rsidRDefault="003E7E96" w14:paraId="330F0F46" w14:textId="77777777">
      <w:pPr>
        <w:spacing w:after="0" w:line="240" w:lineRule="auto"/>
        <w:rPr>
          <w:rFonts w:ascii="Times New Roman" w:hAnsi="Times New Roman" w:eastAsia="Calibri" w:cs="Times New Roman"/>
          <w:sz w:val="26"/>
          <w:szCs w:val="26"/>
        </w:rPr>
      </w:pPr>
    </w:p>
    <w:p w:rsidR="003E7E96" w:rsidRDefault="00442912" w14:paraId="63C9B9EF"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There are no data publications related to this collection</w:t>
      </w:r>
    </w:p>
    <w:p w:rsidR="003E7E96" w:rsidRDefault="003E7E96" w14:paraId="4CEEE6EE" w14:textId="77777777">
      <w:pPr>
        <w:spacing w:after="0" w:line="240" w:lineRule="auto"/>
        <w:rPr>
          <w:rFonts w:ascii="Times New Roman" w:hAnsi="Times New Roman" w:eastAsia="Calibri" w:cs="Times New Roman"/>
          <w:sz w:val="26"/>
          <w:szCs w:val="26"/>
        </w:rPr>
      </w:pPr>
    </w:p>
    <w:p w:rsidR="003E7E96" w:rsidRDefault="00442912" w14:paraId="041E21E4"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DISPLAY OF EXPIRATION DATE</w:t>
      </w:r>
    </w:p>
    <w:p w:rsidR="003E7E96" w:rsidRDefault="003E7E96" w14:paraId="1306CABF" w14:textId="77777777">
      <w:pPr>
        <w:spacing w:after="0" w:line="240" w:lineRule="auto"/>
        <w:rPr>
          <w:rFonts w:ascii="Times New Roman" w:hAnsi="Times New Roman" w:eastAsia="Calibri" w:cs="Times New Roman"/>
          <w:sz w:val="26"/>
          <w:szCs w:val="26"/>
        </w:rPr>
      </w:pPr>
    </w:p>
    <w:p w:rsidR="003E7E96" w:rsidRDefault="00442912" w14:paraId="069CCD98" w14:textId="77777777">
      <w:pPr>
        <w:spacing w:after="0" w:line="240" w:lineRule="auto"/>
        <w:rPr>
          <w:rFonts w:ascii="Times New Roman" w:hAnsi="Times New Roman" w:eastAsia="Calibri" w:cs="Times New Roman"/>
          <w:sz w:val="26"/>
          <w:szCs w:val="26"/>
        </w:rPr>
      </w:pPr>
      <w:r>
        <w:rPr>
          <w:rFonts w:ascii="Times New Roman" w:hAnsi="Times New Roman" w:eastAsia="Calibri" w:cs="Times New Roman"/>
          <w:sz w:val="26"/>
          <w:szCs w:val="26"/>
        </w:rPr>
        <w:t xml:space="preserve">The expiration date is displayed in a table posted on ferc.gov at </w:t>
      </w:r>
      <w:hyperlink w:history="1"/>
      <w:r>
        <w:rPr>
          <w:rFonts w:ascii="Times New Roman" w:hAnsi="Times New Roman" w:eastAsia="Calibri" w:cs="Times New Roman"/>
          <w:sz w:val="26"/>
          <w:szCs w:val="26"/>
        </w:rPr>
        <w:t>.</w:t>
      </w:r>
      <w:r>
        <w:t xml:space="preserve"> </w:t>
      </w:r>
      <w:hyperlink w:history="1" r:id="rId13">
        <w:r>
          <w:rPr>
            <w:rStyle w:val="Hyperlink"/>
            <w:rFonts w:ascii="Times New Roman" w:hAnsi="Times New Roman" w:eastAsia="Calibri"/>
            <w:sz w:val="26"/>
            <w:szCs w:val="26"/>
          </w:rPr>
          <w:t>https://www.ferc.gov/docs-filing/info-collections.asp</w:t>
        </w:r>
      </w:hyperlink>
      <w:r>
        <w:rPr>
          <w:rFonts w:ascii="Times New Roman" w:hAnsi="Times New Roman" w:eastAsia="Calibri" w:cs="Times New Roman"/>
          <w:sz w:val="26"/>
          <w:szCs w:val="26"/>
        </w:rPr>
        <w:t xml:space="preserve"> .</w:t>
      </w:r>
    </w:p>
    <w:p w:rsidR="003E7E96" w:rsidRDefault="003E7E96" w14:paraId="4887E947" w14:textId="77777777">
      <w:pPr>
        <w:spacing w:after="0" w:line="240" w:lineRule="auto"/>
        <w:rPr>
          <w:rFonts w:ascii="Times New Roman" w:hAnsi="Times New Roman" w:eastAsia="Calibri" w:cs="Times New Roman"/>
          <w:sz w:val="26"/>
          <w:szCs w:val="26"/>
        </w:rPr>
      </w:pPr>
    </w:p>
    <w:p w:rsidR="003E7E96" w:rsidRDefault="00442912" w14:paraId="210D3750" w14:textId="77777777">
      <w:pPr>
        <w:numPr>
          <w:ilvl w:val="0"/>
          <w:numId w:val="1"/>
        </w:numPr>
        <w:spacing w:after="0" w:line="240" w:lineRule="auto"/>
        <w:ind w:left="360"/>
        <w:contextualSpacing/>
        <w:rPr>
          <w:rFonts w:ascii="Times New Roman" w:hAnsi="Times New Roman" w:eastAsia="Calibri" w:cs="Times New Roman"/>
          <w:b/>
          <w:sz w:val="26"/>
          <w:szCs w:val="26"/>
        </w:rPr>
      </w:pPr>
      <w:r>
        <w:rPr>
          <w:rFonts w:ascii="Times New Roman" w:hAnsi="Times New Roman" w:eastAsia="Calibri" w:cs="Times New Roman"/>
          <w:b/>
          <w:sz w:val="26"/>
          <w:szCs w:val="26"/>
        </w:rPr>
        <w:t>EXCEPTIONS TO THE CERTIFICATION STATEMENT</w:t>
      </w:r>
    </w:p>
    <w:p w:rsidR="003E7E96" w:rsidRDefault="003E7E96" w14:paraId="130FCED5" w14:textId="77777777">
      <w:pPr>
        <w:spacing w:after="0" w:line="240" w:lineRule="auto"/>
        <w:rPr>
          <w:rFonts w:ascii="Times New Roman" w:hAnsi="Times New Roman" w:eastAsia="Calibri" w:cs="Times New Roman"/>
          <w:b/>
          <w:sz w:val="26"/>
          <w:szCs w:val="26"/>
        </w:rPr>
      </w:pPr>
    </w:p>
    <w:p w:rsidR="003E7E96" w:rsidRDefault="00442912" w14:paraId="607E81E4" w14:textId="77777777">
      <w:pPr>
        <w:spacing w:after="200" w:line="276" w:lineRule="auto"/>
        <w:rPr>
          <w:rFonts w:ascii="Times New Roman" w:hAnsi="Times New Roman" w:cs="Times New Roman"/>
          <w:sz w:val="26"/>
          <w:szCs w:val="26"/>
        </w:rPr>
      </w:pPr>
      <w:r>
        <w:rPr>
          <w:rFonts w:ascii="Times New Roman" w:hAnsi="Times New Roman" w:eastAsia="Calibri" w:cs="Times New Roman"/>
          <w:sz w:val="26"/>
          <w:szCs w:val="26"/>
        </w:rPr>
        <w:lastRenderedPageBreak/>
        <w:t>There are no exceptions</w:t>
      </w:r>
    </w:p>
    <w:sectPr w:rsidR="003E7E9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3D19" w16cex:dateUtc="2020-10-20T14:40:00Z"/>
  <w16cex:commentExtensible w16cex:durableId="23393D89" w16cex:dateUtc="2020-10-20T14:42:00Z"/>
  <w16cex:commentExtensible w16cex:durableId="23393E48" w16cex:dateUtc="2020-10-20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FEA7E" w14:textId="77777777" w:rsidR="00ED5990" w:rsidRDefault="00ED5990">
      <w:pPr>
        <w:spacing w:after="0" w:line="240" w:lineRule="auto"/>
      </w:pPr>
      <w:r>
        <w:separator/>
      </w:r>
    </w:p>
  </w:endnote>
  <w:endnote w:type="continuationSeparator" w:id="0">
    <w:p w14:paraId="76A2C289" w14:textId="77777777" w:rsidR="00ED5990" w:rsidRDefault="00E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A9A6" w14:textId="77777777" w:rsidR="008C3FFB" w:rsidRDefault="008C3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50B606AE" w14:textId="77777777" w:rsidR="003E7E96" w:rsidRDefault="00442912">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5</w:t>
        </w:r>
        <w:r>
          <w:rPr>
            <w:rFonts w:ascii="Times New Roman" w:hAnsi="Times New Roman" w:cs="Times New Roman"/>
            <w:noProof/>
          </w:rPr>
          <w:fldChar w:fldCharType="end"/>
        </w:r>
      </w:p>
    </w:sdtContent>
  </w:sdt>
  <w:p w14:paraId="722B2C5B" w14:textId="77777777" w:rsidR="003E7E96" w:rsidRDefault="003E7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91FB" w14:textId="77777777" w:rsidR="008C3FFB" w:rsidRDefault="008C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EAE86" w14:textId="77777777" w:rsidR="00ED5990" w:rsidRDefault="00ED5990">
      <w:pPr>
        <w:spacing w:after="0" w:line="240" w:lineRule="auto"/>
      </w:pPr>
      <w:r>
        <w:separator/>
      </w:r>
    </w:p>
  </w:footnote>
  <w:footnote w:type="continuationSeparator" w:id="0">
    <w:p w14:paraId="6D7DC9A4" w14:textId="77777777" w:rsidR="00ED5990" w:rsidRDefault="00ED5990">
      <w:pPr>
        <w:spacing w:after="0" w:line="240" w:lineRule="auto"/>
      </w:pPr>
      <w:r>
        <w:continuationSeparator/>
      </w:r>
    </w:p>
  </w:footnote>
  <w:footnote w:id="1">
    <w:p w14:paraId="4CD87DE2"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16 U.S.C. 824o(d)(2). </w:t>
      </w:r>
    </w:p>
  </w:footnote>
  <w:footnote w:id="2">
    <w:p w14:paraId="2862267D"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 xml:space="preserve"> The Energy Policy Act of 2005, Pub. L. No 109-58, Title XII, Subtitle A, 119 Stat. 594, 941 (2005), codified at 16 U.S.C. 824o.</w:t>
      </w:r>
    </w:p>
  </w:footnote>
  <w:footnote w:id="3">
    <w:p w14:paraId="586B45A7"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16 U.S.C. 824o(d)(2). </w:t>
      </w:r>
    </w:p>
  </w:footnote>
  <w:footnote w:id="4">
    <w:p w14:paraId="265BF302"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In Order No. 754, the Commission determined that there is “an issue concerning the study of the non‐operation of non‐redundant primary protection systems; e.g., the study of a single point of failure on protection systems.”  </w:t>
      </w:r>
      <w:r>
        <w:rPr>
          <w:rFonts w:ascii="Times New Roman" w:hAnsi="Times New Roman" w:cs="Times New Roman"/>
          <w:i/>
          <w:sz w:val="26"/>
          <w:szCs w:val="26"/>
        </w:rPr>
        <w:t>Interpretation of Transmission Planning Reliability Standard</w:t>
      </w:r>
      <w:r>
        <w:rPr>
          <w:rFonts w:ascii="Times New Roman" w:hAnsi="Times New Roman" w:cs="Times New Roman"/>
          <w:sz w:val="26"/>
          <w:szCs w:val="26"/>
        </w:rPr>
        <w:t>, Order No. 754, 136 FERC ¶ 61,186, at P 19 (2011).  The phrases “non‐operation of a non‐redundant component of a protection system” and “protection system single points of failure” are used interchangeably in this memorandum.</w:t>
      </w:r>
    </w:p>
  </w:footnote>
  <w:footnote w:id="5">
    <w:p w14:paraId="30865750"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 xml:space="preserve"> </w:t>
      </w:r>
      <w:r>
        <w:rPr>
          <w:rFonts w:ascii="Times New Roman" w:hAnsi="Times New Roman" w:cs="Times New Roman"/>
          <w:i/>
          <w:sz w:val="26"/>
          <w:szCs w:val="26"/>
        </w:rPr>
        <w:t>Transmission Planning Reliability Standards</w:t>
      </w:r>
      <w:r>
        <w:rPr>
          <w:rFonts w:ascii="Times New Roman" w:hAnsi="Times New Roman" w:cs="Times New Roman"/>
          <w:sz w:val="26"/>
          <w:szCs w:val="26"/>
        </w:rPr>
        <w:t>, Order No. 786, 145 FERC ¶ 61,051 (2013).</w:t>
      </w:r>
    </w:p>
  </w:footnote>
  <w:footnote w:id="6">
    <w:p w14:paraId="2CD06BC2"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Details of the current ERO Reliability Standard processes are available in Appendix 3A of the NERC Rules of Procedure on the NERC website at </w:t>
      </w:r>
      <w:r>
        <w:rPr>
          <w:rStyle w:val="Hyperlink"/>
          <w:rFonts w:ascii="Times New Roman" w:hAnsi="Times New Roman"/>
          <w:sz w:val="26"/>
          <w:szCs w:val="26"/>
        </w:rPr>
        <w:t>https://www.nerc.com/AboutNERC/Pages/Rules-of-Procedure.aspx</w:t>
      </w:r>
      <w:r>
        <w:rPr>
          <w:rFonts w:ascii="Times New Roman" w:hAnsi="Times New Roman" w:cs="Times New Roman"/>
          <w:sz w:val="26"/>
          <w:szCs w:val="26"/>
        </w:rPr>
        <w:t>.</w:t>
      </w:r>
    </w:p>
  </w:footnote>
  <w:footnote w:id="7">
    <w:p w14:paraId="52C2C732"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85 FR 21222</w:t>
      </w:r>
    </w:p>
  </w:footnote>
  <w:footnote w:id="8">
    <w:p w14:paraId="15609B37" w14:textId="77777777" w:rsidR="003E7E96" w:rsidRDefault="00442912">
      <w:pPr>
        <w:pStyle w:val="FootnoteText"/>
        <w:rPr>
          <w:rFonts w:ascii="Times New Roman" w:hAnsi="Times New Roman" w:cs="Times New Roman"/>
          <w:sz w:val="26"/>
          <w:szCs w:val="26"/>
        </w:rPr>
      </w:pPr>
      <w:r>
        <w:rPr>
          <w:rStyle w:val="FootnoteReference"/>
          <w:sz w:val="26"/>
          <w:szCs w:val="26"/>
          <w:vertAlign w:val="superscript"/>
        </w:rPr>
        <w:footnoteRef/>
      </w:r>
      <w:r>
        <w:t xml:space="preserve"> </w:t>
      </w:r>
      <w:r>
        <w:rPr>
          <w:rFonts w:ascii="Times New Roman" w:hAnsi="Times New Roman" w:cs="Times New Roman"/>
          <w:sz w:val="26"/>
          <w:szCs w:val="26"/>
        </w:rPr>
        <w:t>85 FR 40637</w:t>
      </w:r>
    </w:p>
  </w:footnote>
  <w:footnote w:id="9">
    <w:p w14:paraId="362F3C7C"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 1320.3.</w:t>
      </w:r>
    </w:p>
  </w:footnote>
  <w:footnote w:id="10">
    <w:p w14:paraId="4D304108"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rPr>
        <w:t>FERC 2019 average salary plus benefits for one FERC full-time equivalent (FTE) is $167,091/year (or $80.00/hour) .</w:t>
      </w:r>
    </w:p>
  </w:footnote>
  <w:footnote w:id="11">
    <w:p w14:paraId="4F3B9D88" w14:textId="77777777" w:rsidR="003E7E96" w:rsidRDefault="00442912">
      <w:pPr>
        <w:pStyle w:val="FootnoteText"/>
        <w:rPr>
          <w:rFonts w:ascii="Times New Roman" w:hAnsi="Times New Roman" w:cs="Times New Roman"/>
          <w:sz w:val="26"/>
          <w:szCs w:val="26"/>
        </w:rPr>
      </w:pPr>
      <w:r>
        <w:rPr>
          <w:rStyle w:val="FootnoteReference"/>
          <w:rFonts w:cs="Times New Roman"/>
        </w:rPr>
        <w:footnoteRef/>
      </w:r>
      <w:r>
        <w:rPr>
          <w:rFonts w:ascii="Times New Roman" w:hAnsi="Times New Roman" w:cs="Times New Roman"/>
          <w:sz w:val="26"/>
          <w:szCs w:val="26"/>
        </w:rPr>
        <w:t xml:space="preserve"> Generator Owner</w:t>
      </w:r>
    </w:p>
  </w:footnote>
  <w:footnote w:id="12">
    <w:p w14:paraId="3D174B24" w14:textId="77777777" w:rsidR="003E7E96" w:rsidRDefault="00442912">
      <w:pPr>
        <w:pStyle w:val="FootnoteText"/>
        <w:rPr>
          <w:rFonts w:ascii="Times New Roman" w:hAnsi="Times New Roman" w:cs="Times New Roman"/>
          <w:sz w:val="26"/>
          <w:szCs w:val="26"/>
        </w:rPr>
      </w:pPr>
      <w:r>
        <w:rPr>
          <w:rStyle w:val="FootnoteReference"/>
          <w:rFonts w:cs="Times New Roman"/>
        </w:rPr>
        <w:footnoteRef/>
      </w:r>
      <w:r>
        <w:rPr>
          <w:rFonts w:ascii="Times New Roman" w:hAnsi="Times New Roman" w:cs="Times New Roman"/>
          <w:sz w:val="26"/>
          <w:szCs w:val="26"/>
        </w:rPr>
        <w:t xml:space="preserve"> Planning Coordinator</w:t>
      </w:r>
    </w:p>
  </w:footnote>
  <w:footnote w:id="13">
    <w:p w14:paraId="41AA6AA9" w14:textId="77777777" w:rsidR="003E7E96" w:rsidRDefault="00442912">
      <w:pPr>
        <w:pStyle w:val="FootnoteText"/>
        <w:rPr>
          <w:rFonts w:ascii="Times New Roman" w:hAnsi="Times New Roman" w:cs="Times New Roman"/>
          <w:sz w:val="26"/>
          <w:szCs w:val="26"/>
        </w:rPr>
      </w:pPr>
      <w:r>
        <w:rPr>
          <w:rStyle w:val="FootnoteReference"/>
          <w:rFonts w:cs="Times New Roman"/>
        </w:rPr>
        <w:footnoteRef/>
      </w:r>
      <w:r>
        <w:rPr>
          <w:rFonts w:ascii="Times New Roman" w:hAnsi="Times New Roman" w:cs="Times New Roman"/>
          <w:sz w:val="26"/>
          <w:szCs w:val="26"/>
        </w:rPr>
        <w:t xml:space="preserve"> Distribution Provider</w:t>
      </w:r>
    </w:p>
  </w:footnote>
  <w:footnote w:id="14">
    <w:p w14:paraId="41CAB348" w14:textId="77777777" w:rsidR="003E7E96" w:rsidRDefault="00442912">
      <w:pPr>
        <w:pStyle w:val="FootnoteText"/>
        <w:rPr>
          <w:rFonts w:ascii="Times New Roman" w:hAnsi="Times New Roman" w:cs="Times New Roman"/>
          <w:sz w:val="26"/>
          <w:szCs w:val="26"/>
        </w:rPr>
      </w:pPr>
      <w:r>
        <w:rPr>
          <w:rStyle w:val="FootnoteReference"/>
          <w:rFonts w:cs="Times New Roman"/>
        </w:rPr>
        <w:footnoteRef/>
      </w:r>
      <w:r>
        <w:rPr>
          <w:rFonts w:ascii="Times New Roman" w:hAnsi="Times New Roman" w:cs="Times New Roman"/>
          <w:sz w:val="26"/>
          <w:szCs w:val="26"/>
        </w:rPr>
        <w:t xml:space="preserve"> Transmission Owner</w:t>
      </w:r>
    </w:p>
  </w:footnote>
  <w:footnote w:id="15">
    <w:p w14:paraId="184C9B7D" w14:textId="77777777" w:rsidR="003E7E96" w:rsidRDefault="00442912">
      <w:pPr>
        <w:pStyle w:val="FootnoteText"/>
        <w:rPr>
          <w:rFonts w:ascii="Times New Roman" w:hAnsi="Times New Roman" w:cs="Times New Roman"/>
          <w:sz w:val="26"/>
          <w:szCs w:val="26"/>
        </w:rPr>
      </w:pPr>
      <w:r>
        <w:rPr>
          <w:rStyle w:val="FootnoteReference"/>
          <w:rFonts w:ascii="Times New Roman" w:hAnsi="Times New Roman" w:cs="Times New Roman"/>
          <w:sz w:val="26"/>
          <w:szCs w:val="26"/>
          <w:vertAlign w:val="superscript"/>
        </w:rPr>
        <w:footnoteRef/>
      </w:r>
      <w:r>
        <w:rPr>
          <w:rFonts w:ascii="Times New Roman" w:hAnsi="Times New Roman" w:cs="Times New Roman"/>
          <w:sz w:val="26"/>
          <w:szCs w:val="26"/>
          <w:vertAlign w:val="superscript"/>
        </w:rPr>
        <w:t xml:space="preserve"> </w:t>
      </w:r>
      <w:r>
        <w:rPr>
          <w:rFonts w:ascii="Times New Roman" w:hAnsi="Times New Roman" w:cs="Times New Roman"/>
          <w:sz w:val="26"/>
          <w:szCs w:val="26"/>
        </w:rPr>
        <w:t>Based upon FERC’s 2019 estimated average annual PRA Administrative Cost: $4,832.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2F55" w14:textId="77777777" w:rsidR="008C3FFB" w:rsidRDefault="008C3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6D73" w14:textId="77777777" w:rsidR="003E7E96" w:rsidRDefault="00442912">
    <w:pPr>
      <w:pStyle w:val="Header"/>
      <w:rPr>
        <w:rFonts w:ascii="Times New Roman" w:hAnsi="Times New Roman"/>
        <w:sz w:val="24"/>
        <w:szCs w:val="24"/>
      </w:rPr>
    </w:pPr>
    <w:r>
      <w:rPr>
        <w:rFonts w:ascii="Times New Roman" w:hAnsi="Times New Roman"/>
        <w:i/>
        <w:noProof/>
        <w:sz w:val="24"/>
        <w:szCs w:val="24"/>
      </w:rPr>
      <mc:AlternateContent>
        <mc:Choice Requires="wps">
          <w:drawing>
            <wp:anchor distT="0" distB="0" distL="114300" distR="114300" simplePos="0" relativeHeight="251659264" behindDoc="0" locked="0" layoutInCell="0" allowOverlap="1" wp14:anchorId="12FD3AE3" wp14:editId="17C8D721">
              <wp:simplePos x="0" y="0"/>
              <wp:positionH relativeFrom="page">
                <wp:posOffset>0</wp:posOffset>
              </wp:positionH>
              <wp:positionV relativeFrom="page">
                <wp:posOffset>190500</wp:posOffset>
              </wp:positionV>
              <wp:extent cx="7772400" cy="266700"/>
              <wp:effectExtent l="0" t="0" r="0" b="0"/>
              <wp:wrapNone/>
              <wp:docPr id="1" name="MSIPCM791745c29670e4aa131e2b16"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F5C514" w14:textId="77777777" w:rsidR="003E7E96" w:rsidRDefault="003E7E96">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FD3AE3" id="_x0000_t202" coordsize="21600,21600" o:spt="202" path="m,l,21600r21600,l21600,xe">
              <v:stroke joinstyle="miter"/>
              <v:path gradientshapeok="t" o:connecttype="rect"/>
            </v:shapetype>
            <v:shape id="MSIPCM791745c29670e4aa131e2b16"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BdFgMAADYGAAAOAAAAZHJzL2Uyb0RvYy54bWysVE1v2zAMvQ/YfxB02Gmp7dS166xO0abI&#10;ViBtA6RDz4osx8JsyZWUxl3R/z5KltOP7TAMu0gUSVHk4xNPTrumRg9MaS5FjqODECMmqCy42OT4&#10;++18dIyRNkQUpJaC5fiRaXw6/fjhZNdO2FhWsi6YQhBE6MmuzXFlTDsJAk0r1hB9IFsmwFhK1RAD&#10;R7UJCkV2EL2pg3EYJsFOqqJVkjKtQXvRG/HUxS9LRs1NWWpmUJ1jyM24Vbl1bddgekImG0XailOf&#10;BvmHLBrCBTy6D3VBDEFbxX8L1XCqpJalOaCyCWRZcspcDVBNFL6rZlWRlrlaABzd7mHS/y8svX5Y&#10;KsQL6B1GgjTQoqvV5XJ2lWZRGh/RcZakIYsJiQ4jNl5HCUYF0xQQfPp0v5Xmyzeiq5ksWH+ajKL0&#10;KDrMsiT57O2MbyrjrWk2Pgi94Y4XpvL6JHrRL2tCWcPEcGcIQ4AovewDXIqCdT5Avy0Vb4h6fOO1&#10;AgoAN71f5O/eytZrwn1CC1YOb4Ly2VJj1+oJILRqASPTncvOwuT1GpS2412pGrtDLxHYgWSPe2Kx&#10;ziAKyjRNx3EIJgq2cQKQOuYFL7dbpc1XJhtkhRwryNrxiTwstIEXwXVwsY8JOed17chbC7TLcXJ4&#10;FLoLewvcqIX1hSQghpd6Uj5lEeRzPs5G8+Q4HcXz+GiUpeHxKIyy8ywJ4yy+mD/beFE8qXhRMLHg&#10;gg0fJIr/joD+q/bUdl/kTapa1rywddjcbHWzWqEHAj91DRz4YYGGIl55BW/TcWaobthdlYHtWd8b&#10;K5lu3fmGrWXxCH1UEvCFVuiWzjk8uiDaLImCXw9KmGTmBpaylgCq9BJGlVQ//6S3/oAFWDHawRTJ&#10;sb7fEsUwqi8FfNMsimMIa9wBBPVaux60YtvMJJQNXxCycqL1NfUglko2dzDozuxrYCKCwps5NoM4&#10;M3ACAwxKys7OnAwDpiVmIVYttaEHkG+7O6JazzMD8F3LYc6QyTu69b72ppBnWyNL7rhoge3RBOjt&#10;AYaTa4IfpHb6vT47r5dxP/0F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DeVgXRYDAAA2BgAADgAAAAAAAAAAAAAAAAAuAgAA&#10;ZHJzL2Uyb0RvYy54bWxQSwECLQAUAAYACAAAACEAaDuVdtsAAAAHAQAADwAAAAAAAAAAAAAAAABw&#10;BQAAZHJzL2Rvd25yZXYueG1sUEsFBgAAAAAEAAQA8wAAAHgGAAAAAA==&#10;" o:allowincell="f" filled="f" stroked="f" strokeweight=".5pt">
              <v:textbox inset=",0,,0">
                <w:txbxContent>
                  <w:p w14:paraId="4DF5C514" w14:textId="77777777" w:rsidR="003E7E96" w:rsidRDefault="003E7E96">
                    <w:pPr>
                      <w:spacing w:after="0"/>
                      <w:jc w:val="center"/>
                      <w:rPr>
                        <w:rFonts w:ascii="Times New Roman" w:hAnsi="Times New Roman" w:cs="Times New Roman"/>
                        <w:color w:val="A80000"/>
                        <w:sz w:val="26"/>
                      </w:rPr>
                    </w:pPr>
                  </w:p>
                </w:txbxContent>
              </v:textbox>
              <w10:wrap anchorx="page" anchory="page"/>
            </v:shape>
          </w:pict>
        </mc:Fallback>
      </mc:AlternateContent>
    </w:r>
    <w:r>
      <w:rPr>
        <w:rFonts w:ascii="Times New Roman" w:hAnsi="Times New Roman"/>
        <w:sz w:val="24"/>
        <w:szCs w:val="24"/>
      </w:rPr>
      <w:t>FERC-725N (OMB Control No.: 1902-0264)</w:t>
    </w:r>
    <w:r>
      <w:rPr>
        <w:rFonts w:ascii="Times New Roman" w:hAnsi="Times New Roman"/>
        <w:b/>
        <w:sz w:val="24"/>
        <w:szCs w:val="24"/>
      </w:rPr>
      <w:t xml:space="preserve"> </w:t>
    </w:r>
  </w:p>
  <w:p w14:paraId="5AF28B2D" w14:textId="35D03CB7" w:rsidR="003E7E96" w:rsidRDefault="00442912">
    <w:pPr>
      <w:pStyle w:val="Header"/>
      <w:rPr>
        <w:rFonts w:ascii="Times New Roman" w:hAnsi="Times New Roman"/>
        <w:sz w:val="24"/>
        <w:szCs w:val="24"/>
      </w:rPr>
    </w:pPr>
    <w:r>
      <w:rPr>
        <w:rFonts w:ascii="Times New Roman" w:hAnsi="Times New Roman"/>
        <w:sz w:val="24"/>
        <w:szCs w:val="24"/>
      </w:rPr>
      <w:t>Docket No. RD20-3-000, Delegated Letter Order</w:t>
    </w:r>
    <w:r w:rsidR="000550E6">
      <w:rPr>
        <w:rFonts w:ascii="Times New Roman" w:hAnsi="Times New Roman"/>
        <w:sz w:val="24"/>
        <w:szCs w:val="24"/>
      </w:rPr>
      <w:t xml:space="preserve"> (Updated 10/2</w:t>
    </w:r>
    <w:r w:rsidR="008C3FFB">
      <w:rPr>
        <w:rFonts w:ascii="Times New Roman" w:hAnsi="Times New Roman"/>
        <w:sz w:val="24"/>
        <w:szCs w:val="24"/>
      </w:rPr>
      <w:t>7</w:t>
    </w:r>
    <w:r w:rsidR="000550E6">
      <w:rPr>
        <w:rFonts w:ascii="Times New Roman" w:hAnsi="Times New Roman"/>
        <w:sz w:val="24"/>
        <w:szCs w:val="24"/>
      </w:rPr>
      <w:t>/2020)</w:t>
    </w:r>
  </w:p>
  <w:p w14:paraId="25D2123E" w14:textId="77777777" w:rsidR="003E7E96" w:rsidRDefault="003E7E96">
    <w:pPr>
      <w:pStyle w:val="Header"/>
      <w:tabs>
        <w:tab w:val="clear" w:pos="4680"/>
        <w:tab w:val="clear" w:pos="9360"/>
        <w:tab w:val="left" w:pos="29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1437" w14:textId="77777777" w:rsidR="008C3FFB" w:rsidRDefault="008C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700" w:hanging="540"/>
      </w:pPr>
      <w:rPr>
        <w:rFonts w:ascii="Symbol" w:hAnsi="Symbol" w:cs="Symbol"/>
        <w:b w:val="0"/>
        <w:bCs w:val="0"/>
        <w:sz w:val="24"/>
        <w:szCs w:val="24"/>
      </w:rPr>
    </w:lvl>
    <w:lvl w:ilvl="1">
      <w:numFmt w:val="bullet"/>
      <w:lvlText w:val="•"/>
      <w:lvlJc w:val="left"/>
      <w:pPr>
        <w:ind w:left="2440" w:hanging="540"/>
      </w:pPr>
    </w:lvl>
    <w:lvl w:ilvl="2">
      <w:numFmt w:val="bullet"/>
      <w:lvlText w:val="•"/>
      <w:lvlJc w:val="left"/>
      <w:pPr>
        <w:ind w:left="3180" w:hanging="540"/>
      </w:pPr>
    </w:lvl>
    <w:lvl w:ilvl="3">
      <w:numFmt w:val="bullet"/>
      <w:lvlText w:val="•"/>
      <w:lvlJc w:val="left"/>
      <w:pPr>
        <w:ind w:left="3920" w:hanging="540"/>
      </w:pPr>
    </w:lvl>
    <w:lvl w:ilvl="4">
      <w:numFmt w:val="bullet"/>
      <w:lvlText w:val="•"/>
      <w:lvlJc w:val="left"/>
      <w:pPr>
        <w:ind w:left="4660" w:hanging="540"/>
      </w:pPr>
    </w:lvl>
    <w:lvl w:ilvl="5">
      <w:numFmt w:val="bullet"/>
      <w:lvlText w:val="•"/>
      <w:lvlJc w:val="left"/>
      <w:pPr>
        <w:ind w:left="5400" w:hanging="540"/>
      </w:pPr>
    </w:lvl>
    <w:lvl w:ilvl="6">
      <w:numFmt w:val="bullet"/>
      <w:lvlText w:val="•"/>
      <w:lvlJc w:val="left"/>
      <w:pPr>
        <w:ind w:left="6140" w:hanging="540"/>
      </w:pPr>
    </w:lvl>
    <w:lvl w:ilvl="7">
      <w:numFmt w:val="bullet"/>
      <w:lvlText w:val="•"/>
      <w:lvlJc w:val="left"/>
      <w:pPr>
        <w:ind w:left="6880" w:hanging="540"/>
      </w:pPr>
    </w:lvl>
    <w:lvl w:ilvl="8">
      <w:numFmt w:val="bullet"/>
      <w:lvlText w:val="•"/>
      <w:lvlJc w:val="left"/>
      <w:pPr>
        <w:ind w:left="7620" w:hanging="540"/>
      </w:pPr>
    </w:lvl>
  </w:abstractNum>
  <w:abstractNum w:abstractNumId="1" w15:restartNumberingAfterBreak="0">
    <w:nsid w:val="03340A83"/>
    <w:multiLevelType w:val="hybridMultilevel"/>
    <w:tmpl w:val="C3FC5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02951"/>
    <w:multiLevelType w:val="hybridMultilevel"/>
    <w:tmpl w:val="7332B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F26DE4"/>
    <w:multiLevelType w:val="hybridMultilevel"/>
    <w:tmpl w:val="14B2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62617"/>
    <w:multiLevelType w:val="hybridMultilevel"/>
    <w:tmpl w:val="1018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A3848"/>
    <w:multiLevelType w:val="hybridMultilevel"/>
    <w:tmpl w:val="8B8E3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586E6A"/>
    <w:multiLevelType w:val="hybridMultilevel"/>
    <w:tmpl w:val="5428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57912"/>
    <w:multiLevelType w:val="hybridMultilevel"/>
    <w:tmpl w:val="FBAE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77D90"/>
    <w:multiLevelType w:val="hybridMultilevel"/>
    <w:tmpl w:val="82F800C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7D3B09D3"/>
    <w:multiLevelType w:val="hybridMultilevel"/>
    <w:tmpl w:val="05AE5148"/>
    <w:lvl w:ilvl="0" w:tplc="955A0F8E">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E4DD3"/>
    <w:multiLevelType w:val="hybridMultilevel"/>
    <w:tmpl w:val="7CB2385A"/>
    <w:lvl w:ilvl="0" w:tplc="6EAEAA46">
      <w:start w:val="1"/>
      <w:numFmt w:val="decimal"/>
      <w:pStyle w:val="FERCparanumber"/>
      <w:lvlText w:val="%1."/>
      <w:lvlJc w:val="left"/>
      <w:pPr>
        <w:tabs>
          <w:tab w:val="num" w:pos="990"/>
        </w:tabs>
        <w:ind w:left="270" w:firstLine="0"/>
      </w:pPr>
      <w:rPr>
        <w:rFonts w:hint="default"/>
        <w:b w:val="0"/>
        <w:i w:val="0"/>
        <w:sz w:val="26"/>
        <w:szCs w:val="26"/>
      </w:rPr>
    </w:lvl>
    <w:lvl w:ilvl="1" w:tplc="4CE080E6">
      <w:start w:val="3"/>
      <w:numFmt w:val="upperLetter"/>
      <w:lvlText w:val="%2."/>
      <w:lvlJc w:val="left"/>
      <w:pPr>
        <w:tabs>
          <w:tab w:val="num" w:pos="830"/>
        </w:tabs>
        <w:ind w:left="830" w:hanging="660"/>
      </w:pPr>
      <w:rPr>
        <w:rFonts w:hint="default"/>
        <w:b/>
        <w:color w:val="auto"/>
        <w:u w:val="none"/>
      </w:rPr>
    </w:lvl>
    <w:lvl w:ilvl="2" w:tplc="0409001B">
      <w:start w:val="1"/>
      <w:numFmt w:val="lowerRoman"/>
      <w:lvlText w:val="%3."/>
      <w:lvlJc w:val="right"/>
      <w:pPr>
        <w:tabs>
          <w:tab w:val="num" w:pos="1250"/>
        </w:tabs>
        <w:ind w:left="1250" w:hanging="180"/>
      </w:pPr>
      <w:rPr>
        <w:rFonts w:hint="default"/>
      </w:rPr>
    </w:lvl>
    <w:lvl w:ilvl="3" w:tplc="0409000F">
      <w:start w:val="1"/>
      <w:numFmt w:val="decimal"/>
      <w:lvlText w:val="%4."/>
      <w:lvlJc w:val="left"/>
      <w:pPr>
        <w:tabs>
          <w:tab w:val="num" w:pos="1970"/>
        </w:tabs>
        <w:ind w:left="1970" w:hanging="360"/>
      </w:pPr>
    </w:lvl>
    <w:lvl w:ilvl="4" w:tplc="04090019" w:tentative="1">
      <w:start w:val="1"/>
      <w:numFmt w:val="lowerLetter"/>
      <w:lvlText w:val="%5."/>
      <w:lvlJc w:val="left"/>
      <w:pPr>
        <w:tabs>
          <w:tab w:val="num" w:pos="2690"/>
        </w:tabs>
        <w:ind w:left="2690" w:hanging="360"/>
      </w:pPr>
    </w:lvl>
    <w:lvl w:ilvl="5" w:tplc="0409001B" w:tentative="1">
      <w:start w:val="1"/>
      <w:numFmt w:val="lowerRoman"/>
      <w:lvlText w:val="%6."/>
      <w:lvlJc w:val="right"/>
      <w:pPr>
        <w:tabs>
          <w:tab w:val="num" w:pos="3410"/>
        </w:tabs>
        <w:ind w:left="3410" w:hanging="180"/>
      </w:pPr>
    </w:lvl>
    <w:lvl w:ilvl="6" w:tplc="0409000F" w:tentative="1">
      <w:start w:val="1"/>
      <w:numFmt w:val="decimal"/>
      <w:lvlText w:val="%7."/>
      <w:lvlJc w:val="left"/>
      <w:pPr>
        <w:tabs>
          <w:tab w:val="num" w:pos="4130"/>
        </w:tabs>
        <w:ind w:left="4130" w:hanging="360"/>
      </w:pPr>
    </w:lvl>
    <w:lvl w:ilvl="7" w:tplc="04090019" w:tentative="1">
      <w:start w:val="1"/>
      <w:numFmt w:val="lowerLetter"/>
      <w:lvlText w:val="%8."/>
      <w:lvlJc w:val="left"/>
      <w:pPr>
        <w:tabs>
          <w:tab w:val="num" w:pos="4850"/>
        </w:tabs>
        <w:ind w:left="4850" w:hanging="360"/>
      </w:pPr>
    </w:lvl>
    <w:lvl w:ilvl="8" w:tplc="0409001B" w:tentative="1">
      <w:start w:val="1"/>
      <w:numFmt w:val="lowerRoman"/>
      <w:lvlText w:val="%9."/>
      <w:lvlJc w:val="right"/>
      <w:pPr>
        <w:tabs>
          <w:tab w:val="num" w:pos="5570"/>
        </w:tabs>
        <w:ind w:left="5570" w:hanging="180"/>
      </w:pPr>
    </w:lvl>
  </w:abstractNum>
  <w:num w:numId="1">
    <w:abstractNumId w:val="6"/>
  </w:num>
  <w:num w:numId="2">
    <w:abstractNumId w:val="0"/>
  </w:num>
  <w:num w:numId="3">
    <w:abstractNumId w:val="3"/>
  </w:num>
  <w:num w:numId="4">
    <w:abstractNumId w:val="9"/>
  </w:num>
  <w:num w:numId="5">
    <w:abstractNumId w:val="5"/>
  </w:num>
  <w:num w:numId="6">
    <w:abstractNumId w:val="11"/>
  </w:num>
  <w:num w:numId="7">
    <w:abstractNumId w:val="1"/>
  </w:num>
  <w:num w:numId="8">
    <w:abstractNumId w:val="4"/>
  </w:num>
  <w:num w:numId="9">
    <w:abstractNumId w:val="10"/>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96"/>
    <w:rsid w:val="00006455"/>
    <w:rsid w:val="00011B54"/>
    <w:rsid w:val="000550E6"/>
    <w:rsid w:val="00202EBD"/>
    <w:rsid w:val="00251F29"/>
    <w:rsid w:val="0025458F"/>
    <w:rsid w:val="0035258C"/>
    <w:rsid w:val="003E7E96"/>
    <w:rsid w:val="00437CC5"/>
    <w:rsid w:val="00442912"/>
    <w:rsid w:val="004525D4"/>
    <w:rsid w:val="00584086"/>
    <w:rsid w:val="00604700"/>
    <w:rsid w:val="00783B00"/>
    <w:rsid w:val="008B0ACB"/>
    <w:rsid w:val="008C3FFB"/>
    <w:rsid w:val="009D6137"/>
    <w:rsid w:val="00A736FB"/>
    <w:rsid w:val="00C64D39"/>
    <w:rsid w:val="00C76A7B"/>
    <w:rsid w:val="00ED5990"/>
    <w:rsid w:val="00F15865"/>
    <w:rsid w:val="00FF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4F775B"/>
  <w15:docId w15:val="{9675704B-B40D-4DDB-99D8-71041A4D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n Char1,Footnote Text Char1 Char3,Footnote Text Char Char Char2,Footnote Text Char1 Char Char2,Footnote Text Char Char Char Char1,Footnote Text MRP Char1,Footnote Text Char1 Char Char Char1,Footnote Text Char1 Char1 Char1,fn1 Char1"/>
    <w:basedOn w:val="DefaultParagraphFont"/>
    <w:link w:val="FootnoteText"/>
    <w:uiPriority w:val="99"/>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Hyperlink">
    <w:name w:val="Hyperlink"/>
    <w:basedOn w:val="DefaultParagraphFont"/>
    <w:uiPriority w:val="99"/>
    <w:rPr>
      <w:rFonts w:cs="Times New Roman"/>
      <w:color w:val="0000FF"/>
      <w:u w:val="single"/>
    </w:rPr>
  </w:style>
  <w:style w:type="paragraph" w:styleId="ListParagraph">
    <w:name w:val="List Paragraph"/>
    <w:basedOn w:val="Normal"/>
    <w:uiPriority w:val="34"/>
    <w:qFormat/>
    <w:pPr>
      <w:ind w:left="720"/>
      <w:contextualSpacing/>
    </w:p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1 Char"/>
    <w:uiPriority w:val="99"/>
    <w:rPr>
      <w:sz w:val="26"/>
      <w:lang w:val="en-US" w:eastAsia="en-US" w:bidi="ar-SA"/>
    </w:rPr>
  </w:style>
  <w:style w:type="paragraph" w:customStyle="1" w:styleId="FERCparanumber">
    <w:name w:val="FERC paranumber"/>
    <w:basedOn w:val="Normal"/>
    <w:link w:val="FERCparanumberChar1"/>
    <w:qFormat/>
    <w:pPr>
      <w:numPr>
        <w:numId w:val="6"/>
      </w:numPr>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ERCparanumberChar">
    <w:name w:val="FERC paranumber Char"/>
    <w:basedOn w:val="DefaultParagraphFont"/>
    <w:rPr>
      <w:rFonts w:ascii="Times New Roman"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5423">
      <w:bodyDiv w:val="1"/>
      <w:marLeft w:val="0"/>
      <w:marRight w:val="0"/>
      <w:marTop w:val="0"/>
      <w:marBottom w:val="0"/>
      <w:divBdr>
        <w:top w:val="none" w:sz="0" w:space="0" w:color="auto"/>
        <w:left w:val="none" w:sz="0" w:space="0" w:color="auto"/>
        <w:bottom w:val="none" w:sz="0" w:space="0" w:color="auto"/>
        <w:right w:val="none" w:sz="0" w:space="0" w:color="auto"/>
      </w:divBdr>
    </w:div>
    <w:div w:id="375618901">
      <w:bodyDiv w:val="1"/>
      <w:marLeft w:val="0"/>
      <w:marRight w:val="0"/>
      <w:marTop w:val="0"/>
      <w:marBottom w:val="0"/>
      <w:divBdr>
        <w:top w:val="none" w:sz="0" w:space="0" w:color="auto"/>
        <w:left w:val="none" w:sz="0" w:space="0" w:color="auto"/>
        <w:bottom w:val="none" w:sz="0" w:space="0" w:color="auto"/>
        <w:right w:val="none" w:sz="0" w:space="0" w:color="auto"/>
      </w:divBdr>
    </w:div>
    <w:div w:id="433474212">
      <w:bodyDiv w:val="1"/>
      <w:marLeft w:val="0"/>
      <w:marRight w:val="0"/>
      <w:marTop w:val="0"/>
      <w:marBottom w:val="0"/>
      <w:divBdr>
        <w:top w:val="none" w:sz="0" w:space="0" w:color="auto"/>
        <w:left w:val="none" w:sz="0" w:space="0" w:color="auto"/>
        <w:bottom w:val="none" w:sz="0" w:space="0" w:color="auto"/>
        <w:right w:val="none" w:sz="0" w:space="0" w:color="auto"/>
      </w:divBdr>
    </w:div>
    <w:div w:id="11597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docs-filing/info-collections.asp" TargetMode="External"/><Relationship Id="rId18" Type="http://schemas.openxmlformats.org/officeDocument/2006/relationships/header" Target="header3.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2020-10-22T04:00:00+00:00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RD20-3</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A1D2B-57D9-4A99-86C7-27F1F5F1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08276-1F40-4762-9620-481F1995AAFF}">
  <ds:schemaRefs>
    <ds:schemaRef ds:uri="http://schemas.microsoft.com/office/2006/metadata/customXsn"/>
  </ds:schemaRefs>
</ds:datastoreItem>
</file>

<file path=customXml/itemProps3.xml><?xml version="1.0" encoding="utf-8"?>
<ds:datastoreItem xmlns:ds="http://schemas.openxmlformats.org/officeDocument/2006/customXml" ds:itemID="{38B29E75-6F2C-4617-90D3-AB13904D0E27}">
  <ds:schemaRefs>
    <ds:schemaRef ds:uri="Microsoft.SharePoint.Taxonomy.ContentTypeSync"/>
  </ds:schemaRefs>
</ds:datastoreItem>
</file>

<file path=customXml/itemProps4.xml><?xml version="1.0" encoding="utf-8"?>
<ds:datastoreItem xmlns:ds="http://schemas.openxmlformats.org/officeDocument/2006/customXml" ds:itemID="{CEEE68EE-2CAF-4104-92DB-1A179AD5207B}">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d6eefc7d-9817-4fa6-84d5-3bc009be21b8"/>
    <ds:schemaRef ds:uri="http://www.w3.org/XML/1998/namespace"/>
  </ds:schemaRefs>
</ds:datastoreItem>
</file>

<file path=customXml/itemProps5.xml><?xml version="1.0" encoding="utf-8"?>
<ds:datastoreItem xmlns:ds="http://schemas.openxmlformats.org/officeDocument/2006/customXml" ds:itemID="{6B7E5159-921F-47EF-BE2D-2679DB21A839}">
  <ds:schemaRefs>
    <ds:schemaRef ds:uri="http://schemas.microsoft.com/sharepoint/v3/contenttype/forms"/>
  </ds:schemaRefs>
</ds:datastoreItem>
</file>

<file path=customXml/itemProps6.xml><?xml version="1.0" encoding="utf-8"?>
<ds:datastoreItem xmlns:ds="http://schemas.openxmlformats.org/officeDocument/2006/customXml" ds:itemID="{ED07740B-AA04-49A1-8875-0BAB9D9A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Kayla Williams</cp:lastModifiedBy>
  <cp:revision>4</cp:revision>
  <cp:lastPrinted>2020-02-13T16:03:00Z</cp:lastPrinted>
  <dcterms:created xsi:type="dcterms:W3CDTF">2020-10-22T17:53:00Z</dcterms:created>
  <dcterms:modified xsi:type="dcterms:W3CDTF">2020-10-27T19:49:00Z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ellen.brown@ferc.gov</vt:lpwstr>
  </property>
  <property fmtid="{D5CDD505-2E9C-101B-9397-08002B2CF9AE}" pid="6" name="MSIP_Label_6155a89b-0f08-4a93-8ea2-8a916d6643b5_SetDate">
    <vt:lpwstr>2020-02-13T13:38:44.0555176Z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189bc171-275d-47a0-a8e6-47ac89802fe7</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