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506A" w:rsidR="005E506A" w:rsidP="005E506A" w:rsidRDefault="005E506A" w14:paraId="6090880E" w14:textId="77777777">
      <w:pPr>
        <w:keepNext/>
        <w:keepLines/>
        <w:spacing w:after="0" w:line="480" w:lineRule="auto"/>
        <w:ind w:left="720" w:hanging="720"/>
        <w:outlineLvl w:val="0"/>
        <w:rPr>
          <w:rFonts w:ascii="Times New Roman" w:hAnsi="Times New Roman" w:eastAsia="Times New Roman" w:cs="Times New Roman"/>
          <w:kern w:val="32"/>
          <w:sz w:val="26"/>
          <w:szCs w:val="32"/>
          <w:u w:val="single"/>
        </w:rPr>
      </w:pPr>
      <w:r w:rsidRPr="005E506A">
        <w:rPr>
          <w:rFonts w:ascii="Times New Roman" w:hAnsi="Times New Roman" w:eastAsia="Times New Roman" w:cs="Times New Roman"/>
          <w:b/>
          <w:kern w:val="32"/>
          <w:sz w:val="26"/>
          <w:szCs w:val="32"/>
          <w:u w:val="single"/>
        </w:rPr>
        <w:t xml:space="preserve">Appendix </w:t>
      </w:r>
      <w:r w:rsidRPr="005E506A">
        <w:rPr>
          <w:rFonts w:ascii="Times New Roman" w:hAnsi="Times New Roman" w:eastAsia="Times New Roman" w:cs="Times New Roman"/>
          <w:b/>
          <w:bCs/>
          <w:kern w:val="32"/>
          <w:sz w:val="26"/>
          <w:szCs w:val="32"/>
          <w:u w:val="single"/>
        </w:rPr>
        <w:t>B</w:t>
      </w:r>
    </w:p>
    <w:p w:rsidRPr="005E506A" w:rsidR="005E506A" w:rsidP="005E506A" w:rsidRDefault="005E506A" w14:paraId="23C07C32" w14:textId="77777777">
      <w:pPr>
        <w:widowControl w:val="0"/>
        <w:spacing w:after="0" w:line="240" w:lineRule="auto"/>
        <w:jc w:val="right"/>
        <w:rPr>
          <w:rFonts w:ascii="Times New Roman" w:hAnsi="Times New Roman" w:eastAsia="Calibri" w:cs="Times New Roman"/>
          <w:b/>
          <w:sz w:val="26"/>
        </w:rPr>
      </w:pPr>
      <w:r w:rsidRPr="005E506A">
        <w:rPr>
          <w:rFonts w:ascii="Times New Roman" w:hAnsi="Times New Roman" w:eastAsia="Calibri" w:cs="Times New Roman"/>
          <w:b/>
          <w:sz w:val="26"/>
        </w:rPr>
        <w:t>OMB Control Number: 1902-0239</w:t>
      </w:r>
    </w:p>
    <w:p w:rsidRPr="005E506A" w:rsidR="005E506A" w:rsidP="005E506A" w:rsidRDefault="005E506A" w14:paraId="2A694E5A" w14:textId="77777777">
      <w:pPr>
        <w:widowControl w:val="0"/>
        <w:spacing w:after="0" w:line="240" w:lineRule="auto"/>
        <w:jc w:val="right"/>
        <w:rPr>
          <w:rFonts w:ascii="Times New Roman" w:hAnsi="Times New Roman" w:eastAsia="Calibri" w:cs="Times New Roman"/>
          <w:b/>
          <w:sz w:val="26"/>
        </w:rPr>
      </w:pPr>
      <w:r w:rsidRPr="005E506A">
        <w:rPr>
          <w:rFonts w:ascii="Times New Roman" w:hAnsi="Times New Roman" w:eastAsia="Calibri" w:cs="Times New Roman"/>
          <w:b/>
          <w:sz w:val="26"/>
        </w:rPr>
        <w:t>Expiration Date:     nn/nn/nnnn</w:t>
      </w:r>
    </w:p>
    <w:p w:rsidRPr="005E506A" w:rsidR="005E506A" w:rsidP="005E506A" w:rsidRDefault="005E506A" w14:paraId="24EF916A" w14:textId="77777777">
      <w:pPr>
        <w:widowControl w:val="0"/>
        <w:spacing w:after="0" w:line="240" w:lineRule="auto"/>
        <w:jc w:val="right"/>
        <w:rPr>
          <w:rFonts w:ascii="Times New Roman" w:hAnsi="Times New Roman" w:eastAsia="Calibri" w:cs="Times New Roman"/>
          <w:b/>
          <w:sz w:val="26"/>
        </w:rPr>
      </w:pPr>
      <w:r w:rsidRPr="005E506A">
        <w:rPr>
          <w:rFonts w:ascii="Times New Roman" w:hAnsi="Times New Roman" w:eastAsia="Calibri" w:cs="Times New Roman"/>
          <w:b/>
          <w:sz w:val="26"/>
        </w:rPr>
        <w:t xml:space="preserve">Annual Due Date: </w:t>
      </w:r>
      <w:r w:rsidRPr="005E506A">
        <w:rPr>
          <w:rFonts w:ascii="Times New Roman" w:hAnsi="Times New Roman" w:eastAsia="Calibri" w:cs="Times New Roman"/>
          <w:b/>
          <w:sz w:val="26"/>
        </w:rPr>
        <w:tab/>
        <w:t xml:space="preserve"> April 18</w:t>
      </w:r>
    </w:p>
    <w:p w:rsidRPr="005E506A" w:rsidR="005E506A" w:rsidP="005E506A" w:rsidRDefault="005E506A" w14:paraId="15AA4443"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40096D05"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b/>
          <w:sz w:val="26"/>
        </w:rPr>
        <w:t>FERC-730, Report of Transmission Investment Activity</w:t>
      </w:r>
    </w:p>
    <w:p w:rsidRPr="005E506A" w:rsidR="005E506A" w:rsidP="005E506A" w:rsidRDefault="005E506A" w14:paraId="44A838E0"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b/>
          <w:sz w:val="26"/>
        </w:rPr>
        <w:t>Company Name: ________________________________________</w:t>
      </w:r>
    </w:p>
    <w:p w:rsidRPr="005E506A" w:rsidR="005E506A" w:rsidP="005E506A" w:rsidRDefault="005E506A" w14:paraId="049ABDF9"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3F76AFB5" w14:textId="77777777">
      <w:pPr>
        <w:widowControl w:val="0"/>
        <w:spacing w:after="0" w:line="240" w:lineRule="auto"/>
        <w:rPr>
          <w:rFonts w:ascii="Times New Roman" w:hAnsi="Times New Roman" w:eastAsia="Calibri" w:cs="Times New Roman"/>
          <w:bCs/>
          <w:sz w:val="26"/>
        </w:rPr>
      </w:pPr>
      <w:r w:rsidRPr="005E506A">
        <w:rPr>
          <w:rFonts w:ascii="Times New Roman" w:hAnsi="Times New Roman" w:eastAsia="Calibri" w:cs="Times New Roman"/>
          <w:bCs/>
          <w:sz w:val="26"/>
        </w:rPr>
        <w:t xml:space="preserve">To file this form, respondents should follow the instructions for eFiling available at </w:t>
      </w:r>
      <w:hyperlink w:history="1" r:id="rId12">
        <w:r w:rsidRPr="005E506A">
          <w:rPr>
            <w:rFonts w:ascii="Times New Roman" w:hAnsi="Times New Roman" w:eastAsia="Calibri" w:cs="Times New Roman"/>
            <w:bCs/>
            <w:color w:val="0563C1"/>
            <w:sz w:val="26"/>
            <w:u w:val="single"/>
          </w:rPr>
          <w:t>https://www.ferc.gov/docs-filing/efiling.asp</w:t>
        </w:r>
      </w:hyperlink>
      <w:r w:rsidRPr="005E506A">
        <w:rPr>
          <w:rFonts w:ascii="Times New Roman" w:hAnsi="Times New Roman" w:eastAsia="Calibri" w:cs="Times New Roman"/>
          <w:bCs/>
          <w:sz w:val="26"/>
        </w:rPr>
        <w:t>.</w:t>
      </w:r>
    </w:p>
    <w:p w:rsidRPr="005E506A" w:rsidR="005E506A" w:rsidP="005E506A" w:rsidRDefault="005E506A" w14:paraId="473F79B6"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692D157B"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019DEBC6"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b/>
          <w:sz w:val="26"/>
        </w:rPr>
        <w:t xml:space="preserve">Template for Table 1 </w:t>
      </w:r>
    </w:p>
    <w:p w:rsidRPr="005E506A" w:rsidR="005E506A" w:rsidP="005E506A" w:rsidRDefault="005E506A" w14:paraId="226AC779"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75733DCE" w14:textId="77777777">
      <w:pPr>
        <w:widowControl w:val="0"/>
        <w:spacing w:after="0" w:line="240" w:lineRule="auto"/>
        <w:rPr>
          <w:rFonts w:ascii="Times New Roman" w:hAnsi="Times New Roman" w:eastAsia="Calibri" w:cs="Times New Roman"/>
          <w:b/>
          <w:bCs/>
          <w:sz w:val="26"/>
        </w:rPr>
      </w:pPr>
      <w:r w:rsidRPr="005E506A">
        <w:rPr>
          <w:rFonts w:ascii="Times New Roman" w:hAnsi="Times New Roman" w:eastAsia="Calibri" w:cs="Times New Roman"/>
          <w:b/>
          <w:sz w:val="26"/>
        </w:rPr>
        <w:t>Table 1:</w:t>
      </w:r>
      <w:r w:rsidRPr="005E506A">
        <w:rPr>
          <w:rFonts w:ascii="Times New Roman" w:hAnsi="Times New Roman" w:eastAsia="Calibri" w:cs="Times New Roman"/>
          <w:sz w:val="26"/>
        </w:rPr>
        <w:t xml:space="preserve">  </w:t>
      </w:r>
      <w:r w:rsidRPr="005E506A">
        <w:rPr>
          <w:rFonts w:ascii="Times New Roman" w:hAnsi="Times New Roman" w:eastAsia="Calibri" w:cs="Times New Roman"/>
          <w:b/>
          <w:bCs/>
          <w:sz w:val="26"/>
        </w:rPr>
        <w:t>Actual and Projected Electric Transmission Capital Spending by Project</w:t>
      </w:r>
    </w:p>
    <w:p w:rsidRPr="005E506A" w:rsidR="005E506A" w:rsidP="005E506A" w:rsidRDefault="005E506A" w14:paraId="6116ECCD" w14:textId="77777777">
      <w:pPr>
        <w:widowControl w:val="0"/>
        <w:spacing w:after="0" w:line="240" w:lineRule="auto"/>
        <w:rPr>
          <w:rFonts w:ascii="Times New Roman" w:hAnsi="Times New Roman" w:eastAsia="Calibri" w:cs="Times New Roman"/>
          <w:sz w:val="26"/>
        </w:rPr>
      </w:pPr>
    </w:p>
    <w:tbl>
      <w:tblPr>
        <w:tblStyle w:val="TableGrid"/>
        <w:tblW w:w="8635" w:type="dxa"/>
        <w:tblLook w:val="04A0" w:firstRow="1" w:lastRow="0" w:firstColumn="1" w:lastColumn="0" w:noHBand="0" w:noVBand="1"/>
      </w:tblPr>
      <w:tblGrid>
        <w:gridCol w:w="751"/>
        <w:gridCol w:w="773"/>
        <w:gridCol w:w="1135"/>
        <w:gridCol w:w="752"/>
        <w:gridCol w:w="752"/>
        <w:gridCol w:w="752"/>
        <w:gridCol w:w="752"/>
        <w:gridCol w:w="752"/>
        <w:gridCol w:w="752"/>
        <w:gridCol w:w="752"/>
        <w:gridCol w:w="752"/>
        <w:gridCol w:w="675"/>
      </w:tblGrid>
      <w:tr w:rsidRPr="005E506A" w:rsidR="005E506A" w:rsidTr="008C23D3" w14:paraId="63093A9A" w14:textId="77777777">
        <w:trPr>
          <w:trHeight w:val="432"/>
        </w:trPr>
        <w:tc>
          <w:tcPr>
            <w:tcW w:w="652" w:type="dxa"/>
          </w:tcPr>
          <w:p w:rsidRPr="005E506A" w:rsidR="005E506A" w:rsidP="005E506A" w:rsidRDefault="005E506A" w14:paraId="4787585A" w14:textId="77777777">
            <w:pPr>
              <w:rPr>
                <w:rFonts w:eastAsia="Calibri"/>
                <w:sz w:val="26"/>
                <w:szCs w:val="16"/>
              </w:rPr>
            </w:pPr>
          </w:p>
        </w:tc>
        <w:tc>
          <w:tcPr>
            <w:tcW w:w="670" w:type="dxa"/>
          </w:tcPr>
          <w:p w:rsidRPr="005E506A" w:rsidR="005E506A" w:rsidP="005E506A" w:rsidRDefault="005E506A" w14:paraId="2E555368" w14:textId="77777777">
            <w:pPr>
              <w:rPr>
                <w:rFonts w:eastAsia="Calibri"/>
                <w:sz w:val="26"/>
                <w:szCs w:val="16"/>
              </w:rPr>
            </w:pPr>
          </w:p>
        </w:tc>
        <w:tc>
          <w:tcPr>
            <w:tcW w:w="864" w:type="dxa"/>
          </w:tcPr>
          <w:p w:rsidRPr="005E506A" w:rsidR="005E506A" w:rsidP="005E506A" w:rsidRDefault="005E506A" w14:paraId="1A6D870A" w14:textId="77777777">
            <w:pPr>
              <w:rPr>
                <w:rFonts w:eastAsia="Calibri"/>
                <w:sz w:val="26"/>
                <w:szCs w:val="16"/>
              </w:rPr>
            </w:pPr>
          </w:p>
        </w:tc>
        <w:tc>
          <w:tcPr>
            <w:tcW w:w="5216" w:type="dxa"/>
            <w:gridSpan w:val="8"/>
          </w:tcPr>
          <w:p w:rsidRPr="005E506A" w:rsidR="005E506A" w:rsidP="005E506A" w:rsidRDefault="005E506A" w14:paraId="76E23E55" w14:textId="77777777">
            <w:pPr>
              <w:rPr>
                <w:rFonts w:eastAsia="Calibri"/>
                <w:sz w:val="26"/>
                <w:szCs w:val="16"/>
              </w:rPr>
            </w:pPr>
            <w:r w:rsidRPr="005E506A">
              <w:rPr>
                <w:rFonts w:eastAsia="Calibri"/>
                <w:sz w:val="26"/>
                <w:szCs w:val="16"/>
              </w:rPr>
              <w:t>Total Actual and Projected Project Spending on Transmission Facilities During Each Time Period            ($ Thousands) (1)</w:t>
            </w:r>
          </w:p>
        </w:tc>
        <w:tc>
          <w:tcPr>
            <w:tcW w:w="1233" w:type="dxa"/>
          </w:tcPr>
          <w:p w:rsidRPr="005E506A" w:rsidR="005E506A" w:rsidP="005E506A" w:rsidRDefault="005E506A" w14:paraId="607E2974" w14:textId="77777777">
            <w:pPr>
              <w:rPr>
                <w:rFonts w:eastAsia="Calibri"/>
                <w:sz w:val="26"/>
                <w:szCs w:val="16"/>
              </w:rPr>
            </w:pPr>
          </w:p>
        </w:tc>
      </w:tr>
      <w:tr w:rsidRPr="005E506A" w:rsidR="005E506A" w:rsidTr="008C23D3" w14:paraId="48EF3211" w14:textId="77777777">
        <w:trPr>
          <w:trHeight w:val="288"/>
        </w:trPr>
        <w:tc>
          <w:tcPr>
            <w:tcW w:w="652" w:type="dxa"/>
          </w:tcPr>
          <w:p w:rsidRPr="005E506A" w:rsidR="005E506A" w:rsidP="005E506A" w:rsidRDefault="005E506A" w14:paraId="741A22A0" w14:textId="77777777">
            <w:pPr>
              <w:rPr>
                <w:rFonts w:eastAsia="Calibri"/>
                <w:sz w:val="26"/>
                <w:szCs w:val="16"/>
              </w:rPr>
            </w:pPr>
          </w:p>
        </w:tc>
        <w:tc>
          <w:tcPr>
            <w:tcW w:w="670" w:type="dxa"/>
          </w:tcPr>
          <w:p w:rsidRPr="005E506A" w:rsidR="005E506A" w:rsidP="005E506A" w:rsidRDefault="005E506A" w14:paraId="29AF378E" w14:textId="77777777">
            <w:pPr>
              <w:rPr>
                <w:rFonts w:eastAsia="Calibri"/>
                <w:sz w:val="26"/>
                <w:szCs w:val="16"/>
              </w:rPr>
            </w:pPr>
          </w:p>
        </w:tc>
        <w:tc>
          <w:tcPr>
            <w:tcW w:w="864" w:type="dxa"/>
          </w:tcPr>
          <w:p w:rsidRPr="005E506A" w:rsidR="005E506A" w:rsidP="005E506A" w:rsidRDefault="005E506A" w14:paraId="41F31DEC" w14:textId="77777777">
            <w:pPr>
              <w:rPr>
                <w:rFonts w:eastAsia="Calibri"/>
                <w:sz w:val="26"/>
                <w:szCs w:val="16"/>
              </w:rPr>
            </w:pPr>
          </w:p>
        </w:tc>
        <w:tc>
          <w:tcPr>
            <w:tcW w:w="1304" w:type="dxa"/>
            <w:gridSpan w:val="2"/>
          </w:tcPr>
          <w:p w:rsidRPr="005E506A" w:rsidR="005E506A" w:rsidP="005E506A" w:rsidRDefault="005E506A" w14:paraId="26CFD0AF" w14:textId="77777777">
            <w:pPr>
              <w:rPr>
                <w:rFonts w:eastAsia="Calibri"/>
                <w:sz w:val="26"/>
                <w:szCs w:val="16"/>
              </w:rPr>
            </w:pPr>
            <w:r w:rsidRPr="005E506A">
              <w:rPr>
                <w:rFonts w:eastAsia="Calibri"/>
                <w:sz w:val="26"/>
                <w:szCs w:val="16"/>
              </w:rPr>
              <w:t>Actual</w:t>
            </w:r>
          </w:p>
        </w:tc>
        <w:tc>
          <w:tcPr>
            <w:tcW w:w="3912" w:type="dxa"/>
            <w:gridSpan w:val="6"/>
          </w:tcPr>
          <w:p w:rsidRPr="005E506A" w:rsidR="005E506A" w:rsidP="005E506A" w:rsidRDefault="005E506A" w14:paraId="0D859D46" w14:textId="77777777">
            <w:pPr>
              <w:rPr>
                <w:rFonts w:eastAsia="Calibri"/>
                <w:sz w:val="26"/>
                <w:szCs w:val="16"/>
              </w:rPr>
            </w:pPr>
            <w:r w:rsidRPr="005E506A">
              <w:rPr>
                <w:rFonts w:eastAsia="Calibri"/>
                <w:sz w:val="26"/>
                <w:szCs w:val="16"/>
              </w:rPr>
              <w:t>Projected</w:t>
            </w:r>
          </w:p>
        </w:tc>
        <w:tc>
          <w:tcPr>
            <w:tcW w:w="1233" w:type="dxa"/>
          </w:tcPr>
          <w:p w:rsidRPr="005E506A" w:rsidR="005E506A" w:rsidP="005E506A" w:rsidRDefault="005E506A" w14:paraId="59EF35C8" w14:textId="77777777">
            <w:pPr>
              <w:rPr>
                <w:rFonts w:eastAsia="Calibri"/>
                <w:sz w:val="26"/>
                <w:szCs w:val="16"/>
              </w:rPr>
            </w:pPr>
          </w:p>
        </w:tc>
      </w:tr>
      <w:tr w:rsidRPr="005E506A" w:rsidR="005E506A" w:rsidTr="008C23D3" w14:paraId="0DEB8622" w14:textId="77777777">
        <w:trPr>
          <w:trHeight w:val="647"/>
        </w:trPr>
        <w:tc>
          <w:tcPr>
            <w:tcW w:w="652" w:type="dxa"/>
          </w:tcPr>
          <w:p w:rsidRPr="005E506A" w:rsidR="005E506A" w:rsidP="005E506A" w:rsidRDefault="005E506A" w14:paraId="1B608C0C" w14:textId="77777777">
            <w:pPr>
              <w:rPr>
                <w:rFonts w:eastAsia="Calibri"/>
                <w:sz w:val="26"/>
                <w:szCs w:val="16"/>
              </w:rPr>
            </w:pPr>
            <w:r w:rsidRPr="005E506A">
              <w:rPr>
                <w:rFonts w:eastAsia="Calibri"/>
                <w:sz w:val="26"/>
                <w:szCs w:val="16"/>
              </w:rPr>
              <w:t xml:space="preserve">Report Year   </w:t>
            </w:r>
          </w:p>
        </w:tc>
        <w:tc>
          <w:tcPr>
            <w:tcW w:w="670" w:type="dxa"/>
          </w:tcPr>
          <w:p w:rsidRPr="005E506A" w:rsidR="005E506A" w:rsidP="005E506A" w:rsidRDefault="005E506A" w14:paraId="61E961FA" w14:textId="77777777">
            <w:pPr>
              <w:rPr>
                <w:rFonts w:eastAsia="Calibri"/>
                <w:sz w:val="26"/>
                <w:szCs w:val="16"/>
              </w:rPr>
            </w:pPr>
            <w:r w:rsidRPr="005E506A">
              <w:rPr>
                <w:rFonts w:eastAsia="Calibri"/>
                <w:sz w:val="26"/>
                <w:szCs w:val="16"/>
              </w:rPr>
              <w:t xml:space="preserve">Project Code      </w:t>
            </w:r>
          </w:p>
        </w:tc>
        <w:tc>
          <w:tcPr>
            <w:tcW w:w="864" w:type="dxa"/>
          </w:tcPr>
          <w:p w:rsidRPr="005E506A" w:rsidR="005E506A" w:rsidP="005E506A" w:rsidRDefault="005E506A" w14:paraId="5160A7CF" w14:textId="77777777">
            <w:pPr>
              <w:rPr>
                <w:rFonts w:eastAsia="Calibri"/>
                <w:sz w:val="26"/>
                <w:szCs w:val="16"/>
              </w:rPr>
            </w:pPr>
            <w:r w:rsidRPr="005E506A">
              <w:rPr>
                <w:rFonts w:eastAsia="Calibri"/>
                <w:sz w:val="26"/>
                <w:szCs w:val="16"/>
              </w:rPr>
              <w:t>Project Description</w:t>
            </w:r>
          </w:p>
        </w:tc>
        <w:tc>
          <w:tcPr>
            <w:tcW w:w="652" w:type="dxa"/>
          </w:tcPr>
          <w:p w:rsidRPr="005E506A" w:rsidR="005E506A" w:rsidP="005E506A" w:rsidRDefault="005E506A" w14:paraId="041290F0" w14:textId="77777777">
            <w:pPr>
              <w:rPr>
                <w:rFonts w:eastAsia="Calibri"/>
                <w:sz w:val="26"/>
                <w:szCs w:val="16"/>
              </w:rPr>
            </w:pPr>
            <w:r w:rsidRPr="005E506A">
              <w:rPr>
                <w:rFonts w:eastAsia="Calibri"/>
                <w:sz w:val="26"/>
                <w:szCs w:val="16"/>
              </w:rPr>
              <w:t>Prior to Report Year</w:t>
            </w:r>
          </w:p>
        </w:tc>
        <w:tc>
          <w:tcPr>
            <w:tcW w:w="652" w:type="dxa"/>
          </w:tcPr>
          <w:p w:rsidRPr="005E506A" w:rsidR="005E506A" w:rsidP="005E506A" w:rsidRDefault="005E506A" w14:paraId="574EE768" w14:textId="77777777">
            <w:pPr>
              <w:rPr>
                <w:rFonts w:eastAsia="Calibri"/>
                <w:sz w:val="26"/>
                <w:szCs w:val="16"/>
              </w:rPr>
            </w:pPr>
            <w:r w:rsidRPr="005E506A">
              <w:rPr>
                <w:rFonts w:eastAsia="Calibri"/>
                <w:sz w:val="26"/>
                <w:szCs w:val="16"/>
              </w:rPr>
              <w:t>Report Year</w:t>
            </w:r>
          </w:p>
          <w:p w:rsidRPr="005E506A" w:rsidR="005E506A" w:rsidP="005E506A" w:rsidRDefault="005E506A" w14:paraId="09105EAC" w14:textId="77777777">
            <w:pPr>
              <w:rPr>
                <w:rFonts w:eastAsia="Calibri"/>
                <w:sz w:val="26"/>
                <w:szCs w:val="16"/>
              </w:rPr>
            </w:pPr>
            <w:r w:rsidRPr="005E506A">
              <w:rPr>
                <w:rFonts w:eastAsia="Calibri"/>
                <w:sz w:val="26"/>
                <w:szCs w:val="16"/>
              </w:rPr>
              <w:t>+0</w:t>
            </w:r>
          </w:p>
        </w:tc>
        <w:tc>
          <w:tcPr>
            <w:tcW w:w="652" w:type="dxa"/>
          </w:tcPr>
          <w:p w:rsidRPr="005E506A" w:rsidR="005E506A" w:rsidP="005E506A" w:rsidRDefault="005E506A" w14:paraId="540C9073" w14:textId="77777777">
            <w:pPr>
              <w:rPr>
                <w:rFonts w:eastAsia="Calibri"/>
                <w:sz w:val="26"/>
                <w:szCs w:val="16"/>
              </w:rPr>
            </w:pPr>
            <w:r w:rsidRPr="005E506A">
              <w:rPr>
                <w:rFonts w:eastAsia="Calibri"/>
                <w:sz w:val="26"/>
                <w:szCs w:val="16"/>
              </w:rPr>
              <w:t xml:space="preserve">Report Year +1     </w:t>
            </w:r>
          </w:p>
        </w:tc>
        <w:tc>
          <w:tcPr>
            <w:tcW w:w="652" w:type="dxa"/>
          </w:tcPr>
          <w:p w:rsidRPr="005E506A" w:rsidR="005E506A" w:rsidP="005E506A" w:rsidRDefault="005E506A" w14:paraId="010E6CD0" w14:textId="77777777">
            <w:pPr>
              <w:rPr>
                <w:rFonts w:eastAsia="Calibri"/>
                <w:sz w:val="26"/>
                <w:szCs w:val="16"/>
              </w:rPr>
            </w:pPr>
            <w:r w:rsidRPr="005E506A">
              <w:rPr>
                <w:rFonts w:eastAsia="Calibri"/>
                <w:sz w:val="26"/>
                <w:szCs w:val="16"/>
              </w:rPr>
              <w:t xml:space="preserve">Report Year +2     </w:t>
            </w:r>
          </w:p>
        </w:tc>
        <w:tc>
          <w:tcPr>
            <w:tcW w:w="652" w:type="dxa"/>
          </w:tcPr>
          <w:p w:rsidRPr="005E506A" w:rsidR="005E506A" w:rsidP="005E506A" w:rsidRDefault="005E506A" w14:paraId="217123A8" w14:textId="77777777">
            <w:pPr>
              <w:rPr>
                <w:rFonts w:eastAsia="Calibri"/>
                <w:sz w:val="26"/>
                <w:szCs w:val="16"/>
              </w:rPr>
            </w:pPr>
            <w:r w:rsidRPr="005E506A">
              <w:rPr>
                <w:rFonts w:eastAsia="Calibri"/>
                <w:sz w:val="26"/>
                <w:szCs w:val="16"/>
              </w:rPr>
              <w:t xml:space="preserve">Report Year +3    </w:t>
            </w:r>
          </w:p>
        </w:tc>
        <w:tc>
          <w:tcPr>
            <w:tcW w:w="652" w:type="dxa"/>
          </w:tcPr>
          <w:p w:rsidRPr="005E506A" w:rsidR="005E506A" w:rsidP="005E506A" w:rsidRDefault="005E506A" w14:paraId="0C71B170" w14:textId="77777777">
            <w:pPr>
              <w:rPr>
                <w:rFonts w:eastAsia="Calibri"/>
                <w:sz w:val="26"/>
                <w:szCs w:val="16"/>
              </w:rPr>
            </w:pPr>
            <w:r w:rsidRPr="005E506A">
              <w:rPr>
                <w:rFonts w:eastAsia="Calibri"/>
                <w:sz w:val="26"/>
                <w:szCs w:val="16"/>
              </w:rPr>
              <w:t xml:space="preserve">Report Year +4      </w:t>
            </w:r>
          </w:p>
        </w:tc>
        <w:tc>
          <w:tcPr>
            <w:tcW w:w="652" w:type="dxa"/>
          </w:tcPr>
          <w:p w:rsidRPr="005E506A" w:rsidR="005E506A" w:rsidP="005E506A" w:rsidRDefault="005E506A" w14:paraId="00B0C6A8" w14:textId="77777777">
            <w:pPr>
              <w:rPr>
                <w:rFonts w:eastAsia="Calibri"/>
                <w:sz w:val="26"/>
                <w:szCs w:val="16"/>
              </w:rPr>
            </w:pPr>
            <w:r w:rsidRPr="005E506A">
              <w:rPr>
                <w:rFonts w:eastAsia="Calibri"/>
                <w:sz w:val="26"/>
                <w:szCs w:val="16"/>
              </w:rPr>
              <w:t xml:space="preserve">Report Year +5     </w:t>
            </w:r>
          </w:p>
        </w:tc>
        <w:tc>
          <w:tcPr>
            <w:tcW w:w="652" w:type="dxa"/>
          </w:tcPr>
          <w:p w:rsidRPr="005E506A" w:rsidR="005E506A" w:rsidP="005E506A" w:rsidRDefault="005E506A" w14:paraId="18C1D644" w14:textId="77777777">
            <w:pPr>
              <w:rPr>
                <w:rFonts w:eastAsia="Calibri"/>
                <w:sz w:val="26"/>
                <w:szCs w:val="16"/>
              </w:rPr>
            </w:pPr>
            <w:r w:rsidRPr="005E506A">
              <w:rPr>
                <w:rFonts w:eastAsia="Calibri"/>
                <w:sz w:val="26"/>
                <w:szCs w:val="16"/>
              </w:rPr>
              <w:t xml:space="preserve">After Report Year +5     </w:t>
            </w:r>
          </w:p>
        </w:tc>
        <w:tc>
          <w:tcPr>
            <w:tcW w:w="1233" w:type="dxa"/>
          </w:tcPr>
          <w:p w:rsidRPr="005E506A" w:rsidR="005E506A" w:rsidP="005E506A" w:rsidRDefault="005E506A" w14:paraId="5F45A583" w14:textId="77777777">
            <w:pPr>
              <w:rPr>
                <w:rFonts w:eastAsia="Calibri"/>
                <w:sz w:val="26"/>
                <w:szCs w:val="16"/>
              </w:rPr>
            </w:pPr>
            <w:r w:rsidRPr="005E506A">
              <w:rPr>
                <w:rFonts w:eastAsia="Calibri"/>
                <w:sz w:val="26"/>
                <w:szCs w:val="16"/>
              </w:rPr>
              <w:t xml:space="preserve">Notes       </w:t>
            </w:r>
          </w:p>
        </w:tc>
      </w:tr>
      <w:tr w:rsidRPr="005E506A" w:rsidR="005E506A" w:rsidTr="008C23D3" w14:paraId="4339A483" w14:textId="77777777">
        <w:trPr>
          <w:trHeight w:val="576"/>
        </w:trPr>
        <w:tc>
          <w:tcPr>
            <w:tcW w:w="652" w:type="dxa"/>
          </w:tcPr>
          <w:p w:rsidRPr="005E506A" w:rsidR="005E506A" w:rsidP="005E506A" w:rsidRDefault="005E506A" w14:paraId="1F857D47" w14:textId="77777777">
            <w:pPr>
              <w:rPr>
                <w:rFonts w:eastAsia="Calibri"/>
                <w:sz w:val="26"/>
                <w:szCs w:val="16"/>
              </w:rPr>
            </w:pPr>
            <w:r w:rsidRPr="005E506A">
              <w:rPr>
                <w:rFonts w:eastAsia="Calibri"/>
                <w:sz w:val="26"/>
                <w:szCs w:val="16"/>
              </w:rPr>
              <w:t>(2)</w:t>
            </w:r>
          </w:p>
        </w:tc>
        <w:tc>
          <w:tcPr>
            <w:tcW w:w="670" w:type="dxa"/>
          </w:tcPr>
          <w:p w:rsidRPr="005E506A" w:rsidR="005E506A" w:rsidP="005E506A" w:rsidRDefault="005E506A" w14:paraId="5F23C5BD" w14:textId="77777777">
            <w:pPr>
              <w:rPr>
                <w:rFonts w:eastAsia="Calibri"/>
                <w:sz w:val="26"/>
                <w:szCs w:val="16"/>
              </w:rPr>
            </w:pPr>
            <w:r w:rsidRPr="005E506A">
              <w:rPr>
                <w:rFonts w:eastAsia="Calibri"/>
                <w:sz w:val="26"/>
                <w:szCs w:val="16"/>
              </w:rPr>
              <w:t>(3)</w:t>
            </w:r>
          </w:p>
        </w:tc>
        <w:tc>
          <w:tcPr>
            <w:tcW w:w="864" w:type="dxa"/>
          </w:tcPr>
          <w:p w:rsidRPr="005E506A" w:rsidR="005E506A" w:rsidP="005E506A" w:rsidRDefault="005E506A" w14:paraId="7A65BF4B" w14:textId="77777777">
            <w:pPr>
              <w:rPr>
                <w:rFonts w:eastAsia="Calibri"/>
                <w:sz w:val="26"/>
                <w:szCs w:val="16"/>
              </w:rPr>
            </w:pPr>
            <w:r w:rsidRPr="005E506A">
              <w:rPr>
                <w:rFonts w:eastAsia="Calibri"/>
                <w:sz w:val="26"/>
                <w:szCs w:val="16"/>
              </w:rPr>
              <w:t>(4)</w:t>
            </w:r>
          </w:p>
        </w:tc>
        <w:tc>
          <w:tcPr>
            <w:tcW w:w="652" w:type="dxa"/>
          </w:tcPr>
          <w:p w:rsidRPr="005E506A" w:rsidR="005E506A" w:rsidP="005E506A" w:rsidRDefault="005E506A" w14:paraId="2C68A612" w14:textId="77777777">
            <w:pPr>
              <w:rPr>
                <w:rFonts w:eastAsia="Calibri"/>
                <w:sz w:val="26"/>
                <w:szCs w:val="16"/>
              </w:rPr>
            </w:pPr>
            <w:r w:rsidRPr="005E506A">
              <w:rPr>
                <w:rFonts w:eastAsia="Calibri"/>
                <w:sz w:val="26"/>
                <w:szCs w:val="16"/>
              </w:rPr>
              <w:t>(5)</w:t>
            </w:r>
          </w:p>
        </w:tc>
        <w:tc>
          <w:tcPr>
            <w:tcW w:w="652" w:type="dxa"/>
          </w:tcPr>
          <w:p w:rsidRPr="005E506A" w:rsidR="005E506A" w:rsidP="005E506A" w:rsidRDefault="005E506A" w14:paraId="45B7C3E6" w14:textId="77777777">
            <w:pPr>
              <w:rPr>
                <w:rFonts w:eastAsia="Calibri"/>
                <w:sz w:val="26"/>
                <w:szCs w:val="16"/>
              </w:rPr>
            </w:pPr>
            <w:r w:rsidRPr="005E506A">
              <w:rPr>
                <w:rFonts w:eastAsia="Calibri"/>
                <w:sz w:val="26"/>
                <w:szCs w:val="16"/>
              </w:rPr>
              <w:t>(6)</w:t>
            </w:r>
          </w:p>
        </w:tc>
        <w:tc>
          <w:tcPr>
            <w:tcW w:w="652" w:type="dxa"/>
          </w:tcPr>
          <w:p w:rsidRPr="005E506A" w:rsidR="005E506A" w:rsidP="005E506A" w:rsidRDefault="005E506A" w14:paraId="35E333B5" w14:textId="77777777">
            <w:pPr>
              <w:rPr>
                <w:rFonts w:eastAsia="Calibri"/>
                <w:sz w:val="26"/>
                <w:szCs w:val="16"/>
              </w:rPr>
            </w:pPr>
            <w:r w:rsidRPr="005E506A">
              <w:rPr>
                <w:rFonts w:eastAsia="Calibri"/>
                <w:sz w:val="26"/>
                <w:szCs w:val="16"/>
              </w:rPr>
              <w:t>(7)</w:t>
            </w:r>
          </w:p>
        </w:tc>
        <w:tc>
          <w:tcPr>
            <w:tcW w:w="652" w:type="dxa"/>
          </w:tcPr>
          <w:p w:rsidRPr="005E506A" w:rsidR="005E506A" w:rsidP="005E506A" w:rsidRDefault="005E506A" w14:paraId="684388D5" w14:textId="77777777">
            <w:pPr>
              <w:rPr>
                <w:rFonts w:eastAsia="Calibri"/>
                <w:sz w:val="26"/>
                <w:szCs w:val="16"/>
              </w:rPr>
            </w:pPr>
          </w:p>
        </w:tc>
        <w:tc>
          <w:tcPr>
            <w:tcW w:w="652" w:type="dxa"/>
          </w:tcPr>
          <w:p w:rsidRPr="005E506A" w:rsidR="005E506A" w:rsidP="005E506A" w:rsidRDefault="005E506A" w14:paraId="01E54AAB" w14:textId="77777777">
            <w:pPr>
              <w:rPr>
                <w:rFonts w:eastAsia="Calibri"/>
                <w:sz w:val="26"/>
                <w:szCs w:val="16"/>
              </w:rPr>
            </w:pPr>
          </w:p>
        </w:tc>
        <w:tc>
          <w:tcPr>
            <w:tcW w:w="652" w:type="dxa"/>
          </w:tcPr>
          <w:p w:rsidRPr="005E506A" w:rsidR="005E506A" w:rsidP="005E506A" w:rsidRDefault="005E506A" w14:paraId="546E3C31" w14:textId="77777777">
            <w:pPr>
              <w:rPr>
                <w:rFonts w:eastAsia="Calibri"/>
                <w:sz w:val="26"/>
                <w:szCs w:val="16"/>
              </w:rPr>
            </w:pPr>
          </w:p>
        </w:tc>
        <w:tc>
          <w:tcPr>
            <w:tcW w:w="652" w:type="dxa"/>
          </w:tcPr>
          <w:p w:rsidRPr="005E506A" w:rsidR="005E506A" w:rsidP="005E506A" w:rsidRDefault="005E506A" w14:paraId="2407F4E1" w14:textId="77777777">
            <w:pPr>
              <w:rPr>
                <w:rFonts w:eastAsia="Calibri"/>
                <w:sz w:val="26"/>
                <w:szCs w:val="16"/>
              </w:rPr>
            </w:pPr>
          </w:p>
        </w:tc>
        <w:tc>
          <w:tcPr>
            <w:tcW w:w="652" w:type="dxa"/>
          </w:tcPr>
          <w:p w:rsidRPr="005E506A" w:rsidR="005E506A" w:rsidP="005E506A" w:rsidRDefault="005E506A" w14:paraId="604A1462" w14:textId="77777777">
            <w:pPr>
              <w:rPr>
                <w:rFonts w:eastAsia="Calibri"/>
                <w:sz w:val="26"/>
                <w:szCs w:val="16"/>
              </w:rPr>
            </w:pPr>
            <w:r w:rsidRPr="005E506A">
              <w:rPr>
                <w:rFonts w:eastAsia="Calibri"/>
                <w:sz w:val="26"/>
                <w:szCs w:val="16"/>
              </w:rPr>
              <w:t>(8)</w:t>
            </w:r>
          </w:p>
        </w:tc>
        <w:tc>
          <w:tcPr>
            <w:tcW w:w="1233" w:type="dxa"/>
          </w:tcPr>
          <w:p w:rsidRPr="005E506A" w:rsidR="005E506A" w:rsidP="005E506A" w:rsidRDefault="005E506A" w14:paraId="14FCD9BB" w14:textId="77777777">
            <w:pPr>
              <w:rPr>
                <w:rFonts w:eastAsia="Calibri"/>
                <w:sz w:val="26"/>
                <w:szCs w:val="16"/>
              </w:rPr>
            </w:pPr>
            <w:r w:rsidRPr="005E506A">
              <w:rPr>
                <w:rFonts w:eastAsia="Calibri"/>
                <w:sz w:val="26"/>
                <w:szCs w:val="16"/>
              </w:rPr>
              <w:t>(9)</w:t>
            </w:r>
          </w:p>
        </w:tc>
      </w:tr>
    </w:tbl>
    <w:p w:rsidRPr="005E506A" w:rsidR="005E506A" w:rsidP="005E506A" w:rsidRDefault="005E506A" w14:paraId="15691DAB"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7CA3E80F"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Instructions for completing “Table 1”:</w:t>
      </w:r>
    </w:p>
    <w:p w:rsidRPr="005E506A" w:rsidR="005E506A" w:rsidP="005E506A" w:rsidRDefault="005E506A" w14:paraId="370A7778"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2795FF5A"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(1) Total Actual and Projected Project Spending on Transmission Facilities During Each Time Period is the total actual and projected spending on each project until it is completed.  Transmission </w:t>
      </w:r>
      <w:r w:rsidRPr="005E506A">
        <w:rPr>
          <w:rFonts w:ascii="Times New Roman" w:hAnsi="Times New Roman" w:eastAsia="Calibri" w:cs="Times New Roman"/>
          <w:sz w:val="26"/>
          <w:szCs w:val="24"/>
        </w:rPr>
        <w:t>facilities are defined to be transmission assets</w:t>
      </w:r>
      <w:r w:rsidRPr="005E506A">
        <w:rPr>
          <w:rFonts w:ascii="Times New Roman" w:hAnsi="Times New Roman" w:eastAsia="Calibri" w:cs="Times New Roman"/>
          <w:sz w:val="26"/>
        </w:rPr>
        <w:t xml:space="preserve"> as specified in the Uniform System of Accounts in account numbers 350 through 359 (</w:t>
      </w:r>
      <w:r w:rsidRPr="005E506A">
        <w:rPr>
          <w:rFonts w:ascii="Times New Roman" w:hAnsi="Times New Roman" w:eastAsia="Calibri" w:cs="Times New Roman"/>
          <w:i/>
          <w:sz w:val="26"/>
          <w:szCs w:val="24"/>
          <w:u w:val="single"/>
        </w:rPr>
        <w:t>see</w:t>
      </w:r>
      <w:r w:rsidRPr="005E506A">
        <w:rPr>
          <w:rFonts w:ascii="Times New Roman" w:hAnsi="Times New Roman" w:eastAsia="Calibri" w:cs="Times New Roman"/>
          <w:i/>
          <w:sz w:val="26"/>
          <w:szCs w:val="24"/>
        </w:rPr>
        <w:t>,</w:t>
      </w:r>
      <w:r w:rsidRPr="005E506A">
        <w:rPr>
          <w:rFonts w:ascii="Times New Roman" w:hAnsi="Times New Roman" w:eastAsia="Calibri" w:cs="Times New Roman"/>
          <w:sz w:val="26"/>
        </w:rPr>
        <w:t xml:space="preserve"> 18 </w:t>
      </w:r>
      <w:r w:rsidRPr="005E506A">
        <w:rPr>
          <w:rFonts w:ascii="Times New Roman" w:hAnsi="Times New Roman" w:eastAsia="Calibri" w:cs="Times New Roman"/>
          <w:sz w:val="26"/>
          <w:szCs w:val="24"/>
        </w:rPr>
        <w:t xml:space="preserve">CFR Part 101, </w:t>
      </w:r>
      <w:r w:rsidRPr="005E506A">
        <w:rPr>
          <w:rFonts w:ascii="Times New Roman" w:hAnsi="Times New Roman" w:eastAsia="Calibri" w:cs="Times New Roman"/>
          <w:i/>
          <w:sz w:val="26"/>
          <w:szCs w:val="24"/>
        </w:rPr>
        <w:t>Uniform System of Accounts Prescribed for Public Utilities and Licensees Subject to the Provisions of the Federal Power Act</w:t>
      </w:r>
      <w:r w:rsidRPr="005E506A">
        <w:rPr>
          <w:rFonts w:ascii="Times New Roman" w:hAnsi="Times New Roman" w:eastAsia="Calibri" w:cs="Times New Roman"/>
          <w:sz w:val="26"/>
          <w:szCs w:val="24"/>
        </w:rPr>
        <w:t>, for account definitions).  The Transmission Plant accounts include:  Accounts 350 (Land and Land Rights), 351 (Energy Storage Equipment- Transmission), 352 (Structures and Improvements), 353 (Station Equipment), 354 (Towers and Fixtures), 355 (Poles and Fixtures), 356 (Overhead Conductors and Devices), 357 (Underground Conduit), 358 (Underground Conductors and Devices), and 359 (Roads and Trails).</w:t>
      </w:r>
    </w:p>
    <w:p w:rsidRPr="005E506A" w:rsidR="005E506A" w:rsidP="005E506A" w:rsidRDefault="005E506A" w14:paraId="4071E17C"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lastRenderedPageBreak/>
        <w:t>(2) Report Year is the year associated with data reported in that row.  For example, if it is April 2021 and the public utility is reporting on 2020 project activity, the report year is 2020. A public utility can use the same form to correct a prior year’s data.  It would just report the data associated with the previous report year as an entry in Table 1.</w:t>
      </w:r>
    </w:p>
    <w:p w:rsidRPr="005E506A" w:rsidR="005E506A" w:rsidP="005E506A" w:rsidRDefault="005E506A" w14:paraId="6BE417F4"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(3) Project Code is the same Project Code associated with the project as in Table 2 below.  Project Code is a 12-character alphanumeric string unique to each project.  Respondents should add as many additional rows as are necessary to list all relevant projects.  The combination of Report Year and Project Code is the primary key for each record.  The primary key allows Table 1 and Table 2 data to be combined into a single table.  </w:t>
      </w:r>
    </w:p>
    <w:p w:rsidRPr="005E506A" w:rsidR="005E506A" w:rsidP="005E506A" w:rsidRDefault="005E506A" w14:paraId="2877D78A"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(4) Project Description is a descriptive name for the project.  It is the same description associated with the project code in Table 2.  </w:t>
      </w:r>
    </w:p>
    <w:p w:rsidRPr="005E506A" w:rsidR="005E506A" w:rsidP="005E506A" w:rsidRDefault="005E506A" w14:paraId="18949231"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(5) Prior to the Report Year is the sum of all Actual spending associated with the project prior to the report year.  All capital spending data is formatted as a currency number.</w:t>
      </w:r>
    </w:p>
    <w:p w:rsidRPr="005E506A" w:rsidR="005E506A" w:rsidP="005E506A" w:rsidRDefault="005E506A" w14:paraId="16B9191A"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(6) Report Year +0 is the sum of all Actual spending associated with the project during the report year.  </w:t>
      </w:r>
    </w:p>
    <w:p w:rsidRPr="005E506A" w:rsidR="005E506A" w:rsidP="005E506A" w:rsidRDefault="005E506A" w14:paraId="5604AFDE"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(7) </w:t>
      </w:r>
      <w:bookmarkStart w:name="_Hlk31263796" w:id="0"/>
      <w:r w:rsidRPr="005E506A">
        <w:rPr>
          <w:rFonts w:ascii="Times New Roman" w:hAnsi="Times New Roman" w:eastAsia="Calibri" w:cs="Times New Roman"/>
          <w:sz w:val="26"/>
        </w:rPr>
        <w:t xml:space="preserve">Report Year +n </w:t>
      </w:r>
      <w:bookmarkEnd w:id="0"/>
      <w:r w:rsidRPr="005E506A">
        <w:rPr>
          <w:rFonts w:ascii="Times New Roman" w:hAnsi="Times New Roman" w:eastAsia="Calibri" w:cs="Times New Roman"/>
          <w:sz w:val="26"/>
        </w:rPr>
        <w:t>means the sum of all Projected spending on the project in the calendar year of the Report Year plus n.  For example, if n equals one, and the report year is 2020, then Report Year +1 will be 2021 and that entry would be sum of all Projected spending on the project in the calendar year 2021.</w:t>
      </w:r>
    </w:p>
    <w:p w:rsidRPr="005E506A" w:rsidR="005E506A" w:rsidP="005E506A" w:rsidRDefault="005E506A" w14:paraId="0CDBC50C"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(8) After Report Year +5 means the sum of all Projected spending on the project more than five years past the Report Year.  For example, if the report year is 2020, then this entry would be the sum of all spending starting at the beginning of 2026 and continuing until the project is complete.  Note, that this entry can be estimated by using the total projected spending on the project, which the public utility already knows.  </w:t>
      </w:r>
    </w:p>
    <w:p w:rsidRPr="005E506A" w:rsidR="005E506A" w:rsidP="005E506A" w:rsidRDefault="005E506A" w14:paraId="66231853"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sz w:val="26"/>
        </w:rPr>
        <w:t>(9) Notes includes information about spending and estimated spending not included elsewhere. Notes is a 120-character string.</w:t>
      </w:r>
    </w:p>
    <w:p w:rsidRPr="005E506A" w:rsidR="005E506A" w:rsidP="005E506A" w:rsidRDefault="005E506A" w14:paraId="6B69267B"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sz w:val="26"/>
        </w:rPr>
        <w:t xml:space="preserve">Below is an example of Table 1 associated with a fictitious public utility with two fictitious projects.   </w:t>
      </w:r>
    </w:p>
    <w:p w:rsidRPr="005E506A" w:rsidR="005E506A" w:rsidP="005E506A" w:rsidRDefault="005E506A" w14:paraId="3BF61FF7"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6C351421"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4B52282E"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29DC3FA9"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0182ECCC"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16C2FCA5"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5162F1B3"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5BDF485D"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1FE80256"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22AE5BF6"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160AA11F"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30D3D0F1"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49038D9C"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285C6E45"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7CFF0350"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5E2F0162" w14:textId="77777777">
      <w:pPr>
        <w:widowControl w:val="0"/>
        <w:spacing w:after="0" w:line="240" w:lineRule="auto"/>
        <w:rPr>
          <w:rFonts w:ascii="Times New Roman" w:hAnsi="Times New Roman" w:eastAsia="Calibri" w:cs="Times New Roman"/>
          <w:b/>
          <w:bCs/>
          <w:sz w:val="26"/>
        </w:rPr>
      </w:pPr>
      <w:r w:rsidRPr="005E506A">
        <w:rPr>
          <w:rFonts w:ascii="Times New Roman" w:hAnsi="Times New Roman" w:eastAsia="Calibri" w:cs="Times New Roman"/>
          <w:b/>
          <w:sz w:val="26"/>
        </w:rPr>
        <w:lastRenderedPageBreak/>
        <w:t>Table 1:</w:t>
      </w:r>
      <w:r w:rsidRPr="005E506A">
        <w:rPr>
          <w:rFonts w:ascii="Times New Roman" w:hAnsi="Times New Roman" w:eastAsia="Calibri" w:cs="Times New Roman"/>
          <w:sz w:val="26"/>
        </w:rPr>
        <w:t xml:space="preserve">  </w:t>
      </w:r>
      <w:r w:rsidRPr="005E506A">
        <w:rPr>
          <w:rFonts w:ascii="Times New Roman" w:hAnsi="Times New Roman" w:eastAsia="Calibri" w:cs="Times New Roman"/>
          <w:b/>
          <w:bCs/>
          <w:sz w:val="26"/>
        </w:rPr>
        <w:t>Actual and Projected Electric Transmission Capital Spending by Project</w:t>
      </w:r>
    </w:p>
    <w:p w:rsidRPr="005E506A" w:rsidR="005E506A" w:rsidP="005E506A" w:rsidRDefault="005E506A" w14:paraId="4C54E70A" w14:textId="77777777">
      <w:pPr>
        <w:widowControl w:val="0"/>
        <w:spacing w:after="0" w:line="240" w:lineRule="auto"/>
        <w:rPr>
          <w:rFonts w:ascii="Times New Roman" w:hAnsi="Times New Roman" w:eastAsia="Calibri" w:cs="Times New Roman"/>
          <w:b/>
          <w:bCs/>
          <w:sz w:val="26"/>
        </w:rPr>
      </w:pPr>
    </w:p>
    <w:tbl>
      <w:tblPr>
        <w:tblStyle w:val="TableGrid"/>
        <w:tblW w:w="9265" w:type="dxa"/>
        <w:tblLayout w:type="fixed"/>
        <w:tblLook w:val="04A0" w:firstRow="1" w:lastRow="0" w:firstColumn="1" w:lastColumn="0" w:noHBand="0" w:noVBand="1"/>
      </w:tblPr>
      <w:tblGrid>
        <w:gridCol w:w="625"/>
        <w:gridCol w:w="910"/>
        <w:gridCol w:w="890"/>
        <w:gridCol w:w="810"/>
        <w:gridCol w:w="720"/>
        <w:gridCol w:w="720"/>
        <w:gridCol w:w="810"/>
        <w:gridCol w:w="810"/>
        <w:gridCol w:w="720"/>
        <w:gridCol w:w="540"/>
        <w:gridCol w:w="720"/>
        <w:gridCol w:w="990"/>
      </w:tblGrid>
      <w:tr w:rsidRPr="005E506A" w:rsidR="005E506A" w:rsidTr="008C23D3" w14:paraId="3C00AACB" w14:textId="77777777">
        <w:trPr>
          <w:trHeight w:val="432"/>
        </w:trPr>
        <w:tc>
          <w:tcPr>
            <w:tcW w:w="625" w:type="dxa"/>
          </w:tcPr>
          <w:p w:rsidRPr="005E506A" w:rsidR="005E506A" w:rsidP="005E506A" w:rsidRDefault="005E506A" w14:paraId="70304DAF" w14:textId="77777777">
            <w:pPr>
              <w:rPr>
                <w:rFonts w:eastAsia="Calibri"/>
                <w:sz w:val="26"/>
                <w:szCs w:val="16"/>
              </w:rPr>
            </w:pPr>
          </w:p>
        </w:tc>
        <w:tc>
          <w:tcPr>
            <w:tcW w:w="910" w:type="dxa"/>
          </w:tcPr>
          <w:p w:rsidRPr="005E506A" w:rsidR="005E506A" w:rsidP="005E506A" w:rsidRDefault="005E506A" w14:paraId="082137BA" w14:textId="77777777">
            <w:pPr>
              <w:rPr>
                <w:rFonts w:eastAsia="Calibri"/>
                <w:sz w:val="26"/>
                <w:szCs w:val="16"/>
              </w:rPr>
            </w:pPr>
          </w:p>
        </w:tc>
        <w:tc>
          <w:tcPr>
            <w:tcW w:w="890" w:type="dxa"/>
          </w:tcPr>
          <w:p w:rsidRPr="005E506A" w:rsidR="005E506A" w:rsidP="005E506A" w:rsidRDefault="005E506A" w14:paraId="7D638580" w14:textId="77777777">
            <w:pPr>
              <w:rPr>
                <w:rFonts w:eastAsia="Calibri"/>
                <w:sz w:val="26"/>
                <w:szCs w:val="16"/>
              </w:rPr>
            </w:pPr>
          </w:p>
        </w:tc>
        <w:tc>
          <w:tcPr>
            <w:tcW w:w="5850" w:type="dxa"/>
            <w:gridSpan w:val="8"/>
          </w:tcPr>
          <w:p w:rsidRPr="005E506A" w:rsidR="005E506A" w:rsidP="005E506A" w:rsidRDefault="005E506A" w14:paraId="6E0582C6" w14:textId="77777777">
            <w:pPr>
              <w:rPr>
                <w:rFonts w:eastAsia="Calibri"/>
                <w:sz w:val="26"/>
                <w:szCs w:val="16"/>
              </w:rPr>
            </w:pPr>
            <w:r w:rsidRPr="005E506A">
              <w:rPr>
                <w:rFonts w:eastAsia="Calibri"/>
                <w:sz w:val="26"/>
                <w:szCs w:val="16"/>
              </w:rPr>
              <w:t>Total Actual and Projected Project Spending on Transmission Facilities During Each Time Period                                                         ($ Thousands)</w:t>
            </w:r>
          </w:p>
        </w:tc>
        <w:tc>
          <w:tcPr>
            <w:tcW w:w="990" w:type="dxa"/>
          </w:tcPr>
          <w:p w:rsidRPr="005E506A" w:rsidR="005E506A" w:rsidP="005E506A" w:rsidRDefault="005E506A" w14:paraId="6476C8C2" w14:textId="77777777">
            <w:pPr>
              <w:rPr>
                <w:rFonts w:eastAsia="Calibri"/>
                <w:sz w:val="26"/>
                <w:szCs w:val="16"/>
              </w:rPr>
            </w:pPr>
          </w:p>
        </w:tc>
      </w:tr>
      <w:tr w:rsidRPr="005E506A" w:rsidR="005E506A" w:rsidTr="008C23D3" w14:paraId="043BEB02" w14:textId="77777777">
        <w:trPr>
          <w:trHeight w:val="288"/>
        </w:trPr>
        <w:tc>
          <w:tcPr>
            <w:tcW w:w="625" w:type="dxa"/>
          </w:tcPr>
          <w:p w:rsidRPr="005E506A" w:rsidR="005E506A" w:rsidP="005E506A" w:rsidRDefault="005E506A" w14:paraId="00A5124E" w14:textId="77777777">
            <w:pPr>
              <w:rPr>
                <w:rFonts w:eastAsia="Calibri"/>
                <w:sz w:val="26"/>
                <w:szCs w:val="16"/>
              </w:rPr>
            </w:pPr>
          </w:p>
        </w:tc>
        <w:tc>
          <w:tcPr>
            <w:tcW w:w="910" w:type="dxa"/>
          </w:tcPr>
          <w:p w:rsidRPr="005E506A" w:rsidR="005E506A" w:rsidP="005E506A" w:rsidRDefault="005E506A" w14:paraId="57BBE4AB" w14:textId="77777777">
            <w:pPr>
              <w:rPr>
                <w:rFonts w:eastAsia="Calibri"/>
                <w:sz w:val="26"/>
                <w:szCs w:val="16"/>
              </w:rPr>
            </w:pPr>
          </w:p>
        </w:tc>
        <w:tc>
          <w:tcPr>
            <w:tcW w:w="890" w:type="dxa"/>
          </w:tcPr>
          <w:p w:rsidRPr="005E506A" w:rsidR="005E506A" w:rsidP="005E506A" w:rsidRDefault="005E506A" w14:paraId="5E406603" w14:textId="77777777">
            <w:pPr>
              <w:rPr>
                <w:rFonts w:eastAsia="Calibri"/>
                <w:sz w:val="26"/>
                <w:szCs w:val="16"/>
              </w:rPr>
            </w:pPr>
          </w:p>
        </w:tc>
        <w:tc>
          <w:tcPr>
            <w:tcW w:w="1530" w:type="dxa"/>
            <w:gridSpan w:val="2"/>
          </w:tcPr>
          <w:p w:rsidRPr="005E506A" w:rsidR="005E506A" w:rsidP="005E506A" w:rsidRDefault="005E506A" w14:paraId="679669FD" w14:textId="77777777">
            <w:pPr>
              <w:rPr>
                <w:rFonts w:eastAsia="Calibri"/>
                <w:sz w:val="26"/>
                <w:szCs w:val="16"/>
              </w:rPr>
            </w:pPr>
            <w:r w:rsidRPr="005E506A">
              <w:rPr>
                <w:rFonts w:eastAsia="Calibri"/>
                <w:sz w:val="26"/>
                <w:szCs w:val="16"/>
              </w:rPr>
              <w:t>Actual</w:t>
            </w:r>
          </w:p>
        </w:tc>
        <w:tc>
          <w:tcPr>
            <w:tcW w:w="4320" w:type="dxa"/>
            <w:gridSpan w:val="6"/>
          </w:tcPr>
          <w:p w:rsidRPr="005E506A" w:rsidR="005E506A" w:rsidP="005E506A" w:rsidRDefault="005E506A" w14:paraId="106CF424" w14:textId="77777777">
            <w:pPr>
              <w:rPr>
                <w:rFonts w:eastAsia="Calibri"/>
                <w:sz w:val="26"/>
                <w:szCs w:val="16"/>
              </w:rPr>
            </w:pPr>
            <w:r w:rsidRPr="005E506A">
              <w:rPr>
                <w:rFonts w:eastAsia="Calibri"/>
                <w:sz w:val="26"/>
                <w:szCs w:val="16"/>
              </w:rPr>
              <w:t>Projected</w:t>
            </w:r>
          </w:p>
        </w:tc>
        <w:tc>
          <w:tcPr>
            <w:tcW w:w="990" w:type="dxa"/>
          </w:tcPr>
          <w:p w:rsidRPr="005E506A" w:rsidR="005E506A" w:rsidP="005E506A" w:rsidRDefault="005E506A" w14:paraId="3EDECBC4" w14:textId="77777777">
            <w:pPr>
              <w:rPr>
                <w:rFonts w:eastAsia="Calibri"/>
                <w:sz w:val="26"/>
                <w:szCs w:val="16"/>
              </w:rPr>
            </w:pPr>
          </w:p>
        </w:tc>
      </w:tr>
      <w:tr w:rsidRPr="005E506A" w:rsidR="005E506A" w:rsidTr="008C23D3" w14:paraId="11939DA2" w14:textId="77777777">
        <w:trPr>
          <w:trHeight w:val="647"/>
        </w:trPr>
        <w:tc>
          <w:tcPr>
            <w:tcW w:w="625" w:type="dxa"/>
          </w:tcPr>
          <w:p w:rsidRPr="005E506A" w:rsidR="005E506A" w:rsidP="005E506A" w:rsidRDefault="005E506A" w14:paraId="09B3662D" w14:textId="77777777">
            <w:pPr>
              <w:rPr>
                <w:rFonts w:eastAsia="Calibri"/>
                <w:sz w:val="16"/>
                <w:szCs w:val="16"/>
              </w:rPr>
            </w:pPr>
            <w:r w:rsidRPr="005E506A">
              <w:rPr>
                <w:rFonts w:eastAsia="Calibri"/>
                <w:sz w:val="16"/>
                <w:szCs w:val="16"/>
              </w:rPr>
              <w:t xml:space="preserve">Report Year   </w:t>
            </w:r>
          </w:p>
        </w:tc>
        <w:tc>
          <w:tcPr>
            <w:tcW w:w="910" w:type="dxa"/>
          </w:tcPr>
          <w:p w:rsidRPr="005E506A" w:rsidR="005E506A" w:rsidP="005E506A" w:rsidRDefault="005E506A" w14:paraId="42637389" w14:textId="77777777">
            <w:pPr>
              <w:rPr>
                <w:rFonts w:eastAsia="Calibri"/>
                <w:sz w:val="16"/>
                <w:szCs w:val="16"/>
              </w:rPr>
            </w:pPr>
            <w:r w:rsidRPr="005E506A">
              <w:rPr>
                <w:rFonts w:eastAsia="Calibri"/>
                <w:sz w:val="16"/>
                <w:szCs w:val="16"/>
              </w:rPr>
              <w:t xml:space="preserve">Project Code      </w:t>
            </w:r>
          </w:p>
        </w:tc>
        <w:tc>
          <w:tcPr>
            <w:tcW w:w="890" w:type="dxa"/>
          </w:tcPr>
          <w:p w:rsidRPr="005E506A" w:rsidR="005E506A" w:rsidP="005E506A" w:rsidRDefault="005E506A" w14:paraId="7C542888" w14:textId="77777777">
            <w:pPr>
              <w:rPr>
                <w:rFonts w:eastAsia="Calibri"/>
                <w:sz w:val="16"/>
                <w:szCs w:val="16"/>
              </w:rPr>
            </w:pPr>
            <w:r w:rsidRPr="005E506A">
              <w:rPr>
                <w:rFonts w:eastAsia="Calibri"/>
                <w:sz w:val="16"/>
                <w:szCs w:val="16"/>
              </w:rPr>
              <w:t>Project Description</w:t>
            </w:r>
          </w:p>
        </w:tc>
        <w:tc>
          <w:tcPr>
            <w:tcW w:w="810" w:type="dxa"/>
          </w:tcPr>
          <w:p w:rsidRPr="005E506A" w:rsidR="005E506A" w:rsidP="005E506A" w:rsidRDefault="005E506A" w14:paraId="43A3DA79" w14:textId="77777777">
            <w:pPr>
              <w:rPr>
                <w:rFonts w:eastAsia="Calibri"/>
                <w:sz w:val="16"/>
                <w:szCs w:val="16"/>
              </w:rPr>
            </w:pPr>
            <w:r w:rsidRPr="005E506A">
              <w:rPr>
                <w:rFonts w:eastAsia="Calibri"/>
                <w:sz w:val="16"/>
                <w:szCs w:val="16"/>
              </w:rPr>
              <w:t>Prior to Report Year</w:t>
            </w:r>
          </w:p>
        </w:tc>
        <w:tc>
          <w:tcPr>
            <w:tcW w:w="720" w:type="dxa"/>
          </w:tcPr>
          <w:p w:rsidRPr="005E506A" w:rsidR="005E506A" w:rsidP="005E506A" w:rsidRDefault="005E506A" w14:paraId="0001318C" w14:textId="77777777">
            <w:pPr>
              <w:rPr>
                <w:rFonts w:eastAsia="Calibri"/>
                <w:sz w:val="16"/>
                <w:szCs w:val="16"/>
              </w:rPr>
            </w:pPr>
            <w:r w:rsidRPr="005E506A">
              <w:rPr>
                <w:rFonts w:eastAsia="Calibri"/>
                <w:sz w:val="16"/>
                <w:szCs w:val="16"/>
              </w:rPr>
              <w:t>Report Year</w:t>
            </w:r>
          </w:p>
          <w:p w:rsidRPr="005E506A" w:rsidR="005E506A" w:rsidP="005E506A" w:rsidRDefault="005E506A" w14:paraId="48D67651" w14:textId="77777777">
            <w:pPr>
              <w:rPr>
                <w:rFonts w:eastAsia="Calibri"/>
                <w:sz w:val="16"/>
                <w:szCs w:val="16"/>
              </w:rPr>
            </w:pPr>
            <w:r w:rsidRPr="005E506A">
              <w:rPr>
                <w:rFonts w:eastAsia="Calibri"/>
                <w:sz w:val="16"/>
                <w:szCs w:val="16"/>
              </w:rPr>
              <w:t>+0</w:t>
            </w:r>
          </w:p>
        </w:tc>
        <w:tc>
          <w:tcPr>
            <w:tcW w:w="720" w:type="dxa"/>
          </w:tcPr>
          <w:p w:rsidRPr="005E506A" w:rsidR="005E506A" w:rsidP="005E506A" w:rsidRDefault="005E506A" w14:paraId="6685CC94" w14:textId="77777777">
            <w:pPr>
              <w:rPr>
                <w:rFonts w:eastAsia="Calibri"/>
                <w:sz w:val="16"/>
                <w:szCs w:val="16"/>
              </w:rPr>
            </w:pPr>
            <w:r w:rsidRPr="005E506A">
              <w:rPr>
                <w:rFonts w:eastAsia="Calibri"/>
                <w:sz w:val="16"/>
                <w:szCs w:val="16"/>
              </w:rPr>
              <w:t xml:space="preserve">Report Year +1     </w:t>
            </w:r>
          </w:p>
        </w:tc>
        <w:tc>
          <w:tcPr>
            <w:tcW w:w="810" w:type="dxa"/>
          </w:tcPr>
          <w:p w:rsidRPr="005E506A" w:rsidR="005E506A" w:rsidP="005E506A" w:rsidRDefault="005E506A" w14:paraId="36063896" w14:textId="77777777">
            <w:pPr>
              <w:rPr>
                <w:rFonts w:eastAsia="Calibri"/>
                <w:sz w:val="16"/>
                <w:szCs w:val="16"/>
              </w:rPr>
            </w:pPr>
            <w:r w:rsidRPr="005E506A">
              <w:rPr>
                <w:rFonts w:eastAsia="Calibri"/>
                <w:sz w:val="16"/>
                <w:szCs w:val="16"/>
              </w:rPr>
              <w:t xml:space="preserve">Report Year +2     </w:t>
            </w:r>
          </w:p>
        </w:tc>
        <w:tc>
          <w:tcPr>
            <w:tcW w:w="810" w:type="dxa"/>
          </w:tcPr>
          <w:p w:rsidRPr="005E506A" w:rsidR="005E506A" w:rsidP="005E506A" w:rsidRDefault="005E506A" w14:paraId="27B59EC5" w14:textId="77777777">
            <w:pPr>
              <w:rPr>
                <w:rFonts w:eastAsia="Calibri"/>
                <w:sz w:val="16"/>
                <w:szCs w:val="16"/>
              </w:rPr>
            </w:pPr>
            <w:r w:rsidRPr="005E506A">
              <w:rPr>
                <w:rFonts w:eastAsia="Calibri"/>
                <w:sz w:val="16"/>
                <w:szCs w:val="16"/>
              </w:rPr>
              <w:t xml:space="preserve">Report Year +3    </w:t>
            </w:r>
          </w:p>
        </w:tc>
        <w:tc>
          <w:tcPr>
            <w:tcW w:w="720" w:type="dxa"/>
          </w:tcPr>
          <w:p w:rsidRPr="005E506A" w:rsidR="005E506A" w:rsidP="005E506A" w:rsidRDefault="005E506A" w14:paraId="7D98C1F5" w14:textId="77777777">
            <w:pPr>
              <w:rPr>
                <w:rFonts w:eastAsia="Calibri"/>
                <w:sz w:val="16"/>
                <w:szCs w:val="16"/>
              </w:rPr>
            </w:pPr>
            <w:r w:rsidRPr="005E506A">
              <w:rPr>
                <w:rFonts w:eastAsia="Calibri"/>
                <w:sz w:val="16"/>
                <w:szCs w:val="16"/>
              </w:rPr>
              <w:t xml:space="preserve">Report Year +4      </w:t>
            </w:r>
          </w:p>
        </w:tc>
        <w:tc>
          <w:tcPr>
            <w:tcW w:w="540" w:type="dxa"/>
          </w:tcPr>
          <w:p w:rsidRPr="005E506A" w:rsidR="005E506A" w:rsidP="005E506A" w:rsidRDefault="005E506A" w14:paraId="6855BE66" w14:textId="77777777">
            <w:pPr>
              <w:rPr>
                <w:rFonts w:eastAsia="Calibri"/>
                <w:sz w:val="16"/>
                <w:szCs w:val="16"/>
              </w:rPr>
            </w:pPr>
            <w:r w:rsidRPr="005E506A">
              <w:rPr>
                <w:rFonts w:eastAsia="Calibri"/>
                <w:sz w:val="16"/>
                <w:szCs w:val="16"/>
              </w:rPr>
              <w:t xml:space="preserve">Report Year +5     </w:t>
            </w:r>
          </w:p>
        </w:tc>
        <w:tc>
          <w:tcPr>
            <w:tcW w:w="720" w:type="dxa"/>
          </w:tcPr>
          <w:p w:rsidRPr="005E506A" w:rsidR="005E506A" w:rsidP="005E506A" w:rsidRDefault="005E506A" w14:paraId="3C764C8F" w14:textId="77777777">
            <w:pPr>
              <w:rPr>
                <w:rFonts w:eastAsia="Calibri"/>
                <w:sz w:val="16"/>
                <w:szCs w:val="16"/>
              </w:rPr>
            </w:pPr>
            <w:r w:rsidRPr="005E506A">
              <w:rPr>
                <w:rFonts w:eastAsia="Calibri"/>
                <w:sz w:val="16"/>
                <w:szCs w:val="16"/>
              </w:rPr>
              <w:t xml:space="preserve">After Report Year +5     </w:t>
            </w:r>
          </w:p>
        </w:tc>
        <w:tc>
          <w:tcPr>
            <w:tcW w:w="990" w:type="dxa"/>
          </w:tcPr>
          <w:p w:rsidRPr="005E506A" w:rsidR="005E506A" w:rsidP="005E506A" w:rsidRDefault="005E506A" w14:paraId="2163ED4E" w14:textId="77777777">
            <w:pPr>
              <w:rPr>
                <w:rFonts w:eastAsia="Calibri"/>
                <w:sz w:val="16"/>
                <w:szCs w:val="16"/>
              </w:rPr>
            </w:pPr>
            <w:r w:rsidRPr="005E506A">
              <w:rPr>
                <w:rFonts w:eastAsia="Calibri"/>
                <w:sz w:val="16"/>
                <w:szCs w:val="16"/>
              </w:rPr>
              <w:t xml:space="preserve">Notes       </w:t>
            </w:r>
          </w:p>
        </w:tc>
      </w:tr>
      <w:tr w:rsidRPr="005E506A" w:rsidR="005E506A" w:rsidTr="008C23D3" w14:paraId="2E00D9B0" w14:textId="77777777">
        <w:trPr>
          <w:trHeight w:val="576"/>
        </w:trPr>
        <w:tc>
          <w:tcPr>
            <w:tcW w:w="625" w:type="dxa"/>
          </w:tcPr>
          <w:p w:rsidRPr="005E506A" w:rsidR="005E506A" w:rsidP="005E506A" w:rsidRDefault="005E506A" w14:paraId="67131096" w14:textId="77777777">
            <w:pPr>
              <w:rPr>
                <w:rFonts w:eastAsia="Calibri"/>
                <w:sz w:val="16"/>
                <w:szCs w:val="16"/>
              </w:rPr>
            </w:pPr>
            <w:r w:rsidRPr="005E506A">
              <w:rPr>
                <w:rFonts w:eastAsia="Calibri"/>
                <w:sz w:val="16"/>
                <w:szCs w:val="16"/>
              </w:rPr>
              <w:t>2019</w:t>
            </w:r>
          </w:p>
        </w:tc>
        <w:tc>
          <w:tcPr>
            <w:tcW w:w="910" w:type="dxa"/>
          </w:tcPr>
          <w:p w:rsidRPr="005E506A" w:rsidR="005E506A" w:rsidP="005E506A" w:rsidRDefault="005E506A" w14:paraId="6170484C" w14:textId="77777777">
            <w:pPr>
              <w:rPr>
                <w:rFonts w:eastAsia="Calibri"/>
                <w:sz w:val="16"/>
                <w:szCs w:val="16"/>
              </w:rPr>
            </w:pPr>
            <w:r w:rsidRPr="005E506A">
              <w:rPr>
                <w:rFonts w:eastAsia="Calibri"/>
                <w:sz w:val="16"/>
                <w:szCs w:val="16"/>
              </w:rPr>
              <w:t>AKX0303</w:t>
            </w:r>
          </w:p>
        </w:tc>
        <w:tc>
          <w:tcPr>
            <w:tcW w:w="890" w:type="dxa"/>
          </w:tcPr>
          <w:p w:rsidRPr="005E506A" w:rsidR="005E506A" w:rsidP="005E506A" w:rsidRDefault="005E506A" w14:paraId="2B92647A" w14:textId="77777777">
            <w:pPr>
              <w:rPr>
                <w:rFonts w:eastAsia="Calibri"/>
                <w:sz w:val="16"/>
                <w:szCs w:val="16"/>
              </w:rPr>
            </w:pPr>
            <w:r w:rsidRPr="005E506A">
              <w:rPr>
                <w:rFonts w:eastAsia="Calibri"/>
                <w:sz w:val="16"/>
                <w:szCs w:val="16"/>
              </w:rPr>
              <w:t>Piney Ridge to Fulton</w:t>
            </w:r>
          </w:p>
        </w:tc>
        <w:tc>
          <w:tcPr>
            <w:tcW w:w="810" w:type="dxa"/>
          </w:tcPr>
          <w:p w:rsidRPr="005E506A" w:rsidR="005E506A" w:rsidP="005E506A" w:rsidRDefault="005E506A" w14:paraId="2A256022" w14:textId="77777777">
            <w:pPr>
              <w:rPr>
                <w:rFonts w:eastAsia="Calibri"/>
                <w:sz w:val="16"/>
                <w:szCs w:val="16"/>
              </w:rPr>
            </w:pPr>
            <w:r w:rsidRPr="005E506A">
              <w:rPr>
                <w:rFonts w:eastAsia="Calibri"/>
                <w:sz w:val="16"/>
                <w:szCs w:val="16"/>
              </w:rPr>
              <w:t>$2600</w:t>
            </w:r>
          </w:p>
        </w:tc>
        <w:tc>
          <w:tcPr>
            <w:tcW w:w="720" w:type="dxa"/>
          </w:tcPr>
          <w:p w:rsidRPr="005E506A" w:rsidR="005E506A" w:rsidP="005E506A" w:rsidRDefault="005E506A" w14:paraId="76E5BA96" w14:textId="77777777">
            <w:pPr>
              <w:rPr>
                <w:rFonts w:eastAsia="Calibri"/>
                <w:sz w:val="16"/>
                <w:szCs w:val="16"/>
              </w:rPr>
            </w:pPr>
            <w:r w:rsidRPr="005E506A">
              <w:rPr>
                <w:rFonts w:eastAsia="Calibri"/>
                <w:sz w:val="16"/>
                <w:szCs w:val="16"/>
              </w:rPr>
              <w:t>$28,500</w:t>
            </w:r>
          </w:p>
        </w:tc>
        <w:tc>
          <w:tcPr>
            <w:tcW w:w="720" w:type="dxa"/>
          </w:tcPr>
          <w:p w:rsidRPr="005E506A" w:rsidR="005E506A" w:rsidP="005E506A" w:rsidRDefault="005E506A" w14:paraId="6633FC35" w14:textId="77777777">
            <w:pPr>
              <w:rPr>
                <w:rFonts w:eastAsia="Calibri"/>
                <w:sz w:val="16"/>
                <w:szCs w:val="16"/>
              </w:rPr>
            </w:pPr>
            <w:r w:rsidRPr="005E506A">
              <w:rPr>
                <w:rFonts w:eastAsia="Calibri"/>
                <w:sz w:val="16"/>
                <w:szCs w:val="16"/>
              </w:rPr>
              <w:t>$60,000 (10)</w:t>
            </w:r>
          </w:p>
        </w:tc>
        <w:tc>
          <w:tcPr>
            <w:tcW w:w="810" w:type="dxa"/>
          </w:tcPr>
          <w:p w:rsidRPr="005E506A" w:rsidR="005E506A" w:rsidP="005E506A" w:rsidRDefault="005E506A" w14:paraId="735F76DC" w14:textId="77777777">
            <w:pPr>
              <w:rPr>
                <w:rFonts w:eastAsia="Calibri"/>
                <w:sz w:val="16"/>
                <w:szCs w:val="16"/>
              </w:rPr>
            </w:pPr>
            <w:r w:rsidRPr="005E506A">
              <w:rPr>
                <w:rFonts w:eastAsia="Calibri"/>
                <w:sz w:val="16"/>
                <w:szCs w:val="16"/>
              </w:rPr>
              <w:t>$60,000</w:t>
            </w:r>
          </w:p>
        </w:tc>
        <w:tc>
          <w:tcPr>
            <w:tcW w:w="810" w:type="dxa"/>
          </w:tcPr>
          <w:p w:rsidRPr="005E506A" w:rsidR="005E506A" w:rsidP="005E506A" w:rsidRDefault="005E506A" w14:paraId="305FCE8F" w14:textId="77777777">
            <w:pPr>
              <w:rPr>
                <w:rFonts w:eastAsia="Calibri"/>
                <w:sz w:val="16"/>
                <w:szCs w:val="16"/>
              </w:rPr>
            </w:pPr>
            <w:r w:rsidRPr="005E506A">
              <w:rPr>
                <w:rFonts w:eastAsia="Calibri"/>
                <w:sz w:val="16"/>
                <w:szCs w:val="16"/>
              </w:rPr>
              <w:t>$50,000</w:t>
            </w:r>
          </w:p>
        </w:tc>
        <w:tc>
          <w:tcPr>
            <w:tcW w:w="720" w:type="dxa"/>
          </w:tcPr>
          <w:p w:rsidRPr="005E506A" w:rsidR="005E506A" w:rsidP="005E506A" w:rsidRDefault="005E506A" w14:paraId="66840882" w14:textId="77777777">
            <w:pPr>
              <w:rPr>
                <w:rFonts w:eastAsia="Calibri"/>
                <w:sz w:val="16"/>
                <w:szCs w:val="16"/>
              </w:rPr>
            </w:pPr>
            <w:r w:rsidRPr="005E506A">
              <w:rPr>
                <w:rFonts w:eastAsia="Calibri"/>
                <w:sz w:val="16"/>
                <w:szCs w:val="16"/>
              </w:rPr>
              <w:t>$0</w:t>
            </w:r>
          </w:p>
        </w:tc>
        <w:tc>
          <w:tcPr>
            <w:tcW w:w="540" w:type="dxa"/>
          </w:tcPr>
          <w:p w:rsidRPr="005E506A" w:rsidR="005E506A" w:rsidP="005E506A" w:rsidRDefault="005E506A" w14:paraId="724744C8" w14:textId="77777777">
            <w:pPr>
              <w:rPr>
                <w:rFonts w:eastAsia="Calibri"/>
                <w:sz w:val="16"/>
                <w:szCs w:val="16"/>
              </w:rPr>
            </w:pPr>
            <w:r w:rsidRPr="005E506A">
              <w:rPr>
                <w:rFonts w:eastAsia="Calibri"/>
                <w:sz w:val="16"/>
                <w:szCs w:val="16"/>
              </w:rPr>
              <w:t>$0</w:t>
            </w:r>
          </w:p>
        </w:tc>
        <w:tc>
          <w:tcPr>
            <w:tcW w:w="720" w:type="dxa"/>
          </w:tcPr>
          <w:p w:rsidRPr="005E506A" w:rsidR="005E506A" w:rsidP="005E506A" w:rsidRDefault="005E506A" w14:paraId="33269987" w14:textId="77777777">
            <w:pPr>
              <w:rPr>
                <w:rFonts w:eastAsia="Calibri"/>
                <w:sz w:val="16"/>
                <w:szCs w:val="16"/>
              </w:rPr>
            </w:pPr>
            <w:r w:rsidRPr="005E506A">
              <w:rPr>
                <w:rFonts w:eastAsia="Calibri"/>
                <w:sz w:val="16"/>
                <w:szCs w:val="16"/>
              </w:rPr>
              <w:t>$0</w:t>
            </w:r>
          </w:p>
        </w:tc>
        <w:tc>
          <w:tcPr>
            <w:tcW w:w="990" w:type="dxa"/>
          </w:tcPr>
          <w:p w:rsidRPr="005E506A" w:rsidR="005E506A" w:rsidP="005E506A" w:rsidRDefault="005E506A" w14:paraId="6ADCA708" w14:textId="77777777">
            <w:pPr>
              <w:rPr>
                <w:rFonts w:eastAsia="Calibri"/>
                <w:sz w:val="16"/>
                <w:szCs w:val="16"/>
              </w:rPr>
            </w:pPr>
            <w:r w:rsidRPr="005E506A">
              <w:rPr>
                <w:rFonts w:eastAsia="Calibri"/>
                <w:sz w:val="16"/>
                <w:szCs w:val="16"/>
              </w:rPr>
              <w:t>Revision to 2019 actual</w:t>
            </w:r>
          </w:p>
        </w:tc>
      </w:tr>
      <w:tr w:rsidRPr="005E506A" w:rsidR="005E506A" w:rsidTr="008C23D3" w14:paraId="1261C128" w14:textId="77777777">
        <w:trPr>
          <w:trHeight w:val="576"/>
        </w:trPr>
        <w:tc>
          <w:tcPr>
            <w:tcW w:w="625" w:type="dxa"/>
          </w:tcPr>
          <w:p w:rsidRPr="005E506A" w:rsidR="005E506A" w:rsidP="005E506A" w:rsidRDefault="005E506A" w14:paraId="71AC1179" w14:textId="77777777">
            <w:pPr>
              <w:rPr>
                <w:rFonts w:eastAsia="Calibri"/>
                <w:sz w:val="16"/>
                <w:szCs w:val="16"/>
              </w:rPr>
            </w:pPr>
            <w:r w:rsidRPr="005E506A">
              <w:rPr>
                <w:rFonts w:eastAsia="Calibri"/>
                <w:sz w:val="16"/>
                <w:szCs w:val="16"/>
              </w:rPr>
              <w:t>2020</w:t>
            </w:r>
          </w:p>
        </w:tc>
        <w:tc>
          <w:tcPr>
            <w:tcW w:w="910" w:type="dxa"/>
          </w:tcPr>
          <w:p w:rsidRPr="005E506A" w:rsidR="005E506A" w:rsidP="005E506A" w:rsidRDefault="005E506A" w14:paraId="7127354E" w14:textId="77777777">
            <w:pPr>
              <w:rPr>
                <w:rFonts w:eastAsia="Calibri"/>
                <w:sz w:val="16"/>
                <w:szCs w:val="16"/>
              </w:rPr>
            </w:pPr>
            <w:r w:rsidRPr="005E506A">
              <w:rPr>
                <w:rFonts w:eastAsia="Calibri"/>
                <w:sz w:val="16"/>
                <w:szCs w:val="16"/>
              </w:rPr>
              <w:t>AKX0303</w:t>
            </w:r>
          </w:p>
        </w:tc>
        <w:tc>
          <w:tcPr>
            <w:tcW w:w="890" w:type="dxa"/>
          </w:tcPr>
          <w:p w:rsidRPr="005E506A" w:rsidR="005E506A" w:rsidP="005E506A" w:rsidRDefault="005E506A" w14:paraId="0834F656" w14:textId="77777777">
            <w:pPr>
              <w:rPr>
                <w:rFonts w:eastAsia="Calibri"/>
                <w:sz w:val="16"/>
                <w:szCs w:val="16"/>
              </w:rPr>
            </w:pPr>
            <w:r w:rsidRPr="005E506A">
              <w:rPr>
                <w:rFonts w:eastAsia="Calibri"/>
                <w:sz w:val="16"/>
                <w:szCs w:val="16"/>
              </w:rPr>
              <w:t>Piney Ridge to Fulton</w:t>
            </w:r>
          </w:p>
        </w:tc>
        <w:tc>
          <w:tcPr>
            <w:tcW w:w="810" w:type="dxa"/>
          </w:tcPr>
          <w:p w:rsidRPr="005E506A" w:rsidR="005E506A" w:rsidP="005E506A" w:rsidRDefault="005E506A" w14:paraId="72DB049A" w14:textId="77777777">
            <w:pPr>
              <w:rPr>
                <w:rFonts w:eastAsia="Calibri"/>
                <w:sz w:val="16"/>
                <w:szCs w:val="16"/>
              </w:rPr>
            </w:pPr>
            <w:r w:rsidRPr="005E506A">
              <w:rPr>
                <w:rFonts w:eastAsia="Calibri"/>
                <w:sz w:val="16"/>
                <w:szCs w:val="16"/>
              </w:rPr>
              <w:t>$31,100</w:t>
            </w:r>
          </w:p>
        </w:tc>
        <w:tc>
          <w:tcPr>
            <w:tcW w:w="720" w:type="dxa"/>
          </w:tcPr>
          <w:p w:rsidRPr="005E506A" w:rsidR="005E506A" w:rsidP="005E506A" w:rsidRDefault="005E506A" w14:paraId="574C6D19" w14:textId="77777777">
            <w:pPr>
              <w:rPr>
                <w:rFonts w:eastAsia="Calibri"/>
                <w:sz w:val="16"/>
                <w:szCs w:val="16"/>
              </w:rPr>
            </w:pPr>
            <w:r w:rsidRPr="005E506A">
              <w:rPr>
                <w:rFonts w:eastAsia="Calibri"/>
                <w:sz w:val="16"/>
                <w:szCs w:val="16"/>
              </w:rPr>
              <w:t>$30,500</w:t>
            </w:r>
          </w:p>
        </w:tc>
        <w:tc>
          <w:tcPr>
            <w:tcW w:w="720" w:type="dxa"/>
          </w:tcPr>
          <w:p w:rsidRPr="005E506A" w:rsidR="005E506A" w:rsidP="005E506A" w:rsidRDefault="005E506A" w14:paraId="2A023A51" w14:textId="77777777">
            <w:pPr>
              <w:rPr>
                <w:rFonts w:eastAsia="Calibri"/>
                <w:sz w:val="16"/>
                <w:szCs w:val="16"/>
              </w:rPr>
            </w:pPr>
            <w:r w:rsidRPr="005E506A">
              <w:rPr>
                <w:rFonts w:eastAsia="Calibri"/>
                <w:sz w:val="16"/>
                <w:szCs w:val="16"/>
              </w:rPr>
              <w:t>$30,000</w:t>
            </w:r>
          </w:p>
        </w:tc>
        <w:tc>
          <w:tcPr>
            <w:tcW w:w="810" w:type="dxa"/>
          </w:tcPr>
          <w:p w:rsidRPr="005E506A" w:rsidR="005E506A" w:rsidP="005E506A" w:rsidRDefault="005E506A" w14:paraId="3283EDEC" w14:textId="77777777">
            <w:pPr>
              <w:rPr>
                <w:rFonts w:eastAsia="Calibri"/>
                <w:sz w:val="16"/>
                <w:szCs w:val="16"/>
              </w:rPr>
            </w:pPr>
            <w:r w:rsidRPr="005E506A">
              <w:rPr>
                <w:rFonts w:eastAsia="Calibri"/>
                <w:sz w:val="16"/>
                <w:szCs w:val="16"/>
              </w:rPr>
              <w:t>$40,000</w:t>
            </w:r>
          </w:p>
        </w:tc>
        <w:tc>
          <w:tcPr>
            <w:tcW w:w="810" w:type="dxa"/>
          </w:tcPr>
          <w:p w:rsidRPr="005E506A" w:rsidR="005E506A" w:rsidP="005E506A" w:rsidRDefault="005E506A" w14:paraId="0A4B4EEE" w14:textId="77777777">
            <w:pPr>
              <w:rPr>
                <w:rFonts w:eastAsia="Calibri"/>
                <w:sz w:val="16"/>
                <w:szCs w:val="16"/>
              </w:rPr>
            </w:pPr>
            <w:r w:rsidRPr="005E506A">
              <w:rPr>
                <w:rFonts w:eastAsia="Calibri"/>
                <w:sz w:val="16"/>
                <w:szCs w:val="16"/>
              </w:rPr>
              <w:t>$50,000</w:t>
            </w:r>
          </w:p>
        </w:tc>
        <w:tc>
          <w:tcPr>
            <w:tcW w:w="720" w:type="dxa"/>
          </w:tcPr>
          <w:p w:rsidRPr="005E506A" w:rsidR="005E506A" w:rsidP="005E506A" w:rsidRDefault="005E506A" w14:paraId="061FABEC" w14:textId="77777777">
            <w:pPr>
              <w:rPr>
                <w:rFonts w:eastAsia="Calibri"/>
                <w:sz w:val="16"/>
                <w:szCs w:val="16"/>
              </w:rPr>
            </w:pPr>
            <w:r w:rsidRPr="005E506A">
              <w:rPr>
                <w:rFonts w:eastAsia="Calibri"/>
                <w:sz w:val="16"/>
                <w:szCs w:val="16"/>
              </w:rPr>
              <w:t>$40,000</w:t>
            </w:r>
          </w:p>
        </w:tc>
        <w:tc>
          <w:tcPr>
            <w:tcW w:w="540" w:type="dxa"/>
          </w:tcPr>
          <w:p w:rsidRPr="005E506A" w:rsidR="005E506A" w:rsidP="005E506A" w:rsidRDefault="005E506A" w14:paraId="08133DB3" w14:textId="77777777">
            <w:pPr>
              <w:rPr>
                <w:rFonts w:eastAsia="Calibri"/>
                <w:sz w:val="16"/>
                <w:szCs w:val="16"/>
              </w:rPr>
            </w:pPr>
            <w:r w:rsidRPr="005E506A">
              <w:rPr>
                <w:rFonts w:eastAsia="Calibri"/>
                <w:sz w:val="16"/>
                <w:szCs w:val="16"/>
              </w:rPr>
              <w:t>$0</w:t>
            </w:r>
          </w:p>
        </w:tc>
        <w:tc>
          <w:tcPr>
            <w:tcW w:w="720" w:type="dxa"/>
          </w:tcPr>
          <w:p w:rsidRPr="005E506A" w:rsidR="005E506A" w:rsidP="005E506A" w:rsidRDefault="005E506A" w14:paraId="6532C202" w14:textId="77777777">
            <w:pPr>
              <w:rPr>
                <w:rFonts w:eastAsia="Calibri"/>
                <w:sz w:val="16"/>
                <w:szCs w:val="16"/>
              </w:rPr>
            </w:pPr>
            <w:r w:rsidRPr="005E506A">
              <w:rPr>
                <w:rFonts w:eastAsia="Calibri"/>
                <w:sz w:val="16"/>
                <w:szCs w:val="16"/>
              </w:rPr>
              <w:t>$0</w:t>
            </w:r>
          </w:p>
        </w:tc>
        <w:tc>
          <w:tcPr>
            <w:tcW w:w="990" w:type="dxa"/>
          </w:tcPr>
          <w:p w:rsidRPr="005E506A" w:rsidR="005E506A" w:rsidP="005E506A" w:rsidRDefault="005E506A" w14:paraId="6749B997" w14:textId="77777777">
            <w:pPr>
              <w:rPr>
                <w:rFonts w:eastAsia="Calibri"/>
                <w:sz w:val="16"/>
                <w:szCs w:val="16"/>
              </w:rPr>
            </w:pPr>
            <w:r w:rsidRPr="005E506A">
              <w:rPr>
                <w:rFonts w:eastAsia="Calibri"/>
                <w:sz w:val="16"/>
                <w:szCs w:val="16"/>
              </w:rPr>
              <w:t>Cost forecasts are higher and further out due to reroute</w:t>
            </w:r>
          </w:p>
        </w:tc>
      </w:tr>
      <w:tr w:rsidRPr="005E506A" w:rsidR="005E506A" w:rsidTr="008C23D3" w14:paraId="08083D75" w14:textId="77777777">
        <w:trPr>
          <w:trHeight w:val="576"/>
        </w:trPr>
        <w:tc>
          <w:tcPr>
            <w:tcW w:w="625" w:type="dxa"/>
          </w:tcPr>
          <w:p w:rsidRPr="005E506A" w:rsidR="005E506A" w:rsidP="005E506A" w:rsidRDefault="005E506A" w14:paraId="4B3BD334" w14:textId="77777777">
            <w:pPr>
              <w:rPr>
                <w:rFonts w:eastAsia="Calibri"/>
                <w:sz w:val="16"/>
                <w:szCs w:val="16"/>
              </w:rPr>
            </w:pPr>
            <w:r w:rsidRPr="005E506A">
              <w:rPr>
                <w:rFonts w:eastAsia="Calibri"/>
                <w:sz w:val="16"/>
                <w:szCs w:val="16"/>
              </w:rPr>
              <w:t>2020</w:t>
            </w:r>
          </w:p>
        </w:tc>
        <w:tc>
          <w:tcPr>
            <w:tcW w:w="910" w:type="dxa"/>
          </w:tcPr>
          <w:p w:rsidRPr="005E506A" w:rsidR="005E506A" w:rsidP="005E506A" w:rsidRDefault="005E506A" w14:paraId="51224A28" w14:textId="77777777">
            <w:pPr>
              <w:rPr>
                <w:rFonts w:eastAsia="Calibri"/>
                <w:sz w:val="16"/>
                <w:szCs w:val="16"/>
              </w:rPr>
            </w:pPr>
            <w:r w:rsidRPr="005E506A">
              <w:rPr>
                <w:rFonts w:eastAsia="Calibri"/>
                <w:sz w:val="16"/>
                <w:szCs w:val="16"/>
              </w:rPr>
              <w:t>AKX0304</w:t>
            </w:r>
          </w:p>
        </w:tc>
        <w:tc>
          <w:tcPr>
            <w:tcW w:w="890" w:type="dxa"/>
          </w:tcPr>
          <w:p w:rsidRPr="005E506A" w:rsidR="005E506A" w:rsidP="005E506A" w:rsidRDefault="005E506A" w14:paraId="2B83B953" w14:textId="77777777">
            <w:pPr>
              <w:rPr>
                <w:rFonts w:eastAsia="Calibri"/>
                <w:sz w:val="16"/>
                <w:szCs w:val="16"/>
              </w:rPr>
            </w:pPr>
            <w:r w:rsidRPr="005E506A">
              <w:rPr>
                <w:rFonts w:eastAsia="Calibri"/>
                <w:sz w:val="16"/>
                <w:szCs w:val="16"/>
              </w:rPr>
              <w:t>Fulton to Grey Pike</w:t>
            </w:r>
          </w:p>
        </w:tc>
        <w:tc>
          <w:tcPr>
            <w:tcW w:w="810" w:type="dxa"/>
          </w:tcPr>
          <w:p w:rsidRPr="005E506A" w:rsidR="005E506A" w:rsidP="005E506A" w:rsidRDefault="005E506A" w14:paraId="776961FE" w14:textId="77777777">
            <w:pPr>
              <w:rPr>
                <w:rFonts w:eastAsia="Calibri"/>
                <w:sz w:val="16"/>
                <w:szCs w:val="16"/>
              </w:rPr>
            </w:pPr>
            <w:r w:rsidRPr="005E506A">
              <w:rPr>
                <w:rFonts w:eastAsia="Calibri"/>
                <w:sz w:val="16"/>
                <w:szCs w:val="16"/>
              </w:rPr>
              <w:t>$1100</w:t>
            </w:r>
          </w:p>
        </w:tc>
        <w:tc>
          <w:tcPr>
            <w:tcW w:w="720" w:type="dxa"/>
          </w:tcPr>
          <w:p w:rsidRPr="005E506A" w:rsidR="005E506A" w:rsidP="005E506A" w:rsidRDefault="005E506A" w14:paraId="20E139FF" w14:textId="77777777">
            <w:pPr>
              <w:rPr>
                <w:rFonts w:eastAsia="Calibri"/>
                <w:sz w:val="16"/>
                <w:szCs w:val="16"/>
              </w:rPr>
            </w:pPr>
            <w:r w:rsidRPr="005E506A">
              <w:rPr>
                <w:rFonts w:eastAsia="Calibri"/>
                <w:sz w:val="16"/>
                <w:szCs w:val="16"/>
              </w:rPr>
              <w:t>$1000</w:t>
            </w:r>
          </w:p>
        </w:tc>
        <w:tc>
          <w:tcPr>
            <w:tcW w:w="720" w:type="dxa"/>
          </w:tcPr>
          <w:p w:rsidRPr="005E506A" w:rsidR="005E506A" w:rsidP="005E506A" w:rsidRDefault="005E506A" w14:paraId="7B7AB4B0" w14:textId="77777777">
            <w:pPr>
              <w:rPr>
                <w:rFonts w:eastAsia="Calibri"/>
                <w:sz w:val="16"/>
                <w:szCs w:val="16"/>
              </w:rPr>
            </w:pPr>
            <w:r w:rsidRPr="005E506A">
              <w:rPr>
                <w:rFonts w:eastAsia="Calibri"/>
                <w:sz w:val="16"/>
                <w:szCs w:val="16"/>
              </w:rPr>
              <w:t>$36,000</w:t>
            </w:r>
          </w:p>
        </w:tc>
        <w:tc>
          <w:tcPr>
            <w:tcW w:w="810" w:type="dxa"/>
          </w:tcPr>
          <w:p w:rsidRPr="005E506A" w:rsidR="005E506A" w:rsidP="005E506A" w:rsidRDefault="005E506A" w14:paraId="2D72C7F6" w14:textId="77777777">
            <w:pPr>
              <w:rPr>
                <w:rFonts w:eastAsia="Calibri"/>
                <w:sz w:val="16"/>
                <w:szCs w:val="16"/>
              </w:rPr>
            </w:pPr>
            <w:r w:rsidRPr="005E506A">
              <w:rPr>
                <w:rFonts w:eastAsia="Calibri"/>
                <w:sz w:val="16"/>
                <w:szCs w:val="16"/>
              </w:rPr>
              <w:t>$50,000</w:t>
            </w:r>
          </w:p>
        </w:tc>
        <w:tc>
          <w:tcPr>
            <w:tcW w:w="810" w:type="dxa"/>
          </w:tcPr>
          <w:p w:rsidRPr="005E506A" w:rsidR="005E506A" w:rsidP="005E506A" w:rsidRDefault="005E506A" w14:paraId="276E044E" w14:textId="77777777">
            <w:pPr>
              <w:rPr>
                <w:rFonts w:eastAsia="Calibri"/>
                <w:sz w:val="16"/>
                <w:szCs w:val="16"/>
              </w:rPr>
            </w:pPr>
            <w:r w:rsidRPr="005E506A">
              <w:rPr>
                <w:rFonts w:eastAsia="Calibri"/>
                <w:sz w:val="16"/>
                <w:szCs w:val="16"/>
              </w:rPr>
              <w:t>$20,000</w:t>
            </w:r>
          </w:p>
        </w:tc>
        <w:tc>
          <w:tcPr>
            <w:tcW w:w="720" w:type="dxa"/>
          </w:tcPr>
          <w:p w:rsidRPr="005E506A" w:rsidR="005E506A" w:rsidP="005E506A" w:rsidRDefault="005E506A" w14:paraId="42A7F94E" w14:textId="77777777">
            <w:pPr>
              <w:rPr>
                <w:rFonts w:eastAsia="Calibri"/>
                <w:sz w:val="16"/>
                <w:szCs w:val="16"/>
              </w:rPr>
            </w:pPr>
            <w:r w:rsidRPr="005E506A">
              <w:rPr>
                <w:rFonts w:eastAsia="Calibri"/>
                <w:sz w:val="16"/>
                <w:szCs w:val="16"/>
              </w:rPr>
              <w:t>$0</w:t>
            </w:r>
          </w:p>
        </w:tc>
        <w:tc>
          <w:tcPr>
            <w:tcW w:w="540" w:type="dxa"/>
          </w:tcPr>
          <w:p w:rsidRPr="005E506A" w:rsidR="005E506A" w:rsidP="005E506A" w:rsidRDefault="005E506A" w14:paraId="4113FE6D" w14:textId="77777777">
            <w:pPr>
              <w:rPr>
                <w:rFonts w:eastAsia="Calibri"/>
                <w:sz w:val="16"/>
                <w:szCs w:val="16"/>
              </w:rPr>
            </w:pPr>
            <w:r w:rsidRPr="005E506A">
              <w:rPr>
                <w:rFonts w:eastAsia="Calibri"/>
                <w:sz w:val="16"/>
                <w:szCs w:val="16"/>
              </w:rPr>
              <w:t>$0</w:t>
            </w:r>
          </w:p>
        </w:tc>
        <w:tc>
          <w:tcPr>
            <w:tcW w:w="720" w:type="dxa"/>
          </w:tcPr>
          <w:p w:rsidRPr="005E506A" w:rsidR="005E506A" w:rsidP="005E506A" w:rsidRDefault="005E506A" w14:paraId="37147450" w14:textId="77777777">
            <w:pPr>
              <w:rPr>
                <w:rFonts w:eastAsia="Calibri"/>
                <w:sz w:val="16"/>
                <w:szCs w:val="16"/>
              </w:rPr>
            </w:pPr>
            <w:r w:rsidRPr="005E506A">
              <w:rPr>
                <w:rFonts w:eastAsia="Calibri"/>
                <w:sz w:val="16"/>
                <w:szCs w:val="16"/>
              </w:rPr>
              <w:t>$0</w:t>
            </w:r>
          </w:p>
        </w:tc>
        <w:tc>
          <w:tcPr>
            <w:tcW w:w="990" w:type="dxa"/>
          </w:tcPr>
          <w:p w:rsidRPr="005E506A" w:rsidR="005E506A" w:rsidP="005E506A" w:rsidRDefault="005E506A" w14:paraId="26BEFD4D" w14:textId="77777777">
            <w:pPr>
              <w:rPr>
                <w:rFonts w:eastAsia="Calibri"/>
                <w:sz w:val="16"/>
                <w:szCs w:val="16"/>
              </w:rPr>
            </w:pPr>
            <w:r w:rsidRPr="005E506A">
              <w:rPr>
                <w:rFonts w:eastAsia="Calibri"/>
                <w:sz w:val="16"/>
                <w:szCs w:val="16"/>
              </w:rPr>
              <w:t>N/A</w:t>
            </w:r>
          </w:p>
        </w:tc>
      </w:tr>
    </w:tbl>
    <w:p w:rsidRPr="005E506A" w:rsidR="005E506A" w:rsidP="005E506A" w:rsidRDefault="005E506A" w14:paraId="3F2A53BF"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55DBA099"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(10) The developer should not revise projected data from what it originally reported unless the developer is correcting an obvious data entry mistake.</w:t>
      </w:r>
    </w:p>
    <w:p w:rsidRPr="005E506A" w:rsidR="005E506A" w:rsidP="005E506A" w:rsidRDefault="005E506A" w14:paraId="65AD0218"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ab/>
        <w:t>In this example, the public utility revised the 2019 data.  The public utility cannot revise projected data; however, it is appropriate to revise actual data if that data has been reported incorrectly.  For example, in 2020 the Prior to Report Year data for project code AKX0303 is $31.1 million.  If the sum of Prior to Report Year and Report Year +0 for project code AKX0303 and report year 2019 did not sum to $31.1 million, then the public utility reported the data incorrectly in 2019 and should revise those entries.</w:t>
      </w:r>
    </w:p>
    <w:p w:rsidRPr="005E506A" w:rsidR="005E506A" w:rsidP="005E506A" w:rsidRDefault="005E506A" w14:paraId="39363DDE"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70F03DBE"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b/>
          <w:sz w:val="26"/>
        </w:rPr>
        <w:t>Template for Table 2</w:t>
      </w:r>
    </w:p>
    <w:p w:rsidRPr="005E506A" w:rsidR="005E506A" w:rsidP="005E506A" w:rsidRDefault="005E506A" w14:paraId="4B7DA8E5"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2EC5313C"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b/>
          <w:sz w:val="26"/>
        </w:rPr>
        <w:t>Table 2:  Project Status Details</w:t>
      </w:r>
    </w:p>
    <w:p w:rsidRPr="005E506A" w:rsidR="005E506A" w:rsidP="005E506A" w:rsidRDefault="005E506A" w14:paraId="5DFE8EAE" w14:textId="77777777">
      <w:pPr>
        <w:widowControl w:val="0"/>
        <w:spacing w:after="0" w:line="240" w:lineRule="auto"/>
        <w:rPr>
          <w:rFonts w:ascii="Times New Roman" w:hAnsi="Times New Roman" w:eastAsia="Calibri" w:cs="Times New Roman"/>
          <w:b/>
          <w:sz w:val="26"/>
        </w:rPr>
      </w:pPr>
    </w:p>
    <w:tbl>
      <w:tblPr>
        <w:tblStyle w:val="TableGrid"/>
        <w:tblW w:w="0" w:type="auto"/>
        <w:tblLook w:val="04A0" w:firstRow="1" w:lastRow="0" w:firstColumn="1" w:lastColumn="0" w:noHBand="0" w:noVBand="1"/>
      </w:tblPr>
      <w:tblGrid>
        <w:gridCol w:w="805"/>
        <w:gridCol w:w="829"/>
        <w:gridCol w:w="1227"/>
        <w:gridCol w:w="902"/>
        <w:gridCol w:w="830"/>
        <w:gridCol w:w="1347"/>
        <w:gridCol w:w="1239"/>
        <w:gridCol w:w="1106"/>
        <w:gridCol w:w="1065"/>
      </w:tblGrid>
      <w:tr w:rsidRPr="005E506A" w:rsidR="005E506A" w:rsidTr="008C23D3" w14:paraId="03736C0D" w14:textId="77777777">
        <w:tc>
          <w:tcPr>
            <w:tcW w:w="653" w:type="dxa"/>
          </w:tcPr>
          <w:p w:rsidRPr="005E506A" w:rsidR="005E506A" w:rsidP="005E506A" w:rsidRDefault="005E506A" w14:paraId="09B498C8" w14:textId="77777777">
            <w:pPr>
              <w:rPr>
                <w:rFonts w:eastAsia="Calibri"/>
                <w:sz w:val="26"/>
                <w:szCs w:val="16"/>
              </w:rPr>
            </w:pPr>
            <w:r w:rsidRPr="005E506A">
              <w:rPr>
                <w:rFonts w:eastAsia="Calibri"/>
                <w:sz w:val="26"/>
                <w:szCs w:val="16"/>
              </w:rPr>
              <w:t xml:space="preserve">Report Year      </w:t>
            </w:r>
          </w:p>
        </w:tc>
        <w:tc>
          <w:tcPr>
            <w:tcW w:w="839" w:type="dxa"/>
          </w:tcPr>
          <w:p w:rsidRPr="005E506A" w:rsidR="005E506A" w:rsidP="005E506A" w:rsidRDefault="005E506A" w14:paraId="7055F5E3" w14:textId="77777777">
            <w:pPr>
              <w:rPr>
                <w:rFonts w:eastAsia="Calibri"/>
                <w:sz w:val="26"/>
                <w:szCs w:val="16"/>
              </w:rPr>
            </w:pPr>
            <w:r w:rsidRPr="005E506A">
              <w:rPr>
                <w:rFonts w:eastAsia="Calibri"/>
                <w:sz w:val="26"/>
                <w:szCs w:val="16"/>
              </w:rPr>
              <w:t xml:space="preserve">Project Code      </w:t>
            </w:r>
          </w:p>
        </w:tc>
        <w:tc>
          <w:tcPr>
            <w:tcW w:w="1068" w:type="dxa"/>
          </w:tcPr>
          <w:p w:rsidRPr="005E506A" w:rsidR="005E506A" w:rsidP="005E506A" w:rsidRDefault="005E506A" w14:paraId="2CC6FF60" w14:textId="77777777">
            <w:pPr>
              <w:rPr>
                <w:rFonts w:eastAsia="Calibri"/>
                <w:sz w:val="26"/>
                <w:szCs w:val="16"/>
              </w:rPr>
            </w:pPr>
            <w:r w:rsidRPr="005E506A">
              <w:rPr>
                <w:rFonts w:eastAsia="Calibri"/>
                <w:sz w:val="26"/>
                <w:szCs w:val="16"/>
              </w:rPr>
              <w:t>Project Description</w:t>
            </w:r>
          </w:p>
        </w:tc>
        <w:tc>
          <w:tcPr>
            <w:tcW w:w="817" w:type="dxa"/>
          </w:tcPr>
          <w:p w:rsidRPr="005E506A" w:rsidR="005E506A" w:rsidP="005E506A" w:rsidRDefault="005E506A" w14:paraId="693FCDBB" w14:textId="77777777">
            <w:pPr>
              <w:rPr>
                <w:rFonts w:eastAsia="Calibri"/>
                <w:sz w:val="26"/>
                <w:szCs w:val="16"/>
              </w:rPr>
            </w:pPr>
            <w:r w:rsidRPr="005E506A">
              <w:rPr>
                <w:rFonts w:eastAsia="Calibri"/>
                <w:sz w:val="26"/>
                <w:szCs w:val="16"/>
              </w:rPr>
              <w:t>Project Voltage (kV)</w:t>
            </w:r>
          </w:p>
        </w:tc>
        <w:tc>
          <w:tcPr>
            <w:tcW w:w="910" w:type="dxa"/>
          </w:tcPr>
          <w:p w:rsidRPr="005E506A" w:rsidR="005E506A" w:rsidP="005E506A" w:rsidRDefault="005E506A" w14:paraId="4FC46031" w14:textId="77777777">
            <w:pPr>
              <w:rPr>
                <w:rFonts w:eastAsia="Calibri"/>
                <w:sz w:val="26"/>
                <w:szCs w:val="16"/>
              </w:rPr>
            </w:pPr>
            <w:r w:rsidRPr="005E506A">
              <w:rPr>
                <w:rFonts w:eastAsia="Calibri"/>
                <w:sz w:val="26"/>
                <w:szCs w:val="16"/>
              </w:rPr>
              <w:t>Project Type</w:t>
            </w:r>
          </w:p>
        </w:tc>
        <w:tc>
          <w:tcPr>
            <w:tcW w:w="1052" w:type="dxa"/>
          </w:tcPr>
          <w:p w:rsidRPr="005E506A" w:rsidR="005E506A" w:rsidP="005E506A" w:rsidRDefault="005E506A" w14:paraId="3BAB08CD" w14:textId="77777777">
            <w:pPr>
              <w:rPr>
                <w:rFonts w:eastAsia="Calibri"/>
                <w:sz w:val="26"/>
                <w:szCs w:val="16"/>
              </w:rPr>
            </w:pPr>
            <w:r w:rsidRPr="005E506A">
              <w:rPr>
                <w:rFonts w:eastAsia="Calibri"/>
                <w:sz w:val="26"/>
                <w:szCs w:val="16"/>
              </w:rPr>
              <w:t>Expected Project Completion Date (month/year)</w:t>
            </w:r>
          </w:p>
        </w:tc>
        <w:tc>
          <w:tcPr>
            <w:tcW w:w="1028" w:type="dxa"/>
          </w:tcPr>
          <w:p w:rsidRPr="005E506A" w:rsidR="005E506A" w:rsidP="005E506A" w:rsidRDefault="005E506A" w14:paraId="2B7D6183" w14:textId="77777777">
            <w:pPr>
              <w:rPr>
                <w:rFonts w:eastAsia="Calibri"/>
                <w:sz w:val="26"/>
                <w:szCs w:val="16"/>
              </w:rPr>
            </w:pPr>
            <w:r w:rsidRPr="005E506A">
              <w:rPr>
                <w:rFonts w:eastAsia="Calibri"/>
                <w:sz w:val="26"/>
                <w:szCs w:val="16"/>
              </w:rPr>
              <w:t xml:space="preserve">Completion Status        </w:t>
            </w:r>
          </w:p>
        </w:tc>
        <w:tc>
          <w:tcPr>
            <w:tcW w:w="980" w:type="dxa"/>
          </w:tcPr>
          <w:p w:rsidRPr="005E506A" w:rsidR="005E506A" w:rsidP="005E506A" w:rsidRDefault="005E506A" w14:paraId="0412AB8C" w14:textId="77777777">
            <w:pPr>
              <w:rPr>
                <w:rFonts w:eastAsia="Calibri"/>
                <w:sz w:val="26"/>
                <w:szCs w:val="16"/>
              </w:rPr>
            </w:pPr>
            <w:r w:rsidRPr="005E506A">
              <w:rPr>
                <w:rFonts w:eastAsia="Calibri"/>
                <w:sz w:val="26"/>
                <w:szCs w:val="16"/>
              </w:rPr>
              <w:t>Was Project on Schedule? (Y/N)</w:t>
            </w:r>
          </w:p>
        </w:tc>
        <w:tc>
          <w:tcPr>
            <w:tcW w:w="1728" w:type="dxa"/>
          </w:tcPr>
          <w:p w:rsidRPr="005E506A" w:rsidR="005E506A" w:rsidP="005E506A" w:rsidRDefault="005E506A" w14:paraId="5B4BBBE0" w14:textId="77777777">
            <w:pPr>
              <w:rPr>
                <w:rFonts w:eastAsia="Calibri"/>
                <w:sz w:val="26"/>
                <w:szCs w:val="16"/>
              </w:rPr>
            </w:pPr>
            <w:r w:rsidRPr="005E506A">
              <w:rPr>
                <w:rFonts w:eastAsia="Calibri"/>
                <w:sz w:val="26"/>
                <w:szCs w:val="16"/>
              </w:rPr>
              <w:t xml:space="preserve">If Project Was Not on Schedule, Indicate Reasons for Delay     </w:t>
            </w:r>
          </w:p>
        </w:tc>
      </w:tr>
      <w:tr w:rsidRPr="005E506A" w:rsidR="005E506A" w:rsidTr="008C23D3" w14:paraId="640FAC85" w14:textId="77777777">
        <w:trPr>
          <w:trHeight w:val="576"/>
        </w:trPr>
        <w:tc>
          <w:tcPr>
            <w:tcW w:w="653" w:type="dxa"/>
          </w:tcPr>
          <w:p w:rsidRPr="005E506A" w:rsidR="005E506A" w:rsidP="005E506A" w:rsidRDefault="005E506A" w14:paraId="7E04E2DF" w14:textId="77777777">
            <w:pPr>
              <w:rPr>
                <w:rFonts w:eastAsia="Calibri"/>
                <w:sz w:val="26"/>
                <w:szCs w:val="16"/>
              </w:rPr>
            </w:pPr>
            <w:r w:rsidRPr="005E506A">
              <w:rPr>
                <w:rFonts w:eastAsia="Calibri"/>
                <w:sz w:val="26"/>
                <w:szCs w:val="16"/>
              </w:rPr>
              <w:t>(1)</w:t>
            </w:r>
          </w:p>
        </w:tc>
        <w:tc>
          <w:tcPr>
            <w:tcW w:w="839" w:type="dxa"/>
          </w:tcPr>
          <w:p w:rsidRPr="005E506A" w:rsidR="005E506A" w:rsidP="005E506A" w:rsidRDefault="005E506A" w14:paraId="1C806F0A" w14:textId="77777777">
            <w:pPr>
              <w:rPr>
                <w:rFonts w:eastAsia="Calibri"/>
                <w:sz w:val="26"/>
                <w:szCs w:val="16"/>
              </w:rPr>
            </w:pPr>
            <w:r w:rsidRPr="005E506A">
              <w:rPr>
                <w:rFonts w:eastAsia="Calibri"/>
                <w:sz w:val="26"/>
                <w:szCs w:val="16"/>
              </w:rPr>
              <w:t>(2)</w:t>
            </w:r>
          </w:p>
        </w:tc>
        <w:tc>
          <w:tcPr>
            <w:tcW w:w="1068" w:type="dxa"/>
          </w:tcPr>
          <w:p w:rsidRPr="005E506A" w:rsidR="005E506A" w:rsidP="005E506A" w:rsidRDefault="005E506A" w14:paraId="06308703" w14:textId="77777777">
            <w:pPr>
              <w:rPr>
                <w:rFonts w:eastAsia="Calibri"/>
                <w:sz w:val="26"/>
                <w:szCs w:val="16"/>
              </w:rPr>
            </w:pPr>
            <w:r w:rsidRPr="005E506A">
              <w:rPr>
                <w:rFonts w:eastAsia="Calibri"/>
                <w:sz w:val="26"/>
                <w:szCs w:val="16"/>
              </w:rPr>
              <w:t>(3)</w:t>
            </w:r>
          </w:p>
        </w:tc>
        <w:tc>
          <w:tcPr>
            <w:tcW w:w="817" w:type="dxa"/>
          </w:tcPr>
          <w:p w:rsidRPr="005E506A" w:rsidR="005E506A" w:rsidP="005E506A" w:rsidRDefault="005E506A" w14:paraId="0EB8304C" w14:textId="77777777">
            <w:pPr>
              <w:rPr>
                <w:rFonts w:eastAsia="Calibri"/>
                <w:sz w:val="26"/>
                <w:szCs w:val="16"/>
              </w:rPr>
            </w:pPr>
            <w:r w:rsidRPr="005E506A">
              <w:rPr>
                <w:rFonts w:eastAsia="Calibri"/>
                <w:sz w:val="26"/>
                <w:szCs w:val="16"/>
              </w:rPr>
              <w:t>(4)</w:t>
            </w:r>
          </w:p>
        </w:tc>
        <w:tc>
          <w:tcPr>
            <w:tcW w:w="910" w:type="dxa"/>
          </w:tcPr>
          <w:p w:rsidRPr="005E506A" w:rsidR="005E506A" w:rsidP="005E506A" w:rsidRDefault="005E506A" w14:paraId="4B217B8C" w14:textId="77777777">
            <w:pPr>
              <w:rPr>
                <w:rFonts w:eastAsia="Calibri"/>
                <w:sz w:val="26"/>
                <w:szCs w:val="16"/>
              </w:rPr>
            </w:pPr>
            <w:r w:rsidRPr="005E506A">
              <w:rPr>
                <w:rFonts w:eastAsia="Calibri"/>
                <w:sz w:val="26"/>
                <w:szCs w:val="16"/>
              </w:rPr>
              <w:t>(5)</w:t>
            </w:r>
          </w:p>
        </w:tc>
        <w:tc>
          <w:tcPr>
            <w:tcW w:w="1052" w:type="dxa"/>
          </w:tcPr>
          <w:p w:rsidRPr="005E506A" w:rsidR="005E506A" w:rsidP="005E506A" w:rsidRDefault="005E506A" w14:paraId="5E8D7C94" w14:textId="77777777">
            <w:pPr>
              <w:rPr>
                <w:rFonts w:eastAsia="Calibri"/>
                <w:sz w:val="26"/>
                <w:szCs w:val="16"/>
              </w:rPr>
            </w:pPr>
            <w:r w:rsidRPr="005E506A">
              <w:rPr>
                <w:rFonts w:eastAsia="Calibri"/>
                <w:sz w:val="26"/>
                <w:szCs w:val="16"/>
              </w:rPr>
              <w:t>(6)</w:t>
            </w:r>
          </w:p>
        </w:tc>
        <w:tc>
          <w:tcPr>
            <w:tcW w:w="1028" w:type="dxa"/>
          </w:tcPr>
          <w:p w:rsidRPr="005E506A" w:rsidR="005E506A" w:rsidP="005E506A" w:rsidRDefault="005E506A" w14:paraId="74F127FB" w14:textId="77777777">
            <w:pPr>
              <w:rPr>
                <w:rFonts w:eastAsia="Calibri"/>
                <w:sz w:val="26"/>
                <w:szCs w:val="16"/>
              </w:rPr>
            </w:pPr>
            <w:r w:rsidRPr="005E506A">
              <w:rPr>
                <w:rFonts w:eastAsia="Calibri"/>
                <w:sz w:val="26"/>
                <w:szCs w:val="16"/>
              </w:rPr>
              <w:t>(7)</w:t>
            </w:r>
          </w:p>
        </w:tc>
        <w:tc>
          <w:tcPr>
            <w:tcW w:w="980" w:type="dxa"/>
          </w:tcPr>
          <w:p w:rsidRPr="005E506A" w:rsidR="005E506A" w:rsidP="005E506A" w:rsidRDefault="005E506A" w14:paraId="6297CFCD" w14:textId="77777777">
            <w:pPr>
              <w:rPr>
                <w:rFonts w:eastAsia="Calibri"/>
                <w:sz w:val="26"/>
                <w:szCs w:val="16"/>
              </w:rPr>
            </w:pPr>
            <w:r w:rsidRPr="005E506A">
              <w:rPr>
                <w:rFonts w:eastAsia="Calibri"/>
                <w:sz w:val="26"/>
                <w:szCs w:val="16"/>
              </w:rPr>
              <w:t>(8)</w:t>
            </w:r>
          </w:p>
        </w:tc>
        <w:tc>
          <w:tcPr>
            <w:tcW w:w="1728" w:type="dxa"/>
          </w:tcPr>
          <w:p w:rsidRPr="005E506A" w:rsidR="005E506A" w:rsidP="005E506A" w:rsidRDefault="005E506A" w14:paraId="750BE2FB" w14:textId="77777777">
            <w:pPr>
              <w:rPr>
                <w:rFonts w:eastAsia="Calibri"/>
                <w:sz w:val="26"/>
                <w:szCs w:val="16"/>
              </w:rPr>
            </w:pPr>
            <w:r w:rsidRPr="005E506A">
              <w:rPr>
                <w:rFonts w:eastAsia="Calibri"/>
                <w:sz w:val="26"/>
                <w:szCs w:val="16"/>
              </w:rPr>
              <w:t>(9)</w:t>
            </w:r>
          </w:p>
        </w:tc>
      </w:tr>
    </w:tbl>
    <w:p w:rsidRPr="005E506A" w:rsidR="005E506A" w:rsidP="005E506A" w:rsidRDefault="005E506A" w14:paraId="485A558A"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4C906633"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lastRenderedPageBreak/>
        <w:t>Instructions for completing “Table 2”:</w:t>
      </w:r>
    </w:p>
    <w:p w:rsidRPr="005E506A" w:rsidR="005E506A" w:rsidP="005E506A" w:rsidRDefault="005E506A" w14:paraId="5AAD8EEA"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4F507F6C"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(1) Report Year is the year of the report data and should be the same as reported in Table 1.  There should be no information in Table 2 that could not be known at the end of the report year.</w:t>
      </w:r>
    </w:p>
    <w:p w:rsidRPr="005E506A" w:rsidR="005E506A" w:rsidP="005E506A" w:rsidRDefault="005E506A" w14:paraId="5E3538F6"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(2) Project Code is a public utility-created alphanumeric designator twelve digits or less that is unique to each project.  Project Code is the same project code from Table 1 above. Respondents must list all projects included in Table 1 that received a project-specific transmission incentive.  Projects that only received the RTO-Participation Incentive need only be listed if they are projected to be at least $3 million.  It can be identical to the code used by the RTO/ISO if it is unique to the project and is 12 digits or less.  This code never changes during the time the project is developed and is never reused for any subsequent project. Respondents should add as many additional rows as are necessary to list all relevant projects.  The combination of Report Year and Project Code is the primary key for each record.  The primary key allows Table 1 and Table 2 data to be combined into a single table.  </w:t>
      </w:r>
    </w:p>
    <w:p w:rsidRPr="005E506A" w:rsidR="005E506A" w:rsidP="005E506A" w:rsidRDefault="005E506A" w14:paraId="3AD71055"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(3)  Project Description is the same description used in Table 1 associated with the Project Code.  Respondents should incorporate the name given by the public utility when requesting incentives into the Project Description, whenever possible.  The Project Description never changes.  Project Description is a 40-character string.  Respondents must create a Project Description, using plain English, that will uniquely identify the project.  The same Project Description cannot be used for two different Project Codes and each Project Code has only one Project Description ever. </w:t>
      </w:r>
    </w:p>
    <w:p w:rsidRPr="005E506A" w:rsidR="005E506A" w:rsidP="005E506A" w:rsidRDefault="005E506A" w14:paraId="679A53FC"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(4)  Project Voltage is the maximum voltage associated with the project.  If no voltage could logically be associated the project, then respondents should enter a Project Voltage value of -9.  Project Voltage is a numeric value so -9 is a way of indicating that there is no number for this entry.</w:t>
      </w:r>
    </w:p>
    <w:p w:rsidRPr="005E506A" w:rsidR="005E506A" w:rsidP="005E506A" w:rsidRDefault="005E506A" w14:paraId="2694D2D9"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(5)  Respondents should select between the following Project Types to complete the Project Type column:  New Build, Upgrade of Existing, Refurbishment/Replacement, or Generator Direct Connection.  Project Type is a 40-character string.</w:t>
      </w:r>
    </w:p>
    <w:p w:rsidRPr="005E506A" w:rsidR="005E506A" w:rsidP="005E506A" w:rsidRDefault="005E506A" w14:paraId="3669A2AD"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(6)  Expected Project Completion Date is the date the  public utility forecasts as the date that the project will be completed at the end of Report Year.  If the project was completed during the report year, then Expected Project Completion Date is the actual project completion date.  Project Completion date is formatted mm/yyyy.</w:t>
      </w:r>
    </w:p>
    <w:p w:rsidRPr="005E506A" w:rsidR="005E506A" w:rsidP="005E506A" w:rsidRDefault="005E506A" w14:paraId="0D92AA81"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(7) Respondents should select between the following designations to complete the Completion Status column:  Complete, Under Construction, Pre-Engineering, Planned, Proposed, and Conceptual.  If the project is completed between the end of the report year and the day the public utility reports the data, the Completion Status would be Under Construction because that was the project status at the end of the report year.  Completion Status is a 20-character string.</w:t>
      </w:r>
    </w:p>
    <w:p w:rsidRPr="005E506A" w:rsidR="005E506A" w:rsidP="005E506A" w:rsidRDefault="005E506A" w14:paraId="4EA3E0AB"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(8) Was Project on Schedule? (Y/N) is either Y (yes) or N (no) depending on whether the project was on schedule at the end of the report year.  Was Project on Schedule? (Y/N) is a 1-character string.</w:t>
      </w:r>
    </w:p>
    <w:p w:rsidRPr="005E506A" w:rsidR="005E506A" w:rsidP="005E506A" w:rsidRDefault="005E506A" w14:paraId="7FEED6BC"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lastRenderedPageBreak/>
        <w:t>(9) If the Project Was Not on Schedule, Indicate Reasons for the Delay is a 120-character string.  The utility has 120 characters to explain why the project was delayed at the end of the report year.  If there was no delay at the end of the report year, then the respondent can just enter N/A.</w:t>
      </w:r>
    </w:p>
    <w:p w:rsidRPr="005E506A" w:rsidR="005E506A" w:rsidP="005E506A" w:rsidRDefault="005E506A" w14:paraId="08B0E99B"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05FE83CD"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Below is an example of Table 2 associated with the same fictitious public utility with the same two fictitious projects as used in the example of Table 1.  </w:t>
      </w:r>
    </w:p>
    <w:p w:rsidRPr="005E506A" w:rsidR="005E506A" w:rsidP="005E506A" w:rsidRDefault="005E506A" w14:paraId="1013148F"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4708778F" w14:textId="77777777">
      <w:pPr>
        <w:widowControl w:val="0"/>
        <w:spacing w:after="0" w:line="240" w:lineRule="auto"/>
        <w:rPr>
          <w:rFonts w:ascii="Times New Roman" w:hAnsi="Times New Roman" w:eastAsia="Calibri" w:cs="Times New Roman"/>
          <w:b/>
          <w:sz w:val="26"/>
        </w:rPr>
      </w:pPr>
      <w:r w:rsidRPr="005E506A">
        <w:rPr>
          <w:rFonts w:ascii="Times New Roman" w:hAnsi="Times New Roman" w:eastAsia="Calibri" w:cs="Times New Roman"/>
          <w:b/>
          <w:sz w:val="26"/>
        </w:rPr>
        <w:t>Table 2:  Project Status Details</w:t>
      </w:r>
    </w:p>
    <w:tbl>
      <w:tblPr>
        <w:tblStyle w:val="TableGrid"/>
        <w:tblW w:w="0" w:type="auto"/>
        <w:tblLook w:val="04A0" w:firstRow="1" w:lastRow="0" w:firstColumn="1" w:lastColumn="0" w:noHBand="0" w:noVBand="1"/>
      </w:tblPr>
      <w:tblGrid>
        <w:gridCol w:w="805"/>
        <w:gridCol w:w="1120"/>
        <w:gridCol w:w="831"/>
        <w:gridCol w:w="903"/>
        <w:gridCol w:w="831"/>
        <w:gridCol w:w="1349"/>
        <w:gridCol w:w="1337"/>
        <w:gridCol w:w="1108"/>
        <w:gridCol w:w="1066"/>
      </w:tblGrid>
      <w:tr w:rsidRPr="005E506A" w:rsidR="005E506A" w:rsidTr="008C23D3" w14:paraId="299D7F08" w14:textId="77777777">
        <w:tc>
          <w:tcPr>
            <w:tcW w:w="653" w:type="dxa"/>
          </w:tcPr>
          <w:p w:rsidRPr="005E506A" w:rsidR="005E506A" w:rsidP="005E506A" w:rsidRDefault="005E506A" w14:paraId="2ADF78F9" w14:textId="77777777">
            <w:pPr>
              <w:rPr>
                <w:rFonts w:eastAsia="Calibri"/>
                <w:sz w:val="26"/>
                <w:szCs w:val="16"/>
              </w:rPr>
            </w:pPr>
            <w:r w:rsidRPr="005E506A">
              <w:rPr>
                <w:rFonts w:eastAsia="Calibri"/>
                <w:sz w:val="26"/>
                <w:szCs w:val="16"/>
              </w:rPr>
              <w:t xml:space="preserve">Report Year      </w:t>
            </w:r>
          </w:p>
        </w:tc>
        <w:tc>
          <w:tcPr>
            <w:tcW w:w="883" w:type="dxa"/>
          </w:tcPr>
          <w:p w:rsidRPr="005E506A" w:rsidR="005E506A" w:rsidP="005E506A" w:rsidRDefault="005E506A" w14:paraId="5A30C1FF" w14:textId="77777777">
            <w:pPr>
              <w:rPr>
                <w:rFonts w:eastAsia="Calibri"/>
                <w:sz w:val="26"/>
                <w:szCs w:val="16"/>
              </w:rPr>
            </w:pPr>
            <w:r w:rsidRPr="005E506A">
              <w:rPr>
                <w:rFonts w:eastAsia="Calibri"/>
                <w:sz w:val="26"/>
                <w:szCs w:val="16"/>
              </w:rPr>
              <w:t xml:space="preserve">Project Code      </w:t>
            </w:r>
          </w:p>
        </w:tc>
        <w:tc>
          <w:tcPr>
            <w:tcW w:w="1068" w:type="dxa"/>
          </w:tcPr>
          <w:p w:rsidRPr="005E506A" w:rsidR="005E506A" w:rsidP="005E506A" w:rsidRDefault="005E506A" w14:paraId="1B8F2FCD" w14:textId="77777777">
            <w:pPr>
              <w:rPr>
                <w:rFonts w:eastAsia="Calibri"/>
                <w:sz w:val="26"/>
                <w:szCs w:val="16"/>
              </w:rPr>
            </w:pPr>
            <w:r w:rsidRPr="005E506A">
              <w:rPr>
                <w:rFonts w:eastAsia="Calibri"/>
                <w:sz w:val="26"/>
                <w:szCs w:val="16"/>
              </w:rPr>
              <w:t>Project Name</w:t>
            </w:r>
          </w:p>
        </w:tc>
        <w:tc>
          <w:tcPr>
            <w:tcW w:w="817" w:type="dxa"/>
          </w:tcPr>
          <w:p w:rsidRPr="005E506A" w:rsidR="005E506A" w:rsidP="005E506A" w:rsidRDefault="005E506A" w14:paraId="5F298EFB" w14:textId="77777777">
            <w:pPr>
              <w:rPr>
                <w:rFonts w:eastAsia="Calibri"/>
                <w:sz w:val="26"/>
                <w:szCs w:val="16"/>
              </w:rPr>
            </w:pPr>
            <w:r w:rsidRPr="005E506A">
              <w:rPr>
                <w:rFonts w:eastAsia="Calibri"/>
                <w:sz w:val="26"/>
                <w:szCs w:val="16"/>
              </w:rPr>
              <w:t>Project Voltage (kV)</w:t>
            </w:r>
          </w:p>
        </w:tc>
        <w:tc>
          <w:tcPr>
            <w:tcW w:w="910" w:type="dxa"/>
          </w:tcPr>
          <w:p w:rsidRPr="005E506A" w:rsidR="005E506A" w:rsidP="005E506A" w:rsidRDefault="005E506A" w14:paraId="585F2646" w14:textId="77777777">
            <w:pPr>
              <w:rPr>
                <w:rFonts w:eastAsia="Calibri"/>
                <w:sz w:val="26"/>
                <w:szCs w:val="16"/>
              </w:rPr>
            </w:pPr>
            <w:r w:rsidRPr="005E506A">
              <w:rPr>
                <w:rFonts w:eastAsia="Calibri"/>
                <w:sz w:val="26"/>
                <w:szCs w:val="16"/>
              </w:rPr>
              <w:t>Project Type</w:t>
            </w:r>
          </w:p>
        </w:tc>
        <w:tc>
          <w:tcPr>
            <w:tcW w:w="1052" w:type="dxa"/>
          </w:tcPr>
          <w:p w:rsidRPr="005E506A" w:rsidR="005E506A" w:rsidP="005E506A" w:rsidRDefault="005E506A" w14:paraId="554C2545" w14:textId="77777777">
            <w:pPr>
              <w:rPr>
                <w:rFonts w:eastAsia="Calibri"/>
                <w:sz w:val="26"/>
                <w:szCs w:val="16"/>
              </w:rPr>
            </w:pPr>
            <w:r w:rsidRPr="005E506A">
              <w:rPr>
                <w:rFonts w:eastAsia="Calibri"/>
                <w:sz w:val="26"/>
                <w:szCs w:val="16"/>
              </w:rPr>
              <w:t>Expected Project Completion Date (month/year)</w:t>
            </w:r>
          </w:p>
        </w:tc>
        <w:tc>
          <w:tcPr>
            <w:tcW w:w="1028" w:type="dxa"/>
          </w:tcPr>
          <w:p w:rsidRPr="005E506A" w:rsidR="005E506A" w:rsidP="005E506A" w:rsidRDefault="005E506A" w14:paraId="653E99BC" w14:textId="77777777">
            <w:pPr>
              <w:rPr>
                <w:rFonts w:eastAsia="Calibri"/>
                <w:sz w:val="26"/>
                <w:szCs w:val="16"/>
              </w:rPr>
            </w:pPr>
            <w:r w:rsidRPr="005E506A">
              <w:rPr>
                <w:rFonts w:eastAsia="Calibri"/>
                <w:sz w:val="26"/>
                <w:szCs w:val="16"/>
              </w:rPr>
              <w:t xml:space="preserve">Completion Status        </w:t>
            </w:r>
          </w:p>
        </w:tc>
        <w:tc>
          <w:tcPr>
            <w:tcW w:w="980" w:type="dxa"/>
          </w:tcPr>
          <w:p w:rsidRPr="005E506A" w:rsidR="005E506A" w:rsidP="005E506A" w:rsidRDefault="005E506A" w14:paraId="2D9CC10D" w14:textId="77777777">
            <w:pPr>
              <w:rPr>
                <w:rFonts w:eastAsia="Calibri"/>
                <w:sz w:val="26"/>
                <w:szCs w:val="16"/>
              </w:rPr>
            </w:pPr>
            <w:r w:rsidRPr="005E506A">
              <w:rPr>
                <w:rFonts w:eastAsia="Calibri"/>
                <w:sz w:val="26"/>
                <w:szCs w:val="16"/>
              </w:rPr>
              <w:t>Was Project on Schedule? (Y/N)</w:t>
            </w:r>
          </w:p>
        </w:tc>
        <w:tc>
          <w:tcPr>
            <w:tcW w:w="1728" w:type="dxa"/>
          </w:tcPr>
          <w:p w:rsidRPr="005E506A" w:rsidR="005E506A" w:rsidP="005E506A" w:rsidRDefault="005E506A" w14:paraId="71A6DDF2" w14:textId="77777777">
            <w:pPr>
              <w:rPr>
                <w:rFonts w:eastAsia="Calibri"/>
                <w:sz w:val="26"/>
                <w:szCs w:val="16"/>
              </w:rPr>
            </w:pPr>
            <w:r w:rsidRPr="005E506A">
              <w:rPr>
                <w:rFonts w:eastAsia="Calibri"/>
                <w:sz w:val="26"/>
                <w:szCs w:val="16"/>
              </w:rPr>
              <w:t xml:space="preserve">If the Project Was Not on Schedule, Indicate Reasons for the Delay     </w:t>
            </w:r>
          </w:p>
        </w:tc>
      </w:tr>
      <w:tr w:rsidRPr="005E506A" w:rsidR="005E506A" w:rsidTr="008C23D3" w14:paraId="17C4B5DF" w14:textId="77777777">
        <w:trPr>
          <w:trHeight w:val="576"/>
        </w:trPr>
        <w:tc>
          <w:tcPr>
            <w:tcW w:w="653" w:type="dxa"/>
          </w:tcPr>
          <w:p w:rsidRPr="005E506A" w:rsidR="005E506A" w:rsidP="005E506A" w:rsidRDefault="005E506A" w14:paraId="1A1F21F6" w14:textId="77777777">
            <w:pPr>
              <w:rPr>
                <w:rFonts w:eastAsia="Calibri"/>
                <w:sz w:val="26"/>
                <w:szCs w:val="16"/>
              </w:rPr>
            </w:pPr>
            <w:r w:rsidRPr="005E506A">
              <w:rPr>
                <w:rFonts w:eastAsia="Calibri"/>
                <w:sz w:val="26"/>
                <w:szCs w:val="16"/>
              </w:rPr>
              <w:t>2020      (10)</w:t>
            </w:r>
          </w:p>
        </w:tc>
        <w:tc>
          <w:tcPr>
            <w:tcW w:w="883" w:type="dxa"/>
          </w:tcPr>
          <w:p w:rsidRPr="005E506A" w:rsidR="005E506A" w:rsidP="005E506A" w:rsidRDefault="005E506A" w14:paraId="37669BDB" w14:textId="77777777">
            <w:pPr>
              <w:rPr>
                <w:rFonts w:eastAsia="Calibri"/>
                <w:sz w:val="26"/>
                <w:szCs w:val="16"/>
              </w:rPr>
            </w:pPr>
            <w:r w:rsidRPr="005E506A">
              <w:rPr>
                <w:rFonts w:eastAsia="Calibri"/>
                <w:sz w:val="26"/>
                <w:szCs w:val="16"/>
              </w:rPr>
              <w:t>AKX0303</w:t>
            </w:r>
          </w:p>
        </w:tc>
        <w:tc>
          <w:tcPr>
            <w:tcW w:w="1068" w:type="dxa"/>
          </w:tcPr>
          <w:p w:rsidRPr="005E506A" w:rsidR="005E506A" w:rsidP="005E506A" w:rsidRDefault="005E506A" w14:paraId="7675F0F4" w14:textId="77777777">
            <w:pPr>
              <w:rPr>
                <w:rFonts w:eastAsia="Calibri"/>
                <w:sz w:val="26"/>
                <w:szCs w:val="16"/>
              </w:rPr>
            </w:pPr>
            <w:r w:rsidRPr="005E506A">
              <w:rPr>
                <w:rFonts w:eastAsia="Calibri"/>
                <w:sz w:val="26"/>
                <w:szCs w:val="16"/>
              </w:rPr>
              <w:t xml:space="preserve">Piney Ridge to Fulton  </w:t>
            </w:r>
          </w:p>
        </w:tc>
        <w:tc>
          <w:tcPr>
            <w:tcW w:w="817" w:type="dxa"/>
          </w:tcPr>
          <w:p w:rsidRPr="005E506A" w:rsidR="005E506A" w:rsidP="005E506A" w:rsidRDefault="005E506A" w14:paraId="25A9BD06" w14:textId="77777777">
            <w:pPr>
              <w:rPr>
                <w:rFonts w:eastAsia="Calibri"/>
                <w:sz w:val="26"/>
                <w:szCs w:val="16"/>
              </w:rPr>
            </w:pPr>
            <w:r w:rsidRPr="005E506A">
              <w:rPr>
                <w:rFonts w:eastAsia="Calibri"/>
                <w:sz w:val="26"/>
                <w:szCs w:val="16"/>
              </w:rPr>
              <w:t>230</w:t>
            </w:r>
          </w:p>
        </w:tc>
        <w:tc>
          <w:tcPr>
            <w:tcW w:w="910" w:type="dxa"/>
          </w:tcPr>
          <w:p w:rsidRPr="005E506A" w:rsidR="005E506A" w:rsidP="005E506A" w:rsidRDefault="005E506A" w14:paraId="7BC556BC" w14:textId="77777777">
            <w:pPr>
              <w:rPr>
                <w:rFonts w:eastAsia="Calibri"/>
                <w:sz w:val="26"/>
                <w:szCs w:val="16"/>
              </w:rPr>
            </w:pPr>
            <w:r w:rsidRPr="005E506A">
              <w:rPr>
                <w:rFonts w:eastAsia="Calibri"/>
                <w:sz w:val="26"/>
                <w:szCs w:val="16"/>
              </w:rPr>
              <w:t xml:space="preserve">New Build </w:t>
            </w:r>
          </w:p>
        </w:tc>
        <w:tc>
          <w:tcPr>
            <w:tcW w:w="1052" w:type="dxa"/>
          </w:tcPr>
          <w:p w:rsidRPr="005E506A" w:rsidR="005E506A" w:rsidP="005E506A" w:rsidRDefault="005E506A" w14:paraId="5C9D560B" w14:textId="77777777">
            <w:pPr>
              <w:rPr>
                <w:rFonts w:eastAsia="Calibri"/>
                <w:sz w:val="26"/>
                <w:szCs w:val="16"/>
              </w:rPr>
            </w:pPr>
            <w:r w:rsidRPr="005E506A">
              <w:rPr>
                <w:rFonts w:eastAsia="Calibri"/>
                <w:sz w:val="26"/>
                <w:szCs w:val="16"/>
              </w:rPr>
              <w:t>06/2024</w:t>
            </w:r>
          </w:p>
        </w:tc>
        <w:tc>
          <w:tcPr>
            <w:tcW w:w="1028" w:type="dxa"/>
          </w:tcPr>
          <w:p w:rsidRPr="005E506A" w:rsidR="005E506A" w:rsidP="005E506A" w:rsidRDefault="005E506A" w14:paraId="1AFAC5A1" w14:textId="77777777">
            <w:pPr>
              <w:rPr>
                <w:rFonts w:eastAsia="Calibri"/>
                <w:sz w:val="26"/>
                <w:szCs w:val="16"/>
              </w:rPr>
            </w:pPr>
            <w:r w:rsidRPr="005E506A">
              <w:rPr>
                <w:rFonts w:eastAsia="Calibri"/>
                <w:sz w:val="26"/>
                <w:szCs w:val="16"/>
              </w:rPr>
              <w:t>Under Construction</w:t>
            </w:r>
          </w:p>
        </w:tc>
        <w:tc>
          <w:tcPr>
            <w:tcW w:w="980" w:type="dxa"/>
          </w:tcPr>
          <w:p w:rsidRPr="005E506A" w:rsidR="005E506A" w:rsidP="005E506A" w:rsidRDefault="005E506A" w14:paraId="217C7EF7" w14:textId="77777777">
            <w:pPr>
              <w:rPr>
                <w:rFonts w:eastAsia="Calibri"/>
                <w:sz w:val="26"/>
                <w:szCs w:val="16"/>
              </w:rPr>
            </w:pPr>
            <w:r w:rsidRPr="005E506A">
              <w:rPr>
                <w:rFonts w:eastAsia="Calibri"/>
                <w:sz w:val="26"/>
                <w:szCs w:val="16"/>
              </w:rPr>
              <w:t>No</w:t>
            </w:r>
          </w:p>
        </w:tc>
        <w:tc>
          <w:tcPr>
            <w:tcW w:w="1728" w:type="dxa"/>
          </w:tcPr>
          <w:p w:rsidRPr="005E506A" w:rsidR="005E506A" w:rsidP="005E506A" w:rsidRDefault="005E506A" w14:paraId="401F9C87" w14:textId="77777777">
            <w:pPr>
              <w:rPr>
                <w:rFonts w:eastAsia="Calibri"/>
                <w:sz w:val="26"/>
                <w:szCs w:val="16"/>
              </w:rPr>
            </w:pPr>
            <w:r w:rsidRPr="005E506A">
              <w:rPr>
                <w:rFonts w:eastAsia="Calibri"/>
                <w:sz w:val="26"/>
                <w:szCs w:val="16"/>
              </w:rPr>
              <w:t>Unable to site original route</w:t>
            </w:r>
          </w:p>
        </w:tc>
      </w:tr>
      <w:tr w:rsidRPr="005E506A" w:rsidR="005E506A" w:rsidTr="008C23D3" w14:paraId="0AB2A3C7" w14:textId="77777777">
        <w:trPr>
          <w:trHeight w:val="576"/>
        </w:trPr>
        <w:tc>
          <w:tcPr>
            <w:tcW w:w="653" w:type="dxa"/>
          </w:tcPr>
          <w:p w:rsidRPr="005E506A" w:rsidR="005E506A" w:rsidP="005E506A" w:rsidRDefault="005E506A" w14:paraId="7081E2C8" w14:textId="77777777">
            <w:pPr>
              <w:rPr>
                <w:rFonts w:eastAsia="Calibri"/>
                <w:sz w:val="26"/>
                <w:szCs w:val="16"/>
              </w:rPr>
            </w:pPr>
            <w:r w:rsidRPr="005E506A">
              <w:rPr>
                <w:rFonts w:eastAsia="Calibri"/>
                <w:sz w:val="26"/>
                <w:szCs w:val="16"/>
              </w:rPr>
              <w:t>2020</w:t>
            </w:r>
          </w:p>
        </w:tc>
        <w:tc>
          <w:tcPr>
            <w:tcW w:w="883" w:type="dxa"/>
          </w:tcPr>
          <w:p w:rsidRPr="005E506A" w:rsidR="005E506A" w:rsidP="005E506A" w:rsidRDefault="005E506A" w14:paraId="41E60A64" w14:textId="77777777">
            <w:pPr>
              <w:rPr>
                <w:rFonts w:eastAsia="Calibri"/>
                <w:sz w:val="26"/>
                <w:szCs w:val="16"/>
              </w:rPr>
            </w:pPr>
            <w:r w:rsidRPr="005E506A">
              <w:rPr>
                <w:rFonts w:eastAsia="Calibri"/>
                <w:sz w:val="26"/>
                <w:szCs w:val="16"/>
              </w:rPr>
              <w:t>AKX0304</w:t>
            </w:r>
          </w:p>
        </w:tc>
        <w:tc>
          <w:tcPr>
            <w:tcW w:w="1068" w:type="dxa"/>
          </w:tcPr>
          <w:p w:rsidRPr="005E506A" w:rsidR="005E506A" w:rsidP="005E506A" w:rsidRDefault="005E506A" w14:paraId="3129825C" w14:textId="77777777">
            <w:pPr>
              <w:rPr>
                <w:rFonts w:eastAsia="Calibri"/>
                <w:sz w:val="26"/>
                <w:szCs w:val="16"/>
              </w:rPr>
            </w:pPr>
            <w:r w:rsidRPr="005E506A">
              <w:rPr>
                <w:rFonts w:eastAsia="Calibri"/>
                <w:sz w:val="26"/>
                <w:szCs w:val="16"/>
              </w:rPr>
              <w:t xml:space="preserve">Fulton to Grey Pike </w:t>
            </w:r>
          </w:p>
        </w:tc>
        <w:tc>
          <w:tcPr>
            <w:tcW w:w="817" w:type="dxa"/>
          </w:tcPr>
          <w:p w:rsidRPr="005E506A" w:rsidR="005E506A" w:rsidP="005E506A" w:rsidRDefault="005E506A" w14:paraId="207AC9B5" w14:textId="77777777">
            <w:pPr>
              <w:rPr>
                <w:rFonts w:eastAsia="Calibri"/>
                <w:sz w:val="26"/>
                <w:szCs w:val="16"/>
              </w:rPr>
            </w:pPr>
            <w:r w:rsidRPr="005E506A">
              <w:rPr>
                <w:rFonts w:eastAsia="Calibri"/>
                <w:sz w:val="26"/>
                <w:szCs w:val="16"/>
              </w:rPr>
              <w:t>230</w:t>
            </w:r>
          </w:p>
        </w:tc>
        <w:tc>
          <w:tcPr>
            <w:tcW w:w="910" w:type="dxa"/>
          </w:tcPr>
          <w:p w:rsidRPr="005E506A" w:rsidR="005E506A" w:rsidP="005E506A" w:rsidRDefault="005E506A" w14:paraId="2198E6C5" w14:textId="77777777">
            <w:pPr>
              <w:rPr>
                <w:rFonts w:eastAsia="Calibri"/>
                <w:sz w:val="26"/>
                <w:szCs w:val="16"/>
              </w:rPr>
            </w:pPr>
            <w:r w:rsidRPr="005E506A">
              <w:rPr>
                <w:rFonts w:eastAsia="Calibri"/>
                <w:sz w:val="26"/>
                <w:szCs w:val="16"/>
              </w:rPr>
              <w:t xml:space="preserve">New Build </w:t>
            </w:r>
          </w:p>
        </w:tc>
        <w:tc>
          <w:tcPr>
            <w:tcW w:w="1052" w:type="dxa"/>
          </w:tcPr>
          <w:p w:rsidRPr="005E506A" w:rsidR="005E506A" w:rsidP="005E506A" w:rsidRDefault="005E506A" w14:paraId="01D9C805" w14:textId="77777777">
            <w:pPr>
              <w:rPr>
                <w:rFonts w:eastAsia="Calibri"/>
                <w:sz w:val="26"/>
                <w:szCs w:val="16"/>
              </w:rPr>
            </w:pPr>
            <w:r w:rsidRPr="005E506A">
              <w:rPr>
                <w:rFonts w:eastAsia="Calibri"/>
                <w:sz w:val="26"/>
                <w:szCs w:val="16"/>
              </w:rPr>
              <w:t>09/2023</w:t>
            </w:r>
          </w:p>
        </w:tc>
        <w:tc>
          <w:tcPr>
            <w:tcW w:w="1028" w:type="dxa"/>
          </w:tcPr>
          <w:p w:rsidRPr="005E506A" w:rsidR="005E506A" w:rsidP="005E506A" w:rsidRDefault="005E506A" w14:paraId="1ADB20FD" w14:textId="77777777">
            <w:pPr>
              <w:rPr>
                <w:rFonts w:eastAsia="Calibri"/>
                <w:sz w:val="26"/>
                <w:szCs w:val="16"/>
              </w:rPr>
            </w:pPr>
            <w:r w:rsidRPr="005E506A">
              <w:rPr>
                <w:rFonts w:eastAsia="Calibri"/>
                <w:sz w:val="26"/>
                <w:szCs w:val="16"/>
              </w:rPr>
              <w:t>Pre-Engineering</w:t>
            </w:r>
          </w:p>
        </w:tc>
        <w:tc>
          <w:tcPr>
            <w:tcW w:w="980" w:type="dxa"/>
          </w:tcPr>
          <w:p w:rsidRPr="005E506A" w:rsidR="005E506A" w:rsidP="005E506A" w:rsidRDefault="005E506A" w14:paraId="638D5417" w14:textId="77777777">
            <w:pPr>
              <w:rPr>
                <w:rFonts w:eastAsia="Calibri"/>
                <w:sz w:val="26"/>
                <w:szCs w:val="16"/>
              </w:rPr>
            </w:pPr>
            <w:r w:rsidRPr="005E506A">
              <w:rPr>
                <w:rFonts w:eastAsia="Calibri"/>
                <w:sz w:val="26"/>
                <w:szCs w:val="16"/>
              </w:rPr>
              <w:t>Yes</w:t>
            </w:r>
          </w:p>
        </w:tc>
        <w:tc>
          <w:tcPr>
            <w:tcW w:w="1728" w:type="dxa"/>
          </w:tcPr>
          <w:p w:rsidRPr="005E506A" w:rsidR="005E506A" w:rsidP="005E506A" w:rsidRDefault="005E506A" w14:paraId="3FDFE074" w14:textId="77777777">
            <w:pPr>
              <w:rPr>
                <w:rFonts w:eastAsia="Calibri"/>
                <w:sz w:val="26"/>
                <w:szCs w:val="16"/>
              </w:rPr>
            </w:pPr>
            <w:r w:rsidRPr="005E506A">
              <w:rPr>
                <w:rFonts w:eastAsia="Calibri"/>
                <w:sz w:val="26"/>
                <w:szCs w:val="16"/>
              </w:rPr>
              <w:t>N/A</w:t>
            </w:r>
          </w:p>
        </w:tc>
      </w:tr>
    </w:tbl>
    <w:p w:rsidRPr="005E506A" w:rsidR="005E506A" w:rsidP="005E506A" w:rsidRDefault="005E506A" w14:paraId="0241B069" w14:textId="77777777">
      <w:pPr>
        <w:widowControl w:val="0"/>
        <w:spacing w:after="0" w:line="240" w:lineRule="auto"/>
        <w:rPr>
          <w:rFonts w:ascii="Times New Roman" w:hAnsi="Times New Roman" w:eastAsia="Calibri" w:cs="Times New Roman"/>
          <w:b/>
          <w:sz w:val="26"/>
        </w:rPr>
      </w:pPr>
    </w:p>
    <w:p w:rsidRPr="005E506A" w:rsidR="005E506A" w:rsidP="005E506A" w:rsidRDefault="005E506A" w14:paraId="2D195894"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(10) There is no revision for the 2019 AKX0303 Table 2 entry even though the public utility now knows that the route will be delayed because this information was not knowable at the end of the report year.  Revisions to data are only to correct information that would have been known to be incorrect at the end of the report year.</w:t>
      </w:r>
    </w:p>
    <w:p w:rsidRPr="005E506A" w:rsidR="005E506A" w:rsidP="005E506A" w:rsidRDefault="005E506A" w14:paraId="4067F498"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6F1F38FE"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 xml:space="preserve">Paperwork Reduction Act of 1995 (PRA) Statement:  The PRA (44 U.S.C. 3501 et seq.) requires us to inform you the information collected in the Form 730 is necessary for the Commission to evaluate its incentive rates policies, and to demonstrate the effectiveness of these policies.  Further, the Form 730 filing requirement allows the Commission to track the progress of electric transmission projects granted incentive-based rates, providing an accurate assessment of the state of the industry with respect to transmission investment, and ensuring that incentive rates are effective in encouraging the development of appropriate transmission infrastructure. Responses are mandatory. An </w:t>
      </w:r>
      <w:r w:rsidRPr="005E506A">
        <w:rPr>
          <w:rFonts w:ascii="Times New Roman" w:hAnsi="Times New Roman" w:eastAsia="Calibri" w:cs="Times New Roman"/>
          <w:sz w:val="26"/>
        </w:rPr>
        <w:lastRenderedPageBreak/>
        <w:t xml:space="preserve">agency may not conduct or sponsor, and a person is not required to respond to a collection of information unless it displays a currently valid OMB Control Number.  Public reporting burden for reviewing the instructions, completing, and filling out this form is estimated to be 36 hours per response. Send comments regarding the burden estimate or any other aspect of this form to </w:t>
      </w:r>
      <w:hyperlink w:history="1" r:id="rId13">
        <w:r w:rsidRPr="005E506A">
          <w:rPr>
            <w:rFonts w:ascii="Times New Roman" w:hAnsi="Times New Roman" w:eastAsia="Calibri" w:cs="Times New Roman"/>
            <w:color w:val="0563C1"/>
            <w:sz w:val="26"/>
            <w:u w:val="single"/>
          </w:rPr>
          <w:t>DataClearance@FERC.gov</w:t>
        </w:r>
      </w:hyperlink>
      <w:r w:rsidRPr="005E506A">
        <w:rPr>
          <w:rFonts w:ascii="Times New Roman" w:hAnsi="Times New Roman" w:eastAsia="Calibri" w:cs="Times New Roman"/>
          <w:sz w:val="26"/>
        </w:rPr>
        <w:t>, or to the Office of the Executive Director, Information Clearance Officer, Federal Energy Regulatory Commission, 888 First Street, NE, Washington, DC 20426.</w:t>
      </w:r>
    </w:p>
    <w:p w:rsidRPr="005E506A" w:rsidR="005E506A" w:rsidP="005E506A" w:rsidRDefault="005E506A" w14:paraId="1BDA56F2"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22464055" w14:textId="77777777">
      <w:pPr>
        <w:widowControl w:val="0"/>
        <w:spacing w:after="0" w:line="240" w:lineRule="auto"/>
        <w:rPr>
          <w:rFonts w:ascii="Times New Roman" w:hAnsi="Times New Roman" w:eastAsia="Calibri" w:cs="Times New Roman"/>
          <w:sz w:val="26"/>
        </w:rPr>
      </w:pPr>
      <w:r w:rsidRPr="005E506A">
        <w:rPr>
          <w:rFonts w:ascii="Times New Roman" w:hAnsi="Times New Roman" w:eastAsia="Calibri" w:cs="Times New Roman"/>
          <w:sz w:val="26"/>
        </w:rPr>
        <w:t>Title 18, U.S.C. 1001 makes it a crime for any person knowingly and willingly to make to any Agency or Department of the United States any false, fictitious, or fraudulent statements as to any matter within its jurisdiction.</w:t>
      </w:r>
    </w:p>
    <w:p w:rsidRPr="005E506A" w:rsidR="005E506A" w:rsidP="005E506A" w:rsidRDefault="005E506A" w14:paraId="7C1EBC1D" w14:textId="77777777">
      <w:pPr>
        <w:widowControl w:val="0"/>
        <w:spacing w:after="0" w:line="240" w:lineRule="auto"/>
        <w:rPr>
          <w:rFonts w:ascii="Times New Roman" w:hAnsi="Times New Roman" w:eastAsia="Calibri" w:cs="Times New Roman"/>
          <w:sz w:val="26"/>
        </w:rPr>
      </w:pPr>
    </w:p>
    <w:p w:rsidRPr="005E506A" w:rsidR="005E506A" w:rsidP="005E506A" w:rsidRDefault="005E506A" w14:paraId="4223B06D" w14:textId="77777777">
      <w:pPr>
        <w:widowControl w:val="0"/>
        <w:spacing w:after="0" w:line="240" w:lineRule="auto"/>
        <w:rPr>
          <w:rFonts w:ascii="Times New Roman" w:hAnsi="Times New Roman" w:eastAsia="Calibri" w:cs="Times New Roman"/>
          <w:sz w:val="26"/>
        </w:rPr>
      </w:pPr>
    </w:p>
    <w:p w:rsidR="006F423A" w:rsidRDefault="006F423A" w14:paraId="6E34243B" w14:textId="77777777">
      <w:bookmarkStart w:name="_GoBack" w:id="1"/>
      <w:bookmarkEnd w:id="1"/>
    </w:p>
    <w:sectPr w:rsidR="006F423A" w:rsidSect="003556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B267B" w14:textId="77777777" w:rsidR="005E506A" w:rsidRDefault="005E506A" w:rsidP="005E506A">
      <w:pPr>
        <w:spacing w:after="0" w:line="240" w:lineRule="auto"/>
      </w:pPr>
      <w:r>
        <w:separator/>
      </w:r>
    </w:p>
  </w:endnote>
  <w:endnote w:type="continuationSeparator" w:id="0">
    <w:p w14:paraId="426143C3" w14:textId="77777777" w:rsidR="005E506A" w:rsidRDefault="005E506A" w:rsidP="005E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0C8F" w14:textId="77777777" w:rsidR="00355676" w:rsidRDefault="00355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8D6F6" w14:textId="77777777" w:rsidR="00355676" w:rsidRDefault="00355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9B4EE" w14:textId="77777777" w:rsidR="00355676" w:rsidRDefault="00355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C4789" w14:textId="77777777" w:rsidR="005E506A" w:rsidRDefault="005E506A" w:rsidP="005E506A">
      <w:pPr>
        <w:spacing w:after="0" w:line="240" w:lineRule="auto"/>
      </w:pPr>
      <w:r>
        <w:separator/>
      </w:r>
    </w:p>
  </w:footnote>
  <w:footnote w:type="continuationSeparator" w:id="0">
    <w:p w14:paraId="6D6FE6D7" w14:textId="77777777" w:rsidR="005E506A" w:rsidRDefault="005E506A" w:rsidP="005E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74F51" w14:textId="77777777" w:rsidR="00393D92" w:rsidRDefault="00355676"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792A9D14" w14:textId="77777777" w:rsidR="00393D92" w:rsidRDefault="00355676"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4268" w14:textId="59375C60" w:rsidR="00393D92" w:rsidRDefault="00355676" w:rsidP="009F75B5">
    <w:pPr>
      <w:pStyle w:val="Header"/>
      <w:tabs>
        <w:tab w:val="clear" w:pos="4680"/>
      </w:tabs>
      <w:spacing w:after="240"/>
    </w:pPr>
    <w:r w:rsidRPr="00355676">
      <w:rPr>
        <w:highlight w:val="lightGray"/>
      </w:rPr>
      <w:t xml:space="preserve">[Excerpt from NOPR in </w:t>
    </w:r>
    <w:r w:rsidRPr="00355676">
      <w:rPr>
        <w:highlight w:val="lightGray"/>
      </w:rPr>
      <w:t>Docket No.  RM20-10-000</w:t>
    </w:r>
    <w:r w:rsidRPr="00355676">
      <w:rPr>
        <w:highlight w:val="lightGray"/>
      </w:rPr>
      <w:t>]</w:t>
    </w:r>
    <w:r>
      <w:tab/>
    </w:r>
    <w:r>
      <w:fldChar w:fldCharType="begin"/>
    </w:r>
    <w:r>
      <w:instrText xml:space="preserve"> PAGE  \* MERGEFORMAT </w:instrText>
    </w:r>
    <w:r>
      <w:fldChar w:fldCharType="separate"/>
    </w:r>
    <w:r>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1600C" w14:textId="398D682D" w:rsidR="00393D92" w:rsidRDefault="00355676" w:rsidP="00EC3F55">
    <w:pPr>
      <w:pStyle w:val="Header"/>
      <w:tabs>
        <w:tab w:val="clear" w:pos="4680"/>
      </w:tabs>
    </w:pPr>
    <w:r w:rsidRPr="00355676">
      <w:rPr>
        <w:highlight w:val="lightGray"/>
      </w:rPr>
      <w:t>[Excerpt from NOPR in Docket No. RM20-10]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6A"/>
    <w:rsid w:val="00355676"/>
    <w:rsid w:val="005E506A"/>
    <w:rsid w:val="006F423A"/>
    <w:rsid w:val="009B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061E"/>
  <w15:chartTrackingRefBased/>
  <w15:docId w15:val="{9EC16F40-E9E6-4756-B88F-F95895AD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06A"/>
    <w:pPr>
      <w:widowControl w:val="0"/>
      <w:tabs>
        <w:tab w:val="center" w:pos="4680"/>
        <w:tab w:val="right" w:pos="9360"/>
      </w:tabs>
      <w:spacing w:after="0" w:line="240" w:lineRule="auto"/>
    </w:pPr>
    <w:rPr>
      <w:rFonts w:ascii="Times New Roman" w:hAnsi="Times New Roman" w:cs="Times New Roman"/>
      <w:sz w:val="26"/>
    </w:rPr>
  </w:style>
  <w:style w:type="character" w:customStyle="1" w:styleId="FooterChar">
    <w:name w:val="Footer Char"/>
    <w:basedOn w:val="DefaultParagraphFont"/>
    <w:link w:val="Footer"/>
    <w:uiPriority w:val="99"/>
    <w:rsid w:val="005E506A"/>
    <w:rPr>
      <w:rFonts w:ascii="Times New Roman" w:hAnsi="Times New Roman" w:cs="Times New Roman"/>
      <w:sz w:val="26"/>
    </w:rPr>
  </w:style>
  <w:style w:type="paragraph" w:styleId="Header">
    <w:name w:val="header"/>
    <w:basedOn w:val="Normal"/>
    <w:link w:val="HeaderChar"/>
    <w:uiPriority w:val="99"/>
    <w:unhideWhenUsed/>
    <w:rsid w:val="005E506A"/>
    <w:pPr>
      <w:widowControl w:val="0"/>
      <w:tabs>
        <w:tab w:val="center" w:pos="4680"/>
        <w:tab w:val="right" w:pos="9360"/>
      </w:tabs>
      <w:spacing w:after="0" w:line="240" w:lineRule="auto"/>
    </w:pPr>
    <w:rPr>
      <w:rFonts w:ascii="Times New Roman" w:hAnsi="Times New Roman" w:cs="Times New Roman"/>
      <w:sz w:val="26"/>
    </w:rPr>
  </w:style>
  <w:style w:type="character" w:customStyle="1" w:styleId="HeaderChar">
    <w:name w:val="Header Char"/>
    <w:basedOn w:val="DefaultParagraphFont"/>
    <w:link w:val="Header"/>
    <w:uiPriority w:val="99"/>
    <w:rsid w:val="005E506A"/>
    <w:rPr>
      <w:rFonts w:ascii="Times New Roman" w:hAnsi="Times New Roman" w:cs="Times New Roman"/>
      <w:sz w:val="26"/>
    </w:rPr>
  </w:style>
  <w:style w:type="character" w:styleId="PageNumber">
    <w:name w:val="page number"/>
    <w:basedOn w:val="DefaultParagraphFont"/>
    <w:rsid w:val="005E506A"/>
  </w:style>
  <w:style w:type="table" w:styleId="TableGrid">
    <w:name w:val="Table Grid"/>
    <w:basedOn w:val="TableNormal"/>
    <w:uiPriority w:val="39"/>
    <w:rsid w:val="005E506A"/>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Clearance@FER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erc.gov/docs-filing/efiling.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Supporting Information</Rulemaking_x0020_Document_x0020_Type>
    <_x0033__x002e__x0020_Docket_x0020_Number xmlns="d6eefc7d-9817-4fa6-84d5-3bc009be21b8" xsi:nil="true"/>
    <_x0031__x002e__x0020_Collection_x0020_Number xmlns="d6eefc7d-9817-4fa6-84d5-3bc009be21b8">730</_x0031__x002e__x0020_Collection_x0020_Number>
    <Date xmlns="d6eefc7d-9817-4fa6-84d5-3bc009be21b8">2020-04-06T04:00:00.000Z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RM20-10</_x0031__x002e__x0020_Docket_x0020_Number>
    <_x0033__x002e__x0020_Collection_x0020_Number xmlns="d6eefc7d-9817-4fa6-84d5-3bc009be21b8"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E8EC-A542-461A-981C-AA1E87C0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7B0FF-AE66-4C56-9A49-CC4F89653BF3}">
  <ds:schemaRefs>
    <ds:schemaRef ds:uri="http://schemas.microsoft.com/office/2006/metadata/customXsn"/>
  </ds:schemaRefs>
</ds:datastoreItem>
</file>

<file path=customXml/itemProps3.xml><?xml version="1.0" encoding="utf-8"?>
<ds:datastoreItem xmlns:ds="http://schemas.openxmlformats.org/officeDocument/2006/customXml" ds:itemID="{5084FFC9-8E19-48DD-A1D2-0E36A0F05061}">
  <ds:schemaRefs>
    <ds:schemaRef ds:uri="Microsoft.SharePoint.Taxonomy.ContentTypeSync"/>
  </ds:schemaRefs>
</ds:datastoreItem>
</file>

<file path=customXml/itemProps4.xml><?xml version="1.0" encoding="utf-8"?>
<ds:datastoreItem xmlns:ds="http://schemas.openxmlformats.org/officeDocument/2006/customXml" ds:itemID="{77DB757B-FAFB-4035-984D-226C2770C0F3}">
  <ds:schemaRefs>
    <ds:schemaRef ds:uri="http://schemas.microsoft.com/sharepoint/v3/contenttype/forms"/>
  </ds:schemaRefs>
</ds:datastoreItem>
</file>

<file path=customXml/itemProps5.xml><?xml version="1.0" encoding="utf-8"?>
<ds:datastoreItem xmlns:ds="http://schemas.openxmlformats.org/officeDocument/2006/customXml" ds:itemID="{F60A2294-30CE-4221-BA82-4ED5B0EDDA9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 ds:uri="http://purl.org/dc/dcmitype/"/>
  </ds:schemaRefs>
</ds:datastoreItem>
</file>

<file path=customXml/itemProps6.xml><?xml version="1.0" encoding="utf-8"?>
<ds:datastoreItem xmlns:ds="http://schemas.openxmlformats.org/officeDocument/2006/customXml" ds:itemID="{A38A9AC0-80CC-4E55-9C30-936107E7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FERC Staff</dc:creator>
  <cp:keywords/>
  <dc:description/>
  <cp:lastModifiedBy>FERC Staff</cp:lastModifiedBy>
  <cp:revision>3</cp:revision>
  <dcterms:created xsi:type="dcterms:W3CDTF">2020-04-06T14:07:00Z</dcterms:created>
  <dcterms:modified xsi:type="dcterms:W3CDTF">2020-04-06T14:17:00Z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