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55B" w:rsidP="00CE7745" w:rsidRDefault="00383548" w14:paraId="40D804CB" w14:textId="5E9C4694">
      <w:pPr>
        <w:tabs>
          <w:tab w:val="center" w:pos="4680"/>
        </w:tabs>
        <w:spacing w:after="0" w:line="259" w:lineRule="auto"/>
        <w:ind w:left="0" w:firstLine="0"/>
        <w:jc w:val="center"/>
      </w:pPr>
      <w:bookmarkStart w:name="_GoBack" w:id="0"/>
      <w:bookmarkEnd w:id="0"/>
      <w:r>
        <w:t xml:space="preserve">Supporting Statement for </w:t>
      </w:r>
    </w:p>
    <w:p w:rsidR="00DD755B" w:rsidRDefault="00383548" w14:paraId="3A3CA4C1" w14:textId="77777777">
      <w:pPr>
        <w:pStyle w:val="Heading1"/>
        <w:spacing w:after="0"/>
        <w:ind w:left="0" w:firstLine="0"/>
        <w:jc w:val="center"/>
      </w:pPr>
      <w:r>
        <w:t xml:space="preserve">FERC-516 (Electric Rate Schedules and Tariff Filings) and </w:t>
      </w:r>
    </w:p>
    <w:p w:rsidR="00DD755B" w:rsidRDefault="00383548" w14:paraId="4389651E" w14:textId="77777777">
      <w:pPr>
        <w:pStyle w:val="Heading1"/>
        <w:spacing w:after="0"/>
        <w:ind w:left="0" w:firstLine="0"/>
        <w:jc w:val="center"/>
      </w:pPr>
      <w:r>
        <w:t xml:space="preserve">FERC-730 (Report of Transmission Investment Activity), </w:t>
      </w:r>
    </w:p>
    <w:p w:rsidR="00DD755B" w:rsidRDefault="00383548" w14:paraId="08F9040C" w14:textId="77777777">
      <w:pPr>
        <w:pStyle w:val="Heading1"/>
        <w:spacing w:after="0"/>
        <w:ind w:left="0" w:firstLine="0"/>
        <w:jc w:val="center"/>
      </w:pPr>
      <w:r>
        <w:t xml:space="preserve">changes proposed in Notice of Proposed Rulemaking in Docket No. RM20-10-000 </w:t>
      </w:r>
    </w:p>
    <w:p w:rsidR="00DD755B" w:rsidRDefault="00383548" w14:paraId="541CF329" w14:textId="77777777">
      <w:pPr>
        <w:spacing w:after="0" w:line="259" w:lineRule="auto"/>
        <w:ind w:left="590" w:firstLine="0"/>
        <w:jc w:val="center"/>
        <w:outlineLvl w:val="4"/>
      </w:pPr>
      <w:r>
        <w:rPr>
          <w:b/>
        </w:rPr>
        <w:t xml:space="preserve"> </w:t>
      </w:r>
    </w:p>
    <w:p w:rsidR="00DD755B" w:rsidRDefault="00383548" w14:paraId="75A94B93" w14:textId="77777777">
      <w:pPr>
        <w:spacing w:after="0" w:line="240" w:lineRule="auto"/>
        <w:ind w:left="0" w:firstLine="0"/>
        <w:contextualSpacing/>
      </w:pPr>
      <w:r>
        <w:t>The Federal Energy Regulatory Commission (Commission or FERC) requests that the Office of Management and Budget (OMB) approve the information collection requirements in FERC-516 and FERC-730, as proposed for modification in the Notice of Proposed Rulemaking (NOPR) in Docket No. RM20-10.</w:t>
      </w:r>
    </w:p>
    <w:p w:rsidR="00DD755B" w:rsidRDefault="00383548" w14:paraId="7AC544E1" w14:textId="77777777">
      <w:pPr>
        <w:spacing w:after="0" w:line="240" w:lineRule="auto"/>
        <w:ind w:left="0" w:firstLine="0"/>
        <w:rPr>
          <w:b/>
        </w:rPr>
      </w:pPr>
      <w:r>
        <w:rPr>
          <w:b/>
        </w:rPr>
        <w:t xml:space="preserve"> </w:t>
      </w:r>
    </w:p>
    <w:p w:rsidR="00DD755B" w:rsidRDefault="00383548" w14:paraId="7CF05CF4" w14:textId="77777777">
      <w:pPr>
        <w:pStyle w:val="FERCparanumber"/>
        <w:numPr>
          <w:ilvl w:val="0"/>
          <w:numId w:val="0"/>
        </w:numPr>
        <w:spacing w:line="240" w:lineRule="auto"/>
        <w:rPr>
          <w:sz w:val="24"/>
          <w:szCs w:val="24"/>
        </w:rPr>
      </w:pPr>
      <w:r>
        <w:rPr>
          <w:b/>
          <w:sz w:val="24"/>
          <w:szCs w:val="24"/>
        </w:rPr>
        <w:t xml:space="preserve">Background.  </w:t>
      </w:r>
      <w:r>
        <w:rPr>
          <w:sz w:val="24"/>
          <w:szCs w:val="24"/>
        </w:rPr>
        <w:t>In the NOPR in Docket No. RM20-10, the Commission proposes to revise its existing transmission incentives policy and corresponding regulations (Transmission Incentives Regulations)</w:t>
      </w:r>
      <w:r>
        <w:rPr>
          <w:b/>
          <w:sz w:val="24"/>
          <w:szCs w:val="24"/>
          <w:vertAlign w:val="superscript"/>
        </w:rPr>
        <w:footnoteReference w:id="2"/>
      </w:r>
      <w:r>
        <w:rPr>
          <w:sz w:val="24"/>
          <w:szCs w:val="24"/>
        </w:rPr>
        <w:t xml:space="preserve"> in light of changes in transmission development and planning in the last few years.  After the enactment of the Energy Policy Act of 2005,</w:t>
      </w:r>
      <w:r>
        <w:rPr>
          <w:b/>
          <w:sz w:val="24"/>
          <w:szCs w:val="24"/>
          <w:vertAlign w:val="superscript"/>
        </w:rPr>
        <w:footnoteReference w:id="3"/>
      </w:r>
      <w:r>
        <w:rPr>
          <w:sz w:val="24"/>
          <w:szCs w:val="24"/>
        </w:rPr>
        <w:t xml:space="preserve"> which added section 219 to the Federal Power Act (FPA),</w:t>
      </w:r>
      <w:r>
        <w:rPr>
          <w:b/>
          <w:sz w:val="24"/>
          <w:szCs w:val="24"/>
          <w:vertAlign w:val="superscript"/>
        </w:rPr>
        <w:footnoteReference w:id="4"/>
      </w:r>
      <w:r>
        <w:rPr>
          <w:sz w:val="24"/>
          <w:szCs w:val="24"/>
        </w:rPr>
        <w:t xml:space="preserve"> the Commission promulgated Order No. 679</w:t>
      </w:r>
      <w:r>
        <w:rPr>
          <w:b/>
          <w:sz w:val="24"/>
          <w:szCs w:val="24"/>
          <w:vertAlign w:val="superscript"/>
        </w:rPr>
        <w:footnoteReference w:id="5"/>
      </w:r>
      <w:r>
        <w:rPr>
          <w:sz w:val="24"/>
          <w:szCs w:val="24"/>
        </w:rPr>
        <w:t xml:space="preserve"> pursuant to FPA section 219.   </w:t>
      </w:r>
    </w:p>
    <w:p w:rsidR="00DD755B" w:rsidRDefault="00DD755B" w14:paraId="2C2AE82A" w14:textId="77777777">
      <w:pPr>
        <w:pStyle w:val="FERCparanumber"/>
        <w:numPr>
          <w:ilvl w:val="0"/>
          <w:numId w:val="0"/>
        </w:numPr>
        <w:spacing w:line="240" w:lineRule="auto"/>
        <w:rPr>
          <w:sz w:val="24"/>
          <w:szCs w:val="24"/>
        </w:rPr>
      </w:pPr>
    </w:p>
    <w:p w:rsidR="00DD755B" w:rsidRDefault="00383548" w14:paraId="05195FEA" w14:textId="77777777">
      <w:pPr>
        <w:tabs>
          <w:tab w:val="num" w:pos="720"/>
        </w:tabs>
        <w:spacing w:after="0" w:line="240" w:lineRule="auto"/>
        <w:ind w:left="0" w:firstLine="0"/>
        <w:rPr>
          <w:rFonts w:eastAsia="Calibri"/>
          <w:color w:val="auto"/>
          <w:szCs w:val="24"/>
        </w:rPr>
      </w:pPr>
      <w:r>
        <w:rPr>
          <w:rFonts w:eastAsia="Calibri"/>
          <w:color w:val="auto"/>
          <w:szCs w:val="24"/>
        </w:rPr>
        <w:t>After Order No. 679, the Commission last reviewed its transmission incentives policy in its 2012 Policy Statement.</w:t>
      </w:r>
      <w:r>
        <w:rPr>
          <w:rFonts w:eastAsia="Calibri"/>
          <w:b/>
          <w:color w:val="auto"/>
          <w:szCs w:val="24"/>
          <w:vertAlign w:val="superscript"/>
        </w:rPr>
        <w:footnoteReference w:id="6"/>
      </w:r>
      <w:r>
        <w:rPr>
          <w:rFonts w:eastAsia="Calibri"/>
          <w:color w:val="auto"/>
          <w:szCs w:val="24"/>
        </w:rPr>
        <w:t xml:space="preserve">  Even since then, the energy industry has undergone a transformation.  The landscape for planning, developing, operating, and maintaining transmission infrastructure has changed considerably.  Those changes include an evolution in the resource mix and an increase in the number of new resources seeking transmission service, shifts in load patterns, the impact of the implementation of the Commission’s major rulemaking on transmission planning and cost allocation (Order  No. 1000),</w:t>
      </w:r>
      <w:r>
        <w:rPr>
          <w:rFonts w:eastAsia="Calibri"/>
          <w:b/>
          <w:color w:val="auto"/>
          <w:szCs w:val="24"/>
          <w:vertAlign w:val="superscript"/>
        </w:rPr>
        <w:footnoteReference w:id="7"/>
      </w:r>
      <w:r>
        <w:rPr>
          <w:rFonts w:eastAsia="Calibri"/>
          <w:color w:val="auto"/>
          <w:szCs w:val="24"/>
        </w:rPr>
        <w:t xml:space="preserve"> and new challenges to maintaining the reliability of transmission infrastructur</w:t>
      </w:r>
      <w:bookmarkStart w:name="_Hlk33377085" w:id="1"/>
      <w:r>
        <w:rPr>
          <w:rFonts w:eastAsia="Calibri"/>
          <w:color w:val="auto"/>
          <w:szCs w:val="24"/>
        </w:rPr>
        <w:t>e.  As a result of these changes and the Commission’s greater experience evaluating transmission incentive applications made pursuant to Order No. 679 and their relationship to the objectives of FPA section 219, we now propose to revise our transmission incentives policy to more closely align it with the statutory language of FPA section 219.</w:t>
      </w:r>
      <w:bookmarkEnd w:id="1"/>
    </w:p>
    <w:p w:rsidR="00DD755B" w:rsidRDefault="00383548" w14:paraId="39814084" w14:textId="77777777">
      <w:pPr>
        <w:tabs>
          <w:tab w:val="num" w:pos="720"/>
        </w:tabs>
        <w:spacing w:after="0" w:line="240" w:lineRule="auto"/>
        <w:ind w:left="0" w:firstLine="0"/>
        <w:rPr>
          <w:rFonts w:eastAsia="Calibri"/>
          <w:color w:val="auto"/>
          <w:szCs w:val="24"/>
        </w:rPr>
      </w:pPr>
      <w:r>
        <w:rPr>
          <w:rFonts w:eastAsia="Calibri"/>
          <w:color w:val="auto"/>
          <w:szCs w:val="24"/>
        </w:rPr>
        <w:t xml:space="preserve">  </w:t>
      </w:r>
    </w:p>
    <w:p w:rsidR="00DD755B" w:rsidRDefault="00383548" w14:paraId="2E94DDBF" w14:textId="77777777">
      <w:pPr>
        <w:tabs>
          <w:tab w:val="num" w:pos="720"/>
        </w:tabs>
        <w:spacing w:after="0" w:line="240" w:lineRule="auto"/>
        <w:ind w:left="0" w:firstLine="0"/>
        <w:rPr>
          <w:rFonts w:eastAsia="Calibri"/>
          <w:color w:val="auto"/>
          <w:szCs w:val="24"/>
        </w:rPr>
      </w:pPr>
      <w:r>
        <w:rPr>
          <w:rFonts w:eastAsia="Calibri"/>
          <w:color w:val="auto"/>
          <w:szCs w:val="24"/>
        </w:rPr>
        <w:t xml:space="preserve">At present, 18 CFR 35.35 requires that applicants show, among other things, that the facilities for which it seeks incentives “is tailored to address the demonstrable risks or challenges faced by the applicant in undertaking the project.”  In the proposed rule, the Commission proposes to depart </w:t>
      </w:r>
      <w:r>
        <w:rPr>
          <w:rFonts w:eastAsia="Calibri"/>
          <w:color w:val="auto"/>
          <w:szCs w:val="24"/>
        </w:rPr>
        <w:lastRenderedPageBreak/>
        <w:t xml:space="preserve">from the risks and challenges approach used to evaluate requests for transmission incentives and instead focus on granting incentives based on the benefits to consumers by promoting investment in transmission infrastructure in accordance with </w:t>
      </w:r>
      <w:r>
        <w:rPr>
          <w:rFonts w:eastAsia="Calibri"/>
          <w:szCs w:val="24"/>
        </w:rPr>
        <w:t xml:space="preserve">FPA section 219(a)’s directive to incentivize transmission for “the purpose of </w:t>
      </w:r>
      <w:r>
        <w:rPr>
          <w:rFonts w:eastAsia="Calibri"/>
          <w:i/>
          <w:iCs/>
          <w:szCs w:val="24"/>
        </w:rPr>
        <w:t>benefitting</w:t>
      </w:r>
      <w:r>
        <w:rPr>
          <w:rFonts w:eastAsia="Calibri"/>
          <w:szCs w:val="24"/>
        </w:rPr>
        <w:t xml:space="preserve"> consumers by ensuring reliability and reducing the cost of delivered power” (emphasis added).</w:t>
      </w:r>
    </w:p>
    <w:p w:rsidR="00DD755B" w:rsidRDefault="00DD755B" w14:paraId="200BC167" w14:textId="77777777">
      <w:pPr>
        <w:spacing w:after="0" w:line="240" w:lineRule="auto"/>
        <w:ind w:left="0" w:firstLine="0"/>
        <w:rPr>
          <w:rFonts w:eastAsia="Calibri"/>
          <w:color w:val="auto"/>
          <w:szCs w:val="24"/>
        </w:rPr>
      </w:pPr>
    </w:p>
    <w:p w:rsidR="00DD755B" w:rsidRDefault="00383548" w14:paraId="7E075E29" w14:textId="77777777">
      <w:pPr>
        <w:tabs>
          <w:tab w:val="num" w:pos="720"/>
        </w:tabs>
        <w:spacing w:after="0" w:line="240" w:lineRule="auto"/>
        <w:ind w:left="0" w:firstLine="0"/>
        <w:rPr>
          <w:rFonts w:eastAsia="Calibri"/>
          <w:color w:val="auto"/>
          <w:szCs w:val="24"/>
        </w:rPr>
      </w:pPr>
      <w:r>
        <w:rPr>
          <w:rFonts w:eastAsia="Calibri"/>
          <w:b/>
          <w:bCs/>
          <w:i/>
          <w:iCs/>
          <w:color w:val="auto"/>
          <w:szCs w:val="24"/>
        </w:rPr>
        <w:t>Other Proposals</w:t>
      </w:r>
    </w:p>
    <w:p w:rsidR="00DD755B" w:rsidRDefault="00383548" w14:paraId="7BB4519D" w14:textId="77777777">
      <w:pPr>
        <w:tabs>
          <w:tab w:val="num" w:pos="720"/>
        </w:tabs>
        <w:spacing w:after="0" w:line="240" w:lineRule="auto"/>
        <w:ind w:left="0" w:firstLine="0"/>
        <w:rPr>
          <w:rFonts w:eastAsia="Calibri"/>
          <w:color w:val="auto"/>
          <w:szCs w:val="24"/>
        </w:rPr>
      </w:pPr>
      <w:r>
        <w:rPr>
          <w:rFonts w:eastAsia="Calibri"/>
          <w:color w:val="auto"/>
          <w:szCs w:val="24"/>
        </w:rPr>
        <w:t>We propose to offer public utilities an ROE incentive for transmission projects that provide sufficient economic benefits, as measured by the degree to which such benefits exceed related transmission project costs.  Specifically, we propose to offer 50 basis points of ROE incentives for transmission projects that meet an economic benefit-to-cost ratio in the top 75th percentile of transmission projects examined over a sample period.  We propose to offer 50 additional basis points of ROE incentives for transmission projects that demonstrate ex-post cost savings that fall in the 90th percentile of transmission projects studied over the same sample period, as measured at the end of construction.</w:t>
      </w:r>
    </w:p>
    <w:p w:rsidR="00DD755B" w:rsidRDefault="00DD755B" w14:paraId="4FABE4A7" w14:textId="77777777">
      <w:pPr>
        <w:tabs>
          <w:tab w:val="num" w:pos="720"/>
        </w:tabs>
        <w:spacing w:after="0" w:line="240" w:lineRule="auto"/>
        <w:ind w:left="0" w:firstLine="0"/>
        <w:rPr>
          <w:rFonts w:eastAsia="Calibri"/>
          <w:color w:val="auto"/>
          <w:szCs w:val="24"/>
        </w:rPr>
      </w:pPr>
    </w:p>
    <w:p w:rsidR="00DD755B" w:rsidRDefault="00383548" w14:paraId="106FB4CF" w14:textId="77777777">
      <w:pPr>
        <w:spacing w:after="0" w:line="240" w:lineRule="auto"/>
        <w:ind w:left="0" w:firstLine="0"/>
        <w:rPr>
          <w:rFonts w:eastAsia="Calibri"/>
          <w:color w:val="auto"/>
          <w:szCs w:val="24"/>
        </w:rPr>
      </w:pPr>
      <w:r>
        <w:rPr>
          <w:rFonts w:eastAsia="Calibri"/>
          <w:color w:val="auto"/>
          <w:szCs w:val="24"/>
        </w:rPr>
        <w:t xml:space="preserve">We propose to offer public utilities an ROE incentive for transmission projects that provide significant and demonstrable reliability benefits.  Specifically, we propose to offer up to 50 basis points of ROE incentives for transmission projects that can demonstrate potential reliability benefits by providing quantitative analysis, where possible, as well as qualitative analysis.  Cybersecurity is an important part of reliability and we will address cybersecurity incentives independently in a separate, future proceeding </w:t>
      </w:r>
    </w:p>
    <w:p w:rsidR="00DD755B" w:rsidRDefault="00DD755B" w14:paraId="28783062" w14:textId="77777777">
      <w:pPr>
        <w:tabs>
          <w:tab w:val="num" w:pos="720"/>
        </w:tabs>
        <w:spacing w:after="0" w:line="240" w:lineRule="auto"/>
        <w:ind w:left="0" w:firstLine="0"/>
        <w:rPr>
          <w:rFonts w:eastAsia="Calibri"/>
          <w:color w:val="auto"/>
          <w:szCs w:val="24"/>
        </w:rPr>
      </w:pPr>
    </w:p>
    <w:p w:rsidR="00DD755B" w:rsidRDefault="00383548" w14:paraId="25E4E882" w14:textId="77777777">
      <w:pPr>
        <w:spacing w:after="0" w:line="240" w:lineRule="auto"/>
        <w:ind w:left="0" w:firstLine="0"/>
        <w:rPr>
          <w:rFonts w:eastAsia="Calibri"/>
          <w:color w:val="auto"/>
          <w:szCs w:val="24"/>
        </w:rPr>
      </w:pPr>
      <w:r>
        <w:rPr>
          <w:rFonts w:eastAsia="Calibri"/>
          <w:color w:val="auto"/>
          <w:szCs w:val="24"/>
        </w:rPr>
        <w:t>We propose to modify the incentive allowing public utilities to recover 100 percent of prudently incurred costs of transmission facilities that are cancelled or abandoned due to factors that are beyond the control of the applicant (Abandoned Plant Incentive).  Specifically, we propose to allow public utilities with transmission projects that are selected in a regional transmission planning process for the purposes of cost allocation to recover 100 percent of abandoned plant costs from the date that such transmission projects are selected in a regional transmission planning process for the purposes of cost allocation, rather than from the date the Commission issues an order granting such recovery.</w:t>
      </w:r>
    </w:p>
    <w:p w:rsidR="00DD755B" w:rsidRDefault="00DD755B" w14:paraId="59B892F3" w14:textId="77777777">
      <w:pPr>
        <w:tabs>
          <w:tab w:val="num" w:pos="720"/>
        </w:tabs>
        <w:spacing w:after="0" w:line="240" w:lineRule="auto"/>
        <w:ind w:left="0" w:firstLine="0"/>
        <w:rPr>
          <w:rFonts w:eastAsia="Calibri"/>
          <w:color w:val="auto"/>
          <w:szCs w:val="24"/>
        </w:rPr>
      </w:pPr>
    </w:p>
    <w:p w:rsidR="00DD755B" w:rsidRDefault="00383548" w14:paraId="18EA584F" w14:textId="77777777">
      <w:pPr>
        <w:tabs>
          <w:tab w:val="num" w:pos="720"/>
        </w:tabs>
        <w:spacing w:after="0" w:line="240" w:lineRule="auto"/>
        <w:ind w:left="0" w:firstLine="0"/>
        <w:rPr>
          <w:rFonts w:eastAsia="Calibri"/>
          <w:color w:val="auto"/>
          <w:szCs w:val="24"/>
        </w:rPr>
      </w:pPr>
      <w:r>
        <w:rPr>
          <w:rFonts w:eastAsia="Calibri"/>
          <w:color w:val="auto"/>
          <w:szCs w:val="24"/>
        </w:rPr>
        <w:t>We propose to revise our regulations to limit the ROE incentive and related acquisition adjustment incentive available to stand-alone transmission companies (Transcos).</w:t>
      </w:r>
      <w:r>
        <w:rPr>
          <w:rFonts w:eastAsia="Calibri"/>
          <w:b/>
          <w:color w:val="auto"/>
          <w:szCs w:val="24"/>
          <w:vertAlign w:val="superscript"/>
        </w:rPr>
        <w:footnoteReference w:id="8"/>
      </w:r>
    </w:p>
    <w:p w:rsidR="00DD755B" w:rsidRDefault="00DD755B" w14:paraId="714A94FB" w14:textId="77777777">
      <w:pPr>
        <w:tabs>
          <w:tab w:val="num" w:pos="720"/>
        </w:tabs>
        <w:spacing w:after="0" w:line="240" w:lineRule="auto"/>
        <w:ind w:left="0" w:firstLine="0"/>
        <w:rPr>
          <w:rFonts w:eastAsia="Calibri"/>
          <w:color w:val="auto"/>
          <w:szCs w:val="24"/>
        </w:rPr>
      </w:pPr>
    </w:p>
    <w:p w:rsidR="00DD755B" w:rsidRDefault="00383548" w14:paraId="5542498F" w14:textId="77777777">
      <w:pPr>
        <w:tabs>
          <w:tab w:val="num" w:pos="720"/>
        </w:tabs>
        <w:spacing w:after="0" w:line="240" w:lineRule="auto"/>
        <w:ind w:left="0" w:firstLine="0"/>
        <w:rPr>
          <w:rFonts w:eastAsia="Calibri"/>
          <w:color w:val="auto"/>
          <w:szCs w:val="24"/>
        </w:rPr>
      </w:pPr>
      <w:r>
        <w:rPr>
          <w:rFonts w:eastAsia="Calibri"/>
          <w:color w:val="auto"/>
          <w:szCs w:val="24"/>
        </w:rPr>
        <w:t xml:space="preserve">Consistent with the statutory language in FPA section 219, we propose to modify the ROE incentive available to transmitting utilities or electric utilities that join and/or continue to be a member of an Independent System Operator (ISO), Regional Transmission Organization (RTO), or other </w:t>
      </w:r>
      <w:r>
        <w:rPr>
          <w:rFonts w:eastAsia="Calibri"/>
          <w:color w:val="auto"/>
          <w:szCs w:val="24"/>
        </w:rPr>
        <w:lastRenderedPageBreak/>
        <w:t>Commission approved Transmission Organization</w:t>
      </w:r>
      <w:r>
        <w:rPr>
          <w:rFonts w:eastAsia="Calibri"/>
          <w:b/>
          <w:color w:val="auto"/>
          <w:szCs w:val="24"/>
          <w:vertAlign w:val="superscript"/>
        </w:rPr>
        <w:footnoteReference w:id="9"/>
      </w:r>
      <w:r>
        <w:rPr>
          <w:rFonts w:eastAsia="Calibri"/>
          <w:color w:val="auto"/>
          <w:szCs w:val="24"/>
        </w:rPr>
        <w:t xml:space="preserve"> (RTO-Participation Incentive) so that it is available regardless of whether the transmitting utility’s or electric utility’s participation in the ISO, RTO, or Transmission Organization is voluntary.  The proposed RTO-Participation Incentive will be a uniform 100-basis-point increase to ROE for transmitting utilities that turn over their wholesale facilities to the Transmission Organization.</w:t>
      </w:r>
    </w:p>
    <w:p w:rsidR="00DD755B" w:rsidRDefault="00DD755B" w14:paraId="6B0CCDD6" w14:textId="77777777">
      <w:pPr>
        <w:tabs>
          <w:tab w:val="num" w:pos="720"/>
        </w:tabs>
        <w:spacing w:after="0" w:line="240" w:lineRule="auto"/>
        <w:ind w:left="0" w:firstLine="0"/>
        <w:rPr>
          <w:rFonts w:eastAsia="Calibri"/>
          <w:color w:val="auto"/>
          <w:szCs w:val="24"/>
        </w:rPr>
      </w:pPr>
    </w:p>
    <w:p w:rsidR="00DD755B" w:rsidRDefault="00383548" w14:paraId="6541713E" w14:textId="77777777">
      <w:pPr>
        <w:tabs>
          <w:tab w:val="num" w:pos="720"/>
        </w:tabs>
        <w:spacing w:after="0" w:line="240" w:lineRule="auto"/>
        <w:ind w:left="0" w:firstLine="0"/>
        <w:rPr>
          <w:rFonts w:eastAsia="Calibri"/>
          <w:color w:val="auto"/>
          <w:szCs w:val="24"/>
        </w:rPr>
      </w:pPr>
      <w:r>
        <w:rPr>
          <w:rFonts w:eastAsia="Calibri"/>
          <w:color w:val="auto"/>
          <w:szCs w:val="24"/>
        </w:rPr>
        <w:t xml:space="preserve">We propose to offer public utilities incentives for </w:t>
      </w:r>
      <w:bookmarkStart w:name="_Hlk31976896" w:id="2"/>
      <w:r>
        <w:rPr>
          <w:rFonts w:eastAsia="Calibri"/>
          <w:color w:val="auto"/>
          <w:szCs w:val="24"/>
        </w:rPr>
        <w:t xml:space="preserve">transmission technologies </w:t>
      </w:r>
      <w:bookmarkEnd w:id="2"/>
      <w:r>
        <w:rPr>
          <w:rFonts w:eastAsia="Calibri"/>
          <w:color w:val="auto"/>
          <w:szCs w:val="24"/>
        </w:rPr>
        <w:t xml:space="preserve">that, as deployed in certain circumstances, enhance reliability, efficiency, and capacity, and improve the operation of new or existing transmission facilities.  We propose that these technologies will be eligible for </w:t>
      </w:r>
      <w:bookmarkStart w:name="_Hlk31976841" w:id="3"/>
      <w:r>
        <w:rPr>
          <w:rFonts w:eastAsia="Calibri"/>
          <w:color w:val="auto"/>
          <w:szCs w:val="24"/>
        </w:rPr>
        <w:t xml:space="preserve">both:  (1) a stand-alone, 100-basis-point ROE incentive on the costs of </w:t>
      </w:r>
      <w:bookmarkEnd w:id="3"/>
      <w:r>
        <w:rPr>
          <w:rFonts w:eastAsia="Calibri"/>
          <w:color w:val="auto"/>
          <w:szCs w:val="24"/>
        </w:rPr>
        <w:t xml:space="preserve">the specified transmission technology project; </w:t>
      </w:r>
      <w:bookmarkStart w:name="_Hlk31976921" w:id="4"/>
      <w:r>
        <w:rPr>
          <w:rFonts w:eastAsia="Calibri"/>
          <w:color w:val="auto"/>
          <w:szCs w:val="24"/>
        </w:rPr>
        <w:t>and (2) specialized regulatory asset treatment</w:t>
      </w:r>
      <w:bookmarkEnd w:id="4"/>
      <w:r>
        <w:rPr>
          <w:rFonts w:eastAsia="Calibri"/>
          <w:color w:val="auto"/>
          <w:szCs w:val="24"/>
        </w:rPr>
        <w:t>.  Further, we propose to give pilot programs a rebuttable presumption of eligibility for these incentives.</w:t>
      </w:r>
    </w:p>
    <w:p w:rsidR="00DD755B" w:rsidRDefault="00DD755B" w14:paraId="1AA243F3" w14:textId="77777777">
      <w:pPr>
        <w:tabs>
          <w:tab w:val="num" w:pos="720"/>
        </w:tabs>
        <w:spacing w:after="0" w:line="240" w:lineRule="auto"/>
        <w:ind w:left="0" w:firstLine="0"/>
        <w:rPr>
          <w:rFonts w:eastAsia="Calibri"/>
          <w:color w:val="auto"/>
          <w:szCs w:val="24"/>
        </w:rPr>
      </w:pPr>
    </w:p>
    <w:p w:rsidR="00DD755B" w:rsidRDefault="00383548" w14:paraId="5E156E62" w14:textId="77777777">
      <w:pPr>
        <w:tabs>
          <w:tab w:val="num" w:pos="720"/>
        </w:tabs>
        <w:spacing w:after="0" w:line="240" w:lineRule="auto"/>
        <w:ind w:left="0" w:firstLine="0"/>
        <w:rPr>
          <w:rFonts w:eastAsia="Calibri"/>
          <w:color w:val="auto"/>
          <w:szCs w:val="24"/>
        </w:rPr>
      </w:pPr>
      <w:r>
        <w:rPr>
          <w:rFonts w:eastAsia="Calibri"/>
          <w:color w:val="auto"/>
          <w:szCs w:val="24"/>
        </w:rPr>
        <w:t>We propose to establish a 250-basis-point cap on total ROE incentives granted to a public utility in place of the current policy of limiting ROE incentives to the public utility’s zone of reasonableness.</w:t>
      </w:r>
    </w:p>
    <w:p w:rsidR="00DD755B" w:rsidRDefault="00DD755B" w14:paraId="77388CC6" w14:textId="77777777">
      <w:pPr>
        <w:tabs>
          <w:tab w:val="num" w:pos="720"/>
        </w:tabs>
        <w:spacing w:after="0" w:line="240" w:lineRule="auto"/>
        <w:ind w:left="0" w:firstLine="0"/>
        <w:rPr>
          <w:rFonts w:eastAsia="Calibri"/>
          <w:color w:val="auto"/>
          <w:szCs w:val="24"/>
        </w:rPr>
      </w:pPr>
    </w:p>
    <w:p w:rsidR="00DD755B" w:rsidRDefault="00383548" w14:paraId="4F7D8CB4" w14:textId="77777777">
      <w:pPr>
        <w:spacing w:after="0" w:line="240" w:lineRule="auto"/>
        <w:ind w:left="0" w:firstLine="0"/>
        <w:rPr>
          <w:b/>
        </w:rPr>
      </w:pPr>
      <w:r>
        <w:rPr>
          <w:rFonts w:eastAsia="Calibri"/>
          <w:color w:val="auto"/>
          <w:szCs w:val="24"/>
        </w:rPr>
        <w:t>We propose to reform the information collected from transmission incentive applicants in FERC-730, Report of Transmission Investment Activity (Form 730), by obtaining this information on a project-by-project basis and to expand some of the information collected.</w:t>
      </w:r>
      <w:r>
        <w:rPr>
          <w:rFonts w:eastAsia="Calibri"/>
          <w:b/>
          <w:color w:val="auto"/>
          <w:szCs w:val="24"/>
          <w:vertAlign w:val="superscript"/>
        </w:rPr>
        <w:footnoteReference w:id="10"/>
      </w:r>
      <w:r>
        <w:rPr>
          <w:rFonts w:eastAsia="Calibri"/>
          <w:color w:val="auto"/>
          <w:szCs w:val="24"/>
        </w:rPr>
        <w:t xml:space="preserve">  We also propose to update the data reporting process.”</w:t>
      </w:r>
    </w:p>
    <w:p w:rsidR="00DD755B" w:rsidRDefault="00383548" w14:paraId="1E8BAA23" w14:textId="77777777">
      <w:pPr>
        <w:pStyle w:val="Heading1"/>
        <w:spacing w:after="0" w:line="240" w:lineRule="auto"/>
        <w:ind w:left="0" w:firstLine="0"/>
      </w:pPr>
      <w:r>
        <w:rPr>
          <w:bCs/>
        </w:rPr>
        <w:t>1.</w:t>
      </w:r>
      <w:r>
        <w:rPr>
          <w:rFonts w:ascii="Arial" w:hAnsi="Arial" w:eastAsia="Arial" w:cs="Arial"/>
          <w:b w:val="0"/>
        </w:rPr>
        <w:t xml:space="preserve"> </w:t>
      </w:r>
      <w:r>
        <w:t xml:space="preserve">CIRCUMSTANCES THAT MAKE THE COLLECTION OF INFORMATION NECESSARY </w:t>
      </w:r>
    </w:p>
    <w:p w:rsidR="00DD755B" w:rsidRDefault="00383548" w14:paraId="6F0AC4E6" w14:textId="77777777">
      <w:pPr>
        <w:spacing w:after="0" w:line="240" w:lineRule="auto"/>
        <w:ind w:left="0" w:firstLine="0"/>
      </w:pPr>
      <w:r>
        <w:t xml:space="preserve"> </w:t>
      </w:r>
    </w:p>
    <w:p w:rsidR="00DD755B" w:rsidRDefault="00383548" w14:paraId="0B3090A3" w14:textId="77777777">
      <w:pPr>
        <w:spacing w:after="0" w:line="240" w:lineRule="auto"/>
        <w:ind w:left="0" w:firstLine="0"/>
      </w:pPr>
      <w:r>
        <w:t xml:space="preserve">In this NOPR, the Commission proposes to revise the following collections of information: </w:t>
      </w:r>
    </w:p>
    <w:p w:rsidR="00DD755B" w:rsidRDefault="00383548" w14:paraId="6129720A" w14:textId="77777777">
      <w:pPr>
        <w:spacing w:after="0" w:line="240" w:lineRule="auto"/>
        <w:ind w:left="0" w:firstLine="0"/>
      </w:pPr>
      <w:r>
        <w:t xml:space="preserve"> </w:t>
      </w:r>
    </w:p>
    <w:p w:rsidR="00DD755B" w:rsidRDefault="00383548" w14:paraId="0E08C5A6" w14:textId="77777777">
      <w:pPr>
        <w:numPr>
          <w:ilvl w:val="0"/>
          <w:numId w:val="1"/>
        </w:numPr>
        <w:spacing w:after="0" w:line="240" w:lineRule="auto"/>
        <w:ind w:left="360" w:hanging="360"/>
      </w:pPr>
      <w:r>
        <w:t xml:space="preserve">FERC-516 (Electric Rate Schedules and Tariff Filings, OMB Control No. 1902-0096); and </w:t>
      </w:r>
    </w:p>
    <w:p w:rsidR="00DD755B" w:rsidRDefault="00383548" w14:paraId="019326E2" w14:textId="77777777">
      <w:pPr>
        <w:numPr>
          <w:ilvl w:val="0"/>
          <w:numId w:val="1"/>
        </w:numPr>
        <w:spacing w:after="0" w:line="240" w:lineRule="auto"/>
        <w:ind w:left="360" w:hanging="360"/>
      </w:pPr>
      <w:r>
        <w:t>FERC-730 (Report of Transmission Investment Activity, OMB Control No. 1902-0239).</w:t>
      </w:r>
    </w:p>
    <w:p w:rsidR="00DD755B" w:rsidRDefault="00DD755B" w14:paraId="05475AB6" w14:textId="77777777">
      <w:pPr>
        <w:spacing w:after="0" w:line="240" w:lineRule="auto"/>
        <w:ind w:left="0" w:firstLine="0"/>
      </w:pPr>
    </w:p>
    <w:p w:rsidR="00DD755B" w:rsidRDefault="00383548" w14:paraId="1D6FAAD9" w14:textId="77777777">
      <w:pPr>
        <w:spacing w:after="0" w:line="240" w:lineRule="auto"/>
        <w:ind w:left="0" w:firstLine="0"/>
      </w:pPr>
      <w:r>
        <w:lastRenderedPageBreak/>
        <w:t>These revisions are included in an NOPR in Docket No. RM20-10-000</w:t>
      </w:r>
      <w:r>
        <w:rPr>
          <w:vertAlign w:val="superscript"/>
        </w:rPr>
        <w:footnoteReference w:id="11"/>
      </w:r>
      <w:r>
        <w:t xml:space="preserve">  The NOPR would update the Commission’s existing transmission incentives policy and corresponding regulations in light of changes in transmission development and planning in the last few years.  The relevant authorities are</w:t>
      </w:r>
    </w:p>
    <w:p w:rsidR="00DD755B" w:rsidRDefault="00383548" w14:paraId="5FFA04AE" w14:textId="77777777">
      <w:pPr>
        <w:spacing w:after="0" w:line="240" w:lineRule="auto"/>
        <w:ind w:left="0" w:firstLine="0"/>
      </w:pPr>
      <w:r>
        <w:t xml:space="preserve"> </w:t>
      </w:r>
    </w:p>
    <w:p w:rsidR="00DD755B" w:rsidRDefault="00383548" w14:paraId="15926A75" w14:textId="77777777">
      <w:pPr>
        <w:numPr>
          <w:ilvl w:val="0"/>
          <w:numId w:val="1"/>
        </w:numPr>
        <w:spacing w:after="0" w:line="240" w:lineRule="auto"/>
        <w:ind w:left="720" w:hanging="720"/>
      </w:pPr>
      <w:r>
        <w:t>Sections 205, 206, and 219 of the Federal Power Act (FPA), 16 U.S.C. 824d, 824e, and 824s;</w:t>
      </w:r>
    </w:p>
    <w:p w:rsidR="00DD755B" w:rsidRDefault="00383548" w14:paraId="2D0AC134" w14:textId="77777777">
      <w:pPr>
        <w:numPr>
          <w:ilvl w:val="0"/>
          <w:numId w:val="1"/>
        </w:numPr>
        <w:spacing w:after="0" w:line="240" w:lineRule="auto"/>
        <w:ind w:left="0" w:firstLine="0"/>
      </w:pPr>
      <w:r>
        <w:t>18 CFR 35.35;</w:t>
      </w:r>
    </w:p>
    <w:p w:rsidR="00DD755B" w:rsidRDefault="00383548" w14:paraId="10A2B24C" w14:textId="77777777">
      <w:pPr>
        <w:numPr>
          <w:ilvl w:val="0"/>
          <w:numId w:val="1"/>
        </w:numPr>
        <w:spacing w:after="0" w:line="240" w:lineRule="auto"/>
        <w:ind w:left="720" w:hanging="720"/>
      </w:pPr>
      <w:r>
        <w:rPr>
          <w:iCs/>
        </w:rPr>
        <w:t>Order No. 679,</w:t>
      </w:r>
      <w:r>
        <w:rPr>
          <w:i/>
        </w:rPr>
        <w:t xml:space="preserve"> Promoting Transmission Investment through Pricing Reform</w:t>
      </w:r>
      <w:r>
        <w:t xml:space="preserve">, Order No. 679, 116 FERC ¶ 61,057, </w:t>
      </w:r>
      <w:r>
        <w:rPr>
          <w:i/>
        </w:rPr>
        <w:t>order on reh’g</w:t>
      </w:r>
      <w:r>
        <w:t xml:space="preserve">, Order No. 679-A, 117 FERC ¶ 61,345 (2006), </w:t>
      </w:r>
      <w:r>
        <w:rPr>
          <w:i/>
        </w:rPr>
        <w:t xml:space="preserve">order on reh’g </w:t>
      </w:r>
      <w:r>
        <w:t>119 FERC ¶ 61,062 (2007); and</w:t>
      </w:r>
    </w:p>
    <w:p w:rsidR="00DD755B" w:rsidRDefault="00383548" w14:paraId="4C9ECF3F" w14:textId="77777777">
      <w:pPr>
        <w:numPr>
          <w:ilvl w:val="0"/>
          <w:numId w:val="1"/>
        </w:numPr>
        <w:spacing w:after="0" w:line="240" w:lineRule="auto"/>
        <w:ind w:left="720" w:hanging="720"/>
      </w:pPr>
      <w:r>
        <w:t xml:space="preserve">Order No, 1000, </w:t>
      </w:r>
      <w:r>
        <w:rPr>
          <w:i/>
        </w:rPr>
        <w:t>Transmission Planning and Cost Allocation by Transmission Owning and Operating Public Utilities</w:t>
      </w:r>
      <w:r>
        <w:t xml:space="preserve">, Order No. 1000, 136 FERC ¶ 61,051 (2011), </w:t>
      </w:r>
      <w:r>
        <w:rPr>
          <w:i/>
        </w:rPr>
        <w:t>order on reh’g</w:t>
      </w:r>
      <w:r>
        <w:t xml:space="preserve">, Order No. 1000-A, 139 FERC ¶ 61,132, </w:t>
      </w:r>
      <w:r>
        <w:rPr>
          <w:i/>
        </w:rPr>
        <w:t>order on reh’g and clarification</w:t>
      </w:r>
      <w:r>
        <w:t xml:space="preserve">, Order No. 1000-B, 141 FERC ¶ 61,044 (2012), </w:t>
      </w:r>
      <w:r>
        <w:rPr>
          <w:i/>
        </w:rPr>
        <w:t>aff'd sub nom. S.C. Pub. Serv. Auth. v. FERC</w:t>
      </w:r>
      <w:r>
        <w:t>, 762 F.3d 41 (D.C. Cir. 2014).</w:t>
      </w:r>
    </w:p>
    <w:p w:rsidR="00DD755B" w:rsidRDefault="00383548" w14:paraId="0381823A" w14:textId="77777777">
      <w:pPr>
        <w:spacing w:after="0" w:line="240" w:lineRule="auto"/>
        <w:ind w:left="0" w:firstLine="0"/>
      </w:pPr>
      <w:r>
        <w:rPr>
          <w:sz w:val="22"/>
        </w:rPr>
        <w:t xml:space="preserve"> </w:t>
      </w:r>
    </w:p>
    <w:p w:rsidR="00DD755B" w:rsidRDefault="00383548" w14:paraId="1A6D927C" w14:textId="77777777">
      <w:pPr>
        <w:spacing w:after="0" w:line="240" w:lineRule="auto"/>
        <w:ind w:left="0" w:firstLine="0"/>
      </w:pPr>
      <w:r>
        <w:t>FPA sections 205 and 206 pertain to rates and charges for public utilities.  FPA section 219 pertains to incentive-based rates for electric transmission for the purposes of ensuring reliability,  and reducing transmission congestion (thereby reducing the cost of delivered power).  At present, the Commission implements FPA section 219 in accordance with 18 CFR 35.35, Order 679, and Order No. 1000.</w:t>
      </w:r>
    </w:p>
    <w:p w:rsidR="00DD755B" w:rsidRDefault="00DD755B" w14:paraId="78996759" w14:textId="77777777">
      <w:pPr>
        <w:spacing w:after="0" w:line="240" w:lineRule="auto"/>
        <w:ind w:left="0" w:firstLine="0"/>
      </w:pPr>
    </w:p>
    <w:p w:rsidR="00DD755B" w:rsidRDefault="00383548" w14:paraId="301ECC66" w14:textId="77777777">
      <w:pPr>
        <w:spacing w:after="0" w:line="240" w:lineRule="auto"/>
        <w:ind w:left="0" w:firstLine="0"/>
      </w:pPr>
      <w:r>
        <w:t>Recently the landscape for planning, developing, operating, and maintaining transmission infrastructure has changed considerably.  Those changes include an evolution in the resource mix and an increase in the number new resources seeking transmission service, shifts in load patterns, the impact of the implementation of the Commission’s Order No. 1000, and new challenges to maintaining the reliability of transmission infrastructure.  The NOPR is a result of these changes and the Commission’s experience evaluating transmission incentive applications.  The NOPR is intended to improve the Commission’s implementation of FPA section 219.</w:t>
      </w:r>
    </w:p>
    <w:p w:rsidR="00DD755B" w:rsidRDefault="00DD755B" w14:paraId="289443B1" w14:textId="77777777">
      <w:pPr>
        <w:spacing w:after="0" w:line="240" w:lineRule="auto"/>
        <w:ind w:left="0" w:firstLine="0"/>
      </w:pPr>
    </w:p>
    <w:p w:rsidR="00DD755B" w:rsidRDefault="00383548" w14:paraId="5AF5A096" w14:textId="77777777">
      <w:pPr>
        <w:spacing w:after="0" w:line="240" w:lineRule="auto"/>
        <w:ind w:left="0" w:firstLine="0"/>
      </w:pPr>
      <w:r>
        <w:t>The Commission’s risks and challenges analysis has resulted in an emphasis on incentives for difficult and risky projects rather than projects that  benefit consumers by ensuring reliability and reducing the cost of delivered power as directed by section 219(a).  The NOPR seeks to implement a benefits analysis to track the language of 219(a).</w:t>
      </w:r>
    </w:p>
    <w:p w:rsidR="00DD755B" w:rsidRDefault="00DD755B" w14:paraId="1C1E78AE" w14:textId="77777777">
      <w:pPr>
        <w:spacing w:after="0" w:line="240" w:lineRule="auto"/>
        <w:ind w:left="0" w:firstLine="0"/>
      </w:pPr>
    </w:p>
    <w:p w:rsidR="00DD755B" w:rsidRDefault="00383548" w14:paraId="58086B0C" w14:textId="77777777">
      <w:pPr>
        <w:spacing w:after="0" w:line="240" w:lineRule="auto"/>
        <w:ind w:left="0" w:firstLine="0"/>
      </w:pPr>
      <w:r>
        <w:lastRenderedPageBreak/>
        <w:t xml:space="preserve">The current policy has also not been effective at encouraging deployment of transmission technology (section 219(b)(3)) and the NOPR proposes a new approach to put new emphasis on that section. </w:t>
      </w:r>
    </w:p>
    <w:p w:rsidR="00DD755B" w:rsidRDefault="00383548" w14:paraId="55FFA245" w14:textId="77777777">
      <w:pPr>
        <w:spacing w:after="0" w:line="259" w:lineRule="auto"/>
        <w:ind w:left="360" w:firstLine="0"/>
      </w:pPr>
      <w:r>
        <w:rPr>
          <w:b/>
        </w:rPr>
        <w:t xml:space="preserve"> </w:t>
      </w:r>
    </w:p>
    <w:p w:rsidR="00DD755B" w:rsidRDefault="00383548" w14:paraId="4B011505" w14:textId="77777777">
      <w:pPr>
        <w:pStyle w:val="Heading1"/>
        <w:ind w:left="360" w:hanging="360"/>
      </w:pPr>
      <w:r>
        <w:rPr>
          <w:bCs/>
        </w:rPr>
        <w:t>2.</w:t>
      </w:r>
      <w:r>
        <w:rPr>
          <w:rFonts w:ascii="Arial" w:hAnsi="Arial" w:eastAsia="Arial" w:cs="Arial"/>
          <w:b w:val="0"/>
        </w:rPr>
        <w:t xml:space="preserve"> </w:t>
      </w:r>
      <w:r>
        <w:t xml:space="preserve">HOW, BY WHOM, AND FOR WHAT PURPOSE THE INFORMATION IS TO BE USED AND THE CONSEQUENCES OF NOT COLLECTING THE INFORMATION </w:t>
      </w:r>
    </w:p>
    <w:p w:rsidR="00DD755B" w:rsidRDefault="00DD755B" w14:paraId="03904680" w14:textId="77777777">
      <w:pPr>
        <w:spacing w:after="0" w:line="240" w:lineRule="auto"/>
        <w:ind w:left="0" w:firstLine="0"/>
      </w:pPr>
    </w:p>
    <w:p w:rsidR="00DD755B" w:rsidRDefault="00383548" w14:paraId="50ED3C45" w14:textId="77777777">
      <w:pPr>
        <w:pStyle w:val="ListParagraph"/>
        <w:numPr>
          <w:ilvl w:val="0"/>
          <w:numId w:val="14"/>
        </w:numPr>
        <w:spacing w:after="0" w:line="240" w:lineRule="auto"/>
        <w:rPr>
          <w:b/>
          <w:bCs/>
          <w:u w:val="single"/>
        </w:rPr>
      </w:pPr>
      <w:r>
        <w:rPr>
          <w:b/>
          <w:bCs/>
        </w:rPr>
        <w:t>FERC-516</w:t>
      </w:r>
    </w:p>
    <w:p w:rsidR="00DD755B" w:rsidRDefault="00383548" w14:paraId="382DFD81" w14:textId="77777777">
      <w:pPr>
        <w:pStyle w:val="ListParagraph"/>
        <w:numPr>
          <w:ilvl w:val="0"/>
          <w:numId w:val="15"/>
        </w:numPr>
        <w:spacing w:after="0" w:line="240" w:lineRule="auto"/>
      </w:pPr>
      <w:r>
        <w:rPr>
          <w:b/>
          <w:bCs/>
        </w:rPr>
        <w:t>Changes Proposed:  Information Required in an Application for Transmission Rate Incentives on the Basis of Benefits, and an Annual Transmission Technology Report</w:t>
      </w:r>
    </w:p>
    <w:p w:rsidR="00DD755B" w:rsidRDefault="00DD755B" w14:paraId="576320EB" w14:textId="77777777">
      <w:pPr>
        <w:spacing w:after="0" w:line="240" w:lineRule="auto"/>
        <w:ind w:left="0" w:firstLine="0"/>
        <w:rPr>
          <w:b/>
          <w:bCs/>
          <w:u w:val="single"/>
        </w:rPr>
      </w:pPr>
    </w:p>
    <w:p w:rsidR="00DD755B" w:rsidRDefault="00383548" w14:paraId="10F2B629" w14:textId="77777777">
      <w:pPr>
        <w:spacing w:after="0" w:line="240" w:lineRule="auto"/>
        <w:ind w:left="356" w:firstLine="0"/>
      </w:pPr>
      <w:r>
        <w:t>In the NOPR, the Commission would revise the currently effective criteria for analyzing applications for transmission rate incentives.  At present, the Commission considers:</w:t>
      </w:r>
    </w:p>
    <w:p w:rsidR="00DD755B" w:rsidRDefault="00DD755B" w14:paraId="4A42EDC1" w14:textId="77777777">
      <w:pPr>
        <w:spacing w:after="0" w:line="240" w:lineRule="auto"/>
        <w:ind w:left="356" w:firstLine="0"/>
      </w:pPr>
    </w:p>
    <w:p w:rsidR="00DD755B" w:rsidRDefault="00383548" w14:paraId="04A7DB0F" w14:textId="77777777">
      <w:pPr>
        <w:pStyle w:val="ListParagraph"/>
        <w:numPr>
          <w:ilvl w:val="0"/>
          <w:numId w:val="11"/>
        </w:numPr>
        <w:spacing w:after="0" w:line="240" w:lineRule="auto"/>
        <w:ind w:left="540" w:hanging="184"/>
      </w:pPr>
      <w:r>
        <w:t>Whether the proposed incentive would be just and reasonable, and not unduly discriminatory;</w:t>
      </w:r>
    </w:p>
    <w:p w:rsidR="00DD755B" w:rsidRDefault="00383548" w14:paraId="368B8F0A" w14:textId="77777777">
      <w:pPr>
        <w:pStyle w:val="ListParagraph"/>
        <w:numPr>
          <w:ilvl w:val="0"/>
          <w:numId w:val="11"/>
        </w:numPr>
        <w:spacing w:after="0" w:line="240" w:lineRule="auto"/>
      </w:pPr>
      <w:r>
        <w:t>The need for each proposed incentive;</w:t>
      </w:r>
    </w:p>
    <w:p w:rsidR="00DD755B" w:rsidRDefault="00383548" w14:paraId="22FB3C24" w14:textId="77777777">
      <w:pPr>
        <w:pStyle w:val="ListParagraph"/>
        <w:numPr>
          <w:ilvl w:val="0"/>
          <w:numId w:val="11"/>
        </w:numPr>
        <w:spacing w:after="0" w:line="240" w:lineRule="auto"/>
      </w:pPr>
      <w:r>
        <w:t>Whether the total package of proposed incentives is rationally tailored to the risks and challenges of constructing new transmission; and</w:t>
      </w:r>
    </w:p>
    <w:p w:rsidR="00DD755B" w:rsidRDefault="00383548" w14:paraId="1B3EEBD3" w14:textId="77777777">
      <w:pPr>
        <w:pStyle w:val="ListParagraph"/>
        <w:numPr>
          <w:ilvl w:val="0"/>
          <w:numId w:val="11"/>
        </w:numPr>
        <w:spacing w:after="0" w:line="240" w:lineRule="auto"/>
      </w:pPr>
      <w:r>
        <w:t>Whether there is a nexus between the total package of proposed incentives and the investment being made.</w:t>
      </w:r>
    </w:p>
    <w:p w:rsidR="00DD755B" w:rsidRDefault="00DD755B" w14:paraId="57E9C0B6" w14:textId="77777777">
      <w:pPr>
        <w:spacing w:after="0" w:line="240" w:lineRule="auto"/>
      </w:pPr>
    </w:p>
    <w:p w:rsidRPr="00DA2C1D" w:rsidR="00DA2C1D" w:rsidP="00DA2C1D" w:rsidRDefault="00383548" w14:paraId="69294BA8" w14:textId="77777777">
      <w:pPr>
        <w:spacing w:after="0" w:line="240" w:lineRule="auto"/>
      </w:pPr>
      <w:r>
        <w:t xml:space="preserve">The NOPR would not change the current requirements that such an application show the need for the proposed incentive, and that the proposed incentive would be just and reasonable, and not unduly discriminatory.  </w:t>
      </w:r>
      <w:r w:rsidRPr="00DA2C1D" w:rsidR="00DA2C1D">
        <w:t>The NOPR would revise 18 CFR 35.35(c) by removing the requirement that applicant show that the facilities for which it seeks incentives “is tailored to address the demonstrable risks or challenges faced by the applicant in undertaking the project.”</w:t>
      </w:r>
    </w:p>
    <w:p w:rsidRPr="00DA2C1D" w:rsidR="00DA2C1D" w:rsidP="00DA2C1D" w:rsidRDefault="00DA2C1D" w14:paraId="70485561" w14:textId="77777777">
      <w:pPr>
        <w:spacing w:after="0" w:line="240" w:lineRule="auto"/>
      </w:pPr>
    </w:p>
    <w:p w:rsidR="00DD755B" w:rsidRDefault="00DA2C1D" w14:paraId="5853A36B" w14:textId="1D21EC65">
      <w:pPr>
        <w:spacing w:after="0" w:line="240" w:lineRule="auto"/>
        <w:ind w:left="356" w:firstLine="0"/>
      </w:pPr>
      <w:r w:rsidRPr="00DA2C1D">
        <w:t>Proposed 18 CFR 35.35(c) would require applicants to show that “the facilities for which it seeks incentives either ensure reliability or reduce the cost of delivered power by reducing transmission congestion.”  In the preamble of the NOPR</w:t>
      </w:r>
      <w:r w:rsidRPr="00DA2C1D">
        <w:rPr>
          <w:b/>
          <w:vertAlign w:val="superscript"/>
        </w:rPr>
        <w:footnoteReference w:id="12"/>
      </w:r>
      <w:r w:rsidRPr="00DA2C1D">
        <w:t>, the Commission explained that this revision of 18 CFR 35.35(c) would refocus the incentives program “to more closely align with the statutory directive of FPA section 219,” which authorizes transmission incentives “for the purpose of benefitting consumers by ensuring reliability and reducing the cost of delivered power by reducing transmission congestion.”</w:t>
      </w:r>
      <w:r w:rsidRPr="00DA2C1D">
        <w:rPr>
          <w:b/>
          <w:vertAlign w:val="superscript"/>
        </w:rPr>
        <w:footnoteReference w:id="13"/>
      </w:r>
      <w:r w:rsidR="00124E0D">
        <w:t xml:space="preserve">  </w:t>
      </w:r>
      <w:r w:rsidR="00383548">
        <w:t xml:space="preserve">Like the existing regulations, the proposed regulations would require submission of information that would enable  the Commission to determine whether the applicant is eligible for incentives .  Compared to the existing regulations, the Commission believes that the proposed regulations would enable the Commission to more effectively comply with the statutory language of FPA section 219.  The </w:t>
      </w:r>
      <w:r w:rsidR="00383548">
        <w:lastRenderedPageBreak/>
        <w:t>NOPR would remove transmission incentive for Transcos, and would provide for a cap on total ROE incentives.</w:t>
      </w:r>
    </w:p>
    <w:p w:rsidR="00DD755B" w:rsidRDefault="00DD755B" w14:paraId="1BB12E65" w14:textId="77777777">
      <w:pPr>
        <w:spacing w:after="0" w:line="240" w:lineRule="auto"/>
        <w:ind w:left="356" w:firstLine="0"/>
      </w:pPr>
    </w:p>
    <w:p w:rsidR="00DD755B" w:rsidRDefault="00383548" w14:paraId="774D8918" w14:textId="77777777">
      <w:pPr>
        <w:spacing w:after="0" w:line="240" w:lineRule="auto"/>
        <w:ind w:left="356" w:firstLine="0"/>
      </w:pPr>
      <w:r>
        <w:t>The NOPR would add the following optional information (depending on the applicant’s request):</w:t>
      </w:r>
    </w:p>
    <w:p w:rsidR="00DD755B" w:rsidRDefault="00DD755B" w14:paraId="74914498" w14:textId="77777777">
      <w:pPr>
        <w:spacing w:after="0" w:line="240" w:lineRule="auto"/>
      </w:pPr>
    </w:p>
    <w:p w:rsidR="00DD755B" w:rsidRDefault="00383548" w14:paraId="04016433" w14:textId="77777777">
      <w:pPr>
        <w:spacing w:after="0" w:line="240" w:lineRule="auto"/>
        <w:ind w:left="1440" w:hanging="720"/>
      </w:pPr>
      <w:r>
        <w:t>1)</w:t>
      </w:r>
      <w:r>
        <w:tab/>
        <w:t>For developers in RTO/ISO regions, a demonstration of data made available by a transmission planning region that examines economic attributes of projects.</w:t>
      </w:r>
    </w:p>
    <w:p w:rsidR="00DD755B" w:rsidRDefault="00DD755B" w14:paraId="446D9812" w14:textId="77777777">
      <w:pPr>
        <w:spacing w:after="0" w:line="240" w:lineRule="auto"/>
        <w:ind w:left="720" w:firstLine="0"/>
      </w:pPr>
    </w:p>
    <w:p w:rsidR="00DD755B" w:rsidRDefault="00383548" w14:paraId="3B6FD670" w14:textId="77777777">
      <w:pPr>
        <w:pStyle w:val="ListParagraph"/>
        <w:numPr>
          <w:ilvl w:val="0"/>
          <w:numId w:val="20"/>
        </w:numPr>
        <w:spacing w:after="0" w:line="240" w:lineRule="auto"/>
        <w:ind w:left="1440" w:hanging="720"/>
      </w:pPr>
      <w:r>
        <w:t>For developers in non-RTO/ISO regions, a demonstration of proposed transmission projects’ economic merits by using economic modeling within transmission planning regions; or showings of economic benefits as determined by third party expert. In addition, respondents may demonstrate that the project met or came under the project costs for an additional incentive.  For projects seeking this incentive, this demonstration is based on economic benefit-to-cost tests that meet an ex-ante</w:t>
      </w:r>
      <w:r>
        <w:rPr>
          <w:rStyle w:val="FootnoteReference"/>
        </w:rPr>
        <w:footnoteReference w:id="14"/>
      </w:r>
      <w:r>
        <w:t xml:space="preserve"> benefit-to-cost threshold (as described in the NOPR), and 50 additional basis points for transmission projects that demonstrate on an ex-post</w:t>
      </w:r>
      <w:r>
        <w:rPr>
          <w:rStyle w:val="FootnoteReference"/>
        </w:rPr>
        <w:footnoteReference w:id="15"/>
      </w:r>
      <w:r>
        <w:t xml:space="preserve"> basis that they are able to satisfy a higher benefit-to-cost threshold when constructed.</w:t>
      </w:r>
    </w:p>
    <w:p w:rsidR="00DD755B" w:rsidRDefault="00DD755B" w14:paraId="4C824FBE" w14:textId="77777777">
      <w:pPr>
        <w:spacing w:after="0" w:line="240" w:lineRule="auto"/>
      </w:pPr>
    </w:p>
    <w:p w:rsidR="00DD755B" w:rsidRDefault="00383548" w14:paraId="3E3A09AF" w14:textId="77777777">
      <w:pPr>
        <w:pStyle w:val="ListParagraph"/>
        <w:numPr>
          <w:ilvl w:val="0"/>
          <w:numId w:val="20"/>
        </w:numPr>
        <w:spacing w:after="0" w:line="240" w:lineRule="auto"/>
        <w:ind w:left="720" w:firstLine="0"/>
      </w:pPr>
      <w:r>
        <w:t>Respondents must demonstrate reliability benefits.</w:t>
      </w:r>
    </w:p>
    <w:p w:rsidR="00DD755B" w:rsidRDefault="00DD755B" w14:paraId="53925A5C" w14:textId="77777777">
      <w:pPr>
        <w:spacing w:after="0" w:line="240" w:lineRule="auto"/>
      </w:pPr>
    </w:p>
    <w:p w:rsidR="00DD755B" w:rsidRDefault="00383548" w14:paraId="30A168D2" w14:textId="77777777">
      <w:pPr>
        <w:spacing w:after="0" w:line="240" w:lineRule="auto"/>
        <w:ind w:left="1440"/>
      </w:pPr>
      <w:r>
        <w:t xml:space="preserve">The NOPR proposes to evaluate the merits of each application for reliability ROE incentives on a case-by-case basis, but also provides a nonexclusive set of examples and demonstrations that could form the basis of a showing of significant and demonstrable reliability benefits that a transmission project could provide.  In addition, the NOPR invites comment on other types of reliability benefits.  </w:t>
      </w:r>
    </w:p>
    <w:p w:rsidR="00DD755B" w:rsidRDefault="00DD755B" w14:paraId="3B3EFB42" w14:textId="77777777">
      <w:pPr>
        <w:spacing w:after="0" w:line="240" w:lineRule="auto"/>
      </w:pPr>
    </w:p>
    <w:p w:rsidR="00DD755B" w:rsidRDefault="00383548" w14:paraId="7A39EAF0" w14:textId="77777777">
      <w:pPr>
        <w:pStyle w:val="ListParagraph"/>
        <w:numPr>
          <w:ilvl w:val="0"/>
          <w:numId w:val="20"/>
        </w:numPr>
        <w:spacing w:after="0" w:line="240" w:lineRule="auto"/>
        <w:ind w:left="1440" w:hanging="720"/>
      </w:pPr>
      <w:r>
        <w:t>Certain reporting related to transmission technology incentive requests.</w:t>
      </w:r>
    </w:p>
    <w:p w:rsidR="00DD755B" w:rsidRDefault="00DD755B" w14:paraId="1AF702D5" w14:textId="77777777">
      <w:pPr>
        <w:pStyle w:val="ListParagraph"/>
        <w:spacing w:after="0" w:line="240" w:lineRule="auto"/>
        <w:ind w:left="1440" w:firstLine="0"/>
      </w:pPr>
    </w:p>
    <w:p w:rsidR="00DD755B" w:rsidRDefault="00383548" w14:paraId="113472C8" w14:textId="77777777">
      <w:pPr>
        <w:pStyle w:val="ListParagraph"/>
        <w:spacing w:after="0" w:line="240" w:lineRule="auto"/>
        <w:ind w:left="1440" w:firstLine="0"/>
      </w:pPr>
      <w:r>
        <w:t>For the transmission technology incentive requests, each applicant must submit a transmission technology statement when requesting an incentive that demonstrates: how the technology meets the transmission technology criteria, the expected benefits of deployment, the cost of the transmission technology project, the cost of the overall transmission project if not a stand-alone transmission technology project, the expected useful life of the asset, and a demonstration that the transmission technology meets the economic benefits threshold.</w:t>
      </w:r>
    </w:p>
    <w:p w:rsidR="00DD755B" w:rsidRDefault="00DD755B" w14:paraId="24242E7C" w14:textId="77777777">
      <w:pPr>
        <w:pStyle w:val="ListParagraph"/>
        <w:spacing w:after="0" w:line="240" w:lineRule="auto"/>
        <w:ind w:left="1440" w:firstLine="0"/>
      </w:pPr>
    </w:p>
    <w:p w:rsidR="00DD755B" w:rsidRDefault="00383548" w14:paraId="1B181DFF" w14:textId="77777777">
      <w:pPr>
        <w:pStyle w:val="ListParagraph"/>
        <w:numPr>
          <w:ilvl w:val="0"/>
          <w:numId w:val="20"/>
        </w:numPr>
        <w:spacing w:after="0" w:line="240" w:lineRule="auto"/>
        <w:ind w:left="1440" w:hanging="720"/>
      </w:pPr>
      <w:r>
        <w:t>Annual report on progress, obstacles, lessons learned, and quantifiable data for transmission technology deployment.</w:t>
      </w:r>
    </w:p>
    <w:p w:rsidR="00DD755B" w:rsidRDefault="00DD755B" w14:paraId="16237962" w14:textId="77777777">
      <w:pPr>
        <w:spacing w:after="0" w:line="240" w:lineRule="auto"/>
      </w:pPr>
    </w:p>
    <w:p w:rsidR="00DD755B" w:rsidRDefault="00383548" w14:paraId="69F45B12" w14:textId="77777777">
      <w:pPr>
        <w:spacing w:after="0" w:line="240" w:lineRule="auto"/>
        <w:ind w:left="1440"/>
      </w:pPr>
      <w:r>
        <w:lastRenderedPageBreak/>
        <w:t>Each applicant granted an incentive under this subpart must also submit to the Commission an annual informational filing, for three years after the incentive is granted, that details the progress of the technology, obstacles to its deployment and efforts to overcome them, lessons learned, and any quantifiable data measuring the benefits of the transmission technology project. Any information already submitted to the Commission via existing forms need not be re-submitted under this requirement.</w:t>
      </w:r>
    </w:p>
    <w:p w:rsidR="00DD755B" w:rsidRDefault="00DD755B" w14:paraId="5E56C3C3" w14:textId="77777777">
      <w:pPr>
        <w:spacing w:after="0" w:line="240" w:lineRule="auto"/>
        <w:ind w:left="0" w:firstLine="0"/>
      </w:pPr>
    </w:p>
    <w:p w:rsidR="00DD755B" w:rsidRDefault="00383548" w14:paraId="41A10434" w14:textId="77777777">
      <w:pPr>
        <w:spacing w:after="0" w:line="259" w:lineRule="auto"/>
        <w:ind w:left="360" w:firstLine="0"/>
      </w:pPr>
      <w:r>
        <w:rPr>
          <w:b/>
          <w:bCs/>
        </w:rPr>
        <w:t>FERC-730</w:t>
      </w:r>
      <w:r>
        <w:rPr>
          <w:b/>
          <w:bCs/>
        </w:rPr>
        <w:br/>
      </w:r>
      <w:r>
        <w:rPr>
          <w:b/>
          <w:bCs/>
        </w:rPr>
        <w:br/>
      </w:r>
      <w:r>
        <w:t xml:space="preserve">To ensure that existing and proposed incentives are successfully meeting the objectives of FPA section 219, by ensuring reliability and economic efficiency benefits to ratepayers, the Commission needs industry data, projections, and related information that detail the level of investment and the costs and benefits of transmission projects.  FERC-730 currently does not collect benefits data.  Without collecting this information, the Commission would be considerably less able to evaluate the effectiveness of its incentive program.  </w:t>
      </w:r>
    </w:p>
    <w:p w:rsidR="00DD755B" w:rsidRDefault="00DD755B" w14:paraId="592B1C1A" w14:textId="77777777">
      <w:pPr>
        <w:spacing w:after="0" w:line="259" w:lineRule="auto"/>
        <w:ind w:left="360" w:firstLine="0"/>
      </w:pPr>
    </w:p>
    <w:p w:rsidR="00DD755B" w:rsidRDefault="00383548" w14:paraId="65E1E9C9" w14:textId="77777777">
      <w:pPr>
        <w:spacing w:after="0" w:line="259" w:lineRule="auto"/>
        <w:ind w:left="360" w:firstLine="0"/>
      </w:pPr>
      <w:r>
        <w:t>These changes include:</w:t>
      </w:r>
    </w:p>
    <w:p w:rsidR="00DD755B" w:rsidRDefault="00DD755B" w14:paraId="26D2A3C8" w14:textId="77777777">
      <w:pPr>
        <w:spacing w:after="0" w:line="259" w:lineRule="auto"/>
        <w:ind w:left="360" w:firstLine="0"/>
      </w:pPr>
    </w:p>
    <w:p w:rsidR="00DD755B" w:rsidRDefault="00383548" w14:paraId="79E1E860" w14:textId="77777777">
      <w:pPr>
        <w:pStyle w:val="ListParagraph"/>
        <w:numPr>
          <w:ilvl w:val="0"/>
          <w:numId w:val="21"/>
        </w:numPr>
        <w:spacing w:after="0" w:line="259" w:lineRule="auto"/>
      </w:pPr>
      <w:r>
        <w:t xml:space="preserve">Require Table 1 data to display project-by-project data instead of aggregated data. </w:t>
      </w:r>
    </w:p>
    <w:p w:rsidR="00DD755B" w:rsidRDefault="00383548" w14:paraId="6A9C97F8" w14:textId="77777777">
      <w:pPr>
        <w:pStyle w:val="ListParagraph"/>
        <w:numPr>
          <w:ilvl w:val="0"/>
          <w:numId w:val="21"/>
        </w:numPr>
        <w:spacing w:after="0" w:line="259" w:lineRule="auto"/>
      </w:pPr>
      <w:r>
        <w:t xml:space="preserve">Identify each transmission project by a public utility-created transmission project code in each record of Table 1 and Table 2 to aid in merging the tables. </w:t>
      </w:r>
    </w:p>
    <w:p w:rsidR="00DD755B" w:rsidRDefault="00383548" w14:paraId="147EF0EB" w14:textId="77777777">
      <w:pPr>
        <w:pStyle w:val="ListParagraph"/>
        <w:numPr>
          <w:ilvl w:val="0"/>
          <w:numId w:val="21"/>
        </w:numPr>
        <w:spacing w:after="0" w:line="259" w:lineRule="auto"/>
      </w:pPr>
      <w:r>
        <w:t>Add the report year to each record of Table 1 and Table 2.</w:t>
      </w:r>
    </w:p>
    <w:p w:rsidR="00DD755B" w:rsidRDefault="00383548" w14:paraId="64ED2975" w14:textId="77777777">
      <w:pPr>
        <w:pStyle w:val="ListParagraph"/>
        <w:numPr>
          <w:ilvl w:val="0"/>
          <w:numId w:val="21"/>
        </w:numPr>
        <w:spacing w:after="0" w:line="259" w:lineRule="auto"/>
      </w:pPr>
      <w:r>
        <w:t xml:space="preserve">Add the aggregate of actual spending on each transmission project prior to the report year to determine total actual spending on each transmission project for each year. </w:t>
      </w:r>
    </w:p>
    <w:p w:rsidR="00DD755B" w:rsidRDefault="00383548" w14:paraId="795C4F48" w14:textId="77777777">
      <w:pPr>
        <w:pStyle w:val="ListParagraph"/>
        <w:numPr>
          <w:ilvl w:val="0"/>
          <w:numId w:val="21"/>
        </w:numPr>
        <w:spacing w:after="0" w:line="259" w:lineRule="auto"/>
      </w:pPr>
      <w:r>
        <w:t xml:space="preserve">Add the aggregate of projected spending on each transmission project more than five years beyond the report year to estimate projected spending on each transmission project for each year. </w:t>
      </w:r>
    </w:p>
    <w:p w:rsidR="00DD755B" w:rsidRDefault="00383548" w14:paraId="655A7EEE" w14:textId="77777777">
      <w:pPr>
        <w:pStyle w:val="ListParagraph"/>
        <w:numPr>
          <w:ilvl w:val="0"/>
          <w:numId w:val="21"/>
        </w:numPr>
        <w:spacing w:after="0" w:line="259" w:lineRule="auto"/>
      </w:pPr>
      <w:r>
        <w:t xml:space="preserve">Include a new column entitled “Notes on Table 1” that permits a 60-character text string, so public utilities can explain any issues in the data. Public utilities also have the option to add a footnote with no character limit to describe issues in as much detail as necessary. For example, public utilities can explain why cost forecasts have suddenly increased from a previous year. </w:t>
      </w:r>
    </w:p>
    <w:p w:rsidR="00DD755B" w:rsidRDefault="00383548" w14:paraId="5BC46160" w14:textId="77777777">
      <w:pPr>
        <w:pStyle w:val="ListParagraph"/>
        <w:numPr>
          <w:ilvl w:val="0"/>
          <w:numId w:val="21"/>
        </w:numPr>
        <w:spacing w:after="0" w:line="259" w:lineRule="auto"/>
      </w:pPr>
      <w:r>
        <w:t xml:space="preserve">Include Project Voltage as a field in Table 2. Previously, transmission project voltage was part of Project Description in Table 2.  If no value can be used as the transmission project voltage, the number -9 is inserted to indicate that there is no value. </w:t>
      </w:r>
    </w:p>
    <w:p w:rsidR="00DD755B" w:rsidRDefault="00383548" w14:paraId="17D895D1" w14:textId="77777777">
      <w:pPr>
        <w:pStyle w:val="ListParagraph"/>
        <w:numPr>
          <w:ilvl w:val="0"/>
          <w:numId w:val="21"/>
        </w:numPr>
        <w:spacing w:after="0" w:line="259" w:lineRule="auto"/>
      </w:pPr>
      <w:r>
        <w:t>The data in Table 2 must be known as of midnight on December 31 of the record year. This is a clarification of a point of ambiguity in the original description of Table 2.</w:t>
      </w:r>
    </w:p>
    <w:p w:rsidR="00DD755B" w:rsidRDefault="00383548" w14:paraId="6AF822A7" w14:textId="77777777">
      <w:pPr>
        <w:pStyle w:val="ListParagraph"/>
        <w:numPr>
          <w:ilvl w:val="0"/>
          <w:numId w:val="21"/>
        </w:numPr>
      </w:pPr>
      <w:r>
        <w:t>Modify the data in the column titled, “If Project Not On Schedule, Indicate Reasons For Delay” in Table 2 to a 60-character text string. Public utilities also have the option to add a footnote with no character limit so utilities can explain the reasons in more detail.</w:t>
      </w:r>
    </w:p>
    <w:p w:rsidR="00DD755B" w:rsidRDefault="00383548" w14:paraId="4C56558E" w14:textId="77777777">
      <w:pPr>
        <w:pStyle w:val="ListParagraph"/>
        <w:numPr>
          <w:ilvl w:val="0"/>
          <w:numId w:val="21"/>
        </w:numPr>
        <w:spacing w:after="0" w:line="259" w:lineRule="auto"/>
        <w:ind w:left="356" w:firstLine="0"/>
      </w:pPr>
      <w:r>
        <w:t>Report Form 730 data in eXtensible Business Reporting Language (XBRL) Format.</w:t>
      </w:r>
    </w:p>
    <w:p w:rsidR="00DD755B" w:rsidRDefault="00DD755B" w14:paraId="271D1037" w14:textId="77777777">
      <w:pPr>
        <w:spacing w:after="0" w:line="240" w:lineRule="auto"/>
        <w:ind w:left="0" w:firstLine="0"/>
        <w:rPr>
          <w:b/>
          <w:bCs/>
        </w:rPr>
      </w:pPr>
    </w:p>
    <w:p w:rsidR="00DD755B" w:rsidRDefault="00DD755B" w14:paraId="2103C97A" w14:textId="77777777">
      <w:pPr>
        <w:spacing w:after="0" w:line="240" w:lineRule="auto"/>
      </w:pPr>
    </w:p>
    <w:p w:rsidR="00DD755B" w:rsidRDefault="00383548" w14:paraId="29550957" w14:textId="77777777">
      <w:pPr>
        <w:numPr>
          <w:ilvl w:val="0"/>
          <w:numId w:val="2"/>
        </w:numPr>
        <w:spacing w:after="13"/>
        <w:ind w:hanging="360"/>
      </w:pPr>
      <w:r>
        <w:rPr>
          <w:b/>
        </w:rPr>
        <w:t xml:space="preserve">DESCRIBE ANY CONSIDERATION OF THE USE OF IMPROVED TECHNOLOGY TO REDUCE BURDEN AND TECHNICAL OR LEGAL OBSTACLES TO REDUCING BURDEN. </w:t>
      </w:r>
    </w:p>
    <w:p w:rsidR="00DD755B" w:rsidRDefault="00383548" w14:paraId="3E54150A" w14:textId="77777777">
      <w:pPr>
        <w:spacing w:after="0" w:line="259" w:lineRule="auto"/>
        <w:ind w:left="720" w:firstLine="0"/>
      </w:pPr>
      <w:r>
        <w:rPr>
          <w:b/>
        </w:rPr>
        <w:t xml:space="preserve"> </w:t>
      </w:r>
    </w:p>
    <w:p w:rsidR="00DD755B" w:rsidRDefault="00383548" w14:paraId="3AB7F095" w14:textId="77777777">
      <w:pPr>
        <w:ind w:left="0" w:firstLine="0"/>
      </w:pPr>
      <w:r>
        <w:t>Commission staff expects to receive all FERC-516 filings via eTariff.  (eTariff is described at https://www.ferc.gov/docs-filing/etariff.asp.)  In 2010, the Commission fully implemented its eTariff system for the electronic filing of tariffs.</w:t>
      </w:r>
    </w:p>
    <w:p w:rsidR="00DD755B" w:rsidRDefault="00DD755B" w14:paraId="3D9556B3" w14:textId="77777777">
      <w:pPr>
        <w:ind w:left="0" w:firstLine="0"/>
      </w:pPr>
    </w:p>
    <w:p w:rsidR="00DD755B" w:rsidRDefault="00383548" w14:paraId="252BF150" w14:textId="77777777">
      <w:pPr>
        <w:ind w:left="0" w:firstLine="0"/>
      </w:pPr>
      <w:r>
        <w:t>FERC-730 is also filed electronically.</w:t>
      </w:r>
    </w:p>
    <w:p w:rsidR="00DD755B" w:rsidRDefault="00DD755B" w14:paraId="21D54D33" w14:textId="77777777">
      <w:pPr>
        <w:spacing w:after="0" w:line="259" w:lineRule="auto"/>
        <w:ind w:left="360" w:firstLine="0"/>
      </w:pPr>
    </w:p>
    <w:p w:rsidR="00DD755B" w:rsidRDefault="00383548" w14:paraId="0EFF6DC7" w14:textId="77777777">
      <w:pPr>
        <w:numPr>
          <w:ilvl w:val="0"/>
          <w:numId w:val="2"/>
        </w:numPr>
        <w:spacing w:after="13"/>
        <w:ind w:hanging="360"/>
        <w:rPr>
          <w:b/>
        </w:rPr>
      </w:pPr>
      <w:r>
        <w:rPr>
          <w:b/>
        </w:rPr>
        <w:t>DESCRIBE EFFORTS TO IDENTIFY DUPLICATION AND SHOW SPECIFICALLY WHY ANY SIMILAR INFORMATION ALREADY AVAILABLE CANNOT BE USED OR MODIFIED FOR USE FOR THE PURPOSE(S) DESCRIBED IN INSTRUCTION NO. 2.</w:t>
      </w:r>
    </w:p>
    <w:p w:rsidR="00DD755B" w:rsidRDefault="00DD755B" w14:paraId="7823335F" w14:textId="77777777">
      <w:pPr>
        <w:spacing w:after="0" w:line="259" w:lineRule="auto"/>
        <w:ind w:left="360" w:hanging="720"/>
      </w:pPr>
    </w:p>
    <w:p w:rsidR="00DD755B" w:rsidRDefault="00383548" w14:paraId="7976B9AC" w14:textId="77777777">
      <w:pPr>
        <w:spacing w:after="0" w:line="240" w:lineRule="auto"/>
        <w:ind w:left="0" w:firstLine="0"/>
      </w:pPr>
      <w:r>
        <w:t>The Commission periodically reviews filing requirements concurrent with OMB review or as the Commission deems necessary to eliminate duplicative filings and to minimize the filing burden.  The proposed actions here relate to a Commission jurisdictional tariff and FERC-730.  Therefore, the Commission would be the only entity requiring this information.  The Commission is unaware of any other source of this information.  A component of the demonstration for benefits allows applicants to use data already produced by planning regions in their application via FERC-516.</w:t>
      </w:r>
    </w:p>
    <w:p w:rsidR="00DD755B" w:rsidRDefault="00383548" w14:paraId="5ABDE68E" w14:textId="77777777">
      <w:pPr>
        <w:spacing w:after="0" w:line="259" w:lineRule="auto"/>
        <w:ind w:left="360" w:firstLine="0"/>
      </w:pPr>
      <w:r>
        <w:t xml:space="preserve"> </w:t>
      </w:r>
    </w:p>
    <w:p w:rsidR="00DD755B" w:rsidRDefault="00383548" w14:paraId="4242C528" w14:textId="77777777">
      <w:pPr>
        <w:pStyle w:val="Heading1"/>
        <w:numPr>
          <w:ilvl w:val="0"/>
          <w:numId w:val="2"/>
        </w:numPr>
        <w:ind w:hanging="360"/>
        <w:rPr>
          <w:b w:val="0"/>
        </w:rPr>
      </w:pPr>
      <w:r>
        <w:t>METHODS USED TO MINIMIZE BURDEN IN COLLECTION OF INFORMATION INVOLVING SMALL ENTITIES</w:t>
      </w:r>
      <w:r>
        <w:rPr>
          <w:b w:val="0"/>
        </w:rPr>
        <w:t xml:space="preserve"> </w:t>
      </w:r>
    </w:p>
    <w:p w:rsidR="00DD755B" w:rsidRDefault="00DD755B" w14:paraId="169254C5" w14:textId="77777777"/>
    <w:p w:rsidR="00DD755B" w:rsidRDefault="00383548" w14:paraId="06CAB6C1" w14:textId="77777777">
      <w:pPr>
        <w:pStyle w:val="FERCparanumber"/>
        <w:numPr>
          <w:ilvl w:val="0"/>
          <w:numId w:val="0"/>
        </w:numPr>
        <w:spacing w:line="240" w:lineRule="auto"/>
        <w:rPr>
          <w:sz w:val="24"/>
          <w:szCs w:val="24"/>
        </w:rPr>
      </w:pPr>
      <w:r>
        <w:rPr>
          <w:sz w:val="24"/>
          <w:szCs w:val="24"/>
        </w:rPr>
        <w:t xml:space="preserve">The six RTOs/ISOs (SPP, MISO, PJM, ISO New England, NYISO, and CAISO) each employ more than 500 employees and are not considered small. We estimate that 337 transmission owners and six planning authorities are also affected by the NOPR.  Using the list of Transmission Owners from the NERC Registry (dated January 31, 2020), we estimate that approximately 68% of those entities are small entities.  </w:t>
      </w:r>
    </w:p>
    <w:p w:rsidR="00DD755B" w:rsidRDefault="00383548" w14:paraId="29D1AB88" w14:textId="77777777">
      <w:pPr>
        <w:pStyle w:val="FERCparanumber"/>
        <w:numPr>
          <w:ilvl w:val="0"/>
          <w:numId w:val="0"/>
        </w:numPr>
        <w:spacing w:line="240" w:lineRule="auto"/>
        <w:rPr>
          <w:sz w:val="24"/>
          <w:szCs w:val="24"/>
        </w:rPr>
      </w:pPr>
      <w:r>
        <w:rPr>
          <w:sz w:val="24"/>
          <w:szCs w:val="24"/>
        </w:rPr>
        <w:t xml:space="preserve">We estimate additional annual costs associated with the NOPR (as shown in the table below) of: </w:t>
      </w:r>
    </w:p>
    <w:p w:rsidR="00DD755B" w:rsidRDefault="00383548" w14:paraId="6BAE5AB1" w14:textId="77777777">
      <w:pPr>
        <w:pStyle w:val="ListParagraph"/>
        <w:numPr>
          <w:ilvl w:val="0"/>
          <w:numId w:val="19"/>
        </w:numPr>
        <w:spacing w:after="0" w:line="240" w:lineRule="auto"/>
      </w:pPr>
      <w:r>
        <w:t>$480 each for 63 current filers of the Form FERC-730 and $2,880 each for 137 new filers of Form FERC-730</w:t>
      </w:r>
    </w:p>
    <w:p w:rsidR="00DD755B" w:rsidRDefault="00383548" w14:paraId="1ADA33C9" w14:textId="77777777">
      <w:pPr>
        <w:pStyle w:val="ListParagraph"/>
        <w:numPr>
          <w:ilvl w:val="0"/>
          <w:numId w:val="19"/>
        </w:numPr>
        <w:spacing w:after="0" w:line="240" w:lineRule="auto"/>
      </w:pPr>
      <w:r>
        <w:t>$500 each for six RTO/ISO regions and six non-RTO/ISO regions to provide planning data (FERC-516)</w:t>
      </w:r>
    </w:p>
    <w:p w:rsidR="00DD755B" w:rsidRDefault="00383548" w14:paraId="400166AF" w14:textId="77777777">
      <w:pPr>
        <w:pStyle w:val="ListParagraph"/>
        <w:numPr>
          <w:ilvl w:val="0"/>
          <w:numId w:val="19"/>
        </w:numPr>
        <w:spacing w:after="0" w:line="240" w:lineRule="auto"/>
      </w:pPr>
      <w:r>
        <w:lastRenderedPageBreak/>
        <w:t>costs ranging from $0 to $76,800 (for each transmission owner in RTOs/ISOs) to $112,000</w:t>
      </w:r>
      <w:r>
        <w:rPr>
          <w:rStyle w:val="FootnoteReference"/>
        </w:rPr>
        <w:footnoteReference w:id="16"/>
      </w:r>
      <w:r>
        <w:t xml:space="preserve"> (for each transmission owner in non-RTO/ISO regions) for eTariff filers (FERC-516).  These costs are only incurred on a voluntary basis.</w:t>
      </w:r>
    </w:p>
    <w:p w:rsidR="00DD755B" w:rsidRDefault="00383548" w14:paraId="10CD180D" w14:textId="77777777">
      <w:pPr>
        <w:pStyle w:val="FERCparanumber"/>
        <w:numPr>
          <w:ilvl w:val="0"/>
          <w:numId w:val="0"/>
        </w:numPr>
        <w:spacing w:line="240" w:lineRule="auto"/>
      </w:pPr>
      <w:r>
        <w:t>Therefore, the estimated additional annual cost per entity ranges from $0 to $114,880.</w:t>
      </w:r>
    </w:p>
    <w:p w:rsidR="00DD755B" w:rsidRDefault="00DD755B" w14:paraId="27206159" w14:textId="77777777">
      <w:pPr>
        <w:spacing w:after="0" w:line="259" w:lineRule="auto"/>
        <w:ind w:left="360" w:hanging="360"/>
      </w:pPr>
    </w:p>
    <w:p w:rsidR="00DD755B" w:rsidRDefault="00383548" w14:paraId="204356C5" w14:textId="77777777">
      <w:pPr>
        <w:pStyle w:val="Heading1"/>
        <w:ind w:left="360" w:hanging="360"/>
      </w:pPr>
      <w:r>
        <w:rPr>
          <w:bCs/>
        </w:rPr>
        <w:t>6.</w:t>
      </w:r>
      <w:r>
        <w:rPr>
          <w:rFonts w:ascii="Arial" w:hAnsi="Arial" w:eastAsia="Arial" w:cs="Arial"/>
          <w:b w:val="0"/>
        </w:rPr>
        <w:t xml:space="preserve"> </w:t>
      </w:r>
      <w:r>
        <w:t>CONSEQUENCE TO FEDERAL PROGRAM IF COLLECTION WERE CONDUCTED LESS FREQUENTLY</w:t>
      </w:r>
      <w:r>
        <w:rPr>
          <w:b w:val="0"/>
        </w:rPr>
        <w:t xml:space="preserve"> </w:t>
      </w:r>
    </w:p>
    <w:p w:rsidR="00DD755B" w:rsidRDefault="00DD755B" w14:paraId="52648953" w14:textId="77777777">
      <w:pPr>
        <w:spacing w:after="0" w:line="259" w:lineRule="auto"/>
        <w:ind w:left="360" w:firstLine="0"/>
        <w:rPr>
          <w:b/>
          <w:bCs/>
        </w:rPr>
      </w:pPr>
    </w:p>
    <w:p w:rsidR="00DD755B" w:rsidRDefault="00383548" w14:paraId="75F5131C" w14:textId="77777777">
      <w:pPr>
        <w:spacing w:after="0" w:line="259" w:lineRule="auto"/>
        <w:ind w:left="0" w:firstLine="0"/>
      </w:pPr>
      <w:r>
        <w:rPr>
          <w:b/>
          <w:bCs/>
        </w:rPr>
        <w:t>FERC-516.</w:t>
      </w:r>
      <w:r>
        <w:t xml:space="preserve">  To conduct these filings less frequently (i.e., not conducting them at all), the Commission would be unable to fulfill its statutory obligation to ensure that rates are just and reasonable and not unduly discriminatory or preferential.  Further, without collecting this information, the Commission would not be in compliance with the Congressional mandates of FPA section 219, which requires the Commission to establish incentive-based rate treatments for the transmission of electric energy in interstate commerce by public utilities for the purpose of benefitting consumers by ensuring reliability and reducing the cost of delivered power by reducing transmission congestion. The information will help to ensure just and reasonable incentive-based rates by enabling the Commission to determine the appropriate incentives based on the benefits of projects demonstrated in the applications.</w:t>
      </w:r>
    </w:p>
    <w:p w:rsidR="00DD755B" w:rsidRDefault="00DD755B" w14:paraId="55EB10D5" w14:textId="77777777">
      <w:pPr>
        <w:spacing w:after="0" w:line="259" w:lineRule="auto"/>
        <w:ind w:left="0" w:firstLine="0"/>
      </w:pPr>
    </w:p>
    <w:p w:rsidR="00DD755B" w:rsidRDefault="00383548" w14:paraId="35F1985E" w14:textId="77777777">
      <w:pPr>
        <w:spacing w:after="0" w:line="259" w:lineRule="auto"/>
        <w:ind w:left="0" w:firstLine="0"/>
        <w:rPr>
          <w:b/>
          <w:bCs/>
        </w:rPr>
      </w:pPr>
      <w:r>
        <w:rPr>
          <w:b/>
          <w:bCs/>
        </w:rPr>
        <w:t>FERC-730.</w:t>
      </w:r>
    </w:p>
    <w:p w:rsidR="00DD755B" w:rsidRDefault="00383548" w14:paraId="106F1196" w14:textId="77777777">
      <w:pPr>
        <w:spacing w:after="0" w:line="259" w:lineRule="auto"/>
        <w:ind w:left="360" w:firstLine="0"/>
      </w:pPr>
      <w:r>
        <w:t xml:space="preserve">   </w:t>
      </w:r>
    </w:p>
    <w:p w:rsidR="00DD755B" w:rsidRDefault="00383548" w14:paraId="10026D41" w14:textId="77777777">
      <w:pPr>
        <w:spacing w:after="0" w:line="259" w:lineRule="auto"/>
        <w:ind w:left="360" w:firstLine="0"/>
      </w:pPr>
      <w:r>
        <w:t>To ensure that existing and proposed incentives are successfully meeting the objectives of FPA section 219, the Commission needs industry data, projections, and related information that detail the level of investment and the costs and benefits of transmission projects.  Without collecting this information, the Commission would be unable to evaluate the effectiveness of its incentive program.</w:t>
      </w:r>
    </w:p>
    <w:p w:rsidR="00DD755B" w:rsidRDefault="00DD755B" w14:paraId="48260E36" w14:textId="77777777">
      <w:pPr>
        <w:spacing w:after="0" w:line="259" w:lineRule="auto"/>
        <w:ind w:left="360" w:firstLine="0"/>
      </w:pPr>
    </w:p>
    <w:p w:rsidR="00DD755B" w:rsidRDefault="00383548" w14:paraId="76FBFEE9" w14:textId="77777777">
      <w:pPr>
        <w:spacing w:after="13"/>
        <w:ind w:left="360" w:hanging="360"/>
      </w:pPr>
      <w:r>
        <w:rPr>
          <w:b/>
          <w:bCs/>
        </w:rPr>
        <w:t>7.</w:t>
      </w:r>
      <w:r>
        <w:rPr>
          <w:rFonts w:ascii="Arial" w:hAnsi="Arial" w:eastAsia="Arial" w:cs="Arial"/>
        </w:rPr>
        <w:t xml:space="preserve"> </w:t>
      </w:r>
      <w:r>
        <w:rPr>
          <w:b/>
        </w:rPr>
        <w:t>EXPLAIN ANY SPECIAL CIRCUMSTANCES RELATING TO THE INFORMATION COLLECTION</w:t>
      </w:r>
      <w:r>
        <w:t xml:space="preserve"> </w:t>
      </w:r>
    </w:p>
    <w:p w:rsidR="00DD755B" w:rsidRDefault="00383548" w14:paraId="3C6F33EB" w14:textId="77777777">
      <w:pPr>
        <w:spacing w:after="0" w:line="259" w:lineRule="auto"/>
        <w:ind w:left="360" w:firstLine="0"/>
      </w:pPr>
      <w:r>
        <w:rPr>
          <w:b/>
        </w:rPr>
        <w:t xml:space="preserve"> </w:t>
      </w:r>
    </w:p>
    <w:p w:rsidR="00DD755B" w:rsidRDefault="00383548" w14:paraId="1127A134" w14:textId="77777777">
      <w:pPr>
        <w:ind w:left="0" w:firstLine="0"/>
      </w:pPr>
      <w:r>
        <w:t xml:space="preserve">FERC-516 and FERC-730 information collections have no special circumstances.   </w:t>
      </w:r>
    </w:p>
    <w:p w:rsidR="00DD755B" w:rsidRDefault="00383548" w14:paraId="386011C5" w14:textId="77777777">
      <w:pPr>
        <w:spacing w:after="0" w:line="259" w:lineRule="auto"/>
        <w:ind w:left="360" w:firstLine="0"/>
      </w:pPr>
      <w:r>
        <w:t xml:space="preserve"> </w:t>
      </w:r>
    </w:p>
    <w:p w:rsidR="00DD755B" w:rsidRDefault="00383548" w14:paraId="58969027" w14:textId="77777777">
      <w:pPr>
        <w:pStyle w:val="Heading1"/>
        <w:ind w:left="355" w:hanging="355"/>
      </w:pPr>
      <w:r>
        <w:rPr>
          <w:bCs/>
        </w:rPr>
        <w:t>8.</w:t>
      </w:r>
      <w:r>
        <w:rPr>
          <w:rFonts w:ascii="Arial" w:hAnsi="Arial" w:eastAsia="Arial" w:cs="Arial"/>
          <w:b w:val="0"/>
        </w:rPr>
        <w:t xml:space="preserve"> </w:t>
      </w:r>
      <w:r>
        <w:t xml:space="preserve">DESCRIBE EFFORTS TO CONSULT OUTSIDE THE AGENCY: SUMMARIZE </w:t>
      </w:r>
    </w:p>
    <w:p w:rsidR="00DD755B" w:rsidRDefault="00383548" w14:paraId="2324FCFD" w14:textId="77777777">
      <w:pPr>
        <w:spacing w:after="0" w:line="238" w:lineRule="auto"/>
        <w:ind w:left="0" w:right="54" w:firstLine="0"/>
        <w:jc w:val="right"/>
      </w:pPr>
      <w:r>
        <w:rPr>
          <w:b/>
        </w:rPr>
        <w:t>PUBLIC COMMENTS AND THE AGENCY'S RESPONSE TO THESE COMMENTS</w:t>
      </w:r>
      <w:r>
        <w:t xml:space="preserve"> </w:t>
      </w:r>
    </w:p>
    <w:p w:rsidR="00DD755B" w:rsidRDefault="00DD755B" w14:paraId="5D0A4110" w14:textId="77777777">
      <w:pPr>
        <w:spacing w:after="0" w:line="238" w:lineRule="auto"/>
        <w:ind w:left="0" w:right="54" w:firstLine="0"/>
        <w:jc w:val="right"/>
      </w:pPr>
    </w:p>
    <w:p w:rsidR="00DD755B" w:rsidRDefault="00383548" w14:paraId="6D6EE3C4" w14:textId="77777777">
      <w:pPr>
        <w:spacing w:after="0" w:line="238" w:lineRule="auto"/>
        <w:ind w:left="0" w:right="54" w:firstLine="0"/>
      </w:pPr>
      <w: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w:t>
      </w:r>
      <w:r>
        <w:lastRenderedPageBreak/>
        <w:t>proposed collections of data.  The public will have 90 days after the date of publication of the NOPR in the Federal Register to provide comments.</w:t>
      </w:r>
    </w:p>
    <w:p w:rsidR="00DD755B" w:rsidRDefault="00383548" w14:paraId="5224D80E" w14:textId="77777777">
      <w:pPr>
        <w:spacing w:after="0" w:line="259" w:lineRule="auto"/>
        <w:ind w:left="360" w:firstLine="0"/>
      </w:pPr>
      <w:r>
        <w:t xml:space="preserve"> </w:t>
      </w:r>
    </w:p>
    <w:p w:rsidR="00DD755B" w:rsidRDefault="00383548" w14:paraId="6A8162AE" w14:textId="77777777">
      <w:pPr>
        <w:spacing w:after="13"/>
        <w:ind w:left="0" w:firstLine="0"/>
      </w:pPr>
      <w:r>
        <w:rPr>
          <w:b/>
          <w:bCs/>
        </w:rPr>
        <w:t>9</w:t>
      </w:r>
      <w:r>
        <w:t>.</w:t>
      </w:r>
      <w:r>
        <w:rPr>
          <w:rFonts w:ascii="Arial" w:hAnsi="Arial" w:eastAsia="Arial" w:cs="Arial"/>
        </w:rPr>
        <w:t xml:space="preserve"> </w:t>
      </w:r>
      <w:r>
        <w:rPr>
          <w:b/>
        </w:rPr>
        <w:t>EXPLAIN ANY PAYMENT OR GIFTS TO RESPONDENTS</w:t>
      </w:r>
      <w:r>
        <w:t xml:space="preserve"> </w:t>
      </w:r>
    </w:p>
    <w:p w:rsidR="00DD755B" w:rsidRDefault="00383548" w14:paraId="00B3A600" w14:textId="77777777">
      <w:pPr>
        <w:spacing w:after="0" w:line="259" w:lineRule="auto"/>
        <w:ind w:left="360" w:firstLine="0"/>
      </w:pPr>
      <w:r>
        <w:rPr>
          <w:b/>
        </w:rPr>
        <w:t xml:space="preserve"> </w:t>
      </w:r>
    </w:p>
    <w:p w:rsidR="00DD755B" w:rsidRDefault="00383548" w14:paraId="06F3F9FD" w14:textId="77777777">
      <w:pPr>
        <w:ind w:left="0" w:firstLine="0"/>
      </w:pPr>
      <w:r>
        <w:t xml:space="preserve">No payments or gifts are made to respondents. </w:t>
      </w:r>
    </w:p>
    <w:p w:rsidR="00DD755B" w:rsidRDefault="00383548" w14:paraId="58CA03ED" w14:textId="77777777">
      <w:pPr>
        <w:spacing w:after="0" w:line="259" w:lineRule="auto"/>
        <w:ind w:left="360" w:firstLine="0"/>
      </w:pPr>
      <w:r>
        <w:t xml:space="preserve"> </w:t>
      </w:r>
    </w:p>
    <w:p w:rsidR="00DD755B" w:rsidRDefault="00383548" w14:paraId="59057619" w14:textId="77777777">
      <w:pPr>
        <w:pStyle w:val="Heading1"/>
        <w:ind w:left="0" w:firstLine="0"/>
      </w:pPr>
      <w:r>
        <w:rPr>
          <w:bCs/>
        </w:rPr>
        <w:t>10.</w:t>
      </w:r>
      <w:r>
        <w:rPr>
          <w:rFonts w:ascii="Arial" w:hAnsi="Arial" w:eastAsia="Arial" w:cs="Arial"/>
          <w:b w:val="0"/>
        </w:rPr>
        <w:t xml:space="preserve"> </w:t>
      </w:r>
      <w:r>
        <w:t>DESCRIBE ANY ASSURANCE OF CONFIDENTIALITY PROVIDED TO RESPONDENTS</w:t>
      </w:r>
      <w:r>
        <w:rPr>
          <w:b w:val="0"/>
        </w:rPr>
        <w:t xml:space="preserve"> </w:t>
      </w:r>
    </w:p>
    <w:p w:rsidR="00DD755B" w:rsidRDefault="00383548" w14:paraId="41907AE4" w14:textId="77777777">
      <w:pPr>
        <w:spacing w:after="0" w:line="259" w:lineRule="auto"/>
        <w:ind w:left="360" w:firstLine="0"/>
      </w:pPr>
      <w:r>
        <w:rPr>
          <w:b/>
        </w:rPr>
        <w:t xml:space="preserve"> </w:t>
      </w:r>
    </w:p>
    <w:p w:rsidR="00DD755B" w:rsidRDefault="00383548" w14:paraId="5EC7668D" w14:textId="77777777">
      <w:pPr>
        <w:ind w:left="0" w:firstLine="0"/>
      </w:pPr>
      <w:r>
        <w:t xml:space="preserve">The data proposed for modification in this NOPR are public.  In general, for all submittals to the Commission, filers may submit specific requests for confidential treatment to the extent permitted by law, as set forth in 18 CFR section 388.112. </w:t>
      </w:r>
    </w:p>
    <w:p w:rsidR="00DD755B" w:rsidRDefault="00383548" w14:paraId="22B61461" w14:textId="77777777">
      <w:pPr>
        <w:spacing w:after="0" w:line="259" w:lineRule="auto"/>
        <w:ind w:left="1080" w:firstLine="0"/>
      </w:pPr>
      <w:r>
        <w:t xml:space="preserve"> </w:t>
      </w:r>
    </w:p>
    <w:p w:rsidR="00DD755B" w:rsidRDefault="00383548" w14:paraId="3E3888F5" w14:textId="77777777">
      <w:pPr>
        <w:spacing w:after="13"/>
        <w:ind w:left="360" w:hanging="360"/>
      </w:pPr>
      <w:r>
        <w:rPr>
          <w:b/>
          <w:bCs/>
        </w:rPr>
        <w:t>11</w:t>
      </w:r>
      <w:r>
        <w:t>.</w:t>
      </w:r>
      <w:r>
        <w:rPr>
          <w:rFonts w:ascii="Arial" w:hAnsi="Arial" w:eastAsia="Arial" w:cs="Arial"/>
        </w:rPr>
        <w:t xml:space="preserve"> </w:t>
      </w:r>
      <w:r>
        <w:rPr>
          <w:b/>
        </w:rPr>
        <w:t>PROVIDE ADDITIONAL JUSTIFICATION FOR ANY QUESTIONS OF A SENSITIVE NATURE, SUCH AS SEXUAL BEHAVIOR AND ATTITUDES, RELIGIOUS BELIEFS, AND OTHER MATTERS THAT ARE COMMONLY CONSIDERED PRIVATE</w:t>
      </w:r>
      <w:r>
        <w:t xml:space="preserve"> </w:t>
      </w:r>
    </w:p>
    <w:p w:rsidR="00DD755B" w:rsidRDefault="00383548" w14:paraId="19EAEFEE" w14:textId="77777777">
      <w:pPr>
        <w:spacing w:after="0" w:line="259" w:lineRule="auto"/>
        <w:ind w:left="360" w:hanging="360"/>
      </w:pPr>
      <w:r>
        <w:t xml:space="preserve"> </w:t>
      </w:r>
    </w:p>
    <w:p w:rsidR="00DD755B" w:rsidRDefault="00383548" w14:paraId="65033787" w14:textId="77777777">
      <w:pPr>
        <w:spacing w:after="197"/>
        <w:ind w:left="0" w:firstLine="0"/>
      </w:pPr>
      <w:r>
        <w:t xml:space="preserve">The collections do not contain any questions of a sensitive nature. </w:t>
      </w:r>
    </w:p>
    <w:p w:rsidR="00DD755B" w:rsidRDefault="00383548" w14:paraId="47762D7B" w14:textId="77777777">
      <w:pPr>
        <w:pStyle w:val="Heading1"/>
        <w:ind w:left="355" w:hanging="355"/>
      </w:pPr>
      <w:r>
        <w:rPr>
          <w:bCs/>
        </w:rPr>
        <w:t>12</w:t>
      </w:r>
      <w:r>
        <w:rPr>
          <w:b w:val="0"/>
        </w:rPr>
        <w:t>.</w:t>
      </w:r>
      <w:r>
        <w:rPr>
          <w:rFonts w:ascii="Arial" w:hAnsi="Arial" w:eastAsia="Arial" w:cs="Arial"/>
          <w:b w:val="0"/>
        </w:rPr>
        <w:t xml:space="preserve"> </w:t>
      </w:r>
      <w:r>
        <w:t>ESTIMATED BURDEN OF COLLECTION OF INFORMATION</w:t>
      </w:r>
      <w:r>
        <w:rPr>
          <w:b w:val="0"/>
        </w:rPr>
        <w:t xml:space="preserve"> </w:t>
      </w:r>
    </w:p>
    <w:p w:rsidR="00DD755B" w:rsidRDefault="00DD755B" w14:paraId="1BBB8FB1" w14:textId="77777777">
      <w:pPr>
        <w:spacing w:after="0" w:line="259" w:lineRule="auto"/>
        <w:ind w:left="360" w:firstLine="0"/>
        <w:rPr>
          <w:rFonts w:ascii="Calibri" w:hAnsi="Calibri" w:eastAsia="Calibri" w:cs="Calibri"/>
          <w:sz w:val="22"/>
        </w:rPr>
      </w:pPr>
    </w:p>
    <w:p w:rsidR="00DD755B" w:rsidRDefault="00383548" w14:paraId="05844223" w14:textId="77777777">
      <w:pPr>
        <w:tabs>
          <w:tab w:val="num" w:pos="720"/>
        </w:tabs>
        <w:spacing w:after="0" w:line="240" w:lineRule="auto"/>
        <w:ind w:left="0" w:firstLine="0"/>
        <w:rPr>
          <w:rFonts w:eastAsia="Calibri"/>
          <w:color w:val="auto"/>
          <w:szCs w:val="24"/>
        </w:rPr>
      </w:pPr>
      <w:r>
        <w:rPr>
          <w:rFonts w:eastAsia="Calibri"/>
          <w:color w:val="auto"/>
          <w:szCs w:val="24"/>
        </w:rPr>
        <w:t>The Commission estimates that the NOPR would affect the burden</w:t>
      </w:r>
      <w:r>
        <w:rPr>
          <w:rFonts w:eastAsia="Calibri"/>
          <w:b/>
          <w:color w:val="auto"/>
          <w:szCs w:val="24"/>
          <w:vertAlign w:val="superscript"/>
        </w:rPr>
        <w:footnoteReference w:id="17"/>
      </w:r>
      <w:r>
        <w:rPr>
          <w:rFonts w:eastAsia="Calibri"/>
          <w:color w:val="auto"/>
          <w:szCs w:val="24"/>
        </w:rPr>
        <w:t xml:space="preserve"> and cost</w:t>
      </w:r>
      <w:r>
        <w:rPr>
          <w:rFonts w:eastAsia="Calibri"/>
          <w:b/>
          <w:color w:val="auto"/>
          <w:szCs w:val="24"/>
          <w:vertAlign w:val="superscript"/>
        </w:rPr>
        <w:footnoteReference w:id="18"/>
      </w:r>
      <w:r>
        <w:rPr>
          <w:rFonts w:eastAsia="Calibri"/>
          <w:color w:val="auto"/>
          <w:szCs w:val="24"/>
        </w:rPr>
        <w:t xml:space="preserve"> of FERC-516 (eTariff Filings) and Form 730 as follows:</w:t>
      </w:r>
    </w:p>
    <w:p w:rsidR="00DD755B" w:rsidRDefault="00DD755B" w14:paraId="3DE9DB1B" w14:textId="77777777">
      <w:pPr>
        <w:tabs>
          <w:tab w:val="num" w:pos="720"/>
        </w:tabs>
        <w:spacing w:after="0" w:line="240" w:lineRule="auto"/>
        <w:ind w:left="0" w:firstLine="0"/>
        <w:rPr>
          <w:rFonts w:eastAsia="Calibri"/>
          <w:color w:val="auto"/>
          <w:sz w:val="26"/>
        </w:rPr>
      </w:pPr>
    </w:p>
    <w:tbl>
      <w:tblPr>
        <w:tblStyle w:val="TableGrid1"/>
        <w:tblW w:w="9630" w:type="dxa"/>
        <w:tblInd w:w="85" w:type="dxa"/>
        <w:tblLook w:val="04A0" w:firstRow="1" w:lastRow="0" w:firstColumn="1" w:lastColumn="0" w:noHBand="0" w:noVBand="1"/>
      </w:tblPr>
      <w:tblGrid>
        <w:gridCol w:w="1620"/>
        <w:gridCol w:w="1440"/>
        <w:gridCol w:w="1620"/>
        <w:gridCol w:w="1620"/>
        <w:gridCol w:w="1620"/>
        <w:gridCol w:w="1710"/>
      </w:tblGrid>
      <w:tr w:rsidR="00DD755B" w14:paraId="1CB7DD47" w14:textId="77777777">
        <w:trPr>
          <w:trHeight w:val="143"/>
        </w:trPr>
        <w:tc>
          <w:tcPr>
            <w:tcW w:w="9630" w:type="dxa"/>
            <w:gridSpan w:val="6"/>
          </w:tcPr>
          <w:p w:rsidR="00DD755B" w:rsidRDefault="00383548" w14:paraId="4F8782F5" w14:textId="77777777">
            <w:pPr>
              <w:spacing w:after="0" w:line="240" w:lineRule="auto"/>
              <w:ind w:left="699" w:firstLine="0"/>
              <w:jc w:val="center"/>
              <w:rPr>
                <w:rFonts w:eastAsia="Calibri"/>
                <w:b/>
                <w:bCs/>
                <w:color w:val="auto"/>
              </w:rPr>
            </w:pPr>
            <w:r>
              <w:rPr>
                <w:rFonts w:eastAsia="Calibri"/>
                <w:b/>
                <w:bCs/>
                <w:color w:val="auto"/>
              </w:rPr>
              <w:t>Proposed Changes in NOPR in Docket No. RM20-10-000</w:t>
            </w:r>
          </w:p>
        </w:tc>
      </w:tr>
      <w:tr w:rsidR="00DD755B" w14:paraId="3C5B37DF" w14:textId="77777777">
        <w:trPr>
          <w:trHeight w:val="197"/>
        </w:trPr>
        <w:tc>
          <w:tcPr>
            <w:tcW w:w="1620" w:type="dxa"/>
            <w:vAlign w:val="center"/>
          </w:tcPr>
          <w:p w:rsidR="00DD755B" w:rsidRDefault="00383548" w14:paraId="54B0B253" w14:textId="77777777">
            <w:pPr>
              <w:spacing w:after="0" w:line="240" w:lineRule="auto"/>
              <w:ind w:left="0" w:firstLine="0"/>
              <w:jc w:val="center"/>
              <w:rPr>
                <w:rFonts w:eastAsia="Calibri"/>
                <w:b/>
                <w:bCs/>
                <w:color w:val="auto"/>
              </w:rPr>
            </w:pPr>
            <w:r>
              <w:rPr>
                <w:rFonts w:eastAsia="Calibri"/>
                <w:b/>
                <w:bCs/>
                <w:color w:val="auto"/>
              </w:rPr>
              <w:t>A.</w:t>
            </w:r>
          </w:p>
          <w:p w:rsidR="00DD755B" w:rsidRDefault="00383548" w14:paraId="19B60993" w14:textId="77777777">
            <w:pPr>
              <w:spacing w:after="0" w:line="240" w:lineRule="auto"/>
              <w:ind w:left="0" w:firstLine="0"/>
              <w:jc w:val="center"/>
              <w:rPr>
                <w:rFonts w:eastAsia="Calibri"/>
                <w:b/>
                <w:bCs/>
                <w:color w:val="auto"/>
              </w:rPr>
            </w:pPr>
            <w:r>
              <w:rPr>
                <w:rFonts w:eastAsia="Calibri"/>
                <w:b/>
                <w:bCs/>
                <w:color w:val="auto"/>
              </w:rPr>
              <w:t>Area of Modification</w:t>
            </w:r>
          </w:p>
        </w:tc>
        <w:tc>
          <w:tcPr>
            <w:tcW w:w="1440" w:type="dxa"/>
            <w:vAlign w:val="center"/>
          </w:tcPr>
          <w:p w:rsidR="00DD755B" w:rsidRDefault="00383548" w14:paraId="779A03B2" w14:textId="77777777">
            <w:pPr>
              <w:spacing w:after="0" w:line="240" w:lineRule="auto"/>
              <w:ind w:left="0" w:firstLine="0"/>
              <w:jc w:val="center"/>
              <w:rPr>
                <w:rFonts w:eastAsia="Calibri"/>
                <w:b/>
                <w:bCs/>
                <w:color w:val="auto"/>
              </w:rPr>
            </w:pPr>
            <w:r>
              <w:rPr>
                <w:rFonts w:eastAsia="Calibri"/>
                <w:b/>
                <w:bCs/>
                <w:color w:val="auto"/>
              </w:rPr>
              <w:t>B.</w:t>
            </w:r>
          </w:p>
          <w:p w:rsidR="00DD755B" w:rsidRDefault="00383548" w14:paraId="6A8CC5D0" w14:textId="77777777">
            <w:pPr>
              <w:spacing w:after="0" w:line="240" w:lineRule="auto"/>
              <w:ind w:left="0" w:firstLine="0"/>
              <w:jc w:val="center"/>
              <w:rPr>
                <w:rFonts w:eastAsia="Calibri"/>
                <w:b/>
                <w:bCs/>
                <w:color w:val="auto"/>
              </w:rPr>
            </w:pPr>
            <w:r>
              <w:rPr>
                <w:rFonts w:eastAsia="Calibri"/>
                <w:b/>
                <w:bCs/>
                <w:color w:val="auto"/>
              </w:rPr>
              <w:t>Number of Respondents</w:t>
            </w:r>
          </w:p>
        </w:tc>
        <w:tc>
          <w:tcPr>
            <w:tcW w:w="1620" w:type="dxa"/>
            <w:vAlign w:val="center"/>
          </w:tcPr>
          <w:p w:rsidR="00DD755B" w:rsidRDefault="00383548" w14:paraId="358DAA09" w14:textId="77777777">
            <w:pPr>
              <w:spacing w:after="0" w:line="240" w:lineRule="auto"/>
              <w:ind w:left="0" w:firstLine="0"/>
              <w:jc w:val="center"/>
              <w:rPr>
                <w:rFonts w:eastAsia="Calibri"/>
                <w:b/>
                <w:bCs/>
                <w:color w:val="auto"/>
              </w:rPr>
            </w:pPr>
            <w:r>
              <w:rPr>
                <w:rFonts w:eastAsia="Calibri"/>
                <w:b/>
                <w:bCs/>
                <w:color w:val="auto"/>
              </w:rPr>
              <w:t>C.</w:t>
            </w:r>
          </w:p>
          <w:p w:rsidR="00DD755B" w:rsidRDefault="00383548" w14:paraId="16C0DD36" w14:textId="77777777">
            <w:pPr>
              <w:spacing w:after="0" w:line="240" w:lineRule="auto"/>
              <w:ind w:left="0" w:firstLine="0"/>
              <w:jc w:val="center"/>
              <w:rPr>
                <w:rFonts w:eastAsia="Calibri"/>
                <w:b/>
                <w:bCs/>
                <w:color w:val="auto"/>
              </w:rPr>
            </w:pPr>
            <w:r>
              <w:rPr>
                <w:rFonts w:eastAsia="Calibri"/>
                <w:b/>
                <w:bCs/>
                <w:color w:val="auto"/>
              </w:rPr>
              <w:t>Annual Estimated Number of Responses per Respondent</w:t>
            </w:r>
          </w:p>
        </w:tc>
        <w:tc>
          <w:tcPr>
            <w:tcW w:w="1620" w:type="dxa"/>
            <w:vAlign w:val="center"/>
          </w:tcPr>
          <w:p w:rsidR="00DD755B" w:rsidRDefault="00383548" w14:paraId="7FF30E18" w14:textId="77777777">
            <w:pPr>
              <w:spacing w:after="0" w:line="240" w:lineRule="auto"/>
              <w:ind w:left="0" w:firstLine="0"/>
              <w:jc w:val="center"/>
              <w:rPr>
                <w:rFonts w:eastAsia="Calibri"/>
                <w:b/>
                <w:bCs/>
                <w:color w:val="auto"/>
              </w:rPr>
            </w:pPr>
            <w:r>
              <w:rPr>
                <w:rFonts w:eastAsia="Calibri"/>
                <w:b/>
                <w:bCs/>
                <w:color w:val="auto"/>
              </w:rPr>
              <w:t>D.</w:t>
            </w:r>
          </w:p>
          <w:p w:rsidR="00DD755B" w:rsidRDefault="00383548" w14:paraId="2A70B8BD" w14:textId="77777777">
            <w:pPr>
              <w:spacing w:after="0" w:line="240" w:lineRule="auto"/>
              <w:ind w:left="0" w:firstLine="0"/>
              <w:jc w:val="center"/>
              <w:rPr>
                <w:rFonts w:eastAsia="Calibri"/>
                <w:b/>
                <w:bCs/>
                <w:color w:val="auto"/>
              </w:rPr>
            </w:pPr>
            <w:r>
              <w:rPr>
                <w:rFonts w:eastAsia="Calibri"/>
                <w:b/>
                <w:bCs/>
                <w:color w:val="auto"/>
              </w:rPr>
              <w:t>Annual Estimated Number of Responses</w:t>
            </w:r>
          </w:p>
          <w:p w:rsidR="00DD755B" w:rsidRDefault="00383548" w14:paraId="416BF49D" w14:textId="77777777">
            <w:pPr>
              <w:spacing w:after="0" w:line="240" w:lineRule="auto"/>
              <w:ind w:left="0" w:firstLine="0"/>
              <w:jc w:val="center"/>
              <w:rPr>
                <w:rFonts w:eastAsia="Calibri"/>
                <w:b/>
                <w:bCs/>
                <w:color w:val="auto"/>
              </w:rPr>
            </w:pPr>
            <w:r>
              <w:rPr>
                <w:rFonts w:eastAsia="Calibri"/>
                <w:b/>
                <w:bCs/>
                <w:color w:val="auto"/>
              </w:rPr>
              <w:t>(Column B X Column C)</w:t>
            </w:r>
          </w:p>
        </w:tc>
        <w:tc>
          <w:tcPr>
            <w:tcW w:w="1620" w:type="dxa"/>
            <w:vAlign w:val="center"/>
          </w:tcPr>
          <w:p w:rsidR="00DD755B" w:rsidRDefault="00383548" w14:paraId="65940F96" w14:textId="77777777">
            <w:pPr>
              <w:spacing w:after="0" w:line="240" w:lineRule="auto"/>
              <w:ind w:left="0" w:firstLine="0"/>
              <w:jc w:val="center"/>
              <w:rPr>
                <w:rFonts w:eastAsia="Calibri"/>
                <w:b/>
                <w:bCs/>
                <w:color w:val="auto"/>
              </w:rPr>
            </w:pPr>
            <w:r>
              <w:rPr>
                <w:rFonts w:eastAsia="Calibri"/>
                <w:b/>
                <w:bCs/>
                <w:color w:val="auto"/>
              </w:rPr>
              <w:t>E.</w:t>
            </w:r>
          </w:p>
          <w:p w:rsidR="00DD755B" w:rsidRDefault="00383548" w14:paraId="7C26E48D" w14:textId="77777777">
            <w:pPr>
              <w:spacing w:after="0" w:line="240" w:lineRule="auto"/>
              <w:ind w:left="0" w:firstLine="0"/>
              <w:jc w:val="center"/>
              <w:rPr>
                <w:rFonts w:eastAsia="Calibri"/>
                <w:b/>
                <w:bCs/>
                <w:color w:val="auto"/>
              </w:rPr>
            </w:pPr>
            <w:r>
              <w:rPr>
                <w:rFonts w:eastAsia="Calibri"/>
                <w:b/>
                <w:bCs/>
                <w:color w:val="auto"/>
              </w:rPr>
              <w:t>Average Burden Hours &amp; Cost ($) per Response</w:t>
            </w:r>
          </w:p>
        </w:tc>
        <w:tc>
          <w:tcPr>
            <w:tcW w:w="1710" w:type="dxa"/>
            <w:vAlign w:val="center"/>
          </w:tcPr>
          <w:p w:rsidR="00DD755B" w:rsidRDefault="00383548" w14:paraId="7B1AE71C" w14:textId="77777777">
            <w:pPr>
              <w:spacing w:after="0" w:line="240" w:lineRule="auto"/>
              <w:ind w:left="0" w:firstLine="0"/>
              <w:jc w:val="center"/>
              <w:rPr>
                <w:rFonts w:eastAsia="Calibri"/>
                <w:b/>
                <w:bCs/>
                <w:color w:val="auto"/>
              </w:rPr>
            </w:pPr>
            <w:r>
              <w:rPr>
                <w:rFonts w:eastAsia="Calibri"/>
                <w:b/>
                <w:bCs/>
                <w:color w:val="auto"/>
              </w:rPr>
              <w:t>F.</w:t>
            </w:r>
          </w:p>
          <w:p w:rsidR="00DD755B" w:rsidRDefault="00383548" w14:paraId="522120F8" w14:textId="77777777">
            <w:pPr>
              <w:spacing w:after="0" w:line="240" w:lineRule="auto"/>
              <w:ind w:left="0" w:firstLine="0"/>
              <w:jc w:val="center"/>
              <w:rPr>
                <w:rFonts w:eastAsia="Calibri"/>
                <w:b/>
                <w:bCs/>
                <w:color w:val="auto"/>
              </w:rPr>
            </w:pPr>
            <w:r>
              <w:rPr>
                <w:rFonts w:eastAsia="Calibri"/>
                <w:b/>
                <w:bCs/>
                <w:color w:val="auto"/>
              </w:rPr>
              <w:t>Total Estimated Burden Hours &amp; Total Estimated Cost($)</w:t>
            </w:r>
          </w:p>
          <w:p w:rsidR="00DD755B" w:rsidRDefault="00383548" w14:paraId="5BFAB76A" w14:textId="77777777">
            <w:pPr>
              <w:spacing w:after="0" w:line="240" w:lineRule="auto"/>
              <w:ind w:left="0" w:firstLine="0"/>
              <w:jc w:val="center"/>
              <w:rPr>
                <w:rFonts w:eastAsia="Calibri"/>
                <w:b/>
                <w:bCs/>
                <w:color w:val="auto"/>
              </w:rPr>
            </w:pPr>
            <w:r>
              <w:rPr>
                <w:rFonts w:eastAsia="Calibri"/>
                <w:b/>
                <w:bCs/>
                <w:color w:val="auto"/>
              </w:rPr>
              <w:t>(Column D x Column E)</w:t>
            </w:r>
          </w:p>
        </w:tc>
      </w:tr>
      <w:tr w:rsidR="00DD755B" w14:paraId="1DA39BFD" w14:textId="77777777">
        <w:trPr>
          <w:trHeight w:val="197"/>
        </w:trPr>
        <w:tc>
          <w:tcPr>
            <w:tcW w:w="9630" w:type="dxa"/>
            <w:gridSpan w:val="6"/>
          </w:tcPr>
          <w:p w:rsidR="00DD755B" w:rsidRDefault="00383548" w14:paraId="127B421A" w14:textId="77777777">
            <w:pPr>
              <w:spacing w:after="0" w:line="240" w:lineRule="auto"/>
              <w:ind w:left="0" w:firstLine="0"/>
              <w:jc w:val="center"/>
              <w:rPr>
                <w:rFonts w:eastAsia="Calibri"/>
                <w:b/>
                <w:bCs/>
                <w:color w:val="auto"/>
              </w:rPr>
            </w:pPr>
            <w:r>
              <w:rPr>
                <w:rFonts w:eastAsia="Calibri"/>
                <w:b/>
                <w:bCs/>
                <w:color w:val="auto"/>
              </w:rPr>
              <w:t>FERC-516, eTariff Filings (for Planning Regions)</w:t>
            </w:r>
          </w:p>
        </w:tc>
      </w:tr>
      <w:tr w:rsidR="00DD755B" w14:paraId="7F1ACA9B" w14:textId="77777777">
        <w:trPr>
          <w:trHeight w:val="197"/>
        </w:trPr>
        <w:tc>
          <w:tcPr>
            <w:tcW w:w="1620" w:type="dxa"/>
            <w:vAlign w:val="center"/>
          </w:tcPr>
          <w:p w:rsidR="00DD755B" w:rsidRDefault="00383548" w14:paraId="28A409C2" w14:textId="77777777">
            <w:pPr>
              <w:spacing w:after="0" w:line="240" w:lineRule="auto"/>
              <w:ind w:left="0" w:firstLine="0"/>
              <w:rPr>
                <w:rFonts w:eastAsia="Calibri"/>
                <w:color w:val="auto"/>
              </w:rPr>
            </w:pPr>
            <w:r>
              <w:rPr>
                <w:rFonts w:eastAsia="Calibri"/>
              </w:rPr>
              <w:lastRenderedPageBreak/>
              <w:t>RTO/ISO regions provide transmission planning data to developers that examine economic attributes of projects</w:t>
            </w:r>
          </w:p>
        </w:tc>
        <w:tc>
          <w:tcPr>
            <w:tcW w:w="1440" w:type="dxa"/>
            <w:vAlign w:val="center"/>
          </w:tcPr>
          <w:p w:rsidR="00DD755B" w:rsidRDefault="00383548" w14:paraId="381730F1" w14:textId="77777777">
            <w:pPr>
              <w:spacing w:after="0" w:line="240" w:lineRule="auto"/>
              <w:ind w:left="0" w:firstLine="0"/>
              <w:jc w:val="right"/>
              <w:rPr>
                <w:rFonts w:eastAsia="Calibri"/>
                <w:color w:val="auto"/>
              </w:rPr>
            </w:pPr>
            <w:r>
              <w:rPr>
                <w:rFonts w:eastAsia="Calibri"/>
                <w:color w:val="auto"/>
              </w:rPr>
              <w:t>6</w:t>
            </w:r>
          </w:p>
        </w:tc>
        <w:tc>
          <w:tcPr>
            <w:tcW w:w="1620" w:type="dxa"/>
            <w:vAlign w:val="center"/>
          </w:tcPr>
          <w:p w:rsidR="00DD755B" w:rsidRDefault="00383548" w14:paraId="6CBD62BE" w14:textId="77777777">
            <w:pPr>
              <w:spacing w:after="0" w:line="240" w:lineRule="auto"/>
              <w:ind w:left="0" w:firstLine="0"/>
              <w:jc w:val="right"/>
              <w:rPr>
                <w:rFonts w:eastAsia="Calibri"/>
                <w:color w:val="auto"/>
              </w:rPr>
            </w:pPr>
            <w:r>
              <w:rPr>
                <w:rFonts w:eastAsia="Calibri"/>
                <w:color w:val="auto"/>
              </w:rPr>
              <w:t>1.67</w:t>
            </w:r>
          </w:p>
        </w:tc>
        <w:tc>
          <w:tcPr>
            <w:tcW w:w="1620" w:type="dxa"/>
            <w:vAlign w:val="center"/>
          </w:tcPr>
          <w:p w:rsidR="00DD755B" w:rsidRDefault="00383548" w14:paraId="38820105" w14:textId="77777777">
            <w:pPr>
              <w:spacing w:after="0" w:line="240" w:lineRule="auto"/>
              <w:ind w:left="0" w:firstLine="0"/>
              <w:jc w:val="right"/>
              <w:rPr>
                <w:rFonts w:eastAsia="Calibri"/>
                <w:color w:val="auto"/>
              </w:rPr>
            </w:pPr>
            <w:r>
              <w:rPr>
                <w:rFonts w:eastAsia="Calibri"/>
                <w:color w:val="auto"/>
              </w:rPr>
              <w:t>10</w:t>
            </w:r>
          </w:p>
        </w:tc>
        <w:tc>
          <w:tcPr>
            <w:tcW w:w="1620" w:type="dxa"/>
            <w:vAlign w:val="center"/>
          </w:tcPr>
          <w:p w:rsidR="00DD755B" w:rsidRDefault="00383548" w14:paraId="6E6DE92A" w14:textId="77777777">
            <w:pPr>
              <w:spacing w:after="0" w:line="240" w:lineRule="auto"/>
              <w:ind w:left="0" w:firstLine="0"/>
              <w:jc w:val="right"/>
              <w:rPr>
                <w:rFonts w:eastAsia="Calibri"/>
                <w:color w:val="auto"/>
              </w:rPr>
            </w:pPr>
            <w:r>
              <w:rPr>
                <w:rFonts w:eastAsia="Calibri"/>
                <w:color w:val="auto"/>
              </w:rPr>
              <w:t>5 hours; $400</w:t>
            </w:r>
          </w:p>
        </w:tc>
        <w:tc>
          <w:tcPr>
            <w:tcW w:w="1710" w:type="dxa"/>
            <w:vAlign w:val="center"/>
          </w:tcPr>
          <w:p w:rsidR="00DD755B" w:rsidRDefault="00383548" w14:paraId="0996F3FC" w14:textId="77777777">
            <w:pPr>
              <w:spacing w:after="0" w:line="240" w:lineRule="auto"/>
              <w:ind w:left="0" w:firstLine="0"/>
              <w:jc w:val="right"/>
              <w:rPr>
                <w:rFonts w:eastAsia="Calibri"/>
                <w:color w:val="auto"/>
              </w:rPr>
            </w:pPr>
            <w:r>
              <w:rPr>
                <w:rFonts w:eastAsia="Calibri"/>
                <w:color w:val="auto"/>
              </w:rPr>
              <w:t>50 hours; $4,000</w:t>
            </w:r>
          </w:p>
        </w:tc>
      </w:tr>
      <w:tr w:rsidR="00DD755B" w14:paraId="53DB9ECB" w14:textId="77777777">
        <w:trPr>
          <w:trHeight w:val="197"/>
        </w:trPr>
        <w:tc>
          <w:tcPr>
            <w:tcW w:w="1620" w:type="dxa"/>
            <w:vAlign w:val="center"/>
          </w:tcPr>
          <w:p w:rsidR="00DD755B" w:rsidRDefault="00383548" w14:paraId="41DBA820" w14:textId="77777777">
            <w:pPr>
              <w:spacing w:after="0" w:line="240" w:lineRule="auto"/>
              <w:ind w:left="0" w:firstLine="0"/>
              <w:rPr>
                <w:rFonts w:eastAsia="Calibri"/>
                <w:color w:val="auto"/>
              </w:rPr>
            </w:pPr>
            <w:r>
              <w:rPr>
                <w:rFonts w:eastAsia="Calibri"/>
              </w:rPr>
              <w:t>Non-RTO/ISO regions provide transmission planning data to developers that examine economic attributes of projects</w:t>
            </w:r>
          </w:p>
        </w:tc>
        <w:tc>
          <w:tcPr>
            <w:tcW w:w="1440" w:type="dxa"/>
            <w:vAlign w:val="center"/>
          </w:tcPr>
          <w:p w:rsidR="00DD755B" w:rsidRDefault="00383548" w14:paraId="22CDAB5E" w14:textId="77777777">
            <w:pPr>
              <w:spacing w:after="0" w:line="240" w:lineRule="auto"/>
              <w:ind w:left="0" w:firstLine="0"/>
              <w:jc w:val="right"/>
              <w:rPr>
                <w:rFonts w:eastAsia="Calibri"/>
                <w:color w:val="auto"/>
              </w:rPr>
            </w:pPr>
            <w:r>
              <w:rPr>
                <w:rFonts w:eastAsia="Calibri"/>
                <w:color w:val="auto"/>
              </w:rPr>
              <w:t>6</w:t>
            </w:r>
          </w:p>
        </w:tc>
        <w:tc>
          <w:tcPr>
            <w:tcW w:w="1620" w:type="dxa"/>
            <w:vAlign w:val="center"/>
          </w:tcPr>
          <w:p w:rsidR="00DD755B" w:rsidRDefault="00383548" w14:paraId="47340386" w14:textId="77777777">
            <w:pPr>
              <w:spacing w:after="0" w:line="240" w:lineRule="auto"/>
              <w:ind w:left="0" w:firstLine="0"/>
              <w:jc w:val="right"/>
              <w:rPr>
                <w:rFonts w:eastAsia="Calibri"/>
                <w:color w:val="auto"/>
              </w:rPr>
            </w:pPr>
            <w:r>
              <w:rPr>
                <w:rFonts w:eastAsia="Calibri"/>
                <w:color w:val="auto"/>
              </w:rPr>
              <w:t>0.83</w:t>
            </w:r>
          </w:p>
        </w:tc>
        <w:tc>
          <w:tcPr>
            <w:tcW w:w="1620" w:type="dxa"/>
            <w:vAlign w:val="center"/>
          </w:tcPr>
          <w:p w:rsidR="00DD755B" w:rsidRDefault="00383548" w14:paraId="3178055F" w14:textId="77777777">
            <w:pPr>
              <w:spacing w:after="0" w:line="240" w:lineRule="auto"/>
              <w:ind w:left="0" w:firstLine="0"/>
              <w:jc w:val="right"/>
              <w:rPr>
                <w:rFonts w:eastAsia="Calibri"/>
                <w:color w:val="auto"/>
              </w:rPr>
            </w:pPr>
            <w:r>
              <w:rPr>
                <w:rFonts w:eastAsia="Calibri"/>
                <w:color w:val="auto"/>
              </w:rPr>
              <w:t>5</w:t>
            </w:r>
          </w:p>
        </w:tc>
        <w:tc>
          <w:tcPr>
            <w:tcW w:w="1620" w:type="dxa"/>
            <w:vAlign w:val="center"/>
          </w:tcPr>
          <w:p w:rsidR="00DD755B" w:rsidRDefault="00383548" w14:paraId="6472D13F" w14:textId="77777777">
            <w:pPr>
              <w:spacing w:after="0" w:line="240" w:lineRule="auto"/>
              <w:ind w:left="0" w:firstLine="0"/>
              <w:jc w:val="right"/>
              <w:rPr>
                <w:rFonts w:eastAsia="Calibri"/>
                <w:color w:val="auto"/>
              </w:rPr>
            </w:pPr>
            <w:r>
              <w:rPr>
                <w:rFonts w:eastAsia="Calibri"/>
                <w:color w:val="auto"/>
              </w:rPr>
              <w:t>5 hours; $400</w:t>
            </w:r>
          </w:p>
        </w:tc>
        <w:tc>
          <w:tcPr>
            <w:tcW w:w="1710" w:type="dxa"/>
            <w:vAlign w:val="center"/>
          </w:tcPr>
          <w:p w:rsidR="00DD755B" w:rsidRDefault="00383548" w14:paraId="23D23F85" w14:textId="77777777">
            <w:pPr>
              <w:spacing w:after="0" w:line="240" w:lineRule="auto"/>
              <w:ind w:left="0" w:firstLine="0"/>
              <w:jc w:val="right"/>
              <w:rPr>
                <w:rFonts w:eastAsia="Calibri"/>
                <w:color w:val="auto"/>
              </w:rPr>
            </w:pPr>
            <w:r>
              <w:rPr>
                <w:rFonts w:eastAsia="Calibri"/>
                <w:color w:val="auto"/>
              </w:rPr>
              <w:t>25 hours; $2,000</w:t>
            </w:r>
          </w:p>
        </w:tc>
      </w:tr>
      <w:tr w:rsidR="00DD755B" w14:paraId="68F721EC" w14:textId="77777777">
        <w:trPr>
          <w:trHeight w:val="197"/>
        </w:trPr>
        <w:tc>
          <w:tcPr>
            <w:tcW w:w="7920" w:type="dxa"/>
            <w:gridSpan w:val="5"/>
            <w:vAlign w:val="center"/>
          </w:tcPr>
          <w:p w:rsidR="00DD755B" w:rsidRDefault="00383548" w14:paraId="2B67A48B" w14:textId="77777777">
            <w:pPr>
              <w:spacing w:after="0" w:line="240" w:lineRule="auto"/>
              <w:ind w:left="0" w:firstLine="0"/>
              <w:rPr>
                <w:rFonts w:eastAsia="Calibri"/>
                <w:b/>
                <w:color w:val="auto"/>
              </w:rPr>
            </w:pPr>
            <w:r>
              <w:rPr>
                <w:rFonts w:eastAsia="Calibri"/>
                <w:b/>
                <w:color w:val="auto"/>
              </w:rPr>
              <w:t xml:space="preserve">Sub-Total for Planning Regions  </w:t>
            </w:r>
          </w:p>
        </w:tc>
        <w:tc>
          <w:tcPr>
            <w:tcW w:w="1710" w:type="dxa"/>
            <w:vAlign w:val="center"/>
          </w:tcPr>
          <w:p w:rsidR="00DD755B" w:rsidRDefault="00383548" w14:paraId="42203752" w14:textId="77777777">
            <w:pPr>
              <w:spacing w:after="0" w:line="240" w:lineRule="auto"/>
              <w:ind w:left="0" w:firstLine="0"/>
              <w:jc w:val="right"/>
              <w:rPr>
                <w:rFonts w:eastAsia="Calibri"/>
                <w:b/>
                <w:color w:val="auto"/>
              </w:rPr>
            </w:pPr>
            <w:r>
              <w:rPr>
                <w:rFonts w:eastAsia="Calibri"/>
                <w:b/>
                <w:color w:val="auto"/>
              </w:rPr>
              <w:t>75 hours; $6,000</w:t>
            </w:r>
          </w:p>
        </w:tc>
      </w:tr>
      <w:tr w:rsidR="00DD755B" w14:paraId="24B1A97A" w14:textId="77777777">
        <w:trPr>
          <w:trHeight w:val="197"/>
        </w:trPr>
        <w:tc>
          <w:tcPr>
            <w:tcW w:w="9630" w:type="dxa"/>
            <w:gridSpan w:val="6"/>
            <w:vAlign w:val="center"/>
          </w:tcPr>
          <w:p w:rsidR="00DD755B" w:rsidRDefault="00383548" w14:paraId="6BDD5278" w14:textId="77777777">
            <w:pPr>
              <w:spacing w:after="0" w:line="240" w:lineRule="auto"/>
              <w:ind w:left="0" w:firstLine="0"/>
              <w:jc w:val="center"/>
              <w:rPr>
                <w:rFonts w:eastAsia="Calibri"/>
                <w:b/>
                <w:bCs/>
                <w:color w:val="auto"/>
              </w:rPr>
            </w:pPr>
            <w:r>
              <w:rPr>
                <w:rFonts w:eastAsia="Calibri"/>
                <w:b/>
                <w:bCs/>
                <w:color w:val="auto"/>
              </w:rPr>
              <w:t>FERC-516, eTariff Filings (for Transmission Owners)</w:t>
            </w:r>
          </w:p>
        </w:tc>
      </w:tr>
      <w:tr w:rsidR="00DD755B" w14:paraId="4A8CA711" w14:textId="77777777">
        <w:trPr>
          <w:trHeight w:val="197"/>
        </w:trPr>
        <w:tc>
          <w:tcPr>
            <w:tcW w:w="1620" w:type="dxa"/>
            <w:vAlign w:val="bottom"/>
          </w:tcPr>
          <w:p w:rsidR="00DD755B" w:rsidRDefault="00383548" w14:paraId="4EBF65BE" w14:textId="77777777">
            <w:pPr>
              <w:spacing w:after="0" w:line="240" w:lineRule="auto"/>
              <w:ind w:left="0" w:firstLine="0"/>
              <w:rPr>
                <w:rFonts w:eastAsia="Calibri"/>
                <w:color w:val="auto"/>
              </w:rPr>
            </w:pPr>
            <w:r>
              <w:rPr>
                <w:rFonts w:eastAsia="Calibri"/>
              </w:rPr>
              <w:t>Developers in RTO/ISO regions provide data made available by a transmission planning region that examines economic attributes of projects</w:t>
            </w:r>
          </w:p>
        </w:tc>
        <w:tc>
          <w:tcPr>
            <w:tcW w:w="1440" w:type="dxa"/>
            <w:vAlign w:val="center"/>
          </w:tcPr>
          <w:p w:rsidR="00DD755B" w:rsidRDefault="00383548" w14:paraId="1FAEFB3F" w14:textId="77777777">
            <w:pPr>
              <w:spacing w:after="0" w:line="240" w:lineRule="auto"/>
              <w:ind w:left="0" w:firstLine="0"/>
              <w:jc w:val="right"/>
              <w:rPr>
                <w:rFonts w:eastAsia="Calibri"/>
                <w:color w:val="auto"/>
              </w:rPr>
            </w:pPr>
            <w:r>
              <w:rPr>
                <w:rFonts w:eastAsia="Calibri"/>
              </w:rPr>
              <w:t>10</w:t>
            </w:r>
          </w:p>
        </w:tc>
        <w:tc>
          <w:tcPr>
            <w:tcW w:w="1620" w:type="dxa"/>
            <w:vAlign w:val="center"/>
          </w:tcPr>
          <w:p w:rsidR="00DD755B" w:rsidRDefault="00383548" w14:paraId="16E975D5"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155A2CF8" w14:textId="77777777">
            <w:pPr>
              <w:spacing w:after="0" w:line="240" w:lineRule="auto"/>
              <w:ind w:left="0" w:firstLine="0"/>
              <w:jc w:val="right"/>
              <w:rPr>
                <w:rFonts w:eastAsia="Calibri"/>
                <w:color w:val="auto"/>
                <w:szCs w:val="24"/>
              </w:rPr>
            </w:pPr>
            <w:r>
              <w:rPr>
                <w:rFonts w:eastAsia="Calibri"/>
                <w:szCs w:val="24"/>
              </w:rPr>
              <w:t>10</w:t>
            </w:r>
          </w:p>
        </w:tc>
        <w:tc>
          <w:tcPr>
            <w:tcW w:w="1620" w:type="dxa"/>
            <w:vAlign w:val="center"/>
          </w:tcPr>
          <w:p w:rsidR="00DD755B" w:rsidRDefault="00383548" w14:paraId="3F7BEF99" w14:textId="77777777">
            <w:pPr>
              <w:spacing w:after="0" w:line="240" w:lineRule="auto"/>
              <w:ind w:left="0" w:firstLine="0"/>
              <w:jc w:val="right"/>
              <w:rPr>
                <w:rFonts w:eastAsia="Calibri"/>
                <w:color w:val="auto"/>
                <w:szCs w:val="24"/>
              </w:rPr>
            </w:pPr>
            <w:r>
              <w:rPr>
                <w:rFonts w:eastAsia="Calibri"/>
                <w:szCs w:val="24"/>
              </w:rPr>
              <w:t>40 hours; $3,200</w:t>
            </w:r>
          </w:p>
        </w:tc>
        <w:tc>
          <w:tcPr>
            <w:tcW w:w="1710" w:type="dxa"/>
            <w:vAlign w:val="center"/>
          </w:tcPr>
          <w:p w:rsidR="00DD755B" w:rsidRDefault="00383548" w14:paraId="10A3A1B1" w14:textId="77777777">
            <w:pPr>
              <w:spacing w:after="0" w:line="240" w:lineRule="auto"/>
              <w:ind w:left="0" w:firstLine="0"/>
              <w:jc w:val="right"/>
              <w:rPr>
                <w:rFonts w:eastAsia="Calibri"/>
                <w:color w:val="auto"/>
              </w:rPr>
            </w:pPr>
            <w:r>
              <w:rPr>
                <w:rFonts w:eastAsia="Calibri"/>
                <w:color w:val="auto"/>
              </w:rPr>
              <w:t>400 hours;</w:t>
            </w:r>
          </w:p>
          <w:p w:rsidR="00DD755B" w:rsidRDefault="00383548" w14:paraId="707EC65C" w14:textId="77777777">
            <w:pPr>
              <w:spacing w:after="0" w:line="240" w:lineRule="auto"/>
              <w:ind w:left="0" w:firstLine="0"/>
              <w:jc w:val="right"/>
              <w:rPr>
                <w:rFonts w:eastAsia="Calibri"/>
                <w:color w:val="auto"/>
              </w:rPr>
            </w:pPr>
            <w:r>
              <w:rPr>
                <w:rFonts w:eastAsia="Calibri"/>
                <w:color w:val="auto"/>
              </w:rPr>
              <w:t>$32,000</w:t>
            </w:r>
          </w:p>
        </w:tc>
      </w:tr>
      <w:tr w:rsidR="00DD755B" w14:paraId="500638A6" w14:textId="77777777">
        <w:trPr>
          <w:trHeight w:val="197"/>
        </w:trPr>
        <w:tc>
          <w:tcPr>
            <w:tcW w:w="1620" w:type="dxa"/>
            <w:vAlign w:val="bottom"/>
          </w:tcPr>
          <w:p w:rsidR="00DD755B" w:rsidRDefault="00383548" w14:paraId="10F20388" w14:textId="77777777">
            <w:pPr>
              <w:spacing w:after="0" w:line="240" w:lineRule="auto"/>
              <w:ind w:left="0" w:firstLine="0"/>
              <w:rPr>
                <w:rFonts w:eastAsia="Calibri"/>
                <w:color w:val="auto"/>
              </w:rPr>
            </w:pPr>
            <w:r>
              <w:rPr>
                <w:rFonts w:eastAsia="Calibri"/>
              </w:rPr>
              <w:t>Developers in non-RTO/ISO regions submit showings of proposed transmission projects’ economic merits by using eco</w:t>
            </w:r>
            <w:r>
              <w:rPr>
                <w:rFonts w:eastAsia="Calibri"/>
              </w:rPr>
              <w:lastRenderedPageBreak/>
              <w:t>nomic modeling within transmission planning regions; or provide showings of economic benefits as determined by third party experts</w:t>
            </w:r>
          </w:p>
        </w:tc>
        <w:tc>
          <w:tcPr>
            <w:tcW w:w="1440" w:type="dxa"/>
            <w:vAlign w:val="center"/>
          </w:tcPr>
          <w:p w:rsidR="00DD755B" w:rsidRDefault="00383548" w14:paraId="2F7E2F68" w14:textId="77777777">
            <w:pPr>
              <w:spacing w:after="0" w:line="240" w:lineRule="auto"/>
              <w:ind w:left="0" w:firstLine="0"/>
              <w:jc w:val="right"/>
              <w:rPr>
                <w:rFonts w:eastAsia="Calibri"/>
                <w:color w:val="auto"/>
              </w:rPr>
            </w:pPr>
            <w:r>
              <w:rPr>
                <w:rFonts w:eastAsia="Calibri"/>
              </w:rPr>
              <w:lastRenderedPageBreak/>
              <w:t>5</w:t>
            </w:r>
          </w:p>
        </w:tc>
        <w:tc>
          <w:tcPr>
            <w:tcW w:w="1620" w:type="dxa"/>
            <w:vAlign w:val="center"/>
          </w:tcPr>
          <w:p w:rsidR="00DD755B" w:rsidRDefault="00383548" w14:paraId="16ED68B3"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2CD64C2F" w14:textId="77777777">
            <w:pPr>
              <w:spacing w:after="0" w:line="240" w:lineRule="auto"/>
              <w:ind w:left="0" w:firstLine="0"/>
              <w:jc w:val="right"/>
              <w:rPr>
                <w:rFonts w:eastAsia="Calibri"/>
                <w:color w:val="auto"/>
                <w:szCs w:val="24"/>
              </w:rPr>
            </w:pPr>
            <w:r>
              <w:rPr>
                <w:rFonts w:eastAsia="Calibri"/>
                <w:szCs w:val="24"/>
              </w:rPr>
              <w:t>5</w:t>
            </w:r>
          </w:p>
        </w:tc>
        <w:tc>
          <w:tcPr>
            <w:tcW w:w="1620" w:type="dxa"/>
            <w:vAlign w:val="center"/>
          </w:tcPr>
          <w:p w:rsidR="00DD755B" w:rsidRDefault="00383548" w14:paraId="3435608C" w14:textId="77777777">
            <w:pPr>
              <w:spacing w:after="0" w:line="240" w:lineRule="auto"/>
              <w:ind w:left="0" w:firstLine="0"/>
              <w:jc w:val="right"/>
              <w:rPr>
                <w:rFonts w:eastAsia="Calibri"/>
                <w:color w:val="auto"/>
                <w:szCs w:val="24"/>
              </w:rPr>
            </w:pPr>
            <w:r>
              <w:rPr>
                <w:rFonts w:eastAsia="Calibri"/>
                <w:szCs w:val="24"/>
              </w:rPr>
              <w:t>480 hours; $38,400</w:t>
            </w:r>
          </w:p>
        </w:tc>
        <w:tc>
          <w:tcPr>
            <w:tcW w:w="1710" w:type="dxa"/>
            <w:vAlign w:val="center"/>
          </w:tcPr>
          <w:p w:rsidR="00DD755B" w:rsidRDefault="00383548" w14:paraId="7EC59A8B" w14:textId="77777777">
            <w:pPr>
              <w:spacing w:after="0" w:line="240" w:lineRule="auto"/>
              <w:ind w:left="0" w:firstLine="0"/>
              <w:jc w:val="right"/>
              <w:rPr>
                <w:rFonts w:eastAsia="Calibri"/>
                <w:color w:val="auto"/>
              </w:rPr>
            </w:pPr>
            <w:r>
              <w:rPr>
                <w:rFonts w:eastAsia="Calibri"/>
                <w:color w:val="auto"/>
              </w:rPr>
              <w:t>2,400 hours;</w:t>
            </w:r>
          </w:p>
          <w:p w:rsidR="00DD755B" w:rsidRDefault="00383548" w14:paraId="7DC6D5D5" w14:textId="77777777">
            <w:pPr>
              <w:spacing w:after="0" w:line="240" w:lineRule="auto"/>
              <w:ind w:left="0" w:firstLine="0"/>
              <w:jc w:val="right"/>
              <w:rPr>
                <w:rFonts w:eastAsia="Calibri"/>
                <w:color w:val="auto"/>
              </w:rPr>
            </w:pPr>
            <w:r>
              <w:rPr>
                <w:rFonts w:eastAsia="Calibri"/>
                <w:color w:val="auto"/>
              </w:rPr>
              <w:t>$192,000</w:t>
            </w:r>
          </w:p>
        </w:tc>
      </w:tr>
      <w:tr w:rsidR="00DD755B" w14:paraId="2CD39721" w14:textId="77777777">
        <w:trPr>
          <w:trHeight w:val="197"/>
        </w:trPr>
        <w:tc>
          <w:tcPr>
            <w:tcW w:w="1620" w:type="dxa"/>
            <w:vAlign w:val="bottom"/>
          </w:tcPr>
          <w:p w:rsidR="00DD755B" w:rsidRDefault="00383548" w14:paraId="19B82447" w14:textId="77777777">
            <w:pPr>
              <w:spacing w:after="0" w:line="240" w:lineRule="auto"/>
              <w:ind w:left="0" w:firstLine="0"/>
              <w:rPr>
                <w:rFonts w:eastAsia="Calibri"/>
              </w:rPr>
            </w:pPr>
            <w:r>
              <w:rPr>
                <w:rFonts w:eastAsia="Calibri"/>
              </w:rPr>
              <w:t>Demonstration that project met or came in under the project costs for additional incentive</w:t>
            </w:r>
          </w:p>
        </w:tc>
        <w:tc>
          <w:tcPr>
            <w:tcW w:w="1440" w:type="dxa"/>
            <w:vAlign w:val="center"/>
          </w:tcPr>
          <w:p w:rsidR="00DD755B" w:rsidRDefault="00383548" w14:paraId="485487D1" w14:textId="77777777">
            <w:pPr>
              <w:spacing w:after="0" w:line="240" w:lineRule="auto"/>
              <w:ind w:left="0" w:firstLine="0"/>
              <w:jc w:val="right"/>
              <w:rPr>
                <w:rFonts w:eastAsia="Calibri"/>
              </w:rPr>
            </w:pPr>
            <w:r>
              <w:rPr>
                <w:rFonts w:eastAsia="Calibri"/>
              </w:rPr>
              <w:t>5</w:t>
            </w:r>
          </w:p>
        </w:tc>
        <w:tc>
          <w:tcPr>
            <w:tcW w:w="1620" w:type="dxa"/>
            <w:vAlign w:val="center"/>
          </w:tcPr>
          <w:p w:rsidR="00DD755B" w:rsidRDefault="00383548" w14:paraId="6DEB3676"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73954F64" w14:textId="77777777">
            <w:pPr>
              <w:spacing w:after="0" w:line="240" w:lineRule="auto"/>
              <w:ind w:left="0" w:firstLine="0"/>
              <w:jc w:val="right"/>
              <w:rPr>
                <w:rFonts w:eastAsia="Calibri"/>
                <w:color w:val="auto"/>
                <w:szCs w:val="24"/>
              </w:rPr>
            </w:pPr>
            <w:r>
              <w:rPr>
                <w:rFonts w:eastAsia="Calibri"/>
                <w:szCs w:val="24"/>
              </w:rPr>
              <w:t>5</w:t>
            </w:r>
          </w:p>
        </w:tc>
        <w:tc>
          <w:tcPr>
            <w:tcW w:w="1620" w:type="dxa"/>
            <w:vAlign w:val="center"/>
          </w:tcPr>
          <w:p w:rsidR="00DD755B" w:rsidRDefault="00383548" w14:paraId="4213995A" w14:textId="77777777">
            <w:pPr>
              <w:spacing w:after="0" w:line="240" w:lineRule="auto"/>
              <w:ind w:left="0" w:firstLine="0"/>
              <w:jc w:val="right"/>
              <w:rPr>
                <w:rFonts w:eastAsia="Calibri"/>
                <w:color w:val="auto"/>
                <w:szCs w:val="24"/>
              </w:rPr>
            </w:pPr>
            <w:r>
              <w:rPr>
                <w:rFonts w:eastAsia="Calibri"/>
                <w:szCs w:val="24"/>
              </w:rPr>
              <w:t>120 hours; $9,600</w:t>
            </w:r>
          </w:p>
        </w:tc>
        <w:tc>
          <w:tcPr>
            <w:tcW w:w="1710" w:type="dxa"/>
            <w:vAlign w:val="center"/>
          </w:tcPr>
          <w:p w:rsidR="00DD755B" w:rsidRDefault="00383548" w14:paraId="04EEEC70" w14:textId="77777777">
            <w:pPr>
              <w:spacing w:after="0" w:line="240" w:lineRule="auto"/>
              <w:ind w:left="0" w:firstLine="0"/>
              <w:jc w:val="right"/>
              <w:rPr>
                <w:rFonts w:eastAsia="Calibri"/>
                <w:color w:val="auto"/>
              </w:rPr>
            </w:pPr>
            <w:r>
              <w:rPr>
                <w:rFonts w:eastAsia="Calibri"/>
                <w:color w:val="auto"/>
              </w:rPr>
              <w:t>600 hours;</w:t>
            </w:r>
          </w:p>
          <w:p w:rsidR="00DD755B" w:rsidRDefault="00383548" w14:paraId="5CF136E3" w14:textId="77777777">
            <w:pPr>
              <w:spacing w:after="0" w:line="240" w:lineRule="auto"/>
              <w:ind w:left="0" w:firstLine="0"/>
              <w:jc w:val="right"/>
              <w:rPr>
                <w:rFonts w:eastAsia="Calibri"/>
                <w:color w:val="auto"/>
              </w:rPr>
            </w:pPr>
            <w:r>
              <w:rPr>
                <w:rFonts w:eastAsia="Calibri"/>
                <w:color w:val="auto"/>
              </w:rPr>
              <w:t>$48,000</w:t>
            </w:r>
          </w:p>
        </w:tc>
      </w:tr>
      <w:tr w:rsidR="00DD755B" w14:paraId="4AF51D1A" w14:textId="77777777">
        <w:trPr>
          <w:trHeight w:val="197"/>
        </w:trPr>
        <w:tc>
          <w:tcPr>
            <w:tcW w:w="1620" w:type="dxa"/>
            <w:vAlign w:val="bottom"/>
          </w:tcPr>
          <w:p w:rsidR="00DD755B" w:rsidRDefault="00383548" w14:paraId="4C599FB5" w14:textId="77777777">
            <w:pPr>
              <w:spacing w:after="0" w:line="240" w:lineRule="auto"/>
              <w:ind w:left="0" w:firstLine="0"/>
              <w:rPr>
                <w:rFonts w:eastAsia="Calibri"/>
              </w:rPr>
            </w:pPr>
            <w:r>
              <w:rPr>
                <w:rFonts w:eastAsia="Calibri"/>
              </w:rPr>
              <w:t>Demonstration of reliability benefits</w:t>
            </w:r>
          </w:p>
        </w:tc>
        <w:tc>
          <w:tcPr>
            <w:tcW w:w="1440" w:type="dxa"/>
            <w:vAlign w:val="center"/>
          </w:tcPr>
          <w:p w:rsidR="00DD755B" w:rsidRDefault="00383548" w14:paraId="2550D0FA" w14:textId="77777777">
            <w:pPr>
              <w:spacing w:after="0" w:line="240" w:lineRule="auto"/>
              <w:ind w:left="0" w:firstLine="0"/>
              <w:jc w:val="right"/>
              <w:rPr>
                <w:rFonts w:eastAsia="Calibri"/>
              </w:rPr>
            </w:pPr>
            <w:r>
              <w:rPr>
                <w:rFonts w:eastAsia="Calibri"/>
              </w:rPr>
              <w:t>10</w:t>
            </w:r>
          </w:p>
        </w:tc>
        <w:tc>
          <w:tcPr>
            <w:tcW w:w="1620" w:type="dxa"/>
            <w:vAlign w:val="center"/>
          </w:tcPr>
          <w:p w:rsidR="00DD755B" w:rsidRDefault="00383548" w14:paraId="286DC1B7"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15AD5A7B" w14:textId="77777777">
            <w:pPr>
              <w:spacing w:after="0" w:line="240" w:lineRule="auto"/>
              <w:ind w:left="0" w:firstLine="0"/>
              <w:jc w:val="right"/>
              <w:rPr>
                <w:rFonts w:eastAsia="Calibri"/>
                <w:color w:val="auto"/>
                <w:szCs w:val="24"/>
              </w:rPr>
            </w:pPr>
            <w:r>
              <w:rPr>
                <w:rFonts w:eastAsia="Calibri"/>
                <w:szCs w:val="24"/>
              </w:rPr>
              <w:t>10</w:t>
            </w:r>
          </w:p>
        </w:tc>
        <w:tc>
          <w:tcPr>
            <w:tcW w:w="1620" w:type="dxa"/>
            <w:vAlign w:val="center"/>
          </w:tcPr>
          <w:p w:rsidR="00DD755B" w:rsidRDefault="00383548" w14:paraId="3674E1B9" w14:textId="77777777">
            <w:pPr>
              <w:spacing w:after="0" w:line="240" w:lineRule="auto"/>
              <w:ind w:left="0" w:firstLine="0"/>
              <w:jc w:val="right"/>
              <w:rPr>
                <w:rFonts w:eastAsia="Calibri"/>
                <w:color w:val="auto"/>
                <w:szCs w:val="24"/>
              </w:rPr>
            </w:pPr>
            <w:r>
              <w:rPr>
                <w:rFonts w:eastAsia="Calibri"/>
                <w:szCs w:val="24"/>
              </w:rPr>
              <w:t>360 hours; $28,800</w:t>
            </w:r>
          </w:p>
        </w:tc>
        <w:tc>
          <w:tcPr>
            <w:tcW w:w="1710" w:type="dxa"/>
            <w:vAlign w:val="center"/>
          </w:tcPr>
          <w:p w:rsidR="00DD755B" w:rsidRDefault="00383548" w14:paraId="3D044329" w14:textId="77777777">
            <w:pPr>
              <w:spacing w:after="0" w:line="240" w:lineRule="auto"/>
              <w:ind w:left="0" w:firstLine="0"/>
              <w:jc w:val="right"/>
              <w:rPr>
                <w:rFonts w:eastAsia="Calibri"/>
                <w:color w:val="auto"/>
              </w:rPr>
            </w:pPr>
            <w:r>
              <w:rPr>
                <w:rFonts w:eastAsia="Calibri"/>
                <w:color w:val="auto"/>
              </w:rPr>
              <w:t>3,600 hours;</w:t>
            </w:r>
          </w:p>
          <w:p w:rsidR="00DD755B" w:rsidRDefault="00383548" w14:paraId="67914446" w14:textId="77777777">
            <w:pPr>
              <w:spacing w:after="0" w:line="240" w:lineRule="auto"/>
              <w:ind w:left="0" w:firstLine="0"/>
              <w:jc w:val="right"/>
              <w:rPr>
                <w:rFonts w:eastAsia="Calibri"/>
                <w:color w:val="auto"/>
              </w:rPr>
            </w:pPr>
            <w:r>
              <w:rPr>
                <w:rFonts w:eastAsia="Calibri"/>
                <w:color w:val="auto"/>
              </w:rPr>
              <w:t>$288,000</w:t>
            </w:r>
          </w:p>
        </w:tc>
      </w:tr>
      <w:tr w:rsidR="00DD755B" w14:paraId="4003B6B4" w14:textId="77777777">
        <w:trPr>
          <w:trHeight w:val="197"/>
        </w:trPr>
        <w:tc>
          <w:tcPr>
            <w:tcW w:w="1620" w:type="dxa"/>
            <w:vAlign w:val="bottom"/>
          </w:tcPr>
          <w:p w:rsidR="00DD755B" w:rsidRDefault="00383548" w14:paraId="386A48F6" w14:textId="77777777">
            <w:pPr>
              <w:spacing w:after="0" w:line="240" w:lineRule="auto"/>
              <w:ind w:left="0" w:firstLine="0"/>
              <w:rPr>
                <w:rFonts w:eastAsia="Calibri"/>
              </w:rPr>
            </w:pPr>
            <w:r>
              <w:rPr>
                <w:rFonts w:eastAsia="Calibri"/>
              </w:rPr>
              <w:t>Demonstration for transmission technology incentive requests</w:t>
            </w:r>
          </w:p>
        </w:tc>
        <w:tc>
          <w:tcPr>
            <w:tcW w:w="1440" w:type="dxa"/>
            <w:vAlign w:val="center"/>
          </w:tcPr>
          <w:p w:rsidR="00DD755B" w:rsidRDefault="00383548" w14:paraId="607DC907" w14:textId="77777777">
            <w:pPr>
              <w:spacing w:after="0" w:line="240" w:lineRule="auto"/>
              <w:ind w:left="0" w:firstLine="0"/>
              <w:jc w:val="right"/>
              <w:rPr>
                <w:rFonts w:eastAsia="Calibri"/>
              </w:rPr>
            </w:pPr>
            <w:r>
              <w:rPr>
                <w:rFonts w:eastAsia="Calibri"/>
              </w:rPr>
              <w:t>15</w:t>
            </w:r>
          </w:p>
        </w:tc>
        <w:tc>
          <w:tcPr>
            <w:tcW w:w="1620" w:type="dxa"/>
            <w:vAlign w:val="center"/>
          </w:tcPr>
          <w:p w:rsidR="00DD755B" w:rsidRDefault="00383548" w14:paraId="5495EC35"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16937EDB" w14:textId="77777777">
            <w:pPr>
              <w:spacing w:after="0" w:line="240" w:lineRule="auto"/>
              <w:ind w:left="0" w:firstLine="0"/>
              <w:jc w:val="right"/>
              <w:rPr>
                <w:rFonts w:eastAsia="Calibri"/>
                <w:color w:val="auto"/>
                <w:szCs w:val="24"/>
              </w:rPr>
            </w:pPr>
            <w:r>
              <w:rPr>
                <w:rFonts w:eastAsia="Calibri"/>
                <w:szCs w:val="24"/>
              </w:rPr>
              <w:t>15</w:t>
            </w:r>
          </w:p>
        </w:tc>
        <w:tc>
          <w:tcPr>
            <w:tcW w:w="1620" w:type="dxa"/>
            <w:vAlign w:val="center"/>
          </w:tcPr>
          <w:p w:rsidR="00DD755B" w:rsidRDefault="00383548" w14:paraId="3376439E" w14:textId="77777777">
            <w:pPr>
              <w:spacing w:after="0" w:line="240" w:lineRule="auto"/>
              <w:ind w:left="0" w:firstLine="0"/>
              <w:jc w:val="right"/>
              <w:rPr>
                <w:rFonts w:eastAsia="Calibri"/>
                <w:color w:val="auto"/>
                <w:szCs w:val="24"/>
              </w:rPr>
            </w:pPr>
            <w:r>
              <w:rPr>
                <w:rFonts w:eastAsia="Calibri"/>
                <w:szCs w:val="24"/>
              </w:rPr>
              <w:t>40 hours; $3,200</w:t>
            </w:r>
          </w:p>
        </w:tc>
        <w:tc>
          <w:tcPr>
            <w:tcW w:w="1710" w:type="dxa"/>
            <w:vAlign w:val="center"/>
          </w:tcPr>
          <w:p w:rsidR="00DD755B" w:rsidRDefault="00383548" w14:paraId="5B0CD6BE" w14:textId="77777777">
            <w:pPr>
              <w:spacing w:after="0" w:line="240" w:lineRule="auto"/>
              <w:ind w:left="0" w:firstLine="0"/>
              <w:jc w:val="right"/>
              <w:rPr>
                <w:rFonts w:eastAsia="Calibri"/>
                <w:color w:val="auto"/>
              </w:rPr>
            </w:pPr>
            <w:r>
              <w:rPr>
                <w:rFonts w:eastAsia="Calibri"/>
                <w:color w:val="auto"/>
              </w:rPr>
              <w:t>600 hours;</w:t>
            </w:r>
          </w:p>
          <w:p w:rsidR="00DD755B" w:rsidRDefault="00383548" w14:paraId="169728C4" w14:textId="77777777">
            <w:pPr>
              <w:spacing w:after="0" w:line="240" w:lineRule="auto"/>
              <w:ind w:left="0" w:firstLine="0"/>
              <w:jc w:val="right"/>
              <w:rPr>
                <w:rFonts w:eastAsia="Calibri"/>
                <w:color w:val="auto"/>
              </w:rPr>
            </w:pPr>
            <w:r>
              <w:rPr>
                <w:rFonts w:eastAsia="Calibri"/>
                <w:color w:val="auto"/>
              </w:rPr>
              <w:t>$48,000</w:t>
            </w:r>
          </w:p>
        </w:tc>
      </w:tr>
      <w:tr w:rsidR="00DD755B" w14:paraId="2E7A0C8A" w14:textId="77777777">
        <w:trPr>
          <w:trHeight w:val="197"/>
        </w:trPr>
        <w:tc>
          <w:tcPr>
            <w:tcW w:w="1620" w:type="dxa"/>
            <w:vAlign w:val="bottom"/>
          </w:tcPr>
          <w:p w:rsidR="00DD755B" w:rsidRDefault="00383548" w14:paraId="6984E683" w14:textId="77777777">
            <w:pPr>
              <w:spacing w:after="0" w:line="240" w:lineRule="auto"/>
              <w:ind w:left="0" w:firstLine="0"/>
              <w:rPr>
                <w:rFonts w:eastAsia="Calibri"/>
              </w:rPr>
            </w:pPr>
            <w:r>
              <w:rPr>
                <w:rFonts w:eastAsia="Calibri"/>
              </w:rPr>
              <w:t>Annual report on progress, obstacles, lessons learned, and quantifiable data for transmission technology deployment</w:t>
            </w:r>
          </w:p>
        </w:tc>
        <w:tc>
          <w:tcPr>
            <w:tcW w:w="1440" w:type="dxa"/>
            <w:vAlign w:val="center"/>
          </w:tcPr>
          <w:p w:rsidR="00DD755B" w:rsidRDefault="00383548" w14:paraId="2A8C289A" w14:textId="77777777">
            <w:pPr>
              <w:spacing w:after="0" w:line="240" w:lineRule="auto"/>
              <w:ind w:left="0" w:firstLine="0"/>
              <w:jc w:val="right"/>
              <w:rPr>
                <w:rFonts w:eastAsia="Calibri"/>
              </w:rPr>
            </w:pPr>
            <w:r>
              <w:rPr>
                <w:rFonts w:eastAsia="Calibri"/>
              </w:rPr>
              <w:t>15</w:t>
            </w:r>
          </w:p>
        </w:tc>
        <w:tc>
          <w:tcPr>
            <w:tcW w:w="1620" w:type="dxa"/>
            <w:vAlign w:val="center"/>
          </w:tcPr>
          <w:p w:rsidR="00DD755B" w:rsidRDefault="00383548" w14:paraId="5DFE5CD5" w14:textId="77777777">
            <w:pPr>
              <w:spacing w:after="0" w:line="240" w:lineRule="auto"/>
              <w:ind w:left="0" w:firstLine="0"/>
              <w:jc w:val="right"/>
              <w:rPr>
                <w:rFonts w:eastAsia="Calibri"/>
                <w:color w:val="auto"/>
              </w:rPr>
            </w:pPr>
            <w:r>
              <w:rPr>
                <w:rFonts w:eastAsia="Calibri"/>
                <w:color w:val="auto"/>
              </w:rPr>
              <w:t>1</w:t>
            </w:r>
          </w:p>
        </w:tc>
        <w:tc>
          <w:tcPr>
            <w:tcW w:w="1620" w:type="dxa"/>
            <w:vAlign w:val="center"/>
          </w:tcPr>
          <w:p w:rsidR="00DD755B" w:rsidRDefault="00383548" w14:paraId="023C3CC3" w14:textId="77777777">
            <w:pPr>
              <w:spacing w:after="0" w:line="240" w:lineRule="auto"/>
              <w:ind w:left="0" w:firstLine="0"/>
              <w:jc w:val="right"/>
              <w:rPr>
                <w:rFonts w:eastAsia="Calibri"/>
                <w:color w:val="auto"/>
                <w:szCs w:val="24"/>
              </w:rPr>
            </w:pPr>
            <w:r>
              <w:rPr>
                <w:rFonts w:eastAsia="Calibri"/>
                <w:szCs w:val="24"/>
              </w:rPr>
              <w:t>15</w:t>
            </w:r>
          </w:p>
        </w:tc>
        <w:tc>
          <w:tcPr>
            <w:tcW w:w="1620" w:type="dxa"/>
            <w:vAlign w:val="center"/>
          </w:tcPr>
          <w:p w:rsidR="00DD755B" w:rsidRDefault="00383548" w14:paraId="5BF3AF19" w14:textId="77777777">
            <w:pPr>
              <w:spacing w:after="0" w:line="240" w:lineRule="auto"/>
              <w:ind w:left="0" w:firstLine="0"/>
              <w:jc w:val="right"/>
              <w:rPr>
                <w:rFonts w:eastAsia="Calibri"/>
                <w:color w:val="auto"/>
                <w:szCs w:val="24"/>
              </w:rPr>
            </w:pPr>
            <w:r>
              <w:rPr>
                <w:rFonts w:eastAsia="Calibri"/>
                <w:szCs w:val="24"/>
              </w:rPr>
              <w:t>400 hours; $32,000</w:t>
            </w:r>
          </w:p>
        </w:tc>
        <w:tc>
          <w:tcPr>
            <w:tcW w:w="1710" w:type="dxa"/>
            <w:vAlign w:val="center"/>
          </w:tcPr>
          <w:p w:rsidR="00DD755B" w:rsidRDefault="00383548" w14:paraId="2E913D02" w14:textId="77777777">
            <w:pPr>
              <w:spacing w:after="0" w:line="240" w:lineRule="auto"/>
              <w:ind w:left="0" w:firstLine="0"/>
              <w:jc w:val="right"/>
              <w:rPr>
                <w:rFonts w:eastAsia="Calibri"/>
                <w:color w:val="auto"/>
              </w:rPr>
            </w:pPr>
            <w:r>
              <w:rPr>
                <w:rFonts w:eastAsia="Calibri"/>
                <w:color w:val="auto"/>
              </w:rPr>
              <w:t>6,000 hours;</w:t>
            </w:r>
          </w:p>
          <w:p w:rsidR="00DD755B" w:rsidRDefault="00383548" w14:paraId="14DE47ED" w14:textId="77777777">
            <w:pPr>
              <w:spacing w:after="0" w:line="240" w:lineRule="auto"/>
              <w:ind w:left="0" w:firstLine="0"/>
              <w:jc w:val="right"/>
              <w:rPr>
                <w:rFonts w:eastAsia="Calibri"/>
                <w:color w:val="auto"/>
              </w:rPr>
            </w:pPr>
            <w:r>
              <w:rPr>
                <w:rFonts w:eastAsia="Calibri"/>
                <w:color w:val="auto"/>
              </w:rPr>
              <w:t>$480,000</w:t>
            </w:r>
          </w:p>
        </w:tc>
      </w:tr>
      <w:tr w:rsidR="00DD755B" w14:paraId="4A60CB70" w14:textId="77777777">
        <w:trPr>
          <w:trHeight w:val="197"/>
        </w:trPr>
        <w:tc>
          <w:tcPr>
            <w:tcW w:w="7920" w:type="dxa"/>
            <w:gridSpan w:val="5"/>
            <w:vAlign w:val="center"/>
          </w:tcPr>
          <w:p w:rsidR="00DD755B" w:rsidRDefault="00383548" w14:paraId="1B3FE1E0" w14:textId="77777777">
            <w:pPr>
              <w:spacing w:after="0" w:line="240" w:lineRule="auto"/>
              <w:ind w:left="0" w:firstLine="0"/>
              <w:rPr>
                <w:rFonts w:eastAsia="Calibri"/>
                <w:b/>
                <w:color w:val="auto"/>
              </w:rPr>
            </w:pPr>
            <w:r>
              <w:rPr>
                <w:rFonts w:eastAsia="Calibri"/>
                <w:b/>
                <w:color w:val="auto"/>
              </w:rPr>
              <w:t>Sub-Total for Transmission Owners</w:t>
            </w:r>
          </w:p>
        </w:tc>
        <w:tc>
          <w:tcPr>
            <w:tcW w:w="1710" w:type="dxa"/>
            <w:vAlign w:val="center"/>
          </w:tcPr>
          <w:p w:rsidR="00DD755B" w:rsidRDefault="00383548" w14:paraId="7CC91CBF" w14:textId="77777777">
            <w:pPr>
              <w:spacing w:after="0" w:line="240" w:lineRule="auto"/>
              <w:ind w:left="0" w:firstLine="0"/>
              <w:jc w:val="right"/>
              <w:rPr>
                <w:rFonts w:eastAsia="Calibri"/>
                <w:b/>
                <w:color w:val="auto"/>
              </w:rPr>
            </w:pPr>
            <w:r>
              <w:rPr>
                <w:rFonts w:eastAsia="Calibri"/>
                <w:b/>
                <w:color w:val="auto"/>
              </w:rPr>
              <w:t xml:space="preserve">13,600 hours; $1,088,000   </w:t>
            </w:r>
          </w:p>
        </w:tc>
      </w:tr>
      <w:tr w:rsidR="00DD755B" w14:paraId="3241F709" w14:textId="77777777">
        <w:trPr>
          <w:trHeight w:val="197"/>
        </w:trPr>
        <w:tc>
          <w:tcPr>
            <w:tcW w:w="7920" w:type="dxa"/>
            <w:gridSpan w:val="5"/>
            <w:vAlign w:val="center"/>
          </w:tcPr>
          <w:p w:rsidR="00DD755B" w:rsidRDefault="00383548" w14:paraId="7E6971DB" w14:textId="77777777">
            <w:pPr>
              <w:spacing w:after="0" w:line="240" w:lineRule="auto"/>
              <w:ind w:left="0" w:firstLine="0"/>
              <w:rPr>
                <w:rFonts w:eastAsia="Calibri"/>
                <w:b/>
                <w:color w:val="auto"/>
              </w:rPr>
            </w:pPr>
            <w:r>
              <w:rPr>
                <w:rFonts w:eastAsia="Calibri"/>
                <w:b/>
                <w:color w:val="auto"/>
              </w:rPr>
              <w:t>Total Proposed Changes for eTariff Filings (FERC-516)</w:t>
            </w:r>
          </w:p>
        </w:tc>
        <w:tc>
          <w:tcPr>
            <w:tcW w:w="1710" w:type="dxa"/>
            <w:vAlign w:val="center"/>
          </w:tcPr>
          <w:p w:rsidR="00DD755B" w:rsidRDefault="00383548" w14:paraId="2E41ED86" w14:textId="77777777">
            <w:pPr>
              <w:spacing w:after="0" w:line="240" w:lineRule="auto"/>
              <w:ind w:left="0" w:firstLine="0"/>
              <w:jc w:val="right"/>
              <w:rPr>
                <w:rFonts w:eastAsia="Calibri"/>
                <w:b/>
                <w:color w:val="auto"/>
              </w:rPr>
            </w:pPr>
            <w:r>
              <w:rPr>
                <w:rFonts w:eastAsia="Calibri"/>
                <w:b/>
                <w:color w:val="auto"/>
              </w:rPr>
              <w:t xml:space="preserve">13,675 hours; $1,094,000  </w:t>
            </w:r>
          </w:p>
        </w:tc>
      </w:tr>
      <w:tr w:rsidR="00DD755B" w14:paraId="7BF1A55A" w14:textId="77777777">
        <w:trPr>
          <w:trHeight w:val="197"/>
        </w:trPr>
        <w:tc>
          <w:tcPr>
            <w:tcW w:w="9630" w:type="dxa"/>
            <w:gridSpan w:val="6"/>
            <w:vAlign w:val="center"/>
          </w:tcPr>
          <w:p w:rsidR="00DD755B" w:rsidRDefault="00383548" w14:paraId="27AEE771" w14:textId="77777777">
            <w:pPr>
              <w:spacing w:after="0" w:line="240" w:lineRule="auto"/>
              <w:ind w:left="0" w:firstLine="0"/>
              <w:jc w:val="center"/>
              <w:rPr>
                <w:rFonts w:eastAsia="Calibri"/>
                <w:b/>
                <w:bCs/>
                <w:color w:val="auto"/>
              </w:rPr>
            </w:pPr>
            <w:r>
              <w:rPr>
                <w:rFonts w:eastAsia="Calibri"/>
                <w:b/>
                <w:bCs/>
                <w:color w:val="auto"/>
              </w:rPr>
              <w:t>Form 730</w:t>
            </w:r>
          </w:p>
        </w:tc>
      </w:tr>
    </w:tbl>
    <w:tbl>
      <w:tblPr>
        <w:tblW w:w="1089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1260"/>
        <w:gridCol w:w="1530"/>
        <w:gridCol w:w="1620"/>
        <w:gridCol w:w="1530"/>
        <w:gridCol w:w="2160"/>
      </w:tblGrid>
      <w:tr w:rsidR="00DD755B" w:rsidTr="00F417B0" w14:paraId="28A266F6" w14:textId="77777777">
        <w:tc>
          <w:tcPr>
            <w:tcW w:w="2790" w:type="dxa"/>
            <w:shd w:val="clear" w:color="auto" w:fill="auto"/>
            <w:vAlign w:val="center"/>
            <w:hideMark/>
          </w:tcPr>
          <w:p w:rsidR="00DD755B" w:rsidRDefault="00383548" w14:paraId="00615C98" w14:textId="77777777">
            <w:pPr>
              <w:spacing w:after="160" w:line="259" w:lineRule="auto"/>
              <w:ind w:left="0" w:firstLine="0"/>
              <w:rPr>
                <w:szCs w:val="26"/>
              </w:rPr>
            </w:pPr>
            <w:r>
              <w:rPr>
                <w:szCs w:val="26"/>
              </w:rPr>
              <w:lastRenderedPageBreak/>
              <w:t>Additional reporting requirements for current filers of FERC Form 730</w:t>
            </w:r>
          </w:p>
        </w:tc>
        <w:tc>
          <w:tcPr>
            <w:tcW w:w="1260" w:type="dxa"/>
            <w:shd w:val="clear" w:color="auto" w:fill="auto"/>
            <w:vAlign w:val="center"/>
            <w:hideMark/>
          </w:tcPr>
          <w:p w:rsidR="00DD755B" w:rsidRDefault="00383548" w14:paraId="3229E01A" w14:textId="77777777">
            <w:pPr>
              <w:spacing w:after="160" w:line="259" w:lineRule="auto"/>
              <w:ind w:left="0" w:firstLine="0"/>
              <w:jc w:val="right"/>
              <w:rPr>
                <w:szCs w:val="26"/>
              </w:rPr>
            </w:pPr>
            <w:r>
              <w:rPr>
                <w:szCs w:val="26"/>
              </w:rPr>
              <w:t>63</w:t>
            </w:r>
          </w:p>
        </w:tc>
        <w:tc>
          <w:tcPr>
            <w:tcW w:w="1530" w:type="dxa"/>
            <w:vAlign w:val="center"/>
          </w:tcPr>
          <w:p w:rsidR="00DD755B" w:rsidRDefault="00383548" w14:paraId="0B8717B9" w14:textId="77777777">
            <w:pPr>
              <w:spacing w:after="160" w:line="259" w:lineRule="auto"/>
              <w:ind w:left="0" w:firstLine="0"/>
              <w:jc w:val="right"/>
              <w:rPr>
                <w:szCs w:val="26"/>
              </w:rPr>
            </w:pPr>
            <w:r>
              <w:rPr>
                <w:szCs w:val="26"/>
              </w:rPr>
              <w:t>1</w:t>
            </w:r>
          </w:p>
        </w:tc>
        <w:tc>
          <w:tcPr>
            <w:tcW w:w="1620" w:type="dxa"/>
            <w:shd w:val="clear" w:color="auto" w:fill="auto"/>
            <w:vAlign w:val="center"/>
            <w:hideMark/>
          </w:tcPr>
          <w:p w:rsidR="00DD755B" w:rsidRDefault="00383548" w14:paraId="58A5C0A3" w14:textId="77777777">
            <w:pPr>
              <w:spacing w:after="160" w:line="259" w:lineRule="auto"/>
              <w:ind w:left="0" w:firstLine="0"/>
              <w:jc w:val="right"/>
              <w:rPr>
                <w:szCs w:val="26"/>
              </w:rPr>
            </w:pPr>
            <w:r>
              <w:rPr>
                <w:szCs w:val="26"/>
              </w:rPr>
              <w:t>63</w:t>
            </w:r>
          </w:p>
        </w:tc>
        <w:tc>
          <w:tcPr>
            <w:tcW w:w="1530" w:type="dxa"/>
            <w:shd w:val="clear" w:color="auto" w:fill="auto"/>
            <w:vAlign w:val="center"/>
            <w:hideMark/>
          </w:tcPr>
          <w:p w:rsidR="00DD755B" w:rsidRDefault="00383548" w14:paraId="69DC2267" w14:textId="77777777">
            <w:pPr>
              <w:spacing w:after="160" w:line="259" w:lineRule="auto"/>
              <w:ind w:left="0" w:firstLine="0"/>
              <w:jc w:val="right"/>
              <w:rPr>
                <w:szCs w:val="26"/>
              </w:rPr>
            </w:pPr>
            <w:r>
              <w:rPr>
                <w:szCs w:val="26"/>
              </w:rPr>
              <w:t>6 hours; $480</w:t>
            </w:r>
          </w:p>
        </w:tc>
        <w:tc>
          <w:tcPr>
            <w:tcW w:w="2160" w:type="dxa"/>
            <w:shd w:val="clear" w:color="auto" w:fill="auto"/>
            <w:vAlign w:val="center"/>
            <w:hideMark/>
          </w:tcPr>
          <w:p w:rsidR="00DD755B" w:rsidRDefault="00383548" w14:paraId="3D20A68E" w14:textId="77777777">
            <w:pPr>
              <w:spacing w:after="160" w:line="259" w:lineRule="auto"/>
              <w:ind w:left="0" w:firstLine="0"/>
              <w:jc w:val="right"/>
              <w:rPr>
                <w:szCs w:val="26"/>
              </w:rPr>
            </w:pPr>
            <w:r>
              <w:rPr>
                <w:szCs w:val="26"/>
              </w:rPr>
              <w:t>378 hours; $30,240</w:t>
            </w:r>
          </w:p>
        </w:tc>
      </w:tr>
      <w:tr w:rsidR="00DD755B" w:rsidTr="00F417B0" w14:paraId="593AA009" w14:textId="77777777">
        <w:tc>
          <w:tcPr>
            <w:tcW w:w="2790" w:type="dxa"/>
            <w:shd w:val="clear" w:color="auto" w:fill="auto"/>
            <w:vAlign w:val="center"/>
          </w:tcPr>
          <w:p w:rsidR="00DD755B" w:rsidRDefault="00383548" w14:paraId="7954A8E1" w14:textId="77777777">
            <w:pPr>
              <w:spacing w:after="160" w:line="259" w:lineRule="auto"/>
              <w:ind w:left="0" w:firstLine="0"/>
              <w:rPr>
                <w:szCs w:val="26"/>
              </w:rPr>
            </w:pPr>
            <w:r>
              <w:rPr>
                <w:szCs w:val="26"/>
              </w:rPr>
              <w:t>Additional filers of FERC Form 730</w:t>
            </w:r>
            <w:r>
              <w:rPr>
                <w:rStyle w:val="FootnoteReference"/>
                <w:szCs w:val="26"/>
              </w:rPr>
              <w:footnoteReference w:id="19"/>
            </w:r>
          </w:p>
        </w:tc>
        <w:tc>
          <w:tcPr>
            <w:tcW w:w="1260" w:type="dxa"/>
            <w:shd w:val="clear" w:color="auto" w:fill="auto"/>
            <w:vAlign w:val="center"/>
          </w:tcPr>
          <w:p w:rsidR="00DD755B" w:rsidRDefault="00383548" w14:paraId="3FDFC4D0" w14:textId="77777777">
            <w:pPr>
              <w:spacing w:after="160" w:line="259" w:lineRule="auto"/>
              <w:ind w:left="0" w:firstLine="0"/>
              <w:jc w:val="right"/>
              <w:rPr>
                <w:szCs w:val="26"/>
              </w:rPr>
            </w:pPr>
            <w:r>
              <w:rPr>
                <w:szCs w:val="26"/>
              </w:rPr>
              <w:t>137</w:t>
            </w:r>
          </w:p>
        </w:tc>
        <w:tc>
          <w:tcPr>
            <w:tcW w:w="1530" w:type="dxa"/>
            <w:vAlign w:val="center"/>
          </w:tcPr>
          <w:p w:rsidR="00DD755B" w:rsidRDefault="00383548" w14:paraId="068E29D2" w14:textId="77777777">
            <w:pPr>
              <w:spacing w:after="160" w:line="259" w:lineRule="auto"/>
              <w:ind w:left="0" w:firstLine="0"/>
              <w:jc w:val="right"/>
              <w:rPr>
                <w:szCs w:val="26"/>
              </w:rPr>
            </w:pPr>
            <w:r>
              <w:rPr>
                <w:szCs w:val="26"/>
              </w:rPr>
              <w:t>1</w:t>
            </w:r>
          </w:p>
        </w:tc>
        <w:tc>
          <w:tcPr>
            <w:tcW w:w="1620" w:type="dxa"/>
            <w:shd w:val="clear" w:color="auto" w:fill="auto"/>
            <w:vAlign w:val="center"/>
          </w:tcPr>
          <w:p w:rsidR="00DD755B" w:rsidRDefault="00383548" w14:paraId="16E710FE" w14:textId="77777777">
            <w:pPr>
              <w:spacing w:after="160" w:line="259" w:lineRule="auto"/>
              <w:ind w:left="0" w:firstLine="0"/>
              <w:jc w:val="right"/>
              <w:rPr>
                <w:szCs w:val="26"/>
              </w:rPr>
            </w:pPr>
            <w:r>
              <w:rPr>
                <w:szCs w:val="26"/>
              </w:rPr>
              <w:t>137</w:t>
            </w:r>
          </w:p>
        </w:tc>
        <w:tc>
          <w:tcPr>
            <w:tcW w:w="1530" w:type="dxa"/>
            <w:shd w:val="clear" w:color="auto" w:fill="auto"/>
            <w:vAlign w:val="center"/>
          </w:tcPr>
          <w:p w:rsidR="00DD755B" w:rsidRDefault="00383548" w14:paraId="3983A07D" w14:textId="77777777">
            <w:pPr>
              <w:spacing w:after="160" w:line="259" w:lineRule="auto"/>
              <w:ind w:left="0" w:firstLine="0"/>
              <w:jc w:val="right"/>
              <w:rPr>
                <w:szCs w:val="26"/>
              </w:rPr>
            </w:pPr>
            <w:r>
              <w:rPr>
                <w:szCs w:val="26"/>
              </w:rPr>
              <w:t>36 hours; $2,880</w:t>
            </w:r>
          </w:p>
        </w:tc>
        <w:tc>
          <w:tcPr>
            <w:tcW w:w="2160" w:type="dxa"/>
            <w:shd w:val="clear" w:color="auto" w:fill="auto"/>
            <w:vAlign w:val="center"/>
          </w:tcPr>
          <w:p w:rsidR="00DD755B" w:rsidRDefault="00383548" w14:paraId="09B0A871" w14:textId="77777777">
            <w:pPr>
              <w:spacing w:after="160" w:line="259" w:lineRule="auto"/>
              <w:ind w:left="0" w:firstLine="0"/>
              <w:jc w:val="right"/>
              <w:rPr>
                <w:szCs w:val="26"/>
              </w:rPr>
            </w:pPr>
            <w:r>
              <w:rPr>
                <w:szCs w:val="26"/>
              </w:rPr>
              <w:t>4,932 hours; $394,560</w:t>
            </w:r>
          </w:p>
        </w:tc>
      </w:tr>
      <w:tr w:rsidR="00DD755B" w:rsidTr="00F417B0" w14:paraId="0A93AC24" w14:textId="77777777">
        <w:tc>
          <w:tcPr>
            <w:tcW w:w="2790" w:type="dxa"/>
            <w:shd w:val="clear" w:color="auto" w:fill="auto"/>
            <w:vAlign w:val="center"/>
          </w:tcPr>
          <w:p w:rsidR="00DD755B" w:rsidRDefault="00383548" w14:paraId="391A60D2" w14:textId="77777777">
            <w:pPr>
              <w:spacing w:after="160" w:line="259" w:lineRule="auto"/>
              <w:ind w:left="0" w:firstLine="0"/>
              <w:rPr>
                <w:szCs w:val="26"/>
              </w:rPr>
            </w:pPr>
            <w:r>
              <w:rPr>
                <w:szCs w:val="26"/>
              </w:rPr>
              <w:t>Sub-Total of Proposed Changes for Form 730</w:t>
            </w:r>
          </w:p>
        </w:tc>
        <w:tc>
          <w:tcPr>
            <w:tcW w:w="1260" w:type="dxa"/>
            <w:shd w:val="clear" w:color="auto" w:fill="auto"/>
            <w:vAlign w:val="center"/>
          </w:tcPr>
          <w:p w:rsidR="00DD755B" w:rsidRDefault="00DD755B" w14:paraId="4401332D" w14:textId="77777777">
            <w:pPr>
              <w:spacing w:after="160" w:line="259" w:lineRule="auto"/>
              <w:ind w:left="0" w:firstLine="0"/>
              <w:jc w:val="right"/>
              <w:rPr>
                <w:szCs w:val="26"/>
              </w:rPr>
            </w:pPr>
          </w:p>
        </w:tc>
        <w:tc>
          <w:tcPr>
            <w:tcW w:w="1530" w:type="dxa"/>
            <w:vAlign w:val="center"/>
          </w:tcPr>
          <w:p w:rsidR="00DD755B" w:rsidRDefault="00DD755B" w14:paraId="7D152BD9" w14:textId="77777777">
            <w:pPr>
              <w:spacing w:after="160" w:line="259" w:lineRule="auto"/>
              <w:ind w:left="0" w:firstLine="0"/>
              <w:jc w:val="right"/>
              <w:rPr>
                <w:szCs w:val="26"/>
              </w:rPr>
            </w:pPr>
          </w:p>
        </w:tc>
        <w:tc>
          <w:tcPr>
            <w:tcW w:w="1620" w:type="dxa"/>
            <w:shd w:val="clear" w:color="auto" w:fill="auto"/>
            <w:vAlign w:val="center"/>
          </w:tcPr>
          <w:p w:rsidR="00DD755B" w:rsidRDefault="00DD755B" w14:paraId="30401041" w14:textId="77777777">
            <w:pPr>
              <w:spacing w:after="160" w:line="259" w:lineRule="auto"/>
              <w:ind w:left="0" w:firstLine="0"/>
              <w:jc w:val="right"/>
              <w:rPr>
                <w:szCs w:val="26"/>
              </w:rPr>
            </w:pPr>
          </w:p>
        </w:tc>
        <w:tc>
          <w:tcPr>
            <w:tcW w:w="1530" w:type="dxa"/>
            <w:shd w:val="clear" w:color="auto" w:fill="auto"/>
            <w:vAlign w:val="center"/>
          </w:tcPr>
          <w:p w:rsidR="00DD755B" w:rsidRDefault="00DD755B" w14:paraId="24BC6129" w14:textId="77777777">
            <w:pPr>
              <w:spacing w:after="160" w:line="259" w:lineRule="auto"/>
              <w:ind w:left="0" w:firstLine="0"/>
              <w:jc w:val="right"/>
              <w:rPr>
                <w:szCs w:val="26"/>
              </w:rPr>
            </w:pPr>
          </w:p>
        </w:tc>
        <w:tc>
          <w:tcPr>
            <w:tcW w:w="2160" w:type="dxa"/>
            <w:shd w:val="clear" w:color="auto" w:fill="auto"/>
            <w:vAlign w:val="center"/>
          </w:tcPr>
          <w:p w:rsidR="00DD755B" w:rsidRDefault="00383548" w14:paraId="69E829AC" w14:textId="77777777">
            <w:pPr>
              <w:spacing w:after="160" w:line="259" w:lineRule="auto"/>
              <w:ind w:left="0" w:firstLine="0"/>
              <w:jc w:val="right"/>
              <w:rPr>
                <w:szCs w:val="26"/>
              </w:rPr>
            </w:pPr>
            <w:r>
              <w:rPr>
                <w:szCs w:val="26"/>
              </w:rPr>
              <w:t>5,310 hours; $424,800</w:t>
            </w:r>
          </w:p>
        </w:tc>
      </w:tr>
      <w:tr w:rsidR="00DD755B" w:rsidTr="00F417B0" w14:paraId="3F0AF741" w14:textId="77777777">
        <w:tc>
          <w:tcPr>
            <w:tcW w:w="8730" w:type="dxa"/>
            <w:gridSpan w:val="5"/>
            <w:shd w:val="clear" w:color="auto" w:fill="auto"/>
            <w:vAlign w:val="center"/>
          </w:tcPr>
          <w:p w:rsidR="00DD755B" w:rsidRDefault="00383548" w14:paraId="5E3F8FD5" w14:textId="77777777">
            <w:pPr>
              <w:spacing w:after="160" w:line="259" w:lineRule="auto"/>
              <w:ind w:left="0" w:firstLine="0"/>
              <w:rPr>
                <w:b/>
                <w:bCs/>
                <w:szCs w:val="26"/>
              </w:rPr>
            </w:pPr>
            <w:r>
              <w:rPr>
                <w:b/>
                <w:bCs/>
                <w:szCs w:val="26"/>
              </w:rPr>
              <w:t>Total Proposed Changes for FERC-516 &amp; Form 730 in NOPR in RM20-10</w:t>
            </w:r>
          </w:p>
        </w:tc>
        <w:tc>
          <w:tcPr>
            <w:tcW w:w="2160" w:type="dxa"/>
            <w:shd w:val="clear" w:color="auto" w:fill="auto"/>
            <w:vAlign w:val="center"/>
          </w:tcPr>
          <w:p w:rsidR="00DD755B" w:rsidRDefault="00383548" w14:paraId="477DC568" w14:textId="77777777">
            <w:pPr>
              <w:spacing w:after="0" w:line="259" w:lineRule="auto"/>
              <w:ind w:left="0" w:firstLine="0"/>
              <w:jc w:val="right"/>
              <w:rPr>
                <w:b/>
                <w:bCs/>
                <w:szCs w:val="26"/>
              </w:rPr>
            </w:pPr>
            <w:r>
              <w:rPr>
                <w:b/>
                <w:bCs/>
                <w:szCs w:val="26"/>
              </w:rPr>
              <w:t>18,985 hours; $1,518,800</w:t>
            </w:r>
          </w:p>
        </w:tc>
      </w:tr>
    </w:tbl>
    <w:p w:rsidR="00DD755B" w:rsidRDefault="00DD755B" w14:paraId="22BC559A" w14:textId="77777777">
      <w:pPr>
        <w:spacing w:after="0" w:line="259" w:lineRule="auto"/>
        <w:ind w:left="360" w:firstLine="0"/>
      </w:pPr>
    </w:p>
    <w:p w:rsidR="00DD755B" w:rsidRDefault="00383548" w14:paraId="2E2CB862" w14:textId="77777777">
      <w:pPr>
        <w:pStyle w:val="Heading1"/>
        <w:ind w:left="0" w:firstLine="0"/>
      </w:pPr>
      <w:r>
        <w:rPr>
          <w:bCs/>
        </w:rPr>
        <w:t>13.</w:t>
      </w:r>
      <w:r>
        <w:rPr>
          <w:rFonts w:ascii="Arial" w:hAnsi="Arial" w:eastAsia="Arial" w:cs="Arial"/>
          <w:b w:val="0"/>
        </w:rPr>
        <w:t xml:space="preserve"> </w:t>
      </w:r>
      <w:r>
        <w:t>ESTIMATE OF THE TOTAL ANNUAL COST BURDEN TO RESPONDENTS</w:t>
      </w:r>
      <w:r>
        <w:rPr>
          <w:b w:val="0"/>
        </w:rPr>
        <w:t xml:space="preserve"> </w:t>
      </w:r>
    </w:p>
    <w:p w:rsidR="00DD755B" w:rsidRDefault="00383548" w14:paraId="04AA4D5D" w14:textId="77777777">
      <w:pPr>
        <w:spacing w:after="0" w:line="259" w:lineRule="auto"/>
        <w:ind w:left="360" w:firstLine="0"/>
      </w:pPr>
      <w:r>
        <w:t xml:space="preserve"> </w:t>
      </w:r>
    </w:p>
    <w:p w:rsidR="00DD755B" w:rsidRDefault="00383548" w14:paraId="1466A063" w14:textId="77777777">
      <w:pPr>
        <w:spacing w:after="0" w:line="259" w:lineRule="auto"/>
        <w:ind w:left="0" w:firstLine="0"/>
      </w:pPr>
      <w:r>
        <w:t>There are no start-up or other non-labor costs.</w:t>
      </w:r>
    </w:p>
    <w:p w:rsidR="00DD755B" w:rsidRDefault="00DD755B" w14:paraId="4023A0E6" w14:textId="77777777">
      <w:pPr>
        <w:spacing w:after="0" w:line="259" w:lineRule="auto"/>
        <w:ind w:left="360" w:firstLine="0"/>
      </w:pPr>
    </w:p>
    <w:p w:rsidR="00DD755B" w:rsidRDefault="00383548" w14:paraId="31E07478" w14:textId="77777777">
      <w:pPr>
        <w:spacing w:after="0" w:line="259" w:lineRule="auto"/>
        <w:ind w:left="720" w:firstLine="0"/>
      </w:pPr>
      <w:r>
        <w:t>Total Capital and Start-up cost: $0</w:t>
      </w:r>
    </w:p>
    <w:p w:rsidR="00DD755B" w:rsidRDefault="00383548" w14:paraId="0AE0DC10" w14:textId="77777777">
      <w:pPr>
        <w:spacing w:after="0" w:line="259" w:lineRule="auto"/>
        <w:ind w:left="720" w:firstLine="0"/>
      </w:pPr>
      <w:r>
        <w:t>Total Operation, Maintenance, and Purchase of Services: $0</w:t>
      </w:r>
    </w:p>
    <w:p w:rsidR="00DD755B" w:rsidRDefault="00DD755B" w14:paraId="6F671BB0" w14:textId="77777777">
      <w:pPr>
        <w:spacing w:after="0" w:line="259" w:lineRule="auto"/>
        <w:ind w:left="360" w:firstLine="0"/>
      </w:pPr>
    </w:p>
    <w:p w:rsidR="00DD755B" w:rsidRDefault="00383548" w14:paraId="619E32E2" w14:textId="77777777">
      <w:pPr>
        <w:spacing w:after="0" w:line="259" w:lineRule="auto"/>
        <w:ind w:left="0" w:firstLine="0"/>
      </w:pPr>
      <w:r>
        <w:t>All of the costs in the NOPR are associated with burden hours (labor) and described in Questions #12 and #15 in this supporting statement.</w:t>
      </w:r>
    </w:p>
    <w:p w:rsidR="00DD755B" w:rsidRDefault="00DD755B" w14:paraId="0D13035D" w14:textId="77777777">
      <w:pPr>
        <w:spacing w:after="0" w:line="259" w:lineRule="auto"/>
        <w:ind w:left="360" w:firstLine="0"/>
      </w:pPr>
    </w:p>
    <w:p w:rsidR="00DD755B" w:rsidRDefault="00383548" w14:paraId="2D74B28B" w14:textId="77777777">
      <w:pPr>
        <w:pStyle w:val="Heading1"/>
        <w:ind w:left="0" w:firstLine="0"/>
      </w:pPr>
      <w:r>
        <w:rPr>
          <w:bCs/>
        </w:rPr>
        <w:t>14.</w:t>
      </w:r>
      <w:r>
        <w:rPr>
          <w:rFonts w:ascii="Arial" w:hAnsi="Arial" w:eastAsia="Arial" w:cs="Arial"/>
          <w:b w:val="0"/>
        </w:rPr>
        <w:t xml:space="preserve"> </w:t>
      </w:r>
      <w:r>
        <w:t>ESTIMATED ANNUALIZED COST TO FEDERAL GOVERNMENT</w:t>
      </w:r>
      <w:r>
        <w:rPr>
          <w:b w:val="0"/>
        </w:rPr>
        <w:t xml:space="preserve"> </w:t>
      </w:r>
    </w:p>
    <w:p w:rsidR="00DD755B" w:rsidRDefault="00DD755B" w14:paraId="70F25B54" w14:textId="77777777">
      <w:pPr>
        <w:spacing w:after="0" w:line="259" w:lineRule="auto"/>
        <w:ind w:left="0" w:firstLine="0"/>
        <w:rPr>
          <w:b/>
        </w:rPr>
      </w:pPr>
    </w:p>
    <w:p w:rsidR="00DD755B" w:rsidRDefault="00383548" w14:paraId="1CA6A7BE" w14:textId="77777777">
      <w:pPr>
        <w:spacing w:after="0" w:line="240" w:lineRule="auto"/>
        <w:ind w:left="0" w:firstLine="0"/>
        <w:rPr>
          <w:rFonts w:eastAsiaTheme="minorHAnsi" w:cstheme="minorBidi"/>
          <w:color w:val="auto"/>
        </w:rPr>
      </w:pPr>
      <w:r>
        <w:rPr>
          <w:rFonts w:eastAsiaTheme="minorHAnsi" w:cstheme="minorBidi"/>
          <w:color w:val="auto"/>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p>
    <w:p w:rsidR="00DD755B" w:rsidRDefault="00DD755B" w14:paraId="407DF22D" w14:textId="77777777">
      <w:pPr>
        <w:spacing w:after="0" w:line="240" w:lineRule="auto"/>
        <w:ind w:left="0" w:firstLine="0"/>
        <w:rPr>
          <w:rFonts w:eastAsiaTheme="minorHAnsi" w:cstheme="minorBidi"/>
          <w:color w:val="auto"/>
        </w:rPr>
      </w:pPr>
    </w:p>
    <w:p w:rsidR="00DD755B" w:rsidRDefault="00383548" w14:paraId="3AC06D22" w14:textId="77777777">
      <w:pPr>
        <w:spacing w:after="0" w:line="240" w:lineRule="auto"/>
        <w:ind w:left="0" w:firstLine="0"/>
        <w:rPr>
          <w:rFonts w:eastAsiaTheme="minorHAnsi" w:cstheme="minorBidi"/>
          <w:color w:val="auto"/>
        </w:rPr>
      </w:pPr>
      <w:r>
        <w:rPr>
          <w:rFonts w:eastAsiaTheme="minorHAnsi" w:cstheme="minorBidi"/>
          <w:color w:val="auto"/>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DD755B" w:rsidRDefault="00DD755B" w14:paraId="03278174" w14:textId="77777777">
      <w:pPr>
        <w:spacing w:after="160" w:line="240" w:lineRule="auto"/>
        <w:ind w:left="0" w:firstLine="0"/>
        <w:rPr>
          <w:rFonts w:eastAsiaTheme="minorHAnsi" w:cstheme="minorBidi"/>
          <w:b/>
          <w:color w:val="aut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3149"/>
        <w:gridCol w:w="2515"/>
      </w:tblGrid>
      <w:tr w:rsidR="00DD755B" w14:paraId="5902C307" w14:textId="77777777">
        <w:tc>
          <w:tcPr>
            <w:tcW w:w="1971"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1D9DF94A" w14:textId="77777777">
            <w:pPr>
              <w:spacing w:after="160" w:line="259" w:lineRule="auto"/>
              <w:ind w:left="0" w:firstLine="0"/>
              <w:jc w:val="center"/>
              <w:rPr>
                <w:rFonts w:eastAsiaTheme="minorHAnsi" w:cstheme="minorBidi"/>
                <w:b/>
                <w:color w:val="auto"/>
              </w:rPr>
            </w:pP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DD755B" w:rsidRDefault="00383548" w14:paraId="50713D90" w14:textId="77777777">
            <w:pPr>
              <w:spacing w:after="160" w:line="259" w:lineRule="auto"/>
              <w:ind w:left="0" w:firstLine="0"/>
              <w:jc w:val="center"/>
              <w:rPr>
                <w:rFonts w:eastAsiaTheme="minorHAnsi" w:cstheme="minorBidi"/>
                <w:b/>
                <w:color w:val="auto"/>
              </w:rPr>
            </w:pPr>
            <w:r>
              <w:rPr>
                <w:rFonts w:eastAsiaTheme="minorHAnsi" w:cstheme="minorBidi"/>
                <w:b/>
                <w:color w:val="auto"/>
              </w:rPr>
              <w:t>Number of Employees (Full-Time Equivalents [FTE])</w:t>
            </w:r>
          </w:p>
        </w:tc>
        <w:tc>
          <w:tcPr>
            <w:tcW w:w="13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DD755B" w:rsidRDefault="00383548" w14:paraId="23539834" w14:textId="77777777">
            <w:pPr>
              <w:spacing w:after="160" w:line="259" w:lineRule="auto"/>
              <w:ind w:left="0" w:firstLine="0"/>
              <w:jc w:val="center"/>
              <w:rPr>
                <w:rFonts w:eastAsiaTheme="minorHAnsi" w:cstheme="minorBidi"/>
                <w:b/>
                <w:color w:val="auto"/>
              </w:rPr>
            </w:pPr>
            <w:r>
              <w:rPr>
                <w:rFonts w:eastAsiaTheme="minorHAnsi" w:cstheme="minorBidi"/>
                <w:b/>
                <w:color w:val="auto"/>
              </w:rPr>
              <w:t>Estimated Annual Federal Cost</w:t>
            </w:r>
          </w:p>
        </w:tc>
      </w:tr>
      <w:tr w:rsidR="00DD755B" w14:paraId="0DD930E1"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5A00CFF7" w14:textId="77777777">
            <w:pPr>
              <w:spacing w:after="0" w:line="259" w:lineRule="auto"/>
              <w:ind w:left="0" w:firstLine="0"/>
              <w:rPr>
                <w:rFonts w:eastAsiaTheme="minorHAnsi" w:cstheme="minorBidi"/>
                <w:color w:val="auto"/>
              </w:rPr>
            </w:pPr>
            <w:r>
              <w:rPr>
                <w:rFonts w:eastAsiaTheme="minorHAnsi" w:cstheme="minorBidi"/>
                <w:color w:val="auto"/>
              </w:rPr>
              <w:lastRenderedPageBreak/>
              <w:t>Analysis and Processing of Filings for FERC-516</w:t>
            </w:r>
            <w:r>
              <w:rPr>
                <w:rFonts w:eastAsiaTheme="minorHAnsi" w:cstheme="minorBidi"/>
                <w:color w:val="auto"/>
                <w:vertAlign w:val="superscript"/>
              </w:rPr>
              <w:footnoteReference w:id="20"/>
            </w:r>
          </w:p>
        </w:tc>
        <w:tc>
          <w:tcPr>
            <w:tcW w:w="1684"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6C370A33" w14:textId="77777777">
            <w:pPr>
              <w:spacing w:after="160" w:line="259" w:lineRule="auto"/>
              <w:ind w:left="0" w:firstLine="0"/>
              <w:jc w:val="right"/>
              <w:rPr>
                <w:rFonts w:eastAsiaTheme="minorHAnsi" w:cstheme="minorBidi"/>
                <w:color w:val="auto"/>
              </w:rPr>
            </w:pPr>
            <w:r>
              <w:rPr>
                <w:rFonts w:eastAsiaTheme="minorHAnsi" w:cstheme="minorBidi"/>
                <w:color w:val="auto"/>
              </w:rPr>
              <w:t>3.5</w:t>
            </w: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168F2DB5" w14:textId="77777777">
            <w:pPr>
              <w:spacing w:after="160" w:line="259" w:lineRule="auto"/>
              <w:ind w:left="0" w:firstLine="0"/>
              <w:jc w:val="right"/>
              <w:rPr>
                <w:rFonts w:eastAsiaTheme="minorHAnsi" w:cstheme="minorBidi"/>
                <w:color w:val="auto"/>
              </w:rPr>
            </w:pPr>
            <w:r>
              <w:rPr>
                <w:rFonts w:eastAsiaTheme="minorHAnsi" w:cstheme="minorBidi"/>
                <w:color w:val="auto"/>
              </w:rPr>
              <w:t>$582,400</w:t>
            </w:r>
            <w:r>
              <w:rPr>
                <w:rFonts w:eastAsiaTheme="minorHAnsi" w:cstheme="minorBidi"/>
                <w:color w:val="auto"/>
              </w:rPr>
              <w:t xml:space="preserve">‬ </w:t>
            </w:r>
          </w:p>
        </w:tc>
      </w:tr>
      <w:tr w:rsidR="00DD755B" w14:paraId="174150BF" w14:textId="77777777">
        <w:tc>
          <w:tcPr>
            <w:tcW w:w="1971" w:type="pct"/>
            <w:tcBorders>
              <w:top w:val="single" w:color="auto" w:sz="4" w:space="0"/>
              <w:left w:val="single" w:color="auto" w:sz="4" w:space="0"/>
              <w:bottom w:val="single" w:color="auto" w:sz="4" w:space="0"/>
              <w:right w:val="single" w:color="auto" w:sz="4" w:space="0"/>
            </w:tcBorders>
            <w:vAlign w:val="center"/>
          </w:tcPr>
          <w:p w:rsidR="00DD755B" w:rsidRDefault="00383548" w14:paraId="6034DD16" w14:textId="77777777">
            <w:pPr>
              <w:spacing w:after="0" w:line="259" w:lineRule="auto"/>
              <w:ind w:left="0" w:firstLine="0"/>
              <w:rPr>
                <w:rFonts w:eastAsiaTheme="minorHAnsi" w:cstheme="minorBidi"/>
                <w:color w:val="auto"/>
              </w:rPr>
            </w:pPr>
            <w:r>
              <w:rPr>
                <w:rFonts w:eastAsiaTheme="minorHAnsi" w:cstheme="minorBidi"/>
                <w:color w:val="auto"/>
              </w:rPr>
              <w:t>Analysis and Processing of Filings for FERC-730</w:t>
            </w:r>
          </w:p>
        </w:tc>
        <w:tc>
          <w:tcPr>
            <w:tcW w:w="1684" w:type="pct"/>
            <w:tcBorders>
              <w:top w:val="single" w:color="auto" w:sz="4" w:space="0"/>
              <w:left w:val="single" w:color="auto" w:sz="4" w:space="0"/>
              <w:bottom w:val="single" w:color="auto" w:sz="4" w:space="0"/>
              <w:right w:val="single" w:color="auto" w:sz="4" w:space="0"/>
            </w:tcBorders>
            <w:vAlign w:val="bottom"/>
          </w:tcPr>
          <w:p w:rsidR="00DD755B" w:rsidRDefault="00383548" w14:paraId="67127B6B" w14:textId="77777777">
            <w:pPr>
              <w:spacing w:after="160" w:line="259" w:lineRule="auto"/>
              <w:ind w:left="0" w:firstLine="0"/>
              <w:jc w:val="right"/>
              <w:rPr>
                <w:rFonts w:eastAsiaTheme="minorHAnsi" w:cstheme="minorBidi"/>
                <w:color w:val="auto"/>
              </w:rPr>
            </w:pPr>
            <w:r>
              <w:rPr>
                <w:rFonts w:eastAsiaTheme="minorHAnsi" w:cstheme="minorBidi"/>
                <w:color w:val="auto"/>
              </w:rPr>
              <w:t>0.35</w:t>
            </w:r>
          </w:p>
        </w:tc>
        <w:tc>
          <w:tcPr>
            <w:tcW w:w="1345" w:type="pct"/>
            <w:tcBorders>
              <w:top w:val="single" w:color="auto" w:sz="4" w:space="0"/>
              <w:left w:val="single" w:color="auto" w:sz="4" w:space="0"/>
              <w:bottom w:val="single" w:color="auto" w:sz="4" w:space="0"/>
              <w:right w:val="single" w:color="auto" w:sz="4" w:space="0"/>
            </w:tcBorders>
            <w:vAlign w:val="bottom"/>
          </w:tcPr>
          <w:p w:rsidR="00DD755B" w:rsidRDefault="00383548" w14:paraId="4B159D53" w14:textId="77777777">
            <w:pPr>
              <w:spacing w:after="160" w:line="259" w:lineRule="auto"/>
              <w:ind w:left="0" w:firstLine="0"/>
              <w:jc w:val="right"/>
              <w:rPr>
                <w:rFonts w:eastAsiaTheme="minorHAnsi" w:cstheme="minorBidi"/>
                <w:color w:val="auto"/>
              </w:rPr>
            </w:pPr>
            <w:r>
              <w:rPr>
                <w:rFonts w:eastAsiaTheme="minorHAnsi" w:cstheme="minorBidi"/>
                <w:color w:val="auto"/>
              </w:rPr>
              <w:t>$58,240</w:t>
            </w:r>
          </w:p>
        </w:tc>
      </w:tr>
      <w:tr w:rsidR="00DD755B" w14:paraId="4CF404FF"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3FC36FD3" w14:textId="77777777">
            <w:pPr>
              <w:spacing w:after="0" w:line="259" w:lineRule="auto"/>
              <w:ind w:left="0" w:firstLine="0"/>
              <w:rPr>
                <w:rFonts w:eastAsiaTheme="minorHAnsi" w:cstheme="minorBidi"/>
                <w:color w:val="auto"/>
              </w:rPr>
            </w:pPr>
            <w:r>
              <w:rPr>
                <w:rFonts w:eastAsiaTheme="minorHAnsi" w:cstheme="minorBidi"/>
                <w:color w:val="auto"/>
              </w:rPr>
              <w:t>PRA</w:t>
            </w:r>
            <w:r>
              <w:rPr>
                <w:rFonts w:eastAsiaTheme="minorHAnsi" w:cstheme="minorBidi"/>
                <w:color w:val="auto"/>
                <w:vertAlign w:val="superscript"/>
              </w:rPr>
              <w:footnoteReference w:id="21"/>
            </w:r>
            <w:r>
              <w:rPr>
                <w:rFonts w:eastAsiaTheme="minorHAnsi" w:cstheme="minorBidi"/>
                <w:color w:val="auto"/>
              </w:rPr>
              <w:t xml:space="preserve"> Administrative Cost ($4,832 for each collection)</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47A5D395" w14:textId="77777777">
            <w:pPr>
              <w:spacing w:after="160" w:line="259" w:lineRule="auto"/>
              <w:ind w:left="0" w:firstLine="0"/>
              <w:jc w:val="right"/>
              <w:rPr>
                <w:rFonts w:eastAsiaTheme="minorHAnsi" w:cstheme="minorBidi"/>
                <w:b/>
                <w:color w:val="auto"/>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3FB2E47A" w14:textId="77777777">
            <w:pPr>
              <w:spacing w:after="160" w:line="259" w:lineRule="auto"/>
              <w:ind w:left="0" w:firstLine="0"/>
              <w:jc w:val="right"/>
              <w:rPr>
                <w:rFonts w:eastAsiaTheme="minorHAnsi" w:cstheme="minorBidi"/>
                <w:color w:val="auto"/>
              </w:rPr>
            </w:pPr>
            <w:r>
              <w:rPr>
                <w:rFonts w:eastAsiaTheme="minorHAnsi" w:cstheme="minorBidi"/>
                <w:color w:val="auto"/>
              </w:rPr>
              <w:t>$9,664</w:t>
            </w:r>
          </w:p>
        </w:tc>
      </w:tr>
      <w:tr w:rsidR="00DD755B" w14:paraId="6D91583B"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48707AF6" w14:textId="77777777">
            <w:pPr>
              <w:spacing w:after="0" w:line="259" w:lineRule="auto"/>
              <w:ind w:left="0" w:firstLine="0"/>
              <w:rPr>
                <w:rFonts w:eastAsiaTheme="minorHAnsi" w:cstheme="minorBidi"/>
                <w:color w:val="auto"/>
              </w:rPr>
            </w:pPr>
            <w:r>
              <w:rPr>
                <w:rFonts w:eastAsiaTheme="minorHAnsi" w:cstheme="minorBidi"/>
                <w:color w:val="auto"/>
              </w:rPr>
              <w:t>FERC Total</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1E29FE6B" w14:textId="77777777">
            <w:pPr>
              <w:spacing w:after="160" w:line="259" w:lineRule="auto"/>
              <w:ind w:left="0" w:firstLine="0"/>
              <w:jc w:val="right"/>
              <w:rPr>
                <w:rFonts w:eastAsiaTheme="minorHAnsi" w:cstheme="minorBidi"/>
                <w:b/>
                <w:color w:val="auto"/>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4C121A8C" w14:textId="77777777">
            <w:pPr>
              <w:spacing w:after="160" w:line="259" w:lineRule="auto"/>
              <w:ind w:left="0" w:firstLine="0"/>
              <w:jc w:val="right"/>
              <w:rPr>
                <w:rFonts w:eastAsiaTheme="minorHAnsi" w:cstheme="minorBidi"/>
                <w:color w:val="auto"/>
              </w:rPr>
            </w:pPr>
            <w:r>
              <w:rPr>
                <w:rFonts w:eastAsiaTheme="minorHAnsi" w:cstheme="minorBidi"/>
                <w:color w:val="auto"/>
              </w:rPr>
              <w:t>$650,304</w:t>
            </w:r>
          </w:p>
        </w:tc>
      </w:tr>
    </w:tbl>
    <w:p w:rsidR="00DD755B" w:rsidRDefault="00DD755B" w14:paraId="7BF2B46F" w14:textId="77777777">
      <w:pPr>
        <w:spacing w:after="0" w:line="259" w:lineRule="auto"/>
        <w:ind w:left="0" w:firstLine="0"/>
        <w:rPr>
          <w:b/>
        </w:rPr>
      </w:pPr>
    </w:p>
    <w:p w:rsidR="00DD755B" w:rsidRDefault="00383548" w14:paraId="290100D5" w14:textId="77777777">
      <w:pPr>
        <w:pStyle w:val="Heading1"/>
        <w:ind w:left="0" w:firstLine="0"/>
      </w:pPr>
      <w:r>
        <w:rPr>
          <w:bCs/>
        </w:rPr>
        <w:t>15</w:t>
      </w:r>
      <w:r>
        <w:rPr>
          <w:b w:val="0"/>
        </w:rPr>
        <w:t>.</w:t>
      </w:r>
      <w:r>
        <w:rPr>
          <w:rFonts w:ascii="Arial" w:hAnsi="Arial" w:eastAsia="Arial" w:cs="Arial"/>
          <w:b w:val="0"/>
        </w:rPr>
        <w:t xml:space="preserve"> </w:t>
      </w:r>
      <w:r>
        <w:t>REASONS FOR CHANGES IN BURDEN INCLUDING THE NEED FOR ANY INCREASE</w:t>
      </w:r>
      <w:r>
        <w:rPr>
          <w:b w:val="0"/>
        </w:rPr>
        <w:t xml:space="preserve"> </w:t>
      </w:r>
    </w:p>
    <w:p w:rsidR="00DD755B" w:rsidRDefault="00DD755B" w14:paraId="2689C49F" w14:textId="77777777">
      <w:pPr>
        <w:spacing w:after="0" w:line="259" w:lineRule="auto"/>
        <w:ind w:left="0" w:firstLine="0"/>
      </w:pPr>
    </w:p>
    <w:p w:rsidR="00DD755B" w:rsidRDefault="00383548" w14:paraId="0E48C80E" w14:textId="77777777">
      <w:pPr>
        <w:spacing w:after="0" w:line="259" w:lineRule="auto"/>
        <w:ind w:left="0" w:firstLine="0"/>
      </w:pPr>
      <w:r>
        <w:t>This NOPR would revise the Commission’s regulations and policy with respect to the mechanics and implementation of the Commission’s transmission incentives policy; and with respect to the metrics for evaluating the effectiveness of incentives. The proposed program changes reflect estimated additional voluntary applications due to the new set of incentives and the additional requested information.</w:t>
      </w:r>
    </w:p>
    <w:p w:rsidR="00DD755B" w:rsidRDefault="00383548" w14:paraId="192F6EB8" w14:textId="77777777">
      <w:pPr>
        <w:pStyle w:val="ListParagraph"/>
        <w:numPr>
          <w:ilvl w:val="0"/>
          <w:numId w:val="22"/>
        </w:numPr>
        <w:spacing w:after="0" w:line="259" w:lineRule="auto"/>
      </w:pPr>
      <w:r>
        <w:t xml:space="preserve">For FERC-516, the reforms proposed to the Commission’s transmission incentives policy would both help to reflect recent changes in the industry and transmission planning and more closely align with the statutory language of FPA section 219.  </w:t>
      </w:r>
    </w:p>
    <w:p w:rsidR="00DD755B" w:rsidRDefault="00383548" w14:paraId="4BB75412" w14:textId="77777777">
      <w:pPr>
        <w:pStyle w:val="ListParagraph"/>
        <w:numPr>
          <w:ilvl w:val="0"/>
          <w:numId w:val="22"/>
        </w:numPr>
        <w:spacing w:after="0" w:line="259" w:lineRule="auto"/>
      </w:pPr>
      <w:r>
        <w:t xml:space="preserve">For FERC-730, the proposed changes will ensure that existing and proposed incentives are successfully meeting the objectives of the FPA 219.  The Commission needs industry data, projections, and related information that detail the level of investment and the costs and benefits of transmission projects. </w:t>
      </w:r>
    </w:p>
    <w:p w:rsidR="00DD755B" w:rsidRDefault="00DD755B" w14:paraId="53211E77" w14:textId="77777777">
      <w:pPr>
        <w:widowControl w:val="0"/>
        <w:autoSpaceDE w:val="0"/>
        <w:autoSpaceDN w:val="0"/>
        <w:adjustRightInd w:val="0"/>
        <w:spacing w:after="0" w:line="240" w:lineRule="auto"/>
        <w:ind w:left="0" w:firstLine="0"/>
        <w:rPr>
          <w:color w:val="auto"/>
          <w:sz w:val="26"/>
          <w:szCs w:val="26"/>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00DD755B" w14:paraId="58FE8EE8"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389A9299"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NOPR in Docket RM20-10</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1CF6C97B"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429C3B9D"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7EA7DE42"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Change due to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09067D38"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Change Due to Agency Discretion</w:t>
            </w:r>
          </w:p>
        </w:tc>
      </w:tr>
      <w:tr w:rsidR="00DD755B" w14:paraId="4D267F33" w14:textId="77777777">
        <w:trPr>
          <w:trHeight w:val="386"/>
          <w:jc w:val="right"/>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383548" w14:paraId="38BD31A6"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FERC-730</w:t>
            </w:r>
          </w:p>
        </w:tc>
      </w:tr>
      <w:tr w:rsidR="00DD755B" w14:paraId="3E05BA7D" w14:textId="77777777">
        <w:trPr>
          <w:trHeight w:val="591"/>
          <w:jc w:val="right"/>
        </w:trPr>
        <w:tc>
          <w:tcPr>
            <w:tcW w:w="1442" w:type="pct"/>
            <w:tcBorders>
              <w:top w:val="single" w:color="auto" w:sz="4" w:space="0"/>
              <w:left w:val="single" w:color="auto" w:sz="4" w:space="0"/>
              <w:bottom w:val="single" w:color="auto" w:sz="4" w:space="0"/>
              <w:right w:val="single" w:color="auto" w:sz="4" w:space="0"/>
            </w:tcBorders>
            <w:hideMark/>
          </w:tcPr>
          <w:p w:rsidR="00DD755B" w:rsidRDefault="00383548" w14:paraId="58EAB5D2" w14:textId="77777777">
            <w:pPr>
              <w:widowControl w:val="0"/>
              <w:autoSpaceDE w:val="0"/>
              <w:autoSpaceDN w:val="0"/>
              <w:adjustRightInd w:val="0"/>
              <w:spacing w:after="0" w:line="256" w:lineRule="auto"/>
              <w:ind w:left="0" w:firstLine="0"/>
              <w:rPr>
                <w:color w:val="auto"/>
                <w:szCs w:val="24"/>
              </w:rPr>
            </w:pPr>
            <w:r>
              <w:rPr>
                <w:color w:val="auto"/>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3F4E2184" w14:textId="77777777">
            <w:pPr>
              <w:widowControl w:val="0"/>
              <w:autoSpaceDE w:val="0"/>
              <w:autoSpaceDN w:val="0"/>
              <w:adjustRightInd w:val="0"/>
              <w:spacing w:after="0" w:line="256" w:lineRule="auto"/>
              <w:ind w:left="0" w:firstLine="0"/>
              <w:jc w:val="right"/>
              <w:rPr>
                <w:color w:val="auto"/>
                <w:szCs w:val="24"/>
              </w:rPr>
            </w:pPr>
            <w:r>
              <w:rPr>
                <w:color w:val="auto"/>
                <w:szCs w:val="24"/>
              </w:rPr>
              <w:t>200</w:t>
            </w:r>
          </w:p>
        </w:tc>
        <w:tc>
          <w:tcPr>
            <w:tcW w:w="854"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336891D5" w14:textId="77777777">
            <w:pPr>
              <w:widowControl w:val="0"/>
              <w:autoSpaceDE w:val="0"/>
              <w:autoSpaceDN w:val="0"/>
              <w:adjustRightInd w:val="0"/>
              <w:spacing w:after="0" w:line="256" w:lineRule="auto"/>
              <w:ind w:left="0" w:firstLine="0"/>
              <w:jc w:val="right"/>
              <w:rPr>
                <w:color w:val="auto"/>
                <w:szCs w:val="24"/>
              </w:rPr>
            </w:pPr>
            <w:r>
              <w:rPr>
                <w:color w:val="auto"/>
                <w:szCs w:val="24"/>
              </w:rPr>
              <w:t>63</w:t>
            </w:r>
          </w:p>
        </w:tc>
        <w:tc>
          <w:tcPr>
            <w:tcW w:w="1010"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4DAF59C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5B148A2D" w14:textId="77777777">
            <w:pPr>
              <w:widowControl w:val="0"/>
              <w:autoSpaceDE w:val="0"/>
              <w:autoSpaceDN w:val="0"/>
              <w:adjustRightInd w:val="0"/>
              <w:spacing w:after="0" w:line="256" w:lineRule="auto"/>
              <w:ind w:left="0" w:firstLine="0"/>
              <w:jc w:val="right"/>
              <w:rPr>
                <w:color w:val="auto"/>
                <w:szCs w:val="24"/>
              </w:rPr>
            </w:pPr>
            <w:r>
              <w:rPr>
                <w:color w:val="auto"/>
                <w:szCs w:val="24"/>
              </w:rPr>
              <w:t>137</w:t>
            </w:r>
          </w:p>
        </w:tc>
      </w:tr>
      <w:tr w:rsidR="00DD755B" w14:paraId="4C3887C1" w14:textId="77777777">
        <w:trPr>
          <w:trHeight w:val="575"/>
          <w:jc w:val="right"/>
        </w:trPr>
        <w:tc>
          <w:tcPr>
            <w:tcW w:w="1442" w:type="pct"/>
            <w:tcBorders>
              <w:top w:val="single" w:color="auto" w:sz="4" w:space="0"/>
              <w:left w:val="single" w:color="auto" w:sz="4" w:space="0"/>
              <w:bottom w:val="single" w:color="auto" w:sz="4" w:space="0"/>
              <w:right w:val="single" w:color="auto" w:sz="4" w:space="0"/>
            </w:tcBorders>
            <w:hideMark/>
          </w:tcPr>
          <w:p w:rsidR="00DD755B" w:rsidRDefault="00383548" w14:paraId="7CD01497" w14:textId="77777777">
            <w:pPr>
              <w:widowControl w:val="0"/>
              <w:autoSpaceDE w:val="0"/>
              <w:autoSpaceDN w:val="0"/>
              <w:adjustRightInd w:val="0"/>
              <w:spacing w:after="0" w:line="256" w:lineRule="auto"/>
              <w:ind w:left="0" w:firstLine="0"/>
              <w:rPr>
                <w:color w:val="auto"/>
                <w:szCs w:val="24"/>
              </w:rPr>
            </w:pPr>
            <w:r>
              <w:rPr>
                <w:color w:val="auto"/>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55B2D41F" w14:textId="77777777">
            <w:pPr>
              <w:widowControl w:val="0"/>
              <w:autoSpaceDE w:val="0"/>
              <w:autoSpaceDN w:val="0"/>
              <w:adjustRightInd w:val="0"/>
              <w:spacing w:after="0" w:line="256" w:lineRule="auto"/>
              <w:ind w:left="0" w:firstLine="0"/>
              <w:jc w:val="right"/>
              <w:rPr>
                <w:color w:val="auto"/>
                <w:szCs w:val="24"/>
              </w:rPr>
            </w:pPr>
            <w:r>
              <w:rPr>
                <w:color w:val="auto"/>
                <w:szCs w:val="24"/>
              </w:rPr>
              <w:t>7,200</w:t>
            </w:r>
          </w:p>
        </w:tc>
        <w:tc>
          <w:tcPr>
            <w:tcW w:w="854"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48809F6C" w14:textId="77777777">
            <w:pPr>
              <w:widowControl w:val="0"/>
              <w:autoSpaceDE w:val="0"/>
              <w:autoSpaceDN w:val="0"/>
              <w:adjustRightInd w:val="0"/>
              <w:spacing w:after="0" w:line="256" w:lineRule="auto"/>
              <w:ind w:left="0" w:firstLine="0"/>
              <w:jc w:val="right"/>
              <w:rPr>
                <w:color w:val="auto"/>
                <w:szCs w:val="24"/>
              </w:rPr>
            </w:pPr>
            <w:r>
              <w:rPr>
                <w:color w:val="auto"/>
                <w:szCs w:val="24"/>
              </w:rPr>
              <w:t>1,890</w:t>
            </w:r>
          </w:p>
        </w:tc>
        <w:tc>
          <w:tcPr>
            <w:tcW w:w="1010"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0970DD3C"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49E408F5" w14:textId="77777777">
            <w:pPr>
              <w:widowControl w:val="0"/>
              <w:autoSpaceDE w:val="0"/>
              <w:autoSpaceDN w:val="0"/>
              <w:adjustRightInd w:val="0"/>
              <w:spacing w:after="0" w:line="256" w:lineRule="auto"/>
              <w:ind w:left="0" w:firstLine="0"/>
              <w:jc w:val="right"/>
              <w:rPr>
                <w:color w:val="auto"/>
                <w:szCs w:val="24"/>
              </w:rPr>
            </w:pPr>
            <w:r>
              <w:rPr>
                <w:color w:val="auto"/>
                <w:szCs w:val="24"/>
              </w:rPr>
              <w:t>5,310</w:t>
            </w:r>
          </w:p>
        </w:tc>
      </w:tr>
      <w:tr w:rsidR="00DD755B" w14:paraId="03261DF9"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hideMark/>
          </w:tcPr>
          <w:p w:rsidR="00DD755B" w:rsidRDefault="00383548" w14:paraId="2FBCCE68" w14:textId="77777777">
            <w:pPr>
              <w:widowControl w:val="0"/>
              <w:autoSpaceDE w:val="0"/>
              <w:autoSpaceDN w:val="0"/>
              <w:adjustRightInd w:val="0"/>
              <w:spacing w:after="0" w:line="256" w:lineRule="auto"/>
              <w:ind w:left="0" w:firstLine="0"/>
              <w:rPr>
                <w:color w:val="auto"/>
                <w:szCs w:val="24"/>
              </w:rPr>
            </w:pPr>
            <w:r>
              <w:rPr>
                <w:color w:val="auto"/>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794736B5"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54"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3C0AB02C"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1010"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0115498D"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28B3573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r>
      <w:tr w:rsidR="00DD755B" w14:paraId="272DB98F" w14:textId="77777777">
        <w:trPr>
          <w:trHeight w:val="295"/>
          <w:jc w:val="right"/>
        </w:trPr>
        <w:tc>
          <w:tcPr>
            <w:tcW w:w="5000" w:type="pct"/>
            <w:gridSpan w:val="5"/>
            <w:tcBorders>
              <w:top w:val="single" w:color="auto" w:sz="4" w:space="0"/>
              <w:left w:val="single" w:color="auto" w:sz="4" w:space="0"/>
              <w:bottom w:val="single" w:color="auto" w:sz="4" w:space="0"/>
              <w:right w:val="single" w:color="auto" w:sz="4" w:space="0"/>
            </w:tcBorders>
            <w:shd w:val="pct15" w:color="auto" w:fill="auto"/>
          </w:tcPr>
          <w:p w:rsidR="00DD755B" w:rsidRDefault="00383548" w14:paraId="68588686" w14:textId="77777777">
            <w:pPr>
              <w:widowControl w:val="0"/>
              <w:autoSpaceDE w:val="0"/>
              <w:autoSpaceDN w:val="0"/>
              <w:adjustRightInd w:val="0"/>
              <w:spacing w:after="0" w:line="256" w:lineRule="auto"/>
              <w:ind w:left="0" w:firstLine="0"/>
              <w:jc w:val="center"/>
              <w:rPr>
                <w:b/>
                <w:bCs/>
                <w:color w:val="auto"/>
                <w:szCs w:val="24"/>
              </w:rPr>
            </w:pPr>
            <w:r>
              <w:rPr>
                <w:b/>
                <w:bCs/>
                <w:color w:val="auto"/>
                <w:szCs w:val="24"/>
              </w:rPr>
              <w:t>FERC-516</w:t>
            </w:r>
          </w:p>
        </w:tc>
      </w:tr>
      <w:tr w:rsidR="00DD755B" w14:paraId="57E4580F"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203460D8" w14:textId="77777777">
            <w:pPr>
              <w:widowControl w:val="0"/>
              <w:autoSpaceDE w:val="0"/>
              <w:autoSpaceDN w:val="0"/>
              <w:adjustRightInd w:val="0"/>
              <w:spacing w:after="0" w:line="256" w:lineRule="auto"/>
              <w:ind w:left="0" w:firstLine="0"/>
              <w:rPr>
                <w:color w:val="auto"/>
                <w:szCs w:val="24"/>
              </w:rPr>
            </w:pPr>
            <w:r>
              <w:rPr>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1473F34C" w14:textId="77777777">
            <w:pPr>
              <w:widowControl w:val="0"/>
              <w:autoSpaceDE w:val="0"/>
              <w:autoSpaceDN w:val="0"/>
              <w:adjustRightInd w:val="0"/>
              <w:spacing w:after="0" w:line="256" w:lineRule="auto"/>
              <w:ind w:left="0" w:firstLine="0"/>
              <w:jc w:val="right"/>
              <w:rPr>
                <w:color w:val="auto"/>
                <w:szCs w:val="24"/>
              </w:rPr>
            </w:pPr>
            <w:r>
              <w:rPr>
                <w:color w:val="auto"/>
                <w:szCs w:val="24"/>
              </w:rPr>
              <w:t>6,925</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3F496042" w14:textId="77777777">
            <w:pPr>
              <w:widowControl w:val="0"/>
              <w:autoSpaceDE w:val="0"/>
              <w:autoSpaceDN w:val="0"/>
              <w:adjustRightInd w:val="0"/>
              <w:spacing w:after="0" w:line="256" w:lineRule="auto"/>
              <w:ind w:left="0" w:firstLine="0"/>
              <w:jc w:val="right"/>
              <w:rPr>
                <w:color w:val="auto"/>
                <w:szCs w:val="24"/>
              </w:rPr>
            </w:pPr>
            <w:r>
              <w:t>6,850</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7CFE9FE9"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383548" w14:paraId="4F49A8FA" w14:textId="77777777">
            <w:pPr>
              <w:widowControl w:val="0"/>
              <w:autoSpaceDE w:val="0"/>
              <w:autoSpaceDN w:val="0"/>
              <w:adjustRightInd w:val="0"/>
              <w:spacing w:after="0" w:line="256" w:lineRule="auto"/>
              <w:ind w:left="0" w:firstLine="0"/>
              <w:jc w:val="right"/>
              <w:rPr>
                <w:color w:val="auto"/>
                <w:szCs w:val="24"/>
              </w:rPr>
            </w:pPr>
            <w:r>
              <w:rPr>
                <w:color w:val="auto"/>
                <w:szCs w:val="24"/>
              </w:rPr>
              <w:t>75</w:t>
            </w:r>
          </w:p>
        </w:tc>
      </w:tr>
      <w:tr w:rsidR="00DD755B" w14:paraId="1DE2B99C"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6E131E19" w14:textId="77777777">
            <w:pPr>
              <w:widowControl w:val="0"/>
              <w:autoSpaceDE w:val="0"/>
              <w:autoSpaceDN w:val="0"/>
              <w:adjustRightInd w:val="0"/>
              <w:spacing w:after="0" w:line="256" w:lineRule="auto"/>
              <w:ind w:left="0" w:firstLine="0"/>
              <w:rPr>
                <w:color w:val="auto"/>
                <w:szCs w:val="24"/>
              </w:rPr>
            </w:pPr>
            <w:r>
              <w:rPr>
                <w:szCs w:val="24"/>
              </w:rPr>
              <w:t xml:space="preserve">Annual Time Burden </w:t>
            </w:r>
            <w:r>
              <w:rPr>
                <w:szCs w:val="24"/>
              </w:rPr>
              <w:lastRenderedPageBreak/>
              <w:t>(Hours)</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6E769F70" w14:textId="77777777">
            <w:pPr>
              <w:widowControl w:val="0"/>
              <w:autoSpaceDE w:val="0"/>
              <w:autoSpaceDN w:val="0"/>
              <w:adjustRightInd w:val="0"/>
              <w:spacing w:after="0" w:line="256" w:lineRule="auto"/>
              <w:ind w:left="0" w:firstLine="0"/>
              <w:jc w:val="right"/>
              <w:rPr>
                <w:color w:val="auto"/>
                <w:szCs w:val="24"/>
              </w:rPr>
            </w:pPr>
            <w:r>
              <w:rPr>
                <w:color w:val="auto"/>
                <w:szCs w:val="24"/>
              </w:rPr>
              <w:lastRenderedPageBreak/>
              <w:t>539,873</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57CF7D5A" w14:textId="77777777">
            <w:pPr>
              <w:widowControl w:val="0"/>
              <w:autoSpaceDE w:val="0"/>
              <w:autoSpaceDN w:val="0"/>
              <w:adjustRightInd w:val="0"/>
              <w:spacing w:after="0" w:line="256" w:lineRule="auto"/>
              <w:ind w:left="0" w:firstLine="0"/>
              <w:jc w:val="right"/>
              <w:rPr>
                <w:color w:val="auto"/>
                <w:szCs w:val="24"/>
              </w:rPr>
            </w:pPr>
            <w:r>
              <w:t>526,198</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4E08D4A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383548" w14:paraId="43D357F9" w14:textId="77777777">
            <w:pPr>
              <w:widowControl w:val="0"/>
              <w:autoSpaceDE w:val="0"/>
              <w:autoSpaceDN w:val="0"/>
              <w:adjustRightInd w:val="0"/>
              <w:spacing w:after="0" w:line="256" w:lineRule="auto"/>
              <w:ind w:left="0" w:firstLine="0"/>
              <w:jc w:val="right"/>
              <w:rPr>
                <w:color w:val="auto"/>
                <w:szCs w:val="24"/>
              </w:rPr>
            </w:pPr>
            <w:r>
              <w:rPr>
                <w:color w:val="auto"/>
                <w:szCs w:val="24"/>
              </w:rPr>
              <w:t>13,675</w:t>
            </w:r>
          </w:p>
        </w:tc>
      </w:tr>
      <w:tr w:rsidR="00DD755B" w14:paraId="671CF492"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1DF75A75" w14:textId="77777777">
            <w:pPr>
              <w:widowControl w:val="0"/>
              <w:autoSpaceDE w:val="0"/>
              <w:autoSpaceDN w:val="0"/>
              <w:adjustRightInd w:val="0"/>
              <w:spacing w:after="0" w:line="256" w:lineRule="auto"/>
              <w:ind w:left="0" w:firstLine="0"/>
              <w:rPr>
                <w:color w:val="auto"/>
                <w:szCs w:val="24"/>
              </w:rPr>
            </w:pPr>
            <w:r>
              <w:rPr>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35560A9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40E19674" w14:textId="77777777">
            <w:pPr>
              <w:widowControl w:val="0"/>
              <w:autoSpaceDE w:val="0"/>
              <w:autoSpaceDN w:val="0"/>
              <w:adjustRightInd w:val="0"/>
              <w:spacing w:after="0" w:line="256" w:lineRule="auto"/>
              <w:ind w:left="0" w:firstLine="0"/>
              <w:jc w:val="right"/>
              <w:rPr>
                <w:color w:val="auto"/>
                <w:szCs w:val="24"/>
              </w:rPr>
            </w:pPr>
            <w:r>
              <w:t>$0</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2955B82F"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383548" w14:paraId="5887A6F5"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r>
    </w:tbl>
    <w:p w:rsidR="00DD755B" w:rsidRDefault="00DD755B" w14:paraId="5CDF70A2" w14:textId="77777777">
      <w:pPr>
        <w:spacing w:after="0" w:line="259" w:lineRule="auto"/>
        <w:ind w:left="0" w:firstLine="0"/>
      </w:pPr>
    </w:p>
    <w:p w:rsidR="00DD755B" w:rsidRDefault="00383548" w14:paraId="02F0F0C4" w14:textId="77777777">
      <w:pPr>
        <w:pStyle w:val="Heading1"/>
        <w:spacing w:after="0" w:line="240" w:lineRule="auto"/>
        <w:ind w:left="0" w:firstLine="0"/>
      </w:pPr>
      <w:r>
        <w:rPr>
          <w:bCs/>
        </w:rPr>
        <w:t>16</w:t>
      </w:r>
      <w:r>
        <w:rPr>
          <w:b w:val="0"/>
        </w:rPr>
        <w:t>.</w:t>
      </w:r>
      <w:r>
        <w:rPr>
          <w:rFonts w:ascii="Arial" w:hAnsi="Arial" w:eastAsia="Arial" w:cs="Arial"/>
          <w:b w:val="0"/>
        </w:rPr>
        <w:t xml:space="preserve"> </w:t>
      </w:r>
      <w:r>
        <w:t>TIME SCHEDULE FOR THE PUBLICATION OF DATA</w:t>
      </w:r>
    </w:p>
    <w:p w:rsidR="00DD755B" w:rsidRDefault="00383548" w14:paraId="7051309E" w14:textId="77777777">
      <w:pPr>
        <w:spacing w:after="0" w:line="240" w:lineRule="auto"/>
        <w:ind w:left="360" w:firstLine="0"/>
      </w:pPr>
      <w:r>
        <w:rPr>
          <w:b/>
        </w:rPr>
        <w:t xml:space="preserve"> </w:t>
      </w:r>
    </w:p>
    <w:p w:rsidR="00DD755B" w:rsidRDefault="00383548" w14:paraId="75C31E0D" w14:textId="77777777">
      <w:pPr>
        <w:spacing w:line="240" w:lineRule="auto"/>
        <w:ind w:left="0" w:firstLine="0"/>
      </w:pPr>
      <w:r>
        <w:t xml:space="preserve">There are no publication plans for the collections of information.  </w:t>
      </w:r>
    </w:p>
    <w:p w:rsidR="00DD755B" w:rsidRDefault="00383548" w14:paraId="5964C4D8" w14:textId="77777777">
      <w:pPr>
        <w:spacing w:after="0" w:line="240" w:lineRule="auto"/>
        <w:ind w:left="360" w:firstLine="0"/>
      </w:pPr>
      <w:r>
        <w:t xml:space="preserve"> </w:t>
      </w:r>
    </w:p>
    <w:p w:rsidR="00DD755B" w:rsidRDefault="00383548" w14:paraId="09E07082" w14:textId="77777777">
      <w:pPr>
        <w:pStyle w:val="Heading1"/>
        <w:spacing w:line="240" w:lineRule="auto"/>
        <w:ind w:left="0" w:firstLine="0"/>
      </w:pPr>
      <w:r>
        <w:rPr>
          <w:bCs/>
        </w:rPr>
        <w:t>17</w:t>
      </w:r>
      <w:r>
        <w:rPr>
          <w:b w:val="0"/>
        </w:rPr>
        <w:t>.</w:t>
      </w:r>
      <w:r>
        <w:rPr>
          <w:rFonts w:ascii="Arial" w:hAnsi="Arial" w:eastAsia="Arial" w:cs="Arial"/>
          <w:b w:val="0"/>
        </w:rPr>
        <w:t xml:space="preserve"> </w:t>
      </w:r>
      <w:r>
        <w:t>DISPLAY OF THE EXPIRATION DATE</w:t>
      </w:r>
      <w:r>
        <w:rPr>
          <w:b w:val="0"/>
        </w:rPr>
        <w:t xml:space="preserve"> </w:t>
      </w:r>
    </w:p>
    <w:p w:rsidR="00DD755B" w:rsidRDefault="00383548" w14:paraId="0248DD22" w14:textId="77777777">
      <w:pPr>
        <w:spacing w:after="0" w:line="240" w:lineRule="auto"/>
        <w:ind w:left="360" w:firstLine="0"/>
        <w:rPr>
          <w:b/>
        </w:rPr>
      </w:pPr>
      <w:r>
        <w:rPr>
          <w:b/>
        </w:rPr>
        <w:t xml:space="preserve"> </w:t>
      </w:r>
    </w:p>
    <w:p w:rsidR="00DD755B" w:rsidRDefault="00383548" w14:paraId="405813C7" w14:textId="77777777">
      <w:pPr>
        <w:spacing w:after="0" w:line="240" w:lineRule="auto"/>
        <w:ind w:left="0" w:firstLine="0"/>
      </w:pPr>
      <w:r>
        <w:t xml:space="preserve">The OMB expiration dates are posted on </w:t>
      </w:r>
      <w:hyperlink w:history="1" r:id="rId13">
        <w:r>
          <w:rPr>
            <w:rStyle w:val="Hyperlink"/>
          </w:rPr>
          <w:t>http://www.ferc.gov/docs-filing/info-collections.asp</w:t>
        </w:r>
      </w:hyperlink>
      <w:r>
        <w:t>.  The expiration date of the FERC-730 is also posted on the form.</w:t>
      </w:r>
    </w:p>
    <w:p w:rsidR="00DD755B" w:rsidRDefault="00DD755B" w14:paraId="0DFB9C81" w14:textId="77777777">
      <w:pPr>
        <w:spacing w:after="0" w:line="240" w:lineRule="auto"/>
        <w:ind w:left="360" w:firstLine="0"/>
      </w:pPr>
    </w:p>
    <w:p w:rsidR="00DD755B" w:rsidRDefault="00383548" w14:paraId="08AFB7DD" w14:textId="77777777">
      <w:pPr>
        <w:pStyle w:val="Heading1"/>
        <w:spacing w:line="240" w:lineRule="auto"/>
        <w:ind w:left="0" w:firstLine="0"/>
      </w:pPr>
      <w:r>
        <w:rPr>
          <w:bCs/>
        </w:rPr>
        <w:t>18.</w:t>
      </w:r>
      <w:r>
        <w:rPr>
          <w:rFonts w:ascii="Arial" w:hAnsi="Arial" w:eastAsia="Arial" w:cs="Arial"/>
          <w:b w:val="0"/>
        </w:rPr>
        <w:t xml:space="preserve"> </w:t>
      </w:r>
      <w:r>
        <w:t>EXCEPTIONS TO THE CERTIFICATION STATEMENT</w:t>
      </w:r>
      <w:r>
        <w:rPr>
          <w:b w:val="0"/>
        </w:rPr>
        <w:t xml:space="preserve"> </w:t>
      </w:r>
    </w:p>
    <w:p w:rsidR="00DD755B" w:rsidRDefault="00383548" w14:paraId="582D5933" w14:textId="77777777">
      <w:pPr>
        <w:spacing w:after="0" w:line="240" w:lineRule="auto"/>
        <w:ind w:left="0" w:firstLine="0"/>
      </w:pPr>
      <w:r>
        <w:t xml:space="preserve"> </w:t>
      </w:r>
    </w:p>
    <w:p w:rsidR="00DD755B" w:rsidRDefault="00383548" w14:paraId="5EC3D10B" w14:textId="77777777">
      <w:pPr>
        <w:spacing w:line="240" w:lineRule="auto"/>
        <w:ind w:left="0" w:firstLine="0"/>
      </w:pPr>
      <w:r>
        <w:t xml:space="preserve">There are no exceptions. </w:t>
      </w:r>
    </w:p>
    <w:sectPr w:rsidR="00DD755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2C7B" w14:textId="77777777" w:rsidR="00262DE0" w:rsidRDefault="00262DE0">
      <w:pPr>
        <w:spacing w:after="0" w:line="240" w:lineRule="auto"/>
      </w:pPr>
      <w:r>
        <w:separator/>
      </w:r>
    </w:p>
  </w:endnote>
  <w:endnote w:type="continuationSeparator" w:id="0">
    <w:p w14:paraId="5F8A03F0" w14:textId="77777777" w:rsidR="00262DE0" w:rsidRDefault="00262DE0">
      <w:pPr>
        <w:spacing w:after="0" w:line="240" w:lineRule="auto"/>
      </w:pPr>
      <w:r>
        <w:continuationSeparator/>
      </w:r>
    </w:p>
  </w:endnote>
  <w:endnote w:type="continuationNotice" w:id="1">
    <w:p w14:paraId="60070A4E" w14:textId="77777777" w:rsidR="00262DE0" w:rsidRDefault="00262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2FAC" w14:textId="77777777" w:rsidR="00DD755B" w:rsidRDefault="003835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CC9906" w14:textId="77777777" w:rsidR="00DD755B" w:rsidRDefault="00383548">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706B" w14:textId="77777777" w:rsidR="00DD755B" w:rsidRDefault="00383548">
    <w:pPr>
      <w:spacing w:after="0" w:line="259" w:lineRule="auto"/>
      <w:ind w:left="0" w:right="1" w:firstLine="0"/>
      <w:jc w:val="right"/>
    </w:pPr>
    <w:r>
      <w:rPr>
        <w:szCs w:val="24"/>
      </w:rPr>
      <w:fldChar w:fldCharType="begin"/>
    </w:r>
    <w:r>
      <w:rPr>
        <w:szCs w:val="24"/>
      </w:rPr>
      <w:instrText xml:space="preserve"> PAGE   \* MERGEFORMAT </w:instrText>
    </w:r>
    <w:r>
      <w:rPr>
        <w:szCs w:val="24"/>
      </w:rPr>
      <w:fldChar w:fldCharType="separate"/>
    </w:r>
    <w:r>
      <w:rPr>
        <w:rFonts w:eastAsia="Calibri"/>
        <w:noProof/>
        <w:szCs w:val="24"/>
      </w:rPr>
      <w:t>8</w:t>
    </w:r>
    <w:r>
      <w:rPr>
        <w:rFonts w:eastAsia="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E15A" w14:textId="77777777" w:rsidR="00DD755B" w:rsidRDefault="003835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E222D3" w14:textId="77777777" w:rsidR="00DD755B" w:rsidRDefault="00383548">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D148" w14:textId="77777777" w:rsidR="00262DE0" w:rsidRDefault="00262DE0">
      <w:pPr>
        <w:spacing w:after="0"/>
        <w:ind w:left="360" w:firstLine="720"/>
      </w:pPr>
      <w:r>
        <w:separator/>
      </w:r>
    </w:p>
  </w:footnote>
  <w:footnote w:type="continuationSeparator" w:id="0">
    <w:p w14:paraId="51F03E63" w14:textId="77777777" w:rsidR="00262DE0" w:rsidRDefault="00262DE0">
      <w:pPr>
        <w:spacing w:after="0"/>
        <w:ind w:left="360" w:firstLine="720"/>
      </w:pPr>
      <w:r>
        <w:continuationSeparator/>
      </w:r>
    </w:p>
  </w:footnote>
  <w:footnote w:type="continuationNotice" w:id="1">
    <w:p w14:paraId="05D18F0E" w14:textId="77777777" w:rsidR="00262DE0" w:rsidRDefault="00262DE0">
      <w:pPr>
        <w:spacing w:after="0" w:line="240" w:lineRule="auto"/>
      </w:pPr>
    </w:p>
  </w:footnote>
  <w:footnote w:id="2">
    <w:p w14:paraId="1D958EA5" w14:textId="77777777" w:rsidR="00DD755B" w:rsidRDefault="00383548">
      <w:pPr>
        <w:pStyle w:val="FootnoteText"/>
        <w:ind w:left="0" w:firstLine="0"/>
        <w:rPr>
          <w:b/>
          <w:sz w:val="24"/>
          <w:szCs w:val="24"/>
          <w:u w:val="single"/>
        </w:rPr>
      </w:pPr>
      <w:r>
        <w:rPr>
          <w:rStyle w:val="FootnoteReference"/>
          <w:sz w:val="24"/>
          <w:szCs w:val="24"/>
        </w:rPr>
        <w:footnoteRef/>
      </w:r>
      <w:r>
        <w:rPr>
          <w:sz w:val="24"/>
          <w:szCs w:val="24"/>
        </w:rPr>
        <w:t xml:space="preserve"> 18 CFR 35.35.  </w:t>
      </w:r>
    </w:p>
  </w:footnote>
  <w:footnote w:id="3">
    <w:p w14:paraId="0D8DFFD3"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Energy Policy Act of 2005, Pub. L. No. 109-58, sec. 1241, 119 Stat. 594 (2005).</w:t>
      </w:r>
    </w:p>
  </w:footnote>
  <w:footnote w:id="4">
    <w:p w14:paraId="1B9BF7C1"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16 U.S.C. 824s.</w:t>
      </w:r>
    </w:p>
  </w:footnote>
  <w:footnote w:id="5">
    <w:p w14:paraId="497C6022"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w:t>
      </w:r>
      <w:r>
        <w:rPr>
          <w:i/>
          <w:sz w:val="24"/>
          <w:szCs w:val="24"/>
        </w:rPr>
        <w:t>Promoting Transmission Investment through Pricing Reform</w:t>
      </w:r>
      <w:r>
        <w:rPr>
          <w:sz w:val="24"/>
          <w:szCs w:val="24"/>
        </w:rPr>
        <w:t xml:space="preserve">, Order No. 679, 116 FERC ¶ 61,057, </w:t>
      </w:r>
      <w:r>
        <w:rPr>
          <w:i/>
          <w:sz w:val="24"/>
          <w:szCs w:val="24"/>
        </w:rPr>
        <w:t>order on reh’g</w:t>
      </w:r>
      <w:r>
        <w:rPr>
          <w:sz w:val="24"/>
          <w:szCs w:val="24"/>
        </w:rPr>
        <w:t xml:space="preserve">, Order No. 679-A, 117 FERC ¶ 61,345 (2006), </w:t>
      </w:r>
      <w:r>
        <w:rPr>
          <w:i/>
          <w:sz w:val="24"/>
          <w:szCs w:val="24"/>
        </w:rPr>
        <w:t xml:space="preserve">order on reh’g </w:t>
      </w:r>
      <w:r>
        <w:rPr>
          <w:sz w:val="24"/>
          <w:szCs w:val="24"/>
        </w:rPr>
        <w:t>119 FERC ¶ 61,062 (2007).</w:t>
      </w:r>
    </w:p>
  </w:footnote>
  <w:footnote w:id="6">
    <w:p w14:paraId="4380DAF5"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w:t>
      </w:r>
      <w:r>
        <w:rPr>
          <w:i/>
          <w:sz w:val="24"/>
          <w:szCs w:val="24"/>
        </w:rPr>
        <w:t>Promoting Transmission Investment through Pricing Reform</w:t>
      </w:r>
      <w:r>
        <w:rPr>
          <w:color w:val="auto"/>
          <w:sz w:val="24"/>
          <w:szCs w:val="24"/>
        </w:rPr>
        <w:t>, 141 FERC ¶ 61,129 (</w:t>
      </w:r>
      <w:r>
        <w:rPr>
          <w:sz w:val="24"/>
          <w:szCs w:val="24"/>
        </w:rPr>
        <w:t>2012) (2012 Policy Statement).</w:t>
      </w:r>
    </w:p>
  </w:footnote>
  <w:footnote w:id="7">
    <w:p w14:paraId="415CC457" w14:textId="77777777" w:rsidR="00DD755B" w:rsidRDefault="00383548">
      <w:pPr>
        <w:pStyle w:val="FootnoteText"/>
        <w:ind w:left="0" w:firstLine="0"/>
      </w:pPr>
      <w:r>
        <w:rPr>
          <w:rStyle w:val="FootnoteReference"/>
          <w:sz w:val="24"/>
          <w:szCs w:val="24"/>
        </w:rPr>
        <w:footnoteRef/>
      </w:r>
      <w:r>
        <w:rPr>
          <w:sz w:val="24"/>
          <w:szCs w:val="24"/>
        </w:rPr>
        <w:t xml:space="preserve"> </w:t>
      </w:r>
      <w:r>
        <w:rPr>
          <w:i/>
          <w:sz w:val="24"/>
          <w:szCs w:val="24"/>
        </w:rPr>
        <w:t>Transmission Planning and Cost Allocation by Transmission Owning and Operating Public Utilities</w:t>
      </w:r>
      <w:r>
        <w:rPr>
          <w:sz w:val="24"/>
          <w:szCs w:val="24"/>
        </w:rPr>
        <w:t xml:space="preserve">, Order No. 1000, 136 FERC ¶ 61,051 (2011), </w:t>
      </w:r>
      <w:r>
        <w:rPr>
          <w:i/>
          <w:sz w:val="24"/>
          <w:szCs w:val="24"/>
        </w:rPr>
        <w:t>order on reh’g</w:t>
      </w:r>
      <w:r>
        <w:rPr>
          <w:sz w:val="24"/>
          <w:szCs w:val="24"/>
        </w:rPr>
        <w:t xml:space="preserve">, Order No. 1000-A, 139 FERC ¶ 61,132, </w:t>
      </w:r>
      <w:r>
        <w:rPr>
          <w:i/>
          <w:sz w:val="24"/>
          <w:szCs w:val="24"/>
        </w:rPr>
        <w:t>order on reh’g and clarification</w:t>
      </w:r>
      <w:r>
        <w:rPr>
          <w:sz w:val="24"/>
          <w:szCs w:val="24"/>
        </w:rPr>
        <w:t xml:space="preserve">, Order No. 1000-B, 141 FERC ¶ 61,044 (2012), </w:t>
      </w:r>
      <w:r>
        <w:rPr>
          <w:i/>
          <w:sz w:val="24"/>
          <w:szCs w:val="24"/>
        </w:rPr>
        <w:t>aff'd sub nom. S.C. Pub. Serv. Auth. v. FERC</w:t>
      </w:r>
      <w:r>
        <w:rPr>
          <w:sz w:val="24"/>
          <w:szCs w:val="24"/>
        </w:rPr>
        <w:t>, 762 F.3d 41 (D.C. Cir. 2014).</w:t>
      </w:r>
    </w:p>
  </w:footnote>
  <w:footnote w:id="8">
    <w:p w14:paraId="1EE5278E"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The Commission defines a Transco as a stand-alone transmission company that has been approved by the Commission and that sells transmission service at wholesale and/or on an unbundled retail basis, regardless of whether it is affiliated with another public utility.  18 CFR 35.35(b)(1); Order No. 679, 116 FERC ¶ 61,057 at P 201.</w:t>
      </w:r>
    </w:p>
  </w:footnote>
  <w:footnote w:id="9">
    <w:p w14:paraId="582B4648" w14:textId="77777777" w:rsidR="00DD755B" w:rsidRDefault="00383548">
      <w:pPr>
        <w:pStyle w:val="FootnoteText"/>
        <w:ind w:left="0" w:firstLine="0"/>
        <w:rPr>
          <w:i/>
        </w:rPr>
      </w:pPr>
      <w:r>
        <w:rPr>
          <w:rStyle w:val="FootnoteReference"/>
          <w:sz w:val="24"/>
          <w:szCs w:val="24"/>
        </w:rPr>
        <w:footnoteRef/>
      </w:r>
      <w:r>
        <w:rPr>
          <w:sz w:val="24"/>
          <w:szCs w:val="24"/>
        </w:rPr>
        <w:t xml:space="preserve"> A Transmission Organization is defined as an RTO, ISO, independent transmission provider, or other organization finally approved by the Commission for the operation of transmission facilities.  16 U.S.C. 796(29); 18 CFR 35.35(b)(2).  The Commission is proposing to move the definition of Transmission Organization from § 35.35(b)(2) of its regulations to § 35.35(f) of the revised Transmission Incentives Regulations.</w:t>
      </w:r>
    </w:p>
  </w:footnote>
  <w:footnote w:id="10">
    <w:p w14:paraId="0F340DE1"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On 3/19.2020, the Commission issued an instant final rule clarifying the filing instructions for the current Form 730 at the request of the Office of Management and Budget (OMB).  </w:t>
      </w:r>
      <w:r>
        <w:rPr>
          <w:i/>
          <w:iCs/>
          <w:sz w:val="24"/>
          <w:szCs w:val="24"/>
        </w:rPr>
        <w:t>Reporting of Transmission Investments</w:t>
      </w:r>
      <w:r>
        <w:rPr>
          <w:sz w:val="24"/>
          <w:szCs w:val="24"/>
        </w:rPr>
        <w:t>, Order No. 869, 170 FERC ¶ 61,219 (2020). See https://elibrary.ferc.gov/idmws/common/opennat.asp?fileID=15487516.  Those changes are reflected in the Form 730 as proposed in this NOPR.</w:t>
      </w:r>
    </w:p>
  </w:footnote>
  <w:footnote w:id="11">
    <w:p w14:paraId="5B051C6C" w14:textId="77777777" w:rsidR="00DD755B" w:rsidRDefault="00383548">
      <w:pPr>
        <w:pStyle w:val="footnotedescription"/>
        <w:spacing w:line="249" w:lineRule="auto"/>
        <w:ind w:left="0" w:firstLine="0"/>
      </w:pPr>
      <w:r>
        <w:rPr>
          <w:rStyle w:val="footnotemark"/>
          <w:szCs w:val="24"/>
        </w:rPr>
        <w:footnoteRef/>
      </w:r>
      <w:r>
        <w:rPr>
          <w:szCs w:val="24"/>
        </w:rPr>
        <w:t xml:space="preserve"> </w:t>
      </w:r>
      <w:bookmarkStart w:id="5" w:name="_Hlk35858415"/>
      <w:r>
        <w:rPr>
          <w:szCs w:val="24"/>
        </w:rPr>
        <w:t>The NOPR is available in FERC’s eLibrary system at https://elibrary.ferc.gov/idmws/common/OpenNat.asp?fileID=15488496; a News Release is posted at http://www.ferc.gov/media/news-releases/2020/2020-1/03-19-20-E-1.pdf.  The NOPR will be published in the Federal Register.</w:t>
      </w:r>
      <w:bookmarkEnd w:id="5"/>
      <w:r>
        <w:rPr>
          <w:szCs w:val="24"/>
        </w:rPr>
        <w:t xml:space="preserve">  A partial dissent by Commissioner Richard Glick is posted at </w:t>
      </w:r>
      <w:hyperlink r:id="rId1" w:history="1">
        <w:r>
          <w:rPr>
            <w:rStyle w:val="Hyperlink"/>
            <w:szCs w:val="24"/>
          </w:rPr>
          <w:t>https://elibrary.ferc.gov/idmws/common/opennat.asp?fileID=15492856</w:t>
        </w:r>
      </w:hyperlink>
      <w:r>
        <w:rPr>
          <w:szCs w:val="24"/>
        </w:rPr>
        <w:t xml:space="preserve"> .</w:t>
      </w:r>
    </w:p>
  </w:footnote>
  <w:footnote w:id="12">
    <w:p w14:paraId="04EC23A2" w14:textId="77777777" w:rsidR="00DA2C1D" w:rsidRDefault="00DA2C1D" w:rsidP="00DA2C1D">
      <w:pPr>
        <w:pStyle w:val="FootnoteText"/>
      </w:pPr>
      <w:r>
        <w:rPr>
          <w:rStyle w:val="FootnoteReference"/>
        </w:rPr>
        <w:footnoteRef/>
      </w:r>
      <w:r>
        <w:t xml:space="preserve"> 85 FR at 18788.</w:t>
      </w:r>
    </w:p>
  </w:footnote>
  <w:footnote w:id="13">
    <w:p w14:paraId="721FA75C" w14:textId="77777777" w:rsidR="00DA2C1D" w:rsidRDefault="00DA2C1D" w:rsidP="00DA2C1D">
      <w:pPr>
        <w:pStyle w:val="FootnoteText"/>
      </w:pPr>
      <w:r>
        <w:rPr>
          <w:rStyle w:val="FootnoteReference"/>
        </w:rPr>
        <w:footnoteRef/>
      </w:r>
      <w:r>
        <w:t xml:space="preserve"> 16 U.S.C. 823(a).</w:t>
      </w:r>
    </w:p>
  </w:footnote>
  <w:footnote w:id="14">
    <w:p w14:paraId="6E20311A" w14:textId="77777777" w:rsidR="00DD755B" w:rsidRDefault="00383548">
      <w:pPr>
        <w:pStyle w:val="FootnoteText"/>
      </w:pPr>
      <w:r>
        <w:rPr>
          <w:rStyle w:val="FootnoteReference"/>
        </w:rPr>
        <w:footnoteRef/>
      </w:r>
      <w:r>
        <w:t xml:space="preserve"> Ex-ante means “before the event”.</w:t>
      </w:r>
    </w:p>
  </w:footnote>
  <w:footnote w:id="15">
    <w:p w14:paraId="6408926D" w14:textId="77777777" w:rsidR="00DD755B" w:rsidRDefault="00383548">
      <w:pPr>
        <w:pStyle w:val="FootnoteText"/>
      </w:pPr>
      <w:r>
        <w:rPr>
          <w:rStyle w:val="FootnoteReference"/>
        </w:rPr>
        <w:footnoteRef/>
      </w:r>
      <w:r>
        <w:t xml:space="preserve"> Ex-post means “after the event”.</w:t>
      </w:r>
    </w:p>
  </w:footnote>
  <w:footnote w:id="16">
    <w:p w14:paraId="37E653AA"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These values represent the theoretical maximum case in which a Transmission Owner applies for every type of incentive, and also files a transmission technology annual report.</w:t>
      </w:r>
    </w:p>
  </w:footnote>
  <w:footnote w:id="17">
    <w:p w14:paraId="1A246219" w14:textId="77777777" w:rsidR="00DD755B" w:rsidRDefault="00383548">
      <w:pPr>
        <w:pStyle w:val="FootnoteText"/>
        <w:ind w:left="90" w:hanging="90"/>
        <w:rPr>
          <w:sz w:val="24"/>
          <w:szCs w:val="24"/>
        </w:rPr>
      </w:pPr>
      <w:r>
        <w:rPr>
          <w:rStyle w:val="FootnoteReference"/>
          <w:sz w:val="24"/>
          <w:szCs w:val="24"/>
        </w:rPr>
        <w:footnoteRef/>
      </w:r>
      <w:r>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8">
    <w:p w14:paraId="00D41B8C" w14:textId="77777777" w:rsidR="00DD755B" w:rsidRDefault="00383548">
      <w:pPr>
        <w:pStyle w:val="FootnoteText"/>
        <w:ind w:left="90" w:hanging="90"/>
      </w:pPr>
      <w:r>
        <w:rPr>
          <w:rStyle w:val="FootnoteReference"/>
          <w:sz w:val="24"/>
          <w:szCs w:val="24"/>
        </w:rPr>
        <w:footnoteRef/>
      </w:r>
      <w:r>
        <w:rPr>
          <w:sz w:val="24"/>
          <w:szCs w:val="24"/>
        </w:rPr>
        <w:t xml:space="preserve"> Commission staff estimates that respondents’ hourly wages (including benefits) are comparable to those of FERC employees.  Therefore, the hourly cost used in this analysis is $80.00 ($169,091 per year).</w:t>
      </w:r>
    </w:p>
  </w:footnote>
  <w:footnote w:id="19">
    <w:p w14:paraId="643181C1" w14:textId="77777777" w:rsidR="00DD755B" w:rsidRDefault="00383548">
      <w:pPr>
        <w:pStyle w:val="FootnoteText"/>
        <w:ind w:left="0" w:firstLine="0"/>
        <w:rPr>
          <w:sz w:val="24"/>
          <w:szCs w:val="24"/>
        </w:rPr>
      </w:pPr>
      <w:r>
        <w:rPr>
          <w:rStyle w:val="FootnoteReference"/>
          <w:sz w:val="24"/>
          <w:szCs w:val="24"/>
        </w:rPr>
        <w:footnoteRef/>
      </w:r>
      <w:r>
        <w:rPr>
          <w:sz w:val="24"/>
          <w:szCs w:val="24"/>
        </w:rPr>
        <w:t xml:space="preserve"> The estimated additional filers are Transmission Providers not already receiving incentives. They are a subset of the 337 in #5 above.</w:t>
      </w:r>
    </w:p>
  </w:footnote>
  <w:footnote w:id="20">
    <w:p w14:paraId="5A4BB649" w14:textId="77777777" w:rsidR="00DD755B" w:rsidRDefault="00383548">
      <w:pPr>
        <w:ind w:left="90" w:hanging="90"/>
        <w:rPr>
          <w:szCs w:val="24"/>
        </w:rPr>
      </w:pPr>
      <w:r>
        <w:rPr>
          <w:rStyle w:val="FootnoteReference"/>
          <w:sz w:val="24"/>
          <w:szCs w:val="24"/>
        </w:rPr>
        <w:footnoteRef/>
      </w:r>
      <w:r>
        <w:rPr>
          <w:szCs w:val="24"/>
        </w:rPr>
        <w:t xml:space="preserve"> Based upon 2019 FERC FTE average annual salary plus benefits ($167,091/year), or $80/hour.</w:t>
      </w:r>
    </w:p>
  </w:footnote>
  <w:footnote w:id="21">
    <w:p w14:paraId="259CE66A" w14:textId="77777777" w:rsidR="00DD755B" w:rsidRDefault="00383548">
      <w:pPr>
        <w:pStyle w:val="FootnoteText"/>
        <w:ind w:left="90" w:hanging="90"/>
        <w:rPr>
          <w:sz w:val="26"/>
          <w:szCs w:val="26"/>
        </w:rPr>
      </w:pPr>
      <w:r>
        <w:rPr>
          <w:rStyle w:val="FootnoteReference"/>
          <w:sz w:val="24"/>
          <w:szCs w:val="24"/>
        </w:rPr>
        <w:footnoteRef/>
      </w:r>
      <w:r>
        <w:rPr>
          <w:sz w:val="24"/>
          <w:szCs w:val="24"/>
          <w:vertAlign w:val="superscript"/>
        </w:rPr>
        <w:t xml:space="preserve"> </w:t>
      </w:r>
      <w:r>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DC79" w14:textId="77777777" w:rsidR="00DD755B" w:rsidRDefault="00383548">
    <w:pPr>
      <w:spacing w:after="0" w:line="259" w:lineRule="auto"/>
      <w:ind w:left="360" w:firstLine="0"/>
    </w:pPr>
    <w:r>
      <w:t xml:space="preserve">FERC-516 &amp; FERC-730 (OMB Control Nos. 1902-0096 and 1902-0239)  </w:t>
    </w:r>
  </w:p>
  <w:p w14:paraId="66150936" w14:textId="77777777" w:rsidR="00DD755B" w:rsidRDefault="00383548">
    <w:pPr>
      <w:spacing w:after="0" w:line="259" w:lineRule="auto"/>
      <w:ind w:left="360" w:firstLine="0"/>
    </w:pPr>
    <w:r>
      <w:t xml:space="preserve">Proposed Rule, issued </w:t>
    </w:r>
    <w:r>
      <w:rPr>
        <w:shd w:val="clear" w:color="auto" w:fill="FFFF00"/>
      </w:rPr>
      <w:t>DATE</w:t>
    </w:r>
    <w:r>
      <w:t xml:space="preserve">),  Docket RM20-10-000 </w:t>
    </w:r>
  </w:p>
  <w:p w14:paraId="500F552D" w14:textId="77777777" w:rsidR="00DD755B" w:rsidRDefault="00383548">
    <w:pPr>
      <w:spacing w:after="0" w:line="259" w:lineRule="auto"/>
      <w:ind w:left="360" w:firstLine="0"/>
    </w:pPr>
    <w:r>
      <w:t>RIN: 1902-</w:t>
    </w:r>
    <w:r>
      <w:rPr>
        <w:shd w:val="clear" w:color="auto" w:fill="FFFF00"/>
      </w:rPr>
      <w:t>XXXX</w:t>
    </w:r>
    <w:r>
      <w:t xml:space="preserve"> </w:t>
    </w:r>
  </w:p>
  <w:p w14:paraId="77438326" w14:textId="77777777" w:rsidR="00DD755B" w:rsidRDefault="00383548">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718" w14:textId="77777777" w:rsidR="00DD755B" w:rsidRDefault="00383548">
    <w:pPr>
      <w:spacing w:after="0" w:line="259" w:lineRule="auto"/>
      <w:ind w:left="0" w:firstLine="0"/>
    </w:pPr>
    <w:r>
      <w:t xml:space="preserve">FERC-516 &amp; FERC-730 (OMB Control Nos. 1902-0096 and 1902-0239)  </w:t>
    </w:r>
  </w:p>
  <w:p w14:paraId="3A64A474" w14:textId="77777777" w:rsidR="00DD755B" w:rsidRDefault="00383548">
    <w:pPr>
      <w:spacing w:after="0" w:line="259" w:lineRule="auto"/>
      <w:ind w:left="0" w:firstLine="0"/>
    </w:pPr>
    <w:r>
      <w:t xml:space="preserve">Notice of Proposed Rulemaking, issued 3/20/2020, in Docket No. RM20-10-000 </w:t>
    </w:r>
  </w:p>
  <w:p w14:paraId="4205BCCC" w14:textId="77777777" w:rsidR="00DD755B" w:rsidRDefault="00383548">
    <w:pPr>
      <w:spacing w:after="0" w:line="259" w:lineRule="auto"/>
      <w:ind w:left="0" w:firstLine="0"/>
    </w:pPr>
    <w:r>
      <w:t>RIN: 1902-AF70</w:t>
    </w:r>
  </w:p>
  <w:p w14:paraId="7128C2F6" w14:textId="45801B18" w:rsidR="00DD755B" w:rsidRDefault="00383548">
    <w:pPr>
      <w:spacing w:after="0" w:line="259" w:lineRule="auto"/>
      <w:ind w:left="0" w:firstLine="0"/>
    </w:pPr>
    <w:r>
      <w:t>(updated 8/</w:t>
    </w:r>
    <w:r w:rsidR="00CE7745">
      <w:t>12</w:t>
    </w:r>
    <w: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CFF0" w14:textId="77777777" w:rsidR="00DD755B" w:rsidRDefault="00383548">
    <w:pPr>
      <w:spacing w:after="0" w:line="259" w:lineRule="auto"/>
      <w:ind w:left="360" w:firstLine="0"/>
    </w:pPr>
    <w:r>
      <w:t xml:space="preserve">FERC-516 &amp; FERC-730 (OMB Control Nos. 1902-0096 and 1902-0239)  </w:t>
    </w:r>
  </w:p>
  <w:p w14:paraId="4CC330AF" w14:textId="77777777" w:rsidR="00DD755B" w:rsidRDefault="00383548">
    <w:pPr>
      <w:spacing w:after="0" w:line="259" w:lineRule="auto"/>
      <w:ind w:left="360" w:firstLine="0"/>
    </w:pPr>
    <w:r>
      <w:t xml:space="preserve">Proposed Rule, issued </w:t>
    </w:r>
    <w:r>
      <w:rPr>
        <w:shd w:val="clear" w:color="auto" w:fill="FFFF00"/>
      </w:rPr>
      <w:t>DATE</w:t>
    </w:r>
    <w:r>
      <w:t xml:space="preserve">),  Docket RM20-10-000 </w:t>
    </w:r>
  </w:p>
  <w:p w14:paraId="772F8535" w14:textId="77777777" w:rsidR="00DD755B" w:rsidRDefault="00383548">
    <w:pPr>
      <w:spacing w:after="0" w:line="259" w:lineRule="auto"/>
      <w:ind w:left="360" w:firstLine="0"/>
    </w:pPr>
    <w:r>
      <w:t>RIN: 1902-</w:t>
    </w:r>
    <w:r>
      <w:rPr>
        <w:shd w:val="clear" w:color="auto" w:fill="FFFF00"/>
      </w:rPr>
      <w:t>XXXX</w:t>
    </w:r>
    <w:r>
      <w:t xml:space="preserve"> </w:t>
    </w:r>
  </w:p>
  <w:p w14:paraId="75164813" w14:textId="77777777" w:rsidR="00DD755B" w:rsidRDefault="00383548">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960B5"/>
    <w:multiLevelType w:val="hybridMultilevel"/>
    <w:tmpl w:val="AAA61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ABF37B7"/>
    <w:multiLevelType w:val="hybridMultilevel"/>
    <w:tmpl w:val="70E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7C92"/>
    <w:multiLevelType w:val="hybridMultilevel"/>
    <w:tmpl w:val="75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70FF6"/>
    <w:multiLevelType w:val="hybridMultilevel"/>
    <w:tmpl w:val="F594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07DD"/>
    <w:multiLevelType w:val="hybridMultilevel"/>
    <w:tmpl w:val="6F326084"/>
    <w:lvl w:ilvl="0" w:tplc="4766A27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30117E">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23F6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E5904">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4A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80D5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E8EA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E9418">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0A8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0A6A08"/>
    <w:multiLevelType w:val="hybridMultilevel"/>
    <w:tmpl w:val="F4842288"/>
    <w:lvl w:ilvl="0" w:tplc="1228DC3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975499"/>
    <w:multiLevelType w:val="hybridMultilevel"/>
    <w:tmpl w:val="845890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C2D27"/>
    <w:multiLevelType w:val="hybridMultilevel"/>
    <w:tmpl w:val="14C2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9836C1"/>
    <w:multiLevelType w:val="hybridMultilevel"/>
    <w:tmpl w:val="7B54AC36"/>
    <w:lvl w:ilvl="0" w:tplc="04090001">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5CC78B3"/>
    <w:multiLevelType w:val="hybridMultilevel"/>
    <w:tmpl w:val="98C64E7C"/>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0" w15:restartNumberingAfterBreak="0">
    <w:nsid w:val="465C6DB2"/>
    <w:multiLevelType w:val="hybridMultilevel"/>
    <w:tmpl w:val="5A668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E3710"/>
    <w:multiLevelType w:val="hybridMultilevel"/>
    <w:tmpl w:val="E1506C12"/>
    <w:lvl w:ilvl="0" w:tplc="60D43168">
      <w:start w:val="2"/>
      <w:numFmt w:val="decimal"/>
      <w:lvlText w:val="%1)"/>
      <w:lvlJc w:val="left"/>
      <w:pPr>
        <w:ind w:left="2516" w:hanging="360"/>
      </w:pPr>
      <w:rPr>
        <w:rFonts w:hint="default"/>
      </w:r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2" w15:restartNumberingAfterBreak="0">
    <w:nsid w:val="4BDD1B71"/>
    <w:multiLevelType w:val="hybridMultilevel"/>
    <w:tmpl w:val="C4C203F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A79D9"/>
    <w:multiLevelType w:val="hybridMultilevel"/>
    <w:tmpl w:val="0B341360"/>
    <w:lvl w:ilvl="0" w:tplc="04090017">
      <w:start w:val="1"/>
      <w:numFmt w:val="low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4" w15:restartNumberingAfterBreak="0">
    <w:nsid w:val="5A4270E3"/>
    <w:multiLevelType w:val="hybridMultilevel"/>
    <w:tmpl w:val="211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56119"/>
    <w:multiLevelType w:val="hybridMultilevel"/>
    <w:tmpl w:val="940E59B0"/>
    <w:lvl w:ilvl="0" w:tplc="43F2F5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294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6A98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07A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A0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69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52B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15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322D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1E11E7"/>
    <w:multiLevelType w:val="hybridMultilevel"/>
    <w:tmpl w:val="009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61D7B"/>
    <w:multiLevelType w:val="hybridMultilevel"/>
    <w:tmpl w:val="5F9E928A"/>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8" w15:restartNumberingAfterBreak="0">
    <w:nsid w:val="6E9B7C6F"/>
    <w:multiLevelType w:val="hybridMultilevel"/>
    <w:tmpl w:val="139803CC"/>
    <w:lvl w:ilvl="0" w:tplc="F57AD2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98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02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469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4EA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8BA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0C43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85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8C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F72274"/>
    <w:multiLevelType w:val="hybridMultilevel"/>
    <w:tmpl w:val="C9D22DB0"/>
    <w:lvl w:ilvl="0" w:tplc="4880B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2C3A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850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CDA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649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402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E88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234F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4C850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D85F1B"/>
    <w:multiLevelType w:val="hybridMultilevel"/>
    <w:tmpl w:val="BB66AD9A"/>
    <w:lvl w:ilvl="0" w:tplc="5CB8524A">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40B3AC">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7A399A">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CC467DC">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9A79D0">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3459DA">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34D44A">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52D88A">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8A112">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5227796"/>
    <w:multiLevelType w:val="hybridMultilevel"/>
    <w:tmpl w:val="2FD21864"/>
    <w:lvl w:ilvl="0" w:tplc="21CA8692">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340BE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7E085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5043D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224C02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59E8B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61C53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F6851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AA638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2" w15:restartNumberingAfterBreak="0">
    <w:nsid w:val="7AF729A4"/>
    <w:multiLevelType w:val="hybridMultilevel"/>
    <w:tmpl w:val="F3C0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B09D3"/>
    <w:multiLevelType w:val="hybridMultilevel"/>
    <w:tmpl w:val="18B42A12"/>
    <w:lvl w:ilvl="0" w:tplc="53148C9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8"/>
  </w:num>
  <w:num w:numId="5">
    <w:abstractNumId w:val="15"/>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0"/>
  </w:num>
  <w:num w:numId="10">
    <w:abstractNumId w:val="2"/>
  </w:num>
  <w:num w:numId="11">
    <w:abstractNumId w:val="13"/>
  </w:num>
  <w:num w:numId="12">
    <w:abstractNumId w:val="1"/>
  </w:num>
  <w:num w:numId="13">
    <w:abstractNumId w:val="9"/>
  </w:num>
  <w:num w:numId="14">
    <w:abstractNumId w:val="5"/>
  </w:num>
  <w:num w:numId="15">
    <w:abstractNumId w:val="22"/>
  </w:num>
  <w:num w:numId="16">
    <w:abstractNumId w:val="12"/>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6"/>
  </w:num>
  <w:num w:numId="22">
    <w:abstractNumId w:val="3"/>
  </w:num>
  <w:num w:numId="23">
    <w:abstractNumId w:val="16"/>
  </w:num>
  <w:num w:numId="24">
    <w:abstractNumId w:val="17"/>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5B"/>
    <w:rsid w:val="000C1731"/>
    <w:rsid w:val="00124E0D"/>
    <w:rsid w:val="00262DE0"/>
    <w:rsid w:val="00383548"/>
    <w:rsid w:val="005A2F69"/>
    <w:rsid w:val="007E4792"/>
    <w:rsid w:val="00CE7745"/>
    <w:rsid w:val="00DA2C1D"/>
    <w:rsid w:val="00DD755B"/>
    <w:rsid w:val="00F4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98021"/>
  <w15:docId w15:val="{BE3C2549-7371-49DA-9257-90D65471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 w:line="249" w:lineRule="auto"/>
      <w:ind w:left="3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2115"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
    <w:basedOn w:val="Normal"/>
    <w:link w:val="FootnoteTextChar"/>
    <w:uiPriority w:val="99"/>
    <w:semiHidden/>
    <w:unhideWhenUsed/>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uiPriority w:val="99"/>
    <w:semiHidden/>
    <w:rPr>
      <w:rFonts w:ascii="Times New Roman" w:eastAsia="Times New Roman" w:hAnsi="Times New Roman" w:cs="Times New Roman"/>
      <w:color w:val="000000"/>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semiHidden/>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semiHidden/>
    <w:unhideWhenUsed/>
    <w:pPr>
      <w:widowControl w:val="0"/>
      <w:spacing w:after="0" w:line="240" w:lineRule="auto"/>
      <w:ind w:left="0" w:firstLine="0"/>
    </w:pPr>
    <w:rPr>
      <w:rFonts w:ascii="Arial" w:eastAsiaTheme="minorHAnsi" w:hAnsi="Arial" w:cs="Arial"/>
      <w:color w:val="auto"/>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8281">
      <w:bodyDiv w:val="1"/>
      <w:marLeft w:val="0"/>
      <w:marRight w:val="0"/>
      <w:marTop w:val="0"/>
      <w:marBottom w:val="0"/>
      <w:divBdr>
        <w:top w:val="none" w:sz="0" w:space="0" w:color="auto"/>
        <w:left w:val="none" w:sz="0" w:space="0" w:color="auto"/>
        <w:bottom w:val="none" w:sz="0" w:space="0" w:color="auto"/>
        <w:right w:val="none" w:sz="0" w:space="0" w:color="auto"/>
      </w:divBdr>
    </w:div>
    <w:div w:id="437215237">
      <w:bodyDiv w:val="1"/>
      <w:marLeft w:val="0"/>
      <w:marRight w:val="0"/>
      <w:marTop w:val="0"/>
      <w:marBottom w:val="0"/>
      <w:divBdr>
        <w:top w:val="none" w:sz="0" w:space="0" w:color="auto"/>
        <w:left w:val="none" w:sz="0" w:space="0" w:color="auto"/>
        <w:bottom w:val="none" w:sz="0" w:space="0" w:color="auto"/>
        <w:right w:val="none" w:sz="0" w:space="0" w:color="auto"/>
      </w:divBdr>
    </w:div>
    <w:div w:id="457604609">
      <w:bodyDiv w:val="1"/>
      <w:marLeft w:val="0"/>
      <w:marRight w:val="0"/>
      <w:marTop w:val="0"/>
      <w:marBottom w:val="0"/>
      <w:divBdr>
        <w:top w:val="none" w:sz="0" w:space="0" w:color="auto"/>
        <w:left w:val="none" w:sz="0" w:space="0" w:color="auto"/>
        <w:bottom w:val="none" w:sz="0" w:space="0" w:color="auto"/>
        <w:right w:val="none" w:sz="0" w:space="0" w:color="auto"/>
      </w:divBdr>
    </w:div>
    <w:div w:id="544950127">
      <w:bodyDiv w:val="1"/>
      <w:marLeft w:val="0"/>
      <w:marRight w:val="0"/>
      <w:marTop w:val="0"/>
      <w:marBottom w:val="0"/>
      <w:divBdr>
        <w:top w:val="none" w:sz="0" w:space="0" w:color="auto"/>
        <w:left w:val="none" w:sz="0" w:space="0" w:color="auto"/>
        <w:bottom w:val="none" w:sz="0" w:space="0" w:color="auto"/>
        <w:right w:val="none" w:sz="0" w:space="0" w:color="auto"/>
      </w:divBdr>
    </w:div>
    <w:div w:id="592935342">
      <w:bodyDiv w:val="1"/>
      <w:marLeft w:val="0"/>
      <w:marRight w:val="0"/>
      <w:marTop w:val="0"/>
      <w:marBottom w:val="0"/>
      <w:divBdr>
        <w:top w:val="none" w:sz="0" w:space="0" w:color="auto"/>
        <w:left w:val="none" w:sz="0" w:space="0" w:color="auto"/>
        <w:bottom w:val="none" w:sz="0" w:space="0" w:color="auto"/>
        <w:right w:val="none" w:sz="0" w:space="0" w:color="auto"/>
      </w:divBdr>
    </w:div>
    <w:div w:id="965349577">
      <w:bodyDiv w:val="1"/>
      <w:marLeft w:val="0"/>
      <w:marRight w:val="0"/>
      <w:marTop w:val="0"/>
      <w:marBottom w:val="0"/>
      <w:divBdr>
        <w:top w:val="none" w:sz="0" w:space="0" w:color="auto"/>
        <w:left w:val="none" w:sz="0" w:space="0" w:color="auto"/>
        <w:bottom w:val="none" w:sz="0" w:space="0" w:color="auto"/>
        <w:right w:val="none" w:sz="0" w:space="0" w:color="auto"/>
      </w:divBdr>
    </w:div>
    <w:div w:id="1132751486">
      <w:bodyDiv w:val="1"/>
      <w:marLeft w:val="0"/>
      <w:marRight w:val="0"/>
      <w:marTop w:val="0"/>
      <w:marBottom w:val="0"/>
      <w:divBdr>
        <w:top w:val="none" w:sz="0" w:space="0" w:color="auto"/>
        <w:left w:val="none" w:sz="0" w:space="0" w:color="auto"/>
        <w:bottom w:val="none" w:sz="0" w:space="0" w:color="auto"/>
        <w:right w:val="none" w:sz="0" w:space="0" w:color="auto"/>
      </w:divBdr>
    </w:div>
    <w:div w:id="1156341617">
      <w:bodyDiv w:val="1"/>
      <w:marLeft w:val="0"/>
      <w:marRight w:val="0"/>
      <w:marTop w:val="0"/>
      <w:marBottom w:val="0"/>
      <w:divBdr>
        <w:top w:val="none" w:sz="0" w:space="0" w:color="auto"/>
        <w:left w:val="none" w:sz="0" w:space="0" w:color="auto"/>
        <w:bottom w:val="none" w:sz="0" w:space="0" w:color="auto"/>
        <w:right w:val="none" w:sz="0" w:space="0" w:color="auto"/>
      </w:divBdr>
    </w:div>
    <w:div w:id="1188367153">
      <w:bodyDiv w:val="1"/>
      <w:marLeft w:val="0"/>
      <w:marRight w:val="0"/>
      <w:marTop w:val="0"/>
      <w:marBottom w:val="0"/>
      <w:divBdr>
        <w:top w:val="none" w:sz="0" w:space="0" w:color="auto"/>
        <w:left w:val="none" w:sz="0" w:space="0" w:color="auto"/>
        <w:bottom w:val="none" w:sz="0" w:space="0" w:color="auto"/>
        <w:right w:val="none" w:sz="0" w:space="0" w:color="auto"/>
      </w:divBdr>
    </w:div>
    <w:div w:id="1249650945">
      <w:bodyDiv w:val="1"/>
      <w:marLeft w:val="0"/>
      <w:marRight w:val="0"/>
      <w:marTop w:val="0"/>
      <w:marBottom w:val="0"/>
      <w:divBdr>
        <w:top w:val="none" w:sz="0" w:space="0" w:color="auto"/>
        <w:left w:val="none" w:sz="0" w:space="0" w:color="auto"/>
        <w:bottom w:val="none" w:sz="0" w:space="0" w:color="auto"/>
        <w:right w:val="none" w:sz="0" w:space="0" w:color="auto"/>
      </w:divBdr>
    </w:div>
    <w:div w:id="1359508801">
      <w:bodyDiv w:val="1"/>
      <w:marLeft w:val="0"/>
      <w:marRight w:val="0"/>
      <w:marTop w:val="0"/>
      <w:marBottom w:val="0"/>
      <w:divBdr>
        <w:top w:val="none" w:sz="0" w:space="0" w:color="auto"/>
        <w:left w:val="none" w:sz="0" w:space="0" w:color="auto"/>
        <w:bottom w:val="none" w:sz="0" w:space="0" w:color="auto"/>
        <w:right w:val="none" w:sz="0" w:space="0" w:color="auto"/>
      </w:divBdr>
    </w:div>
    <w:div w:id="1363822816">
      <w:bodyDiv w:val="1"/>
      <w:marLeft w:val="0"/>
      <w:marRight w:val="0"/>
      <w:marTop w:val="0"/>
      <w:marBottom w:val="0"/>
      <w:divBdr>
        <w:top w:val="none" w:sz="0" w:space="0" w:color="auto"/>
        <w:left w:val="none" w:sz="0" w:space="0" w:color="auto"/>
        <w:bottom w:val="none" w:sz="0" w:space="0" w:color="auto"/>
        <w:right w:val="none" w:sz="0" w:space="0" w:color="auto"/>
      </w:divBdr>
    </w:div>
    <w:div w:id="1508518734">
      <w:bodyDiv w:val="1"/>
      <w:marLeft w:val="0"/>
      <w:marRight w:val="0"/>
      <w:marTop w:val="0"/>
      <w:marBottom w:val="0"/>
      <w:divBdr>
        <w:top w:val="none" w:sz="0" w:space="0" w:color="auto"/>
        <w:left w:val="none" w:sz="0" w:space="0" w:color="auto"/>
        <w:bottom w:val="none" w:sz="0" w:space="0" w:color="auto"/>
        <w:right w:val="none" w:sz="0" w:space="0" w:color="auto"/>
      </w:divBdr>
    </w:div>
    <w:div w:id="1556503483">
      <w:bodyDiv w:val="1"/>
      <w:marLeft w:val="0"/>
      <w:marRight w:val="0"/>
      <w:marTop w:val="0"/>
      <w:marBottom w:val="0"/>
      <w:divBdr>
        <w:top w:val="none" w:sz="0" w:space="0" w:color="auto"/>
        <w:left w:val="none" w:sz="0" w:space="0" w:color="auto"/>
        <w:bottom w:val="none" w:sz="0" w:space="0" w:color="auto"/>
        <w:right w:val="none" w:sz="0" w:space="0" w:color="auto"/>
      </w:divBdr>
    </w:div>
    <w:div w:id="1558468613">
      <w:bodyDiv w:val="1"/>
      <w:marLeft w:val="0"/>
      <w:marRight w:val="0"/>
      <w:marTop w:val="0"/>
      <w:marBottom w:val="0"/>
      <w:divBdr>
        <w:top w:val="none" w:sz="0" w:space="0" w:color="auto"/>
        <w:left w:val="none" w:sz="0" w:space="0" w:color="auto"/>
        <w:bottom w:val="none" w:sz="0" w:space="0" w:color="auto"/>
        <w:right w:val="none" w:sz="0" w:space="0" w:color="auto"/>
      </w:divBdr>
    </w:div>
    <w:div w:id="1616056319">
      <w:bodyDiv w:val="1"/>
      <w:marLeft w:val="0"/>
      <w:marRight w:val="0"/>
      <w:marTop w:val="0"/>
      <w:marBottom w:val="0"/>
      <w:divBdr>
        <w:top w:val="none" w:sz="0" w:space="0" w:color="auto"/>
        <w:left w:val="none" w:sz="0" w:space="0" w:color="auto"/>
        <w:bottom w:val="none" w:sz="0" w:space="0" w:color="auto"/>
        <w:right w:val="none" w:sz="0" w:space="0" w:color="auto"/>
      </w:divBdr>
    </w:div>
    <w:div w:id="1770614664">
      <w:bodyDiv w:val="1"/>
      <w:marLeft w:val="0"/>
      <w:marRight w:val="0"/>
      <w:marTop w:val="0"/>
      <w:marBottom w:val="0"/>
      <w:divBdr>
        <w:top w:val="none" w:sz="0" w:space="0" w:color="auto"/>
        <w:left w:val="none" w:sz="0" w:space="0" w:color="auto"/>
        <w:bottom w:val="none" w:sz="0" w:space="0" w:color="auto"/>
        <w:right w:val="none" w:sz="0" w:space="0" w:color="auto"/>
      </w:divBdr>
    </w:div>
    <w:div w:id="1779522282">
      <w:bodyDiv w:val="1"/>
      <w:marLeft w:val="0"/>
      <w:marRight w:val="0"/>
      <w:marTop w:val="0"/>
      <w:marBottom w:val="0"/>
      <w:divBdr>
        <w:top w:val="none" w:sz="0" w:space="0" w:color="auto"/>
        <w:left w:val="none" w:sz="0" w:space="0" w:color="auto"/>
        <w:bottom w:val="none" w:sz="0" w:space="0" w:color="auto"/>
        <w:right w:val="none" w:sz="0" w:space="0" w:color="auto"/>
      </w:divBdr>
    </w:div>
    <w:div w:id="212056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492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2020-08-12T04:00:00+00:00</Date>
    <Status xmlns="d6eefc7d-9817-4fa6-84d5-3bc009be21b8">Draft</Status>
    <_x0032__x002e__x0020_Docket_x0020_Number xmlns="d6eefc7d-9817-4fa6-84d5-3bc009be21b8" xsi:nil="true"/>
    <_x0032__x002e__x0020_Collection_x0020_Number xmlns="d6eefc7d-9817-4fa6-84d5-3bc009be21b8">730</_x0032__x002e__x0020_Collection_x0020_Number>
    <_x0031__x002e__x0020_Docket_x0020_Number xmlns="d6eefc7d-9817-4fa6-84d5-3bc009be21b8">RM20-10</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2.xml><?xml version="1.0" encoding="utf-8"?>
<ds:datastoreItem xmlns:ds="http://schemas.openxmlformats.org/officeDocument/2006/customXml" ds:itemID="{626376D4-D74D-43DB-9A5C-5E765D5E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8104B-6FCA-477B-A1F0-654026D903F8}">
  <ds:schemaRefs>
    <ds:schemaRef ds:uri="http://schemas.microsoft.com/office/2006/metadata/customXsn"/>
  </ds:schemaRefs>
</ds:datastoreItem>
</file>

<file path=customXml/itemProps4.xml><?xml version="1.0" encoding="utf-8"?>
<ds:datastoreItem xmlns:ds="http://schemas.openxmlformats.org/officeDocument/2006/customXml" ds:itemID="{709BD5E9-6322-4225-8BCB-FF512B735564}">
  <ds:schemaRefs>
    <ds:schemaRef ds:uri="d6eefc7d-9817-4fa6-84d5-3bc009be21b8"/>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681FE39-37CC-4D67-A921-E8BA7C41C015}">
  <ds:schemaRefs>
    <ds:schemaRef ds:uri="Microsoft.SharePoint.Taxonomy.ContentTypeSync"/>
  </ds:schemaRefs>
</ds:datastoreItem>
</file>

<file path=customXml/itemProps6.xml><?xml version="1.0" encoding="utf-8"?>
<ds:datastoreItem xmlns:ds="http://schemas.openxmlformats.org/officeDocument/2006/customXml" ds:itemID="{A48E0D15-0C22-468F-8E51-9AFA4F54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RM20-10 NOPR</vt:lpstr>
    </vt:vector>
  </TitlesOfParts>
  <Company>Federal Energy Regulatory Commission</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RM20-10 NOPR</dc:title>
  <dc:subject/>
  <dc:creator>anthony.may@ferc.gov</dc:creator>
  <cp:keywords/>
  <cp:lastModifiedBy>Ellen Brown</cp:lastModifiedBy>
  <cp:revision>11</cp:revision>
  <dcterms:created xsi:type="dcterms:W3CDTF">2020-08-12T17:06:00Z</dcterms:created>
  <dcterms:modified xsi:type="dcterms:W3CDTF">2020-08-12T18:30:00Z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2020-03-18T15:57:59.1704810Z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4af7b95f-bf52-4fcc-a844-265254dc3eb6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