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91dc9d47f75f429a"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3AAE" w:rsidR="00DB3AAE" w:rsidP="00DB3AAE" w:rsidRDefault="00DB3AAE" w14:paraId="5CF169E2" w14:textId="77777777">
      <w:pPr>
        <w:jc w:val="center"/>
        <w:rPr>
          <w:bCs/>
        </w:rPr>
      </w:pPr>
      <w:bookmarkStart w:name="_GoBack" w:id="0"/>
      <w:bookmarkEnd w:id="0"/>
      <w:r w:rsidRPr="00DB3AAE">
        <w:rPr>
          <w:bCs/>
        </w:rPr>
        <w:t>UNITED STATES OF AMERICA</w:t>
      </w:r>
    </w:p>
    <w:p w:rsidRPr="00DB3AAE" w:rsidR="00DB3AAE" w:rsidP="00DB3AAE" w:rsidRDefault="00DB3AAE" w14:paraId="3477F4FE" w14:textId="77777777">
      <w:pPr>
        <w:jc w:val="center"/>
        <w:rPr>
          <w:bCs/>
        </w:rPr>
      </w:pPr>
      <w:r w:rsidRPr="00DB3AAE">
        <w:rPr>
          <w:bCs/>
        </w:rPr>
        <w:t>FEDERAL ENERGY REGULATORY COMMISSION</w:t>
      </w:r>
    </w:p>
    <w:p w:rsidRPr="00DB3AAE" w:rsidR="00DB3AAE" w:rsidP="00DB3AAE" w:rsidRDefault="00DB3AAE" w14:paraId="78FE91B5" w14:textId="77777777">
      <w:pPr>
        <w:jc w:val="center"/>
        <w:rPr>
          <w:bCs/>
        </w:rPr>
      </w:pPr>
    </w:p>
    <w:p w:rsidRPr="00DB3AAE" w:rsidR="00DB3AAE" w:rsidP="00DB3AAE" w:rsidRDefault="00DB3AAE" w14:paraId="5928BA00" w14:textId="77777777">
      <w:pPr>
        <w:jc w:val="center"/>
        <w:rPr>
          <w:bCs/>
        </w:rPr>
      </w:pPr>
      <w:r w:rsidRPr="00DB3AAE">
        <w:rPr>
          <w:bCs/>
        </w:rPr>
        <w:t>(Issued March 25, 2020)</w:t>
      </w:r>
    </w:p>
    <w:p w:rsidRPr="00DB3AAE" w:rsidR="00DB3AAE" w:rsidP="00DB3AAE" w:rsidRDefault="00DB3AAE" w14:paraId="0A74658C" w14:textId="77777777">
      <w:pPr>
        <w:jc w:val="center"/>
        <w:rPr>
          <w:bCs/>
        </w:rPr>
      </w:pPr>
    </w:p>
    <w:p w:rsidRPr="00DB3AAE" w:rsidR="00DB3AAE" w:rsidP="00DB3AAE" w:rsidRDefault="00DB3AAE" w14:paraId="2E6873A4" w14:textId="77777777">
      <w:pPr>
        <w:jc w:val="center"/>
        <w:rPr>
          <w:bCs/>
        </w:rPr>
      </w:pPr>
    </w:p>
    <w:p w:rsidR="00DB3AAE" w:rsidP="00DB3AAE" w:rsidRDefault="00DB3AAE" w14:paraId="075C8CBA" w14:textId="30E5ECF5">
      <w:pPr>
        <w:rPr>
          <w:bCs/>
        </w:rPr>
      </w:pPr>
      <w:r w:rsidRPr="00DB3AAE">
        <w:rPr>
          <w:bCs/>
        </w:rPr>
        <w:tab/>
        <w:t xml:space="preserve">Attached is the statement by Commissioner Glick dissenting in part to an order   issued on March 20, 2020, in the above referenced proceeding.  </w:t>
      </w:r>
      <w:r w:rsidRPr="00DB3AAE">
        <w:rPr>
          <w:bCs/>
          <w:i/>
          <w:iCs/>
        </w:rPr>
        <w:t>Electric Transmission Incentives Policy Under Section 219 of the Federal Power Act</w:t>
      </w:r>
      <w:r w:rsidRPr="00DB3AAE">
        <w:rPr>
          <w:bCs/>
        </w:rPr>
        <w:t>, 170 FERC ¶ 61,204 (2020).</w:t>
      </w:r>
    </w:p>
    <w:p w:rsidR="00DB3AAE" w:rsidP="00DB3AAE" w:rsidRDefault="00DB3AAE" w14:paraId="7FC03204" w14:textId="0B4BBA71">
      <w:pPr>
        <w:widowControl/>
        <w:rPr>
          <w:bCs/>
        </w:rPr>
      </w:pPr>
    </w:p>
    <w:p w:rsidR="00DB3AAE" w:rsidP="00DB3AAE" w:rsidRDefault="00DB3AAE" w14:paraId="733C459B" w14:textId="6A47533A">
      <w:pPr>
        <w:widowControl/>
        <w:rPr>
          <w:bCs/>
        </w:rPr>
      </w:pPr>
    </w:p>
    <w:p w:rsidR="00DB3AAE" w:rsidP="00DB3AAE" w:rsidRDefault="00DB3AAE" w14:paraId="4D50C517" w14:textId="2EA5E836">
      <w:pPr>
        <w:widowControl/>
        <w:rPr>
          <w:bCs/>
        </w:rPr>
      </w:pPr>
    </w:p>
    <w:p w:rsidR="00DB3AAE" w:rsidP="00DB3AAE" w:rsidRDefault="00DB3AAE" w14:paraId="2DCA25D4" w14:textId="3F19F10F">
      <w:pPr>
        <w:widowControl/>
        <w:rPr>
          <w:bCs/>
        </w:rPr>
      </w:pPr>
    </w:p>
    <w:p w:rsidRPr="00DB3AAE" w:rsidR="00DB3AAE" w:rsidP="00DB3AAE" w:rsidRDefault="00DB3AAE" w14:paraId="6141AB62" w14:textId="28B7053A">
      <w:pPr>
        <w:widowControl/>
        <w:ind w:firstLine="2606"/>
        <w:jc w:val="center"/>
      </w:pPr>
      <w:r w:rsidRPr="00DB3AAE">
        <w:t>Nathaniel J. Davis, Sr.,</w:t>
      </w:r>
    </w:p>
    <w:p w:rsidRPr="00DB3AAE" w:rsidR="00DB3AAE" w:rsidP="00DB3AAE" w:rsidRDefault="00DB3AAE" w14:paraId="780EDF8A" w14:textId="10504FD9">
      <w:pPr>
        <w:widowControl/>
        <w:ind w:firstLine="2606"/>
        <w:jc w:val="center"/>
      </w:pPr>
      <w:r w:rsidRPr="00DB3AAE">
        <w:t>Deputy Secretary.</w:t>
      </w:r>
    </w:p>
    <w:p w:rsidRPr="00DB3AAE" w:rsidR="00DB3AAE" w:rsidP="00DB3AAE" w:rsidRDefault="00DB3AAE" w14:paraId="11CE0C35" w14:textId="77777777">
      <w:pPr>
        <w:widowControl/>
        <w:rPr>
          <w:bCs/>
        </w:rPr>
      </w:pPr>
    </w:p>
    <w:p w:rsidR="00DB3AAE" w:rsidP="001642F7" w:rsidRDefault="00DB3AAE" w14:paraId="17E31D78" w14:textId="77777777">
      <w:pPr>
        <w:jc w:val="center"/>
        <w:rPr>
          <w:b/>
        </w:rPr>
        <w:sectPr w:rsidR="00DB3AAE" w:rsidSect="004441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numberInDash" w:start="1"/>
          <w:cols w:space="720"/>
          <w:titlePg/>
          <w:docGrid w:linePitch="360"/>
        </w:sectPr>
      </w:pPr>
    </w:p>
    <w:p w:rsidRPr="00CD0B38" w:rsidR="0044414A" w:rsidP="001642F7" w:rsidRDefault="0044414A" w14:paraId="40B7BD3D" w14:textId="7BE83FC3">
      <w:pPr>
        <w:jc w:val="center"/>
      </w:pPr>
      <w:r>
        <w:rPr>
          <w:b/>
        </w:rPr>
        <w:lastRenderedPageBreak/>
        <w:fldChar w:fldCharType="begin"/>
      </w:r>
      <w:r>
        <w:rPr>
          <w:b/>
        </w:rPr>
        <w:instrText xml:space="preserve"> MACROBUTTON  AcceptAllChangesInDoc </w:instrText>
      </w:r>
      <w:r>
        <w:rPr>
          <w:b/>
        </w:rPr>
        <w:fldChar w:fldCharType="end"/>
      </w:r>
      <w:r w:rsidRPr="00CD0B38">
        <w:t>UNITED STATES OF AMERICA</w:t>
      </w:r>
    </w:p>
    <w:p w:rsidRPr="00CD0B38" w:rsidR="0044414A" w:rsidP="001642F7" w:rsidRDefault="0044414A" w14:paraId="63E3929E" w14:textId="77777777">
      <w:pPr>
        <w:jc w:val="center"/>
      </w:pPr>
      <w:r w:rsidRPr="00CD0B38">
        <w:t>FEDERAL ENERGY REGULATORY COMMISSION</w:t>
      </w:r>
    </w:p>
    <w:p w:rsidRPr="00CD0B38" w:rsidR="0044414A" w:rsidP="00C22D8B" w:rsidRDefault="0044414A" w14:paraId="2C7C9FD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45"/>
        <w:gridCol w:w="1537"/>
        <w:gridCol w:w="1878"/>
      </w:tblGrid>
      <w:tr w:rsidRPr="00CD0B38" w:rsidR="0044414A" w:rsidTr="0044414A" w14:paraId="1B1A7975" w14:textId="77777777">
        <w:tc>
          <w:tcPr>
            <w:tcW w:w="5945" w:type="dxa"/>
            <w:shd w:val="clear" w:color="auto" w:fill="auto"/>
          </w:tcPr>
          <w:p w:rsidR="0044414A" w:rsidP="0044414A" w:rsidRDefault="0044414A" w14:paraId="440D299D" w14:textId="77777777">
            <w:r>
              <w:rPr>
                <w:bCs/>
              </w:rPr>
              <w:t>Electric Transmission Incentives Policy Under Section 219 of the Federal Power Act</w:t>
            </w:r>
          </w:p>
        </w:tc>
        <w:tc>
          <w:tcPr>
            <w:tcW w:w="1537" w:type="dxa"/>
            <w:shd w:val="clear" w:color="auto" w:fill="auto"/>
          </w:tcPr>
          <w:p w:rsidR="0044414A" w:rsidP="0044414A" w:rsidRDefault="0044414A" w14:paraId="48024773" w14:textId="77777777">
            <w:r>
              <w:t>Docket No.</w:t>
            </w:r>
          </w:p>
        </w:tc>
        <w:tc>
          <w:tcPr>
            <w:tcW w:w="1878" w:type="dxa"/>
            <w:shd w:val="clear" w:color="auto" w:fill="auto"/>
            <w:tcMar>
              <w:left w:w="144" w:type="dxa"/>
            </w:tcMar>
          </w:tcPr>
          <w:p w:rsidR="0044414A" w:rsidP="0044414A" w:rsidRDefault="0044414A" w14:paraId="1A7BD155" w14:textId="77777777">
            <w:r>
              <w:t>RM20-10-000</w:t>
            </w:r>
          </w:p>
        </w:tc>
      </w:tr>
    </w:tbl>
    <w:p w:rsidRPr="00CD0B38" w:rsidR="0044414A" w:rsidP="001642F7" w:rsidRDefault="0044414A" w14:paraId="61B22D3B" w14:textId="77777777"/>
    <w:p w:rsidRPr="00CD0B38" w:rsidR="0044414A" w:rsidP="00C22D8B" w:rsidRDefault="0044414A" w14:paraId="0B7E2553" w14:textId="77777777">
      <w:pPr>
        <w:jc w:val="center"/>
      </w:pPr>
    </w:p>
    <w:p w:rsidRPr="00C26B1C" w:rsidR="0044414A" w:rsidP="00C26B1C" w:rsidRDefault="0044414A" w14:paraId="016AA26B" w14:textId="34F11B22">
      <w:pPr>
        <w:jc w:val="center"/>
      </w:pPr>
      <w:r w:rsidRPr="00CD0B38">
        <w:t>(</w:t>
      </w:r>
      <w:r>
        <w:t xml:space="preserve">Issued </w:t>
      </w:r>
      <w:r w:rsidRPr="00CD0B38">
        <w:fldChar w:fldCharType="begin"/>
      </w:r>
      <w:r w:rsidRPr="00CD0B38">
        <w:instrText xml:space="preserve"> MACROBUTTON  AcceptAllChangesInDoc </w:instrText>
      </w:r>
      <w:r w:rsidRPr="00CD0B38">
        <w:fldChar w:fldCharType="end"/>
      </w:r>
      <w:r w:rsidR="00253219">
        <w:t>March 25, 2020</w:t>
      </w:r>
      <w:r w:rsidRPr="00CD0B38">
        <w:t>)</w:t>
      </w:r>
    </w:p>
    <w:p w:rsidR="0044414A" w:rsidP="00C22D8B" w:rsidRDefault="0044414A" w14:paraId="72E59E5D" w14:textId="77777777">
      <w:pPr>
        <w:rPr>
          <w:bCs/>
        </w:rPr>
      </w:pPr>
    </w:p>
    <w:p w:rsidR="0044414A" w:rsidP="00C22D8B" w:rsidRDefault="0044414A" w14:paraId="6DF9382A" w14:textId="77777777">
      <w:pPr>
        <w:rPr>
          <w:bCs/>
        </w:rPr>
      </w:pPr>
      <w:bookmarkStart w:name="Commissioner" w:id="1"/>
      <w:bookmarkEnd w:id="1"/>
      <w:r>
        <w:rPr>
          <w:bCs/>
        </w:rPr>
        <w:t xml:space="preserve">GLICK, Commissioner, </w:t>
      </w:r>
      <w:r>
        <w:rPr>
          <w:bCs/>
          <w:i/>
        </w:rPr>
        <w:t>dissenting in part</w:t>
      </w:r>
      <w:r>
        <w:rPr>
          <w:bCs/>
        </w:rPr>
        <w:t xml:space="preserve">: </w:t>
      </w:r>
      <w:bookmarkStart w:name="Action1" w:id="2"/>
      <w:bookmarkEnd w:id="2"/>
    </w:p>
    <w:p w:rsidRPr="00C26B1C" w:rsidR="0044414A" w:rsidP="00C22D8B" w:rsidRDefault="0044414A" w14:paraId="0CEC9BAC" w14:textId="77777777">
      <w:pPr>
        <w:rPr>
          <w:bCs/>
        </w:rPr>
      </w:pPr>
    </w:p>
    <w:p w:rsidR="0044414A" w:rsidP="00964625" w:rsidRDefault="0044414A" w14:paraId="6C1CC510" w14:textId="72D7A7E3">
      <w:pPr>
        <w:pStyle w:val="FERCparanumber"/>
      </w:pPr>
      <w:r>
        <w:t xml:space="preserve">I agree with </w:t>
      </w:r>
      <w:r w:rsidR="00A406E0">
        <w:t xml:space="preserve">some </w:t>
      </w:r>
      <w:r w:rsidR="00820474">
        <w:t>of</w:t>
      </w:r>
      <w:r w:rsidR="00A7401F">
        <w:t xml:space="preserve"> this</w:t>
      </w:r>
      <w:r>
        <w:t xml:space="preserve"> notice of proposed rulemaking (NOPR</w:t>
      </w:r>
      <w:r w:rsidR="00820474">
        <w:t>)</w:t>
      </w:r>
      <w:r w:rsidR="00A406E0">
        <w:t>.</w:t>
      </w:r>
      <w:r w:rsidR="00701B98">
        <w:t xml:space="preserve"> </w:t>
      </w:r>
      <w:r>
        <w:t xml:space="preserve"> I writ</w:t>
      </w:r>
      <w:r w:rsidR="009C244F">
        <w:t>e</w:t>
      </w:r>
      <w:r>
        <w:t xml:space="preserve"> separately to highlight </w:t>
      </w:r>
      <w:r w:rsidR="000002D6">
        <w:t xml:space="preserve">aspects of the NOPR </w:t>
      </w:r>
      <w:r w:rsidR="00734C8F">
        <w:t xml:space="preserve">that merit particular attention by commenters </w:t>
      </w:r>
      <w:r w:rsidR="000002D6">
        <w:t xml:space="preserve">as well as </w:t>
      </w:r>
      <w:r w:rsidR="00734C8F">
        <w:t>other</w:t>
      </w:r>
      <w:r w:rsidR="009C244F">
        <w:t xml:space="preserve">s </w:t>
      </w:r>
      <w:r w:rsidR="000002D6">
        <w:t xml:space="preserve">that </w:t>
      </w:r>
      <w:r w:rsidR="009C244F">
        <w:t xml:space="preserve">appear to </w:t>
      </w:r>
      <w:r w:rsidR="000002D6">
        <w:t xml:space="preserve">be </w:t>
      </w:r>
      <w:r>
        <w:t xml:space="preserve">flatly unjust and reasonable or otherwise fall short of </w:t>
      </w:r>
      <w:r w:rsidR="00A406E0">
        <w:t>Congress</w:t>
      </w:r>
      <w:r w:rsidR="00075B69">
        <w:t>’</w:t>
      </w:r>
      <w:r w:rsidR="00A406E0">
        <w:t xml:space="preserve"> direction in </w:t>
      </w:r>
      <w:r w:rsidR="00075B69">
        <w:t>s</w:t>
      </w:r>
      <w:r w:rsidR="00A406E0">
        <w:t>ection 219 of the Federal Power Act</w:t>
      </w:r>
      <w:r w:rsidR="00A406E0">
        <w:rPr>
          <w:rStyle w:val="FootnoteReference"/>
        </w:rPr>
        <w:footnoteReference w:id="2"/>
      </w:r>
      <w:r w:rsidR="008B5ECB">
        <w:t xml:space="preserve"> (FPA)</w:t>
      </w:r>
      <w:r w:rsidR="00A406E0">
        <w:t xml:space="preserve"> </w:t>
      </w:r>
      <w:r>
        <w:t xml:space="preserve">to </w:t>
      </w:r>
      <w:r w:rsidR="008B5ECB">
        <w:t>incentivize</w:t>
      </w:r>
      <w:r>
        <w:t xml:space="preserve"> the development of a transmission system</w:t>
      </w:r>
      <w:r w:rsidR="00BA7759">
        <w:t xml:space="preserve"> that gives </w:t>
      </w:r>
      <w:r w:rsidR="000711F6">
        <w:t>customers</w:t>
      </w:r>
      <w:r w:rsidR="00BA7759">
        <w:t xml:space="preserve"> their money’s worth</w:t>
      </w:r>
      <w:r>
        <w:t>.</w:t>
      </w:r>
      <w:r w:rsidR="00734C8F">
        <w:t xml:space="preserve">  </w:t>
      </w:r>
    </w:p>
    <w:p w:rsidR="00B772E5" w:rsidP="00D6699E" w:rsidRDefault="001C03D6" w14:paraId="26C0DDC4" w14:textId="77777777">
      <w:pPr>
        <w:pStyle w:val="Heading1"/>
      </w:pPr>
      <w:r>
        <w:t xml:space="preserve">The </w:t>
      </w:r>
      <w:r w:rsidR="00B772E5">
        <w:t>Transco Incentive</w:t>
      </w:r>
    </w:p>
    <w:p w:rsidRPr="00B772E5" w:rsidR="00B772E5" w:rsidP="00B77514" w:rsidRDefault="00B772E5" w14:paraId="500871DB" w14:textId="6ABE0355">
      <w:pPr>
        <w:pStyle w:val="FERCparanumber"/>
      </w:pPr>
      <w:r>
        <w:t xml:space="preserve">Let’s start with the good.  I fully support the Commission’s proposal to eliminate Transco-specific incentives.  Like my colleagues, I recognize that </w:t>
      </w:r>
      <w:proofErr w:type="spellStart"/>
      <w:r>
        <w:t>Transcos</w:t>
      </w:r>
      <w:proofErr w:type="spellEnd"/>
      <w:r>
        <w:t xml:space="preserve"> have played a role in developing new transmission infrastructure.</w:t>
      </w:r>
      <w:r>
        <w:rPr>
          <w:rStyle w:val="FootnoteReference"/>
        </w:rPr>
        <w:footnoteReference w:id="3"/>
      </w:r>
      <w:r>
        <w:t xml:space="preserve">  But I also agree that the record </w:t>
      </w:r>
      <w:r w:rsidR="00B77514">
        <w:t xml:space="preserve">before us </w:t>
      </w:r>
      <w:r>
        <w:t>reflects that the “</w:t>
      </w:r>
      <w:r w:rsidRPr="00B772E5">
        <w:t>Transco business model has not enhanced the deployment of transmission infrastructure sufficiently to justify incentives based on this business model</w:t>
      </w:r>
      <w:r>
        <w:t>.”</w:t>
      </w:r>
      <w:r>
        <w:rPr>
          <w:rStyle w:val="FootnoteReference"/>
        </w:rPr>
        <w:footnoteReference w:id="4"/>
      </w:r>
      <w:r>
        <w:t xml:space="preserve">  As I have previously </w:t>
      </w:r>
      <w:r w:rsidR="006B5BFC">
        <w:t>observed</w:t>
      </w:r>
      <w:r>
        <w:t>, it is “</w:t>
      </w:r>
      <w:r w:rsidRPr="00B772E5">
        <w:t xml:space="preserve">not clear that </w:t>
      </w:r>
      <w:proofErr w:type="spellStart"/>
      <w:r w:rsidRPr="00B772E5">
        <w:t>Transcos</w:t>
      </w:r>
      <w:proofErr w:type="spellEnd"/>
      <w:r w:rsidRPr="00B772E5">
        <w:t xml:space="preserve"> are superior to other public utilities that can and do invest in transmission facilities— including competitively developed transmission facilities—or that awarding </w:t>
      </w:r>
      <w:proofErr w:type="spellStart"/>
      <w:r w:rsidRPr="00B772E5">
        <w:t>Transcos</w:t>
      </w:r>
      <w:proofErr w:type="spellEnd"/>
      <w:r w:rsidRPr="00B772E5">
        <w:t xml:space="preserve"> a higher ROE actually leads to greater transmission investment</w:t>
      </w:r>
      <w:r>
        <w:t>.”</w:t>
      </w:r>
      <w:r>
        <w:rPr>
          <w:rStyle w:val="FootnoteReference"/>
        </w:rPr>
        <w:footnoteReference w:id="5"/>
      </w:r>
      <w:r>
        <w:t xml:space="preserve">  In light of those facts, I do not believe that it is appropriate to continue requiring customers served by a Transco to pay a </w:t>
      </w:r>
      <w:r>
        <w:lastRenderedPageBreak/>
        <w:t xml:space="preserve">higher ROE.  </w:t>
      </w:r>
      <w:r w:rsidR="00B77514">
        <w:t xml:space="preserve">I believe that the </w:t>
      </w:r>
      <w:r>
        <w:t xml:space="preserve">proposal to eliminate those incentives will </w:t>
      </w:r>
      <w:r w:rsidR="00820474">
        <w:t xml:space="preserve">help </w:t>
      </w:r>
      <w:r>
        <w:t>meet our statutory obligation to ensure that incentive rates are just and reasonable.</w:t>
      </w:r>
      <w:r>
        <w:rPr>
          <w:rStyle w:val="FootnoteReference"/>
        </w:rPr>
        <w:footnoteReference w:id="6"/>
      </w:r>
      <w:r>
        <w:t xml:space="preserve"> </w:t>
      </w:r>
    </w:p>
    <w:p w:rsidR="0044414A" w:rsidP="00D6699E" w:rsidRDefault="001C03D6" w14:paraId="6F04CD9A" w14:textId="467A73F4">
      <w:pPr>
        <w:pStyle w:val="Heading1"/>
      </w:pPr>
      <w:r>
        <w:t xml:space="preserve">The Shift </w:t>
      </w:r>
      <w:r w:rsidR="0044414A">
        <w:t xml:space="preserve">from </w:t>
      </w:r>
      <w:r>
        <w:t>R</w:t>
      </w:r>
      <w:r w:rsidR="0044414A">
        <w:t>i</w:t>
      </w:r>
      <w:r w:rsidR="007D03A2">
        <w:t xml:space="preserve">sks and </w:t>
      </w:r>
      <w:r>
        <w:t>C</w:t>
      </w:r>
      <w:r w:rsidR="007D03A2">
        <w:t xml:space="preserve">hallenges to </w:t>
      </w:r>
      <w:r>
        <w:t>B</w:t>
      </w:r>
      <w:r w:rsidR="007D03A2">
        <w:t>enefits</w:t>
      </w:r>
    </w:p>
    <w:p w:rsidR="000002D6" w:rsidP="00701B98" w:rsidRDefault="00C350EC" w14:paraId="26506E21" w14:textId="41DA2C4D">
      <w:pPr>
        <w:pStyle w:val="FERCparanumber"/>
      </w:pPr>
      <w:r w:rsidRPr="00701B98">
        <w:t>I also support the Commission’s propos</w:t>
      </w:r>
      <w:r w:rsidR="006C254A">
        <w:t xml:space="preserve">al to </w:t>
      </w:r>
      <w:r w:rsidR="00075B69">
        <w:t xml:space="preserve">award incentives based </w:t>
      </w:r>
      <w:r w:rsidRPr="00701B98">
        <w:t>on a transmission facility’s benefits, rather than its risks and challenges.</w:t>
      </w:r>
      <w:r w:rsidR="001C03D6">
        <w:rPr>
          <w:rStyle w:val="FootnoteReference"/>
        </w:rPr>
        <w:footnoteReference w:id="7"/>
      </w:r>
      <w:r w:rsidRPr="00701B98">
        <w:t xml:space="preserve">  </w:t>
      </w:r>
      <w:r w:rsidRPr="00701B98" w:rsidR="00021186">
        <w:t>Section 219</w:t>
      </w:r>
      <w:r w:rsidRPr="00701B98" w:rsidR="00F73B06">
        <w:t xml:space="preserve"> instructs the Commission to set up a transmission incentives regime “for the purpose of benefitting consumers by ensuring reliability and reducing the cost of delivered power by reducing transmission congestion.”</w:t>
      </w:r>
      <w:r w:rsidRPr="004D2726" w:rsidR="00701B98">
        <w:rPr>
          <w:rStyle w:val="FootnoteReference"/>
        </w:rPr>
        <w:footnoteReference w:id="8"/>
      </w:r>
      <w:r w:rsidRPr="00701B98" w:rsidR="00701B98">
        <w:t xml:space="preserve">  Granting incentives to benefit customers is what Congress instructed us to do and that should be the focus of our analysis.  Moreover, incentivizing beneficial transmission projects, as opposed to those fa</w:t>
      </w:r>
      <w:r w:rsidR="002766F3">
        <w:t>cing risks and challenges</w:t>
      </w:r>
      <w:r w:rsidRPr="00701B98" w:rsidR="00701B98">
        <w:t>, is more likely to prove a wise use of customers’ money.</w:t>
      </w:r>
      <w:r w:rsidR="000002D6">
        <w:t xml:space="preserve">  </w:t>
      </w:r>
    </w:p>
    <w:p w:rsidR="002D3697" w:rsidP="00701B98" w:rsidRDefault="000002D6" w14:paraId="769DB217" w14:textId="11F9B3DB">
      <w:pPr>
        <w:pStyle w:val="FERCparanumber"/>
      </w:pPr>
      <w:r>
        <w:t xml:space="preserve">Nevertheless, while I support the shift to benefits, I am concerned that </w:t>
      </w:r>
      <w:r w:rsidR="00A7401F">
        <w:t>t</w:t>
      </w:r>
      <w:r w:rsidR="002766F3">
        <w:t>he</w:t>
      </w:r>
      <w:r>
        <w:t xml:space="preserve"> NOPR omits what should be </w:t>
      </w:r>
      <w:r w:rsidR="00075B69">
        <w:t xml:space="preserve">a </w:t>
      </w:r>
      <w:r>
        <w:t xml:space="preserve">bedrock principle of any effort to </w:t>
      </w:r>
      <w:r w:rsidR="006C254A">
        <w:t xml:space="preserve">administer </w:t>
      </w:r>
      <w:r>
        <w:t>section 219:  That incentives must</w:t>
      </w:r>
      <w:r w:rsidR="006C254A">
        <w:t xml:space="preserve"> actually</w:t>
      </w:r>
      <w:r>
        <w:t xml:space="preserve"> incentivize something.  </w:t>
      </w:r>
      <w:r w:rsidR="00734C8F">
        <w:t xml:space="preserve">A payment that does not incentivize anything is </w:t>
      </w:r>
      <w:r>
        <w:t>a handout, not an incentive.</w:t>
      </w:r>
      <w:r w:rsidR="00411334">
        <w:rPr>
          <w:rStyle w:val="FootnoteReference"/>
        </w:rPr>
        <w:footnoteReference w:id="9"/>
      </w:r>
      <w:r w:rsidR="00411334">
        <w:t xml:space="preserve">  </w:t>
      </w:r>
      <w:r w:rsidR="00734C8F">
        <w:t>H</w:t>
      </w:r>
      <w:r w:rsidR="00411334">
        <w:t xml:space="preserve">anding out customers’ money to transmission owners without a strong belief that </w:t>
      </w:r>
      <w:r w:rsidR="00734C8F">
        <w:t xml:space="preserve">that </w:t>
      </w:r>
      <w:r w:rsidR="00411334">
        <w:t xml:space="preserve">money will induce beneficial conduct </w:t>
      </w:r>
      <w:r w:rsidR="00EF20B1">
        <w:t xml:space="preserve">is </w:t>
      </w:r>
      <w:r w:rsidR="006C254A">
        <w:t>un</w:t>
      </w:r>
      <w:r w:rsidR="00411334">
        <w:t xml:space="preserve">just and </w:t>
      </w:r>
      <w:r w:rsidR="006C254A">
        <w:t>un</w:t>
      </w:r>
      <w:r w:rsidR="00411334">
        <w:t xml:space="preserve">reasonable </w:t>
      </w:r>
      <w:r w:rsidR="006B5BFC">
        <w:t xml:space="preserve">and </w:t>
      </w:r>
      <w:r w:rsidR="006C254A">
        <w:t>in</w:t>
      </w:r>
      <w:r w:rsidR="00411334">
        <w:t xml:space="preserve">consistent with </w:t>
      </w:r>
      <w:r w:rsidR="006C254A">
        <w:t xml:space="preserve">Congress’ </w:t>
      </w:r>
      <w:r w:rsidR="00411334">
        <w:t xml:space="preserve">intent behind </w:t>
      </w:r>
      <w:r w:rsidR="006C254A">
        <w:t>s</w:t>
      </w:r>
      <w:r w:rsidR="00411334">
        <w:t>ection 219.</w:t>
      </w:r>
    </w:p>
    <w:p w:rsidR="000002D6" w:rsidP="009B1F69" w:rsidRDefault="00411334" w14:paraId="1AC60ED9" w14:textId="6AF5F151">
      <w:pPr>
        <w:pStyle w:val="FERCparanumber"/>
      </w:pPr>
      <w:r>
        <w:t xml:space="preserve">That means that the Commission must </w:t>
      </w:r>
      <w:r w:rsidR="00734C8F">
        <w:t>conclude</w:t>
      </w:r>
      <w:r>
        <w:t xml:space="preserve"> that </w:t>
      </w:r>
      <w:r w:rsidR="00734C8F">
        <w:t xml:space="preserve">any </w:t>
      </w:r>
      <w:r>
        <w:t xml:space="preserve">incentive </w:t>
      </w:r>
      <w:r w:rsidR="00835A71">
        <w:t>we create</w:t>
      </w:r>
      <w:r w:rsidR="00734C8F">
        <w:t xml:space="preserve"> </w:t>
      </w:r>
      <w:r w:rsidR="00835A71">
        <w:t xml:space="preserve">will </w:t>
      </w:r>
      <w:r>
        <w:t>lead transmission owners to take actions that benefit customer</w:t>
      </w:r>
      <w:r w:rsidR="006C254A">
        <w:t>s</w:t>
      </w:r>
      <w:r>
        <w:t>.  I</w:t>
      </w:r>
      <w:r w:rsidR="00835A71">
        <w:t>t does not, however, mean that when granting an incentive</w:t>
      </w:r>
      <w:r>
        <w:t xml:space="preserve"> the Commission must find that the incentive is a “but-for” cause of </w:t>
      </w:r>
      <w:r w:rsidR="00835A71">
        <w:t>the transmission owner taking</w:t>
      </w:r>
      <w:r>
        <w:t xml:space="preserve"> the action in question.  An example </w:t>
      </w:r>
      <w:r w:rsidR="000E7703">
        <w:t xml:space="preserve">may be </w:t>
      </w:r>
      <w:r>
        <w:t xml:space="preserve">helpful. </w:t>
      </w:r>
      <w:r w:rsidR="000E7703">
        <w:t xml:space="preserve"> Suppose that, for whatever reason, the Commission elects to incentivize the development of transmission facilities that operat</w:t>
      </w:r>
      <w:r w:rsidR="00835A71">
        <w:t>e at or above 500 kV through a 50-basis-point ROE adder</w:t>
      </w:r>
      <w:r w:rsidR="000E7703">
        <w:t xml:space="preserve">.  In my view, the Commission would need to conclude that the ROE adder would induce the development of additional facilities meeting that criterion.  </w:t>
      </w:r>
      <w:r w:rsidR="006B5BFC">
        <w:t xml:space="preserve">But the Commission would not need </w:t>
      </w:r>
      <w:r w:rsidR="000E7703">
        <w:t xml:space="preserve">to find that </w:t>
      </w:r>
      <w:r w:rsidR="00835A71">
        <w:t>receiving the</w:t>
      </w:r>
      <w:r w:rsidR="000E7703">
        <w:t xml:space="preserve"> ROE adder was </w:t>
      </w:r>
      <w:r w:rsidR="006C254A">
        <w:t xml:space="preserve">a </w:t>
      </w:r>
      <w:r w:rsidR="000E7703">
        <w:lastRenderedPageBreak/>
        <w:t xml:space="preserve">necessary </w:t>
      </w:r>
      <w:r w:rsidR="00835A71">
        <w:t>step in the</w:t>
      </w:r>
      <w:r w:rsidR="000E7703">
        <w:t xml:space="preserve"> develop</w:t>
      </w:r>
      <w:r w:rsidR="00835A71">
        <w:t>ment of</w:t>
      </w:r>
      <w:r w:rsidR="000E7703">
        <w:t xml:space="preserve"> any particular </w:t>
      </w:r>
      <w:r w:rsidR="00835A71">
        <w:t>500 kV facility</w:t>
      </w:r>
      <w:r w:rsidR="006C254A">
        <w:t xml:space="preserve"> in order for that facility to be eligible for the </w:t>
      </w:r>
      <w:proofErr w:type="spellStart"/>
      <w:r w:rsidR="006C254A">
        <w:t>incenitve</w:t>
      </w:r>
      <w:proofErr w:type="spellEnd"/>
      <w:r w:rsidR="000E7703">
        <w:t>.</w:t>
      </w:r>
      <w:r w:rsidR="004D0E7B">
        <w:rPr>
          <w:rStyle w:val="FootnoteReference"/>
        </w:rPr>
        <w:footnoteReference w:id="10"/>
      </w:r>
      <w:r w:rsidR="000E7703">
        <w:t xml:space="preserve">  In the event that the Commission cannot find that </w:t>
      </w:r>
      <w:r w:rsidR="00075B69">
        <w:t>the</w:t>
      </w:r>
      <w:r w:rsidR="000E7703">
        <w:t xml:space="preserve"> ROE adder would</w:t>
      </w:r>
      <w:r w:rsidR="00075B69">
        <w:t xml:space="preserve"> incentivize the development of 500 kV facilities</w:t>
      </w:r>
      <w:r w:rsidR="000E7703">
        <w:t xml:space="preserve">, then I believe it would be categorically unjust and unreasonable, since it </w:t>
      </w:r>
      <w:r w:rsidR="006C254A">
        <w:t xml:space="preserve">would </w:t>
      </w:r>
      <w:r w:rsidR="000E7703">
        <w:t>hand out customers’ money for nothing</w:t>
      </w:r>
      <w:r w:rsidR="006C254A">
        <w:t xml:space="preserve"> in return.</w:t>
      </w:r>
      <w:r w:rsidR="001A5017">
        <w:t xml:space="preserve"> </w:t>
      </w:r>
    </w:p>
    <w:p w:rsidR="001A5017" w:rsidP="009B1F69" w:rsidRDefault="001A5017" w14:paraId="3B34634A" w14:textId="15D57EB0">
      <w:pPr>
        <w:pStyle w:val="FERCparanumber"/>
      </w:pPr>
      <w:r>
        <w:t xml:space="preserve">The NOPR, however, does not appear to </w:t>
      </w:r>
      <w:r w:rsidR="003345D1">
        <w:t xml:space="preserve">require a </w:t>
      </w:r>
      <w:r>
        <w:t>finding</w:t>
      </w:r>
      <w:r w:rsidR="006C254A">
        <w:t xml:space="preserve"> along those lines</w:t>
      </w:r>
      <w:r>
        <w:t xml:space="preserve">.  </w:t>
      </w:r>
      <w:r w:rsidR="006C254A">
        <w:t xml:space="preserve">Instead, it appears to propose handing out certain incentives based only on project characteristics without assessing whether those incentives would beget more projects with those characteristics.  </w:t>
      </w:r>
      <w:r>
        <w:t xml:space="preserve">I encourage commenters to address the issue of whether the incentives proposed in the NOPR would actually incentivize anything </w:t>
      </w:r>
      <w:r w:rsidR="00075B69">
        <w:t xml:space="preserve">in addition to </w:t>
      </w:r>
      <w:r>
        <w:t xml:space="preserve">whether they would be just and reasonable.   </w:t>
      </w:r>
    </w:p>
    <w:p w:rsidR="00D6699E" w:rsidP="00D6699E" w:rsidRDefault="0088265F" w14:paraId="63D1DA28" w14:textId="55FD9BA4">
      <w:pPr>
        <w:pStyle w:val="Heading1"/>
      </w:pPr>
      <w:r>
        <w:t xml:space="preserve">The </w:t>
      </w:r>
      <w:r w:rsidR="003345D1">
        <w:t>Application of the Benefits Framework</w:t>
      </w:r>
    </w:p>
    <w:p w:rsidRPr="009B1F69" w:rsidR="007F4B09" w:rsidP="007F4B09" w:rsidRDefault="001A5017" w14:paraId="04AB2D4A" w14:textId="7837A0E4">
      <w:pPr>
        <w:pStyle w:val="FERCparanumber"/>
      </w:pPr>
      <w:r>
        <w:t xml:space="preserve">Although </w:t>
      </w:r>
      <w:r w:rsidRPr="009B1F69" w:rsidR="00DB03E3">
        <w:t xml:space="preserve">I </w:t>
      </w:r>
      <w:r w:rsidR="009B1F69">
        <w:t>support</w:t>
      </w:r>
      <w:r w:rsidRPr="009B1F69" w:rsidR="00DB03E3">
        <w:t xml:space="preserve"> the Commission’s proposal to focus on benefits rather than risks and challenges, I have a number of</w:t>
      </w:r>
      <w:r w:rsidR="006B5BFC">
        <w:t xml:space="preserve"> specific</w:t>
      </w:r>
      <w:r w:rsidRPr="009B1F69" w:rsidR="00DB03E3">
        <w:t xml:space="preserve"> concerns about the how Commission is proposing to put that</w:t>
      </w:r>
      <w:r w:rsidRPr="009B1F69" w:rsidR="00555A24">
        <w:t xml:space="preserve"> focus</w:t>
      </w:r>
      <w:r w:rsidRPr="009B1F69" w:rsidR="00DB03E3">
        <w:t xml:space="preserve"> in</w:t>
      </w:r>
      <w:r w:rsidRPr="009B1F69" w:rsidR="00555A24">
        <w:t>to</w:t>
      </w:r>
      <w:r w:rsidRPr="009B1F69" w:rsidR="00DB03E3">
        <w:t xml:space="preserve"> practice.  </w:t>
      </w:r>
      <w:r w:rsidRPr="009B1F69" w:rsidR="00945CE4">
        <w:t xml:space="preserve">In general, </w:t>
      </w:r>
      <w:r w:rsidR="003345D1">
        <w:t xml:space="preserve">the NOPR </w:t>
      </w:r>
      <w:r w:rsidRPr="009B1F69" w:rsidR="00555A24">
        <w:t>seems to target</w:t>
      </w:r>
      <w:r w:rsidRPr="009B1F69" w:rsidR="00945CE4">
        <w:t xml:space="preserve"> only the low-hanging fruit that is already </w:t>
      </w:r>
      <w:r>
        <w:t xml:space="preserve">amply </w:t>
      </w:r>
      <w:r w:rsidRPr="009B1F69" w:rsidR="00B11D19">
        <w:t>accounted</w:t>
      </w:r>
      <w:r w:rsidRPr="009B1F69" w:rsidR="00945CE4">
        <w:t xml:space="preserve"> for in </w:t>
      </w:r>
      <w:r>
        <w:t xml:space="preserve">transmission planning processes.  By contrast, it </w:t>
      </w:r>
      <w:r w:rsidRPr="009B1F69" w:rsidR="00945CE4">
        <w:t>fails to do much</w:t>
      </w:r>
      <w:r w:rsidRPr="009B1F69" w:rsidR="00B11D19">
        <w:t>, if anything,</w:t>
      </w:r>
      <w:r w:rsidRPr="009B1F69" w:rsidR="00945CE4">
        <w:t xml:space="preserve"> about the many benefits of </w:t>
      </w:r>
      <w:r w:rsidRPr="009B1F69" w:rsidR="00B11D19">
        <w:t xml:space="preserve">transmission that </w:t>
      </w:r>
      <w:r>
        <w:t xml:space="preserve">are not </w:t>
      </w:r>
      <w:r w:rsidR="003345D1">
        <w:t xml:space="preserve">fully reflected </w:t>
      </w:r>
      <w:r w:rsidRPr="009B1F69" w:rsidR="00B11D19">
        <w:t>in those processes</w:t>
      </w:r>
      <w:r w:rsidR="009B1F69">
        <w:t xml:space="preserve">.  To be just and reasonable, incentives </w:t>
      </w:r>
      <w:r w:rsidR="007F4B09">
        <w:t xml:space="preserve">ought to </w:t>
      </w:r>
      <w:r w:rsidR="009B1F69">
        <w:t>do more than reward</w:t>
      </w:r>
      <w:r>
        <w:t xml:space="preserve"> </w:t>
      </w:r>
      <w:r w:rsidR="003345D1">
        <w:t xml:space="preserve">the </w:t>
      </w:r>
      <w:r>
        <w:t xml:space="preserve">projects that </w:t>
      </w:r>
      <w:r w:rsidR="003345D1">
        <w:t xml:space="preserve">are already </w:t>
      </w:r>
      <w:r>
        <w:t xml:space="preserve">most likely to be developed.  </w:t>
      </w:r>
      <w:r w:rsidR="009B1F69">
        <w:t xml:space="preserve"> </w:t>
      </w:r>
    </w:p>
    <w:p w:rsidR="001A5017" w:rsidP="009B1F69" w:rsidRDefault="009B1F69" w14:paraId="35F533EB" w14:textId="53F9022C">
      <w:pPr>
        <w:pStyle w:val="FERCparanumber"/>
      </w:pPr>
      <w:r>
        <w:t xml:space="preserve">And yet </w:t>
      </w:r>
      <w:r w:rsidRPr="009B1F69" w:rsidR="00DB03E3">
        <w:t xml:space="preserve">that </w:t>
      </w:r>
      <w:r w:rsidR="007F4B09">
        <w:t xml:space="preserve">is most of what </w:t>
      </w:r>
      <w:r w:rsidR="001A5017">
        <w:t xml:space="preserve">this </w:t>
      </w:r>
      <w:r>
        <w:t>NOPR</w:t>
      </w:r>
      <w:r w:rsidR="007F4B09">
        <w:t xml:space="preserve"> </w:t>
      </w:r>
      <w:r w:rsidR="001A5017">
        <w:t xml:space="preserve">would </w:t>
      </w:r>
      <w:r w:rsidR="007F4B09">
        <w:t>do</w:t>
      </w:r>
      <w:r>
        <w:t>.</w:t>
      </w:r>
      <w:r w:rsidR="007F4B09">
        <w:t xml:space="preserve">  Consider </w:t>
      </w:r>
      <w:r w:rsidR="003345D1">
        <w:t xml:space="preserve">the proposed incentives for </w:t>
      </w:r>
      <w:r w:rsidR="007F4B09">
        <w:t xml:space="preserve">economic </w:t>
      </w:r>
      <w:r w:rsidR="00A32C1D">
        <w:t xml:space="preserve">transmission </w:t>
      </w:r>
      <w:r w:rsidR="007F4B09">
        <w:t xml:space="preserve">projects.  </w:t>
      </w:r>
      <w:r w:rsidR="003345D1">
        <w:t xml:space="preserve">The NOPR </w:t>
      </w:r>
      <w:r w:rsidR="007F4B09">
        <w:t xml:space="preserve">proposes to </w:t>
      </w:r>
      <w:r w:rsidR="001A5017">
        <w:t xml:space="preserve">give an ROE adder to </w:t>
      </w:r>
      <w:r w:rsidR="00C00EC1">
        <w:t xml:space="preserve">a fraction </w:t>
      </w:r>
      <w:r w:rsidR="007F4B09">
        <w:t xml:space="preserve">of </w:t>
      </w:r>
      <w:r w:rsidR="007B58EB">
        <w:t xml:space="preserve">the most beneficial </w:t>
      </w:r>
      <w:r w:rsidR="007F4B09">
        <w:t xml:space="preserve">projects </w:t>
      </w:r>
      <w:r w:rsidR="007B58EB">
        <w:t>(</w:t>
      </w:r>
      <w:r w:rsidR="007F4B09">
        <w:t xml:space="preserve">on both an </w:t>
      </w:r>
      <w:r w:rsidR="007F4B09">
        <w:rPr>
          <w:i/>
        </w:rPr>
        <w:t xml:space="preserve">ex ante </w:t>
      </w:r>
      <w:r w:rsidR="007F4B09">
        <w:t>and</w:t>
      </w:r>
      <w:r w:rsidR="00A32C1D">
        <w:t xml:space="preserve"> an</w:t>
      </w:r>
      <w:r w:rsidR="007F4B09">
        <w:t xml:space="preserve"> </w:t>
      </w:r>
      <w:r w:rsidR="007F4B09">
        <w:rPr>
          <w:i/>
        </w:rPr>
        <w:t xml:space="preserve">ex post </w:t>
      </w:r>
      <w:r w:rsidR="007F4B09">
        <w:t>basis</w:t>
      </w:r>
      <w:r w:rsidR="007B58EB">
        <w:t>)</w:t>
      </w:r>
      <w:r w:rsidR="007F4B09">
        <w:t xml:space="preserve"> based </w:t>
      </w:r>
      <w:r w:rsidR="007F4B09">
        <w:rPr>
          <w:i/>
        </w:rPr>
        <w:t xml:space="preserve">only </w:t>
      </w:r>
      <w:r w:rsidR="007F4B09">
        <w:t>on “</w:t>
      </w:r>
      <w:r w:rsidRPr="007F4B09" w:rsidR="007F4B09">
        <w:t>adjusted production costs or similar measures of congestion reduction or certain other quantifiable benefits</w:t>
      </w:r>
      <w:r w:rsidR="007F4B09">
        <w:t>.”</w:t>
      </w:r>
      <w:r w:rsidR="007F4B09">
        <w:rPr>
          <w:rStyle w:val="FootnoteReference"/>
        </w:rPr>
        <w:footnoteReference w:id="11"/>
      </w:r>
      <w:r w:rsidR="007F4B09">
        <w:t xml:space="preserve">  </w:t>
      </w:r>
      <w:r w:rsidR="001A5017">
        <w:t>M</w:t>
      </w:r>
      <w:r w:rsidR="004068ED">
        <w:t xml:space="preserve">easures </w:t>
      </w:r>
      <w:r w:rsidR="00EB6DEE">
        <w:t xml:space="preserve">like adjusted production cost </w:t>
      </w:r>
      <w:r w:rsidR="004068ED">
        <w:t>already form the backbone</w:t>
      </w:r>
      <w:r w:rsidR="001A5017">
        <w:t xml:space="preserve"> </w:t>
      </w:r>
      <w:r w:rsidR="004068ED">
        <w:t>of how transmission planning regions identify and select economic transmission facilities.</w:t>
      </w:r>
      <w:r w:rsidR="004068ED">
        <w:rPr>
          <w:rStyle w:val="FootnoteReference"/>
        </w:rPr>
        <w:footnoteReference w:id="12"/>
      </w:r>
      <w:r w:rsidR="004068ED">
        <w:t xml:space="preserve">  I am concerned </w:t>
      </w:r>
      <w:r w:rsidR="00F90AFA">
        <w:t xml:space="preserve">that the Commission’s proposal </w:t>
      </w:r>
      <w:r w:rsidR="001A5017">
        <w:t xml:space="preserve">to grant a higher ROE to projects that </w:t>
      </w:r>
      <w:r w:rsidR="003345D1">
        <w:t xml:space="preserve">already </w:t>
      </w:r>
      <w:r w:rsidR="001A5017">
        <w:t xml:space="preserve">get high marks according to those measures will just reward the projects that are most likely to get built anyway.  </w:t>
      </w:r>
      <w:r w:rsidR="001E6B4F">
        <w:t xml:space="preserve">In other words, the Commission’s proposal would not incentivize anything </w:t>
      </w:r>
      <w:r w:rsidR="00650B50">
        <w:t>additional</w:t>
      </w:r>
      <w:r w:rsidR="001E6B4F">
        <w:t xml:space="preserve">, it would just further reward those projects that are likely to do well under the status quo.  </w:t>
      </w:r>
    </w:p>
    <w:p w:rsidR="00F90AFA" w:rsidP="009B1F69" w:rsidRDefault="00F73D74" w14:paraId="1AD59584" w14:textId="12D53EDC">
      <w:pPr>
        <w:pStyle w:val="FERCparanumber"/>
      </w:pPr>
      <w:r>
        <w:lastRenderedPageBreak/>
        <w:t>In addition, f</w:t>
      </w:r>
      <w:r w:rsidR="001E6B4F">
        <w:t xml:space="preserve">ocusing exclusively on measures like adjusted production cost is </w:t>
      </w:r>
      <w:r w:rsidR="00F90AFA">
        <w:t xml:space="preserve">unfortunate because </w:t>
      </w:r>
      <w:r w:rsidR="00EF20B1">
        <w:t xml:space="preserve">not all </w:t>
      </w:r>
      <w:r w:rsidR="001E6B4F">
        <w:t>of the benefits provided by</w:t>
      </w:r>
      <w:r w:rsidR="00F90AFA">
        <w:t xml:space="preserve"> transmission are directly quantifiable.  Throughout this record, parties emphasized the diverse range of benefits that transmission</w:t>
      </w:r>
      <w:r w:rsidR="001E6B4F">
        <w:t xml:space="preserve"> can provide, with </w:t>
      </w:r>
      <w:r w:rsidR="00F90AFA">
        <w:t xml:space="preserve">multiple parties </w:t>
      </w:r>
      <w:r w:rsidR="001E6B4F">
        <w:t xml:space="preserve">pointing </w:t>
      </w:r>
      <w:r w:rsidR="00F90AFA">
        <w:t xml:space="preserve">to </w:t>
      </w:r>
      <w:r w:rsidR="00E264FA">
        <w:t xml:space="preserve">work by the Brattle Group </w:t>
      </w:r>
      <w:r w:rsidR="001E6B4F">
        <w:t xml:space="preserve">that identifies </w:t>
      </w:r>
      <w:r w:rsidR="00E264FA">
        <w:t>and categorize</w:t>
      </w:r>
      <w:r w:rsidR="001E6B4F">
        <w:t>s</w:t>
      </w:r>
      <w:r w:rsidR="00E264FA">
        <w:t xml:space="preserve"> </w:t>
      </w:r>
      <w:r w:rsidR="001E6B4F">
        <w:t>the wide range of potential transmission benefits</w:t>
      </w:r>
      <w:r w:rsidR="00E264FA">
        <w:t>.</w:t>
      </w:r>
      <w:r w:rsidR="00E264FA">
        <w:rPr>
          <w:rStyle w:val="FootnoteReference"/>
        </w:rPr>
        <w:footnoteReference w:id="13"/>
      </w:r>
      <w:r w:rsidR="00E264FA">
        <w:t xml:space="preserve">  </w:t>
      </w:r>
      <w:r w:rsidR="001E6B4F">
        <w:t>I</w:t>
      </w:r>
      <w:r>
        <w:t xml:space="preserve"> am concerned that, i</w:t>
      </w:r>
      <w:r w:rsidR="001E6B4F">
        <w:t xml:space="preserve">n </w:t>
      </w:r>
      <w:r w:rsidR="00E264FA">
        <w:t xml:space="preserve">contrast to measures like adjusted production cost, many of those benefits are not receiving adequate attention in the regional transmission planning processes.  </w:t>
      </w:r>
      <w:r w:rsidR="001E6B4F">
        <w:t xml:space="preserve">Accordingly, </w:t>
      </w:r>
      <w:r w:rsidR="00E264FA">
        <w:t xml:space="preserve">I </w:t>
      </w:r>
      <w:r w:rsidR="00F44937">
        <w:t>hope that commenters will take a hard look at the proposal to focus exclusively on measures like adjusted production cost and discuss whether that focus is likely to lead to the development of additional</w:t>
      </w:r>
      <w:r>
        <w:t xml:space="preserve"> transmission.  I also encourage commenters to discuss </w:t>
      </w:r>
      <w:r w:rsidR="00F44937">
        <w:t xml:space="preserve">whether and how the Commission should factor additional considerations, such as those outlined by the Brattle Group, into its process for granting incentives.  </w:t>
      </w:r>
    </w:p>
    <w:p w:rsidR="00C00EC1" w:rsidP="006E2CD1" w:rsidRDefault="00F73D74" w14:paraId="0ED5A5F3" w14:textId="429A1B97">
      <w:pPr>
        <w:pStyle w:val="FERCparanumber"/>
      </w:pPr>
      <w:r>
        <w:t>The</w:t>
      </w:r>
      <w:r w:rsidR="00EB6DEE">
        <w:t xml:space="preserve"> Commission’s </w:t>
      </w:r>
      <w:r w:rsidRPr="00C00EC1" w:rsidR="00EB6DEE">
        <w:rPr>
          <w:i/>
        </w:rPr>
        <w:t xml:space="preserve">ex post </w:t>
      </w:r>
      <w:r w:rsidR="00EB6DEE">
        <w:t>proposal</w:t>
      </w:r>
      <w:r w:rsidR="00750C19">
        <w:rPr>
          <w:rStyle w:val="FootnoteReference"/>
        </w:rPr>
        <w:footnoteReference w:id="14"/>
      </w:r>
      <w:r w:rsidR="00EB6DEE">
        <w:t xml:space="preserve"> </w:t>
      </w:r>
      <w:r w:rsidR="00F44937">
        <w:t xml:space="preserve">is slightly more appealing </w:t>
      </w:r>
      <w:r w:rsidR="00C00EC1">
        <w:t>insofar as the allure of a higher</w:t>
      </w:r>
      <w:r w:rsidR="001E6B4F">
        <w:t xml:space="preserve"> ROE may provide a further </w:t>
      </w:r>
      <w:r w:rsidR="00C00EC1">
        <w:t>incentive for transmission developer</w:t>
      </w:r>
      <w:r w:rsidR="001E6B4F">
        <w:t>s</w:t>
      </w:r>
      <w:r w:rsidR="00C00EC1">
        <w:t xml:space="preserve"> to keep development costs </w:t>
      </w:r>
      <w:r w:rsidR="00EF20B1">
        <w:t>in</w:t>
      </w:r>
      <w:r w:rsidR="00C00EC1">
        <w:t xml:space="preserve"> check.  </w:t>
      </w:r>
      <w:r w:rsidR="00F44937">
        <w:t xml:space="preserve">Anything that keeps costs down has the obvious potential to benefit customers.  That said, the NOPR does not provide any reason to believe that the proposed </w:t>
      </w:r>
      <w:r w:rsidR="00F44937">
        <w:rPr>
          <w:i/>
        </w:rPr>
        <w:t xml:space="preserve">ex post </w:t>
      </w:r>
      <w:r w:rsidR="00F44937">
        <w:t xml:space="preserve">incentive is likely to do more to keep costs down than it </w:t>
      </w:r>
      <w:r w:rsidR="001E6B4F">
        <w:t xml:space="preserve">would cost </w:t>
      </w:r>
      <w:r w:rsidR="00F44937">
        <w:t xml:space="preserve">in the form of a higher ROE.  I encourage </w:t>
      </w:r>
      <w:r w:rsidR="001E6B4F">
        <w:t xml:space="preserve">commenters </w:t>
      </w:r>
      <w:r w:rsidR="00F44937">
        <w:t xml:space="preserve">to develop whatever record they can on this issue, recognizing </w:t>
      </w:r>
      <w:r w:rsidR="001E6B4F">
        <w:t xml:space="preserve">that </w:t>
      </w:r>
      <w:r w:rsidR="00F44937">
        <w:t xml:space="preserve">forecasting the effects of the contemplated </w:t>
      </w:r>
      <w:r w:rsidRPr="001E6B4F" w:rsidR="001E6B4F">
        <w:rPr>
          <w:i/>
        </w:rPr>
        <w:t>ex post</w:t>
      </w:r>
      <w:r w:rsidR="001E6B4F">
        <w:rPr>
          <w:i/>
        </w:rPr>
        <w:t xml:space="preserve"> </w:t>
      </w:r>
      <w:r w:rsidR="00F44937">
        <w:t xml:space="preserve">incentive may prove challenging.  </w:t>
      </w:r>
    </w:p>
    <w:p w:rsidR="00387E0B" w:rsidP="00547412" w:rsidRDefault="00547412" w14:paraId="354C0936" w14:textId="2DE5DCF1">
      <w:pPr>
        <w:pStyle w:val="FERCparanumber"/>
      </w:pPr>
      <w:r>
        <w:t xml:space="preserve">In addition, </w:t>
      </w:r>
      <w:r w:rsidR="005F5964">
        <w:t xml:space="preserve">I hope that commenters will discuss in detail the proposal to create a “rebuttable presumption” that the measures </w:t>
      </w:r>
      <w:r w:rsidR="00DA62BA">
        <w:t xml:space="preserve">used to evaluate </w:t>
      </w:r>
      <w:r w:rsidR="00F73D74">
        <w:t xml:space="preserve">an </w:t>
      </w:r>
      <w:r w:rsidR="00DA62BA">
        <w:t xml:space="preserve">economic transmission </w:t>
      </w:r>
      <w:r w:rsidR="005F5964">
        <w:t xml:space="preserve">project’s benefit-cost ratio in a regional transmission planning process should be used </w:t>
      </w:r>
      <w:r w:rsidR="005B7CFE">
        <w:t>to</w:t>
      </w:r>
      <w:r w:rsidR="005F5964">
        <w:t xml:space="preserve"> </w:t>
      </w:r>
      <w:r w:rsidR="005B7CFE">
        <w:t>determine</w:t>
      </w:r>
      <w:r w:rsidR="00A32C1D">
        <w:t xml:space="preserve"> its benefits when </w:t>
      </w:r>
      <w:r w:rsidR="00DA62BA">
        <w:t xml:space="preserve">awarding </w:t>
      </w:r>
      <w:r w:rsidR="005F5964">
        <w:t>incentives.  In many cases, those measures were designed specifically with transmission planning</w:t>
      </w:r>
      <w:r w:rsidRPr="005B7CFE" w:rsidR="005B7CFE">
        <w:t xml:space="preserve"> </w:t>
      </w:r>
      <w:r w:rsidR="005B7CFE">
        <w:t>in mind</w:t>
      </w:r>
      <w:r w:rsidR="005F5964">
        <w:t xml:space="preserve">, not ROE adders, and it is not immediately obvious </w:t>
      </w:r>
      <w:r w:rsidR="005B7CFE">
        <w:t xml:space="preserve">that </w:t>
      </w:r>
      <w:r w:rsidR="005F5964">
        <w:t xml:space="preserve">the two </w:t>
      </w:r>
      <w:r w:rsidR="00DA62BA">
        <w:t>are</w:t>
      </w:r>
      <w:r w:rsidR="005B7CFE">
        <w:t xml:space="preserve"> </w:t>
      </w:r>
      <w:r w:rsidR="005F5964">
        <w:t>interchangeable.  In any case, as the NOPR explains, different regions use significantly different metrics in evaluating the benefits of a proposed economic project.</w:t>
      </w:r>
      <w:r w:rsidR="005B7CFE">
        <w:rPr>
          <w:rStyle w:val="FootnoteReference"/>
        </w:rPr>
        <w:footnoteReference w:id="15"/>
      </w:r>
      <w:r w:rsidR="005F5964">
        <w:t xml:space="preserve">  It seems possible that incentives could be allocated disproportionately to one </w:t>
      </w:r>
      <w:r w:rsidR="005B7CFE">
        <w:t xml:space="preserve">region </w:t>
      </w:r>
      <w:r w:rsidR="005F5964">
        <w:t xml:space="preserve">based simply on how </w:t>
      </w:r>
      <w:r w:rsidR="00A32C1D">
        <w:t>that region</w:t>
      </w:r>
      <w:r w:rsidR="005B7CFE">
        <w:t xml:space="preserve"> </w:t>
      </w:r>
      <w:r w:rsidR="005F5964">
        <w:t xml:space="preserve">plans transmission projects and not any differences in how </w:t>
      </w:r>
      <w:r w:rsidR="005B7CFE">
        <w:t xml:space="preserve">those </w:t>
      </w:r>
      <w:r w:rsidR="005F5964">
        <w:t>project</w:t>
      </w:r>
      <w:r w:rsidR="005B7CFE">
        <w:t>s</w:t>
      </w:r>
      <w:r w:rsidR="005F5964">
        <w:t xml:space="preserve"> </w:t>
      </w:r>
      <w:r w:rsidR="005B7CFE">
        <w:t xml:space="preserve">function </w:t>
      </w:r>
      <w:r w:rsidR="005F5964">
        <w:t xml:space="preserve">or </w:t>
      </w:r>
      <w:r w:rsidR="005B7CFE">
        <w:t>the</w:t>
      </w:r>
      <w:r w:rsidR="005F5964">
        <w:t xml:space="preserve"> benefits </w:t>
      </w:r>
      <w:r w:rsidR="005B7CFE">
        <w:t>they provide</w:t>
      </w:r>
      <w:r w:rsidR="005F5964">
        <w:t xml:space="preserve">.  Such a result would raise undue discrimination concerns for transmission </w:t>
      </w:r>
      <w:r w:rsidR="00DA62BA">
        <w:lastRenderedPageBreak/>
        <w:t xml:space="preserve">owners </w:t>
      </w:r>
      <w:r w:rsidR="00451D1B">
        <w:t xml:space="preserve">as well as concerns about the impact on customers in </w:t>
      </w:r>
      <w:r w:rsidR="005B7CFE">
        <w:t xml:space="preserve">the region or regions </w:t>
      </w:r>
      <w:r w:rsidR="00EF20B1">
        <w:t>where</w:t>
      </w:r>
      <w:r w:rsidR="00451D1B">
        <w:t xml:space="preserve"> incentives are concentrated.  </w:t>
      </w:r>
      <w:r w:rsidR="005F5964">
        <w:t xml:space="preserve"> </w:t>
      </w:r>
    </w:p>
    <w:p w:rsidR="00952093" w:rsidP="00730A9D" w:rsidRDefault="00D92C8E" w14:paraId="410A1D5B" w14:textId="6659D06E">
      <w:pPr>
        <w:pStyle w:val="FERCparanumber"/>
      </w:pPr>
      <w:r>
        <w:t xml:space="preserve">Finally, </w:t>
      </w:r>
      <w:r w:rsidR="00952093">
        <w:t xml:space="preserve">as the Commission </w:t>
      </w:r>
      <w:r w:rsidRPr="00730A9D" w:rsidR="00952093">
        <w:t>notes</w:t>
      </w:r>
      <w:r w:rsidR="004E33A4">
        <w:t xml:space="preserve">, </w:t>
      </w:r>
      <w:r w:rsidR="00952093">
        <w:t>a number of RTOs raised concerns about how focusing on benefits might complicate or interfere with their transmission planning processes.</w:t>
      </w:r>
      <w:r w:rsidR="00952093">
        <w:rPr>
          <w:rStyle w:val="FootnoteReference"/>
        </w:rPr>
        <w:footnoteReference w:id="16"/>
      </w:r>
      <w:r w:rsidR="00952093">
        <w:t xml:space="preserve">  I am concerned that the Commission’s proposal to dole out incentive ROEs based on </w:t>
      </w:r>
      <w:r w:rsidR="00730A9D">
        <w:t>measures like adjusted production cost, which, as noted</w:t>
      </w:r>
      <w:r w:rsidR="00A32C1D">
        <w:t>,</w:t>
      </w:r>
      <w:r w:rsidR="00730A9D">
        <w:t xml:space="preserve"> </w:t>
      </w:r>
      <w:r w:rsidR="00F73D74">
        <w:t>are</w:t>
      </w:r>
      <w:r w:rsidR="00730A9D">
        <w:t xml:space="preserve"> </w:t>
      </w:r>
      <w:r w:rsidR="00952093">
        <w:t>the meat and potatoes</w:t>
      </w:r>
      <w:r w:rsidR="00730A9D">
        <w:t xml:space="preserve"> of most </w:t>
      </w:r>
      <w:r w:rsidR="00952093">
        <w:t>transmission planning processes</w:t>
      </w:r>
      <w:r w:rsidR="00730A9D">
        <w:t>,</w:t>
      </w:r>
      <w:r w:rsidR="00952093">
        <w:t xml:space="preserve"> will only </w:t>
      </w:r>
      <w:r w:rsidR="00730A9D">
        <w:t>exacerbate</w:t>
      </w:r>
      <w:r w:rsidR="00952093">
        <w:t xml:space="preserve"> those concerns.  I encourage parties to address those issues in detail and also discuss what the Commission </w:t>
      </w:r>
      <w:r w:rsidR="00DA62BA">
        <w:t xml:space="preserve">could </w:t>
      </w:r>
      <w:r w:rsidR="00952093">
        <w:t>do to mitigate any such concern</w:t>
      </w:r>
      <w:r w:rsidR="005B7CFE">
        <w:t xml:space="preserve">s should it choose to proceed.  </w:t>
      </w:r>
    </w:p>
    <w:p w:rsidR="00387E0B" w:rsidP="00021186" w:rsidRDefault="00DA62BA" w14:paraId="3C150380" w14:textId="408FD084">
      <w:pPr>
        <w:pStyle w:val="Heading1"/>
      </w:pPr>
      <w:r>
        <w:t>The Elephant in the Room:  Public Policy Transmission Projects</w:t>
      </w:r>
    </w:p>
    <w:p w:rsidRPr="00E105CB" w:rsidR="00E105CB" w:rsidP="00E105CB" w:rsidRDefault="005B7CFE" w14:paraId="0D341E5E" w14:textId="661E0867">
      <w:pPr>
        <w:pStyle w:val="FERCparanumber"/>
      </w:pPr>
      <w:r>
        <w:t xml:space="preserve">The NOPR is also notable for its failure to address transmission projects that serve public policy purposes.  </w:t>
      </w:r>
      <w:r w:rsidRPr="00E105CB" w:rsidR="00E105CB">
        <w:t xml:space="preserve">No one </w:t>
      </w:r>
      <w:r w:rsidRPr="00E105CB" w:rsidR="00917ABC">
        <w:t>can</w:t>
      </w:r>
      <w:r w:rsidRPr="00E105CB" w:rsidR="00387E0B">
        <w:t xml:space="preserve"> deny the fundamental </w:t>
      </w:r>
      <w:r w:rsidRPr="00E105CB" w:rsidR="00E105CB">
        <w:t>transition</w:t>
      </w:r>
      <w:r w:rsidRPr="00E105CB" w:rsidR="00387E0B">
        <w:t xml:space="preserve"> taking place in the electricity sector.</w:t>
      </w:r>
      <w:r w:rsidR="00EF20B1">
        <w:t xml:space="preserve">  As the NOPR recognizes, t</w:t>
      </w:r>
      <w:r w:rsidRPr="00E105CB" w:rsidR="00917ABC">
        <w:t xml:space="preserve">he generation </w:t>
      </w:r>
      <w:r w:rsidRPr="00E105CB" w:rsidR="00387E0B">
        <w:t xml:space="preserve">fleet is </w:t>
      </w:r>
      <w:r w:rsidR="0042658A">
        <w:t>turning over and, with that, we a</w:t>
      </w:r>
      <w:r w:rsidRPr="00E105CB" w:rsidR="00387E0B">
        <w:t>re seeing a</w:t>
      </w:r>
      <w:r w:rsidR="0042658A">
        <w:t xml:space="preserve"> rapid</w:t>
      </w:r>
      <w:r w:rsidRPr="00E105CB" w:rsidR="00387E0B">
        <w:t xml:space="preserve"> </w:t>
      </w:r>
      <w:r w:rsidRPr="00E105CB" w:rsidR="00776C06">
        <w:t xml:space="preserve">shift away from large, central-station </w:t>
      </w:r>
      <w:r w:rsidRPr="00E105CB" w:rsidR="007022D1">
        <w:t>resources located</w:t>
      </w:r>
      <w:r w:rsidRPr="00E105CB" w:rsidR="00387E0B">
        <w:t xml:space="preserve"> close to </w:t>
      </w:r>
      <w:r w:rsidRPr="00E105CB" w:rsidR="007022D1">
        <w:t xml:space="preserve">customers </w:t>
      </w:r>
      <w:r w:rsidRPr="00E105CB" w:rsidR="00776C06">
        <w:t>and toward renewable resources, such as wind and solar, that are often geographically constrained.</w:t>
      </w:r>
      <w:r w:rsidR="00C325D6">
        <w:rPr>
          <w:rStyle w:val="FootnoteReference"/>
        </w:rPr>
        <w:footnoteReference w:id="17"/>
      </w:r>
      <w:r w:rsidRPr="00E105CB" w:rsidR="00776C06">
        <w:t xml:space="preserve">  </w:t>
      </w:r>
      <w:r w:rsidR="0042658A">
        <w:t>That</w:t>
      </w:r>
      <w:r w:rsidRPr="00E105CB" w:rsidR="00E105CB">
        <w:t xml:space="preserve"> </w:t>
      </w:r>
      <w:r w:rsidR="0042658A">
        <w:t xml:space="preserve">shift </w:t>
      </w:r>
      <w:r w:rsidRPr="00E105CB" w:rsidR="00E105CB">
        <w:t xml:space="preserve">is a function of rapidly </w:t>
      </w:r>
      <w:r w:rsidR="0042658A">
        <w:t xml:space="preserve">changing </w:t>
      </w:r>
      <w:r w:rsidRPr="00E105CB" w:rsidR="00E105CB">
        <w:t xml:space="preserve">customer preferences, improving economics, and public policy.  Although the exact path </w:t>
      </w:r>
      <w:r w:rsidR="0042658A">
        <w:t>that the</w:t>
      </w:r>
      <w:r w:rsidRPr="00E105CB" w:rsidR="00E105CB">
        <w:t xml:space="preserve"> transition will take is hard to predict, one thing seems pretty clear:  We will need a lot more transmission.</w:t>
      </w:r>
      <w:r w:rsidR="000002D6">
        <w:rPr>
          <w:rStyle w:val="FootnoteReference"/>
        </w:rPr>
        <w:footnoteReference w:id="18"/>
      </w:r>
      <w:r w:rsidRPr="00E105CB" w:rsidR="00E105CB">
        <w:t xml:space="preserve">  </w:t>
      </w:r>
    </w:p>
    <w:p w:rsidR="00E105CB" w:rsidP="00E105CB" w:rsidRDefault="00E105CB" w14:paraId="237DBFF6" w14:textId="77777777">
      <w:pPr>
        <w:pStyle w:val="FERCparanumber"/>
      </w:pPr>
      <w:r w:rsidRPr="00E105CB">
        <w:lastRenderedPageBreak/>
        <w:t>Building</w:t>
      </w:r>
      <w:r>
        <w:t xml:space="preserve"> out the transmission infrastructure needed to accommodate that transition will go a long way toward “</w:t>
      </w:r>
      <w:r w:rsidRPr="00E105CB">
        <w:t>ensuring reliability and reducing the cost of delivered power by reducing transmission congestion.</w:t>
      </w:r>
      <w:r>
        <w:t>”</w:t>
      </w:r>
      <w:r>
        <w:rPr>
          <w:rStyle w:val="FootnoteReference"/>
        </w:rPr>
        <w:footnoteReference w:id="19"/>
      </w:r>
      <w:r>
        <w:t xml:space="preserve"> </w:t>
      </w:r>
      <w:r w:rsidR="00B35AB5">
        <w:t xml:space="preserve"> </w:t>
      </w:r>
      <w:r w:rsidR="0042658A">
        <w:t>Many</w:t>
      </w:r>
      <w:r w:rsidR="00B35AB5">
        <w:t xml:space="preserve"> of the most cost-effective resources needed to satisfy customer demand and meet state public policy goals are located far from</w:t>
      </w:r>
      <w:r w:rsidR="0042658A">
        <w:t xml:space="preserve"> load</w:t>
      </w:r>
      <w:r w:rsidR="00B35AB5">
        <w:t>.</w:t>
      </w:r>
      <w:r w:rsidR="00C325D6">
        <w:rPr>
          <w:rStyle w:val="FootnoteReference"/>
        </w:rPr>
        <w:footnoteReference w:id="20"/>
      </w:r>
      <w:r w:rsidR="00B35AB5">
        <w:t xml:space="preserve">  Attempting to use the current transmission system to access those resources will generate enormous congestion costs, significantly increasing the cost of delivered power.  </w:t>
      </w:r>
      <w:r w:rsidR="00134389">
        <w:t>So too will a piece-meal approach to expanding the transmission grid that does not adequately consider the fundamentals</w:t>
      </w:r>
      <w:r w:rsidR="0042658A">
        <w:t xml:space="preserve"> underlying</w:t>
      </w:r>
      <w:r w:rsidR="00134389">
        <w:t xml:space="preserve"> the need for </w:t>
      </w:r>
      <w:r w:rsidR="0042658A">
        <w:t xml:space="preserve">additional </w:t>
      </w:r>
      <w:r w:rsidR="00134389">
        <w:t>transmission.</w:t>
      </w:r>
      <w:r w:rsidR="00134389">
        <w:rPr>
          <w:rStyle w:val="FootnoteReference"/>
        </w:rPr>
        <w:footnoteReference w:id="21"/>
      </w:r>
      <w:r w:rsidR="00134389">
        <w:t xml:space="preserve">  </w:t>
      </w:r>
      <w:r w:rsidR="00B35AB5">
        <w:t>In addition, bringing those resources online with</w:t>
      </w:r>
      <w:r w:rsidR="00A35FDD">
        <w:t>out</w:t>
      </w:r>
      <w:r w:rsidR="00B35AB5">
        <w:t xml:space="preserve"> the necessary transmission infrastructure may lead to reliability issues, especially insofar as the lack of adequate</w:t>
      </w:r>
      <w:r w:rsidR="00A35FDD">
        <w:t xml:space="preserve"> transmission facilities forces what should really be done through </w:t>
      </w:r>
      <w:r w:rsidR="00B35AB5">
        <w:t xml:space="preserve">transmission planning </w:t>
      </w:r>
      <w:r w:rsidR="00A35FDD">
        <w:t xml:space="preserve">into </w:t>
      </w:r>
      <w:r w:rsidR="00B35AB5">
        <w:t>the gener</w:t>
      </w:r>
      <w:r w:rsidR="00C325D6">
        <w:t xml:space="preserve">ation interconnection process.  Accordingly, building transmission to meet the needs of the clean energy transition will directly further </w:t>
      </w:r>
      <w:r w:rsidR="0042658A">
        <w:t xml:space="preserve">the goals underlying </w:t>
      </w:r>
      <w:r w:rsidR="00C325D6">
        <w:t xml:space="preserve">section 219. </w:t>
      </w:r>
    </w:p>
    <w:p w:rsidR="00A35FDD" w:rsidP="00E105CB" w:rsidRDefault="00A35FDD" w14:paraId="2A3A029B" w14:textId="2BFCFC92">
      <w:pPr>
        <w:pStyle w:val="FERCparanumber"/>
      </w:pPr>
      <w:r>
        <w:t xml:space="preserve">But while </w:t>
      </w:r>
      <w:r w:rsidR="00D06C24">
        <w:t>everyone knows</w:t>
      </w:r>
      <w:r>
        <w:t xml:space="preserve"> that we need additional transmission to </w:t>
      </w:r>
      <w:r w:rsidR="00D06C24">
        <w:t xml:space="preserve">ensure that </w:t>
      </w:r>
      <w:r>
        <w:t xml:space="preserve">the clean energy transition takes places as cost-effectively and reliably as possible, the projects that would do the most in that regard have proved </w:t>
      </w:r>
      <w:r w:rsidR="00C325D6">
        <w:t xml:space="preserve">some of </w:t>
      </w:r>
      <w:r>
        <w:t xml:space="preserve">the most difficult to build.  And that is one area where section 219 incentives could make a difference.  By emphasizing that transmission projects </w:t>
      </w:r>
      <w:r w:rsidR="00E5463E">
        <w:t xml:space="preserve">built </w:t>
      </w:r>
      <w:r>
        <w:t>to meet those needs are Co</w:t>
      </w:r>
      <w:r w:rsidR="00E5463E">
        <w:t>mmission priorities and providing</w:t>
      </w:r>
      <w:r>
        <w:t xml:space="preserve"> an </w:t>
      </w:r>
      <w:r w:rsidR="00D06C24">
        <w:t>incentive—whether an ROE or a non-ROE incentive—</w:t>
      </w:r>
      <w:r>
        <w:t xml:space="preserve">commensurate with that priority, </w:t>
      </w:r>
      <w:r w:rsidR="00E5463E">
        <w:t xml:space="preserve">the Commission could </w:t>
      </w:r>
      <w:r w:rsidR="00D06C24">
        <w:t xml:space="preserve">take a </w:t>
      </w:r>
      <w:r w:rsidR="00E5463E">
        <w:t xml:space="preserve">significant </w:t>
      </w:r>
      <w:r w:rsidR="00D06C24">
        <w:t xml:space="preserve">step </w:t>
      </w:r>
      <w:r w:rsidR="00E5463E">
        <w:t>toward bui</w:t>
      </w:r>
      <w:r w:rsidR="00D06C24">
        <w:t>lding the transmission system</w:t>
      </w:r>
      <w:r w:rsidR="00AC3981">
        <w:t xml:space="preserve"> necessary to </w:t>
      </w:r>
      <w:r w:rsidR="003972DF">
        <w:t xml:space="preserve">continue </w:t>
      </w:r>
      <w:r w:rsidR="00AC3981">
        <w:t>provid</w:t>
      </w:r>
      <w:r w:rsidR="003972DF">
        <w:t xml:space="preserve">ing </w:t>
      </w:r>
      <w:r w:rsidR="00AC3981">
        <w:t>low-cost, reliable power</w:t>
      </w:r>
      <w:r w:rsidR="00D67222">
        <w:t xml:space="preserve"> as the generation mix evolves</w:t>
      </w:r>
      <w:r w:rsidR="00E5463E">
        <w:t>.</w:t>
      </w:r>
      <w:r w:rsidR="000002D6">
        <w:rPr>
          <w:rStyle w:val="FootnoteReference"/>
        </w:rPr>
        <w:footnoteReference w:id="22"/>
      </w:r>
      <w:r w:rsidR="00E5463E">
        <w:t xml:space="preserve">  </w:t>
      </w:r>
      <w:r w:rsidR="0075685E">
        <w:t xml:space="preserve">Although incentives may not prove to be the panacea that resolves all the challenges with developing </w:t>
      </w:r>
      <w:r w:rsidR="00D06C24">
        <w:t xml:space="preserve">those projects, </w:t>
      </w:r>
      <w:r w:rsidR="0075685E">
        <w:t xml:space="preserve">they could be an important step in the right direction.  </w:t>
      </w:r>
    </w:p>
    <w:p w:rsidR="00A35FDD" w:rsidP="004068ED" w:rsidRDefault="0075685E" w14:paraId="0E82BDAB" w14:textId="0678C942">
      <w:pPr>
        <w:pStyle w:val="FERCparanumber"/>
      </w:pPr>
      <w:r>
        <w:lastRenderedPageBreak/>
        <w:t>Unfortunately</w:t>
      </w:r>
      <w:r w:rsidR="00134389">
        <w:t>, the NOPR</w:t>
      </w:r>
      <w:r>
        <w:t xml:space="preserve"> does</w:t>
      </w:r>
      <w:r w:rsidR="00D06C24">
        <w:t xml:space="preserve"> next to nothing to</w:t>
      </w:r>
      <w:r w:rsidR="00D67222">
        <w:t xml:space="preserve"> incentivize</w:t>
      </w:r>
      <w:r w:rsidR="00D06C24">
        <w:t xml:space="preserve"> those projects</w:t>
      </w:r>
      <w:r w:rsidR="00134389">
        <w:t xml:space="preserve">.  </w:t>
      </w:r>
      <w:r w:rsidR="00D06C24">
        <w:t xml:space="preserve">It proposes </w:t>
      </w:r>
      <w:r>
        <w:t xml:space="preserve">incentives </w:t>
      </w:r>
      <w:r w:rsidR="00D06C24">
        <w:t xml:space="preserve">that focus overwhelmingly on addressing </w:t>
      </w:r>
      <w:r>
        <w:t xml:space="preserve">existing congestion and reliability concerns.  </w:t>
      </w:r>
      <w:r w:rsidR="00D67222">
        <w:t>For example, a</w:t>
      </w:r>
      <w:r w:rsidR="00AC3981">
        <w:t>s noted</w:t>
      </w:r>
      <w:r w:rsidR="00D06C24">
        <w:t xml:space="preserve">, the Commission </w:t>
      </w:r>
      <w:r w:rsidR="00AC3981">
        <w:t xml:space="preserve">proposes to </w:t>
      </w:r>
      <w:r w:rsidR="00D06C24">
        <w:t>evaluat</w:t>
      </w:r>
      <w:r w:rsidR="003972DF">
        <w:t>e</w:t>
      </w:r>
      <w:r w:rsidR="00D06C24">
        <w:t xml:space="preserve"> economic projects solely on the basis of measures</w:t>
      </w:r>
      <w:r w:rsidR="00AC3981">
        <w:t xml:space="preserve"> like avoided production costs.</w:t>
      </w:r>
      <w:r w:rsidR="00D06C24">
        <w:rPr>
          <w:rStyle w:val="FootnoteReference"/>
        </w:rPr>
        <w:footnoteReference w:id="23"/>
      </w:r>
      <w:r w:rsidR="00AC3981">
        <w:t xml:space="preserve">  But that approach, which focuses on existing resources, w</w:t>
      </w:r>
      <w:r w:rsidR="00D06C24">
        <w:t xml:space="preserve">ill never incentivize projects that have the potential to greatly decrease the cost of delivered power by </w:t>
      </w:r>
      <w:r w:rsidR="00AC3981">
        <w:t xml:space="preserve">accessing regions with enormous, but </w:t>
      </w:r>
      <w:r w:rsidR="00D06C24">
        <w:t>largely undeveloped</w:t>
      </w:r>
      <w:r w:rsidR="00AC3981">
        <w:t xml:space="preserve"> potential</w:t>
      </w:r>
      <w:r w:rsidR="00D06C24">
        <w:t xml:space="preserve">.  </w:t>
      </w:r>
      <w:r>
        <w:t>That is</w:t>
      </w:r>
      <w:r w:rsidR="00D67222">
        <w:t xml:space="preserve"> particularly</w:t>
      </w:r>
      <w:r>
        <w:t xml:space="preserve"> problematic because the big—</w:t>
      </w:r>
      <w:r w:rsidRPr="00AC3981" w:rsidR="00AC3981">
        <w:rPr>
          <w:i/>
        </w:rPr>
        <w:t>i.e.</w:t>
      </w:r>
      <w:r w:rsidR="00AC3981">
        <w:t xml:space="preserve">, </w:t>
      </w:r>
      <w:r>
        <w:t xml:space="preserve">long-haul, high-voltage—transmission projects that have the potential to provide enormous economic and reliability benefits </w:t>
      </w:r>
      <w:r w:rsidR="003972DF">
        <w:t>over the long-term</w:t>
      </w:r>
      <w:r>
        <w:t xml:space="preserve"> take many years, sometimes decades, to develop.  </w:t>
      </w:r>
      <w:r w:rsidR="00D67222">
        <w:t>That means that</w:t>
      </w:r>
      <w:r>
        <w:t xml:space="preserve"> we need to be taking steps </w:t>
      </w:r>
      <w:r w:rsidRPr="00D67222">
        <w:t>today</w:t>
      </w:r>
      <w:r w:rsidRPr="00D06C24">
        <w:rPr>
          <w:i/>
        </w:rPr>
        <w:t xml:space="preserve"> </w:t>
      </w:r>
      <w:r w:rsidR="00A32C1D">
        <w:t xml:space="preserve">with an eye toward </w:t>
      </w:r>
      <w:r>
        <w:t xml:space="preserve">the economic and reliability needs of </w:t>
      </w:r>
      <w:r w:rsidR="00D06C24">
        <w:t>tomorrow</w:t>
      </w:r>
      <w:r w:rsidR="00AC3981">
        <w:t xml:space="preserve">.  </w:t>
      </w:r>
      <w:r w:rsidR="00D06C24">
        <w:t>I</w:t>
      </w:r>
      <w:r w:rsidR="00134389">
        <w:t xml:space="preserve"> worry that</w:t>
      </w:r>
      <w:r>
        <w:t xml:space="preserve"> </w:t>
      </w:r>
      <w:r w:rsidR="00134389">
        <w:t xml:space="preserve">the </w:t>
      </w:r>
      <w:r w:rsidR="003972DF">
        <w:t xml:space="preserve">NOPR’s </w:t>
      </w:r>
      <w:r w:rsidR="00134389">
        <w:t xml:space="preserve">focus on the current transmission </w:t>
      </w:r>
      <w:r>
        <w:t xml:space="preserve">grid </w:t>
      </w:r>
      <w:r w:rsidR="00134389">
        <w:t xml:space="preserve">and its failure to </w:t>
      </w:r>
      <w:r>
        <w:t xml:space="preserve">consider how to incentivize transmission projects </w:t>
      </w:r>
      <w:r w:rsidR="00AC3981">
        <w:t xml:space="preserve">that would </w:t>
      </w:r>
      <w:r>
        <w:t xml:space="preserve">meet </w:t>
      </w:r>
      <w:r w:rsidR="00AC3981">
        <w:t xml:space="preserve">the </w:t>
      </w:r>
      <w:r>
        <w:t xml:space="preserve">grid’s evolving needs </w:t>
      </w:r>
      <w:r w:rsidR="00D06C24">
        <w:t>misses</w:t>
      </w:r>
      <w:r>
        <w:t xml:space="preserve"> an important opportunity </w:t>
      </w:r>
      <w:r w:rsidR="00D06C24">
        <w:t xml:space="preserve">and </w:t>
      </w:r>
      <w:r>
        <w:t xml:space="preserve">may </w:t>
      </w:r>
      <w:r w:rsidR="00D67222">
        <w:t>quickly</w:t>
      </w:r>
      <w:r>
        <w:t xml:space="preserve"> prove to </w:t>
      </w:r>
      <w:r w:rsidR="00A32C1D">
        <w:t xml:space="preserve">have </w:t>
      </w:r>
      <w:r w:rsidR="00D67222">
        <w:t>be</w:t>
      </w:r>
      <w:r w:rsidR="00A32C1D">
        <w:t>en</w:t>
      </w:r>
      <w:r>
        <w:t xml:space="preserve"> a </w:t>
      </w:r>
      <w:r w:rsidR="00AC3981">
        <w:t xml:space="preserve">short-sighted </w:t>
      </w:r>
      <w:r>
        <w:t>use of</w:t>
      </w:r>
      <w:r w:rsidR="00D06C24">
        <w:t xml:space="preserve"> customers’ money</w:t>
      </w:r>
      <w:r>
        <w:t xml:space="preserve">. </w:t>
      </w:r>
    </w:p>
    <w:p w:rsidR="0075685E" w:rsidP="004B7912" w:rsidRDefault="0075685E" w14:paraId="48B2F5EE" w14:textId="2A04B9A5">
      <w:pPr>
        <w:pStyle w:val="FERCparanumber"/>
      </w:pPr>
      <w:r>
        <w:t xml:space="preserve">I encourage parties </w:t>
      </w:r>
      <w:r w:rsidR="00AC3981">
        <w:t xml:space="preserve">to continue addressing </w:t>
      </w:r>
      <w:r>
        <w:t>these issues in the</w:t>
      </w:r>
      <w:r w:rsidR="00D06C24">
        <w:t>ir</w:t>
      </w:r>
      <w:r>
        <w:t xml:space="preserve"> comments on this NOPR.  </w:t>
      </w:r>
      <w:r w:rsidR="004B7912">
        <w:t>Although the proposal does little</w:t>
      </w:r>
      <w:r w:rsidR="00AC3981">
        <w:t xml:space="preserve"> in this regard</w:t>
      </w:r>
      <w:r w:rsidR="004B7912">
        <w:t>, I will continue to advocate for an incentive regime that is more forward</w:t>
      </w:r>
      <w:r w:rsidR="00D06C24">
        <w:t>-looking</w:t>
      </w:r>
      <w:r w:rsidR="004B7912">
        <w:t xml:space="preserve"> and better accommodates the </w:t>
      </w:r>
      <w:r w:rsidR="00F43662">
        <w:t>grid’s</w:t>
      </w:r>
      <w:r w:rsidR="004B7912">
        <w:t xml:space="preserve"> evolving needs.  </w:t>
      </w:r>
      <w:r>
        <w:t xml:space="preserve">In any case, even following the enactment of section 219, the Commission has continued providing incentives pursuant to section 205 where it finds that </w:t>
      </w:r>
      <w:r w:rsidR="001D6B98">
        <w:t xml:space="preserve">an </w:t>
      </w:r>
      <w:r>
        <w:t>incentive is worthwhile</w:t>
      </w:r>
      <w:r w:rsidR="001D6B98">
        <w:t>,</w:t>
      </w:r>
      <w:r>
        <w:t xml:space="preserve"> but does not fit neatly within its approach</w:t>
      </w:r>
      <w:r w:rsidR="001D6B98">
        <w:t xml:space="preserve"> to</w:t>
      </w:r>
      <w:r>
        <w:t xml:space="preserve"> implementing section 219.</w:t>
      </w:r>
      <w:r>
        <w:rPr>
          <w:rStyle w:val="FootnoteReference"/>
        </w:rPr>
        <w:footnoteReference w:id="24"/>
      </w:r>
      <w:r>
        <w:t xml:space="preserve">  </w:t>
      </w:r>
      <w:r w:rsidR="004B7912">
        <w:t xml:space="preserve">Accordingly, even if </w:t>
      </w:r>
      <w:r w:rsidR="00650B50">
        <w:t xml:space="preserve">any final rule omits incentives to address </w:t>
      </w:r>
      <w:r w:rsidR="004B7912">
        <w:t xml:space="preserve">the system’s changing needs, </w:t>
      </w:r>
      <w:r w:rsidR="00650B50">
        <w:t xml:space="preserve">we may still be able to </w:t>
      </w:r>
      <w:r w:rsidR="004B7912">
        <w:t>develop incentives that reflect those needs</w:t>
      </w:r>
      <w:r w:rsidR="00D06C24">
        <w:t xml:space="preserve"> going forward</w:t>
      </w:r>
      <w:r w:rsidR="004B7912">
        <w:t xml:space="preserve">.  </w:t>
      </w:r>
      <w:r w:rsidR="00B735A9">
        <w:t xml:space="preserve">A record on how to do so will </w:t>
      </w:r>
      <w:r w:rsidR="00F43662">
        <w:t>be</w:t>
      </w:r>
      <w:r w:rsidR="00B735A9">
        <w:t xml:space="preserve"> important.</w:t>
      </w:r>
    </w:p>
    <w:p w:rsidR="00021186" w:rsidP="00021186" w:rsidRDefault="001D6B98" w14:paraId="2B8605BC" w14:textId="7AB7BC35">
      <w:pPr>
        <w:pStyle w:val="Heading1"/>
      </w:pPr>
      <w:r>
        <w:t xml:space="preserve">The Commission’s Proposed Section 219(c) Incentive </w:t>
      </w:r>
    </w:p>
    <w:p w:rsidR="00BD7E38" w:rsidP="00E33133" w:rsidRDefault="00F53C10" w14:paraId="4F96D08B" w14:textId="3A3A83A2">
      <w:pPr>
        <w:pStyle w:val="FERCparanumber"/>
      </w:pPr>
      <w:r>
        <w:t xml:space="preserve">Congress recognized </w:t>
      </w:r>
      <w:r w:rsidR="00D46285">
        <w:t xml:space="preserve">the benefits that RTOs and ISOs can provide when </w:t>
      </w:r>
      <w:r>
        <w:t xml:space="preserve">it enacted </w:t>
      </w:r>
      <w:r w:rsidR="003135C1">
        <w:t>s</w:t>
      </w:r>
      <w:r>
        <w:t>ection 219</w:t>
      </w:r>
      <w:r w:rsidR="001D6B98">
        <w:t>(c)</w:t>
      </w:r>
      <w:r>
        <w:t xml:space="preserve"> and directed the Commission to </w:t>
      </w:r>
      <w:r w:rsidR="00F6633A">
        <w:t xml:space="preserve">incentivize </w:t>
      </w:r>
      <w:r>
        <w:t xml:space="preserve">transmission owners to </w:t>
      </w:r>
      <w:r w:rsidR="00D46285">
        <w:t>“</w:t>
      </w:r>
      <w:r>
        <w:t>join</w:t>
      </w:r>
      <w:r w:rsidR="003B0F4F">
        <w:t>[]</w:t>
      </w:r>
      <w:r w:rsidR="00D46285">
        <w:t>” an RTO</w:t>
      </w:r>
      <w:r>
        <w:t>.</w:t>
      </w:r>
      <w:r>
        <w:rPr>
          <w:rStyle w:val="FootnoteReference"/>
        </w:rPr>
        <w:footnoteReference w:id="25"/>
      </w:r>
      <w:r>
        <w:t xml:space="preserve">  </w:t>
      </w:r>
      <w:r w:rsidR="00F6633A">
        <w:t>In the intervening years, those benefits have only increased</w:t>
      </w:r>
      <w:r w:rsidR="00D46285">
        <w:t xml:space="preserve">, with RTOs around the country providing </w:t>
      </w:r>
      <w:r w:rsidR="003A63AE">
        <w:t>customers</w:t>
      </w:r>
      <w:r w:rsidR="00F6633A">
        <w:t xml:space="preserve"> with </w:t>
      </w:r>
      <w:r w:rsidR="00D46285">
        <w:t>billions of dollars per year in benefits.</w:t>
      </w:r>
      <w:r w:rsidR="00D46285">
        <w:rPr>
          <w:rStyle w:val="FootnoteReference"/>
        </w:rPr>
        <w:footnoteReference w:id="26"/>
      </w:r>
      <w:r w:rsidR="00D46285">
        <w:t xml:space="preserve">  The question before us now is not whet</w:t>
      </w:r>
      <w:r w:rsidR="00F6633A">
        <w:t xml:space="preserve">her RTOs and </w:t>
      </w:r>
      <w:r w:rsidR="00D46285">
        <w:t>ISOs are good or bad—</w:t>
      </w:r>
      <w:r w:rsidR="00F6633A">
        <w:lastRenderedPageBreak/>
        <w:t>in my view</w:t>
      </w:r>
      <w:r w:rsidR="00A101DC">
        <w:t>,</w:t>
      </w:r>
      <w:r w:rsidR="00F6633A">
        <w:t xml:space="preserve"> </w:t>
      </w:r>
      <w:r w:rsidR="00D46285">
        <w:t>that question is settled—but whether, in light of those obvious benefits, it is just and reasonable to require customers to pay hu</w:t>
      </w:r>
      <w:r w:rsidR="00F6633A">
        <w:t xml:space="preserve">ndreds of millions </w:t>
      </w:r>
      <w:r w:rsidR="00D46285">
        <w:t xml:space="preserve">of dollars </w:t>
      </w:r>
      <w:r w:rsidR="00F6633A">
        <w:t>per year</w:t>
      </w:r>
      <w:r w:rsidR="00563F77">
        <w:rPr>
          <w:rStyle w:val="FootnoteReference"/>
        </w:rPr>
        <w:footnoteReference w:id="27"/>
      </w:r>
      <w:r w:rsidR="00F6633A">
        <w:t xml:space="preserve"> in </w:t>
      </w:r>
      <w:r w:rsidR="00D46285">
        <w:t>higher rates to get</w:t>
      </w:r>
      <w:r w:rsidR="00F6633A">
        <w:t xml:space="preserve"> transmission owners </w:t>
      </w:r>
      <w:r w:rsidR="00D46285">
        <w:t xml:space="preserve">to join </w:t>
      </w:r>
      <w:r w:rsidR="00D46285">
        <w:rPr>
          <w:i/>
        </w:rPr>
        <w:t xml:space="preserve">and remain </w:t>
      </w:r>
      <w:r w:rsidR="00D46285">
        <w:t xml:space="preserve">in </w:t>
      </w:r>
      <w:r w:rsidR="00BD7E38">
        <w:t>an RTO.</w:t>
      </w:r>
      <w:r w:rsidR="003B0F4F">
        <w:rPr>
          <w:rStyle w:val="FootnoteReference"/>
        </w:rPr>
        <w:footnoteReference w:id="28"/>
      </w:r>
      <w:r w:rsidR="00BD7E38">
        <w:t xml:space="preserve"> </w:t>
      </w:r>
    </w:p>
    <w:p w:rsidR="00632B18" w:rsidP="00E33133" w:rsidRDefault="00BD7E38" w14:paraId="33C4EA7C" w14:textId="37619F57">
      <w:pPr>
        <w:pStyle w:val="FERCparanumber"/>
      </w:pPr>
      <w:r>
        <w:t>The answer</w:t>
      </w:r>
      <w:r w:rsidR="006D48E6">
        <w:t xml:space="preserve"> </w:t>
      </w:r>
      <w:r w:rsidR="003135C1">
        <w:t xml:space="preserve">is </w:t>
      </w:r>
      <w:r w:rsidR="006D48E6">
        <w:t xml:space="preserve">no.  As an initial matter, the text of section 219(c) </w:t>
      </w:r>
      <w:r w:rsidR="003B0F4F">
        <w:t xml:space="preserve">contemplates an incentive </w:t>
      </w:r>
      <w:r w:rsidR="00DB2C37">
        <w:t>to induce</w:t>
      </w:r>
      <w:r w:rsidR="003B0F4F">
        <w:t xml:space="preserve"> transmission owners to </w:t>
      </w:r>
      <w:r w:rsidRPr="00DB2C37" w:rsidR="003B0F4F">
        <w:rPr>
          <w:i/>
        </w:rPr>
        <w:t>join</w:t>
      </w:r>
      <w:r w:rsidR="003B0F4F">
        <w:t xml:space="preserve"> an RTO.</w:t>
      </w:r>
      <w:r w:rsidR="00DB2C37">
        <w:t xml:space="preserve">  Specifically, t</w:t>
      </w:r>
      <w:r w:rsidR="003B0F4F">
        <w:t>hat provision requires the Commission to “</w:t>
      </w:r>
      <w:r w:rsidRPr="003B0F4F" w:rsidR="003B0F4F">
        <w:t>provide for incentives to each transmitting utility or electric utility that joins a</w:t>
      </w:r>
      <w:r w:rsidR="003B0F4F">
        <w:t>[n RTO].”</w:t>
      </w:r>
      <w:r w:rsidR="003B0F4F">
        <w:rPr>
          <w:rStyle w:val="FootnoteReference"/>
        </w:rPr>
        <w:footnoteReference w:id="29"/>
      </w:r>
      <w:r w:rsidR="00DB2C37">
        <w:t xml:space="preserve">  </w:t>
      </w:r>
      <w:r w:rsidR="00632B18">
        <w:t xml:space="preserve">The best interpretation of that language is that Congress intended the Commission to provide an extra inducement to get transmission owners considering RTO membership over the hump and into the RTO—hence the word “joins.”  Nothing about Congress’ emphasis on the decision to join an RTO suggests that Congress intended the incentive to apply to all RTOs members in perpetuity.  </w:t>
      </w:r>
    </w:p>
    <w:p w:rsidR="00845419" w:rsidP="00632B18" w:rsidRDefault="00632B18" w14:paraId="67CB36C4" w14:textId="3BB86E04">
      <w:pPr>
        <w:pStyle w:val="FERCparanumber"/>
      </w:pPr>
      <w:r>
        <w:t xml:space="preserve">After all, Congress certainly could have provided an incentive for RTO membership, as opposed to joining an RTO.  But that is not the choice it made.  We should respect that choice and provide incentives specifically for transmission owners that join an RTO, not to any transmission owner that happens to be in one.  </w:t>
      </w:r>
      <w:r w:rsidR="00845419">
        <w:t>Elsewhere in the NOPR, the Commission is at pains to point out where its proposed approach to implementing section 219 better adheres to</w:t>
      </w:r>
      <w:r>
        <w:t xml:space="preserve"> the</w:t>
      </w:r>
      <w:r w:rsidR="00845419">
        <w:t xml:space="preserve"> </w:t>
      </w:r>
      <w:r w:rsidR="003135C1">
        <w:t>provision’s actual text</w:t>
      </w:r>
      <w:r w:rsidR="00845419">
        <w:t>.</w:t>
      </w:r>
      <w:r w:rsidR="00561472">
        <w:rPr>
          <w:rStyle w:val="FootnoteReference"/>
        </w:rPr>
        <w:footnoteReference w:id="30"/>
      </w:r>
      <w:r w:rsidR="00845419">
        <w:t xml:space="preserve">  Unfortunately, </w:t>
      </w:r>
      <w:r>
        <w:t xml:space="preserve">in awarding an incentive ROE to any transmission that is a member of an RTO, </w:t>
      </w:r>
      <w:r w:rsidR="00845419">
        <w:t xml:space="preserve">the Commission </w:t>
      </w:r>
      <w:r>
        <w:t xml:space="preserve">makes clear that it is not </w:t>
      </w:r>
      <w:r w:rsidR="00845419">
        <w:t>interested in the same textual</w:t>
      </w:r>
      <w:r w:rsidR="003135C1">
        <w:t xml:space="preserve"> fidelity</w:t>
      </w:r>
      <w:r w:rsidR="00845419">
        <w:t xml:space="preserve"> when it comes to section 219(c).   </w:t>
      </w:r>
    </w:p>
    <w:p w:rsidR="000B292F" w:rsidP="00E33133" w:rsidRDefault="004E35FC" w14:paraId="0FD03572" w14:textId="2D615CB5">
      <w:pPr>
        <w:pStyle w:val="FERCparanumber"/>
      </w:pPr>
      <w:r>
        <w:t>In any case, providing a perpetual payment for RTO membership is bad policy.  A</w:t>
      </w:r>
      <w:r w:rsidR="003135C1">
        <w:t>s noted, a</w:t>
      </w:r>
      <w:r w:rsidR="00632B18">
        <w:t>n</w:t>
      </w:r>
      <w:r>
        <w:t xml:space="preserve"> incentive </w:t>
      </w:r>
      <w:r w:rsidR="003A63AE">
        <w:t>must</w:t>
      </w:r>
      <w:r>
        <w:t xml:space="preserve"> incentivize something.</w:t>
      </w:r>
      <w:r w:rsidR="00117DE5">
        <w:rPr>
          <w:rStyle w:val="FootnoteReference"/>
        </w:rPr>
        <w:footnoteReference w:id="31"/>
      </w:r>
      <w:r>
        <w:t xml:space="preserve">  If it does not do that, then it is a </w:t>
      </w:r>
      <w:r>
        <w:lastRenderedPageBreak/>
        <w:t>handout</w:t>
      </w:r>
      <w:r w:rsidR="003135C1">
        <w:t>, not an incentive</w:t>
      </w:r>
      <w:r>
        <w:t>.</w:t>
      </w:r>
      <w:r w:rsidR="008D2EC5">
        <w:rPr>
          <w:rStyle w:val="FootnoteReference"/>
        </w:rPr>
        <w:footnoteReference w:id="32"/>
      </w:r>
      <w:r>
        <w:t xml:space="preserve">  RTOs provide massive benefits, including more efficient </w:t>
      </w:r>
      <w:r w:rsidR="00F6633A">
        <w:t xml:space="preserve">coordination and </w:t>
      </w:r>
      <w:r>
        <w:t>dispatch of</w:t>
      </w:r>
      <w:r w:rsidR="00F6633A">
        <w:t xml:space="preserve"> generation</w:t>
      </w:r>
      <w:r>
        <w:t>, enhanced reliability, and more effective integration of renewable resources.  Those efficiencies, not to mention the costs of quitting an RTO, are</w:t>
      </w:r>
      <w:r w:rsidR="003135C1">
        <w:t xml:space="preserve"> why</w:t>
      </w:r>
      <w:r>
        <w:t xml:space="preserve"> </w:t>
      </w:r>
      <w:r w:rsidR="000B292F">
        <w:t>transmission owners remain in RTOs, not the section 219(c) incentive.</w:t>
      </w:r>
      <w:r w:rsidR="00A101DC">
        <w:rPr>
          <w:rStyle w:val="FootnoteReference"/>
        </w:rPr>
        <w:footnoteReference w:id="33"/>
      </w:r>
      <w:r w:rsidR="00117DE5">
        <w:t xml:space="preserve">  By piling an </w:t>
      </w:r>
      <w:r w:rsidR="003135C1">
        <w:t xml:space="preserve">additional </w:t>
      </w:r>
      <w:r w:rsidR="00117DE5">
        <w:t>ROE on top of the already compelling RTO value proposition</w:t>
      </w:r>
      <w:r w:rsidR="003135C1">
        <w:t>,</w:t>
      </w:r>
      <w:r w:rsidR="00117DE5">
        <w:t xml:space="preserve"> we are forcing customers to pay extra for benefits that they would get anyway.</w:t>
      </w:r>
      <w:r w:rsidR="008D2EC5">
        <w:rPr>
          <w:rStyle w:val="FootnoteReference"/>
        </w:rPr>
        <w:footnoteReference w:id="34"/>
      </w:r>
      <w:r w:rsidR="00117DE5">
        <w:t xml:space="preserve">  That is not just and reasonable. </w:t>
      </w:r>
    </w:p>
    <w:p w:rsidR="00117DE5" w:rsidP="00E33133" w:rsidRDefault="00117DE5" w14:paraId="419EFECD" w14:textId="7D1F9BEE">
      <w:pPr>
        <w:pStyle w:val="FERCparanumber"/>
      </w:pPr>
      <w:r>
        <w:t xml:space="preserve">A better approach—one that hews more closely to the statutory text </w:t>
      </w:r>
      <w:r w:rsidR="00FF1E93">
        <w:t xml:space="preserve">as well as </w:t>
      </w:r>
      <w:r>
        <w:t xml:space="preserve">our obligation to ensure just and reasonable rates—would </w:t>
      </w:r>
      <w:r w:rsidR="008D2EC5">
        <w:t>be to tailor the section 219(c)</w:t>
      </w:r>
      <w:r w:rsidR="00632B18">
        <w:t xml:space="preserve"> incentive</w:t>
      </w:r>
      <w:r w:rsidR="008D2EC5">
        <w:t xml:space="preserve"> </w:t>
      </w:r>
      <w:r w:rsidR="00632B18">
        <w:t xml:space="preserve">to transmission owners that are considering </w:t>
      </w:r>
      <w:r w:rsidR="008D2EC5">
        <w:t>join</w:t>
      </w:r>
      <w:r w:rsidR="00632B18">
        <w:t>ing</w:t>
      </w:r>
      <w:r w:rsidR="008D2EC5">
        <w:t xml:space="preserve"> </w:t>
      </w:r>
      <w:r w:rsidR="00632B18">
        <w:t>an RTO</w:t>
      </w:r>
      <w:r w:rsidR="008D2EC5">
        <w:t>.  A number of comment</w:t>
      </w:r>
      <w:r w:rsidR="00F6633A">
        <w:t>er</w:t>
      </w:r>
      <w:r w:rsidR="008D2EC5">
        <w:t xml:space="preserve">s suggested incentives along those lines.  For example, numerous parties </w:t>
      </w:r>
      <w:r w:rsidR="00F6633A">
        <w:t xml:space="preserve">proposed </w:t>
      </w:r>
      <w:r w:rsidR="008D2EC5">
        <w:t xml:space="preserve">that the Commission could make </w:t>
      </w:r>
      <w:r w:rsidR="00632B18">
        <w:t>transmission owners</w:t>
      </w:r>
      <w:r w:rsidR="008D2EC5">
        <w:t xml:space="preserve"> eligible for an </w:t>
      </w:r>
      <w:r w:rsidR="003A63AE">
        <w:t>ROE</w:t>
      </w:r>
      <w:r w:rsidR="008D2EC5">
        <w:t xml:space="preserve"> incentive for a fixed period of years</w:t>
      </w:r>
      <w:r w:rsidR="00705EE8">
        <w:t xml:space="preserve"> after joining an RTO</w:t>
      </w:r>
      <w:r w:rsidR="008D2EC5">
        <w:t xml:space="preserve">, </w:t>
      </w:r>
      <w:r w:rsidR="00705EE8">
        <w:t xml:space="preserve">thereafter </w:t>
      </w:r>
      <w:r w:rsidR="008D2EC5">
        <w:t xml:space="preserve">eliminating </w:t>
      </w:r>
      <w:r w:rsidR="003A63AE">
        <w:t>the incentive</w:t>
      </w:r>
      <w:r w:rsidR="008D2EC5">
        <w:t xml:space="preserve"> </w:t>
      </w:r>
      <w:r w:rsidR="003135C1">
        <w:t xml:space="preserve">entirely </w:t>
      </w:r>
      <w:r w:rsidR="008D2EC5">
        <w:t>or phasing it down</w:t>
      </w:r>
      <w:r w:rsidR="00705EE8">
        <w:t xml:space="preserve"> gradually</w:t>
      </w:r>
      <w:r w:rsidR="008D2EC5">
        <w:t>.</w:t>
      </w:r>
      <w:r w:rsidR="008D2EC5">
        <w:rPr>
          <w:rStyle w:val="FootnoteReference"/>
        </w:rPr>
        <w:footnoteReference w:id="35"/>
      </w:r>
      <w:r w:rsidR="00D464C7">
        <w:t xml:space="preserve">  An approach along those lines would </w:t>
      </w:r>
      <w:r w:rsidR="00D464C7">
        <w:lastRenderedPageBreak/>
        <w:t>both fulfill section 219(c)’s directive to encourage transmission owners to join RTOs while also respecting section 219(d)’s mandate to ensure that rat</w:t>
      </w:r>
      <w:r w:rsidR="00E33133">
        <w:t xml:space="preserve">es remain just and reasonable. </w:t>
      </w:r>
    </w:p>
    <w:p w:rsidR="00575EA5" w:rsidP="00E33133" w:rsidRDefault="00FF1E93" w14:paraId="0BA1D4A5" w14:textId="14B614F5">
      <w:pPr>
        <w:pStyle w:val="FERCparanumber"/>
      </w:pPr>
      <w:r>
        <w:t xml:space="preserve">Unfortunately, </w:t>
      </w:r>
      <w:r w:rsidR="003A63AE">
        <w:t>the NOPR</w:t>
      </w:r>
      <w:r>
        <w:t xml:space="preserve"> </w:t>
      </w:r>
      <w:r w:rsidR="00F6633A">
        <w:t>take</w:t>
      </w:r>
      <w:r w:rsidR="003A63AE">
        <w:t>s</w:t>
      </w:r>
      <w:r w:rsidR="00F6633A">
        <w:t xml:space="preserve"> a very different path, doubling</w:t>
      </w:r>
      <w:r>
        <w:t xml:space="preserve"> down on </w:t>
      </w:r>
      <w:r w:rsidR="00D464C7">
        <w:t xml:space="preserve">the flaws in the </w:t>
      </w:r>
      <w:r>
        <w:t xml:space="preserve">current section 219(c) incentive.  </w:t>
      </w:r>
      <w:r w:rsidR="00575EA5">
        <w:t xml:space="preserve">First, it </w:t>
      </w:r>
      <w:r>
        <w:t>proposes to eliminate the requirement that RTO membership be voluntary</w:t>
      </w:r>
      <w:r w:rsidR="00F6633A">
        <w:t xml:space="preserve"> for a </w:t>
      </w:r>
      <w:r w:rsidR="003A63AE">
        <w:t>transmission owner</w:t>
      </w:r>
      <w:r w:rsidR="00F6633A">
        <w:t xml:space="preserve"> to be eligible for the section 219(c) incentive</w:t>
      </w:r>
      <w:r w:rsidR="00575EA5">
        <w:t>.</w:t>
      </w:r>
      <w:r>
        <w:rPr>
          <w:rStyle w:val="FootnoteReference"/>
        </w:rPr>
        <w:footnoteReference w:id="36"/>
      </w:r>
      <w:r>
        <w:t xml:space="preserve"> </w:t>
      </w:r>
      <w:r w:rsidR="00575EA5">
        <w:t xml:space="preserve"> </w:t>
      </w:r>
      <w:r w:rsidR="00F6633A">
        <w:t xml:space="preserve">While </w:t>
      </w:r>
      <w:r w:rsidR="00D464C7">
        <w:t xml:space="preserve">I believe that the </w:t>
      </w:r>
      <w:r w:rsidR="007178E0">
        <w:t xml:space="preserve">current section 219(c) </w:t>
      </w:r>
      <w:r w:rsidR="00D464C7">
        <w:t>incentive is flawed, it at least recognizes that an additional payment is inappropriate where the transmission owner is required by law to remain in the RTO</w:t>
      </w:r>
      <w:r w:rsidR="007178E0">
        <w:t>.</w:t>
      </w:r>
      <w:r w:rsidR="007178E0">
        <w:rPr>
          <w:rStyle w:val="FootnoteReference"/>
        </w:rPr>
        <w:footnoteReference w:id="37"/>
      </w:r>
      <w:r w:rsidR="007178E0">
        <w:t xml:space="preserve">  As the </w:t>
      </w:r>
      <w:r w:rsidR="00575EA5">
        <w:t xml:space="preserve">U.S. Court of Appeals for the Ninth Circuit </w:t>
      </w:r>
      <w:r w:rsidR="007178E0">
        <w:t xml:space="preserve">observed </w:t>
      </w:r>
      <w:r w:rsidR="00575EA5">
        <w:t>when discussing this very issue,</w:t>
      </w:r>
      <w:r w:rsidRPr="00575EA5" w:rsidR="00575EA5">
        <w:t xml:space="preserve"> “[a]n incentive cannot </w:t>
      </w:r>
      <w:r w:rsidR="006F4BC9">
        <w:t>‘</w:t>
      </w:r>
      <w:r w:rsidRPr="00575EA5" w:rsidR="00575EA5">
        <w:t>induce</w:t>
      </w:r>
      <w:r w:rsidR="006F4BC9">
        <w:t>’</w:t>
      </w:r>
      <w:r w:rsidRPr="00575EA5" w:rsidR="00575EA5">
        <w:t xml:space="preserve"> behavior that is already legally mandated</w:t>
      </w:r>
      <w:r w:rsidR="00190A75">
        <w:t>.</w:t>
      </w:r>
      <w:r w:rsidR="00575EA5">
        <w:t>”</w:t>
      </w:r>
      <w:r w:rsidR="00575EA5">
        <w:rPr>
          <w:rStyle w:val="FootnoteReference"/>
        </w:rPr>
        <w:footnoteReference w:id="38"/>
      </w:r>
      <w:r w:rsidR="007178E0">
        <w:t xml:space="preserve"> </w:t>
      </w:r>
      <w:r w:rsidR="002D3697">
        <w:t xml:space="preserve"> </w:t>
      </w:r>
      <w:r w:rsidR="003A63AE">
        <w:t>The</w:t>
      </w:r>
      <w:r w:rsidR="00190A75">
        <w:t xml:space="preserve"> court further observed that </w:t>
      </w:r>
      <w:r w:rsidR="007178E0">
        <w:t xml:space="preserve">the Commission has </w:t>
      </w:r>
      <w:r w:rsidR="006F4BC9">
        <w:t xml:space="preserve">“a </w:t>
      </w:r>
      <w:r w:rsidRPr="006F4BC9" w:rsidR="006F4BC9">
        <w:t>longstanding policy</w:t>
      </w:r>
      <w:r w:rsidR="006F4BC9">
        <w:t xml:space="preserve">” </w:t>
      </w:r>
      <w:r w:rsidR="00632B18">
        <w:t xml:space="preserve">that </w:t>
      </w:r>
      <w:r w:rsidR="006F4BC9">
        <w:t>“</w:t>
      </w:r>
      <w:r w:rsidRPr="006F4BC9" w:rsidR="006F4BC9">
        <w:t xml:space="preserve">prohibits </w:t>
      </w:r>
      <w:r w:rsidR="006F4BC9">
        <w:t>[it]</w:t>
      </w:r>
      <w:r w:rsidRPr="006F4BC9" w:rsidR="006F4BC9">
        <w:t xml:space="preserve"> from rewarding utilities for past conduct or for conduct which they are otherwise obligated to undertake.</w:t>
      </w:r>
      <w:r w:rsidR="006F4BC9">
        <w:t>”</w:t>
      </w:r>
      <w:r w:rsidR="006F4BC9">
        <w:rPr>
          <w:rStyle w:val="FootnoteReference"/>
        </w:rPr>
        <w:footnoteReference w:id="39"/>
      </w:r>
      <w:r w:rsidR="006F4BC9">
        <w:t xml:space="preserve"> </w:t>
      </w:r>
      <w:r w:rsidR="00575EA5">
        <w:t xml:space="preserve"> </w:t>
      </w:r>
      <w:r w:rsidR="005056D3">
        <w:t xml:space="preserve">This proposal </w:t>
      </w:r>
      <w:r w:rsidR="00DB35AD">
        <w:t xml:space="preserve">marks a sharp break from that </w:t>
      </w:r>
      <w:r w:rsidR="005056D3">
        <w:t>policy, offer</w:t>
      </w:r>
      <w:r w:rsidR="00632B18">
        <w:t>ing</w:t>
      </w:r>
      <w:r w:rsidR="005056D3">
        <w:t xml:space="preserve"> an incentive where there is—quite literally—nothing to incentivize.</w:t>
      </w:r>
      <w:r w:rsidR="00F315C8">
        <w:rPr>
          <w:rStyle w:val="FootnoteReference"/>
        </w:rPr>
        <w:footnoteReference w:id="40"/>
      </w:r>
      <w:r w:rsidR="005056D3">
        <w:t xml:space="preserve">  </w:t>
      </w:r>
    </w:p>
    <w:p w:rsidR="00D46285" w:rsidP="00E33133" w:rsidRDefault="006461C1" w14:paraId="5A676D12" w14:textId="30ABE3EE">
      <w:pPr>
        <w:pStyle w:val="FERCparanumber"/>
      </w:pPr>
      <w:r>
        <w:lastRenderedPageBreak/>
        <w:t>But the biggest head</w:t>
      </w:r>
      <w:r w:rsidR="00632B18">
        <w:t xml:space="preserve"> </w:t>
      </w:r>
      <w:r>
        <w:t xml:space="preserve">scratcher in this proposal is the </w:t>
      </w:r>
      <w:r w:rsidR="005056D3">
        <w:t>notion that we should double the size of the current section 219</w:t>
      </w:r>
      <w:r w:rsidR="00F6633A">
        <w:t>(c)</w:t>
      </w:r>
      <w:r w:rsidR="005056D3">
        <w:t xml:space="preserve"> incentive</w:t>
      </w:r>
      <w:r w:rsidR="003A63AE">
        <w:t>, from 50 basis points to 100</w:t>
      </w:r>
      <w:r w:rsidR="005056D3">
        <w:t xml:space="preserve">.  I see no reason—and, </w:t>
      </w:r>
      <w:r w:rsidR="00F6633A">
        <w:t>certainly</w:t>
      </w:r>
      <w:r w:rsidR="005056D3">
        <w:t>, no</w:t>
      </w:r>
      <w:r w:rsidR="00D464DC">
        <w:t xml:space="preserve"> compelling</w:t>
      </w:r>
      <w:r w:rsidR="005056D3">
        <w:t xml:space="preserve"> record—to believe that we should further increase the</w:t>
      </w:r>
      <w:r w:rsidR="003A63AE">
        <w:t xml:space="preserve"> price tag of that incentive.  </w:t>
      </w:r>
      <w:r w:rsidR="00F315C8">
        <w:t xml:space="preserve">The </w:t>
      </w:r>
      <w:r w:rsidR="00F6633A">
        <w:t>NOPR</w:t>
      </w:r>
      <w:r w:rsidR="00F315C8">
        <w:t xml:space="preserve"> </w:t>
      </w:r>
      <w:r w:rsidR="00BE2008">
        <w:t xml:space="preserve">suggests </w:t>
      </w:r>
      <w:r w:rsidR="00F315C8">
        <w:t>that increasing the incentive is appropriate because the duties and benefits that flow from RTO membership have increased.</w:t>
      </w:r>
      <w:r w:rsidR="00F315C8">
        <w:rPr>
          <w:rStyle w:val="FootnoteReference"/>
        </w:rPr>
        <w:footnoteReference w:id="41"/>
      </w:r>
      <w:r w:rsidR="00F315C8">
        <w:t xml:space="preserve">  Both points may </w:t>
      </w:r>
      <w:r w:rsidR="00BE2008">
        <w:t>accurately characterize RTO membership</w:t>
      </w:r>
      <w:r w:rsidR="00F315C8">
        <w:t>, but neither explains why</w:t>
      </w:r>
      <w:r w:rsidR="00F6633A">
        <w:t xml:space="preserve"> we should further inflate </w:t>
      </w:r>
      <w:r w:rsidR="00F315C8">
        <w:t xml:space="preserve">the section 219(c) incentive.  If anything, the increased benefits would suggest that a further incentive is </w:t>
      </w:r>
      <w:r w:rsidR="00F315C8">
        <w:rPr>
          <w:i/>
        </w:rPr>
        <w:t xml:space="preserve">not </w:t>
      </w:r>
      <w:r w:rsidR="00F315C8">
        <w:t>needed</w:t>
      </w:r>
      <w:r w:rsidR="00F6633A">
        <w:t xml:space="preserve"> to get transmission owners to </w:t>
      </w:r>
      <w:r w:rsidR="003A63AE">
        <w:t xml:space="preserve">join or </w:t>
      </w:r>
      <w:r w:rsidR="00F6633A">
        <w:t>remain in an RTO</w:t>
      </w:r>
      <w:r w:rsidR="00F315C8">
        <w:t>.</w:t>
      </w:r>
      <w:r w:rsidR="00DB35AD">
        <w:rPr>
          <w:rStyle w:val="FootnoteReference"/>
        </w:rPr>
        <w:footnoteReference w:id="42"/>
      </w:r>
      <w:r w:rsidR="00F315C8">
        <w:t xml:space="preserve">  In addition, the NOPR’s only example of an increased duty—Order No. 1000’s creation of regional transmission planning processes</w:t>
      </w:r>
      <w:r w:rsidR="00F315C8">
        <w:rPr>
          <w:rStyle w:val="FootnoteReference"/>
        </w:rPr>
        <w:footnoteReference w:id="43"/>
      </w:r>
      <w:r w:rsidR="00F315C8">
        <w:t>—applies equally in RTO and non-RTO regions.</w:t>
      </w:r>
      <w:r w:rsidR="00F315C8">
        <w:rPr>
          <w:rStyle w:val="FootnoteReference"/>
        </w:rPr>
        <w:footnoteReference w:id="44"/>
      </w:r>
      <w:r w:rsidR="00F315C8">
        <w:t xml:space="preserve">   </w:t>
      </w:r>
    </w:p>
    <w:p w:rsidR="00F315C8" w:rsidP="00CE5600" w:rsidRDefault="00F315C8" w14:paraId="69A99B3A" w14:textId="08FFD394">
      <w:pPr>
        <w:pStyle w:val="FERCparanumber"/>
      </w:pPr>
      <w:r>
        <w:t>Finally, it is worth reiterating</w:t>
      </w:r>
      <w:r w:rsidR="008D2EC5">
        <w:t xml:space="preserve"> that my concern </w:t>
      </w:r>
      <w:r>
        <w:t xml:space="preserve">here is all about gratuitous handouts at customers’ expense, not the value proposition offered by RTOs.  </w:t>
      </w:r>
      <w:r w:rsidR="00FF1E93">
        <w:t xml:space="preserve">In fact, I believe that the success of RTOs largely speaks for itself.  Under those circumstances, we should implement the specific directive Congress gave us—to reward the decision to </w:t>
      </w:r>
      <w:r w:rsidRPr="00B02B03" w:rsidR="00FF1E93">
        <w:rPr>
          <w:i/>
        </w:rPr>
        <w:t>join</w:t>
      </w:r>
      <w:r w:rsidR="00FF1E93">
        <w:t xml:space="preserve"> an RTO—rather than </w:t>
      </w:r>
      <w:r w:rsidR="009955C5">
        <w:t xml:space="preserve">handing </w:t>
      </w:r>
      <w:r w:rsidR="00FF1E93">
        <w:t>out money for nothing.</w:t>
      </w:r>
      <w:r w:rsidR="00561472">
        <w:t xml:space="preserve"> </w:t>
      </w:r>
    </w:p>
    <w:p w:rsidR="00F315C8" w:rsidP="00794D29" w:rsidRDefault="00CA2A01" w14:paraId="2AB4DEEE" w14:textId="77777777">
      <w:pPr>
        <w:pStyle w:val="Heading1"/>
      </w:pPr>
      <w:r>
        <w:t xml:space="preserve">The Proposed </w:t>
      </w:r>
      <w:r w:rsidR="00F315C8">
        <w:t>250</w:t>
      </w:r>
      <w:r w:rsidR="00561472">
        <w:t>-</w:t>
      </w:r>
      <w:r w:rsidR="00F315C8">
        <w:t>Basis</w:t>
      </w:r>
      <w:r w:rsidR="00561472">
        <w:t>-</w:t>
      </w:r>
      <w:r w:rsidR="00F315C8">
        <w:t xml:space="preserve">Point </w:t>
      </w:r>
      <w:r w:rsidR="009955C5">
        <w:t>Cap</w:t>
      </w:r>
      <w:r>
        <w:t xml:space="preserve"> on Overall ROE</w:t>
      </w:r>
    </w:p>
    <w:p w:rsidR="008608B9" w:rsidP="008608B9" w:rsidRDefault="00413882" w14:paraId="77D928A6" w14:textId="60214F94">
      <w:pPr>
        <w:pStyle w:val="FERCparanumber"/>
      </w:pPr>
      <w:r>
        <w:t>The Commission has historically capped transmission owners’ overall ROE—</w:t>
      </w:r>
      <w:r>
        <w:rPr>
          <w:i/>
        </w:rPr>
        <w:t>i.e.</w:t>
      </w:r>
      <w:r>
        <w:t>, the combined base ROE and any incentives—at the top of the zone of reasonableness established in the relevant ROE proceeding.</w:t>
      </w:r>
      <w:r>
        <w:rPr>
          <w:rStyle w:val="FootnoteReference"/>
        </w:rPr>
        <w:footnoteReference w:id="45"/>
      </w:r>
      <w:r>
        <w:t xml:space="preserve">  Keeping the ROE within that zone has </w:t>
      </w:r>
      <w:r>
        <w:lastRenderedPageBreak/>
        <w:t>been the principal means by which the Commission ensure</w:t>
      </w:r>
      <w:r w:rsidR="00FD66A9">
        <w:t>s</w:t>
      </w:r>
      <w:r>
        <w:t xml:space="preserve"> that </w:t>
      </w:r>
      <w:r w:rsidR="00FD66A9">
        <w:t xml:space="preserve">transmission owners’ </w:t>
      </w:r>
      <w:r>
        <w:t>overall ROE is just and reasonable, as required by FPA sections 205, 206, and 219.</w:t>
      </w:r>
      <w:r>
        <w:rPr>
          <w:rStyle w:val="FootnoteReference"/>
        </w:rPr>
        <w:footnoteReference w:id="46"/>
      </w:r>
      <w:r>
        <w:t xml:space="preserve">  </w:t>
      </w:r>
      <w:r w:rsidR="003F38B4">
        <w:t>The NOPR</w:t>
      </w:r>
      <w:r>
        <w:t xml:space="preserve"> proposes to eliminate that protection and, instead, </w:t>
      </w:r>
      <w:r w:rsidR="0013768E">
        <w:t xml:space="preserve">place a </w:t>
      </w:r>
      <w:r w:rsidR="00531FF6">
        <w:t>250-basis-</w:t>
      </w:r>
      <w:r>
        <w:t>point cap on incentive</w:t>
      </w:r>
      <w:r w:rsidR="00B813CB">
        <w:t xml:space="preserve"> ROEs</w:t>
      </w:r>
      <w:r>
        <w:t>.</w:t>
      </w:r>
      <w:r w:rsidR="00531FF6">
        <w:rPr>
          <w:rStyle w:val="FootnoteReference"/>
        </w:rPr>
        <w:footnoteReference w:id="47"/>
      </w:r>
      <w:r w:rsidR="008608B9">
        <w:t xml:space="preserve">  </w:t>
      </w:r>
      <w:r>
        <w:t xml:space="preserve">It should go without saying that </w:t>
      </w:r>
      <w:r w:rsidR="00235659">
        <w:t xml:space="preserve">such a change </w:t>
      </w:r>
      <w:r>
        <w:t xml:space="preserve">would represent a fundamental break with </w:t>
      </w:r>
      <w:r w:rsidR="00820B79">
        <w:t xml:space="preserve">the Commission’s precedent for ensuring </w:t>
      </w:r>
      <w:r>
        <w:t xml:space="preserve">that ROEs are just and reasonable.  And while I </w:t>
      </w:r>
      <w:r w:rsidR="0075419E">
        <w:t xml:space="preserve">agree with </w:t>
      </w:r>
      <w:r w:rsidR="00531FF6">
        <w:t xml:space="preserve">the </w:t>
      </w:r>
      <w:r w:rsidR="0013768E">
        <w:t xml:space="preserve">Commission’s observation </w:t>
      </w:r>
      <w:r w:rsidR="00531FF6">
        <w:t xml:space="preserve">that incentives </w:t>
      </w:r>
      <w:r w:rsidR="0004763F">
        <w:t xml:space="preserve">do not necessarily </w:t>
      </w:r>
      <w:r w:rsidR="00531FF6">
        <w:t xml:space="preserve">address </w:t>
      </w:r>
      <w:r w:rsidR="0004763F">
        <w:t xml:space="preserve">the same </w:t>
      </w:r>
      <w:r w:rsidR="00531FF6">
        <w:t xml:space="preserve">considerations </w:t>
      </w:r>
      <w:r w:rsidR="00B813CB">
        <w:t xml:space="preserve">as </w:t>
      </w:r>
      <w:r w:rsidR="00531FF6">
        <w:t>the base ROE,</w:t>
      </w:r>
      <w:r w:rsidR="00531FF6">
        <w:rPr>
          <w:rStyle w:val="FootnoteReference"/>
        </w:rPr>
        <w:footnoteReference w:id="48"/>
      </w:r>
      <w:r w:rsidR="0075419E">
        <w:t xml:space="preserve"> </w:t>
      </w:r>
      <w:r w:rsidR="00235659">
        <w:t xml:space="preserve">I am concerned that </w:t>
      </w:r>
      <w:r w:rsidR="0004763F">
        <w:t xml:space="preserve">statement </w:t>
      </w:r>
      <w:r w:rsidR="00235659">
        <w:t xml:space="preserve">oversimplifies </w:t>
      </w:r>
      <w:r w:rsidR="0075419E">
        <w:t xml:space="preserve">the role that </w:t>
      </w:r>
      <w:r w:rsidR="00235659">
        <w:t xml:space="preserve">the </w:t>
      </w:r>
      <w:r w:rsidR="0075419E">
        <w:t>zone-of-reasonableness cap has played in ensuring that customers are not overcharged for transmission</w:t>
      </w:r>
      <w:r w:rsidR="0013768E">
        <w:t xml:space="preserve"> service</w:t>
      </w:r>
      <w:r w:rsidR="0075419E">
        <w:t xml:space="preserve">. </w:t>
      </w:r>
      <w:r w:rsidR="00235659">
        <w:t xml:space="preserve"> </w:t>
      </w:r>
    </w:p>
    <w:p w:rsidR="00CC6255" w:rsidP="00CC6255" w:rsidRDefault="00235659" w14:paraId="60F9607D" w14:textId="425D8BB1">
      <w:pPr>
        <w:pStyle w:val="FERCparanumber"/>
      </w:pPr>
      <w:r>
        <w:t xml:space="preserve">Contrary to the Commission’s suggestion in </w:t>
      </w:r>
      <w:r w:rsidR="003F38B4">
        <w:t>the NOPR</w:t>
      </w:r>
      <w:r>
        <w:t xml:space="preserve">, the incentives provided pursuant to section 219 do not have an entirely distinct capital attraction purpose </w:t>
      </w:r>
      <w:r w:rsidR="0004763F">
        <w:t xml:space="preserve">than </w:t>
      </w:r>
      <w:r>
        <w:t>the base ROE.</w:t>
      </w:r>
      <w:r>
        <w:rPr>
          <w:rStyle w:val="FootnoteReference"/>
        </w:rPr>
        <w:footnoteReference w:id="49"/>
      </w:r>
      <w:r>
        <w:t xml:space="preserve">  Indeed, as the Commission’s recitation of the </w:t>
      </w:r>
      <w:r w:rsidRPr="008608B9">
        <w:rPr>
          <w:i/>
        </w:rPr>
        <w:t>Hope</w:t>
      </w:r>
      <w:r w:rsidRPr="00235659">
        <w:t>/</w:t>
      </w:r>
      <w:r w:rsidRPr="008608B9">
        <w:rPr>
          <w:i/>
        </w:rPr>
        <w:t xml:space="preserve">Bluefield </w:t>
      </w:r>
      <w:r>
        <w:t>standard indicates, the base ROE itself is supposed to permit a transmission owner to “</w:t>
      </w:r>
      <w:r w:rsidRPr="00235659">
        <w:t xml:space="preserve">maintain its credit and </w:t>
      </w:r>
      <w:r w:rsidRPr="008608B9">
        <w:rPr>
          <w:i/>
        </w:rPr>
        <w:t>attract capital</w:t>
      </w:r>
      <w:r>
        <w:t>.”</w:t>
      </w:r>
      <w:r>
        <w:rPr>
          <w:rStyle w:val="FootnoteReference"/>
        </w:rPr>
        <w:footnoteReference w:id="50"/>
      </w:r>
      <w:r>
        <w:t xml:space="preserve"> </w:t>
      </w:r>
      <w:r w:rsidR="008608B9">
        <w:t xml:space="preserve"> </w:t>
      </w:r>
      <w:r w:rsidR="0013768E">
        <w:t>The Comm</w:t>
      </w:r>
      <w:r w:rsidR="00820B79">
        <w:t xml:space="preserve">ission’s approach to setting base </w:t>
      </w:r>
      <w:r w:rsidR="0013768E">
        <w:t>ROE</w:t>
      </w:r>
      <w:r w:rsidR="00820B79">
        <w:t>s</w:t>
      </w:r>
      <w:r w:rsidR="0013768E">
        <w:t xml:space="preserve"> bears that out.  In </w:t>
      </w:r>
      <w:proofErr w:type="gramStart"/>
      <w:r w:rsidR="0013768E">
        <w:t>an</w:t>
      </w:r>
      <w:proofErr w:type="gramEnd"/>
      <w:r w:rsidR="0013768E">
        <w:t xml:space="preserve"> ROE proceeding, t</w:t>
      </w:r>
      <w:r w:rsidR="008608B9">
        <w:t xml:space="preserve">he </w:t>
      </w:r>
      <w:r w:rsidR="00706413">
        <w:t xml:space="preserve">Commission calculates </w:t>
      </w:r>
      <w:r w:rsidR="0013768E">
        <w:t xml:space="preserve">a </w:t>
      </w:r>
      <w:r>
        <w:t xml:space="preserve">zone of reasonableness </w:t>
      </w:r>
      <w:r w:rsidR="0013768E">
        <w:t>by</w:t>
      </w:r>
      <w:r w:rsidR="00706413">
        <w:t xml:space="preserve"> estimating </w:t>
      </w:r>
      <w:r>
        <w:t xml:space="preserve">comparable utilities’ costs of </w:t>
      </w:r>
      <w:r w:rsidR="008608B9">
        <w:t xml:space="preserve">equity, which, </w:t>
      </w:r>
      <w:r w:rsidR="00820B79">
        <w:t>under</w:t>
      </w:r>
      <w:r w:rsidR="008608B9">
        <w:t xml:space="preserve"> the Commission’s theory, reflects the rate they need to attract capital.  That means that the zone of reasonableness </w:t>
      </w:r>
      <w:r w:rsidR="00820B79">
        <w:t xml:space="preserve">is composed of </w:t>
      </w:r>
      <w:r w:rsidR="008608B9">
        <w:t xml:space="preserve">the </w:t>
      </w:r>
      <w:r w:rsidR="0013768E">
        <w:t xml:space="preserve">full </w:t>
      </w:r>
      <w:r w:rsidR="008608B9">
        <w:t>range</w:t>
      </w:r>
      <w:r w:rsidR="00CC6255">
        <w:t xml:space="preserve"> of returns that comparable utilities need to attract capital, with the top of the zone </w:t>
      </w:r>
      <w:r w:rsidR="0013768E">
        <w:t>equaling the</w:t>
      </w:r>
      <w:r w:rsidR="00CC6255">
        <w:t xml:space="preserve"> highest return required by any comparable utility.  </w:t>
      </w:r>
      <w:r w:rsidR="003F38B4">
        <w:t>The Commission then sets the particular ROE at a point within that zone that reflects characteristics influencing the utility’s or utilities’ ability to attract capital, such as its risk profile.</w:t>
      </w:r>
      <w:r w:rsidR="003F38B4">
        <w:rPr>
          <w:rStyle w:val="FootnoteReference"/>
        </w:rPr>
        <w:footnoteReference w:id="51"/>
      </w:r>
      <w:r w:rsidR="003F38B4">
        <w:t xml:space="preserve">  </w:t>
      </w:r>
    </w:p>
    <w:p w:rsidR="008608B9" w:rsidP="00CC6255" w:rsidRDefault="00CC6255" w14:paraId="59F782BC" w14:textId="22EEC540">
      <w:pPr>
        <w:pStyle w:val="FERCparanumber"/>
      </w:pPr>
      <w:r>
        <w:lastRenderedPageBreak/>
        <w:t xml:space="preserve">By keeping the total ROE within that zone, the Commission’s current approach to capping incentives ensures that total ROE does not exceed </w:t>
      </w:r>
      <w:r w:rsidR="00E60DFA">
        <w:t xml:space="preserve">the return required by </w:t>
      </w:r>
      <w:r>
        <w:t xml:space="preserve">the comparable utility with the </w:t>
      </w:r>
      <w:r w:rsidRPr="00CC6255">
        <w:rPr>
          <w:i/>
        </w:rPr>
        <w:t>highest</w:t>
      </w:r>
      <w:r>
        <w:t xml:space="preserve"> cost of </w:t>
      </w:r>
      <w:r w:rsidR="00B82A56">
        <w:t>equity</w:t>
      </w:r>
      <w:r>
        <w:t>.</w:t>
      </w:r>
      <w:r w:rsidR="00E60DFA">
        <w:t xml:space="preserve">  Under that approach,</w:t>
      </w:r>
      <w:r>
        <w:t xml:space="preserve"> a </w:t>
      </w:r>
      <w:r w:rsidR="00B82A56">
        <w:t>transmission owner</w:t>
      </w:r>
      <w:r>
        <w:t xml:space="preserve"> can use incentive</w:t>
      </w:r>
      <w:r w:rsidR="00E60DFA">
        <w:t xml:space="preserve"> ROE</w:t>
      </w:r>
      <w:r>
        <w:t>s to increase its returns</w:t>
      </w:r>
      <w:r w:rsidR="0013768E">
        <w:t xml:space="preserve"> relative to comparable utilities</w:t>
      </w:r>
      <w:r>
        <w:t xml:space="preserve">, </w:t>
      </w:r>
      <w:r w:rsidR="00E60DFA">
        <w:t xml:space="preserve">but </w:t>
      </w:r>
      <w:r>
        <w:t>cannot</w:t>
      </w:r>
      <w:r w:rsidR="0013768E">
        <w:t xml:space="preserve"> use incentive ROEs to </w:t>
      </w:r>
      <w:r w:rsidR="00820B79">
        <w:t xml:space="preserve">earn an </w:t>
      </w:r>
      <w:r w:rsidR="00E60DFA">
        <w:t xml:space="preserve">overall </w:t>
      </w:r>
      <w:r w:rsidR="00820B79">
        <w:t xml:space="preserve">ROE higher than </w:t>
      </w:r>
      <w:r w:rsidR="0013768E">
        <w:rPr>
          <w:i/>
        </w:rPr>
        <w:t xml:space="preserve">all </w:t>
      </w:r>
      <w:r w:rsidR="0013768E">
        <w:t>comparable</w:t>
      </w:r>
      <w:r w:rsidR="00EF20B1">
        <w:t xml:space="preserve"> </w:t>
      </w:r>
      <w:r w:rsidR="0013768E">
        <w:t>utilities</w:t>
      </w:r>
      <w:r w:rsidR="00820B79">
        <w:t>’</w:t>
      </w:r>
      <w:r w:rsidR="0013768E">
        <w:t xml:space="preserve"> cost of equity.  </w:t>
      </w:r>
      <w:r>
        <w:t xml:space="preserve">It is hard </w:t>
      </w:r>
      <w:r w:rsidR="006D238D">
        <w:t xml:space="preserve">not to see </w:t>
      </w:r>
      <w:r>
        <w:t xml:space="preserve">the </w:t>
      </w:r>
      <w:r w:rsidR="002A279E">
        <w:t xml:space="preserve">consumer protection </w:t>
      </w:r>
      <w:r>
        <w:t xml:space="preserve">logic of </w:t>
      </w:r>
      <w:r w:rsidR="00820B79">
        <w:t xml:space="preserve">an approach that prevents a transmission owner from using incentives to earn </w:t>
      </w:r>
      <w:proofErr w:type="gramStart"/>
      <w:r w:rsidR="00820B79">
        <w:t>an</w:t>
      </w:r>
      <w:proofErr w:type="gramEnd"/>
      <w:r w:rsidR="00820B79">
        <w:t xml:space="preserve"> ROE higher than </w:t>
      </w:r>
      <w:r w:rsidRPr="00CE5600" w:rsidR="00820B79">
        <w:rPr>
          <w:i/>
        </w:rPr>
        <w:t>any</w:t>
      </w:r>
      <w:r w:rsidR="00B82A56">
        <w:t xml:space="preserve"> of its peers </w:t>
      </w:r>
      <w:r w:rsidR="00820B79">
        <w:t>require.</w:t>
      </w:r>
    </w:p>
    <w:p w:rsidR="00CC6255" w:rsidP="004068ED" w:rsidRDefault="00CC6255" w14:paraId="075F52A6" w14:textId="2CFE34E9">
      <w:pPr>
        <w:pStyle w:val="FERCparanumber"/>
      </w:pPr>
      <w:r>
        <w:t xml:space="preserve">I encourage commenters to address this issue in detail.  I am open to </w:t>
      </w:r>
      <w:r w:rsidR="0013768E">
        <w:t>reforming the cap on transmission owners’</w:t>
      </w:r>
      <w:r>
        <w:t xml:space="preserve"> overall ROE, including </w:t>
      </w:r>
      <w:r w:rsidR="0013768E">
        <w:t xml:space="preserve">potentially pursuing </w:t>
      </w:r>
      <w:r>
        <w:t xml:space="preserve">the fixed-basis-point </w:t>
      </w:r>
      <w:r w:rsidR="0013768E">
        <w:t xml:space="preserve">approach </w:t>
      </w:r>
      <w:r>
        <w:t>proposed in the NOPR.  But, in adopting</w:t>
      </w:r>
      <w:r w:rsidR="0013768E">
        <w:t xml:space="preserve"> </w:t>
      </w:r>
      <w:r w:rsidR="002A279E">
        <w:t xml:space="preserve">any </w:t>
      </w:r>
      <w:r w:rsidR="0013768E">
        <w:t xml:space="preserve">such </w:t>
      </w:r>
      <w:r>
        <w:t xml:space="preserve">cap, the Commission must explain how </w:t>
      </w:r>
      <w:r w:rsidR="0021717F">
        <w:t>that cap</w:t>
      </w:r>
      <w:r>
        <w:t xml:space="preserve"> adequately protects customers and ensures that the resulting rates remain just and reasonable, as section 219</w:t>
      </w:r>
      <w:r w:rsidR="0021717F">
        <w:t>(d)</w:t>
      </w:r>
      <w:r>
        <w:t xml:space="preserve"> requires.  That </w:t>
      </w:r>
      <w:r w:rsidR="00EF20B1">
        <w:t xml:space="preserve">is </w:t>
      </w:r>
      <w:r>
        <w:t xml:space="preserve">particularly </w:t>
      </w:r>
      <w:r w:rsidR="00EF20B1">
        <w:t>important</w:t>
      </w:r>
      <w:r>
        <w:t xml:space="preserve"> given the </w:t>
      </w:r>
      <w:r w:rsidR="0013768E">
        <w:t xml:space="preserve">NOPR’s </w:t>
      </w:r>
      <w:r>
        <w:t>proposal to make more incentives automatic,</w:t>
      </w:r>
      <w:r w:rsidR="0021717F">
        <w:rPr>
          <w:rStyle w:val="FootnoteReference"/>
        </w:rPr>
        <w:footnoteReference w:id="52"/>
      </w:r>
      <w:r>
        <w:t xml:space="preserve"> which </w:t>
      </w:r>
      <w:r w:rsidR="0021717F">
        <w:t xml:space="preserve">could </w:t>
      </w:r>
      <w:r>
        <w:t xml:space="preserve">mean that the Commission may not </w:t>
      </w:r>
      <w:r w:rsidR="00E60DFA">
        <w:t xml:space="preserve">so </w:t>
      </w:r>
      <w:r w:rsidR="0013768E">
        <w:t xml:space="preserve">explicitly </w:t>
      </w:r>
      <w:r>
        <w:t>review the total “</w:t>
      </w:r>
      <w:r w:rsidRPr="0075419E">
        <w:t>incentive package as a whole</w:t>
      </w:r>
      <w:r>
        <w:t xml:space="preserve">” </w:t>
      </w:r>
      <w:r w:rsidR="00E60DFA">
        <w:t>to</w:t>
      </w:r>
      <w:r w:rsidR="0013768E">
        <w:t xml:space="preserve"> ensure that it is appropriate for the particular project in question, </w:t>
      </w:r>
      <w:r>
        <w:t xml:space="preserve">as we currently do when </w:t>
      </w:r>
      <w:r w:rsidR="0013768E">
        <w:t xml:space="preserve">addressing a </w:t>
      </w:r>
      <w:r w:rsidR="00E60DFA">
        <w:t>request for</w:t>
      </w:r>
      <w:r>
        <w:t xml:space="preserve"> </w:t>
      </w:r>
      <w:r w:rsidR="002A279E">
        <w:t>section 219</w:t>
      </w:r>
      <w:r>
        <w:t>incentives.</w:t>
      </w:r>
      <w:r w:rsidR="00A2044A">
        <w:rPr>
          <w:rStyle w:val="FootnoteReference"/>
        </w:rPr>
        <w:footnoteReference w:id="53"/>
      </w:r>
      <w:r>
        <w:t xml:space="preserve">  </w:t>
      </w:r>
    </w:p>
    <w:p w:rsidR="00CC6255" w:rsidP="004068ED" w:rsidRDefault="00CC6255" w14:paraId="6EF25071" w14:textId="3FEFC5B4">
      <w:pPr>
        <w:pStyle w:val="FERCparanumber"/>
      </w:pPr>
      <w:r>
        <w:t xml:space="preserve">In addition, I encourage commenters to assume, for the sake of argument, that the Commission will adopt a fixed-basis-point cap like that proposed in the NOPR and </w:t>
      </w:r>
      <w:r w:rsidR="0013768E">
        <w:t xml:space="preserve">to </w:t>
      </w:r>
      <w:r>
        <w:t>address whether</w:t>
      </w:r>
      <w:r w:rsidR="00E60DFA">
        <w:t xml:space="preserve"> 250 basis </w:t>
      </w:r>
      <w:r>
        <w:t>point</w:t>
      </w:r>
      <w:r w:rsidR="00E60DFA">
        <w:t>s</w:t>
      </w:r>
      <w:r>
        <w:t xml:space="preserve"> is an appropriate </w:t>
      </w:r>
      <w:r w:rsidR="00E60DFA">
        <w:t>level</w:t>
      </w:r>
      <w:r>
        <w:t xml:space="preserve"> and, if not, what </w:t>
      </w:r>
      <w:r w:rsidR="00E60DFA">
        <w:t>the Commission should choose instead</w:t>
      </w:r>
      <w:r>
        <w:t xml:space="preserve">.  The record supporting 250-basis-points is thin, to put it mildly.  As a result, I am eager for stakeholders’ perspective on </w:t>
      </w:r>
      <w:r w:rsidR="0013768E">
        <w:t xml:space="preserve">whether and </w:t>
      </w:r>
      <w:r>
        <w:t xml:space="preserve">how the proposal </w:t>
      </w:r>
      <w:r w:rsidR="0013768E">
        <w:t xml:space="preserve">might </w:t>
      </w:r>
      <w:r>
        <w:t xml:space="preserve">work in practice.  </w:t>
      </w:r>
    </w:p>
    <w:p w:rsidR="00794D29" w:rsidP="00794D29" w:rsidRDefault="006C44F0" w14:paraId="6104EA59" w14:textId="49D339D0">
      <w:pPr>
        <w:pStyle w:val="Heading1"/>
      </w:pPr>
      <w:r>
        <w:t xml:space="preserve">The </w:t>
      </w:r>
      <w:r w:rsidR="00331CFE">
        <w:t xml:space="preserve">Section 219(b)(3) </w:t>
      </w:r>
      <w:r>
        <w:t xml:space="preserve">Incentive </w:t>
      </w:r>
      <w:r w:rsidR="00331CFE">
        <w:t>and Grid-Enhancing Technologies</w:t>
      </w:r>
    </w:p>
    <w:p w:rsidRPr="00404E42" w:rsidR="00F96F3C" w:rsidP="00404E42" w:rsidRDefault="008A6946" w14:paraId="149F365F" w14:textId="77777777">
      <w:pPr>
        <w:pStyle w:val="FERCparanumber"/>
      </w:pPr>
      <w:r w:rsidRPr="00404E42">
        <w:t xml:space="preserve">I am </w:t>
      </w:r>
      <w:r w:rsidRPr="00404E42" w:rsidR="000D2BDD">
        <w:t>also concerned by the NOPR’s</w:t>
      </w:r>
      <w:r w:rsidRPr="00404E42">
        <w:t xml:space="preserve"> </w:t>
      </w:r>
      <w:r w:rsidRPr="00404E42" w:rsidR="000D2BDD">
        <w:t xml:space="preserve">seemingly tepid enthusiasm for </w:t>
      </w:r>
      <w:r w:rsidRPr="00404E42">
        <w:t xml:space="preserve">incentivizing </w:t>
      </w:r>
      <w:r w:rsidR="00DB5C55">
        <w:t xml:space="preserve">transmission technologies or, as we sometimes call them, </w:t>
      </w:r>
      <w:r w:rsidRPr="00404E42">
        <w:t>“grid-enhancing technologies.”</w:t>
      </w:r>
      <w:r w:rsidR="00DB5C55">
        <w:rPr>
          <w:rStyle w:val="FootnoteReference"/>
        </w:rPr>
        <w:footnoteReference w:id="54"/>
      </w:r>
      <w:r w:rsidRPr="00404E42">
        <w:t xml:space="preserve">  </w:t>
      </w:r>
      <w:r w:rsidR="00DB5C55">
        <w:t xml:space="preserve">FPA </w:t>
      </w:r>
      <w:r w:rsidRPr="00404E42" w:rsidR="00794D29">
        <w:t xml:space="preserve">Section 219(b)(3) requires the Commission to establish an incentive to “encourage deployment of transmission technologies and other measures to increase the capacity and efficiency of existing transmission facilities and improve the </w:t>
      </w:r>
      <w:r w:rsidRPr="00404E42" w:rsidR="00794D29">
        <w:lastRenderedPageBreak/>
        <w:t>operation of the facilities.”</w:t>
      </w:r>
      <w:r w:rsidRPr="00B753F9">
        <w:rPr>
          <w:rStyle w:val="FootnoteReference"/>
        </w:rPr>
        <w:footnoteReference w:id="55"/>
      </w:r>
      <w:r w:rsidRPr="00404E42">
        <w:t xml:space="preserve">  Unfortunately, section 219(b)(3) has never received the same pride of place as other aspects of section 219 in the Commission’s incentive program.</w:t>
      </w:r>
      <w:r w:rsidRPr="00B753F9" w:rsidR="000D2BDD">
        <w:rPr>
          <w:rStyle w:val="FootnoteReference"/>
        </w:rPr>
        <w:footnoteReference w:id="56"/>
      </w:r>
      <w:r w:rsidRPr="00404E42">
        <w:t xml:space="preserve">  </w:t>
      </w:r>
    </w:p>
    <w:p w:rsidRPr="00404E42" w:rsidR="004528B3" w:rsidP="0078140E" w:rsidRDefault="00F658AC" w14:paraId="7918974B" w14:textId="4D79A287">
      <w:pPr>
        <w:pStyle w:val="FERCparanumber"/>
      </w:pPr>
      <w:r>
        <w:t xml:space="preserve">The NOPR continues that trend.  The </w:t>
      </w:r>
      <w:r w:rsidRPr="00404E42" w:rsidR="000D2BDD">
        <w:t>Commission</w:t>
      </w:r>
      <w:r w:rsidR="00D464DC">
        <w:t>’s primary</w:t>
      </w:r>
      <w:r w:rsidRPr="00404E42" w:rsidR="000D2BDD">
        <w:t xml:space="preserve"> </w:t>
      </w:r>
      <w:r>
        <w:t>propos</w:t>
      </w:r>
      <w:r w:rsidR="00D464DC">
        <w:t>al is</w:t>
      </w:r>
      <w:r>
        <w:t xml:space="preserve"> </w:t>
      </w:r>
      <w:r w:rsidR="0021717F">
        <w:t xml:space="preserve">to create </w:t>
      </w:r>
      <w:proofErr w:type="gramStart"/>
      <w:r>
        <w:t>an</w:t>
      </w:r>
      <w:proofErr w:type="gramEnd"/>
      <w:r>
        <w:t xml:space="preserve"> ROE </w:t>
      </w:r>
      <w:r w:rsidR="002A279E">
        <w:t>adder</w:t>
      </w:r>
      <w:r>
        <w:t xml:space="preserve"> for advanced technologies that meet certain requirements.</w:t>
      </w:r>
      <w:r w:rsidRPr="00B753F9" w:rsidR="000D2BDD">
        <w:rPr>
          <w:rStyle w:val="FootnoteReference"/>
        </w:rPr>
        <w:footnoteReference w:id="57"/>
      </w:r>
      <w:r w:rsidR="00C37241">
        <w:t xml:space="preserve">  But an</w:t>
      </w:r>
      <w:r w:rsidRPr="00404E42" w:rsidR="00F96F3C">
        <w:t xml:space="preserve"> ROE boost seems unlikely to create the impetus needed to get these</w:t>
      </w:r>
      <w:r w:rsidR="00C37241">
        <w:t xml:space="preserve"> projects deployed </w:t>
      </w:r>
      <w:r w:rsidR="0021717F">
        <w:t>to</w:t>
      </w:r>
      <w:r w:rsidR="00C37241">
        <w:t xml:space="preserve"> a degree </w:t>
      </w:r>
      <w:r w:rsidRPr="00404E42" w:rsidR="00F96F3C">
        <w:t xml:space="preserve">consistent with Congress’s </w:t>
      </w:r>
      <w:r w:rsidR="00730941">
        <w:t>creation of</w:t>
      </w:r>
      <w:r w:rsidRPr="00404E42" w:rsidR="00F96F3C">
        <w:t xml:space="preserve"> a specific incentive under section 219(b)(3). </w:t>
      </w:r>
      <w:r w:rsidR="00331CFE">
        <w:t xml:space="preserve"> </w:t>
      </w:r>
      <w:r w:rsidRPr="00404E42" w:rsidR="00F96F3C">
        <w:t xml:space="preserve">As multiple groups noted in </w:t>
      </w:r>
      <w:r w:rsidR="00C37241">
        <w:t xml:space="preserve">response to the </w:t>
      </w:r>
      <w:r w:rsidR="002A279E">
        <w:t xml:space="preserve">notice of inquiry </w:t>
      </w:r>
      <w:r w:rsidR="0021717F">
        <w:t xml:space="preserve">and </w:t>
      </w:r>
      <w:r w:rsidRPr="00404E42" w:rsidR="00F96F3C">
        <w:t xml:space="preserve">the Commission’s </w:t>
      </w:r>
      <w:r w:rsidR="00C37241">
        <w:t xml:space="preserve">recent </w:t>
      </w:r>
      <w:r w:rsidRPr="00404E42" w:rsidR="00F96F3C">
        <w:t>technical conferences</w:t>
      </w:r>
      <w:r w:rsidR="0021717F">
        <w:t xml:space="preserve"> on the topic</w:t>
      </w:r>
      <w:r w:rsidRPr="00404E42" w:rsidR="00F96F3C">
        <w:t>,</w:t>
      </w:r>
      <w:r w:rsidRPr="00404E42" w:rsidR="000D2BDD">
        <w:t xml:space="preserve"> </w:t>
      </w:r>
      <w:r w:rsidR="00730941">
        <w:t xml:space="preserve">grid-enhancing </w:t>
      </w:r>
      <w:r w:rsidRPr="00404E42" w:rsidR="00F96F3C">
        <w:t xml:space="preserve">technologies </w:t>
      </w:r>
      <w:r w:rsidR="00C37241">
        <w:t xml:space="preserve">often cost a small </w:t>
      </w:r>
      <w:r w:rsidRPr="00404E42" w:rsidR="00F96F3C">
        <w:t>f</w:t>
      </w:r>
      <w:r w:rsidR="00C37241">
        <w:t>raction</w:t>
      </w:r>
      <w:r w:rsidRPr="00404E42" w:rsidR="00F96F3C">
        <w:t xml:space="preserve"> </w:t>
      </w:r>
      <w:r w:rsidR="00C37241">
        <w:t xml:space="preserve">of </w:t>
      </w:r>
      <w:r w:rsidRPr="00404E42" w:rsidR="00F96F3C">
        <w:t xml:space="preserve">a conventional </w:t>
      </w:r>
      <w:r w:rsidR="00C37241">
        <w:t xml:space="preserve">transmission </w:t>
      </w:r>
      <w:r w:rsidRPr="00404E42" w:rsidR="00F96F3C">
        <w:t xml:space="preserve">solution, but are not being deployed either because they do not provide the same </w:t>
      </w:r>
      <w:r w:rsidR="00730941">
        <w:t>return on equity as the</w:t>
      </w:r>
      <w:r w:rsidR="0021717F">
        <w:t xml:space="preserve"> </w:t>
      </w:r>
      <w:r w:rsidR="00C37241">
        <w:t xml:space="preserve">conventional solution </w:t>
      </w:r>
      <w:r w:rsidRPr="00404E42" w:rsidR="00F96F3C">
        <w:t>or because they are viewed as unfamiliar or unproven.</w:t>
      </w:r>
      <w:r w:rsidRPr="00B753F9" w:rsidR="00F96F3C">
        <w:rPr>
          <w:rStyle w:val="FootnoteReference"/>
        </w:rPr>
        <w:footnoteReference w:id="58"/>
      </w:r>
      <w:r w:rsidR="0079017F">
        <w:t xml:space="preserve">  </w:t>
      </w:r>
      <w:r w:rsidRPr="00404E42" w:rsidR="00F96F3C">
        <w:t xml:space="preserve">Given the </w:t>
      </w:r>
      <w:r w:rsidRPr="00404E42" w:rsidR="00F96F3C">
        <w:lastRenderedPageBreak/>
        <w:t xml:space="preserve">low capital cost of these projects, </w:t>
      </w:r>
      <w:r w:rsidRPr="00404E42" w:rsidR="00404E42">
        <w:t xml:space="preserve">handing out </w:t>
      </w:r>
      <w:r w:rsidRPr="00404E42" w:rsidR="00F96F3C">
        <w:t xml:space="preserve">extra basis points, even a hundred extra basis points, is unlikely to do much to </w:t>
      </w:r>
      <w:r w:rsidR="0079017F">
        <w:t>encourage small</w:t>
      </w:r>
      <w:r w:rsidR="00D464DC">
        <w:t>-</w:t>
      </w:r>
      <w:r w:rsidR="0079017F">
        <w:t>capital investment</w:t>
      </w:r>
      <w:r w:rsidR="00D464DC">
        <w:t>s</w:t>
      </w:r>
      <w:r w:rsidR="0079017F">
        <w:t xml:space="preserve"> that</w:t>
      </w:r>
      <w:r w:rsidR="00D464DC">
        <w:t xml:space="preserve"> enhance the existing grid</w:t>
      </w:r>
      <w:r w:rsidR="0079017F">
        <w:t xml:space="preserve">.  </w:t>
      </w:r>
      <w:r w:rsidR="00C37241">
        <w:t xml:space="preserve">In light of those facts, </w:t>
      </w:r>
      <w:r w:rsidRPr="00404E42" w:rsidR="004528B3">
        <w:t xml:space="preserve">I continue to believe that getting grid-enhancing technologies deployed may require a more creative approach than </w:t>
      </w:r>
      <w:r w:rsidR="00C37241">
        <w:t xml:space="preserve">simply </w:t>
      </w:r>
      <w:r w:rsidRPr="00404E42" w:rsidR="004528B3">
        <w:t xml:space="preserve">doling out an additional ROE.  A number of commenters have proposed ways of doing that and I encourage them, in </w:t>
      </w:r>
      <w:proofErr w:type="gramStart"/>
      <w:r w:rsidRPr="00404E42" w:rsidR="004528B3">
        <w:t>the their</w:t>
      </w:r>
      <w:proofErr w:type="gramEnd"/>
      <w:r w:rsidRPr="00404E42" w:rsidR="004528B3">
        <w:t xml:space="preserve"> comments</w:t>
      </w:r>
      <w:r w:rsidR="00C37241">
        <w:t xml:space="preserve"> on this NOPR</w:t>
      </w:r>
      <w:r w:rsidRPr="00404E42" w:rsidR="004528B3">
        <w:t>, to continue addressing how those and other creative solutions fit within the</w:t>
      </w:r>
      <w:r w:rsidR="00C37241">
        <w:t xml:space="preserve"> proposed framework for evaluating incentive requests</w:t>
      </w:r>
      <w:r w:rsidRPr="00404E42" w:rsidR="004528B3">
        <w:t xml:space="preserve">.   </w:t>
      </w:r>
    </w:p>
    <w:p w:rsidRPr="00CD0B38" w:rsidR="0044414A" w:rsidP="00CE5600" w:rsidRDefault="00404E42" w14:paraId="79DC5A7F" w14:textId="7A116DF0">
      <w:pPr>
        <w:pStyle w:val="FERCparanumber"/>
      </w:pPr>
      <w:r w:rsidRPr="00404E42">
        <w:t>Given the potential that many of these technologies—including, for example, dynamic line rating</w:t>
      </w:r>
      <w:r w:rsidR="00730941">
        <w:t>s</w:t>
      </w:r>
      <w:r w:rsidR="00476FEB">
        <w:t>, topology optimization</w:t>
      </w:r>
      <w:r w:rsidRPr="00404E42">
        <w:t xml:space="preserve">, </w:t>
      </w:r>
      <w:r w:rsidR="00476FEB">
        <w:t>and power flow control</w:t>
      </w:r>
      <w:r w:rsidRPr="00404E42">
        <w:t xml:space="preserve">—have to reduce congestion and enhance reliability at a fraction of the cost of conventional </w:t>
      </w:r>
      <w:r w:rsidR="002A279E">
        <w:t>solutions</w:t>
      </w:r>
      <w:r w:rsidRPr="00404E42">
        <w:t xml:space="preserve">, I strongly believe that the Commission’s mandates under </w:t>
      </w:r>
      <w:r w:rsidR="00331CFE">
        <w:t xml:space="preserve">FPA </w:t>
      </w:r>
      <w:r w:rsidRPr="00404E42">
        <w:t>section</w:t>
      </w:r>
      <w:r w:rsidR="00D94292">
        <w:t>s</w:t>
      </w:r>
      <w:r w:rsidRPr="00404E42">
        <w:t xml:space="preserve"> 205, 206, and 219, require us to break down </w:t>
      </w:r>
      <w:r w:rsidR="0021717F">
        <w:t xml:space="preserve">the </w:t>
      </w:r>
      <w:r w:rsidRPr="00404E42">
        <w:t>barriers to getting these technologies deployed.</w:t>
      </w:r>
      <w:r w:rsidR="00807B17">
        <w:rPr>
          <w:rStyle w:val="FootnoteReference"/>
        </w:rPr>
        <w:footnoteReference w:id="59"/>
      </w:r>
      <w:r w:rsidRPr="00404E42">
        <w:t xml:space="preserve">  </w:t>
      </w:r>
      <w:r w:rsidR="00C37241">
        <w:t>As noted, I am eager to review the record assembled in response to this NOPR for</w:t>
      </w:r>
      <w:r w:rsidR="00D94292">
        <w:t xml:space="preserve"> ideas </w:t>
      </w:r>
      <w:r w:rsidR="00C37241">
        <w:t>on how best to do so.  But i</w:t>
      </w:r>
      <w:r w:rsidRPr="00404E42">
        <w:t xml:space="preserve">f the “carrot” provided by incentives is not doing the trick, then we will have to at least consider the “stick” </w:t>
      </w:r>
      <w:r w:rsidR="007D32F4">
        <w:t xml:space="preserve">of requiring their deployment or </w:t>
      </w:r>
      <w:r w:rsidR="00331CFE">
        <w:t xml:space="preserve">mandating their formal </w:t>
      </w:r>
      <w:r w:rsidR="007D32F4">
        <w:t>consi</w:t>
      </w:r>
      <w:r w:rsidR="007A0038">
        <w:t>der</w:t>
      </w:r>
      <w:r w:rsidR="00331CFE">
        <w:t xml:space="preserve">ation </w:t>
      </w:r>
      <w:r w:rsidR="007A0038">
        <w:t xml:space="preserve">in the planning process.  I encourage parties, to the extent applicable, to address how we might pursue </w:t>
      </w:r>
      <w:r w:rsidR="00807B17">
        <w:t xml:space="preserve">those </w:t>
      </w:r>
      <w:r w:rsidR="007A0038">
        <w:t>approach</w:t>
      </w:r>
      <w:r w:rsidR="002A279E">
        <w:t>es</w:t>
      </w:r>
      <w:r w:rsidR="007A0038">
        <w:t xml:space="preserve"> as well.</w:t>
      </w:r>
    </w:p>
    <w:p w:rsidR="0044414A" w:rsidP="00527B69" w:rsidRDefault="0044414A" w14:paraId="1588B758" w14:textId="77777777">
      <w:pPr>
        <w:ind w:firstLine="720"/>
      </w:pPr>
      <w:bookmarkStart w:name="Action2" w:id="3"/>
      <w:bookmarkEnd w:id="3"/>
      <w:r>
        <w:t>For these reasons, I respectfully dissent in part.</w:t>
      </w:r>
    </w:p>
    <w:p w:rsidR="0044414A" w:rsidP="0044414A" w:rsidRDefault="0044414A" w14:paraId="38EE7287" w14:textId="77777777"/>
    <w:p w:rsidR="0044414A" w:rsidP="0044414A" w:rsidRDefault="0044414A" w14:paraId="2EAC6A6E" w14:textId="77777777"/>
    <w:p w:rsidR="0044414A" w:rsidP="0044414A" w:rsidRDefault="0044414A" w14:paraId="277BB915" w14:textId="77777777">
      <w:r>
        <w:t>________________________</w:t>
      </w:r>
    </w:p>
    <w:p w:rsidR="0044414A" w:rsidP="0044414A" w:rsidRDefault="0044414A" w14:paraId="50781A2B" w14:textId="77777777">
      <w:r>
        <w:t>Richard Glick</w:t>
      </w:r>
    </w:p>
    <w:p w:rsidR="0044414A" w:rsidP="0044414A" w:rsidRDefault="0044414A" w14:paraId="2A90BEA9" w14:textId="77777777">
      <w:r>
        <w:t>Commissioner</w:t>
      </w:r>
    </w:p>
    <w:p w:rsidR="0044414A" w:rsidP="00BD4EB9" w:rsidRDefault="0044414A" w14:paraId="0DEF2779" w14:textId="77777777"/>
    <w:p w:rsidR="0044414A" w:rsidP="00BD4EB9" w:rsidRDefault="0044414A" w14:paraId="2ACA0AC6" w14:textId="77777777"/>
    <w:p w:rsidRPr="00BD4EB9" w:rsidR="0044414A" w:rsidP="00BD4EB9" w:rsidRDefault="0044414A" w14:paraId="240C2227" w14:textId="77777777"/>
    <w:p w:rsidRPr="008B654D" w:rsidR="00BD4EB9" w:rsidP="008B654D" w:rsidRDefault="00BD4EB9" w14:paraId="0086EBF1" w14:textId="77777777"/>
    <w:sectPr w:rsidRPr="008B654D" w:rsidR="00BD4EB9" w:rsidSect="0044414A">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0365D" w14:textId="77777777" w:rsidR="00CE5600" w:rsidRDefault="00CE5600" w:rsidP="0048020B">
      <w:r>
        <w:separator/>
      </w:r>
    </w:p>
  </w:endnote>
  <w:endnote w:type="continuationSeparator" w:id="0">
    <w:p w14:paraId="0AB44BA9" w14:textId="77777777" w:rsidR="00CE5600" w:rsidRDefault="00CE5600" w:rsidP="0048020B">
      <w:r>
        <w:continuationSeparator/>
      </w:r>
    </w:p>
  </w:endnote>
  <w:endnote w:type="continuationNotice" w:id="1">
    <w:p w14:paraId="4D3FB1AA" w14:textId="77777777" w:rsidR="00CE5600" w:rsidRDefault="00CE5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236B" w14:textId="77777777" w:rsidR="00DB3AAE" w:rsidRDefault="00DB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66A0" w14:textId="77777777" w:rsidR="00CE5600" w:rsidRDefault="00CE5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A483" w14:textId="77777777" w:rsidR="00DB3AAE" w:rsidRDefault="00DB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CE45A" w14:textId="77777777" w:rsidR="00CE5600" w:rsidRDefault="00CE5600" w:rsidP="0048020B">
      <w:r>
        <w:separator/>
      </w:r>
    </w:p>
  </w:footnote>
  <w:footnote w:type="continuationSeparator" w:id="0">
    <w:p w14:paraId="53A61802" w14:textId="77777777" w:rsidR="00CE5600" w:rsidRDefault="00CE5600" w:rsidP="0048020B">
      <w:r>
        <w:continuationSeparator/>
      </w:r>
    </w:p>
  </w:footnote>
  <w:footnote w:type="continuationNotice" w:id="1">
    <w:p w14:paraId="183B0C03" w14:textId="77777777" w:rsidR="00CE5600" w:rsidRPr="00A7401F" w:rsidRDefault="00CE5600" w:rsidP="00A7401F">
      <w:pPr>
        <w:pStyle w:val="Footer"/>
        <w:spacing w:line="14" w:lineRule="exact"/>
        <w:rPr>
          <w:sz w:val="2"/>
        </w:rPr>
      </w:pPr>
    </w:p>
  </w:footnote>
  <w:footnote w:id="2">
    <w:p w14:paraId="3FE20502" w14:textId="64D2AADD" w:rsidR="00A406E0" w:rsidRPr="00A406E0" w:rsidRDefault="00A406E0">
      <w:pPr>
        <w:pStyle w:val="FootnoteText"/>
      </w:pPr>
      <w:r>
        <w:rPr>
          <w:rStyle w:val="FootnoteReference"/>
        </w:rPr>
        <w:footnoteRef/>
      </w:r>
      <w:r>
        <w:t xml:space="preserve"> </w:t>
      </w:r>
      <w:r w:rsidR="00B41B82">
        <w:t>16 U.S.C. § 824s (2018).</w:t>
      </w:r>
    </w:p>
  </w:footnote>
  <w:footnote w:id="3">
    <w:p w14:paraId="5CE70247" w14:textId="63132C32" w:rsidR="004068ED" w:rsidRPr="00C42740" w:rsidRDefault="004068ED">
      <w:pPr>
        <w:pStyle w:val="FootnoteText"/>
        <w:rPr>
          <w:b/>
          <w:i/>
        </w:rPr>
      </w:pPr>
      <w:r>
        <w:rPr>
          <w:rStyle w:val="FootnoteReference"/>
        </w:rPr>
        <w:footnoteRef/>
      </w:r>
      <w:r>
        <w:t xml:space="preserve"> </w:t>
      </w:r>
      <w:r w:rsidR="006B5BFC">
        <w:rPr>
          <w:i/>
        </w:rPr>
        <w:t xml:space="preserve">See </w:t>
      </w:r>
      <w:r w:rsidR="00B41B82" w:rsidRPr="00CE5600">
        <w:rPr>
          <w:i/>
        </w:rPr>
        <w:t>Electric Transmission Incentives Policy Under Section 219 of the Federal Power Act</w:t>
      </w:r>
      <w:r>
        <w:t>,</w:t>
      </w:r>
      <w:r w:rsidR="00B41B82">
        <w:t xml:space="preserve"> </w:t>
      </w:r>
      <w:r w:rsidR="00B41B82" w:rsidRPr="00B41B82">
        <w:t>170 FERC ¶ 61,204</w:t>
      </w:r>
      <w:r w:rsidR="00B41B82">
        <w:t>,</w:t>
      </w:r>
      <w:r>
        <w:rPr>
          <w:b/>
        </w:rPr>
        <w:t xml:space="preserve"> </w:t>
      </w:r>
      <w:r>
        <w:t>at P 91</w:t>
      </w:r>
      <w:r w:rsidR="00B41B82">
        <w:t xml:space="preserve"> (2020) (NOPR)</w:t>
      </w:r>
      <w:r>
        <w:t xml:space="preserve">; </w:t>
      </w:r>
      <w:r>
        <w:rPr>
          <w:i/>
        </w:rPr>
        <w:t>see</w:t>
      </w:r>
      <w:r w:rsidR="006B5BFC">
        <w:rPr>
          <w:i/>
        </w:rPr>
        <w:t xml:space="preserve"> also</w:t>
      </w:r>
      <w:r>
        <w:rPr>
          <w:i/>
        </w:rPr>
        <w:t xml:space="preserve"> </w:t>
      </w:r>
      <w:proofErr w:type="spellStart"/>
      <w:r>
        <w:t>Gridliance</w:t>
      </w:r>
      <w:proofErr w:type="spellEnd"/>
      <w:r>
        <w:t xml:space="preserve"> Comments at 22-24; </w:t>
      </w:r>
      <w:proofErr w:type="spellStart"/>
      <w:r>
        <w:t>Gridliance</w:t>
      </w:r>
      <w:proofErr w:type="spellEnd"/>
      <w:r>
        <w:t xml:space="preserve"> Comments, Attachment B (report discussing benefits of </w:t>
      </w:r>
      <w:r w:rsidR="004B37D7">
        <w:t xml:space="preserve">the </w:t>
      </w:r>
      <w:r>
        <w:t xml:space="preserve">Transco business model); ITC Holdings Comments at 5-6. </w:t>
      </w:r>
    </w:p>
  </w:footnote>
  <w:footnote w:id="4">
    <w:p w14:paraId="254F54DB" w14:textId="67C63057" w:rsidR="004068ED" w:rsidRPr="00B772E5" w:rsidRDefault="004068ED">
      <w:pPr>
        <w:pStyle w:val="FootnoteText"/>
      </w:pPr>
      <w:r>
        <w:rPr>
          <w:rStyle w:val="FootnoteReference"/>
        </w:rPr>
        <w:footnoteRef/>
      </w:r>
      <w:r>
        <w:t xml:space="preserve"> NOPR,</w:t>
      </w:r>
      <w:r w:rsidR="00B41B82" w:rsidRPr="00B41B82">
        <w:t xml:space="preserve"> 170 FERC ¶ 61,204</w:t>
      </w:r>
      <w:r>
        <w:rPr>
          <w:b/>
        </w:rPr>
        <w:t xml:space="preserve"> </w:t>
      </w:r>
      <w:r>
        <w:t xml:space="preserve">at P 91. </w:t>
      </w:r>
    </w:p>
  </w:footnote>
  <w:footnote w:id="5">
    <w:p w14:paraId="6F772115" w14:textId="77777777" w:rsidR="004068ED" w:rsidRDefault="004068ED">
      <w:pPr>
        <w:pStyle w:val="FootnoteText"/>
      </w:pPr>
      <w:r>
        <w:rPr>
          <w:rStyle w:val="FootnoteReference"/>
        </w:rPr>
        <w:footnoteRef/>
      </w:r>
      <w:r>
        <w:t xml:space="preserve"> </w:t>
      </w:r>
      <w:proofErr w:type="spellStart"/>
      <w:r w:rsidRPr="00B772E5">
        <w:rPr>
          <w:i/>
        </w:rPr>
        <w:t>GridLiance</w:t>
      </w:r>
      <w:proofErr w:type="spellEnd"/>
      <w:r w:rsidRPr="00B772E5">
        <w:rPr>
          <w:i/>
        </w:rPr>
        <w:t xml:space="preserve"> West Transco LLC</w:t>
      </w:r>
      <w:r>
        <w:t xml:space="preserve">, </w:t>
      </w:r>
      <w:r w:rsidRPr="00B772E5">
        <w:t>164 FERC ¶ 61,049</w:t>
      </w:r>
      <w:r>
        <w:t xml:space="preserve"> (2018) (Glick, Comm’r, concurring at 2). </w:t>
      </w:r>
    </w:p>
  </w:footnote>
  <w:footnote w:id="6">
    <w:p w14:paraId="483D266D" w14:textId="393964FA" w:rsidR="004068ED" w:rsidRDefault="004068ED">
      <w:pPr>
        <w:pStyle w:val="FootnoteText"/>
      </w:pPr>
      <w:r>
        <w:rPr>
          <w:rStyle w:val="FootnoteReference"/>
        </w:rPr>
        <w:footnoteRef/>
      </w:r>
      <w:r>
        <w:t xml:space="preserve"> 16 U.S.C. § 824s(d). </w:t>
      </w:r>
    </w:p>
  </w:footnote>
  <w:footnote w:id="7">
    <w:p w14:paraId="6CF810EA" w14:textId="77777777" w:rsidR="001C03D6" w:rsidRDefault="001C03D6">
      <w:pPr>
        <w:pStyle w:val="FootnoteText"/>
      </w:pPr>
      <w:r>
        <w:rPr>
          <w:rStyle w:val="FootnoteReference"/>
        </w:rPr>
        <w:footnoteRef/>
      </w:r>
      <w:r>
        <w:t xml:space="preserve"> NOPR, </w:t>
      </w:r>
      <w:r w:rsidRPr="00B41B82">
        <w:t>170 FERC ¶ 61,204</w:t>
      </w:r>
      <w:r>
        <w:t xml:space="preserve"> at P 34. </w:t>
      </w:r>
    </w:p>
  </w:footnote>
  <w:footnote w:id="8">
    <w:p w14:paraId="03ADE1BD" w14:textId="5EDD05CC" w:rsidR="004068ED" w:rsidRDefault="004068ED">
      <w:pPr>
        <w:pStyle w:val="FootnoteText"/>
      </w:pPr>
      <w:r>
        <w:rPr>
          <w:rStyle w:val="FootnoteReference"/>
        </w:rPr>
        <w:footnoteRef/>
      </w:r>
      <w:r>
        <w:t xml:space="preserve"> </w:t>
      </w:r>
      <w:r w:rsidR="001C03D6">
        <w:t xml:space="preserve">16 U.S.C. </w:t>
      </w:r>
      <w:r>
        <w:t>§ 824s(a).</w:t>
      </w:r>
    </w:p>
  </w:footnote>
  <w:footnote w:id="9">
    <w:p w14:paraId="40B9C589" w14:textId="03AD00E1" w:rsidR="004068ED" w:rsidRPr="00411334" w:rsidRDefault="004068ED" w:rsidP="00411334">
      <w:pPr>
        <w:pStyle w:val="FootnoteText"/>
        <w:rPr>
          <w:b/>
        </w:rPr>
      </w:pPr>
      <w:r>
        <w:rPr>
          <w:rStyle w:val="FootnoteReference"/>
        </w:rPr>
        <w:footnoteRef/>
      </w:r>
      <w:r>
        <w:t xml:space="preserve"> </w:t>
      </w:r>
      <w:r>
        <w:rPr>
          <w:i/>
        </w:rPr>
        <w:t xml:space="preserve">See </w:t>
      </w:r>
      <w:r w:rsidRPr="004E35FC">
        <w:t>R Street Comments at 7</w:t>
      </w:r>
      <w:r>
        <w:t xml:space="preserve"> (</w:t>
      </w:r>
      <w:r w:rsidRPr="004E35FC">
        <w:t>“The term ‘incentive’ necessarily implies that the Commission is urging the incentivized party toward some action.”</w:t>
      </w:r>
      <w:r>
        <w:t xml:space="preserve">); </w:t>
      </w:r>
      <w:r>
        <w:rPr>
          <w:i/>
        </w:rPr>
        <w:t xml:space="preserve">see generally </w:t>
      </w:r>
      <w:r w:rsidR="00075B69">
        <w:rPr>
          <w:i/>
        </w:rPr>
        <w:t>Cal. Public</w:t>
      </w:r>
      <w:r w:rsidR="001C03D6">
        <w:rPr>
          <w:i/>
        </w:rPr>
        <w:t xml:space="preserve"> Util. Comm’n</w:t>
      </w:r>
      <w:r w:rsidR="001C03D6" w:rsidRPr="00411334">
        <w:rPr>
          <w:i/>
        </w:rPr>
        <w:t xml:space="preserve"> </w:t>
      </w:r>
      <w:r w:rsidRPr="00411334">
        <w:rPr>
          <w:i/>
        </w:rPr>
        <w:t>v. FERC</w:t>
      </w:r>
      <w:r w:rsidRPr="00411334">
        <w:t xml:space="preserve">, 879 F.3d </w:t>
      </w:r>
      <w:r w:rsidR="001C03D6">
        <w:t>966,</w:t>
      </w:r>
      <w:r w:rsidRPr="00411334">
        <w:t xml:space="preserve"> 974-79</w:t>
      </w:r>
      <w:r w:rsidR="001C03D6">
        <w:t xml:space="preserve"> (9th Cir. 2018)</w:t>
      </w:r>
      <w:r w:rsidRPr="00411334">
        <w:t xml:space="preserve"> </w:t>
      </w:r>
      <w:r w:rsidR="00075B69">
        <w:t>(</w:t>
      </w:r>
      <w:r w:rsidR="00075B69">
        <w:rPr>
          <w:i/>
        </w:rPr>
        <w:t>CPUC v. FERC</w:t>
      </w:r>
      <w:r w:rsidR="00075B69">
        <w:t>)</w:t>
      </w:r>
      <w:r w:rsidR="00075B69">
        <w:rPr>
          <w:i/>
        </w:rPr>
        <w:t xml:space="preserve"> </w:t>
      </w:r>
      <w:r w:rsidRPr="00411334">
        <w:t>(explaining that the Commission has “a longstanding policy” that incentives must incentivize something “and that there must be a connection between the incentive and the conduct meant to be induced”)</w:t>
      </w:r>
      <w:r>
        <w:t>.</w:t>
      </w:r>
    </w:p>
  </w:footnote>
  <w:footnote w:id="10">
    <w:p w14:paraId="31DBE340" w14:textId="77777777" w:rsidR="004D0E7B" w:rsidRDefault="004D0E7B">
      <w:pPr>
        <w:pStyle w:val="FootnoteText"/>
      </w:pPr>
      <w:r>
        <w:rPr>
          <w:rStyle w:val="FootnoteReference"/>
        </w:rPr>
        <w:footnoteRef/>
      </w:r>
      <w:r>
        <w:t xml:space="preserve"> And just because an incentive incentivizes something does not make it just and reasonable.</w:t>
      </w:r>
    </w:p>
  </w:footnote>
  <w:footnote w:id="11">
    <w:p w14:paraId="5BA9D6DB" w14:textId="096A7286" w:rsidR="004068ED" w:rsidRPr="004068ED" w:rsidRDefault="004068ED">
      <w:pPr>
        <w:pStyle w:val="FootnoteText"/>
        <w:rPr>
          <w:b/>
        </w:rPr>
      </w:pPr>
      <w:r>
        <w:rPr>
          <w:rStyle w:val="FootnoteReference"/>
        </w:rPr>
        <w:footnoteRef/>
      </w:r>
      <w:r>
        <w:t xml:space="preserve"> NOPR,</w:t>
      </w:r>
      <w:r w:rsidR="005B52D0" w:rsidRPr="005B52D0">
        <w:t xml:space="preserve"> </w:t>
      </w:r>
      <w:r w:rsidR="005B52D0" w:rsidRPr="00B41B82">
        <w:t>170 FERC ¶ 61,204</w:t>
      </w:r>
      <w:r>
        <w:t xml:space="preserve"> at P</w:t>
      </w:r>
      <w:r w:rsidR="00BA1D5A">
        <w:t>P</w:t>
      </w:r>
      <w:r>
        <w:t xml:space="preserve"> 48</w:t>
      </w:r>
      <w:r w:rsidR="00BA1D5A">
        <w:t>, 59</w:t>
      </w:r>
      <w:r>
        <w:t>.</w:t>
      </w:r>
      <w:r>
        <w:rPr>
          <w:b/>
        </w:rPr>
        <w:t xml:space="preserve">  </w:t>
      </w:r>
    </w:p>
  </w:footnote>
  <w:footnote w:id="12">
    <w:p w14:paraId="1DA469C6" w14:textId="7CF6AA95" w:rsidR="004068ED" w:rsidRDefault="004068ED">
      <w:pPr>
        <w:pStyle w:val="FootnoteText"/>
      </w:pPr>
      <w:r>
        <w:rPr>
          <w:rStyle w:val="FootnoteReference"/>
        </w:rPr>
        <w:footnoteRef/>
      </w:r>
      <w:r w:rsidR="005B52D0">
        <w:t xml:space="preserve"> </w:t>
      </w:r>
      <w:r w:rsidR="005B52D0">
        <w:rPr>
          <w:i/>
        </w:rPr>
        <w:t>Id.</w:t>
      </w:r>
      <w:r>
        <w:t xml:space="preserve"> P 48.</w:t>
      </w:r>
    </w:p>
  </w:footnote>
  <w:footnote w:id="13">
    <w:p w14:paraId="477A9F14" w14:textId="784F731C" w:rsidR="00E264FA" w:rsidRPr="00E264FA" w:rsidRDefault="00E264FA">
      <w:pPr>
        <w:pStyle w:val="FootnoteText"/>
      </w:pPr>
      <w:r>
        <w:rPr>
          <w:rStyle w:val="FootnoteReference"/>
        </w:rPr>
        <w:footnoteRef/>
      </w:r>
      <w:r>
        <w:t xml:space="preserve"> </w:t>
      </w:r>
      <w:r>
        <w:rPr>
          <w:i/>
        </w:rPr>
        <w:t xml:space="preserve">See, e.g. </w:t>
      </w:r>
      <w:r>
        <w:t>Public Interest Organizations Comments at 10 (</w:t>
      </w:r>
      <w:r w:rsidR="00547412">
        <w:t>discussing</w:t>
      </w:r>
      <w:r>
        <w:t xml:space="preserve"> </w:t>
      </w:r>
      <w:r w:rsidRPr="00E264FA">
        <w:t xml:space="preserve">Judy W. Chang, Johannes P. </w:t>
      </w:r>
      <w:proofErr w:type="spellStart"/>
      <w:r w:rsidRPr="00E264FA">
        <w:t>Pfeifenberger</w:t>
      </w:r>
      <w:proofErr w:type="spellEnd"/>
      <w:r w:rsidRPr="00E264FA">
        <w:t>, J. Michael Hagerty</w:t>
      </w:r>
      <w:r>
        <w:t xml:space="preserve">, Brattle Group, </w:t>
      </w:r>
      <w:r w:rsidRPr="00E264FA">
        <w:rPr>
          <w:i/>
        </w:rPr>
        <w:t>The Benefits of Electric Transmission: Identifying and Analyzing the Value of Investments</w:t>
      </w:r>
      <w:r w:rsidR="00D94292">
        <w:t xml:space="preserve"> (</w:t>
      </w:r>
      <w:r w:rsidRPr="00E264FA">
        <w:t>2013)</w:t>
      </w:r>
      <w:r>
        <w:t xml:space="preserve">); AWEA Comments at 10 (similar). </w:t>
      </w:r>
    </w:p>
  </w:footnote>
  <w:footnote w:id="14">
    <w:p w14:paraId="4635AD6A" w14:textId="58CA0EEB" w:rsidR="00750C19" w:rsidRPr="00750C19" w:rsidRDefault="00750C19">
      <w:pPr>
        <w:pStyle w:val="FootnoteText"/>
      </w:pPr>
      <w:r>
        <w:rPr>
          <w:rStyle w:val="FootnoteReference"/>
        </w:rPr>
        <w:footnoteRef/>
      </w:r>
      <w:r>
        <w:t xml:space="preserve"> </w:t>
      </w:r>
      <w:r>
        <w:rPr>
          <w:i/>
        </w:rPr>
        <w:t xml:space="preserve">See </w:t>
      </w:r>
      <w:r>
        <w:t xml:space="preserve">NOPR, </w:t>
      </w:r>
      <w:r w:rsidR="005B52D0" w:rsidRPr="00B41B82">
        <w:t>170 FERC ¶ 61,204</w:t>
      </w:r>
      <w:r w:rsidR="005B52D0">
        <w:rPr>
          <w:b/>
        </w:rPr>
        <w:t xml:space="preserve"> </w:t>
      </w:r>
      <w:r>
        <w:t xml:space="preserve">at PP </w:t>
      </w:r>
      <w:r w:rsidR="005B52D0">
        <w:t xml:space="preserve">43, </w:t>
      </w:r>
      <w:r w:rsidR="005B52D0" w:rsidRPr="00CE5600">
        <w:t>59-61</w:t>
      </w:r>
      <w:r>
        <w:t>.</w:t>
      </w:r>
    </w:p>
  </w:footnote>
  <w:footnote w:id="15">
    <w:p w14:paraId="144A8B9C" w14:textId="77777777" w:rsidR="005B7CFE" w:rsidRPr="009C244F" w:rsidRDefault="005B7CFE">
      <w:pPr>
        <w:pStyle w:val="FootnoteText"/>
      </w:pPr>
      <w:r>
        <w:rPr>
          <w:rStyle w:val="FootnoteReference"/>
        </w:rPr>
        <w:footnoteRef/>
      </w:r>
      <w:r>
        <w:t xml:space="preserve"> </w:t>
      </w:r>
      <w:r w:rsidR="00781095">
        <w:rPr>
          <w:i/>
        </w:rPr>
        <w:t xml:space="preserve">Id. </w:t>
      </w:r>
      <w:r w:rsidR="00781095">
        <w:t>PP 48-49.</w:t>
      </w:r>
    </w:p>
  </w:footnote>
  <w:footnote w:id="16">
    <w:p w14:paraId="0ADA99D2" w14:textId="28572C8A" w:rsidR="00952093" w:rsidRPr="00DB7D69" w:rsidRDefault="00952093">
      <w:pPr>
        <w:pStyle w:val="FootnoteText"/>
      </w:pPr>
      <w:r>
        <w:rPr>
          <w:rStyle w:val="FootnoteReference"/>
        </w:rPr>
        <w:footnoteRef/>
      </w:r>
      <w:r>
        <w:t xml:space="preserve"> </w:t>
      </w:r>
      <w:r w:rsidR="00DB7D69">
        <w:rPr>
          <w:i/>
        </w:rPr>
        <w:t xml:space="preserve">See </w:t>
      </w:r>
      <w:r w:rsidR="00D94292">
        <w:rPr>
          <w:i/>
        </w:rPr>
        <w:t xml:space="preserve">id. </w:t>
      </w:r>
      <w:r w:rsidR="00DB7D69">
        <w:t>P 44 &amp; n.47</w:t>
      </w:r>
      <w:r w:rsidR="00A86822">
        <w:t>.</w:t>
      </w:r>
      <w:r w:rsidR="00DB7D69">
        <w:t xml:space="preserve"> </w:t>
      </w:r>
    </w:p>
  </w:footnote>
  <w:footnote w:id="17">
    <w:p w14:paraId="7F4BBEF7" w14:textId="3FC53700" w:rsidR="004068ED" w:rsidRDefault="004068ED">
      <w:pPr>
        <w:pStyle w:val="FootnoteText"/>
      </w:pPr>
      <w:r>
        <w:rPr>
          <w:rStyle w:val="FootnoteReference"/>
        </w:rPr>
        <w:footnoteRef/>
      </w:r>
      <w:r>
        <w:t xml:space="preserve"> </w:t>
      </w:r>
      <w:r>
        <w:rPr>
          <w:i/>
        </w:rPr>
        <w:t xml:space="preserve">See </w:t>
      </w:r>
      <w:r w:rsidR="00D94292">
        <w:rPr>
          <w:i/>
        </w:rPr>
        <w:t xml:space="preserve">id. </w:t>
      </w:r>
      <w:r>
        <w:t>PP 27-29; EEI Comments at 7-8 (“</w:t>
      </w:r>
      <w:r w:rsidRPr="00C325D6">
        <w:t>Transmission is the backbone of the Bulk Electric System and continued investment is necessary to ad</w:t>
      </w:r>
      <w:r>
        <w:t>dress the demands of the future . . .</w:t>
      </w:r>
      <w:r w:rsidRPr="00C325D6">
        <w:t xml:space="preserve"> </w:t>
      </w:r>
      <w:r>
        <w:t>include[</w:t>
      </w:r>
      <w:proofErr w:type="spellStart"/>
      <w:r>
        <w:t>ing</w:t>
      </w:r>
      <w:proofErr w:type="spellEnd"/>
      <w:r>
        <w:t>]</w:t>
      </w:r>
      <w:r w:rsidRPr="00C325D6">
        <w:t xml:space="preserve"> changing consumer needs; an evolving fuel mix for electric generation that is marked by the continued addition of renewable and clean energy resources that need to be transported from remote locations to market centers; the potential for higher demand due to increasing market penetration of electric vehicles; and the need to integrate and accommodate new technologies</w:t>
      </w:r>
      <w:r>
        <w:t>.”); Public Interest Organizations Comments at 3-5 (“</w:t>
      </w:r>
      <w:r w:rsidRPr="00C325D6">
        <w:t>The bulk power system increasingly connects generation sources located farther away from load centers, especially weather-influenced (yet dispatchable) renewable energy resources. Also, the rise of distributed energy resources, especially electric vehicles and other energy storage sources of both load and supply, will add new and variable flows into the system, creating new challenges for a system designed around centralized dispatch.</w:t>
      </w:r>
      <w:r>
        <w:t xml:space="preserve">”).  </w:t>
      </w:r>
    </w:p>
  </w:footnote>
  <w:footnote w:id="18">
    <w:p w14:paraId="17E9F3FB" w14:textId="1BD9432C" w:rsidR="004068ED" w:rsidRPr="000002D6" w:rsidRDefault="004068ED">
      <w:pPr>
        <w:pStyle w:val="FootnoteText"/>
      </w:pPr>
      <w:r>
        <w:rPr>
          <w:rStyle w:val="FootnoteReference"/>
        </w:rPr>
        <w:footnoteRef/>
      </w:r>
      <w:r>
        <w:t xml:space="preserve"> </w:t>
      </w:r>
      <w:r>
        <w:rPr>
          <w:i/>
        </w:rPr>
        <w:t>See, e.g.</w:t>
      </w:r>
      <w:r>
        <w:t xml:space="preserve">, </w:t>
      </w:r>
      <w:r w:rsidR="007A16D7">
        <w:t>WIRES</w:t>
      </w:r>
      <w:r>
        <w:t xml:space="preserve"> Comments at 4 (discussing a Brattle Group study on the transmission needs driven by electrification).</w:t>
      </w:r>
    </w:p>
  </w:footnote>
  <w:footnote w:id="19">
    <w:p w14:paraId="0541AD8B" w14:textId="41027845" w:rsidR="004068ED" w:rsidRDefault="004068ED">
      <w:pPr>
        <w:pStyle w:val="FootnoteText"/>
      </w:pPr>
      <w:r>
        <w:rPr>
          <w:rStyle w:val="FootnoteReference"/>
        </w:rPr>
        <w:footnoteRef/>
      </w:r>
      <w:r w:rsidR="00BA3602">
        <w:t xml:space="preserve"> 16 U.S.C. § 824s(a)</w:t>
      </w:r>
      <w:r>
        <w:t xml:space="preserve">.  </w:t>
      </w:r>
    </w:p>
  </w:footnote>
  <w:footnote w:id="20">
    <w:p w14:paraId="43AB5A4E" w14:textId="77777777" w:rsidR="004068ED" w:rsidRDefault="004068ED">
      <w:pPr>
        <w:pStyle w:val="FootnoteText"/>
      </w:pPr>
      <w:r>
        <w:rPr>
          <w:rStyle w:val="FootnoteReference"/>
        </w:rPr>
        <w:footnoteRef/>
      </w:r>
      <w:r>
        <w:t xml:space="preserve"> </w:t>
      </w:r>
      <w:r>
        <w:rPr>
          <w:i/>
        </w:rPr>
        <w:t>Cf., e.g.</w:t>
      </w:r>
      <w:r>
        <w:t>, Public Interest Organizations Comments at 5 (diagram depicting the interconnection queue in MISO and its neighboring regions).</w:t>
      </w:r>
    </w:p>
  </w:footnote>
  <w:footnote w:id="21">
    <w:p w14:paraId="1FB42DA4" w14:textId="1427B2BD" w:rsidR="004068ED" w:rsidRDefault="004068ED">
      <w:pPr>
        <w:pStyle w:val="FootnoteText"/>
      </w:pPr>
      <w:r>
        <w:rPr>
          <w:rStyle w:val="FootnoteReference"/>
        </w:rPr>
        <w:footnoteRef/>
      </w:r>
      <w:r>
        <w:t xml:space="preserve"> </w:t>
      </w:r>
      <w:r>
        <w:rPr>
          <w:i/>
        </w:rPr>
        <w:t>See, e.g.</w:t>
      </w:r>
      <w:r>
        <w:t xml:space="preserve">, </w:t>
      </w:r>
      <w:r w:rsidR="007A16D7">
        <w:rPr>
          <w:i/>
        </w:rPr>
        <w:t xml:space="preserve">id. </w:t>
      </w:r>
      <w:r>
        <w:t>at 8 (discussing MISO’s analysis indicating that the seventeen multi-value projects build over the last decade succeeded in integrating wind resources at a level that might otherwise have required several hundred discrete projects).</w:t>
      </w:r>
    </w:p>
  </w:footnote>
  <w:footnote w:id="22">
    <w:p w14:paraId="7FFBC66A" w14:textId="3182F27B" w:rsidR="004068ED" w:rsidRDefault="004068ED">
      <w:pPr>
        <w:pStyle w:val="FootnoteText"/>
      </w:pPr>
      <w:r>
        <w:rPr>
          <w:rStyle w:val="FootnoteReference"/>
        </w:rPr>
        <w:footnoteRef/>
      </w:r>
      <w:r>
        <w:t xml:space="preserve"> </w:t>
      </w:r>
      <w:r w:rsidR="007A16D7">
        <w:t>WIRES</w:t>
      </w:r>
      <w:r>
        <w:t xml:space="preserve"> Comments at 10 (“[T]</w:t>
      </w:r>
      <w:r w:rsidRPr="000002D6">
        <w:t>he Commission should incentivize transmission projects or systems that are designed to capture economic and environmental benefits for multiple groups of customers and, in addition directly assist in the fulfillment of state public policy goals such as renewable energy standards. The value of such projects are exponentially higher than others and has the potential to provide benefits longer</w:t>
      </w:r>
      <w:r>
        <w:t>.”)</w:t>
      </w:r>
      <w:r w:rsidR="00D67222">
        <w:t>.</w:t>
      </w:r>
    </w:p>
  </w:footnote>
  <w:footnote w:id="23">
    <w:p w14:paraId="78F7C924" w14:textId="61C629B6" w:rsidR="004068ED" w:rsidRPr="0075685E" w:rsidRDefault="004068ED" w:rsidP="00D06C24">
      <w:pPr>
        <w:pStyle w:val="FootnoteText"/>
      </w:pPr>
      <w:r>
        <w:rPr>
          <w:rStyle w:val="FootnoteReference"/>
        </w:rPr>
        <w:footnoteRef/>
      </w:r>
      <w:r>
        <w:t xml:space="preserve"> </w:t>
      </w:r>
      <w:r>
        <w:rPr>
          <w:i/>
        </w:rPr>
        <w:t xml:space="preserve">See supra </w:t>
      </w:r>
      <w:r w:rsidR="00A23BDE" w:rsidRPr="00627F29">
        <w:t>PP 8-9</w:t>
      </w:r>
      <w:r w:rsidRPr="00627F29">
        <w:t>.</w:t>
      </w:r>
    </w:p>
  </w:footnote>
  <w:footnote w:id="24">
    <w:p w14:paraId="54EC5500" w14:textId="77777777" w:rsidR="004068ED" w:rsidRPr="004B7912" w:rsidRDefault="004068ED">
      <w:pPr>
        <w:pStyle w:val="FootnoteText"/>
        <w:rPr>
          <w:i/>
        </w:rPr>
      </w:pPr>
      <w:r>
        <w:rPr>
          <w:rStyle w:val="FootnoteReference"/>
        </w:rPr>
        <w:footnoteRef/>
      </w:r>
      <w:r>
        <w:t xml:space="preserve"> </w:t>
      </w:r>
      <w:r>
        <w:rPr>
          <w:i/>
        </w:rPr>
        <w:t>See, e.g.</w:t>
      </w:r>
      <w:r>
        <w:t xml:space="preserve">, </w:t>
      </w:r>
      <w:r w:rsidRPr="004B7912">
        <w:rPr>
          <w:i/>
        </w:rPr>
        <w:t>Commonwealth Edison Co.</w:t>
      </w:r>
      <w:r>
        <w:t xml:space="preserve">, </w:t>
      </w:r>
      <w:r w:rsidRPr="004B7912">
        <w:t>167 FERC ¶ 61,173</w:t>
      </w:r>
      <w:r>
        <w:t xml:space="preserve">, at PP 28-34 (2019) (granting Commonwealth Edison an incentive under section 205 to help develop a project using superconductor technology). </w:t>
      </w:r>
    </w:p>
  </w:footnote>
  <w:footnote w:id="25">
    <w:p w14:paraId="0985C2A3" w14:textId="0A3B0782" w:rsidR="004068ED" w:rsidRDefault="004068ED">
      <w:pPr>
        <w:pStyle w:val="FootnoteText"/>
      </w:pPr>
      <w:r>
        <w:rPr>
          <w:rStyle w:val="FootnoteReference"/>
        </w:rPr>
        <w:footnoteRef/>
      </w:r>
      <w:r>
        <w:t xml:space="preserve"> 16 U.S.C. § 824s(c).</w:t>
      </w:r>
    </w:p>
  </w:footnote>
  <w:footnote w:id="26">
    <w:p w14:paraId="6B888E53" w14:textId="694FE973" w:rsidR="004068ED" w:rsidRPr="00D46285" w:rsidRDefault="004068ED">
      <w:pPr>
        <w:pStyle w:val="FootnoteText"/>
      </w:pPr>
      <w:r>
        <w:rPr>
          <w:rStyle w:val="FootnoteReference"/>
        </w:rPr>
        <w:footnoteRef/>
      </w:r>
      <w:r>
        <w:t xml:space="preserve"> </w:t>
      </w:r>
      <w:r>
        <w:rPr>
          <w:i/>
        </w:rPr>
        <w:t>See, e.g.</w:t>
      </w:r>
      <w:r>
        <w:t xml:space="preserve">, NOPR, </w:t>
      </w:r>
      <w:r w:rsidR="00A23BDE" w:rsidRPr="00B41B82">
        <w:t>170 FERC ¶ 61,204</w:t>
      </w:r>
      <w:r w:rsidR="00A23BDE">
        <w:rPr>
          <w:b/>
        </w:rPr>
        <w:t xml:space="preserve"> </w:t>
      </w:r>
      <w:r>
        <w:t xml:space="preserve">at P 93 (reciting benefits estimates for RTOs, including PJM and MISO); </w:t>
      </w:r>
      <w:r w:rsidR="001A2641">
        <w:t>Joint Commente</w:t>
      </w:r>
      <w:r w:rsidRPr="00D46285">
        <w:t>rs</w:t>
      </w:r>
      <w:r w:rsidR="001A2641">
        <w:t xml:space="preserve"> Comments</w:t>
      </w:r>
      <w:r w:rsidRPr="00D46285">
        <w:t xml:space="preserve"> at 71-72 (</w:t>
      </w:r>
      <w:r>
        <w:t>noting that both PJM and MISO reported providing benefits on the order of three billion dollars per year</w:t>
      </w:r>
      <w:r w:rsidRPr="00D46285">
        <w:t>).</w:t>
      </w:r>
    </w:p>
  </w:footnote>
  <w:footnote w:id="27">
    <w:p w14:paraId="70C8FF4F" w14:textId="77777777" w:rsidR="004068ED" w:rsidRPr="00563F77" w:rsidRDefault="004068ED">
      <w:pPr>
        <w:pStyle w:val="FootnoteText"/>
      </w:pPr>
      <w:r>
        <w:rPr>
          <w:rStyle w:val="FootnoteReference"/>
        </w:rPr>
        <w:footnoteRef/>
      </w:r>
      <w:r>
        <w:t xml:space="preserve"> TAPS Comments at 97 (“</w:t>
      </w:r>
      <w:r w:rsidRPr="00563F77">
        <w:t>The direct cost of a 50 basis point ROE adder is roughly $400 million per year, and growing.</w:t>
      </w:r>
      <w:r>
        <w:t xml:space="preserve">”); </w:t>
      </w:r>
      <w:r>
        <w:rPr>
          <w:i/>
        </w:rPr>
        <w:t xml:space="preserve">see also id. </w:t>
      </w:r>
      <w:r>
        <w:t xml:space="preserve">n.275 (describing the method for calculating this estimate based on analysis by Regulatory Research Associates). </w:t>
      </w:r>
    </w:p>
  </w:footnote>
  <w:footnote w:id="28">
    <w:p w14:paraId="69F76EF6" w14:textId="5802AD97" w:rsidR="004068ED" w:rsidRPr="003B0F4F" w:rsidRDefault="004068ED">
      <w:pPr>
        <w:pStyle w:val="FootnoteText"/>
      </w:pPr>
      <w:r>
        <w:rPr>
          <w:rStyle w:val="FootnoteReference"/>
        </w:rPr>
        <w:footnoteRef/>
      </w:r>
      <w:r w:rsidR="007A16D7">
        <w:t xml:space="preserve"> Recall that section 219</w:t>
      </w:r>
      <w:r>
        <w:t xml:space="preserve"> requires the Commission to create certain incentives, but also requires that the resulting rates be just and reasonable and not unduly discriminatory or preferential.  </w:t>
      </w:r>
      <w:r w:rsidR="007A16D7">
        <w:t>16 U.S.C. § 824s(d)</w:t>
      </w:r>
      <w:r>
        <w:t xml:space="preserve">. </w:t>
      </w:r>
    </w:p>
  </w:footnote>
  <w:footnote w:id="29">
    <w:p w14:paraId="5468B78C" w14:textId="73841D5B" w:rsidR="004068ED" w:rsidRDefault="004068ED" w:rsidP="00D07CC4">
      <w:pPr>
        <w:pStyle w:val="FootnoteText"/>
      </w:pPr>
      <w:r>
        <w:rPr>
          <w:rStyle w:val="FootnoteReference"/>
        </w:rPr>
        <w:footnoteRef/>
      </w:r>
      <w:r>
        <w:t xml:space="preserve"> </w:t>
      </w:r>
      <w:r w:rsidR="007A16D7">
        <w:rPr>
          <w:i/>
        </w:rPr>
        <w:t xml:space="preserve">Id. </w:t>
      </w:r>
      <w:r>
        <w:t xml:space="preserve">§ 824s(c). </w:t>
      </w:r>
    </w:p>
  </w:footnote>
  <w:footnote w:id="30">
    <w:p w14:paraId="50564A14" w14:textId="5EBE5AA3" w:rsidR="004068ED" w:rsidRPr="00561472" w:rsidRDefault="004068ED">
      <w:pPr>
        <w:pStyle w:val="FootnoteText"/>
      </w:pPr>
      <w:r>
        <w:rPr>
          <w:rStyle w:val="FootnoteReference"/>
        </w:rPr>
        <w:footnoteRef/>
      </w:r>
      <w:r>
        <w:t xml:space="preserve"> NOPR, </w:t>
      </w:r>
      <w:r w:rsidR="00A23BDE" w:rsidRPr="00B41B82">
        <w:t>170 FERC ¶ 61,204</w:t>
      </w:r>
      <w:r w:rsidR="00A23BDE">
        <w:rPr>
          <w:b/>
        </w:rPr>
        <w:t xml:space="preserve"> </w:t>
      </w:r>
      <w:r>
        <w:t>at P 36.</w:t>
      </w:r>
    </w:p>
  </w:footnote>
  <w:footnote w:id="31">
    <w:p w14:paraId="1964C167" w14:textId="77777777" w:rsidR="004068ED" w:rsidRPr="004E35FC" w:rsidRDefault="004068ED" w:rsidP="00117DE5">
      <w:pPr>
        <w:pStyle w:val="FootnoteText"/>
        <w:rPr>
          <w:b/>
        </w:rPr>
      </w:pPr>
      <w:r>
        <w:rPr>
          <w:rStyle w:val="FootnoteReference"/>
        </w:rPr>
        <w:footnoteRef/>
      </w:r>
      <w:r>
        <w:t xml:space="preserve"> </w:t>
      </w:r>
      <w:r>
        <w:rPr>
          <w:i/>
        </w:rPr>
        <w:t xml:space="preserve">Cf. </w:t>
      </w:r>
      <w:r w:rsidRPr="004E35FC">
        <w:t>R Street Comments at 7</w:t>
      </w:r>
      <w:r>
        <w:t xml:space="preserve"> (</w:t>
      </w:r>
      <w:r w:rsidRPr="004E35FC">
        <w:t>“The term ‘incentive’ necessarily implies that the Commission is urging the incentivized party toward some action.”</w:t>
      </w:r>
      <w:r>
        <w:t>).</w:t>
      </w:r>
      <w:r>
        <w:rPr>
          <w:b/>
        </w:rPr>
        <w:t xml:space="preserve"> </w:t>
      </w:r>
    </w:p>
  </w:footnote>
  <w:footnote w:id="32">
    <w:p w14:paraId="495C419E" w14:textId="305CC1AB" w:rsidR="004068ED" w:rsidRDefault="004068ED" w:rsidP="008D2EC5">
      <w:pPr>
        <w:pStyle w:val="FootnoteText"/>
      </w:pPr>
      <w:r w:rsidRPr="004A56A4">
        <w:rPr>
          <w:rStyle w:val="FootnoteReference"/>
        </w:rPr>
        <w:footnoteRef/>
      </w:r>
      <w:r w:rsidRPr="004A56A4">
        <w:t xml:space="preserve"> </w:t>
      </w:r>
      <w:r w:rsidR="003135C1" w:rsidRPr="004A56A4">
        <w:rPr>
          <w:i/>
        </w:rPr>
        <w:t xml:space="preserve">See supra </w:t>
      </w:r>
      <w:r w:rsidR="003135C1" w:rsidRPr="004A56A4">
        <w:t xml:space="preserve">PP 4-5; </w:t>
      </w:r>
      <w:r w:rsidRPr="004A56A4">
        <w:t>Consumer</w:t>
      </w:r>
      <w:r w:rsidRPr="008D2EC5">
        <w:t xml:space="preserve"> Organizations Comments at 28 (“If a utility is already a member of an RTO/ISO, there is no value to be added by providing an incentive that translates into quick cash for doing absolutely nothing more than what the utility was already doing.”)</w:t>
      </w:r>
      <w:r w:rsidR="00627F29">
        <w:t>.</w:t>
      </w:r>
    </w:p>
  </w:footnote>
  <w:footnote w:id="33">
    <w:p w14:paraId="734E22E3" w14:textId="289C1346" w:rsidR="004068ED" w:rsidRDefault="004068ED" w:rsidP="00A101DC">
      <w:pPr>
        <w:pStyle w:val="FootnoteText"/>
      </w:pPr>
      <w:r>
        <w:rPr>
          <w:rStyle w:val="FootnoteReference"/>
        </w:rPr>
        <w:footnoteRef/>
      </w:r>
      <w:r>
        <w:t xml:space="preserve"> Consumer Organizations Reply Comments at 12 (“</w:t>
      </w:r>
      <w:r w:rsidRPr="00A101DC">
        <w:t>Utilities join RTOs for the benefits of membership, not to subject themselves to new burdens in exchange for a half point on their returns</w:t>
      </w:r>
      <w:r>
        <w:t>.”); Joint Commenters Reply Comments at 25 (“</w:t>
      </w:r>
      <w:r w:rsidRPr="00190A75">
        <w:t>Even in situations where a transmission owner’s participation in an RTO/ISO is not legally required, the decision to join or remain in an RTO is not solely a decision of transmission owners – the decision is also influenced by other stakeholders and state regulators based on assessments that benefits are likely to outweigh the costs.</w:t>
      </w:r>
      <w:r>
        <w:t xml:space="preserve">”); Public Interest </w:t>
      </w:r>
      <w:r w:rsidR="00627F29">
        <w:t>Organizations Comments at 30-31.</w:t>
      </w:r>
    </w:p>
  </w:footnote>
  <w:footnote w:id="34">
    <w:p w14:paraId="179D4C2A" w14:textId="77777777" w:rsidR="004068ED" w:rsidRPr="00DB35AD" w:rsidRDefault="004068ED">
      <w:pPr>
        <w:pStyle w:val="FootnoteText"/>
      </w:pPr>
      <w:r>
        <w:rPr>
          <w:rStyle w:val="FootnoteReference"/>
        </w:rPr>
        <w:footnoteRef/>
      </w:r>
      <w:r>
        <w:t xml:space="preserve"> </w:t>
      </w:r>
      <w:r w:rsidRPr="008D2EC5">
        <w:t>OPSI Comments at 10 (“[I]f a utility would be reasonably likely to continue its participation in the Transmission Organization even if its previously granted incentive were to be discontinued, the ongoing costs to consumers of maintaining the incentive would arguably exceed the ongoing benefit of doing so.”)</w:t>
      </w:r>
      <w:r>
        <w:t xml:space="preserve">; </w:t>
      </w:r>
      <w:r>
        <w:rPr>
          <w:i/>
        </w:rPr>
        <w:t xml:space="preserve">see </w:t>
      </w:r>
      <w:r w:rsidRPr="00DB35AD">
        <w:t>N.J. Board of Public Utilities and N.J. Rate Counsel Initial Comments at 22 (suggesting that FERC’s interpretation of the 219(c) is an example of “what drives stakeholders to refer to the RTO adder as ‘FERC Candy’”)</w:t>
      </w:r>
      <w:r>
        <w:t>.</w:t>
      </w:r>
    </w:p>
  </w:footnote>
  <w:footnote w:id="35">
    <w:p w14:paraId="087F97BD" w14:textId="39BBC734" w:rsidR="004068ED" w:rsidRDefault="004068ED" w:rsidP="008D2EC5">
      <w:pPr>
        <w:pStyle w:val="FootnoteText"/>
      </w:pPr>
      <w:r>
        <w:rPr>
          <w:rStyle w:val="FootnoteReference"/>
        </w:rPr>
        <w:footnoteRef/>
      </w:r>
      <w:r>
        <w:t xml:space="preserve"> </w:t>
      </w:r>
      <w:r>
        <w:rPr>
          <w:i/>
        </w:rPr>
        <w:t>See, e.g.</w:t>
      </w:r>
      <w:r>
        <w:t>, TAPS Comments at 98-99 (recommending that the Commission limit the section 219(c) incentive to ten years)</w:t>
      </w:r>
      <w:r w:rsidRPr="00DB35AD">
        <w:t>;</w:t>
      </w:r>
      <w:r>
        <w:rPr>
          <w:b/>
        </w:rPr>
        <w:t xml:space="preserve"> </w:t>
      </w:r>
      <w:r w:rsidRPr="008D2EC5">
        <w:t xml:space="preserve">Joint Commentators </w:t>
      </w:r>
      <w:r w:rsidR="001A2641">
        <w:t xml:space="preserve">Comments </w:t>
      </w:r>
      <w:r w:rsidRPr="008D2EC5">
        <w:t>at 74-75 (recommending an approach for phasing out the RTO participation adder after the transmission owner has been in the RTO for a period of years)</w:t>
      </w:r>
      <w:r>
        <w:t>; Consumer Organizations Reply Comments at 13 (similar).</w:t>
      </w:r>
    </w:p>
  </w:footnote>
  <w:footnote w:id="36">
    <w:p w14:paraId="21ECF525" w14:textId="49DB1FA2" w:rsidR="004068ED" w:rsidRDefault="004068ED">
      <w:pPr>
        <w:pStyle w:val="FootnoteText"/>
      </w:pPr>
      <w:r>
        <w:rPr>
          <w:rStyle w:val="FootnoteReference"/>
        </w:rPr>
        <w:footnoteRef/>
      </w:r>
      <w:r>
        <w:t xml:space="preserve"> NOPR,</w:t>
      </w:r>
      <w:r w:rsidR="00A23BDE">
        <w:t xml:space="preserve"> </w:t>
      </w:r>
      <w:r w:rsidR="00A23BDE" w:rsidRPr="00B41B82">
        <w:t>170 FERC ¶ 61,204</w:t>
      </w:r>
      <w:r w:rsidR="00A23BDE">
        <w:rPr>
          <w:b/>
        </w:rPr>
        <w:t xml:space="preserve"> </w:t>
      </w:r>
      <w:r>
        <w:t xml:space="preserve">at P 98. </w:t>
      </w:r>
    </w:p>
  </w:footnote>
  <w:footnote w:id="37">
    <w:p w14:paraId="1A854ADC" w14:textId="20C04F19" w:rsidR="004068ED" w:rsidRPr="00F315C8" w:rsidRDefault="004068ED">
      <w:pPr>
        <w:pStyle w:val="FootnoteText"/>
        <w:rPr>
          <w:b/>
        </w:rPr>
      </w:pPr>
      <w:r>
        <w:rPr>
          <w:rStyle w:val="FootnoteReference"/>
        </w:rPr>
        <w:footnoteRef/>
      </w:r>
      <w:r>
        <w:t xml:space="preserve"> In Order No. 679, the Commission </w:t>
      </w:r>
      <w:r w:rsidRPr="007178E0">
        <w:t xml:space="preserve">recognized the benefits of RTO membership, but </w:t>
      </w:r>
      <w:r>
        <w:t>explained</w:t>
      </w:r>
      <w:r w:rsidRPr="007178E0">
        <w:t xml:space="preserve"> that it would grant a section 219(c) incentive only “when justified,” which reflected the Commission’s recognition that a transmission owner’s continuing membership in an RTO is “generally voluntary.</w:t>
      </w:r>
      <w:r>
        <w:t xml:space="preserve">”  </w:t>
      </w:r>
      <w:r>
        <w:rPr>
          <w:i/>
        </w:rPr>
        <w:t xml:space="preserve">See </w:t>
      </w:r>
      <w:r w:rsidR="00A23BDE" w:rsidRPr="00A23BDE">
        <w:rPr>
          <w:i/>
        </w:rPr>
        <w:t>Promoting Transmission Investment through Pricing Reform</w:t>
      </w:r>
      <w:r w:rsidR="00A23BDE" w:rsidRPr="00CE5600">
        <w:t>, Order No. 679, 116 FERC ¶ 61,057</w:t>
      </w:r>
      <w:r w:rsidR="00A23BDE">
        <w:t>, at P 326 (</w:t>
      </w:r>
      <w:r w:rsidR="00A23BDE" w:rsidRPr="00BD7D87">
        <w:t>Order No. 679</w:t>
      </w:r>
      <w:r w:rsidR="00A23BDE">
        <w:t>)</w:t>
      </w:r>
      <w:r w:rsidR="00A23BDE" w:rsidRPr="00CE5600">
        <w:t>,</w:t>
      </w:r>
      <w:r w:rsidR="00A23BDE" w:rsidRPr="00A23BDE">
        <w:rPr>
          <w:i/>
        </w:rPr>
        <w:t xml:space="preserve"> order on reh’g</w:t>
      </w:r>
      <w:r w:rsidR="00A23BDE" w:rsidRPr="00CE5600">
        <w:t>, Order No. 679-A, 117 FERC ¶ 61,345 (2006),</w:t>
      </w:r>
      <w:r w:rsidR="00A23BDE" w:rsidRPr="00A23BDE">
        <w:rPr>
          <w:i/>
        </w:rPr>
        <w:t xml:space="preserve"> order on reh’g </w:t>
      </w:r>
      <w:r w:rsidR="00A23BDE">
        <w:t xml:space="preserve">Order No. 679-B, </w:t>
      </w:r>
      <w:r w:rsidR="00A23BDE" w:rsidRPr="00CE5600">
        <w:t>119 FERC ¶ 61,062 (2007)</w:t>
      </w:r>
      <w:r w:rsidR="00705EE8">
        <w:t xml:space="preserve">; </w:t>
      </w:r>
      <w:r w:rsidR="00705EE8">
        <w:rPr>
          <w:i/>
        </w:rPr>
        <w:t xml:space="preserve">see also </w:t>
      </w:r>
      <w:r w:rsidR="00705EE8" w:rsidRPr="00705EE8">
        <w:rPr>
          <w:i/>
        </w:rPr>
        <w:t>Pac</w:t>
      </w:r>
      <w:r w:rsidR="00705EE8">
        <w:rPr>
          <w:i/>
        </w:rPr>
        <w:t xml:space="preserve">. </w:t>
      </w:r>
      <w:r w:rsidR="00705EE8" w:rsidRPr="00705EE8">
        <w:rPr>
          <w:i/>
        </w:rPr>
        <w:t xml:space="preserve">Gas </w:t>
      </w:r>
      <w:r w:rsidR="00705EE8">
        <w:rPr>
          <w:i/>
        </w:rPr>
        <w:t>&amp; Elec. Co.</w:t>
      </w:r>
      <w:r w:rsidR="00705EE8">
        <w:t xml:space="preserve">, </w:t>
      </w:r>
      <w:r w:rsidR="00705EE8" w:rsidRPr="00705EE8">
        <w:t>168 FERC ¶ 61,038</w:t>
      </w:r>
      <w:r w:rsidR="00705EE8">
        <w:t xml:space="preserve"> (2019) (Glick, Comm’r, concurring at P 4) (“[T]</w:t>
      </w:r>
      <w:r w:rsidR="00705EE8" w:rsidRPr="00705EE8">
        <w:t>he Commission’s reasoning—particularly its decision to resolve this proceeding based entirely on an inquiry into whether PG&amp;E is required to remain in CAISO—suggests that if state law actually required PG&amp;E to remain in CAISO, an RTO-Participation Incentive might well be inappropriate.</w:t>
      </w:r>
      <w:r w:rsidR="00705EE8">
        <w:t>”).</w:t>
      </w:r>
      <w:r w:rsidR="00A23BDE">
        <w:t xml:space="preserve"> </w:t>
      </w:r>
    </w:p>
  </w:footnote>
  <w:footnote w:id="38">
    <w:p w14:paraId="0695992A" w14:textId="77777777" w:rsidR="004068ED" w:rsidRDefault="004068ED" w:rsidP="006F4BC9">
      <w:pPr>
        <w:pStyle w:val="FootnoteText"/>
      </w:pPr>
      <w:r>
        <w:rPr>
          <w:rStyle w:val="FootnoteReference"/>
        </w:rPr>
        <w:footnoteRef/>
      </w:r>
      <w:r>
        <w:t xml:space="preserve"> </w:t>
      </w:r>
      <w:r>
        <w:rPr>
          <w:i/>
        </w:rPr>
        <w:t>CPUC</w:t>
      </w:r>
      <w:r w:rsidRPr="00DB35AD">
        <w:rPr>
          <w:i/>
        </w:rPr>
        <w:t xml:space="preserve"> v. FERC</w:t>
      </w:r>
      <w:r w:rsidRPr="006F4BC9">
        <w:t>, 879 F.3d</w:t>
      </w:r>
      <w:r>
        <w:t xml:space="preserve"> at</w:t>
      </w:r>
      <w:r w:rsidRPr="006F4BC9">
        <w:t xml:space="preserve"> 974</w:t>
      </w:r>
      <w:r>
        <w:t>.</w:t>
      </w:r>
    </w:p>
  </w:footnote>
  <w:footnote w:id="39">
    <w:p w14:paraId="34219F6C" w14:textId="46746E96" w:rsidR="004068ED" w:rsidRDefault="004068ED" w:rsidP="006F4BC9">
      <w:pPr>
        <w:pStyle w:val="FootnoteText"/>
      </w:pPr>
      <w:r>
        <w:rPr>
          <w:rStyle w:val="FootnoteReference"/>
        </w:rPr>
        <w:footnoteRef/>
      </w:r>
      <w:r w:rsidR="00A23BDE">
        <w:t xml:space="preserve"> </w:t>
      </w:r>
      <w:r w:rsidR="00A23BDE">
        <w:rPr>
          <w:i/>
        </w:rPr>
        <w:t>Id.</w:t>
      </w:r>
      <w:r>
        <w:t xml:space="preserve"> at</w:t>
      </w:r>
      <w:r w:rsidRPr="006F4BC9">
        <w:t xml:space="preserve"> 977</w:t>
      </w:r>
      <w:r>
        <w:t>.</w:t>
      </w:r>
    </w:p>
  </w:footnote>
  <w:footnote w:id="40">
    <w:p w14:paraId="08EDD0CC" w14:textId="32FF887B" w:rsidR="004068ED" w:rsidRPr="00BE5FC7" w:rsidRDefault="004068ED">
      <w:pPr>
        <w:pStyle w:val="FootnoteText"/>
      </w:pPr>
      <w:r>
        <w:rPr>
          <w:rStyle w:val="FootnoteReference"/>
        </w:rPr>
        <w:footnoteRef/>
      </w:r>
      <w:r>
        <w:t xml:space="preserve"> The Commission suggests that making the section 219(c) </w:t>
      </w:r>
      <w:r w:rsidR="004B37D7">
        <w:t xml:space="preserve">incentive </w:t>
      </w:r>
      <w:r>
        <w:t>available only where it actually incentivizes something could create an “</w:t>
      </w:r>
      <w:r w:rsidRPr="00BE5FC7">
        <w:t>uneven playing field in the competition for investment capital</w:t>
      </w:r>
      <w:r>
        <w:t>.” NOPR</w:t>
      </w:r>
      <w:r w:rsidR="00A23BDE">
        <w:t xml:space="preserve">, </w:t>
      </w:r>
      <w:r w:rsidR="00A23BDE" w:rsidRPr="00B41B82">
        <w:t>170 FERC ¶ 61,204</w:t>
      </w:r>
      <w:r>
        <w:rPr>
          <w:b/>
        </w:rPr>
        <w:t xml:space="preserve"> </w:t>
      </w:r>
      <w:r>
        <w:t xml:space="preserve">at P 98.  First of all, if there is an uneven playing field, that is the result of state law and I am unaware of any authority suggesting that the purpose of our incentive program is to mitigate the effects of state laws on particular transmission owners’ </w:t>
      </w:r>
      <w:r w:rsidR="00F116FD">
        <w:t xml:space="preserve">relative </w:t>
      </w:r>
      <w:r>
        <w:t>ability to attract capital.  In any case, making it easier for some transmission owners to attract capital does not</w:t>
      </w:r>
      <w:r w:rsidR="00F116FD">
        <w:t>, by itself,</w:t>
      </w:r>
      <w:r>
        <w:t xml:space="preserve"> make an incentive just and reasonable.  If it did, </w:t>
      </w:r>
      <w:r>
        <w:rPr>
          <w:i/>
        </w:rPr>
        <w:t xml:space="preserve">every </w:t>
      </w:r>
      <w:r>
        <w:t xml:space="preserve">ROE incentive would, by definition, be just and reasonable insofar as it increased the ROE.  </w:t>
      </w:r>
    </w:p>
  </w:footnote>
  <w:footnote w:id="41">
    <w:p w14:paraId="266FDE6E" w14:textId="6F05BD90" w:rsidR="004068ED" w:rsidRDefault="004068ED">
      <w:pPr>
        <w:pStyle w:val="FootnoteText"/>
      </w:pPr>
      <w:r>
        <w:rPr>
          <w:rStyle w:val="FootnoteReference"/>
        </w:rPr>
        <w:footnoteRef/>
      </w:r>
      <w:r>
        <w:t xml:space="preserve"> NOPR,</w:t>
      </w:r>
      <w:r w:rsidR="00A23BDE" w:rsidRPr="00A23BDE">
        <w:t xml:space="preserve"> </w:t>
      </w:r>
      <w:r w:rsidR="00A23BDE" w:rsidRPr="00B41B82">
        <w:t>170 FERC ¶ 61,204</w:t>
      </w:r>
      <w:r>
        <w:t xml:space="preserve"> at P 97. </w:t>
      </w:r>
    </w:p>
  </w:footnote>
  <w:footnote w:id="42">
    <w:p w14:paraId="2CB4DDE8" w14:textId="77777777" w:rsidR="004068ED" w:rsidRDefault="004068ED">
      <w:pPr>
        <w:pStyle w:val="FootnoteText"/>
      </w:pPr>
      <w:r>
        <w:rPr>
          <w:rStyle w:val="FootnoteReference"/>
        </w:rPr>
        <w:footnoteRef/>
      </w:r>
      <w:r>
        <w:t xml:space="preserve"> TAPS Comments at 98 (“</w:t>
      </w:r>
      <w:r w:rsidRPr="00DB35AD">
        <w:t>As RTO services have grown, so too have the non-ROE incentives to remain in an RTO.</w:t>
      </w:r>
      <w:r>
        <w:t>”)</w:t>
      </w:r>
      <w:r w:rsidR="00BE2008">
        <w:t>.</w:t>
      </w:r>
    </w:p>
  </w:footnote>
  <w:footnote w:id="43">
    <w:p w14:paraId="31B1CCBF" w14:textId="7FECFBC9" w:rsidR="004068ED" w:rsidRDefault="004068ED">
      <w:pPr>
        <w:pStyle w:val="FootnoteText"/>
      </w:pPr>
      <w:r>
        <w:rPr>
          <w:rStyle w:val="FootnoteReference"/>
        </w:rPr>
        <w:footnoteRef/>
      </w:r>
      <w:r>
        <w:t xml:space="preserve"> NOPR,</w:t>
      </w:r>
      <w:r w:rsidR="00A23BDE" w:rsidRPr="00A23BDE">
        <w:t xml:space="preserve"> </w:t>
      </w:r>
      <w:r w:rsidR="00A23BDE" w:rsidRPr="00B41B82">
        <w:t>170 FERC ¶ 61,204</w:t>
      </w:r>
      <w:r>
        <w:t xml:space="preserve"> at P 97. </w:t>
      </w:r>
    </w:p>
  </w:footnote>
  <w:footnote w:id="44">
    <w:p w14:paraId="0D088F76" w14:textId="77777777" w:rsidR="004068ED" w:rsidRDefault="004068ED">
      <w:pPr>
        <w:pStyle w:val="FootnoteText"/>
      </w:pPr>
      <w:r>
        <w:rPr>
          <w:rStyle w:val="FootnoteReference"/>
        </w:rPr>
        <w:footnoteRef/>
      </w:r>
      <w:r>
        <w:t xml:space="preserve"> </w:t>
      </w:r>
      <w:r>
        <w:rPr>
          <w:i/>
        </w:rPr>
        <w:t xml:space="preserve">See </w:t>
      </w:r>
      <w:r w:rsidRPr="00AA4FCA">
        <w:rPr>
          <w:i/>
        </w:rPr>
        <w:t>Transmission Planning and Cost Allocation by Transmission Owning and Operating Public Utilities</w:t>
      </w:r>
      <w:r w:rsidRPr="00AA4FCA">
        <w:t>, Order No. 1000, 136 FERC ¶ 61,051</w:t>
      </w:r>
      <w:r>
        <w:t>, at P 6</w:t>
      </w:r>
      <w:r w:rsidRPr="00AA4FCA">
        <w:t xml:space="preserve"> (2011), order on reh’g, Order No. 1000-A, 139 FERC ¶ 61,132, order on reh’g and clarification, Order No. 1000-B, 141 FERC ¶ 61,044 (2012), </w:t>
      </w:r>
      <w:r>
        <w:rPr>
          <w:i/>
        </w:rPr>
        <w:t>aff’</w:t>
      </w:r>
      <w:r w:rsidRPr="00AA4FCA">
        <w:rPr>
          <w:i/>
        </w:rPr>
        <w:t>d sub nom</w:t>
      </w:r>
      <w:r w:rsidRPr="00AA4FCA">
        <w:t xml:space="preserve">. </w:t>
      </w:r>
      <w:r w:rsidRPr="00AA4FCA">
        <w:rPr>
          <w:i/>
        </w:rPr>
        <w:t>S.C. Pub. Serv. Auth. v. FERC</w:t>
      </w:r>
      <w:r>
        <w:t>, 762 F.3d 41 (D.C. Cir. 2014) (summarizing the final rule and noting that it applies to all transmission owning utilities, not just those in RTOs and ISOs).</w:t>
      </w:r>
      <w:r w:rsidRPr="00AA4FCA">
        <w:t xml:space="preserve"> </w:t>
      </w:r>
    </w:p>
  </w:footnote>
  <w:footnote w:id="45">
    <w:p w14:paraId="1C744DB4" w14:textId="015F4C97" w:rsidR="004068ED" w:rsidRPr="00413882" w:rsidRDefault="004068ED" w:rsidP="00413882">
      <w:pPr>
        <w:pStyle w:val="FootnoteText"/>
      </w:pPr>
      <w:r>
        <w:rPr>
          <w:rStyle w:val="FootnoteReference"/>
        </w:rPr>
        <w:footnoteRef/>
      </w:r>
      <w:r>
        <w:t xml:space="preserve"> Order No. 679, </w:t>
      </w:r>
      <w:r w:rsidR="00A23BDE" w:rsidRPr="00CA6D01">
        <w:t>116 FERC ¶ 61,057</w:t>
      </w:r>
      <w:r w:rsidR="00A23BDE">
        <w:t xml:space="preserve"> </w:t>
      </w:r>
      <w:r>
        <w:t>at P 2 (explaining that “</w:t>
      </w:r>
      <w:r w:rsidRPr="00413882">
        <w:t>an incentive rate of return sought by an applicant must be within a range of reasonable returns and the rate proposal as a whole must be within the zone of reasonable</w:t>
      </w:r>
      <w:r>
        <w:t>ness before it will be approved,” which</w:t>
      </w:r>
      <w:r w:rsidR="0016110E">
        <w:t xml:space="preserve"> ensures that</w:t>
      </w:r>
      <w:r>
        <w:t xml:space="preserve"> “</w:t>
      </w:r>
      <w:r w:rsidRPr="00413882">
        <w:t>the incentive package as a whole results in a just and reasonable rate</w:t>
      </w:r>
      <w:r>
        <w:t>”)</w:t>
      </w:r>
      <w:r w:rsidR="0016110E">
        <w:t>.</w:t>
      </w:r>
      <w:r>
        <w:t xml:space="preserve"> </w:t>
      </w:r>
    </w:p>
  </w:footnote>
  <w:footnote w:id="46">
    <w:p w14:paraId="34D5AFD5" w14:textId="77777777" w:rsidR="004068ED" w:rsidRPr="00413882" w:rsidRDefault="004068ED">
      <w:pPr>
        <w:pStyle w:val="FootnoteText"/>
      </w:pPr>
      <w:r>
        <w:rPr>
          <w:rStyle w:val="FootnoteReference"/>
        </w:rPr>
        <w:footnoteRef/>
      </w:r>
      <w:r>
        <w:t xml:space="preserve"> </w:t>
      </w:r>
      <w:r>
        <w:rPr>
          <w:i/>
        </w:rPr>
        <w:t xml:space="preserve">See </w:t>
      </w:r>
      <w:r>
        <w:t>16 U.S.C. §§ 824d(a), 824e(a) &amp; 824s(d).</w:t>
      </w:r>
    </w:p>
  </w:footnote>
  <w:footnote w:id="47">
    <w:p w14:paraId="04C75620" w14:textId="5A1BEA1E" w:rsidR="004068ED" w:rsidRDefault="004068ED">
      <w:pPr>
        <w:pStyle w:val="FootnoteText"/>
      </w:pPr>
      <w:r>
        <w:rPr>
          <w:rStyle w:val="FootnoteReference"/>
        </w:rPr>
        <w:footnoteRef/>
      </w:r>
      <w:r>
        <w:t xml:space="preserve"> NOPR, </w:t>
      </w:r>
      <w:r w:rsidR="00A23BDE" w:rsidRPr="00B41B82">
        <w:t>170 FERC ¶ 61,204</w:t>
      </w:r>
      <w:r w:rsidR="00A23BDE">
        <w:rPr>
          <w:b/>
        </w:rPr>
        <w:t xml:space="preserve"> </w:t>
      </w:r>
      <w:r>
        <w:t>at P 80.</w:t>
      </w:r>
    </w:p>
  </w:footnote>
  <w:footnote w:id="48">
    <w:p w14:paraId="6E3FB1A2" w14:textId="149DECBE" w:rsidR="004068ED" w:rsidRDefault="004068ED">
      <w:pPr>
        <w:pStyle w:val="FootnoteText"/>
      </w:pPr>
      <w:r>
        <w:rPr>
          <w:rStyle w:val="FootnoteReference"/>
        </w:rPr>
        <w:footnoteRef/>
      </w:r>
      <w:r>
        <w:t xml:space="preserve"> </w:t>
      </w:r>
      <w:r w:rsidR="00A23BDE">
        <w:rPr>
          <w:i/>
        </w:rPr>
        <w:t>Id.</w:t>
      </w:r>
      <w:r>
        <w:t xml:space="preserve"> PP 78-79.</w:t>
      </w:r>
    </w:p>
  </w:footnote>
  <w:footnote w:id="49">
    <w:p w14:paraId="1C8E93E8" w14:textId="7DC89001" w:rsidR="004068ED" w:rsidRDefault="004068ED">
      <w:pPr>
        <w:pStyle w:val="FootnoteText"/>
      </w:pPr>
      <w:r>
        <w:rPr>
          <w:rStyle w:val="FootnoteReference"/>
        </w:rPr>
        <w:footnoteRef/>
      </w:r>
      <w:r w:rsidR="00A23BDE">
        <w:t xml:space="preserve"> </w:t>
      </w:r>
      <w:r w:rsidR="00A23BDE">
        <w:rPr>
          <w:i/>
        </w:rPr>
        <w:t xml:space="preserve">Id. </w:t>
      </w:r>
      <w:r>
        <w:t>P 78</w:t>
      </w:r>
      <w:r w:rsidR="00A23BDE">
        <w:t>.</w:t>
      </w:r>
    </w:p>
  </w:footnote>
  <w:footnote w:id="50">
    <w:p w14:paraId="24CCEF18" w14:textId="1023A42A" w:rsidR="004068ED" w:rsidRPr="0004763F" w:rsidRDefault="004068ED" w:rsidP="0004763F">
      <w:pPr>
        <w:pStyle w:val="FootnoteText"/>
        <w:rPr>
          <w:i/>
        </w:rPr>
      </w:pPr>
      <w:r>
        <w:rPr>
          <w:rStyle w:val="FootnoteReference"/>
        </w:rPr>
        <w:footnoteRef/>
      </w:r>
      <w:r w:rsidR="00A23BDE">
        <w:t xml:space="preserve"> </w:t>
      </w:r>
      <w:r w:rsidR="00A23BDE">
        <w:rPr>
          <w:i/>
        </w:rPr>
        <w:t xml:space="preserve">Id. </w:t>
      </w:r>
      <w:r>
        <w:t xml:space="preserve">(emphasis added) (internal quotation marks omitted); </w:t>
      </w:r>
      <w:r>
        <w:rPr>
          <w:i/>
        </w:rPr>
        <w:t xml:space="preserve">see </w:t>
      </w:r>
      <w:r w:rsidRPr="00235659">
        <w:rPr>
          <w:i/>
        </w:rPr>
        <w:t>FPC v. Hope Nat. Gas Co.</w:t>
      </w:r>
      <w:r w:rsidRPr="00235659">
        <w:t>, 320 U.S. 591, 603 (1944)</w:t>
      </w:r>
      <w:r>
        <w:t xml:space="preserve"> (holding that the ROE a regulated utility is permitted to earn “</w:t>
      </w:r>
      <w:r w:rsidRPr="00235659">
        <w:t>should be sufficient to assure confidence in the financial integrity of the enterprise, so as to maintain it</w:t>
      </w:r>
      <w:r>
        <w:t>s credit and to attract capital”).</w:t>
      </w:r>
    </w:p>
  </w:footnote>
  <w:footnote w:id="51">
    <w:p w14:paraId="67A74F02" w14:textId="24FFB7AA" w:rsidR="003F38B4" w:rsidRDefault="003F38B4" w:rsidP="003F38B4">
      <w:pPr>
        <w:pStyle w:val="FootnoteText"/>
      </w:pPr>
      <w:r>
        <w:rPr>
          <w:rStyle w:val="FootnoteReference"/>
        </w:rPr>
        <w:footnoteRef/>
      </w:r>
      <w:r>
        <w:t xml:space="preserve"> </w:t>
      </w:r>
      <w:r w:rsidRPr="003F38B4">
        <w:rPr>
          <w:i/>
        </w:rPr>
        <w:t>Petal</w:t>
      </w:r>
      <w:r>
        <w:rPr>
          <w:i/>
        </w:rPr>
        <w:t xml:space="preserve"> Gas Storage, L.L.C. v. FERC</w:t>
      </w:r>
      <w:r w:rsidRPr="003F38B4">
        <w:t xml:space="preserve">, 496 F.3d 695, </w:t>
      </w:r>
      <w:r>
        <w:t>69</w:t>
      </w:r>
      <w:r w:rsidR="00B82A56">
        <w:t>8</w:t>
      </w:r>
      <w:r>
        <w:t>-</w:t>
      </w:r>
      <w:r w:rsidRPr="003F38B4">
        <w:t>700 (D.C. Cir. 2007)</w:t>
      </w:r>
      <w:r>
        <w:t xml:space="preserve"> (</w:t>
      </w:r>
      <w:r w:rsidR="00B82A56">
        <w:t xml:space="preserve">discussing this process and </w:t>
      </w:r>
      <w:r>
        <w:t xml:space="preserve">noting the importance that the Commission places on relative risk profiles when setting </w:t>
      </w:r>
      <w:proofErr w:type="gramStart"/>
      <w:r>
        <w:t>an</w:t>
      </w:r>
      <w:proofErr w:type="gramEnd"/>
      <w:r>
        <w:t xml:space="preserve"> ROE).</w:t>
      </w:r>
    </w:p>
  </w:footnote>
  <w:footnote w:id="52">
    <w:p w14:paraId="64FD2DF4" w14:textId="5B33A97F" w:rsidR="0021717F" w:rsidRDefault="0021717F">
      <w:pPr>
        <w:pStyle w:val="FootnoteText"/>
      </w:pPr>
      <w:r>
        <w:rPr>
          <w:rStyle w:val="FootnoteReference"/>
        </w:rPr>
        <w:footnoteRef/>
      </w:r>
      <w:r>
        <w:t xml:space="preserve"> </w:t>
      </w:r>
      <w:r w:rsidR="00807B17">
        <w:t>NOPR,</w:t>
      </w:r>
      <w:r w:rsidR="00A23BDE" w:rsidRPr="00A23BDE">
        <w:t xml:space="preserve"> </w:t>
      </w:r>
      <w:r w:rsidR="00A23BDE" w:rsidRPr="00B41B82">
        <w:t>170 FERC ¶ 61,204</w:t>
      </w:r>
      <w:r w:rsidR="00807B17">
        <w:rPr>
          <w:b/>
        </w:rPr>
        <w:t xml:space="preserve"> </w:t>
      </w:r>
      <w:r w:rsidR="00807B17">
        <w:t xml:space="preserve">at PP 4, </w:t>
      </w:r>
      <w:r w:rsidR="005B52D0">
        <w:t xml:space="preserve">43, </w:t>
      </w:r>
      <w:r w:rsidR="00807B17">
        <w:t>59.</w:t>
      </w:r>
    </w:p>
  </w:footnote>
  <w:footnote w:id="53">
    <w:p w14:paraId="5FD8D95B" w14:textId="5B9F9DB6" w:rsidR="004068ED" w:rsidRDefault="004068ED">
      <w:pPr>
        <w:pStyle w:val="FootnoteText"/>
      </w:pPr>
      <w:r>
        <w:rPr>
          <w:rStyle w:val="FootnoteReference"/>
        </w:rPr>
        <w:footnoteRef/>
      </w:r>
      <w:r>
        <w:t xml:space="preserve"> Order No. 679, </w:t>
      </w:r>
      <w:r w:rsidR="00A23BDE" w:rsidRPr="00CA6D01">
        <w:t>116 FERC ¶ 61,057</w:t>
      </w:r>
      <w:r w:rsidR="00A23BDE">
        <w:t xml:space="preserve"> </w:t>
      </w:r>
      <w:r>
        <w:t>at P 2</w:t>
      </w:r>
      <w:r w:rsidR="00A23BDE">
        <w:t>.</w:t>
      </w:r>
    </w:p>
  </w:footnote>
  <w:footnote w:id="54">
    <w:p w14:paraId="1D177198" w14:textId="77777777" w:rsidR="004068ED" w:rsidRPr="003135C1" w:rsidRDefault="004068ED">
      <w:pPr>
        <w:pStyle w:val="FootnoteText"/>
      </w:pPr>
      <w:r>
        <w:rPr>
          <w:rStyle w:val="FootnoteReference"/>
        </w:rPr>
        <w:footnoteRef/>
      </w:r>
      <w:r>
        <w:t xml:space="preserve"> </w:t>
      </w:r>
      <w:r w:rsidR="00D24D64">
        <w:rPr>
          <w:i/>
        </w:rPr>
        <w:t xml:space="preserve">See </w:t>
      </w:r>
      <w:r w:rsidR="00807B17">
        <w:t>NOPR,</w:t>
      </w:r>
      <w:r w:rsidR="00A23BDE" w:rsidRPr="00A23BDE">
        <w:t xml:space="preserve"> </w:t>
      </w:r>
      <w:r w:rsidR="00A23BDE" w:rsidRPr="00B41B82">
        <w:t>170 FERC ¶ 61,204</w:t>
      </w:r>
      <w:r w:rsidR="00807B17">
        <w:rPr>
          <w:b/>
        </w:rPr>
        <w:t xml:space="preserve"> </w:t>
      </w:r>
      <w:r w:rsidR="00807B17">
        <w:t xml:space="preserve">at P 23. </w:t>
      </w:r>
    </w:p>
  </w:footnote>
  <w:footnote w:id="55">
    <w:p w14:paraId="276D9F86" w14:textId="1572382B" w:rsidR="004068ED" w:rsidRDefault="004068ED">
      <w:pPr>
        <w:pStyle w:val="FootnoteText"/>
      </w:pPr>
      <w:r>
        <w:rPr>
          <w:rStyle w:val="FootnoteReference"/>
        </w:rPr>
        <w:footnoteRef/>
      </w:r>
      <w:r>
        <w:t xml:space="preserve"> 16 U.S.C. § 824s(b)(3).</w:t>
      </w:r>
    </w:p>
  </w:footnote>
  <w:footnote w:id="56">
    <w:p w14:paraId="338DA036" w14:textId="7D2493B5" w:rsidR="004068ED" w:rsidRPr="003135C1" w:rsidRDefault="004068ED">
      <w:pPr>
        <w:pStyle w:val="FootnoteText"/>
      </w:pPr>
      <w:r>
        <w:rPr>
          <w:rStyle w:val="FootnoteReference"/>
        </w:rPr>
        <w:footnoteRef/>
      </w:r>
      <w:r>
        <w:t xml:space="preserve"> </w:t>
      </w:r>
      <w:r w:rsidR="00D24D64">
        <w:rPr>
          <w:i/>
        </w:rPr>
        <w:t xml:space="preserve">See </w:t>
      </w:r>
      <w:r w:rsidR="00D24D64">
        <w:t xml:space="preserve">WATT Coalition Comments at 2-3.  </w:t>
      </w:r>
      <w:r w:rsidR="00331CFE">
        <w:t>A</w:t>
      </w:r>
      <w:r>
        <w:t>s the Commission</w:t>
      </w:r>
      <w:r w:rsidR="00331CFE">
        <w:t xml:space="preserve"> notes</w:t>
      </w:r>
      <w:r>
        <w:t xml:space="preserve">, under </w:t>
      </w:r>
      <w:r w:rsidR="004B37D7">
        <w:t>its</w:t>
      </w:r>
      <w:r>
        <w:t xml:space="preserve"> 2012 </w:t>
      </w:r>
      <w:r w:rsidR="004B37D7">
        <w:t xml:space="preserve">Incentive </w:t>
      </w:r>
      <w:r>
        <w:t xml:space="preserve">Policy Statement, the Commission lumped advanced technologies in with the general category of factors it would consider when evaluating what incentives were appropriate in light of a project’s risks and challenges.  </w:t>
      </w:r>
      <w:r>
        <w:rPr>
          <w:i/>
        </w:rPr>
        <w:t xml:space="preserve">See </w:t>
      </w:r>
      <w:r>
        <w:t>NOPR,</w:t>
      </w:r>
      <w:r w:rsidR="00A23BDE" w:rsidRPr="00A23BDE">
        <w:t xml:space="preserve"> </w:t>
      </w:r>
      <w:r w:rsidR="00A23BDE" w:rsidRPr="00B41B82">
        <w:t>170 FERC ¶ 61,204</w:t>
      </w:r>
      <w:r>
        <w:t xml:space="preserve"> at P 100.  Similarly, Order No. 679 declined to incentivize particular technologies, noting instead that “</w:t>
      </w:r>
      <w:r w:rsidRPr="00DB5C55">
        <w:t>new technologies will be adopted when they are cost effective</w:t>
      </w:r>
      <w:r>
        <w:t xml:space="preserve">.”  Order No. 679, </w:t>
      </w:r>
      <w:r w:rsidR="00A23BDE" w:rsidRPr="00CA6D01">
        <w:t>116 FERC ¶ 61,057</w:t>
      </w:r>
      <w:r w:rsidR="00A23BDE">
        <w:t> </w:t>
      </w:r>
      <w:r>
        <w:t>at P 288.</w:t>
      </w:r>
      <w:r w:rsidR="00D24D64">
        <w:t xml:space="preserve">  Putting aside the accuracy of that statement, it would seem to fall short of Congress’ directive to </w:t>
      </w:r>
      <w:r w:rsidR="004B37D7">
        <w:t xml:space="preserve">“encourage deployment” of </w:t>
      </w:r>
      <w:r w:rsidR="00D24D64">
        <w:t xml:space="preserve">technologies and other measures that can </w:t>
      </w:r>
      <w:r w:rsidR="00D24D64" w:rsidRPr="00D24D64">
        <w:t>increase the capacity and efficiency of existing transmission facil</w:t>
      </w:r>
      <w:r w:rsidR="00D24D64">
        <w:t xml:space="preserve">ities and improve their operations.  </w:t>
      </w:r>
      <w:r w:rsidR="00D24D64">
        <w:rPr>
          <w:i/>
        </w:rPr>
        <w:t xml:space="preserve">See </w:t>
      </w:r>
      <w:r w:rsidR="00D24D64">
        <w:t xml:space="preserve">16 U.S.C. § 824s(b)(3). </w:t>
      </w:r>
    </w:p>
  </w:footnote>
  <w:footnote w:id="57">
    <w:p w14:paraId="5B480ADC" w14:textId="75410020" w:rsidR="004068ED" w:rsidRPr="00D464DC" w:rsidRDefault="004068ED">
      <w:pPr>
        <w:pStyle w:val="FootnoteText"/>
      </w:pPr>
      <w:r>
        <w:rPr>
          <w:rStyle w:val="FootnoteReference"/>
        </w:rPr>
        <w:footnoteRef/>
      </w:r>
      <w:r>
        <w:t xml:space="preserve"> NOPR,</w:t>
      </w:r>
      <w:r w:rsidR="00A23BDE" w:rsidRPr="00A23BDE">
        <w:t xml:space="preserve"> </w:t>
      </w:r>
      <w:r w:rsidR="00A23BDE" w:rsidRPr="00B41B82">
        <w:t>170 FERC ¶ 61,204</w:t>
      </w:r>
      <w:r>
        <w:t xml:space="preserve"> at PP 103, 105.</w:t>
      </w:r>
      <w:r w:rsidR="00D464DC">
        <w:t xml:space="preserve">  The Commission also proposes to offer regulatory asset treatment for transmission owners’ first foray into certain advanced technologies.  </w:t>
      </w:r>
      <w:r w:rsidR="00D464DC">
        <w:rPr>
          <w:i/>
        </w:rPr>
        <w:t xml:space="preserve">See id. </w:t>
      </w:r>
      <w:r w:rsidR="00D464DC">
        <w:t xml:space="preserve">at PP 108-109.  While potentially helpful and worth considering, this proposal is, like the ROE adder, unlikely to move the needle toward getting these technologies deployed.  </w:t>
      </w:r>
    </w:p>
  </w:footnote>
  <w:footnote w:id="58">
    <w:p w14:paraId="75D5928E" w14:textId="4E0170F4" w:rsidR="004068ED" w:rsidRPr="00F96F3C" w:rsidRDefault="004068ED" w:rsidP="00F96F3C">
      <w:pPr>
        <w:pStyle w:val="FootnoteText"/>
        <w:rPr>
          <w:i/>
        </w:rPr>
      </w:pPr>
      <w:r>
        <w:rPr>
          <w:rStyle w:val="FootnoteReference"/>
        </w:rPr>
        <w:footnoteRef/>
      </w:r>
      <w:r>
        <w:t xml:space="preserve"> </w:t>
      </w:r>
      <w:r w:rsidR="00D24D64">
        <w:rPr>
          <w:i/>
        </w:rPr>
        <w:t>See, e.g.</w:t>
      </w:r>
      <w:r w:rsidR="00D24D64">
        <w:t xml:space="preserve"> </w:t>
      </w:r>
      <w:r w:rsidR="00807B17">
        <w:t xml:space="preserve">WATT Coalition Comments at 4; </w:t>
      </w:r>
      <w:r w:rsidR="00D464DC">
        <w:rPr>
          <w:i/>
        </w:rPr>
        <w:t xml:space="preserve">see also </w:t>
      </w:r>
      <w:r w:rsidR="0079017F" w:rsidRPr="000738F6">
        <w:rPr>
          <w:szCs w:val="26"/>
        </w:rPr>
        <w:t>Public Interest Organization</w:t>
      </w:r>
      <w:r w:rsidR="00A86822">
        <w:rPr>
          <w:szCs w:val="26"/>
        </w:rPr>
        <w:t>s</w:t>
      </w:r>
      <w:r w:rsidR="0079017F" w:rsidRPr="000738F6">
        <w:rPr>
          <w:szCs w:val="26"/>
        </w:rPr>
        <w:t xml:space="preserve"> Post-Conference Comments, Docket No. AD19-19-000</w:t>
      </w:r>
      <w:r w:rsidR="00D464DC">
        <w:rPr>
          <w:szCs w:val="26"/>
        </w:rPr>
        <w:t>, at 2</w:t>
      </w:r>
      <w:r w:rsidR="0079017F" w:rsidRPr="000738F6">
        <w:rPr>
          <w:szCs w:val="26"/>
        </w:rPr>
        <w:t xml:space="preserve"> (“[A] </w:t>
      </w:r>
      <w:r w:rsidR="0079017F" w:rsidRPr="00250752">
        <w:rPr>
          <w:szCs w:val="26"/>
        </w:rPr>
        <w:t xml:space="preserve">ROE adder is insufficient to incentivize the relatively low-cost capital investments that are typical of many </w:t>
      </w:r>
      <w:r w:rsidR="00D464DC">
        <w:rPr>
          <w:szCs w:val="26"/>
        </w:rPr>
        <w:t>[grid-enhancing technology</w:t>
      </w:r>
      <w:r w:rsidR="00A86822">
        <w:rPr>
          <w:szCs w:val="26"/>
        </w:rPr>
        <w:t xml:space="preserve"> (GETs)</w:t>
      </w:r>
      <w:r w:rsidR="00D464DC">
        <w:rPr>
          <w:szCs w:val="26"/>
        </w:rPr>
        <w:t>]</w:t>
      </w:r>
      <w:r w:rsidR="0079017F" w:rsidRPr="00250752">
        <w:rPr>
          <w:szCs w:val="26"/>
        </w:rPr>
        <w:t xml:space="preserve"> projects.</w:t>
      </w:r>
      <w:r w:rsidR="00D464DC">
        <w:rPr>
          <w:szCs w:val="26"/>
        </w:rPr>
        <w:t xml:space="preserve"> </w:t>
      </w:r>
      <w:r w:rsidR="0079017F" w:rsidRPr="00250752">
        <w:rPr>
          <w:szCs w:val="26"/>
        </w:rPr>
        <w:t xml:space="preserve"> The returns to transmission owners are simply too low to be worthy of the time and effort to develop and implement GETs.”)</w:t>
      </w:r>
      <w:r w:rsidR="0079017F">
        <w:rPr>
          <w:szCs w:val="26"/>
        </w:rPr>
        <w:t xml:space="preserve">; </w:t>
      </w:r>
      <w:r w:rsidR="00883DE7" w:rsidRPr="00250752">
        <w:rPr>
          <w:szCs w:val="26"/>
        </w:rPr>
        <w:t>Smart Wires Post-Conference Comments, Docket No. AD19-19-000</w:t>
      </w:r>
      <w:r w:rsidR="00D464DC">
        <w:rPr>
          <w:szCs w:val="26"/>
        </w:rPr>
        <w:t>, at 2</w:t>
      </w:r>
      <w:r w:rsidR="00CE5600">
        <w:rPr>
          <w:szCs w:val="26"/>
        </w:rPr>
        <w:t xml:space="preserve"> </w:t>
      </w:r>
      <w:r w:rsidR="00883DE7" w:rsidRPr="00250752">
        <w:rPr>
          <w:szCs w:val="26"/>
        </w:rPr>
        <w:t xml:space="preserve">(“Traditional regulatory financial recovery mechanisms primarily reward transmission owners on the size of their capital investment. </w:t>
      </w:r>
      <w:r w:rsidR="00D464DC">
        <w:rPr>
          <w:szCs w:val="26"/>
        </w:rPr>
        <w:t xml:space="preserve"> </w:t>
      </w:r>
      <w:r w:rsidR="00883DE7" w:rsidRPr="00250752">
        <w:rPr>
          <w:szCs w:val="26"/>
        </w:rPr>
        <w:t xml:space="preserve">This exclusive cost-of-service </w:t>
      </w:r>
      <w:proofErr w:type="spellStart"/>
      <w:r w:rsidR="00883DE7" w:rsidRPr="00250752">
        <w:rPr>
          <w:szCs w:val="26"/>
        </w:rPr>
        <w:t>ratebase</w:t>
      </w:r>
      <w:proofErr w:type="spellEnd"/>
      <w:r w:rsidR="00883DE7" w:rsidRPr="00250752">
        <w:rPr>
          <w:szCs w:val="26"/>
        </w:rPr>
        <w:t xml:space="preserve"> approach to regulation in</w:t>
      </w:r>
      <w:r w:rsidR="00883DE7" w:rsidRPr="0079017F">
        <w:rPr>
          <w:szCs w:val="26"/>
        </w:rPr>
        <w:t xml:space="preserve">cludes no incentive to the transmission owner for improving system efficiency.”); </w:t>
      </w:r>
      <w:r w:rsidR="00D464DC" w:rsidRPr="00250752">
        <w:rPr>
          <w:szCs w:val="26"/>
        </w:rPr>
        <w:t>Smart Wires Post-Conference Comments, Docket No. AD19-19-000</w:t>
      </w:r>
      <w:r w:rsidR="00D464DC">
        <w:rPr>
          <w:szCs w:val="26"/>
        </w:rPr>
        <w:t>,</w:t>
      </w:r>
      <w:r w:rsidR="00883DE7" w:rsidRPr="0079017F">
        <w:rPr>
          <w:szCs w:val="26"/>
        </w:rPr>
        <w:t xml:space="preserve"> at </w:t>
      </w:r>
      <w:r w:rsidR="0079017F" w:rsidRPr="0079017F">
        <w:rPr>
          <w:szCs w:val="26"/>
        </w:rPr>
        <w:t>4 (“</w:t>
      </w:r>
      <w:r w:rsidR="0079017F" w:rsidRPr="00CE5600">
        <w:rPr>
          <w:szCs w:val="26"/>
        </w:rPr>
        <w:t xml:space="preserve">For projects with </w:t>
      </w:r>
      <w:r w:rsidR="00D464DC">
        <w:rPr>
          <w:szCs w:val="26"/>
        </w:rPr>
        <w:t>. . .</w:t>
      </w:r>
      <w:r w:rsidR="0079017F" w:rsidRPr="00CE5600">
        <w:rPr>
          <w:szCs w:val="26"/>
        </w:rPr>
        <w:t xml:space="preserve"> a relatively small capital requirement, an ROE adder approach is very challenging because the ROE required to make these projects comparably attractive to business-as-usual approaches is exceedingly high.”</w:t>
      </w:r>
      <w:r w:rsidR="0079017F">
        <w:rPr>
          <w:sz w:val="22"/>
          <w:szCs w:val="22"/>
        </w:rPr>
        <w:t>)</w:t>
      </w:r>
      <w:r w:rsidR="0079017F">
        <w:rPr>
          <w:szCs w:val="26"/>
        </w:rPr>
        <w:t>.</w:t>
      </w:r>
    </w:p>
  </w:footnote>
  <w:footnote w:id="59">
    <w:p w14:paraId="1D643C5C" w14:textId="77777777" w:rsidR="00807B17" w:rsidRPr="003135C1" w:rsidRDefault="00807B17">
      <w:pPr>
        <w:pStyle w:val="FootnoteText"/>
      </w:pPr>
      <w:r>
        <w:rPr>
          <w:rStyle w:val="FootnoteReference"/>
        </w:rPr>
        <w:footnoteRef/>
      </w:r>
      <w:r>
        <w:t xml:space="preserve"> </w:t>
      </w:r>
      <w:r>
        <w:rPr>
          <w:i/>
        </w:rPr>
        <w:t>See, e.g.</w:t>
      </w:r>
      <w:r>
        <w:t xml:space="preserve">, WATT Coalition Comments, Appendix D (white paper discussing sample deployment experiences and benefits of certain technologies).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856F" w14:textId="77777777" w:rsidR="004068ED" w:rsidRDefault="004068ED" w:rsidP="00D92C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1AFB6D5" w14:textId="77777777" w:rsidR="004068ED" w:rsidRDefault="004068ED" w:rsidP="00D92C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616F" w14:textId="77777777" w:rsidR="004068ED" w:rsidRDefault="004068ED" w:rsidP="0044414A">
    <w:pPr>
      <w:pStyle w:val="Header"/>
      <w:tabs>
        <w:tab w:val="clear" w:pos="4680"/>
      </w:tabs>
      <w:spacing w:after="240"/>
    </w:pPr>
    <w:r>
      <w:t>Docket No</w:t>
    </w:r>
    <w:r w:rsidRPr="0044414A">
      <w:t xml:space="preserve">. RM20-10-000 </w:t>
    </w:r>
    <w:r>
      <w:t xml:space="preserve">  </w:t>
    </w:r>
    <w:r>
      <w:tab/>
    </w:r>
    <w:r>
      <w:fldChar w:fldCharType="begin"/>
    </w:r>
    <w:r>
      <w:instrText xml:space="preserve"> PAGE  \* MERGEFORMAT </w:instrText>
    </w:r>
    <w:r>
      <w:fldChar w:fldCharType="separate"/>
    </w:r>
    <w:r w:rsidR="002766F3">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0006" w14:textId="77777777" w:rsidR="004068ED" w:rsidRDefault="004068E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F5EAA"/>
    <w:multiLevelType w:val="hybridMultilevel"/>
    <w:tmpl w:val="7B56F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15:restartNumberingAfterBreak="0">
    <w:nsid w:val="3CD21606"/>
    <w:multiLevelType w:val="hybridMultilevel"/>
    <w:tmpl w:val="2C981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A96286"/>
    <w:multiLevelType w:val="hybridMultilevel"/>
    <w:tmpl w:val="DAB04D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6502FF"/>
    <w:multiLevelType w:val="multilevel"/>
    <w:tmpl w:val="6DFE2D6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4431ABD"/>
    <w:multiLevelType w:val="hybridMultilevel"/>
    <w:tmpl w:val="BFD85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56AE1"/>
    <w:multiLevelType w:val="hybridMultilevel"/>
    <w:tmpl w:val="0754A2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534DF7"/>
    <w:multiLevelType w:val="hybridMultilevel"/>
    <w:tmpl w:val="7B56F1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4"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4"/>
  </w:num>
  <w:num w:numId="14">
    <w:abstractNumId w:val="23"/>
  </w:num>
  <w:num w:numId="15">
    <w:abstractNumId w:val="1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5"/>
  </w:num>
  <w:num w:numId="22">
    <w:abstractNumId w:val="22"/>
  </w:num>
  <w:num w:numId="23">
    <w:abstractNumId w:val="13"/>
  </w:num>
  <w:num w:numId="24">
    <w:abstractNumId w:val="17"/>
  </w:num>
  <w:num w:numId="25">
    <w:abstractNumId w:val="21"/>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4A"/>
    <w:rsid w:val="000002D6"/>
    <w:rsid w:val="00003340"/>
    <w:rsid w:val="0000731D"/>
    <w:rsid w:val="00007A5A"/>
    <w:rsid w:val="00007F14"/>
    <w:rsid w:val="00010102"/>
    <w:rsid w:val="00010FA6"/>
    <w:rsid w:val="000118C8"/>
    <w:rsid w:val="00013EBA"/>
    <w:rsid w:val="000143AA"/>
    <w:rsid w:val="000165CC"/>
    <w:rsid w:val="0002042F"/>
    <w:rsid w:val="00021186"/>
    <w:rsid w:val="00022A33"/>
    <w:rsid w:val="00026815"/>
    <w:rsid w:val="00026DD4"/>
    <w:rsid w:val="000401B9"/>
    <w:rsid w:val="000428C4"/>
    <w:rsid w:val="0004763F"/>
    <w:rsid w:val="000550DC"/>
    <w:rsid w:val="00055F5F"/>
    <w:rsid w:val="00060E33"/>
    <w:rsid w:val="0006117F"/>
    <w:rsid w:val="00070857"/>
    <w:rsid w:val="00070B18"/>
    <w:rsid w:val="000711F6"/>
    <w:rsid w:val="0007377C"/>
    <w:rsid w:val="00075B69"/>
    <w:rsid w:val="0007636C"/>
    <w:rsid w:val="0008478C"/>
    <w:rsid w:val="00084A31"/>
    <w:rsid w:val="0008555A"/>
    <w:rsid w:val="00086624"/>
    <w:rsid w:val="00086D98"/>
    <w:rsid w:val="0008778D"/>
    <w:rsid w:val="00092634"/>
    <w:rsid w:val="00097C05"/>
    <w:rsid w:val="000A3D2F"/>
    <w:rsid w:val="000A3D35"/>
    <w:rsid w:val="000A48AD"/>
    <w:rsid w:val="000A6835"/>
    <w:rsid w:val="000A7B0A"/>
    <w:rsid w:val="000B292F"/>
    <w:rsid w:val="000B4124"/>
    <w:rsid w:val="000B7E62"/>
    <w:rsid w:val="000C0253"/>
    <w:rsid w:val="000C1FCA"/>
    <w:rsid w:val="000D0EE6"/>
    <w:rsid w:val="000D1D4B"/>
    <w:rsid w:val="000D1FB6"/>
    <w:rsid w:val="000D2BDD"/>
    <w:rsid w:val="000D6921"/>
    <w:rsid w:val="000D6D79"/>
    <w:rsid w:val="000D72CF"/>
    <w:rsid w:val="000D739B"/>
    <w:rsid w:val="000D7DD4"/>
    <w:rsid w:val="000D7DD6"/>
    <w:rsid w:val="000D7E96"/>
    <w:rsid w:val="000E0857"/>
    <w:rsid w:val="000E13D1"/>
    <w:rsid w:val="000E2BFA"/>
    <w:rsid w:val="000E7703"/>
    <w:rsid w:val="000F0B6C"/>
    <w:rsid w:val="000F2DC1"/>
    <w:rsid w:val="000F372C"/>
    <w:rsid w:val="000F38E2"/>
    <w:rsid w:val="000F603B"/>
    <w:rsid w:val="000F6C7F"/>
    <w:rsid w:val="00100DEF"/>
    <w:rsid w:val="00100E1B"/>
    <w:rsid w:val="00101107"/>
    <w:rsid w:val="0010290F"/>
    <w:rsid w:val="00105843"/>
    <w:rsid w:val="00117DE5"/>
    <w:rsid w:val="00120603"/>
    <w:rsid w:val="001209EF"/>
    <w:rsid w:val="001235F1"/>
    <w:rsid w:val="00124C66"/>
    <w:rsid w:val="0012713F"/>
    <w:rsid w:val="00130CCE"/>
    <w:rsid w:val="00132D57"/>
    <w:rsid w:val="00134389"/>
    <w:rsid w:val="0013768E"/>
    <w:rsid w:val="001421AA"/>
    <w:rsid w:val="001451B8"/>
    <w:rsid w:val="00146A50"/>
    <w:rsid w:val="001520D4"/>
    <w:rsid w:val="001549DE"/>
    <w:rsid w:val="00154C7A"/>
    <w:rsid w:val="00156F06"/>
    <w:rsid w:val="0016110E"/>
    <w:rsid w:val="001642F7"/>
    <w:rsid w:val="001740BC"/>
    <w:rsid w:val="00175AD1"/>
    <w:rsid w:val="0017696A"/>
    <w:rsid w:val="0018758C"/>
    <w:rsid w:val="00190A75"/>
    <w:rsid w:val="00191617"/>
    <w:rsid w:val="0019292E"/>
    <w:rsid w:val="001960DD"/>
    <w:rsid w:val="001970F0"/>
    <w:rsid w:val="001A2641"/>
    <w:rsid w:val="001A2AF1"/>
    <w:rsid w:val="001A33D6"/>
    <w:rsid w:val="001A5017"/>
    <w:rsid w:val="001B042B"/>
    <w:rsid w:val="001B1FE9"/>
    <w:rsid w:val="001B2C6D"/>
    <w:rsid w:val="001B362D"/>
    <w:rsid w:val="001B4FB2"/>
    <w:rsid w:val="001C03D6"/>
    <w:rsid w:val="001C27EC"/>
    <w:rsid w:val="001C2FBB"/>
    <w:rsid w:val="001D264B"/>
    <w:rsid w:val="001D2CF3"/>
    <w:rsid w:val="001D3B0D"/>
    <w:rsid w:val="001D6B98"/>
    <w:rsid w:val="001D7927"/>
    <w:rsid w:val="001E59F9"/>
    <w:rsid w:val="001E6B4F"/>
    <w:rsid w:val="001F51A0"/>
    <w:rsid w:val="001F5CC6"/>
    <w:rsid w:val="00203911"/>
    <w:rsid w:val="002072CF"/>
    <w:rsid w:val="00211765"/>
    <w:rsid w:val="002136E7"/>
    <w:rsid w:val="0021717F"/>
    <w:rsid w:val="002206DB"/>
    <w:rsid w:val="00220B3A"/>
    <w:rsid w:val="00224859"/>
    <w:rsid w:val="00225A12"/>
    <w:rsid w:val="00230324"/>
    <w:rsid w:val="00234B97"/>
    <w:rsid w:val="002352B0"/>
    <w:rsid w:val="002354E4"/>
    <w:rsid w:val="00235659"/>
    <w:rsid w:val="00240493"/>
    <w:rsid w:val="0024151F"/>
    <w:rsid w:val="00250752"/>
    <w:rsid w:val="00252B37"/>
    <w:rsid w:val="00253219"/>
    <w:rsid w:val="00255417"/>
    <w:rsid w:val="00257989"/>
    <w:rsid w:val="00262FED"/>
    <w:rsid w:val="00267328"/>
    <w:rsid w:val="002766F3"/>
    <w:rsid w:val="00280CAF"/>
    <w:rsid w:val="002817CE"/>
    <w:rsid w:val="00283AA6"/>
    <w:rsid w:val="00290ABD"/>
    <w:rsid w:val="002A0B4A"/>
    <w:rsid w:val="002A279E"/>
    <w:rsid w:val="002A34C1"/>
    <w:rsid w:val="002A5C43"/>
    <w:rsid w:val="002A630D"/>
    <w:rsid w:val="002A6897"/>
    <w:rsid w:val="002A729E"/>
    <w:rsid w:val="002A7FB5"/>
    <w:rsid w:val="002B1A27"/>
    <w:rsid w:val="002B35F2"/>
    <w:rsid w:val="002B5483"/>
    <w:rsid w:val="002C57E5"/>
    <w:rsid w:val="002C5F7B"/>
    <w:rsid w:val="002C7704"/>
    <w:rsid w:val="002D206A"/>
    <w:rsid w:val="002D358E"/>
    <w:rsid w:val="002D3697"/>
    <w:rsid w:val="002D48C1"/>
    <w:rsid w:val="002D65B3"/>
    <w:rsid w:val="002D7D6B"/>
    <w:rsid w:val="002E4E8A"/>
    <w:rsid w:val="002F52A9"/>
    <w:rsid w:val="002F6FC0"/>
    <w:rsid w:val="00301509"/>
    <w:rsid w:val="00301D68"/>
    <w:rsid w:val="003031DA"/>
    <w:rsid w:val="00306DD3"/>
    <w:rsid w:val="003135C1"/>
    <w:rsid w:val="00313634"/>
    <w:rsid w:val="00316F35"/>
    <w:rsid w:val="00322F05"/>
    <w:rsid w:val="00324F79"/>
    <w:rsid w:val="00327401"/>
    <w:rsid w:val="00331CFE"/>
    <w:rsid w:val="003345D1"/>
    <w:rsid w:val="00335933"/>
    <w:rsid w:val="003437BD"/>
    <w:rsid w:val="00343D67"/>
    <w:rsid w:val="003478CF"/>
    <w:rsid w:val="00350E98"/>
    <w:rsid w:val="00350FC8"/>
    <w:rsid w:val="003520AD"/>
    <w:rsid w:val="00360AA1"/>
    <w:rsid w:val="00364E6F"/>
    <w:rsid w:val="0036500A"/>
    <w:rsid w:val="00372C81"/>
    <w:rsid w:val="00373EB3"/>
    <w:rsid w:val="00374532"/>
    <w:rsid w:val="00374868"/>
    <w:rsid w:val="00375DF4"/>
    <w:rsid w:val="003830CE"/>
    <w:rsid w:val="00385E2D"/>
    <w:rsid w:val="00387E0B"/>
    <w:rsid w:val="0039262E"/>
    <w:rsid w:val="003937F3"/>
    <w:rsid w:val="003972DF"/>
    <w:rsid w:val="003A15D6"/>
    <w:rsid w:val="003A5145"/>
    <w:rsid w:val="003A63AE"/>
    <w:rsid w:val="003B0F4F"/>
    <w:rsid w:val="003B2445"/>
    <w:rsid w:val="003B7F05"/>
    <w:rsid w:val="003C2AAE"/>
    <w:rsid w:val="003C3A1E"/>
    <w:rsid w:val="003C505B"/>
    <w:rsid w:val="003C71CF"/>
    <w:rsid w:val="003C789D"/>
    <w:rsid w:val="003D2FAC"/>
    <w:rsid w:val="003D5827"/>
    <w:rsid w:val="003E18E1"/>
    <w:rsid w:val="003E1917"/>
    <w:rsid w:val="003E259A"/>
    <w:rsid w:val="003E2908"/>
    <w:rsid w:val="003E5211"/>
    <w:rsid w:val="003E751E"/>
    <w:rsid w:val="003F07A6"/>
    <w:rsid w:val="003F31D2"/>
    <w:rsid w:val="003F3716"/>
    <w:rsid w:val="003F38B4"/>
    <w:rsid w:val="003F4845"/>
    <w:rsid w:val="003F4DBE"/>
    <w:rsid w:val="003F557E"/>
    <w:rsid w:val="003F715E"/>
    <w:rsid w:val="0040096E"/>
    <w:rsid w:val="00404E42"/>
    <w:rsid w:val="00405447"/>
    <w:rsid w:val="004067AD"/>
    <w:rsid w:val="004068ED"/>
    <w:rsid w:val="00411334"/>
    <w:rsid w:val="00413882"/>
    <w:rsid w:val="00414806"/>
    <w:rsid w:val="0042042A"/>
    <w:rsid w:val="00423314"/>
    <w:rsid w:val="00424B78"/>
    <w:rsid w:val="0042658A"/>
    <w:rsid w:val="00430DE1"/>
    <w:rsid w:val="00436A3E"/>
    <w:rsid w:val="004403BE"/>
    <w:rsid w:val="0044050D"/>
    <w:rsid w:val="00440D78"/>
    <w:rsid w:val="00441A2A"/>
    <w:rsid w:val="004420F6"/>
    <w:rsid w:val="00442CFD"/>
    <w:rsid w:val="0044359A"/>
    <w:rsid w:val="0044414A"/>
    <w:rsid w:val="00444F65"/>
    <w:rsid w:val="004476C6"/>
    <w:rsid w:val="0045130C"/>
    <w:rsid w:val="00451D1B"/>
    <w:rsid w:val="004528B3"/>
    <w:rsid w:val="00453578"/>
    <w:rsid w:val="00455214"/>
    <w:rsid w:val="0046133D"/>
    <w:rsid w:val="00472C9B"/>
    <w:rsid w:val="00473A5E"/>
    <w:rsid w:val="004758A9"/>
    <w:rsid w:val="00476FEB"/>
    <w:rsid w:val="00477399"/>
    <w:rsid w:val="0048020B"/>
    <w:rsid w:val="004864DA"/>
    <w:rsid w:val="004872BC"/>
    <w:rsid w:val="004874A4"/>
    <w:rsid w:val="00492E73"/>
    <w:rsid w:val="00494355"/>
    <w:rsid w:val="00494945"/>
    <w:rsid w:val="00495E07"/>
    <w:rsid w:val="00497F70"/>
    <w:rsid w:val="004A03E5"/>
    <w:rsid w:val="004A503D"/>
    <w:rsid w:val="004A56A4"/>
    <w:rsid w:val="004A7F37"/>
    <w:rsid w:val="004B338D"/>
    <w:rsid w:val="004B37D7"/>
    <w:rsid w:val="004B4A8D"/>
    <w:rsid w:val="004B7912"/>
    <w:rsid w:val="004C05FD"/>
    <w:rsid w:val="004C0623"/>
    <w:rsid w:val="004C0E28"/>
    <w:rsid w:val="004C190E"/>
    <w:rsid w:val="004C456B"/>
    <w:rsid w:val="004C4D5F"/>
    <w:rsid w:val="004D0E7B"/>
    <w:rsid w:val="004D2726"/>
    <w:rsid w:val="004D2D8B"/>
    <w:rsid w:val="004D35E8"/>
    <w:rsid w:val="004D614C"/>
    <w:rsid w:val="004E25A6"/>
    <w:rsid w:val="004E33A4"/>
    <w:rsid w:val="004E35FC"/>
    <w:rsid w:val="004F6112"/>
    <w:rsid w:val="005056D3"/>
    <w:rsid w:val="00513E14"/>
    <w:rsid w:val="005154C1"/>
    <w:rsid w:val="00521122"/>
    <w:rsid w:val="0052351B"/>
    <w:rsid w:val="00527B69"/>
    <w:rsid w:val="00531FF6"/>
    <w:rsid w:val="0053297A"/>
    <w:rsid w:val="00541146"/>
    <w:rsid w:val="00542814"/>
    <w:rsid w:val="00545CC2"/>
    <w:rsid w:val="00545F40"/>
    <w:rsid w:val="00546238"/>
    <w:rsid w:val="00547412"/>
    <w:rsid w:val="00547D3F"/>
    <w:rsid w:val="00552271"/>
    <w:rsid w:val="00552A11"/>
    <w:rsid w:val="00555A24"/>
    <w:rsid w:val="005577D9"/>
    <w:rsid w:val="00561472"/>
    <w:rsid w:val="00561DA8"/>
    <w:rsid w:val="00562CB2"/>
    <w:rsid w:val="00563F77"/>
    <w:rsid w:val="00571D6D"/>
    <w:rsid w:val="00572F46"/>
    <w:rsid w:val="00574A02"/>
    <w:rsid w:val="00575EA5"/>
    <w:rsid w:val="00576A54"/>
    <w:rsid w:val="00577DC6"/>
    <w:rsid w:val="005816F4"/>
    <w:rsid w:val="00585174"/>
    <w:rsid w:val="0058680A"/>
    <w:rsid w:val="0059038C"/>
    <w:rsid w:val="005921E2"/>
    <w:rsid w:val="00594952"/>
    <w:rsid w:val="00594E87"/>
    <w:rsid w:val="005950E5"/>
    <w:rsid w:val="00597309"/>
    <w:rsid w:val="005A4CD3"/>
    <w:rsid w:val="005A6F7C"/>
    <w:rsid w:val="005B18B2"/>
    <w:rsid w:val="005B40A6"/>
    <w:rsid w:val="005B52D0"/>
    <w:rsid w:val="005B7CFE"/>
    <w:rsid w:val="005C0180"/>
    <w:rsid w:val="005C01B7"/>
    <w:rsid w:val="005C09C3"/>
    <w:rsid w:val="005D2A79"/>
    <w:rsid w:val="005D3004"/>
    <w:rsid w:val="005D3D39"/>
    <w:rsid w:val="005D5989"/>
    <w:rsid w:val="005D787E"/>
    <w:rsid w:val="005D7C39"/>
    <w:rsid w:val="005E13DF"/>
    <w:rsid w:val="005E3D15"/>
    <w:rsid w:val="005E4C65"/>
    <w:rsid w:val="005F2946"/>
    <w:rsid w:val="005F34C6"/>
    <w:rsid w:val="005F42F8"/>
    <w:rsid w:val="005F4318"/>
    <w:rsid w:val="005F4F8E"/>
    <w:rsid w:val="005F54A4"/>
    <w:rsid w:val="005F5964"/>
    <w:rsid w:val="0060035F"/>
    <w:rsid w:val="006074E4"/>
    <w:rsid w:val="006112D1"/>
    <w:rsid w:val="006112FA"/>
    <w:rsid w:val="00620205"/>
    <w:rsid w:val="00622D42"/>
    <w:rsid w:val="00622F63"/>
    <w:rsid w:val="00623402"/>
    <w:rsid w:val="00624B34"/>
    <w:rsid w:val="00625A6C"/>
    <w:rsid w:val="00625B93"/>
    <w:rsid w:val="00627F29"/>
    <w:rsid w:val="00632B18"/>
    <w:rsid w:val="00633563"/>
    <w:rsid w:val="00633A91"/>
    <w:rsid w:val="00636271"/>
    <w:rsid w:val="00636CC4"/>
    <w:rsid w:val="00643C5A"/>
    <w:rsid w:val="006461C1"/>
    <w:rsid w:val="006502FA"/>
    <w:rsid w:val="00650B50"/>
    <w:rsid w:val="00655A79"/>
    <w:rsid w:val="00667B22"/>
    <w:rsid w:val="006710C1"/>
    <w:rsid w:val="0067304E"/>
    <w:rsid w:val="006745E5"/>
    <w:rsid w:val="00677A0E"/>
    <w:rsid w:val="00681181"/>
    <w:rsid w:val="00682099"/>
    <w:rsid w:val="00694F3D"/>
    <w:rsid w:val="006A18B6"/>
    <w:rsid w:val="006A1EDC"/>
    <w:rsid w:val="006A5670"/>
    <w:rsid w:val="006A5B0F"/>
    <w:rsid w:val="006A5ED6"/>
    <w:rsid w:val="006A5FF3"/>
    <w:rsid w:val="006B20EE"/>
    <w:rsid w:val="006B2E2E"/>
    <w:rsid w:val="006B4826"/>
    <w:rsid w:val="006B5B8D"/>
    <w:rsid w:val="006B5BFC"/>
    <w:rsid w:val="006C1614"/>
    <w:rsid w:val="006C1D8C"/>
    <w:rsid w:val="006C254A"/>
    <w:rsid w:val="006C44F0"/>
    <w:rsid w:val="006C51D5"/>
    <w:rsid w:val="006D238D"/>
    <w:rsid w:val="006D432E"/>
    <w:rsid w:val="006D48E6"/>
    <w:rsid w:val="006D5B0E"/>
    <w:rsid w:val="006D5D2A"/>
    <w:rsid w:val="006E4894"/>
    <w:rsid w:val="006E57D3"/>
    <w:rsid w:val="006E6044"/>
    <w:rsid w:val="006F0AFA"/>
    <w:rsid w:val="006F1B52"/>
    <w:rsid w:val="006F27A6"/>
    <w:rsid w:val="006F42DE"/>
    <w:rsid w:val="006F4BC9"/>
    <w:rsid w:val="00701B98"/>
    <w:rsid w:val="007022D1"/>
    <w:rsid w:val="00704B45"/>
    <w:rsid w:val="00705B33"/>
    <w:rsid w:val="00705EE8"/>
    <w:rsid w:val="0070615E"/>
    <w:rsid w:val="00706413"/>
    <w:rsid w:val="00710A58"/>
    <w:rsid w:val="007116AC"/>
    <w:rsid w:val="007124A2"/>
    <w:rsid w:val="007133ED"/>
    <w:rsid w:val="00715A50"/>
    <w:rsid w:val="007178E0"/>
    <w:rsid w:val="007230D6"/>
    <w:rsid w:val="00723E4B"/>
    <w:rsid w:val="00724553"/>
    <w:rsid w:val="0072563F"/>
    <w:rsid w:val="00727D2C"/>
    <w:rsid w:val="00730941"/>
    <w:rsid w:val="00730A9D"/>
    <w:rsid w:val="00732CFA"/>
    <w:rsid w:val="00732E2C"/>
    <w:rsid w:val="00734468"/>
    <w:rsid w:val="00734C8F"/>
    <w:rsid w:val="00735ECF"/>
    <w:rsid w:val="007368A2"/>
    <w:rsid w:val="00736DE9"/>
    <w:rsid w:val="00742439"/>
    <w:rsid w:val="00743A10"/>
    <w:rsid w:val="00743D74"/>
    <w:rsid w:val="007465A9"/>
    <w:rsid w:val="00750C19"/>
    <w:rsid w:val="0075419E"/>
    <w:rsid w:val="00754A0D"/>
    <w:rsid w:val="007552C1"/>
    <w:rsid w:val="007562E2"/>
    <w:rsid w:val="0075685E"/>
    <w:rsid w:val="007577C2"/>
    <w:rsid w:val="0076328E"/>
    <w:rsid w:val="0076561E"/>
    <w:rsid w:val="007661B0"/>
    <w:rsid w:val="00773353"/>
    <w:rsid w:val="00776C06"/>
    <w:rsid w:val="00780A45"/>
    <w:rsid w:val="00781095"/>
    <w:rsid w:val="00786497"/>
    <w:rsid w:val="007876E3"/>
    <w:rsid w:val="0079017F"/>
    <w:rsid w:val="007928AD"/>
    <w:rsid w:val="00792E9F"/>
    <w:rsid w:val="00794724"/>
    <w:rsid w:val="00794D29"/>
    <w:rsid w:val="007A0038"/>
    <w:rsid w:val="007A0174"/>
    <w:rsid w:val="007A0BB2"/>
    <w:rsid w:val="007A16D7"/>
    <w:rsid w:val="007A5131"/>
    <w:rsid w:val="007B4019"/>
    <w:rsid w:val="007B55D0"/>
    <w:rsid w:val="007B58EB"/>
    <w:rsid w:val="007B6E4E"/>
    <w:rsid w:val="007B71E9"/>
    <w:rsid w:val="007C1702"/>
    <w:rsid w:val="007C41D1"/>
    <w:rsid w:val="007C48C7"/>
    <w:rsid w:val="007C69D6"/>
    <w:rsid w:val="007D03A2"/>
    <w:rsid w:val="007D27EE"/>
    <w:rsid w:val="007D2CEB"/>
    <w:rsid w:val="007D32F4"/>
    <w:rsid w:val="007D34CF"/>
    <w:rsid w:val="007D3591"/>
    <w:rsid w:val="007D5D9E"/>
    <w:rsid w:val="007D6683"/>
    <w:rsid w:val="007E4EA0"/>
    <w:rsid w:val="007E6167"/>
    <w:rsid w:val="007E74C5"/>
    <w:rsid w:val="007F0E34"/>
    <w:rsid w:val="007F32C6"/>
    <w:rsid w:val="007F4B09"/>
    <w:rsid w:val="007F6368"/>
    <w:rsid w:val="007F7B7F"/>
    <w:rsid w:val="008043DE"/>
    <w:rsid w:val="0080498D"/>
    <w:rsid w:val="0080606A"/>
    <w:rsid w:val="008065F0"/>
    <w:rsid w:val="00807B17"/>
    <w:rsid w:val="00807C2F"/>
    <w:rsid w:val="008129C6"/>
    <w:rsid w:val="00812E0A"/>
    <w:rsid w:val="0081352B"/>
    <w:rsid w:val="00814514"/>
    <w:rsid w:val="00820474"/>
    <w:rsid w:val="00820B79"/>
    <w:rsid w:val="00822797"/>
    <w:rsid w:val="008237E2"/>
    <w:rsid w:val="008255E4"/>
    <w:rsid w:val="00827BAD"/>
    <w:rsid w:val="008309C9"/>
    <w:rsid w:val="00830BC7"/>
    <w:rsid w:val="008335E3"/>
    <w:rsid w:val="00834DCB"/>
    <w:rsid w:val="00835351"/>
    <w:rsid w:val="00835A71"/>
    <w:rsid w:val="00836673"/>
    <w:rsid w:val="00840C01"/>
    <w:rsid w:val="00840C42"/>
    <w:rsid w:val="0084167C"/>
    <w:rsid w:val="00842BD2"/>
    <w:rsid w:val="00844F10"/>
    <w:rsid w:val="00845186"/>
    <w:rsid w:val="00845419"/>
    <w:rsid w:val="00845BBC"/>
    <w:rsid w:val="00850048"/>
    <w:rsid w:val="0085103B"/>
    <w:rsid w:val="008513D8"/>
    <w:rsid w:val="008513DE"/>
    <w:rsid w:val="00852C25"/>
    <w:rsid w:val="008541B7"/>
    <w:rsid w:val="00855D43"/>
    <w:rsid w:val="008561D7"/>
    <w:rsid w:val="008608B9"/>
    <w:rsid w:val="00860B22"/>
    <w:rsid w:val="008636FC"/>
    <w:rsid w:val="00863DB6"/>
    <w:rsid w:val="00864506"/>
    <w:rsid w:val="00873BC6"/>
    <w:rsid w:val="00874FB1"/>
    <w:rsid w:val="008771F4"/>
    <w:rsid w:val="00880902"/>
    <w:rsid w:val="00881E3C"/>
    <w:rsid w:val="0088265F"/>
    <w:rsid w:val="00883DE7"/>
    <w:rsid w:val="00884CC2"/>
    <w:rsid w:val="0088740E"/>
    <w:rsid w:val="00892A4E"/>
    <w:rsid w:val="00894A27"/>
    <w:rsid w:val="008962C7"/>
    <w:rsid w:val="00896A4C"/>
    <w:rsid w:val="0089797F"/>
    <w:rsid w:val="008A11B0"/>
    <w:rsid w:val="008A23C9"/>
    <w:rsid w:val="008A39F8"/>
    <w:rsid w:val="008A3A1B"/>
    <w:rsid w:val="008A621D"/>
    <w:rsid w:val="008A6946"/>
    <w:rsid w:val="008B0B3A"/>
    <w:rsid w:val="008B0C58"/>
    <w:rsid w:val="008B32A9"/>
    <w:rsid w:val="008B5ECB"/>
    <w:rsid w:val="008B5F17"/>
    <w:rsid w:val="008B654D"/>
    <w:rsid w:val="008C0083"/>
    <w:rsid w:val="008C2EDB"/>
    <w:rsid w:val="008C6C9A"/>
    <w:rsid w:val="008C701E"/>
    <w:rsid w:val="008D1B64"/>
    <w:rsid w:val="008D2EC5"/>
    <w:rsid w:val="008D4162"/>
    <w:rsid w:val="008D4E54"/>
    <w:rsid w:val="008E51AF"/>
    <w:rsid w:val="008E548A"/>
    <w:rsid w:val="008E5F78"/>
    <w:rsid w:val="008E74A2"/>
    <w:rsid w:val="008F4B82"/>
    <w:rsid w:val="00904536"/>
    <w:rsid w:val="0090478A"/>
    <w:rsid w:val="009056D1"/>
    <w:rsid w:val="009102A7"/>
    <w:rsid w:val="00911D86"/>
    <w:rsid w:val="009144B5"/>
    <w:rsid w:val="009146F6"/>
    <w:rsid w:val="00915863"/>
    <w:rsid w:val="00916ED7"/>
    <w:rsid w:val="00917ABC"/>
    <w:rsid w:val="00921968"/>
    <w:rsid w:val="009261B5"/>
    <w:rsid w:val="00926E69"/>
    <w:rsid w:val="00930EF7"/>
    <w:rsid w:val="009317B8"/>
    <w:rsid w:val="009360D6"/>
    <w:rsid w:val="0094051B"/>
    <w:rsid w:val="00941336"/>
    <w:rsid w:val="00945CE4"/>
    <w:rsid w:val="00945E92"/>
    <w:rsid w:val="009466EE"/>
    <w:rsid w:val="00952093"/>
    <w:rsid w:val="009575E1"/>
    <w:rsid w:val="00960048"/>
    <w:rsid w:val="00960BC7"/>
    <w:rsid w:val="00962129"/>
    <w:rsid w:val="009632C9"/>
    <w:rsid w:val="00964625"/>
    <w:rsid w:val="009667EE"/>
    <w:rsid w:val="00966D87"/>
    <w:rsid w:val="0097316B"/>
    <w:rsid w:val="0097354A"/>
    <w:rsid w:val="00974FAA"/>
    <w:rsid w:val="00975F19"/>
    <w:rsid w:val="00977184"/>
    <w:rsid w:val="0097718F"/>
    <w:rsid w:val="009802C9"/>
    <w:rsid w:val="00984F05"/>
    <w:rsid w:val="00985ABF"/>
    <w:rsid w:val="00990A9E"/>
    <w:rsid w:val="009955C5"/>
    <w:rsid w:val="009967F2"/>
    <w:rsid w:val="00997790"/>
    <w:rsid w:val="009A66D0"/>
    <w:rsid w:val="009B01FC"/>
    <w:rsid w:val="009B1BFE"/>
    <w:rsid w:val="009B1F69"/>
    <w:rsid w:val="009B7367"/>
    <w:rsid w:val="009C244F"/>
    <w:rsid w:val="009C2F8A"/>
    <w:rsid w:val="009D3219"/>
    <w:rsid w:val="009E0EA2"/>
    <w:rsid w:val="009E11D2"/>
    <w:rsid w:val="009E214D"/>
    <w:rsid w:val="009E4841"/>
    <w:rsid w:val="009E7983"/>
    <w:rsid w:val="009F2E31"/>
    <w:rsid w:val="009F3F1F"/>
    <w:rsid w:val="009F4FB3"/>
    <w:rsid w:val="009F71D1"/>
    <w:rsid w:val="00A00DD6"/>
    <w:rsid w:val="00A01EFD"/>
    <w:rsid w:val="00A026DF"/>
    <w:rsid w:val="00A03A5F"/>
    <w:rsid w:val="00A04100"/>
    <w:rsid w:val="00A066DE"/>
    <w:rsid w:val="00A101DC"/>
    <w:rsid w:val="00A10B65"/>
    <w:rsid w:val="00A15581"/>
    <w:rsid w:val="00A1593F"/>
    <w:rsid w:val="00A15B57"/>
    <w:rsid w:val="00A2044A"/>
    <w:rsid w:val="00A23BDE"/>
    <w:rsid w:val="00A2536F"/>
    <w:rsid w:val="00A263F4"/>
    <w:rsid w:val="00A26AF6"/>
    <w:rsid w:val="00A30DB3"/>
    <w:rsid w:val="00A32C1D"/>
    <w:rsid w:val="00A344A6"/>
    <w:rsid w:val="00A35FDD"/>
    <w:rsid w:val="00A406DC"/>
    <w:rsid w:val="00A406E0"/>
    <w:rsid w:val="00A41119"/>
    <w:rsid w:val="00A4347E"/>
    <w:rsid w:val="00A4381E"/>
    <w:rsid w:val="00A43F67"/>
    <w:rsid w:val="00A4630E"/>
    <w:rsid w:val="00A4693A"/>
    <w:rsid w:val="00A47DE3"/>
    <w:rsid w:val="00A55A52"/>
    <w:rsid w:val="00A55DE0"/>
    <w:rsid w:val="00A57D42"/>
    <w:rsid w:val="00A60BBB"/>
    <w:rsid w:val="00A60C83"/>
    <w:rsid w:val="00A61A06"/>
    <w:rsid w:val="00A65F1E"/>
    <w:rsid w:val="00A739AD"/>
    <w:rsid w:val="00A7401F"/>
    <w:rsid w:val="00A747BF"/>
    <w:rsid w:val="00A83111"/>
    <w:rsid w:val="00A85982"/>
    <w:rsid w:val="00A86822"/>
    <w:rsid w:val="00A934C1"/>
    <w:rsid w:val="00A972FF"/>
    <w:rsid w:val="00AA22FC"/>
    <w:rsid w:val="00AA4FCA"/>
    <w:rsid w:val="00AB0683"/>
    <w:rsid w:val="00AB179B"/>
    <w:rsid w:val="00AB197C"/>
    <w:rsid w:val="00AB199E"/>
    <w:rsid w:val="00AB2DA9"/>
    <w:rsid w:val="00AB5052"/>
    <w:rsid w:val="00AB5560"/>
    <w:rsid w:val="00AC1900"/>
    <w:rsid w:val="00AC3981"/>
    <w:rsid w:val="00AC58FC"/>
    <w:rsid w:val="00AD48BE"/>
    <w:rsid w:val="00AD5E69"/>
    <w:rsid w:val="00AD7AA1"/>
    <w:rsid w:val="00AE7B86"/>
    <w:rsid w:val="00AF2305"/>
    <w:rsid w:val="00AF2A93"/>
    <w:rsid w:val="00AF46AA"/>
    <w:rsid w:val="00AF5D98"/>
    <w:rsid w:val="00AF7584"/>
    <w:rsid w:val="00B02B03"/>
    <w:rsid w:val="00B03A57"/>
    <w:rsid w:val="00B03FD1"/>
    <w:rsid w:val="00B044C6"/>
    <w:rsid w:val="00B0729F"/>
    <w:rsid w:val="00B11D19"/>
    <w:rsid w:val="00B11FF2"/>
    <w:rsid w:val="00B2222C"/>
    <w:rsid w:val="00B26221"/>
    <w:rsid w:val="00B27A34"/>
    <w:rsid w:val="00B32F69"/>
    <w:rsid w:val="00B34F63"/>
    <w:rsid w:val="00B35AB5"/>
    <w:rsid w:val="00B4012B"/>
    <w:rsid w:val="00B40EDB"/>
    <w:rsid w:val="00B41B82"/>
    <w:rsid w:val="00B43126"/>
    <w:rsid w:val="00B447CB"/>
    <w:rsid w:val="00B50D15"/>
    <w:rsid w:val="00B5275C"/>
    <w:rsid w:val="00B53A21"/>
    <w:rsid w:val="00B53B49"/>
    <w:rsid w:val="00B548FA"/>
    <w:rsid w:val="00B54A0A"/>
    <w:rsid w:val="00B54C91"/>
    <w:rsid w:val="00B56FF3"/>
    <w:rsid w:val="00B57AFD"/>
    <w:rsid w:val="00B57EA9"/>
    <w:rsid w:val="00B641F8"/>
    <w:rsid w:val="00B7228A"/>
    <w:rsid w:val="00B735A9"/>
    <w:rsid w:val="00B753F9"/>
    <w:rsid w:val="00B7662E"/>
    <w:rsid w:val="00B772E5"/>
    <w:rsid w:val="00B77514"/>
    <w:rsid w:val="00B813CB"/>
    <w:rsid w:val="00B82086"/>
    <w:rsid w:val="00B82A56"/>
    <w:rsid w:val="00B94193"/>
    <w:rsid w:val="00B975F3"/>
    <w:rsid w:val="00BA1D5A"/>
    <w:rsid w:val="00BA1E11"/>
    <w:rsid w:val="00BA3602"/>
    <w:rsid w:val="00BA7759"/>
    <w:rsid w:val="00BC21EE"/>
    <w:rsid w:val="00BC7377"/>
    <w:rsid w:val="00BD1415"/>
    <w:rsid w:val="00BD4653"/>
    <w:rsid w:val="00BD4EB9"/>
    <w:rsid w:val="00BD5B40"/>
    <w:rsid w:val="00BD6475"/>
    <w:rsid w:val="00BD7D87"/>
    <w:rsid w:val="00BD7E38"/>
    <w:rsid w:val="00BE2008"/>
    <w:rsid w:val="00BE2499"/>
    <w:rsid w:val="00BE5030"/>
    <w:rsid w:val="00BE5FC7"/>
    <w:rsid w:val="00BE6721"/>
    <w:rsid w:val="00BF016F"/>
    <w:rsid w:val="00BF0271"/>
    <w:rsid w:val="00BF06DD"/>
    <w:rsid w:val="00BF0995"/>
    <w:rsid w:val="00BF12C4"/>
    <w:rsid w:val="00BF5E81"/>
    <w:rsid w:val="00BF65CA"/>
    <w:rsid w:val="00C00EC1"/>
    <w:rsid w:val="00C01123"/>
    <w:rsid w:val="00C1110D"/>
    <w:rsid w:val="00C127B1"/>
    <w:rsid w:val="00C15E87"/>
    <w:rsid w:val="00C175D0"/>
    <w:rsid w:val="00C2096B"/>
    <w:rsid w:val="00C21A8D"/>
    <w:rsid w:val="00C21E2C"/>
    <w:rsid w:val="00C22D8B"/>
    <w:rsid w:val="00C24DB0"/>
    <w:rsid w:val="00C26B1C"/>
    <w:rsid w:val="00C325D6"/>
    <w:rsid w:val="00C32A56"/>
    <w:rsid w:val="00C33747"/>
    <w:rsid w:val="00C3426D"/>
    <w:rsid w:val="00C350EC"/>
    <w:rsid w:val="00C37241"/>
    <w:rsid w:val="00C41752"/>
    <w:rsid w:val="00C42740"/>
    <w:rsid w:val="00C44ADA"/>
    <w:rsid w:val="00C44D24"/>
    <w:rsid w:val="00C46060"/>
    <w:rsid w:val="00C50711"/>
    <w:rsid w:val="00C523C6"/>
    <w:rsid w:val="00C525BA"/>
    <w:rsid w:val="00C53065"/>
    <w:rsid w:val="00C54204"/>
    <w:rsid w:val="00C555F7"/>
    <w:rsid w:val="00C60863"/>
    <w:rsid w:val="00C6285D"/>
    <w:rsid w:val="00C639E3"/>
    <w:rsid w:val="00C65273"/>
    <w:rsid w:val="00C70563"/>
    <w:rsid w:val="00C71292"/>
    <w:rsid w:val="00C71484"/>
    <w:rsid w:val="00C716CA"/>
    <w:rsid w:val="00C735A7"/>
    <w:rsid w:val="00C80F1B"/>
    <w:rsid w:val="00C81360"/>
    <w:rsid w:val="00C82B8E"/>
    <w:rsid w:val="00C8566F"/>
    <w:rsid w:val="00C87C43"/>
    <w:rsid w:val="00C90072"/>
    <w:rsid w:val="00C96F78"/>
    <w:rsid w:val="00C979D0"/>
    <w:rsid w:val="00CA2A01"/>
    <w:rsid w:val="00CA410E"/>
    <w:rsid w:val="00CA447E"/>
    <w:rsid w:val="00CB0CDF"/>
    <w:rsid w:val="00CB0FE7"/>
    <w:rsid w:val="00CB528D"/>
    <w:rsid w:val="00CC421B"/>
    <w:rsid w:val="00CC6255"/>
    <w:rsid w:val="00CE10BD"/>
    <w:rsid w:val="00CE1F17"/>
    <w:rsid w:val="00CE5600"/>
    <w:rsid w:val="00CE7F13"/>
    <w:rsid w:val="00CF0A39"/>
    <w:rsid w:val="00CF3FB2"/>
    <w:rsid w:val="00D004BE"/>
    <w:rsid w:val="00D00DBC"/>
    <w:rsid w:val="00D03586"/>
    <w:rsid w:val="00D05726"/>
    <w:rsid w:val="00D06C24"/>
    <w:rsid w:val="00D075C6"/>
    <w:rsid w:val="00D07CC4"/>
    <w:rsid w:val="00D126A2"/>
    <w:rsid w:val="00D137FB"/>
    <w:rsid w:val="00D140F7"/>
    <w:rsid w:val="00D14FB9"/>
    <w:rsid w:val="00D213E9"/>
    <w:rsid w:val="00D21F17"/>
    <w:rsid w:val="00D24D64"/>
    <w:rsid w:val="00D30E72"/>
    <w:rsid w:val="00D37F45"/>
    <w:rsid w:val="00D46107"/>
    <w:rsid w:val="00D46285"/>
    <w:rsid w:val="00D464C7"/>
    <w:rsid w:val="00D464DC"/>
    <w:rsid w:val="00D47025"/>
    <w:rsid w:val="00D50854"/>
    <w:rsid w:val="00D53164"/>
    <w:rsid w:val="00D54158"/>
    <w:rsid w:val="00D60DAA"/>
    <w:rsid w:val="00D63D53"/>
    <w:rsid w:val="00D6699E"/>
    <w:rsid w:val="00D6719C"/>
    <w:rsid w:val="00D67222"/>
    <w:rsid w:val="00D72181"/>
    <w:rsid w:val="00D7396F"/>
    <w:rsid w:val="00D76A33"/>
    <w:rsid w:val="00D81AF1"/>
    <w:rsid w:val="00D843D7"/>
    <w:rsid w:val="00D90345"/>
    <w:rsid w:val="00D92A4E"/>
    <w:rsid w:val="00D92C8E"/>
    <w:rsid w:val="00D94292"/>
    <w:rsid w:val="00D97D5E"/>
    <w:rsid w:val="00DA4017"/>
    <w:rsid w:val="00DA5B94"/>
    <w:rsid w:val="00DA62BA"/>
    <w:rsid w:val="00DA72DC"/>
    <w:rsid w:val="00DB03E3"/>
    <w:rsid w:val="00DB16ED"/>
    <w:rsid w:val="00DB2C37"/>
    <w:rsid w:val="00DB35AD"/>
    <w:rsid w:val="00DB3AAE"/>
    <w:rsid w:val="00DB5C55"/>
    <w:rsid w:val="00DB5C76"/>
    <w:rsid w:val="00DB7D69"/>
    <w:rsid w:val="00DC0500"/>
    <w:rsid w:val="00DD1675"/>
    <w:rsid w:val="00DD1854"/>
    <w:rsid w:val="00DD776A"/>
    <w:rsid w:val="00DE5264"/>
    <w:rsid w:val="00DE7144"/>
    <w:rsid w:val="00DF3569"/>
    <w:rsid w:val="00E105CB"/>
    <w:rsid w:val="00E216A6"/>
    <w:rsid w:val="00E264FA"/>
    <w:rsid w:val="00E2749E"/>
    <w:rsid w:val="00E33133"/>
    <w:rsid w:val="00E332F7"/>
    <w:rsid w:val="00E35B18"/>
    <w:rsid w:val="00E374E0"/>
    <w:rsid w:val="00E4302D"/>
    <w:rsid w:val="00E4446E"/>
    <w:rsid w:val="00E47430"/>
    <w:rsid w:val="00E4775F"/>
    <w:rsid w:val="00E523F8"/>
    <w:rsid w:val="00E5463E"/>
    <w:rsid w:val="00E60DFA"/>
    <w:rsid w:val="00E61AB1"/>
    <w:rsid w:val="00E6496C"/>
    <w:rsid w:val="00E814AC"/>
    <w:rsid w:val="00E81C52"/>
    <w:rsid w:val="00E87F29"/>
    <w:rsid w:val="00E917E1"/>
    <w:rsid w:val="00E9253B"/>
    <w:rsid w:val="00E92C22"/>
    <w:rsid w:val="00E92F00"/>
    <w:rsid w:val="00E9758C"/>
    <w:rsid w:val="00E97592"/>
    <w:rsid w:val="00EA35D6"/>
    <w:rsid w:val="00EA7477"/>
    <w:rsid w:val="00EB6DEE"/>
    <w:rsid w:val="00EC3F55"/>
    <w:rsid w:val="00ED0125"/>
    <w:rsid w:val="00ED181F"/>
    <w:rsid w:val="00EE79C9"/>
    <w:rsid w:val="00EF20B1"/>
    <w:rsid w:val="00EF5D80"/>
    <w:rsid w:val="00EF5FE6"/>
    <w:rsid w:val="00EF6E86"/>
    <w:rsid w:val="00F0000F"/>
    <w:rsid w:val="00F004E0"/>
    <w:rsid w:val="00F00AF7"/>
    <w:rsid w:val="00F01066"/>
    <w:rsid w:val="00F02C6C"/>
    <w:rsid w:val="00F033E6"/>
    <w:rsid w:val="00F03637"/>
    <w:rsid w:val="00F0669F"/>
    <w:rsid w:val="00F07694"/>
    <w:rsid w:val="00F07BDD"/>
    <w:rsid w:val="00F116FD"/>
    <w:rsid w:val="00F12472"/>
    <w:rsid w:val="00F12D19"/>
    <w:rsid w:val="00F1412A"/>
    <w:rsid w:val="00F1588F"/>
    <w:rsid w:val="00F171EE"/>
    <w:rsid w:val="00F315C8"/>
    <w:rsid w:val="00F3385A"/>
    <w:rsid w:val="00F36E4A"/>
    <w:rsid w:val="00F41BE0"/>
    <w:rsid w:val="00F42328"/>
    <w:rsid w:val="00F42671"/>
    <w:rsid w:val="00F43662"/>
    <w:rsid w:val="00F442EC"/>
    <w:rsid w:val="00F44937"/>
    <w:rsid w:val="00F53C10"/>
    <w:rsid w:val="00F54657"/>
    <w:rsid w:val="00F56DC0"/>
    <w:rsid w:val="00F60452"/>
    <w:rsid w:val="00F612C8"/>
    <w:rsid w:val="00F658AC"/>
    <w:rsid w:val="00F6633A"/>
    <w:rsid w:val="00F66FE7"/>
    <w:rsid w:val="00F71008"/>
    <w:rsid w:val="00F73B06"/>
    <w:rsid w:val="00F73D74"/>
    <w:rsid w:val="00F75823"/>
    <w:rsid w:val="00F81978"/>
    <w:rsid w:val="00F84A29"/>
    <w:rsid w:val="00F90AFA"/>
    <w:rsid w:val="00F90F1F"/>
    <w:rsid w:val="00F913C1"/>
    <w:rsid w:val="00F9439C"/>
    <w:rsid w:val="00F96F3C"/>
    <w:rsid w:val="00FA5C6D"/>
    <w:rsid w:val="00FA723C"/>
    <w:rsid w:val="00FA72A2"/>
    <w:rsid w:val="00FB48D4"/>
    <w:rsid w:val="00FB65C9"/>
    <w:rsid w:val="00FC0871"/>
    <w:rsid w:val="00FC0EAE"/>
    <w:rsid w:val="00FC13CF"/>
    <w:rsid w:val="00FC1D17"/>
    <w:rsid w:val="00FC2012"/>
    <w:rsid w:val="00FD4046"/>
    <w:rsid w:val="00FD66A9"/>
    <w:rsid w:val="00FD6B54"/>
    <w:rsid w:val="00FE57C2"/>
    <w:rsid w:val="00FF1E93"/>
    <w:rsid w:val="00FF41BA"/>
    <w:rsid w:val="00FF4E89"/>
    <w:rsid w:val="00FF60E9"/>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B3027"/>
  <w15:chartTrackingRefBased/>
  <w15:docId w15:val="{E101E66C-BA53-46A4-980A-1439E854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44414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44414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44414A"/>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44414A"/>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44414A"/>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44414A"/>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44414A"/>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44414A"/>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44414A"/>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after="240"/>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5921E2"/>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5921E2"/>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iPriority w:val="99"/>
    <w:semiHidden/>
    <w:unhideWhenUsed/>
    <w:rsid w:val="0044414A"/>
    <w:pPr>
      <w:spacing w:after="260"/>
      <w:ind w:firstLine="720"/>
    </w:pPr>
    <w:rPr>
      <w:szCs w:val="20"/>
    </w:rPr>
  </w:style>
  <w:style w:type="character" w:customStyle="1" w:styleId="FootnoteTextChar">
    <w:name w:val="Footnote Text Char"/>
    <w:basedOn w:val="DefaultParagraphFont"/>
    <w:link w:val="FootnoteText"/>
    <w:uiPriority w:val="99"/>
    <w:semiHidden/>
    <w:rsid w:val="0044414A"/>
    <w:rPr>
      <w:rFonts w:ascii="Times New Roman" w:hAnsi="Times New Roman" w:cs="Times New Roman"/>
      <w:sz w:val="26"/>
      <w:szCs w:val="20"/>
    </w:rPr>
  </w:style>
  <w:style w:type="character" w:styleId="FootnoteReference">
    <w:name w:val="footnote reference"/>
    <w:basedOn w:val="DefaultParagraphFont"/>
    <w:uiPriority w:val="99"/>
    <w:semiHidden/>
    <w:unhideWhenUsed/>
    <w:qFormat/>
    <w:rsid w:val="0044414A"/>
    <w:rPr>
      <w:rFonts w:ascii="Times New Roman" w:hAnsi="Times New Roman" w:cs="Times New Roman"/>
      <w:b/>
      <w:sz w:val="26"/>
      <w:vertAlign w:val="superscript"/>
    </w:rPr>
  </w:style>
  <w:style w:type="character" w:styleId="PlaceholderText">
    <w:name w:val="Placeholder Text"/>
    <w:basedOn w:val="DefaultParagraphFont"/>
    <w:uiPriority w:val="99"/>
    <w:semiHidden/>
    <w:rsid w:val="00636CC4"/>
    <w:rPr>
      <w:color w:val="808080"/>
    </w:rPr>
  </w:style>
  <w:style w:type="character" w:styleId="CommentReference">
    <w:name w:val="annotation reference"/>
    <w:basedOn w:val="DefaultParagraphFont"/>
    <w:uiPriority w:val="99"/>
    <w:semiHidden/>
    <w:unhideWhenUsed/>
    <w:rsid w:val="00D464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69852">
      <w:bodyDiv w:val="1"/>
      <w:marLeft w:val="0"/>
      <w:marRight w:val="0"/>
      <w:marTop w:val="0"/>
      <w:marBottom w:val="0"/>
      <w:divBdr>
        <w:top w:val="none" w:sz="0" w:space="0" w:color="auto"/>
        <w:left w:val="none" w:sz="0" w:space="0" w:color="auto"/>
        <w:bottom w:val="none" w:sz="0" w:space="0" w:color="auto"/>
        <w:right w:val="none" w:sz="0" w:space="0" w:color="auto"/>
      </w:divBdr>
    </w:div>
    <w:div w:id="583997529">
      <w:bodyDiv w:val="1"/>
      <w:marLeft w:val="0"/>
      <w:marRight w:val="0"/>
      <w:marTop w:val="0"/>
      <w:marBottom w:val="0"/>
      <w:divBdr>
        <w:top w:val="none" w:sz="0" w:space="0" w:color="auto"/>
        <w:left w:val="none" w:sz="0" w:space="0" w:color="auto"/>
        <w:bottom w:val="none" w:sz="0" w:space="0" w:color="auto"/>
        <w:right w:val="none" w:sz="0" w:space="0" w:color="auto"/>
      </w:divBdr>
    </w:div>
    <w:div w:id="1163276074">
      <w:bodyDiv w:val="1"/>
      <w:marLeft w:val="0"/>
      <w:marRight w:val="0"/>
      <w:marTop w:val="0"/>
      <w:marBottom w:val="0"/>
      <w:divBdr>
        <w:top w:val="none" w:sz="0" w:space="0" w:color="auto"/>
        <w:left w:val="none" w:sz="0" w:space="0" w:color="auto"/>
        <w:bottom w:val="none" w:sz="0" w:space="0" w:color="auto"/>
        <w:right w:val="none" w:sz="0" w:space="0" w:color="auto"/>
      </w:divBdr>
    </w:div>
    <w:div w:id="1295482494">
      <w:bodyDiv w:val="1"/>
      <w:marLeft w:val="0"/>
      <w:marRight w:val="0"/>
      <w:marTop w:val="0"/>
      <w:marBottom w:val="0"/>
      <w:divBdr>
        <w:top w:val="none" w:sz="0" w:space="0" w:color="auto"/>
        <w:left w:val="none" w:sz="0" w:space="0" w:color="auto"/>
        <w:bottom w:val="none" w:sz="0" w:space="0" w:color="auto"/>
        <w:right w:val="none" w:sz="0" w:space="0" w:color="auto"/>
      </w:divBdr>
    </w:div>
    <w:div w:id="1396970649">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756897254">
      <w:bodyDiv w:val="1"/>
      <w:marLeft w:val="0"/>
      <w:marRight w:val="0"/>
      <w:marTop w:val="0"/>
      <w:marBottom w:val="0"/>
      <w:divBdr>
        <w:top w:val="none" w:sz="0" w:space="0" w:color="auto"/>
        <w:left w:val="none" w:sz="0" w:space="0" w:color="auto"/>
        <w:bottom w:val="none" w:sz="0" w:space="0" w:color="auto"/>
        <w:right w:val="none" w:sz="0" w:space="0" w:color="auto"/>
      </w:divBdr>
    </w:div>
    <w:div w:id="1784763961">
      <w:bodyDiv w:val="1"/>
      <w:marLeft w:val="0"/>
      <w:marRight w:val="0"/>
      <w:marTop w:val="0"/>
      <w:marBottom w:val="0"/>
      <w:divBdr>
        <w:top w:val="none" w:sz="0" w:space="0" w:color="auto"/>
        <w:left w:val="none" w:sz="0" w:space="0" w:color="auto"/>
        <w:bottom w:val="none" w:sz="0" w:space="0" w:color="auto"/>
        <w:right w:val="none" w:sz="0" w:space="0" w:color="auto"/>
      </w:divBdr>
    </w:div>
    <w:div w:id="18314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cgc145\Documents\Custom%20Office%20Templates\Commissioner%20II.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load">
  <ribbon>
    <tabs>
      <tab id="TabFerc" label="Commissioner Template">
        <group id="customGroup1" label="Document Format Fixes">
          <button id="btnFormat" label="Format" imageMso="HappyFace" onAction="Comm_Ribbon.Order_Execute"/>
          <button id="btnPNumber" label="Numbered Paragraph" imageMso="NumberingGalleryWord" screentip="Inserts a Paragraph Number at Current Location" onAction="Comm_Ribbon.Order_Execute"/>
          <button id="btnPRange" label="Paragraph Numbers for Text Range" imageMso="SelectContents" screentip="Converts a Block of Text to FERC Paragraph Numbers" onAction="Comm_Ribbon.Order_Execute"/>
        </group>
        <group id="customGroup2" label="Headings">
          <button id="btnHeading" label="Heading Levels" imageMso="ListSetNumberingValue" onAction="Comm_Ribbon.Order_Execute"/>
          <button id="btnHeading_Format" label="Heading Formats" imageMso="A" onAction="Comm_Ribbon.Order_Execute"/>
          <button id="btnTOCstyle" label="Fix TOC" imageMso="StylesDialogClassic" screentip="Correct Table of Contents Styles" onAction="Comm_Ribbon.Order_Execute"/>
          <button id="btnTOC" label="Table of Contents" imageMso="TableOfContentsDialog" size="large" onAction="Comm_Ribbon.Order_Execute"/>
        </group>
        <group id="customGroup3" label="Text Format">
          <button id="btnPaste" label="Paste Text" imageMso="Paste" onAction="Comm_Ribbon.Order_Execute"/>
          <button id="btnBlock" label="Block Indent" imageMso="ParagraphIndentRight" onAction="Comm_Ribbon.Order_Execute"/>
          <button id="btnDate" label="Date Picker" imageMso="ContentControlDate" onAction="Comm_Ribbon.Order_Execute"/>
        </group>
        <group id="customGroup4" label="Symbols">
          <button id="btnParagraph" label="Paragraph" imageMso="ParagraphMarks" onAction="Comm_Ribbon.Order_Execute"/>
          <button id="btnSection" label="Section" imageMso="Shadow" onAction="Comm_Ribbon.Order_Execute"/>
          <button id="btnDegree" label="Degree" imageMso="BrowseSelector" onAction="Comm_Ribbon.Order_Execute"/>
        </group>
        <group id="Checks" label="Checks">
          <button id="btnAcronym" label="Acronym Checker" imageMso="Spelling" screentip="Creates list of Acronyms in Document" onAction="Comm_Ribbon.Order_Execute"/>
          <button id="btnIdcheck" label="Id. Checker" imageMso="Grammar" screentip="Creates list of potential footnotes requiring Ids." onAction="Comm_Ribbon.Order_Execute"/>
          <button id="btncomma" label="Citation Fix" imageMso="CitationInsert" screentip="Removes italics from commas in citations and inserts hard spaces after ¶,§,and P" onAction="Comm_Ribbon.Order_Execute"/>
          <button id="btnComments" label="Print Comments" imageMso="ReviewNewComment" screentip="Creates a new document with comments" onAction="Comm_Ribbon.Order_Execute"/>
        </group>
        <group id="customGroup5" label="Apps" imageMso="ColorAqua">
          <box id="box" boxStyle="vertical">
            <!--
	<splitButton id="splitButton" size="large" >
	<button id="button" imageMso="EditIcon" label="Apps" />
	<menu id="menu">
-->
            <button id="btnFindPNum" label="Find Paragraph" imageMso="FindDialog" onAction="Comm_Ribbon.Order_Execute"/>
            <button id="btnupdate_fields" label="Updates Cross References" imageMso="FieldCodes" onAction="Comm_Ribbon.Order_Execute"/>
            <button id="btnhighlight" label="Removes Highlights" imageMso="TextHighlightColorPicker" screentip="Removes all highlighting from document, leaving text" onAction="Comm_Ribbon.Order_Execute"/>
            <button id="btnRemNames" label="Removes Names from Track Changes Markings" imageMso="Tracking" screentip="Removes individual names from track changes when the document is saved" onAction="Comm_Ribbon.Order_Execute"/>
            <button id="btnremove_comments" label="Removes Comments" imageMso="DeleteThisFolder" screentip="Removes all commenting in the document" onAction="Comm_Ribbon.Order_Execute"/>
            <button id="btnremove_fonts" label="Removes Redline and Strikeout Fonts" imageMso="FontColorCycle" screentip="Removes all text using strikeout font and changes redline to black font" onAction="Comm_Ribbon.Order_Execute"/>
            <button id="btnBlack" label="Fixes Blacked Out Numbers" imageMso="BlackAndWhiteBlack" screentip="Resets paragraph or style numbering if the numbering list is corrupted and the number is blacked out" onAction="Comm_Ribbon.Order_Execute"/>
            <!--
</menu>
</splitButton>
-->
          </box>
        </group>
      </tab>
      <!--
<tab id="CUI" label="CUI">
        <group id="CUI-1" label="CUI Removal">
<button id="btnCUI" label="Remove CUI//PRIV" imageMso="RemoveAttach" screentip="Removes CUI Privielge from Documents to be made Public" onAction="Order_Ribbon.Order_Execute"/>
</group>
      </tab>
-->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1637-41F5-4131-8B4E-220B7524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Commissioner II</Template>
  <TotalTime>2</TotalTime>
  <Pages>16</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RM20-10-000 Electric Transmission Incentives Policy Under Section 219 of the Federal Power Act</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RM20-10-000 Electric Transmission Incentives Policy Under Section 219 of the Federal Power Act</dc:title>
  <dc:subject/>
  <dc:creator>Matthew Christiansen</dc:creator>
  <cp:keywords/>
  <dc:description/>
  <cp:lastModifiedBy>Jean Sonneman</cp:lastModifiedBy>
  <cp:revision>2</cp:revision>
  <dcterms:created xsi:type="dcterms:W3CDTF">2020-04-03T15:55:00Z</dcterms:created>
  <dcterms:modified xsi:type="dcterms:W3CDTF">2020-04-03T15:55:00Z</dcterms:modified>
</cp:coreProperties>
</file>