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795B" w:rsidR="004613B7" w:rsidP="006D0E97" w:rsidRDefault="004613B7" w14:paraId="06312C2A" w14:textId="7D76F9A3">
      <w:pPr>
        <w:jc w:val="center"/>
        <w:rPr>
          <w:b/>
          <w:color w:val="000000"/>
        </w:rPr>
      </w:pPr>
      <w:r w:rsidRPr="0027795B">
        <w:rPr>
          <w:b/>
          <w:color w:val="000000"/>
        </w:rPr>
        <w:t>S</w:t>
      </w:r>
      <w:r w:rsidR="0027795B">
        <w:rPr>
          <w:b/>
          <w:color w:val="000000"/>
        </w:rPr>
        <w:t>UPPORTING STATEMENT</w:t>
      </w:r>
    </w:p>
    <w:p w:rsidRPr="0027795B" w:rsidR="00E617A3" w:rsidP="006D0E97" w:rsidRDefault="00E617A3" w14:paraId="2777F3D8" w14:textId="77777777">
      <w:pPr>
        <w:jc w:val="center"/>
        <w:rPr>
          <w:color w:val="000000"/>
        </w:rPr>
      </w:pPr>
      <w:r w:rsidRPr="0027795B">
        <w:rPr>
          <w:color w:val="000000"/>
        </w:rPr>
        <w:t>Internal Revenue Service</w:t>
      </w:r>
    </w:p>
    <w:p w:rsidRPr="0027795B" w:rsidR="00E617A3" w:rsidP="00EA39F3" w:rsidRDefault="00344A8F" w14:paraId="3FD25BDE" w14:textId="441B14E7">
      <w:pPr>
        <w:jc w:val="center"/>
        <w:rPr>
          <w:color w:val="000000"/>
        </w:rPr>
      </w:pPr>
      <w:r w:rsidRPr="0027795B">
        <w:t>Research Applied Analytics &amp; Statistics (RAAS)</w:t>
      </w:r>
      <w:r w:rsidRPr="0027795B" w:rsidR="00EA39F3">
        <w:rPr>
          <w:color w:val="000000"/>
        </w:rPr>
        <w:t xml:space="preserve"> </w:t>
      </w:r>
    </w:p>
    <w:p w:rsidRPr="0027795B" w:rsidR="00EA39F3" w:rsidP="00EA39F3" w:rsidRDefault="00EA39F3" w14:paraId="041B288C" w14:textId="77777777">
      <w:pPr>
        <w:jc w:val="center"/>
        <w:rPr>
          <w:color w:val="000000"/>
        </w:rPr>
      </w:pPr>
      <w:r w:rsidRPr="0027795B">
        <w:rPr>
          <w:color w:val="000000"/>
        </w:rPr>
        <w:t>Comprehensive Taxpayer Attitude Survey</w:t>
      </w:r>
    </w:p>
    <w:p w:rsidRPr="0027795B" w:rsidR="00E617A3" w:rsidP="00EA39F3" w:rsidRDefault="00E617A3" w14:paraId="20EF2E9F" w14:textId="5853DA3D">
      <w:pPr>
        <w:jc w:val="center"/>
        <w:rPr>
          <w:b/>
          <w:color w:val="000000"/>
        </w:rPr>
      </w:pPr>
      <w:r w:rsidRPr="0027795B">
        <w:rPr>
          <w:bCs/>
          <w:color w:val="000000"/>
        </w:rPr>
        <w:t>OMB #</w:t>
      </w:r>
      <w:r w:rsidRPr="0027795B">
        <w:rPr>
          <w:b/>
          <w:color w:val="000000"/>
        </w:rPr>
        <w:t>1545-2288</w:t>
      </w:r>
    </w:p>
    <w:p w:rsidRPr="0027795B" w:rsidR="00E31FDD" w:rsidP="00EA39F3" w:rsidRDefault="00E31FDD" w14:paraId="12DC403D" w14:textId="77777777">
      <w:pPr>
        <w:jc w:val="center"/>
        <w:rPr>
          <w:b/>
          <w:color w:val="000000"/>
        </w:rPr>
      </w:pPr>
    </w:p>
    <w:p w:rsidRPr="0027795B" w:rsidR="00E31FDD" w:rsidP="00EA39F3" w:rsidRDefault="00E31FDD" w14:paraId="269919A9" w14:textId="77777777">
      <w:pPr>
        <w:jc w:val="center"/>
        <w:rPr>
          <w:b/>
          <w:color w:val="000000"/>
        </w:rPr>
      </w:pPr>
    </w:p>
    <w:p w:rsidRPr="0027795B" w:rsidR="004613B7" w:rsidP="006D0E97" w:rsidRDefault="004613B7" w14:paraId="41A3884E" w14:textId="77777777">
      <w:pPr>
        <w:pStyle w:val="ListParagraph"/>
        <w:ind w:left="0"/>
        <w:rPr>
          <w:b/>
          <w:color w:val="000000"/>
        </w:rPr>
      </w:pPr>
    </w:p>
    <w:p w:rsidRPr="00F820CF" w:rsidR="00971609" w:rsidP="00971609" w:rsidRDefault="00971609" w14:paraId="5C523A37" w14:textId="77777777">
      <w:pPr>
        <w:pStyle w:val="Level1"/>
        <w:numPr>
          <w:ilvl w:val="0"/>
          <w:numId w:val="20"/>
        </w:numPr>
        <w:tabs>
          <w:tab w:val="left" w:pos="-1440"/>
        </w:tabs>
        <w:rPr>
          <w:rFonts w:ascii="Times New Roman" w:hAnsi="Times New Roman"/>
        </w:rPr>
      </w:pPr>
      <w:r w:rsidRPr="00F820CF">
        <w:rPr>
          <w:rFonts w:ascii="Times New Roman" w:hAnsi="Times New Roman"/>
          <w:u w:val="single"/>
        </w:rPr>
        <w:t>CIRCUMSTANCES NECESSITATING COLLECTION OF INFORMATION</w:t>
      </w:r>
    </w:p>
    <w:p w:rsidRPr="0027795B" w:rsidR="004613B7" w:rsidP="00971609" w:rsidRDefault="004613B7" w14:paraId="39B0F03A" w14:textId="149392FD">
      <w:pPr>
        <w:pStyle w:val="ListParagraph"/>
        <w:ind w:left="360"/>
        <w:rPr>
          <w:b/>
          <w:color w:val="000000"/>
        </w:rPr>
      </w:pPr>
    </w:p>
    <w:p w:rsidRPr="0027795B" w:rsidR="00D11B6D" w:rsidP="006063E3" w:rsidRDefault="00D11B6D" w14:paraId="53FCBD62" w14:textId="77777777">
      <w:pPr>
        <w:autoSpaceDE w:val="0"/>
        <w:autoSpaceDN w:val="0"/>
        <w:adjustRightInd w:val="0"/>
        <w:ind w:left="360"/>
        <w:rPr>
          <w:color w:val="000000"/>
        </w:rPr>
      </w:pPr>
      <w:r w:rsidRPr="0027795B">
        <w:rPr>
          <w:color w:val="000000"/>
        </w:rPr>
        <w:t xml:space="preserve">The Internal Revenue Service (IRS) </w:t>
      </w:r>
      <w:r w:rsidRPr="0027795B" w:rsidR="00260863">
        <w:rPr>
          <w:color w:val="000000"/>
        </w:rPr>
        <w:t xml:space="preserve">conducts the Comprehensive Taxpayer Attitude Survey as </w:t>
      </w:r>
      <w:r w:rsidRPr="0027795B">
        <w:rPr>
          <w:color w:val="000000"/>
        </w:rPr>
        <w:t>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Pr="0027795B" w:rsidR="00D11B6D" w:rsidP="006063E3" w:rsidRDefault="00D11B6D" w14:paraId="21FA2A0D" w14:textId="77777777">
      <w:pPr>
        <w:ind w:left="360"/>
      </w:pPr>
    </w:p>
    <w:p w:rsidRPr="0027795B" w:rsidR="004613B7" w:rsidP="006063E3" w:rsidRDefault="00260863" w14:paraId="152BF936" w14:textId="77777777">
      <w:pPr>
        <w:ind w:left="360"/>
      </w:pPr>
      <w:r w:rsidRPr="0027795B">
        <w:t xml:space="preserve">The IRS’ office of </w:t>
      </w:r>
      <w:r w:rsidRPr="0027795B" w:rsidR="00CE53B0">
        <w:t>R</w:t>
      </w:r>
      <w:r w:rsidRPr="0027795B" w:rsidR="00BF348E">
        <w:t xml:space="preserve">esearch </w:t>
      </w:r>
      <w:r w:rsidRPr="0027795B" w:rsidR="00BF246E">
        <w:t xml:space="preserve">Applied Analytics </w:t>
      </w:r>
      <w:r w:rsidRPr="0027795B" w:rsidR="00344A8F">
        <w:t xml:space="preserve">&amp; </w:t>
      </w:r>
      <w:r w:rsidRPr="0027795B" w:rsidR="00BF246E">
        <w:t>Statistics (R</w:t>
      </w:r>
      <w:r w:rsidRPr="0027795B" w:rsidR="00CE53B0">
        <w:t>AAS</w:t>
      </w:r>
      <w:r w:rsidRPr="0027795B" w:rsidR="00344A8F">
        <w:t>)</w:t>
      </w:r>
      <w:r w:rsidRPr="0027795B" w:rsidR="004613B7">
        <w:t xml:space="preserve"> </w:t>
      </w:r>
      <w:r w:rsidRPr="0027795B" w:rsidR="0010179F">
        <w:t xml:space="preserve">is sponsoring </w:t>
      </w:r>
      <w:r w:rsidRPr="0027795B" w:rsidR="004613B7">
        <w:t xml:space="preserve">this annual survey </w:t>
      </w:r>
      <w:r w:rsidRPr="0027795B" w:rsidR="0010179F">
        <w:t xml:space="preserve">(formerly conducted by the IRS Oversight Board) </w:t>
      </w:r>
      <w:r w:rsidRPr="0027795B" w:rsidR="004613B7">
        <w:t xml:space="preserve">with the objective of better understanding what influences taxpayers’ tax compliance, their opinions of the IRS, and their customer service </w:t>
      </w:r>
      <w:r w:rsidRPr="0027795B" w:rsidR="00DD462B">
        <w:t xml:space="preserve">preferences, </w:t>
      </w:r>
      <w:r w:rsidRPr="0027795B">
        <w:t xml:space="preserve">as well as </w:t>
      </w:r>
      <w:r w:rsidRPr="0027795B" w:rsidR="004613B7">
        <w:t>how these taxpayer views change over time.</w:t>
      </w:r>
    </w:p>
    <w:p w:rsidRPr="0027795B" w:rsidR="00E31FDD" w:rsidP="006063E3" w:rsidRDefault="00E31FDD" w14:paraId="530440D7" w14:textId="77777777">
      <w:pPr>
        <w:ind w:left="360"/>
      </w:pPr>
    </w:p>
    <w:p w:rsidRPr="0027795B" w:rsidR="00E31FDD" w:rsidP="004E47E1" w:rsidRDefault="00E617A3" w14:paraId="4024BAA0" w14:textId="36CFCA29">
      <w:pPr>
        <w:ind w:left="405"/>
      </w:pPr>
      <w:r w:rsidRPr="0027795B">
        <w:t>T</w:t>
      </w:r>
      <w:r w:rsidRPr="0027795B" w:rsidR="00260863">
        <w:t xml:space="preserve">he </w:t>
      </w:r>
      <w:r w:rsidRPr="0027795B" w:rsidR="00E31FDD">
        <w:t>20</w:t>
      </w:r>
      <w:r w:rsidRPr="0027795B" w:rsidR="00503D78">
        <w:t>20</w:t>
      </w:r>
      <w:r w:rsidRPr="0027795B" w:rsidR="00E31FDD">
        <w:t xml:space="preserve"> survey is planned to run from August 1, 20</w:t>
      </w:r>
      <w:r w:rsidRPr="0027795B" w:rsidR="00503D78">
        <w:t>20</w:t>
      </w:r>
      <w:r w:rsidRPr="0027795B" w:rsidR="00E31FDD">
        <w:t xml:space="preserve"> through </w:t>
      </w:r>
      <w:r w:rsidRPr="0027795B" w:rsidR="00032ADE">
        <w:t>September 30, 2020 and</w:t>
      </w:r>
      <w:r w:rsidRPr="0027795B" w:rsidR="00B76EF0">
        <w:t xml:space="preserve"> will</w:t>
      </w:r>
      <w:r w:rsidRPr="0027795B" w:rsidR="004E47E1">
        <w:t xml:space="preserve"> be conducted annually at the same time each year</w:t>
      </w:r>
      <w:r w:rsidRPr="0027795B" w:rsidR="00B76EF0">
        <w:t xml:space="preserve"> through 2023.</w:t>
      </w:r>
    </w:p>
    <w:p w:rsidRPr="0027795B" w:rsidR="00D11B6D" w:rsidP="006063E3" w:rsidRDefault="00D11B6D" w14:paraId="5C185E18" w14:textId="77777777">
      <w:pPr>
        <w:ind w:left="360"/>
      </w:pPr>
    </w:p>
    <w:p w:rsidRPr="00F820CF" w:rsidR="00971609" w:rsidP="00971609" w:rsidRDefault="00971609" w14:paraId="5450C06D" w14:textId="77777777">
      <w:pPr>
        <w:pStyle w:val="Level1"/>
        <w:numPr>
          <w:ilvl w:val="0"/>
          <w:numId w:val="20"/>
        </w:numPr>
        <w:tabs>
          <w:tab w:val="left" w:pos="-144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27795B" w:rsidR="004613B7" w:rsidP="00971609" w:rsidRDefault="004613B7" w14:paraId="2DDEB3FC" w14:textId="7C7AA356">
      <w:pPr>
        <w:pStyle w:val="ListParagraph"/>
        <w:ind w:left="360"/>
        <w:rPr>
          <w:b/>
        </w:rPr>
      </w:pPr>
    </w:p>
    <w:p w:rsidRPr="0027795B" w:rsidR="004613B7" w:rsidP="006063E3" w:rsidRDefault="004613B7" w14:paraId="53AB8849" w14:textId="1345096F">
      <w:pPr>
        <w:ind w:left="360"/>
      </w:pPr>
      <w:r w:rsidRPr="0027795B">
        <w:rPr>
          <w:snapToGrid w:val="0"/>
        </w:rPr>
        <w:t xml:space="preserve">The findings from this survey will </w:t>
      </w:r>
      <w:r w:rsidRPr="0027795B" w:rsidR="00480BD0">
        <w:rPr>
          <w:snapToGrid w:val="0"/>
        </w:rPr>
        <w:t xml:space="preserve">continue to </w:t>
      </w:r>
      <w:r w:rsidRPr="0027795B">
        <w:t xml:space="preserve">provide </w:t>
      </w:r>
      <w:r w:rsidRPr="0027795B" w:rsidR="00CE53B0">
        <w:t>RAAS</w:t>
      </w:r>
      <w:r w:rsidRPr="0027795B">
        <w:t xml:space="preserve"> </w:t>
      </w:r>
      <w:r w:rsidRPr="0027795B" w:rsidR="0010179F">
        <w:t xml:space="preserve">and IRS </w:t>
      </w:r>
      <w:r w:rsidRPr="0027795B">
        <w:t xml:space="preserve">with a </w:t>
      </w:r>
      <w:r w:rsidRPr="0027795B" w:rsidR="00BD7822">
        <w:t xml:space="preserve">clear and reliable </w:t>
      </w:r>
      <w:r w:rsidRPr="0027795B">
        <w:t xml:space="preserve">taxpayer context that aids </w:t>
      </w:r>
      <w:r w:rsidRPr="0027795B" w:rsidR="0010179F">
        <w:t xml:space="preserve">the Service </w:t>
      </w:r>
      <w:r w:rsidRPr="0027795B">
        <w:t xml:space="preserve">in </w:t>
      </w:r>
      <w:r w:rsidRPr="0027795B" w:rsidR="0010179F">
        <w:t xml:space="preserve">its </w:t>
      </w:r>
      <w:r w:rsidRPr="0027795B">
        <w:t xml:space="preserve">review of the performance of current IRS taxpayer service and enforcement programs designed to improve voluntary compliance; and in </w:t>
      </w:r>
      <w:r w:rsidRPr="0027795B" w:rsidR="0010179F">
        <w:t>the Service’s</w:t>
      </w:r>
      <w:r w:rsidRPr="0027795B">
        <w:t xml:space="preserve"> proposals for strategic performance measures</w:t>
      </w:r>
      <w:r w:rsidRPr="0027795B" w:rsidR="0010179F">
        <w:t>.</w:t>
      </w:r>
      <w:r w:rsidRPr="0027795B" w:rsidR="00004E55">
        <w:t xml:space="preserve">  The data being tracked includes measures on public attitude regarding cheating on taxes, payment of their fair share of taxes, trust in the IRS to fairly enforce tax laws, and factors that influence taxpayers to honestly report and pay taxes, as well as evaluating a large range of services provided by the IRS.  The results of this survey allow the IRS to determine the impact of its programs on public perception, as well as determine which services are most valued by the public and which services should be enhanced or de-emphasized given the limited IRS budget.  This will directly impact the public by improving their opportunities and avenues for interaction with the IRS.  </w:t>
      </w:r>
      <w:r w:rsidRPr="0027795B" w:rsidR="00F51447">
        <w:t>For transparency</w:t>
      </w:r>
      <w:r w:rsidRPr="0027795B" w:rsidR="002C7BBA">
        <w:t xml:space="preserve">, select aggregate results are published in the annual IRS Data Book and a </w:t>
      </w:r>
      <w:r w:rsidRPr="0027795B" w:rsidR="00F51447">
        <w:t>more</w:t>
      </w:r>
      <w:r w:rsidRPr="0027795B" w:rsidR="00480BD0">
        <w:t xml:space="preserve"> </w:t>
      </w:r>
      <w:r w:rsidRPr="0027795B" w:rsidR="00F51447">
        <w:t>detailed</w:t>
      </w:r>
      <w:r w:rsidRPr="0027795B" w:rsidR="002C7BBA">
        <w:t xml:space="preserve"> report</w:t>
      </w:r>
      <w:r w:rsidRPr="0027795B" w:rsidR="00F51447">
        <w:t xml:space="preserve"> of survey result</w:t>
      </w:r>
      <w:r w:rsidRPr="0027795B" w:rsidR="002C7BBA">
        <w:t xml:space="preserve"> is released on the IRS website. </w:t>
      </w:r>
    </w:p>
    <w:p w:rsidRPr="0027795B" w:rsidR="00FB3312" w:rsidP="006063E3" w:rsidRDefault="00FB3312" w14:paraId="76984C22" w14:textId="77777777">
      <w:pPr>
        <w:ind w:left="360"/>
      </w:pPr>
    </w:p>
    <w:p w:rsidRPr="0027795B" w:rsidR="004613B7" w:rsidP="006063E3" w:rsidRDefault="004613B7" w14:paraId="4BAD989B" w14:textId="77777777">
      <w:pPr>
        <w:ind w:left="360"/>
      </w:pPr>
    </w:p>
    <w:p w:rsidRPr="00975037" w:rsidR="00975037" w:rsidP="00971609" w:rsidRDefault="00971609" w14:paraId="67FF7B14" w14:textId="77777777">
      <w:pPr>
        <w:pStyle w:val="ListParagraph"/>
        <w:numPr>
          <w:ilvl w:val="0"/>
          <w:numId w:val="20"/>
        </w:numPr>
      </w:pPr>
      <w:r w:rsidRPr="00971609">
        <w:rPr>
          <w:u w:val="single"/>
        </w:rPr>
        <w:t>USE OF IMPROVED INFORMATION TECHNOLOGY TO REDUCE BURDEN</w:t>
      </w:r>
      <w:r w:rsidRPr="00971609">
        <w:rPr>
          <w:b/>
        </w:rPr>
        <w:t xml:space="preserve"> </w:t>
      </w:r>
    </w:p>
    <w:p w:rsidRPr="00975037" w:rsidR="00975037" w:rsidP="00975037" w:rsidRDefault="00975037" w14:paraId="56E1F4C0" w14:textId="77777777">
      <w:pPr>
        <w:pStyle w:val="ListParagraph"/>
        <w:ind w:left="360"/>
      </w:pPr>
    </w:p>
    <w:p w:rsidRPr="00971609" w:rsidR="00170491" w:rsidP="00975037" w:rsidRDefault="00170491" w14:paraId="4EE39CE4" w14:textId="4F219871">
      <w:pPr>
        <w:pStyle w:val="ListParagraph"/>
        <w:ind w:left="360"/>
      </w:pPr>
      <w:r w:rsidRPr="00971609">
        <w:t xml:space="preserve">In addition to using </w:t>
      </w:r>
      <w:r w:rsidRPr="00971609" w:rsidR="008E37BA">
        <w:t xml:space="preserve">a </w:t>
      </w:r>
      <w:r w:rsidRPr="00971609" w:rsidR="00722FE9">
        <w:t xml:space="preserve">combined </w:t>
      </w:r>
      <w:r w:rsidRPr="00971609">
        <w:t>landline and cell phone survey</w:t>
      </w:r>
      <w:r w:rsidRPr="00971609" w:rsidR="00BD7822">
        <w:t xml:space="preserve"> of 1,000</w:t>
      </w:r>
      <w:r w:rsidRPr="00971609" w:rsidR="00432BB7">
        <w:t xml:space="preserve"> individual</w:t>
      </w:r>
      <w:r w:rsidRPr="00971609" w:rsidR="00BD7822">
        <w:t xml:space="preserve"> respondents</w:t>
      </w:r>
      <w:r w:rsidRPr="00971609" w:rsidR="00E94CFF">
        <w:t xml:space="preserve">, </w:t>
      </w:r>
      <w:r w:rsidRPr="00971609" w:rsidR="0010179F">
        <w:t>the IRS</w:t>
      </w:r>
      <w:r w:rsidRPr="00971609" w:rsidR="00552984">
        <w:t xml:space="preserve"> will</w:t>
      </w:r>
      <w:r w:rsidRPr="00971609" w:rsidR="0010179F">
        <w:t xml:space="preserve"> </w:t>
      </w:r>
      <w:r w:rsidRPr="00971609" w:rsidR="00E94CFF">
        <w:t>conduct</w:t>
      </w:r>
      <w:r w:rsidRPr="00971609">
        <w:t xml:space="preserve"> </w:t>
      </w:r>
      <w:r w:rsidRPr="00971609" w:rsidR="008E37BA">
        <w:t>a</w:t>
      </w:r>
      <w:r w:rsidRPr="00971609" w:rsidR="00BD7822">
        <w:t xml:space="preserve"> concurrent</w:t>
      </w:r>
      <w:r w:rsidRPr="00971609" w:rsidR="008E37BA">
        <w:t xml:space="preserve"> </w:t>
      </w:r>
      <w:r w:rsidRPr="00971609">
        <w:t>online survey</w:t>
      </w:r>
      <w:r w:rsidRPr="00971609" w:rsidR="00BD7822">
        <w:t xml:space="preserve"> of 1,000 </w:t>
      </w:r>
      <w:r w:rsidRPr="00971609" w:rsidR="00432BB7">
        <w:t xml:space="preserve">individual </w:t>
      </w:r>
      <w:r w:rsidRPr="00971609" w:rsidR="00BD7822">
        <w:t>respondents</w:t>
      </w:r>
      <w:r w:rsidRPr="00971609">
        <w:t>.</w:t>
      </w:r>
      <w:r w:rsidRPr="00971609" w:rsidR="00E94CFF">
        <w:t xml:space="preserve"> </w:t>
      </w:r>
    </w:p>
    <w:p w:rsidRPr="0027795B" w:rsidR="00170491" w:rsidP="006063E3" w:rsidRDefault="00170491" w14:paraId="0D06AA87" w14:textId="77777777">
      <w:pPr>
        <w:pStyle w:val="BodyTextFirstIndent"/>
        <w:spacing w:after="0"/>
        <w:ind w:left="360" w:firstLine="0"/>
        <w:rPr>
          <w:szCs w:val="24"/>
        </w:rPr>
      </w:pPr>
    </w:p>
    <w:p w:rsidRPr="0027795B" w:rsidR="00170491" w:rsidP="006063E3" w:rsidRDefault="004613B7" w14:paraId="53C8AC66" w14:textId="77777777">
      <w:pPr>
        <w:pStyle w:val="BodyTextFirstIndent"/>
        <w:spacing w:after="0"/>
        <w:ind w:left="360" w:firstLine="0"/>
        <w:rPr>
          <w:szCs w:val="24"/>
        </w:rPr>
      </w:pPr>
      <w:r w:rsidRPr="0027795B">
        <w:rPr>
          <w:szCs w:val="24"/>
        </w:rPr>
        <w:t>All</w:t>
      </w:r>
      <w:r w:rsidRPr="0027795B" w:rsidR="00170491">
        <w:rPr>
          <w:szCs w:val="24"/>
        </w:rPr>
        <w:t xml:space="preserve"> phone</w:t>
      </w:r>
      <w:r w:rsidRPr="0027795B">
        <w:rPr>
          <w:szCs w:val="24"/>
        </w:rPr>
        <w:t xml:space="preserve"> interviews will be conducted using a Computer Assisted Telephone Interviewing (CATI) process. Interviewers will be professionally trained and continuously monitored and supervised. Telephone survey respondents, both male and female adults age 18 and older, </w:t>
      </w:r>
      <w:r w:rsidRPr="0027795B" w:rsidR="001F6360">
        <w:rPr>
          <w:szCs w:val="24"/>
        </w:rPr>
        <w:lastRenderedPageBreak/>
        <w:t>will</w:t>
      </w:r>
      <w:r w:rsidRPr="0027795B">
        <w:rPr>
          <w:szCs w:val="24"/>
        </w:rPr>
        <w:t xml:space="preserve"> be selected via a</w:t>
      </w:r>
      <w:r w:rsidRPr="0027795B" w:rsidR="007426AD">
        <w:rPr>
          <w:szCs w:val="24"/>
        </w:rPr>
        <w:t xml:space="preserve"> </w:t>
      </w:r>
      <w:r w:rsidRPr="0027795B" w:rsidR="00BD7822">
        <w:rPr>
          <w:szCs w:val="24"/>
        </w:rPr>
        <w:t xml:space="preserve">nationwide, dual frame blended </w:t>
      </w:r>
      <w:r w:rsidRPr="0027795B" w:rsidR="007426AD">
        <w:rPr>
          <w:szCs w:val="24"/>
        </w:rPr>
        <w:t>Ra</w:t>
      </w:r>
      <w:r w:rsidRPr="0027795B">
        <w:rPr>
          <w:szCs w:val="24"/>
        </w:rPr>
        <w:t>n</w:t>
      </w:r>
      <w:r w:rsidRPr="0027795B" w:rsidR="007426AD">
        <w:rPr>
          <w:szCs w:val="24"/>
        </w:rPr>
        <w:t>dom Digit Dialing (</w:t>
      </w:r>
      <w:r w:rsidRPr="0027795B">
        <w:rPr>
          <w:szCs w:val="24"/>
        </w:rPr>
        <w:t>RDD</w:t>
      </w:r>
      <w:r w:rsidRPr="0027795B" w:rsidR="007426AD">
        <w:rPr>
          <w:szCs w:val="24"/>
        </w:rPr>
        <w:t>)</w:t>
      </w:r>
      <w:r w:rsidRPr="0027795B">
        <w:rPr>
          <w:szCs w:val="24"/>
        </w:rPr>
        <w:t xml:space="preserve"> sample of all landline and cell phone telephone households in the continental United States. The RDD sampling system is computer</w:t>
      </w:r>
      <w:r w:rsidRPr="0027795B" w:rsidR="001F6360">
        <w:rPr>
          <w:szCs w:val="24"/>
        </w:rPr>
        <w:t>-</w:t>
      </w:r>
      <w:r w:rsidRPr="0027795B">
        <w:rPr>
          <w:szCs w:val="24"/>
        </w:rPr>
        <w:t xml:space="preserve">based and provides an equal probability of selection for every telephone household. The sample represents telephone </w:t>
      </w:r>
      <w:r w:rsidRPr="0027795B" w:rsidR="00776A9B">
        <w:rPr>
          <w:szCs w:val="24"/>
        </w:rPr>
        <w:t>households</w:t>
      </w:r>
      <w:r w:rsidRPr="0027795B">
        <w:rPr>
          <w:szCs w:val="24"/>
        </w:rPr>
        <w:t xml:space="preserve"> with both listed and unlisted phones in their proper proportions. </w:t>
      </w:r>
    </w:p>
    <w:p w:rsidRPr="0027795B" w:rsidR="008E37BA" w:rsidP="006063E3" w:rsidRDefault="008E37BA" w14:paraId="548A971A" w14:textId="77777777">
      <w:pPr>
        <w:pStyle w:val="BodyTextFirstIndent"/>
        <w:spacing w:after="0"/>
        <w:ind w:left="360" w:firstLine="0"/>
        <w:rPr>
          <w:szCs w:val="24"/>
        </w:rPr>
      </w:pPr>
    </w:p>
    <w:p w:rsidRPr="0027795B" w:rsidR="00170491" w:rsidP="006063E3" w:rsidRDefault="00170491" w14:paraId="63D39650" w14:textId="72698B30">
      <w:pPr>
        <w:pStyle w:val="BodyTextFirstIndent"/>
        <w:spacing w:after="0"/>
        <w:ind w:left="360" w:firstLine="0"/>
        <w:rPr>
          <w:szCs w:val="24"/>
        </w:rPr>
      </w:pPr>
      <w:r w:rsidRPr="0027795B">
        <w:rPr>
          <w:szCs w:val="24"/>
        </w:rPr>
        <w:t xml:space="preserve">All online interviews will be conducted using </w:t>
      </w:r>
      <w:r w:rsidRPr="0027795B" w:rsidR="005E3FA8">
        <w:rPr>
          <w:szCs w:val="24"/>
        </w:rPr>
        <w:t>an</w:t>
      </w:r>
      <w:r w:rsidRPr="0027795B" w:rsidR="008E37BA">
        <w:rPr>
          <w:szCs w:val="24"/>
        </w:rPr>
        <w:t xml:space="preserve"> online panel. </w:t>
      </w:r>
      <w:r w:rsidRPr="0027795B" w:rsidR="006E3869">
        <w:rPr>
          <w:szCs w:val="24"/>
        </w:rPr>
        <w:t xml:space="preserve">In advance, and totally independent of this </w:t>
      </w:r>
      <w:r w:rsidRPr="0027795B" w:rsidR="00D11B6D">
        <w:rPr>
          <w:szCs w:val="24"/>
        </w:rPr>
        <w:t>RAAS</w:t>
      </w:r>
      <w:r w:rsidRPr="0027795B" w:rsidR="006E3869">
        <w:rPr>
          <w:szCs w:val="24"/>
        </w:rPr>
        <w:t xml:space="preserve"> survey, participants have been recruited by the </w:t>
      </w:r>
      <w:r w:rsidRPr="0027795B" w:rsidR="005E3FA8">
        <w:rPr>
          <w:szCs w:val="24"/>
        </w:rPr>
        <w:t>vendor’s sub-</w:t>
      </w:r>
      <w:r w:rsidRPr="0027795B" w:rsidR="006E3869">
        <w:rPr>
          <w:szCs w:val="24"/>
        </w:rPr>
        <w:t xml:space="preserve">contractor and have voluntarily completed </w:t>
      </w:r>
      <w:r w:rsidRPr="0027795B" w:rsidR="008E37BA">
        <w:rPr>
          <w:szCs w:val="24"/>
        </w:rPr>
        <w:t>its</w:t>
      </w:r>
      <w:r w:rsidRPr="0027795B" w:rsidR="006E3869">
        <w:rPr>
          <w:szCs w:val="24"/>
        </w:rPr>
        <w:t xml:space="preserve"> online panel registration surveys and provided their e-mail addresses, names, and addresses to the contractor. </w:t>
      </w:r>
      <w:r w:rsidRPr="0027795B" w:rsidR="00552984">
        <w:rPr>
          <w:szCs w:val="24"/>
        </w:rPr>
        <w:t xml:space="preserve"> A</w:t>
      </w:r>
      <w:r w:rsidRPr="0027795B" w:rsidR="004E47E1">
        <w:rPr>
          <w:szCs w:val="24"/>
        </w:rPr>
        <w:t xml:space="preserve"> </w:t>
      </w:r>
      <w:r w:rsidRPr="0027795B" w:rsidR="006E3869">
        <w:rPr>
          <w:szCs w:val="24"/>
        </w:rPr>
        <w:t xml:space="preserve">subset of these registrants will be asked by the </w:t>
      </w:r>
      <w:r w:rsidRPr="0027795B" w:rsidR="005E3FA8">
        <w:rPr>
          <w:szCs w:val="24"/>
        </w:rPr>
        <w:t>sub-</w:t>
      </w:r>
      <w:r w:rsidRPr="0027795B" w:rsidR="006E3869">
        <w:rPr>
          <w:szCs w:val="24"/>
        </w:rPr>
        <w:t xml:space="preserve">contractor to participate in </w:t>
      </w:r>
      <w:r w:rsidRPr="0027795B" w:rsidR="00CE53B0">
        <w:rPr>
          <w:szCs w:val="24"/>
        </w:rPr>
        <w:t>RAAS</w:t>
      </w:r>
      <w:r w:rsidRPr="0027795B" w:rsidR="00542DD1">
        <w:rPr>
          <w:szCs w:val="24"/>
        </w:rPr>
        <w:t>’</w:t>
      </w:r>
      <w:r w:rsidRPr="0027795B" w:rsidR="006E3869">
        <w:rPr>
          <w:szCs w:val="24"/>
        </w:rPr>
        <w:t xml:space="preserve"> survey. That subset of potential online survey participants </w:t>
      </w:r>
      <w:r w:rsidRPr="0027795B" w:rsidR="008E37BA">
        <w:rPr>
          <w:szCs w:val="24"/>
        </w:rPr>
        <w:t>will be</w:t>
      </w:r>
      <w:r w:rsidRPr="0027795B" w:rsidR="006E3869">
        <w:rPr>
          <w:szCs w:val="24"/>
        </w:rPr>
        <w:t xml:space="preserve"> selected via </w:t>
      </w:r>
      <w:r w:rsidRPr="0027795B" w:rsidR="00557BA6">
        <w:rPr>
          <w:szCs w:val="24"/>
        </w:rPr>
        <w:t xml:space="preserve">a </w:t>
      </w:r>
      <w:r w:rsidRPr="0027795B" w:rsidR="006E3869">
        <w:rPr>
          <w:szCs w:val="24"/>
        </w:rPr>
        <w:t>probability-based sampling methodology designed to provide a statistically representative sample of U.S. adults.</w:t>
      </w:r>
    </w:p>
    <w:p w:rsidRPr="0027795B" w:rsidR="007426AD" w:rsidP="006063E3" w:rsidRDefault="007426AD" w14:paraId="473A5B0C" w14:textId="77777777">
      <w:pPr>
        <w:pStyle w:val="BodyTextFirstIndent"/>
        <w:spacing w:after="0"/>
        <w:ind w:left="360" w:firstLine="0"/>
        <w:rPr>
          <w:szCs w:val="24"/>
        </w:rPr>
      </w:pPr>
    </w:p>
    <w:p w:rsidRPr="0027795B" w:rsidR="007426AD" w:rsidP="006063E3" w:rsidRDefault="007426AD" w14:paraId="24C3A8FD" w14:textId="1CEB78E2">
      <w:pPr>
        <w:pStyle w:val="BodyTextFirstIndent"/>
        <w:spacing w:after="0"/>
        <w:ind w:left="360" w:firstLine="0"/>
        <w:rPr>
          <w:szCs w:val="24"/>
        </w:rPr>
      </w:pPr>
      <w:r w:rsidRPr="0027795B">
        <w:rPr>
          <w:szCs w:val="24"/>
        </w:rPr>
        <w:t xml:space="preserve">Fielding such a concurrent survey using an online panel and the same questions as those in the dual-frame RDD telephone survey will provide </w:t>
      </w:r>
      <w:r w:rsidRPr="0027795B" w:rsidR="00CE53B0">
        <w:rPr>
          <w:szCs w:val="24"/>
        </w:rPr>
        <w:t>RAAS</w:t>
      </w:r>
      <w:r w:rsidRPr="0027795B">
        <w:rPr>
          <w:szCs w:val="24"/>
        </w:rPr>
        <w:t xml:space="preserve"> valuable insight into a possible switch to a lower-cost online panel survey methodology for </w:t>
      </w:r>
      <w:r w:rsidRPr="0027795B" w:rsidR="0010179F">
        <w:rPr>
          <w:szCs w:val="24"/>
        </w:rPr>
        <w:t xml:space="preserve">this </w:t>
      </w:r>
      <w:r w:rsidRPr="0027795B">
        <w:rPr>
          <w:szCs w:val="24"/>
        </w:rPr>
        <w:t xml:space="preserve">annual survey in the future, while at the same time preserve the unique value of the historical time series data based on the RDD telephone survey methodology. Having comparative results from both survey methods will ensure </w:t>
      </w:r>
      <w:r w:rsidRPr="0027795B" w:rsidR="00CE53B0">
        <w:rPr>
          <w:szCs w:val="24"/>
        </w:rPr>
        <w:t>RAAS</w:t>
      </w:r>
      <w:r w:rsidRPr="0027795B">
        <w:rPr>
          <w:szCs w:val="24"/>
        </w:rPr>
        <w:t xml:space="preserve"> has a way to gauge any differences in the survey responses that are primarily attributable to the differing survey methodologies, versus those differences that reflect real changes in the respondents' views - providing a means for adjusting the historical time series data, if needed, so as to maintain the comparability/integrity of the prior historically recorded trends.</w:t>
      </w:r>
    </w:p>
    <w:p w:rsidRPr="0027795B" w:rsidR="009C2DC9" w:rsidP="006063E3" w:rsidRDefault="009C2DC9" w14:paraId="0136AC49" w14:textId="77777777">
      <w:pPr>
        <w:ind w:left="360"/>
      </w:pPr>
    </w:p>
    <w:p w:rsidRPr="00971609" w:rsidR="004613B7" w:rsidP="00971609" w:rsidRDefault="004613B7" w14:paraId="297C0CBE" w14:textId="5B66D82C">
      <w:pPr>
        <w:pStyle w:val="ListParagraph"/>
        <w:numPr>
          <w:ilvl w:val="0"/>
          <w:numId w:val="20"/>
        </w:numPr>
        <w:rPr>
          <w:b/>
        </w:rPr>
      </w:pPr>
      <w:r w:rsidRPr="00971609">
        <w:rPr>
          <w:b/>
        </w:rPr>
        <w:t xml:space="preserve"> </w:t>
      </w:r>
      <w:r w:rsidRPr="00971609" w:rsidR="00971609">
        <w:rPr>
          <w:u w:val="single"/>
        </w:rPr>
        <w:t>EFFORTS TO IDENTIFY DUPLICATION</w:t>
      </w:r>
    </w:p>
    <w:p w:rsidRPr="00971609" w:rsidR="00971609" w:rsidP="00971609" w:rsidRDefault="00971609" w14:paraId="137FE7F4" w14:textId="77777777">
      <w:pPr>
        <w:pStyle w:val="ListParagraph"/>
        <w:ind w:left="360"/>
        <w:rPr>
          <w:b/>
        </w:rPr>
      </w:pPr>
    </w:p>
    <w:p w:rsidR="00975037" w:rsidP="006063E3" w:rsidRDefault="00975037" w14:paraId="6EEA9F34" w14:textId="418AFBB9">
      <w:pPr>
        <w:pStyle w:val="Heading1"/>
        <w:ind w:left="405"/>
        <w:rPr>
          <w:b w:val="0"/>
        </w:rPr>
      </w:pPr>
      <w:r>
        <w:rPr>
          <w:b w:val="0"/>
        </w:rPr>
        <w:t xml:space="preserve">The information obtained through this collection is unique and is not already available for use or adaptation from another source. </w:t>
      </w:r>
    </w:p>
    <w:p w:rsidRPr="00975037" w:rsidR="00975037" w:rsidP="00975037" w:rsidRDefault="00975037" w14:paraId="737FE150" w14:textId="77777777"/>
    <w:p w:rsidRPr="0027795B" w:rsidR="004613B7" w:rsidP="006063E3" w:rsidRDefault="004613B7" w14:paraId="17018C8D" w14:textId="3D7C919A">
      <w:pPr>
        <w:pStyle w:val="Heading1"/>
        <w:ind w:left="405"/>
        <w:rPr>
          <w:b w:val="0"/>
        </w:rPr>
      </w:pPr>
      <w:r w:rsidRPr="00217BAA">
        <w:rPr>
          <w:b w:val="0"/>
        </w:rPr>
        <w:t xml:space="preserve">In conducting this research, </w:t>
      </w:r>
      <w:r w:rsidRPr="00217BAA" w:rsidR="00CE53B0">
        <w:rPr>
          <w:b w:val="0"/>
        </w:rPr>
        <w:t>RAAS</w:t>
      </w:r>
      <w:r w:rsidRPr="00217BAA">
        <w:rPr>
          <w:b w:val="0"/>
        </w:rPr>
        <w:t xml:space="preserve"> will coordinate closely with the </w:t>
      </w:r>
      <w:r w:rsidRPr="00217BAA" w:rsidR="00FE2909">
        <w:rPr>
          <w:b w:val="0"/>
        </w:rPr>
        <w:t xml:space="preserve">rest of </w:t>
      </w:r>
      <w:r w:rsidRPr="00217BAA">
        <w:rPr>
          <w:b w:val="0"/>
        </w:rPr>
        <w:t xml:space="preserve">IRS to ensure that the research is conducted in such a way that it will provide maximum benefit to sound tax administration. </w:t>
      </w:r>
      <w:r w:rsidRPr="00217BAA" w:rsidR="00AC5736">
        <w:rPr>
          <w:b w:val="0"/>
        </w:rPr>
        <w:t>RAAS</w:t>
      </w:r>
      <w:r w:rsidRPr="00217BAA">
        <w:rPr>
          <w:b w:val="0"/>
        </w:rPr>
        <w:t xml:space="preserve"> will assist in survey design. Additionally, information from past and ongoing </w:t>
      </w:r>
      <w:r w:rsidRPr="00217BAA" w:rsidR="00D11B6D">
        <w:rPr>
          <w:b w:val="0"/>
        </w:rPr>
        <w:t>RAAS</w:t>
      </w:r>
      <w:r w:rsidRPr="00217BAA">
        <w:rPr>
          <w:b w:val="0"/>
        </w:rPr>
        <w:t xml:space="preserve"> surveys, IRS research, and other research by non-profit organizations will be considered</w:t>
      </w:r>
      <w:r w:rsidRPr="00D878FA">
        <w:rPr>
          <w:b w:val="0"/>
        </w:rPr>
        <w:t>.</w:t>
      </w:r>
      <w:r w:rsidRPr="0027795B">
        <w:rPr>
          <w:b w:val="0"/>
        </w:rPr>
        <w:t xml:space="preserve"> </w:t>
      </w:r>
    </w:p>
    <w:p w:rsidRPr="0027795B" w:rsidR="004613B7" w:rsidP="006063E3" w:rsidRDefault="004613B7" w14:paraId="3179ACB1" w14:textId="77777777">
      <w:pPr>
        <w:ind w:left="360"/>
      </w:pPr>
    </w:p>
    <w:p w:rsidRPr="00F820CF" w:rsidR="00971609" w:rsidP="00971609" w:rsidRDefault="00971609" w14:paraId="79600662" w14:textId="77777777">
      <w:pPr>
        <w:pStyle w:val="ListParagraph"/>
        <w:numPr>
          <w:ilvl w:val="0"/>
          <w:numId w:val="20"/>
        </w:numPr>
        <w:tabs>
          <w:tab w:val="left" w:pos="-1440"/>
        </w:tabs>
      </w:pPr>
      <w:r w:rsidRPr="00971609">
        <w:rPr>
          <w:u w:val="single"/>
        </w:rPr>
        <w:t>METHODS TO MINIMIZE BURDEN ON SMALL BUSINESSES OR OTHER</w:t>
      </w:r>
      <w:r w:rsidRPr="00F820CF">
        <w:t xml:space="preserve">     </w:t>
      </w:r>
      <w:r w:rsidRPr="00971609">
        <w:rPr>
          <w:u w:val="single"/>
        </w:rPr>
        <w:t>SMALL ENTITIES</w:t>
      </w:r>
    </w:p>
    <w:p w:rsidRPr="0027795B" w:rsidR="004613B7" w:rsidP="00971609" w:rsidRDefault="004613B7" w14:paraId="23E2CB9F" w14:textId="5C1DAC18">
      <w:pPr>
        <w:pStyle w:val="ListParagraph"/>
        <w:ind w:left="360"/>
        <w:rPr>
          <w:b/>
        </w:rPr>
      </w:pPr>
    </w:p>
    <w:p w:rsidRPr="0027795B" w:rsidR="00745852" w:rsidP="006063E3" w:rsidRDefault="004613B7" w14:paraId="4EAA4F44" w14:textId="165171A1">
      <w:pPr>
        <w:pStyle w:val="ListParagraph"/>
        <w:ind w:left="378" w:hanging="378"/>
        <w:rPr>
          <w:color w:val="000000"/>
        </w:rPr>
      </w:pPr>
      <w:r w:rsidRPr="0027795B">
        <w:rPr>
          <w:b/>
        </w:rPr>
        <w:t xml:space="preserve"> </w:t>
      </w:r>
      <w:r w:rsidRPr="0027795B">
        <w:rPr>
          <w:b/>
        </w:rPr>
        <w:tab/>
      </w:r>
      <w:r w:rsidRPr="0027795B" w:rsidR="003B4F66">
        <w:rPr>
          <w:color w:val="000000"/>
        </w:rPr>
        <w:t xml:space="preserve">This </w:t>
      </w:r>
      <w:r w:rsidRPr="0027795B" w:rsidR="003B4F66">
        <w:t xml:space="preserve">survey </w:t>
      </w:r>
      <w:r w:rsidRPr="0027795B" w:rsidR="00723F88">
        <w:t xml:space="preserve">seeks opinions from </w:t>
      </w:r>
      <w:r w:rsidRPr="0027795B" w:rsidR="00FC24FD">
        <w:t>individuals and</w:t>
      </w:r>
      <w:r w:rsidRPr="0027795B" w:rsidR="00723F88">
        <w:t xml:space="preserve"> does </w:t>
      </w:r>
      <w:r w:rsidRPr="0027795B" w:rsidR="003B4F66">
        <w:t xml:space="preserve">not </w:t>
      </w:r>
      <w:r w:rsidRPr="0027795B" w:rsidR="00723F88">
        <w:t xml:space="preserve">impose any burden on </w:t>
      </w:r>
      <w:r w:rsidRPr="0027795B" w:rsidR="003B4F66">
        <w:t xml:space="preserve">small </w:t>
      </w:r>
      <w:r w:rsidR="00975037">
        <w:rPr>
          <w:color w:val="000000"/>
        </w:rPr>
        <w:t>businesses or entities.</w:t>
      </w:r>
    </w:p>
    <w:p w:rsidRPr="0027795B" w:rsidR="00032ADE" w:rsidP="006063E3" w:rsidRDefault="00032ADE" w14:paraId="667E86D5" w14:textId="77777777">
      <w:pPr>
        <w:pStyle w:val="ListParagraph"/>
        <w:ind w:left="378" w:hanging="378"/>
        <w:rPr>
          <w:color w:val="000000"/>
        </w:rPr>
      </w:pPr>
    </w:p>
    <w:p w:rsidRPr="0027795B" w:rsidR="003B4F66" w:rsidP="006063E3" w:rsidRDefault="003B4F66" w14:paraId="76AFC43F" w14:textId="77777777">
      <w:pPr>
        <w:pStyle w:val="ListParagraph"/>
        <w:ind w:left="378" w:hanging="378"/>
      </w:pPr>
    </w:p>
    <w:p w:rsidRPr="00971609" w:rsidR="00971609" w:rsidP="00971609" w:rsidRDefault="00971609" w14:paraId="77296F3E" w14:textId="78AB8C07">
      <w:pPr>
        <w:pStyle w:val="Level1"/>
        <w:numPr>
          <w:ilvl w:val="0"/>
          <w:numId w:val="20"/>
        </w:numPr>
        <w:tabs>
          <w:tab w:val="left" w:pos="-144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971609" w:rsidP="00971609" w:rsidRDefault="00971609" w14:paraId="6827D6C3" w14:textId="77777777">
      <w:pPr>
        <w:pStyle w:val="Level1"/>
        <w:numPr>
          <w:ilvl w:val="0"/>
          <w:numId w:val="0"/>
        </w:numPr>
        <w:tabs>
          <w:tab w:val="left" w:pos="-1440"/>
        </w:tabs>
        <w:ind w:left="360"/>
        <w:rPr>
          <w:rFonts w:ascii="Times New Roman" w:hAnsi="Times New Roman"/>
        </w:rPr>
      </w:pPr>
    </w:p>
    <w:p w:rsidRPr="0027795B" w:rsidR="00FE2909" w:rsidP="006063E3" w:rsidRDefault="00C32432" w14:paraId="7414734F" w14:textId="2C8CA94A">
      <w:pPr>
        <w:ind w:left="360"/>
      </w:pPr>
      <w:r>
        <w:t xml:space="preserve">Less frequent collection would not allow </w:t>
      </w:r>
      <w:r w:rsidRPr="0027795B" w:rsidR="00D11B6D">
        <w:t>RAAS</w:t>
      </w:r>
      <w:r w:rsidRPr="0027795B" w:rsidR="004613B7">
        <w:t xml:space="preserve"> </w:t>
      </w:r>
      <w:r>
        <w:t xml:space="preserve">to </w:t>
      </w:r>
      <w:r w:rsidRPr="0027795B" w:rsidR="004613B7">
        <w:t>get</w:t>
      </w:r>
      <w:r>
        <w:t xml:space="preserve"> the</w:t>
      </w:r>
      <w:r w:rsidRPr="0027795B" w:rsidR="004613B7">
        <w:t xml:space="preserve"> critical input needed</w:t>
      </w:r>
      <w:r>
        <w:t>.  It</w:t>
      </w:r>
      <w:r w:rsidRPr="0027795B" w:rsidR="004613B7">
        <w:t xml:space="preserve"> provide</w:t>
      </w:r>
      <w:r>
        <w:t>s</w:t>
      </w:r>
      <w:r w:rsidRPr="0027795B" w:rsidR="004613B7">
        <w:t xml:space="preserve"> a </w:t>
      </w:r>
      <w:r w:rsidRPr="0027795B" w:rsidR="00BD7822">
        <w:t xml:space="preserve">clear and reliable </w:t>
      </w:r>
      <w:r w:rsidRPr="0027795B" w:rsidR="004613B7">
        <w:t xml:space="preserve">taxpayer context that aids </w:t>
      </w:r>
      <w:r w:rsidRPr="0027795B" w:rsidR="00FE2909">
        <w:t>IRS</w:t>
      </w:r>
      <w:r w:rsidRPr="0027795B" w:rsidR="004613B7">
        <w:t xml:space="preserve"> in </w:t>
      </w:r>
      <w:r w:rsidRPr="0027795B" w:rsidR="005E3FA8">
        <w:t>its</w:t>
      </w:r>
      <w:r w:rsidRPr="0027795B" w:rsidR="004613B7">
        <w:t xml:space="preserve"> review of the performance of current IRS taxpayer service and enforcement programs designed to improve voluntary compliance</w:t>
      </w:r>
      <w:r w:rsidRPr="0027795B" w:rsidR="005416BB">
        <w:t>,</w:t>
      </w:r>
      <w:r w:rsidRPr="0027795B" w:rsidR="004613B7">
        <w:t xml:space="preserve"> </w:t>
      </w:r>
      <w:r>
        <w:lastRenderedPageBreak/>
        <w:t>as well as</w:t>
      </w:r>
      <w:r w:rsidRPr="0027795B" w:rsidR="004613B7">
        <w:t xml:space="preserve"> in </w:t>
      </w:r>
      <w:r w:rsidRPr="0027795B" w:rsidR="00CE53B0">
        <w:t>RAAS</w:t>
      </w:r>
      <w:r w:rsidRPr="0027795B" w:rsidR="004613B7">
        <w:t>’ proposals for strategic performance measures</w:t>
      </w:r>
      <w:r w:rsidRPr="0027795B" w:rsidR="00FE2909">
        <w:t>.</w:t>
      </w:r>
      <w:r w:rsidRPr="0027795B" w:rsidR="00F51447">
        <w:t xml:space="preserve"> </w:t>
      </w:r>
      <w:r>
        <w:t>T</w:t>
      </w:r>
      <w:r w:rsidRPr="0027795B" w:rsidR="00F51447">
        <w:t>he long time series of taxpayer attitudes on paying taxes and service channel preference would be broken.</w:t>
      </w:r>
    </w:p>
    <w:p w:rsidRPr="0027795B" w:rsidR="004613B7" w:rsidP="006063E3" w:rsidRDefault="004613B7" w14:paraId="4F988626" w14:textId="77777777">
      <w:pPr>
        <w:ind w:left="360"/>
      </w:pPr>
      <w:r w:rsidRPr="0027795B">
        <w:t xml:space="preserve">   </w:t>
      </w:r>
    </w:p>
    <w:p w:rsidRPr="00C32432" w:rsidR="00971609" w:rsidP="00971609" w:rsidRDefault="00971609" w14:paraId="3449F219" w14:textId="653F09E9">
      <w:pPr>
        <w:pStyle w:val="Level1"/>
        <w:numPr>
          <w:ilvl w:val="0"/>
          <w:numId w:val="20"/>
        </w:numPr>
        <w:tabs>
          <w:tab w:val="left" w:pos="-144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C32432" w:rsidP="00C32432" w:rsidRDefault="00C32432" w14:paraId="3E6C1566" w14:textId="77777777">
      <w:pPr>
        <w:pStyle w:val="Level1"/>
        <w:numPr>
          <w:ilvl w:val="0"/>
          <w:numId w:val="0"/>
        </w:numPr>
        <w:tabs>
          <w:tab w:val="left" w:pos="-1440"/>
        </w:tabs>
        <w:ind w:left="360"/>
        <w:rPr>
          <w:rFonts w:ascii="Times New Roman" w:hAnsi="Times New Roman"/>
        </w:rPr>
      </w:pPr>
    </w:p>
    <w:p w:rsidRPr="0027795B" w:rsidR="004613B7" w:rsidP="006063E3" w:rsidRDefault="004613B7" w14:paraId="4669B2A5" w14:textId="234C1B44">
      <w:pPr>
        <w:pStyle w:val="ListParagraph"/>
        <w:ind w:left="378"/>
      </w:pPr>
      <w:r w:rsidRPr="0027795B">
        <w:t>There are no special circumstances</w:t>
      </w:r>
      <w:r w:rsidR="00C32432">
        <w:t xml:space="preserve"> requiring data collection to be inconsistent with Guidelines in 5 CFR 1320.5(d)(2).</w:t>
      </w:r>
      <w:r w:rsidRPr="0027795B">
        <w:t xml:space="preserve"> </w:t>
      </w:r>
    </w:p>
    <w:p w:rsidRPr="0027795B" w:rsidR="004613B7" w:rsidP="00971609" w:rsidRDefault="004613B7" w14:paraId="5FF74C9D" w14:textId="77777777"/>
    <w:p w:rsidRPr="00971609" w:rsidR="00971609" w:rsidP="00971609" w:rsidRDefault="00971609" w14:paraId="1AEA49BC" w14:textId="63454928">
      <w:pPr>
        <w:pStyle w:val="Level1"/>
        <w:numPr>
          <w:ilvl w:val="0"/>
          <w:numId w:val="20"/>
        </w:numPr>
        <w:tabs>
          <w:tab w:val="left" w:pos="-144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971609" w:rsidP="00971609" w:rsidRDefault="00971609" w14:paraId="74146CE1" w14:textId="77777777">
      <w:pPr>
        <w:pStyle w:val="Level1"/>
        <w:numPr>
          <w:ilvl w:val="0"/>
          <w:numId w:val="0"/>
        </w:numPr>
        <w:tabs>
          <w:tab w:val="left" w:pos="-1440"/>
        </w:tabs>
        <w:ind w:left="360"/>
        <w:rPr>
          <w:rFonts w:ascii="Times New Roman" w:hAnsi="Times New Roman"/>
        </w:rPr>
      </w:pPr>
    </w:p>
    <w:p w:rsidRPr="0027795B" w:rsidR="00D03843" w:rsidP="00D03843" w:rsidRDefault="00407D6E" w14:paraId="023E9D43" w14:textId="77777777">
      <w:pPr>
        <w:ind w:left="360"/>
      </w:pPr>
      <w:r w:rsidRPr="0027795B">
        <w:t>A</w:t>
      </w:r>
      <w:r w:rsidRPr="0027795B" w:rsidR="00D03843">
        <w:t xml:space="preserve"> notice will be published in the </w:t>
      </w:r>
      <w:r w:rsidRPr="0027795B" w:rsidR="00D03843">
        <w:rPr>
          <w:i/>
        </w:rPr>
        <w:t>Federal Register</w:t>
      </w:r>
      <w:r w:rsidRPr="0027795B" w:rsidR="00D03843">
        <w:t xml:space="preserve"> soliciting public comments on the submission during the period of OMB review. </w:t>
      </w:r>
    </w:p>
    <w:p w:rsidRPr="0027795B" w:rsidR="00407D6E" w:rsidP="00D03843" w:rsidRDefault="00407D6E" w14:paraId="3723B8A8" w14:textId="77777777">
      <w:pPr>
        <w:ind w:left="360"/>
      </w:pPr>
    </w:p>
    <w:p w:rsidRPr="0027795B" w:rsidR="00407D6E" w:rsidP="00D03843" w:rsidRDefault="00407D6E" w14:paraId="706FCA0A" w14:textId="489A1D6B">
      <w:pPr>
        <w:ind w:left="360"/>
        <w:rPr>
          <w:snapToGrid w:val="0"/>
        </w:rPr>
      </w:pPr>
      <w:r w:rsidRPr="0027795B">
        <w:rPr>
          <w:snapToGrid w:val="0"/>
        </w:rPr>
        <w:t xml:space="preserve">We received no comments during the comment period in response to the Federal Register notice dated March </w:t>
      </w:r>
      <w:r w:rsidRPr="0027795B" w:rsidR="005F0B69">
        <w:rPr>
          <w:snapToGrid w:val="0"/>
        </w:rPr>
        <w:t>17,</w:t>
      </w:r>
      <w:r w:rsidRPr="0027795B">
        <w:rPr>
          <w:snapToGrid w:val="0"/>
        </w:rPr>
        <w:t xml:space="preserve"> 2020</w:t>
      </w:r>
      <w:r w:rsidRPr="0027795B" w:rsidR="00B536E5">
        <w:rPr>
          <w:snapToGrid w:val="0"/>
        </w:rPr>
        <w:t xml:space="preserve"> (85 FR </w:t>
      </w:r>
      <w:r w:rsidRPr="0027795B" w:rsidR="005F0B69">
        <w:rPr>
          <w:snapToGrid w:val="0"/>
        </w:rPr>
        <w:t>15253</w:t>
      </w:r>
      <w:r w:rsidRPr="0027795B" w:rsidR="00B536E5">
        <w:rPr>
          <w:snapToGrid w:val="0"/>
        </w:rPr>
        <w:t>).</w:t>
      </w:r>
    </w:p>
    <w:p w:rsidRPr="0027795B" w:rsidR="00407D6E" w:rsidP="00D03843" w:rsidRDefault="00407D6E" w14:paraId="0BA6DDA5" w14:textId="77777777">
      <w:pPr>
        <w:ind w:left="360"/>
      </w:pPr>
    </w:p>
    <w:p w:rsidRPr="00971609" w:rsidR="00971609" w:rsidP="00971609" w:rsidRDefault="00971609" w14:paraId="32919EE8" w14:textId="5CE5C149">
      <w:pPr>
        <w:pStyle w:val="Level1"/>
        <w:numPr>
          <w:ilvl w:val="0"/>
          <w:numId w:val="20"/>
        </w:numPr>
        <w:tabs>
          <w:tab w:val="left" w:pos="-144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971609" w:rsidP="00971609" w:rsidRDefault="00971609" w14:paraId="7534F212" w14:textId="77777777">
      <w:pPr>
        <w:pStyle w:val="Level1"/>
        <w:numPr>
          <w:ilvl w:val="0"/>
          <w:numId w:val="0"/>
        </w:numPr>
        <w:tabs>
          <w:tab w:val="left" w:pos="-1440"/>
        </w:tabs>
        <w:ind w:left="360"/>
        <w:rPr>
          <w:rFonts w:ascii="Times New Roman" w:hAnsi="Times New Roman"/>
        </w:rPr>
      </w:pPr>
    </w:p>
    <w:p w:rsidRPr="0027795B" w:rsidR="004613B7" w:rsidP="006063E3" w:rsidRDefault="004613B7" w14:paraId="3DDC91E4" w14:textId="77777777">
      <w:pPr>
        <w:autoSpaceDE w:val="0"/>
        <w:autoSpaceDN w:val="0"/>
        <w:adjustRightInd w:val="0"/>
        <w:ind w:left="360"/>
      </w:pPr>
      <w:r w:rsidRPr="0027795B">
        <w:t>N</w:t>
      </w:r>
      <w:r w:rsidRPr="0027795B" w:rsidR="001C2B8F">
        <w:t xml:space="preserve">o incentives are given </w:t>
      </w:r>
      <w:r w:rsidRPr="0027795B" w:rsidR="009C2DC9">
        <w:t>for phone surveys</w:t>
      </w:r>
      <w:r w:rsidRPr="0027795B" w:rsidR="00F51447">
        <w:t xml:space="preserve">. For </w:t>
      </w:r>
      <w:r w:rsidRPr="0027795B" w:rsidR="009C2DC9">
        <w:t>online surveys</w:t>
      </w:r>
      <w:r w:rsidRPr="0027795B" w:rsidR="00F51447">
        <w:t>, o</w:t>
      </w:r>
      <w:r w:rsidRPr="0027795B" w:rsidR="00DE78EF">
        <w:t>ther incentive</w:t>
      </w:r>
      <w:r w:rsidRPr="0027795B" w:rsidR="005E3FA8">
        <w:t>s,</w:t>
      </w:r>
      <w:r w:rsidRPr="0027795B" w:rsidR="00DE78EF">
        <w:t xml:space="preserve"> such as</w:t>
      </w:r>
      <w:r w:rsidRPr="0027795B" w:rsidR="004C0282">
        <w:t xml:space="preserve"> points</w:t>
      </w:r>
      <w:r w:rsidRPr="0027795B" w:rsidR="005E3FA8">
        <w:t>,</w:t>
      </w:r>
      <w:r w:rsidRPr="0027795B" w:rsidR="004C0282">
        <w:t xml:space="preserve"> which can be</w:t>
      </w:r>
      <w:r w:rsidRPr="0027795B" w:rsidR="000030D3">
        <w:t xml:space="preserve"> </w:t>
      </w:r>
      <w:r w:rsidRPr="0027795B" w:rsidR="004C0282">
        <w:t>redeemed for merchandise, gift cards, or other items</w:t>
      </w:r>
      <w:r w:rsidRPr="0027795B" w:rsidR="006429B9">
        <w:t xml:space="preserve"> may be offered</w:t>
      </w:r>
      <w:r w:rsidRPr="0027795B" w:rsidR="004C0282">
        <w:t xml:space="preserve">. Points are based on </w:t>
      </w:r>
      <w:r w:rsidRPr="0027795B" w:rsidR="00723F88">
        <w:t xml:space="preserve">the </w:t>
      </w:r>
      <w:r w:rsidRPr="0027795B" w:rsidR="004C0282">
        <w:t>length of surveys. The</w:t>
      </w:r>
      <w:r w:rsidRPr="0027795B" w:rsidR="008F0602">
        <w:t xml:space="preserve"> </w:t>
      </w:r>
      <w:r w:rsidRPr="0027795B" w:rsidR="004C0282">
        <w:t xml:space="preserve">average redemption value for completion of a </w:t>
      </w:r>
      <w:r w:rsidRPr="0027795B" w:rsidR="006F64A2">
        <w:t>2</w:t>
      </w:r>
      <w:r w:rsidRPr="0027795B" w:rsidR="00A667E7">
        <w:t>0</w:t>
      </w:r>
      <w:r w:rsidRPr="0027795B" w:rsidR="005E3FA8">
        <w:t>-</w:t>
      </w:r>
      <w:r w:rsidRPr="0027795B" w:rsidR="004C0282">
        <w:t>minute survey is $</w:t>
      </w:r>
      <w:r w:rsidRPr="0027795B" w:rsidR="006F64A2">
        <w:t>1.</w:t>
      </w:r>
      <w:r w:rsidRPr="0027795B" w:rsidR="00DB01D4">
        <w:t>38</w:t>
      </w:r>
      <w:r w:rsidRPr="0027795B" w:rsidR="004C0282">
        <w:t>.</w:t>
      </w:r>
    </w:p>
    <w:p w:rsidRPr="0027795B" w:rsidR="00C82CAF" w:rsidP="006063E3" w:rsidRDefault="00C82CAF" w14:paraId="51D5B351" w14:textId="77777777">
      <w:pPr>
        <w:ind w:left="360"/>
      </w:pPr>
    </w:p>
    <w:p w:rsidRPr="00F820CF" w:rsidR="00971609" w:rsidP="00971609" w:rsidRDefault="00971609" w14:paraId="4D6D4D43" w14:textId="77777777">
      <w:pPr>
        <w:pStyle w:val="Level1"/>
        <w:numPr>
          <w:ilvl w:val="0"/>
          <w:numId w:val="20"/>
        </w:numPr>
        <w:tabs>
          <w:tab w:val="left" w:pos="-1440"/>
        </w:tabs>
        <w:rPr>
          <w:rFonts w:ascii="Times New Roman" w:hAnsi="Times New Roman"/>
        </w:rPr>
      </w:pPr>
      <w:r w:rsidRPr="00F820CF">
        <w:rPr>
          <w:rFonts w:ascii="Times New Roman" w:hAnsi="Times New Roman"/>
          <w:u w:val="single"/>
        </w:rPr>
        <w:t>ASSURANCE OF CONFIDENTIALITY OF RESPONSES</w:t>
      </w:r>
    </w:p>
    <w:p w:rsidRPr="0027795B" w:rsidR="004613B7" w:rsidP="00971609" w:rsidRDefault="004613B7" w14:paraId="0E4CFBF3" w14:textId="6E26468C">
      <w:pPr>
        <w:pStyle w:val="ListParagraph"/>
        <w:ind w:left="360"/>
        <w:rPr>
          <w:b/>
        </w:rPr>
      </w:pPr>
      <w:r w:rsidRPr="0027795B">
        <w:rPr>
          <w:b/>
        </w:rPr>
        <w:t xml:space="preserve">   </w:t>
      </w:r>
    </w:p>
    <w:p w:rsidRPr="0027795B" w:rsidR="004613B7" w:rsidP="006063E3" w:rsidRDefault="004613B7" w14:paraId="3A6A64BB" w14:textId="77777777">
      <w:pPr>
        <w:ind w:left="378"/>
      </w:pPr>
      <w:r w:rsidRPr="0027795B">
        <w:t xml:space="preserve">The survey will be conducted by random digit dialing, and no sensitive personally identifiable information will be compiled by the vendor as part of the database for this survey, nor passed along to </w:t>
      </w:r>
      <w:r w:rsidRPr="0027795B" w:rsidR="00D11B6D">
        <w:t>RAAS</w:t>
      </w:r>
      <w:r w:rsidRPr="0027795B">
        <w:t>. Additionally, the vendor will take steps that ensure</w:t>
      </w:r>
      <w:r w:rsidRPr="0027795B" w:rsidR="00723F88">
        <w:t xml:space="preserve"> that</w:t>
      </w:r>
      <w:r w:rsidRPr="0027795B">
        <w:t xml:space="preserve"> specific records cannot be tied to individual taxpayers. Research personnel will ensure that privacy and security of the results will be </w:t>
      </w:r>
      <w:r w:rsidRPr="0027795B" w:rsidR="00723F88">
        <w:t>maintained</w:t>
      </w:r>
      <w:r w:rsidRPr="0027795B" w:rsidR="00854E19">
        <w:t>, to</w:t>
      </w:r>
      <w:r w:rsidRPr="0027795B">
        <w:t xml:space="preserve"> </w:t>
      </w:r>
      <w:r w:rsidRPr="0027795B" w:rsidR="00B03907">
        <w:t>the extent</w:t>
      </w:r>
      <w:r w:rsidRPr="0027795B">
        <w:t xml:space="preserve"> allowed by law. Public and official access to the information will be tightly controlled. </w:t>
      </w:r>
    </w:p>
    <w:p w:rsidRPr="0027795B" w:rsidR="004613B7" w:rsidP="006063E3" w:rsidRDefault="004613B7" w14:paraId="1EA73067" w14:textId="77777777">
      <w:pPr>
        <w:ind w:left="360"/>
      </w:pPr>
    </w:p>
    <w:p w:rsidRPr="00F820CF" w:rsidR="00971609" w:rsidP="00971609" w:rsidRDefault="00971609" w14:paraId="6ADA269A" w14:textId="49ACA875">
      <w:pPr>
        <w:pStyle w:val="Level1"/>
        <w:numPr>
          <w:ilvl w:val="0"/>
          <w:numId w:val="20"/>
        </w:numPr>
        <w:tabs>
          <w:tab w:val="left" w:pos="-1440"/>
        </w:tabs>
        <w:rPr>
          <w:rFonts w:ascii="Times New Roman" w:hAnsi="Times New Roman"/>
          <w:u w:val="single"/>
        </w:rPr>
      </w:pPr>
      <w:r w:rsidRPr="00F820CF">
        <w:rPr>
          <w:rFonts w:ascii="Times New Roman" w:hAnsi="Times New Roman"/>
          <w:u w:val="single"/>
        </w:rPr>
        <w:t>JUSTIFICATION OF SENSITIVE QUESTIONS</w:t>
      </w:r>
    </w:p>
    <w:p w:rsidRPr="0027795B" w:rsidR="0027795B" w:rsidP="006063E3" w:rsidRDefault="0027795B" w14:paraId="53B270F9" w14:textId="77777777">
      <w:pPr>
        <w:ind w:left="360"/>
      </w:pPr>
    </w:p>
    <w:p w:rsidR="005E71E0" w:rsidP="005E71E0" w:rsidRDefault="005E71E0" w14:paraId="137B64E5" w14:textId="65415EF2">
      <w:pPr>
        <w:pStyle w:val="Default"/>
        <w:ind w:left="360"/>
      </w:pPr>
      <w:r w:rsidRPr="00AA1C1E">
        <w:t>A privacy impact assessment (PIA) has been conducted for information collected under this request as part of the “</w:t>
      </w:r>
      <w:r>
        <w:rPr>
          <w:sz w:val="23"/>
          <w:szCs w:val="23"/>
        </w:rPr>
        <w:t>IRS Oversight Board Comprehensive Taxpayer Attitude Survey (CTAS)</w:t>
      </w:r>
      <w:r w:rsidRPr="00AA1C1E">
        <w:t xml:space="preserve">” system and a Privacy Act System of Records notice (SORN) has been issued for this system under </w:t>
      </w:r>
      <w:r w:rsidRPr="00417969">
        <w:t xml:space="preserve">IRS </w:t>
      </w:r>
      <w:r>
        <w:t>0</w:t>
      </w:r>
      <w:r w:rsidRPr="00417969">
        <w:t>0.</w:t>
      </w:r>
      <w:r>
        <w:t>001 IRS 00.001 Correspondence Files and Correspondence Control Files</w:t>
      </w:r>
      <w:r w:rsidRPr="00AA1C1E">
        <w:t xml:space="preserve">.  The Internal Revenue Service PIAs can be found at </w:t>
      </w:r>
      <w:hyperlink w:history="1" r:id="rId8">
        <w:r w:rsidRPr="00ED2E50">
          <w:rPr>
            <w:rStyle w:val="Hyperlink"/>
          </w:rPr>
          <w:t>http://www.irs.gov/uac/Privacy-Impact-Assessments-PIA</w:t>
        </w:r>
      </w:hyperlink>
      <w:r>
        <w:t xml:space="preserve">. </w:t>
      </w:r>
    </w:p>
    <w:p w:rsidRPr="00D62F07" w:rsidR="005E71E0" w:rsidP="005E71E0" w:rsidRDefault="005E71E0" w14:paraId="7FDA5957" w14:textId="77777777">
      <w:pPr>
        <w:ind w:left="720"/>
      </w:pPr>
    </w:p>
    <w:p w:rsidRPr="00F820CF" w:rsidR="00971609" w:rsidP="00971609" w:rsidRDefault="00971609" w14:paraId="37150410" w14:textId="77777777">
      <w:pPr>
        <w:pStyle w:val="Level1"/>
        <w:numPr>
          <w:ilvl w:val="0"/>
          <w:numId w:val="20"/>
        </w:numPr>
        <w:tabs>
          <w:tab w:val="left" w:pos="-1440"/>
        </w:tabs>
        <w:rPr>
          <w:rFonts w:ascii="Times New Roman" w:hAnsi="Times New Roman"/>
          <w:u w:val="single"/>
        </w:rPr>
      </w:pPr>
      <w:r w:rsidRPr="00F820CF">
        <w:rPr>
          <w:rFonts w:ascii="Times New Roman" w:hAnsi="Times New Roman"/>
          <w:u w:val="single"/>
        </w:rPr>
        <w:t>ESTIMATED BURDEN OF INFORMATION COLLECTION</w:t>
      </w:r>
    </w:p>
    <w:p w:rsidRPr="0027795B" w:rsidR="009E1C07" w:rsidP="00971609" w:rsidRDefault="004613B7" w14:paraId="2E2461D1" w14:textId="22BFE731">
      <w:pPr>
        <w:pStyle w:val="ListParagraph"/>
        <w:ind w:left="360"/>
        <w:rPr>
          <w:b/>
        </w:rPr>
      </w:pPr>
      <w:r w:rsidRPr="0027795B">
        <w:rPr>
          <w:b/>
        </w:rPr>
        <w:t xml:space="preserve"> </w:t>
      </w:r>
    </w:p>
    <w:p w:rsidRPr="0027795B" w:rsidR="00723F88" w:rsidP="006063E3" w:rsidRDefault="00BC6F4F" w14:paraId="44C96877" w14:textId="77777777">
      <w:pPr>
        <w:ind w:left="360"/>
        <w:rPr>
          <w:color w:val="000000" w:themeColor="text1"/>
        </w:rPr>
      </w:pPr>
      <w:r w:rsidRPr="0027795B">
        <w:t xml:space="preserve">The study will be conducted via concurrent telephone and online surveys. Our target number for completed surveys is 1,000 each for the two survey modes, for a total of 2, 000 </w:t>
      </w:r>
      <w:r w:rsidRPr="0027795B">
        <w:lastRenderedPageBreak/>
        <w:t xml:space="preserve">interviews. It is estimated that more than 2,000 interviews will need to be conducted to </w:t>
      </w:r>
      <w:r w:rsidRPr="0027795B">
        <w:rPr>
          <w:color w:val="000000" w:themeColor="text1"/>
        </w:rPr>
        <w:t>achieve this goal.</w:t>
      </w:r>
    </w:p>
    <w:p w:rsidR="00723F88" w:rsidP="006063E3" w:rsidRDefault="00723F88" w14:paraId="7DB97964" w14:textId="31F986B0">
      <w:pPr>
        <w:ind w:left="360"/>
        <w:rPr>
          <w:color w:val="000000" w:themeColor="text1"/>
          <w:highlight w:val="yellow"/>
        </w:rPr>
      </w:pPr>
    </w:p>
    <w:p w:rsidRPr="00C32432" w:rsidR="00BC6F4F" w:rsidP="006063E3" w:rsidRDefault="00BC6F4F" w14:paraId="4F72DB34" w14:textId="77777777">
      <w:pPr>
        <w:ind w:left="360"/>
        <w:rPr>
          <w:bCs/>
          <w:color w:val="000000" w:themeColor="text1"/>
        </w:rPr>
      </w:pPr>
      <w:r w:rsidRPr="0027795B">
        <w:rPr>
          <w:color w:val="000000" w:themeColor="text1"/>
        </w:rPr>
        <w:t xml:space="preserve">With an estimated response rate of </w:t>
      </w:r>
      <w:r w:rsidRPr="0027795B" w:rsidR="001A0D9E">
        <w:rPr>
          <w:color w:val="000000" w:themeColor="text1"/>
        </w:rPr>
        <w:t>5</w:t>
      </w:r>
      <w:r w:rsidRPr="0027795B">
        <w:rPr>
          <w:color w:val="000000" w:themeColor="text1"/>
        </w:rPr>
        <w:t xml:space="preserve">%, we anticipate </w:t>
      </w:r>
      <w:r w:rsidRPr="0027795B" w:rsidR="00723F88">
        <w:rPr>
          <w:color w:val="000000" w:themeColor="text1"/>
        </w:rPr>
        <w:t xml:space="preserve">screening </w:t>
      </w:r>
      <w:r w:rsidRPr="0027795B" w:rsidR="00F74507">
        <w:rPr>
          <w:color w:val="000000" w:themeColor="text1"/>
        </w:rPr>
        <w:t>39,273</w:t>
      </w:r>
      <w:r w:rsidRPr="0027795B">
        <w:rPr>
          <w:color w:val="000000" w:themeColor="text1"/>
        </w:rPr>
        <w:t xml:space="preserve"> </w:t>
      </w:r>
      <w:r w:rsidRPr="0027795B" w:rsidR="00723F88">
        <w:rPr>
          <w:color w:val="000000" w:themeColor="text1"/>
        </w:rPr>
        <w:t xml:space="preserve">respondents, who will take 30 seconds each to either accept or decline </w:t>
      </w:r>
      <w:r w:rsidRPr="0027795B" w:rsidR="00A65FD6">
        <w:rPr>
          <w:color w:val="000000" w:themeColor="text1"/>
        </w:rPr>
        <w:t>to participate</w:t>
      </w:r>
      <w:r w:rsidRPr="0027795B" w:rsidR="00723F88">
        <w:rPr>
          <w:color w:val="000000" w:themeColor="text1"/>
        </w:rPr>
        <w:t xml:space="preserve">. </w:t>
      </w:r>
      <w:r w:rsidRPr="0027795B" w:rsidR="00F74507">
        <w:rPr>
          <w:color w:val="000000" w:themeColor="text1"/>
        </w:rPr>
        <w:t>2,04</w:t>
      </w:r>
      <w:r w:rsidRPr="0027795B" w:rsidR="00B37F57">
        <w:rPr>
          <w:color w:val="000000" w:themeColor="text1"/>
        </w:rPr>
        <w:t>5</w:t>
      </w:r>
      <w:r w:rsidRPr="0027795B">
        <w:rPr>
          <w:color w:val="000000" w:themeColor="text1"/>
        </w:rPr>
        <w:t xml:space="preserve"> </w:t>
      </w:r>
      <w:r w:rsidRPr="0027795B" w:rsidR="00A65FD6">
        <w:rPr>
          <w:color w:val="000000" w:themeColor="text1"/>
        </w:rPr>
        <w:t xml:space="preserve">respondents </w:t>
      </w:r>
      <w:r w:rsidRPr="0027795B">
        <w:rPr>
          <w:color w:val="000000" w:themeColor="text1"/>
        </w:rPr>
        <w:t xml:space="preserve">will agree to participate in the </w:t>
      </w:r>
      <w:r w:rsidRPr="0027795B" w:rsidR="009E13B8">
        <w:rPr>
          <w:color w:val="000000" w:themeColor="text1"/>
        </w:rPr>
        <w:t xml:space="preserve">survey, </w:t>
      </w:r>
      <w:r w:rsidRPr="0027795B" w:rsidR="00D36E48">
        <w:rPr>
          <w:color w:val="000000" w:themeColor="text1"/>
        </w:rPr>
        <w:t>which</w:t>
      </w:r>
      <w:r w:rsidRPr="0027795B">
        <w:rPr>
          <w:color w:val="000000" w:themeColor="text1"/>
        </w:rPr>
        <w:t xml:space="preserve"> represents the total number of interviews, including oversamples when quotas are met and those who only</w:t>
      </w:r>
      <w:r w:rsidRPr="0027795B" w:rsidR="0051132F">
        <w:rPr>
          <w:color w:val="000000" w:themeColor="text1"/>
        </w:rPr>
        <w:t xml:space="preserve"> partially complete the survey.</w:t>
      </w:r>
      <w:r w:rsidRPr="0027795B">
        <w:rPr>
          <w:color w:val="000000" w:themeColor="text1"/>
        </w:rPr>
        <w:t xml:space="preserve"> </w:t>
      </w:r>
      <w:r w:rsidRPr="0027795B" w:rsidR="00A65FD6">
        <w:rPr>
          <w:color w:val="000000" w:themeColor="text1"/>
        </w:rPr>
        <w:t>Their p</w:t>
      </w:r>
      <w:r w:rsidRPr="0027795B">
        <w:rPr>
          <w:color w:val="000000" w:themeColor="text1"/>
        </w:rPr>
        <w:t xml:space="preserve">articipation time is 23 minutes </w:t>
      </w:r>
      <w:r w:rsidRPr="0027795B" w:rsidR="00A65FD6">
        <w:rPr>
          <w:color w:val="000000" w:themeColor="text1"/>
        </w:rPr>
        <w:t>per response</w:t>
      </w:r>
      <w:r w:rsidRPr="0027795B">
        <w:rPr>
          <w:color w:val="000000" w:themeColor="text1"/>
        </w:rPr>
        <w:t xml:space="preserve">. </w:t>
      </w:r>
      <w:r w:rsidRPr="00C32432">
        <w:rPr>
          <w:bCs/>
          <w:color w:val="000000" w:themeColor="text1"/>
        </w:rPr>
        <w:t xml:space="preserve">The total estimated burden for this survey is </w:t>
      </w:r>
      <w:r w:rsidRPr="00C32432" w:rsidR="006C27E4">
        <w:rPr>
          <w:bCs/>
          <w:color w:val="000000" w:themeColor="text1"/>
        </w:rPr>
        <w:t>1,111</w:t>
      </w:r>
      <w:r w:rsidRPr="00C32432">
        <w:rPr>
          <w:bCs/>
          <w:color w:val="000000" w:themeColor="text1"/>
        </w:rPr>
        <w:t xml:space="preserve"> burden hours.  </w:t>
      </w:r>
    </w:p>
    <w:p w:rsidRPr="0027795B" w:rsidR="00492140" w:rsidP="006063E3" w:rsidRDefault="00492140" w14:paraId="045026B2" w14:textId="77777777">
      <w:pPr>
        <w:ind w:left="360"/>
        <w:rPr>
          <w:b/>
          <w:color w:val="000000" w:themeColor="text1"/>
        </w:rPr>
      </w:pPr>
    </w:p>
    <w:p w:rsidRPr="0027795B" w:rsidR="00955240" w:rsidP="006063E3" w:rsidRDefault="00492140" w14:paraId="11E9351C" w14:textId="77777777">
      <w:pPr>
        <w:ind w:left="360"/>
      </w:pPr>
      <w:r w:rsidRPr="0027795B">
        <w:t xml:space="preserve">  </w:t>
      </w:r>
    </w:p>
    <w:tbl>
      <w:tblPr>
        <w:tblStyle w:val="TableGrid"/>
        <w:tblW w:w="10062" w:type="dxa"/>
        <w:tblInd w:w="360" w:type="dxa"/>
        <w:shd w:val="clear" w:color="auto" w:fill="FFFFFF" w:themeFill="background1"/>
        <w:tblLook w:val="04A0" w:firstRow="1" w:lastRow="0" w:firstColumn="1" w:lastColumn="0" w:noHBand="0" w:noVBand="1"/>
      </w:tblPr>
      <w:tblGrid>
        <w:gridCol w:w="2443"/>
        <w:gridCol w:w="1523"/>
        <w:gridCol w:w="1430"/>
        <w:gridCol w:w="1177"/>
        <w:gridCol w:w="990"/>
        <w:gridCol w:w="1069"/>
        <w:gridCol w:w="1430"/>
      </w:tblGrid>
      <w:tr w:rsidRPr="008E368C" w:rsidR="002B7A40" w:rsidTr="002B7A40" w14:paraId="30E86401" w14:textId="77777777">
        <w:tc>
          <w:tcPr>
            <w:tcW w:w="2443" w:type="dxa"/>
            <w:shd w:val="pct12" w:color="auto" w:fill="FFFFFF" w:themeFill="background1"/>
          </w:tcPr>
          <w:p w:rsidRPr="008E368C" w:rsidR="002B7A40" w:rsidP="006063E3" w:rsidRDefault="002B7A40" w14:paraId="3AA740B9" w14:textId="77777777">
            <w:pPr>
              <w:rPr>
                <w:rFonts w:ascii="Arial Narrow" w:hAnsi="Arial Narrow"/>
                <w:b/>
                <w:sz w:val="18"/>
                <w:szCs w:val="18"/>
              </w:rPr>
            </w:pPr>
            <w:r w:rsidRPr="008E368C">
              <w:rPr>
                <w:rFonts w:ascii="Arial Narrow" w:hAnsi="Arial Narrow"/>
                <w:b/>
                <w:sz w:val="18"/>
                <w:szCs w:val="18"/>
              </w:rPr>
              <w:t>Screened/Interviewed</w:t>
            </w:r>
          </w:p>
        </w:tc>
        <w:tc>
          <w:tcPr>
            <w:tcW w:w="1523" w:type="dxa"/>
            <w:shd w:val="pct12" w:color="auto" w:fill="FFFFFF" w:themeFill="background1"/>
          </w:tcPr>
          <w:p w:rsidRPr="008E368C" w:rsidR="002B7A40" w:rsidP="006063E3" w:rsidRDefault="002B7A40" w14:paraId="3D6AD2F9" w14:textId="77777777">
            <w:pPr>
              <w:rPr>
                <w:rFonts w:ascii="Arial Narrow" w:hAnsi="Arial Narrow"/>
                <w:b/>
                <w:sz w:val="18"/>
                <w:szCs w:val="18"/>
              </w:rPr>
            </w:pPr>
            <w:r w:rsidRPr="008E368C">
              <w:rPr>
                <w:rFonts w:ascii="Arial Narrow" w:hAnsi="Arial Narrow"/>
                <w:b/>
                <w:sz w:val="18"/>
                <w:szCs w:val="18"/>
              </w:rPr>
              <w:t xml:space="preserve">No. of Respondents (How many will respond to this collection?) </w:t>
            </w:r>
          </w:p>
        </w:tc>
        <w:tc>
          <w:tcPr>
            <w:tcW w:w="1430" w:type="dxa"/>
            <w:shd w:val="pct12" w:color="auto" w:fill="FFFFFF" w:themeFill="background1"/>
          </w:tcPr>
          <w:p w:rsidRPr="008E368C" w:rsidR="002B7A40" w:rsidP="006063E3" w:rsidRDefault="002B7A40" w14:paraId="462C6529" w14:textId="77777777">
            <w:pPr>
              <w:rPr>
                <w:rFonts w:ascii="Arial Narrow" w:hAnsi="Arial Narrow"/>
                <w:b/>
                <w:sz w:val="18"/>
                <w:szCs w:val="18"/>
              </w:rPr>
            </w:pPr>
            <w:r w:rsidRPr="008E368C">
              <w:rPr>
                <w:rFonts w:ascii="Arial Narrow" w:hAnsi="Arial Narrow"/>
                <w:b/>
                <w:sz w:val="18"/>
                <w:szCs w:val="18"/>
              </w:rPr>
              <w:t>No. of Responses per Respondent (How many times?)</w:t>
            </w:r>
          </w:p>
        </w:tc>
        <w:tc>
          <w:tcPr>
            <w:tcW w:w="1177" w:type="dxa"/>
            <w:shd w:val="pct12" w:color="auto" w:fill="FFFFFF" w:themeFill="background1"/>
          </w:tcPr>
          <w:p w:rsidRPr="008E368C" w:rsidR="002B7A40" w:rsidP="00A65FD6" w:rsidRDefault="002B7A40" w14:paraId="3031B368" w14:textId="77777777">
            <w:pPr>
              <w:rPr>
                <w:rFonts w:ascii="Arial Narrow" w:hAnsi="Arial Narrow"/>
                <w:b/>
                <w:sz w:val="18"/>
                <w:szCs w:val="18"/>
              </w:rPr>
            </w:pPr>
            <w:r w:rsidRPr="008E368C">
              <w:rPr>
                <w:rFonts w:ascii="Arial Narrow" w:hAnsi="Arial Narrow"/>
                <w:b/>
                <w:sz w:val="18"/>
                <w:szCs w:val="18"/>
              </w:rPr>
              <w:t xml:space="preserve">Avg. Burden per Response </w:t>
            </w:r>
          </w:p>
        </w:tc>
        <w:tc>
          <w:tcPr>
            <w:tcW w:w="990" w:type="dxa"/>
            <w:shd w:val="pct12" w:color="auto" w:fill="FFFFFF" w:themeFill="background1"/>
          </w:tcPr>
          <w:p w:rsidRPr="008E368C" w:rsidR="002B7A40" w:rsidP="006063E3" w:rsidRDefault="002B7A40" w14:paraId="7DBC6AA1" w14:textId="77777777">
            <w:pPr>
              <w:rPr>
                <w:rFonts w:ascii="Arial Narrow" w:hAnsi="Arial Narrow"/>
                <w:b/>
                <w:sz w:val="18"/>
                <w:szCs w:val="18"/>
              </w:rPr>
            </w:pPr>
            <w:r w:rsidRPr="008E368C">
              <w:rPr>
                <w:rFonts w:ascii="Arial Narrow" w:hAnsi="Arial Narrow"/>
                <w:b/>
                <w:sz w:val="18"/>
                <w:szCs w:val="18"/>
              </w:rPr>
              <w:t>Total Annual Burden (in hours)</w:t>
            </w:r>
          </w:p>
        </w:tc>
        <w:tc>
          <w:tcPr>
            <w:tcW w:w="1069" w:type="dxa"/>
            <w:shd w:val="pct12" w:color="auto" w:fill="FFFFFF" w:themeFill="background1"/>
          </w:tcPr>
          <w:p w:rsidRPr="008E368C" w:rsidR="002B7A40" w:rsidP="006063E3" w:rsidRDefault="002B7A40" w14:paraId="40539820" w14:textId="77777777">
            <w:pPr>
              <w:rPr>
                <w:rFonts w:ascii="Arial Narrow" w:hAnsi="Arial Narrow"/>
                <w:b/>
                <w:sz w:val="18"/>
                <w:szCs w:val="18"/>
              </w:rPr>
            </w:pPr>
            <w:r w:rsidRPr="008E368C">
              <w:rPr>
                <w:rFonts w:ascii="Arial Narrow" w:hAnsi="Arial Narrow"/>
                <w:b/>
                <w:sz w:val="18"/>
                <w:szCs w:val="18"/>
              </w:rPr>
              <w:t>Average Hourly Wage Rate</w:t>
            </w:r>
          </w:p>
        </w:tc>
        <w:tc>
          <w:tcPr>
            <w:tcW w:w="1430" w:type="dxa"/>
            <w:shd w:val="pct12" w:color="auto" w:fill="FFFFFF" w:themeFill="background1"/>
          </w:tcPr>
          <w:p w:rsidRPr="008E368C" w:rsidR="002B7A40" w:rsidP="006063E3" w:rsidRDefault="002B7A40" w14:paraId="61FFE45B" w14:textId="77777777">
            <w:pPr>
              <w:rPr>
                <w:rFonts w:ascii="Arial Narrow" w:hAnsi="Arial Narrow"/>
                <w:b/>
                <w:sz w:val="18"/>
                <w:szCs w:val="18"/>
              </w:rPr>
            </w:pPr>
            <w:r w:rsidRPr="008E368C">
              <w:rPr>
                <w:rFonts w:ascii="Arial Narrow" w:hAnsi="Arial Narrow"/>
                <w:b/>
                <w:sz w:val="18"/>
                <w:szCs w:val="18"/>
              </w:rPr>
              <w:t>Total Annual Respondent Cost*</w:t>
            </w:r>
          </w:p>
        </w:tc>
      </w:tr>
      <w:tr w:rsidRPr="008E368C" w:rsidR="002B7A40" w:rsidTr="002B7A40" w14:paraId="798772E3" w14:textId="77777777">
        <w:tc>
          <w:tcPr>
            <w:tcW w:w="2443" w:type="dxa"/>
            <w:shd w:val="clear" w:color="auto" w:fill="FFFFFF" w:themeFill="background1"/>
          </w:tcPr>
          <w:p w:rsidRPr="008E368C" w:rsidR="002B7A40" w:rsidP="006063E3" w:rsidRDefault="002B7A40" w14:paraId="5E51583F" w14:textId="77777777">
            <w:pPr>
              <w:rPr>
                <w:rFonts w:ascii="Arial Narrow" w:hAnsi="Arial Narrow"/>
                <w:sz w:val="18"/>
                <w:szCs w:val="18"/>
              </w:rPr>
            </w:pPr>
            <w:r w:rsidRPr="008E368C">
              <w:rPr>
                <w:rFonts w:ascii="Arial Narrow" w:hAnsi="Arial Narrow"/>
                <w:sz w:val="18"/>
                <w:szCs w:val="18"/>
              </w:rPr>
              <w:t>Total Screened</w:t>
            </w:r>
          </w:p>
        </w:tc>
        <w:tc>
          <w:tcPr>
            <w:tcW w:w="1523" w:type="dxa"/>
            <w:shd w:val="clear" w:color="auto" w:fill="FFFFFF" w:themeFill="background1"/>
          </w:tcPr>
          <w:p w:rsidRPr="008E368C" w:rsidR="002B7A40" w:rsidP="006063E3" w:rsidRDefault="002B7A40" w14:paraId="71B35993" w14:textId="77777777">
            <w:pPr>
              <w:rPr>
                <w:rFonts w:ascii="Arial Narrow" w:hAnsi="Arial Narrow"/>
                <w:sz w:val="18"/>
                <w:szCs w:val="18"/>
              </w:rPr>
            </w:pPr>
            <w:r w:rsidRPr="008E368C">
              <w:rPr>
                <w:rFonts w:ascii="Arial Narrow" w:hAnsi="Arial Narrow"/>
                <w:sz w:val="18"/>
                <w:szCs w:val="18"/>
              </w:rPr>
              <w:t>39,273</w:t>
            </w:r>
          </w:p>
        </w:tc>
        <w:tc>
          <w:tcPr>
            <w:tcW w:w="1430" w:type="dxa"/>
            <w:shd w:val="clear" w:color="auto" w:fill="FFFFFF" w:themeFill="background1"/>
          </w:tcPr>
          <w:p w:rsidRPr="008E368C" w:rsidR="002B7A40" w:rsidP="006063E3" w:rsidRDefault="002B7A40" w14:paraId="088063CD" w14:textId="77777777">
            <w:pPr>
              <w:rPr>
                <w:rFonts w:ascii="Arial Narrow" w:hAnsi="Arial Narrow"/>
                <w:sz w:val="18"/>
                <w:szCs w:val="18"/>
              </w:rPr>
            </w:pPr>
            <w:r w:rsidRPr="008E368C">
              <w:rPr>
                <w:rFonts w:ascii="Arial Narrow" w:hAnsi="Arial Narrow"/>
                <w:sz w:val="18"/>
                <w:szCs w:val="18"/>
              </w:rPr>
              <w:t>1</w:t>
            </w:r>
          </w:p>
        </w:tc>
        <w:tc>
          <w:tcPr>
            <w:tcW w:w="1177" w:type="dxa"/>
            <w:shd w:val="clear" w:color="auto" w:fill="FFFFFF" w:themeFill="background1"/>
          </w:tcPr>
          <w:p w:rsidRPr="008E368C" w:rsidR="002B7A40" w:rsidP="00A65FD6" w:rsidRDefault="002B7A40" w14:paraId="40816BA4" w14:textId="77777777">
            <w:pPr>
              <w:rPr>
                <w:rFonts w:ascii="Arial Narrow" w:hAnsi="Arial Narrow"/>
                <w:sz w:val="18"/>
                <w:szCs w:val="18"/>
              </w:rPr>
            </w:pPr>
            <w:r w:rsidRPr="008E368C">
              <w:rPr>
                <w:rFonts w:ascii="Arial Narrow" w:hAnsi="Arial Narrow"/>
                <w:sz w:val="18"/>
                <w:szCs w:val="18"/>
              </w:rPr>
              <w:t>0.5 minutes</w:t>
            </w:r>
          </w:p>
        </w:tc>
        <w:tc>
          <w:tcPr>
            <w:tcW w:w="990" w:type="dxa"/>
            <w:shd w:val="clear" w:color="auto" w:fill="FFFFFF" w:themeFill="background1"/>
          </w:tcPr>
          <w:p w:rsidRPr="008E368C" w:rsidR="002B7A40" w:rsidP="006063E3" w:rsidRDefault="002B7A40" w14:paraId="400B46F3" w14:textId="77777777">
            <w:pPr>
              <w:rPr>
                <w:rFonts w:ascii="Arial Narrow" w:hAnsi="Arial Narrow"/>
                <w:sz w:val="18"/>
                <w:szCs w:val="18"/>
              </w:rPr>
            </w:pPr>
            <w:r w:rsidRPr="008E368C">
              <w:rPr>
                <w:rFonts w:ascii="Arial Narrow" w:hAnsi="Arial Narrow"/>
                <w:sz w:val="18"/>
                <w:szCs w:val="18"/>
              </w:rPr>
              <w:t>327</w:t>
            </w:r>
          </w:p>
        </w:tc>
        <w:tc>
          <w:tcPr>
            <w:tcW w:w="1069" w:type="dxa"/>
            <w:shd w:val="clear" w:color="auto" w:fill="FFFFFF" w:themeFill="background1"/>
          </w:tcPr>
          <w:p w:rsidRPr="008E368C" w:rsidR="002B7A40" w:rsidP="006063E3" w:rsidRDefault="002B7A40" w14:paraId="0BAD9FFD" w14:textId="77777777">
            <w:pPr>
              <w:rPr>
                <w:rFonts w:ascii="Arial Narrow" w:hAnsi="Arial Narrow"/>
                <w:sz w:val="18"/>
                <w:szCs w:val="18"/>
              </w:rPr>
            </w:pPr>
            <w:r w:rsidRPr="008E368C">
              <w:rPr>
                <w:rFonts w:ascii="Arial Narrow" w:hAnsi="Arial Narrow"/>
                <w:sz w:val="18"/>
                <w:szCs w:val="18"/>
              </w:rPr>
              <w:t>$24.98</w:t>
            </w:r>
          </w:p>
        </w:tc>
        <w:tc>
          <w:tcPr>
            <w:tcW w:w="1430" w:type="dxa"/>
            <w:shd w:val="clear" w:color="auto" w:fill="FFFFFF" w:themeFill="background1"/>
          </w:tcPr>
          <w:p w:rsidRPr="008E368C" w:rsidR="002B7A40" w:rsidP="006063E3" w:rsidRDefault="002B7A40" w14:paraId="1EDF59DF" w14:textId="77777777">
            <w:pPr>
              <w:rPr>
                <w:rFonts w:ascii="Arial Narrow" w:hAnsi="Arial Narrow"/>
                <w:sz w:val="18"/>
                <w:szCs w:val="18"/>
              </w:rPr>
            </w:pPr>
            <w:r w:rsidRPr="008E368C">
              <w:rPr>
                <w:rFonts w:ascii="Arial Narrow" w:hAnsi="Arial Narrow"/>
                <w:sz w:val="18"/>
                <w:szCs w:val="18"/>
              </w:rPr>
              <w:t>$8,175</w:t>
            </w:r>
          </w:p>
        </w:tc>
      </w:tr>
      <w:tr w:rsidRPr="008E368C" w:rsidR="002B7A40" w:rsidTr="002B7A40" w14:paraId="25AF802B" w14:textId="77777777">
        <w:tc>
          <w:tcPr>
            <w:tcW w:w="2443" w:type="dxa"/>
            <w:shd w:val="clear" w:color="auto" w:fill="FFFFFF" w:themeFill="background1"/>
          </w:tcPr>
          <w:p w:rsidRPr="008E368C" w:rsidR="002B7A40" w:rsidP="006063E3" w:rsidRDefault="002B7A40" w14:paraId="5C4F551D" w14:textId="77777777">
            <w:pPr>
              <w:rPr>
                <w:rFonts w:ascii="Arial Narrow" w:hAnsi="Arial Narrow"/>
                <w:sz w:val="18"/>
                <w:szCs w:val="18"/>
              </w:rPr>
            </w:pPr>
            <w:r w:rsidRPr="008E368C">
              <w:rPr>
                <w:rFonts w:ascii="Arial Narrow" w:hAnsi="Arial Narrow"/>
                <w:sz w:val="18"/>
                <w:szCs w:val="18"/>
              </w:rPr>
              <w:t>Total Participants</w:t>
            </w:r>
          </w:p>
        </w:tc>
        <w:tc>
          <w:tcPr>
            <w:tcW w:w="1523" w:type="dxa"/>
            <w:shd w:val="clear" w:color="auto" w:fill="FFFFFF" w:themeFill="background1"/>
          </w:tcPr>
          <w:p w:rsidRPr="008E368C" w:rsidR="002B7A40" w:rsidP="006063E3" w:rsidRDefault="002B7A40" w14:paraId="6A81340A" w14:textId="77777777">
            <w:pPr>
              <w:rPr>
                <w:rFonts w:ascii="Arial Narrow" w:hAnsi="Arial Narrow"/>
                <w:sz w:val="18"/>
                <w:szCs w:val="18"/>
              </w:rPr>
            </w:pPr>
            <w:r w:rsidRPr="008E368C">
              <w:rPr>
                <w:rFonts w:ascii="Arial Narrow" w:hAnsi="Arial Narrow"/>
                <w:sz w:val="18"/>
                <w:szCs w:val="18"/>
              </w:rPr>
              <w:t>2,045 (Included in the above)</w:t>
            </w:r>
          </w:p>
        </w:tc>
        <w:tc>
          <w:tcPr>
            <w:tcW w:w="1430" w:type="dxa"/>
            <w:shd w:val="clear" w:color="auto" w:fill="FFFFFF" w:themeFill="background1"/>
          </w:tcPr>
          <w:p w:rsidRPr="008E368C" w:rsidR="002B7A40" w:rsidP="006063E3" w:rsidRDefault="002B7A40" w14:paraId="79B66328" w14:textId="77777777">
            <w:pPr>
              <w:rPr>
                <w:rFonts w:ascii="Arial Narrow" w:hAnsi="Arial Narrow"/>
                <w:sz w:val="18"/>
                <w:szCs w:val="18"/>
              </w:rPr>
            </w:pPr>
            <w:r w:rsidRPr="008E368C">
              <w:rPr>
                <w:rFonts w:ascii="Arial Narrow" w:hAnsi="Arial Narrow"/>
                <w:sz w:val="18"/>
                <w:szCs w:val="18"/>
              </w:rPr>
              <w:t>1</w:t>
            </w:r>
          </w:p>
        </w:tc>
        <w:tc>
          <w:tcPr>
            <w:tcW w:w="1177" w:type="dxa"/>
            <w:shd w:val="clear" w:color="auto" w:fill="FFFFFF" w:themeFill="background1"/>
          </w:tcPr>
          <w:p w:rsidRPr="008E368C" w:rsidR="002B7A40" w:rsidP="006063E3" w:rsidRDefault="002B7A40" w14:paraId="6506FB93" w14:textId="77777777">
            <w:pPr>
              <w:rPr>
                <w:rFonts w:ascii="Arial Narrow" w:hAnsi="Arial Narrow"/>
                <w:sz w:val="18"/>
                <w:szCs w:val="18"/>
              </w:rPr>
            </w:pPr>
            <w:r w:rsidRPr="008E368C">
              <w:rPr>
                <w:rFonts w:ascii="Arial Narrow" w:hAnsi="Arial Narrow"/>
                <w:sz w:val="18"/>
                <w:szCs w:val="18"/>
              </w:rPr>
              <w:t>23 minutes</w:t>
            </w:r>
          </w:p>
        </w:tc>
        <w:tc>
          <w:tcPr>
            <w:tcW w:w="990" w:type="dxa"/>
            <w:shd w:val="clear" w:color="auto" w:fill="FFFFFF" w:themeFill="background1"/>
          </w:tcPr>
          <w:p w:rsidRPr="008E368C" w:rsidR="002B7A40" w:rsidP="006063E3" w:rsidRDefault="002B7A40" w14:paraId="57EE34F5" w14:textId="77777777">
            <w:pPr>
              <w:rPr>
                <w:rFonts w:ascii="Arial Narrow" w:hAnsi="Arial Narrow"/>
                <w:sz w:val="18"/>
                <w:szCs w:val="18"/>
              </w:rPr>
            </w:pPr>
            <w:r w:rsidRPr="008E368C">
              <w:rPr>
                <w:rFonts w:ascii="Arial Narrow" w:hAnsi="Arial Narrow"/>
                <w:sz w:val="18"/>
                <w:szCs w:val="18"/>
              </w:rPr>
              <w:t>784</w:t>
            </w:r>
          </w:p>
        </w:tc>
        <w:tc>
          <w:tcPr>
            <w:tcW w:w="1069" w:type="dxa"/>
            <w:shd w:val="clear" w:color="auto" w:fill="FFFFFF" w:themeFill="background1"/>
          </w:tcPr>
          <w:p w:rsidRPr="008E368C" w:rsidR="002B7A40" w:rsidP="006063E3" w:rsidRDefault="002B7A40" w14:paraId="68726CD3" w14:textId="77777777">
            <w:pPr>
              <w:rPr>
                <w:rFonts w:ascii="Arial Narrow" w:hAnsi="Arial Narrow"/>
                <w:sz w:val="18"/>
                <w:szCs w:val="18"/>
              </w:rPr>
            </w:pPr>
            <w:r w:rsidRPr="008E368C">
              <w:rPr>
                <w:rFonts w:ascii="Arial Narrow" w:hAnsi="Arial Narrow"/>
                <w:sz w:val="18"/>
                <w:szCs w:val="18"/>
              </w:rPr>
              <w:t>$24.98</w:t>
            </w:r>
          </w:p>
        </w:tc>
        <w:tc>
          <w:tcPr>
            <w:tcW w:w="1430" w:type="dxa"/>
            <w:shd w:val="clear" w:color="auto" w:fill="FFFFFF" w:themeFill="background1"/>
          </w:tcPr>
          <w:p w:rsidRPr="008E368C" w:rsidR="002B7A40" w:rsidP="006063E3" w:rsidRDefault="002B7A40" w14:paraId="08C5C1FB" w14:textId="77777777">
            <w:pPr>
              <w:rPr>
                <w:rFonts w:ascii="Arial Narrow" w:hAnsi="Arial Narrow"/>
                <w:sz w:val="18"/>
                <w:szCs w:val="18"/>
              </w:rPr>
            </w:pPr>
            <w:r w:rsidRPr="008E368C">
              <w:rPr>
                <w:rFonts w:ascii="Arial Narrow" w:hAnsi="Arial Narrow"/>
                <w:sz w:val="18"/>
                <w:szCs w:val="18"/>
              </w:rPr>
              <w:t>$19,582</w:t>
            </w:r>
          </w:p>
        </w:tc>
      </w:tr>
      <w:tr w:rsidRPr="008E368C" w:rsidR="002B7A40" w:rsidTr="002B7A40" w14:paraId="44E8E324" w14:textId="77777777">
        <w:tc>
          <w:tcPr>
            <w:tcW w:w="2443" w:type="dxa"/>
            <w:shd w:val="clear" w:color="auto" w:fill="FFFFFF" w:themeFill="background1"/>
          </w:tcPr>
          <w:p w:rsidRPr="008E368C" w:rsidR="002B7A40" w:rsidP="006063E3" w:rsidRDefault="002B7A40" w14:paraId="58D4BE1F" w14:textId="77777777">
            <w:pPr>
              <w:rPr>
                <w:rFonts w:ascii="Arial Narrow" w:hAnsi="Arial Narrow"/>
                <w:b/>
                <w:sz w:val="18"/>
                <w:szCs w:val="18"/>
              </w:rPr>
            </w:pPr>
            <w:r w:rsidRPr="008E368C">
              <w:rPr>
                <w:rFonts w:ascii="Arial Narrow" w:hAnsi="Arial Narrow"/>
                <w:b/>
                <w:sz w:val="18"/>
                <w:szCs w:val="18"/>
              </w:rPr>
              <w:t>Total</w:t>
            </w:r>
          </w:p>
        </w:tc>
        <w:tc>
          <w:tcPr>
            <w:tcW w:w="1523" w:type="dxa"/>
            <w:shd w:val="clear" w:color="auto" w:fill="FFFFFF" w:themeFill="background1"/>
          </w:tcPr>
          <w:p w:rsidRPr="008E368C" w:rsidR="002B7A40" w:rsidP="006063E3" w:rsidRDefault="002B7A40" w14:paraId="748E968E" w14:textId="77777777">
            <w:pPr>
              <w:rPr>
                <w:rFonts w:ascii="Arial Narrow" w:hAnsi="Arial Narrow"/>
                <w:b/>
                <w:sz w:val="18"/>
                <w:szCs w:val="18"/>
              </w:rPr>
            </w:pPr>
            <w:r w:rsidRPr="008E368C">
              <w:rPr>
                <w:rFonts w:ascii="Arial Narrow" w:hAnsi="Arial Narrow"/>
                <w:b/>
                <w:sz w:val="18"/>
                <w:szCs w:val="18"/>
              </w:rPr>
              <w:t>39,273</w:t>
            </w:r>
          </w:p>
        </w:tc>
        <w:tc>
          <w:tcPr>
            <w:tcW w:w="1430" w:type="dxa"/>
            <w:shd w:val="clear" w:color="auto" w:fill="FFFFFF" w:themeFill="background1"/>
          </w:tcPr>
          <w:p w:rsidRPr="008E368C" w:rsidR="002B7A40" w:rsidP="006063E3" w:rsidRDefault="002B7A40" w14:paraId="1D32C9FD" w14:textId="77777777">
            <w:pPr>
              <w:rPr>
                <w:rFonts w:ascii="Arial Narrow" w:hAnsi="Arial Narrow"/>
                <w:b/>
                <w:sz w:val="18"/>
                <w:szCs w:val="18"/>
              </w:rPr>
            </w:pPr>
          </w:p>
        </w:tc>
        <w:tc>
          <w:tcPr>
            <w:tcW w:w="1177" w:type="dxa"/>
            <w:shd w:val="clear" w:color="auto" w:fill="FFFFFF" w:themeFill="background1"/>
          </w:tcPr>
          <w:p w:rsidRPr="008E368C" w:rsidR="002B7A40" w:rsidP="006063E3" w:rsidRDefault="002B7A40" w14:paraId="407BA0E3" w14:textId="77777777">
            <w:pPr>
              <w:rPr>
                <w:rFonts w:ascii="Arial Narrow" w:hAnsi="Arial Narrow"/>
                <w:b/>
                <w:sz w:val="18"/>
                <w:szCs w:val="18"/>
              </w:rPr>
            </w:pPr>
          </w:p>
        </w:tc>
        <w:tc>
          <w:tcPr>
            <w:tcW w:w="990" w:type="dxa"/>
            <w:shd w:val="clear" w:color="auto" w:fill="FFFFFF" w:themeFill="background1"/>
          </w:tcPr>
          <w:p w:rsidRPr="008E368C" w:rsidR="002B7A40" w:rsidP="006063E3" w:rsidRDefault="002B7A40" w14:paraId="61D80439" w14:textId="77777777">
            <w:pPr>
              <w:rPr>
                <w:rFonts w:ascii="Arial Narrow" w:hAnsi="Arial Narrow"/>
                <w:b/>
                <w:sz w:val="18"/>
                <w:szCs w:val="18"/>
              </w:rPr>
            </w:pPr>
            <w:r w:rsidRPr="008E368C">
              <w:rPr>
                <w:rFonts w:ascii="Arial Narrow" w:hAnsi="Arial Narrow"/>
                <w:b/>
                <w:sz w:val="18"/>
                <w:szCs w:val="18"/>
              </w:rPr>
              <w:t>1,111</w:t>
            </w:r>
          </w:p>
        </w:tc>
        <w:tc>
          <w:tcPr>
            <w:tcW w:w="1069" w:type="dxa"/>
            <w:shd w:val="clear" w:color="auto" w:fill="FFFFFF" w:themeFill="background1"/>
          </w:tcPr>
          <w:p w:rsidRPr="008E368C" w:rsidR="002B7A40" w:rsidP="006063E3" w:rsidRDefault="002B7A40" w14:paraId="3726DDCB" w14:textId="77777777">
            <w:pPr>
              <w:rPr>
                <w:rFonts w:ascii="Arial Narrow" w:hAnsi="Arial Narrow"/>
                <w:b/>
                <w:sz w:val="18"/>
                <w:szCs w:val="18"/>
              </w:rPr>
            </w:pPr>
          </w:p>
        </w:tc>
        <w:tc>
          <w:tcPr>
            <w:tcW w:w="1430" w:type="dxa"/>
            <w:shd w:val="clear" w:color="auto" w:fill="FFFFFF" w:themeFill="background1"/>
          </w:tcPr>
          <w:p w:rsidRPr="008E368C" w:rsidR="002B7A40" w:rsidP="006063E3" w:rsidRDefault="002B7A40" w14:paraId="69177B7A" w14:textId="77777777">
            <w:pPr>
              <w:rPr>
                <w:rFonts w:ascii="Arial Narrow" w:hAnsi="Arial Narrow"/>
                <w:b/>
                <w:sz w:val="18"/>
                <w:szCs w:val="18"/>
              </w:rPr>
            </w:pPr>
            <w:r w:rsidRPr="008E368C">
              <w:rPr>
                <w:rFonts w:ascii="Arial Narrow" w:hAnsi="Arial Narrow"/>
                <w:b/>
                <w:sz w:val="18"/>
                <w:szCs w:val="18"/>
              </w:rPr>
              <w:t>$27,758</w:t>
            </w:r>
          </w:p>
        </w:tc>
      </w:tr>
    </w:tbl>
    <w:p w:rsidRPr="0027795B" w:rsidR="00D2703D" w:rsidP="006063E3" w:rsidRDefault="00D2703D" w14:paraId="355EC487" w14:textId="77777777">
      <w:pPr>
        <w:ind w:left="360"/>
      </w:pPr>
      <w:r w:rsidRPr="0027795B">
        <w:t>*Totals may not appear to add correctly due to rounding.</w:t>
      </w:r>
      <w:r w:rsidRPr="0027795B" w:rsidR="00492140">
        <w:t xml:space="preserve">  </w:t>
      </w:r>
    </w:p>
    <w:p w:rsidRPr="0027795B" w:rsidR="004613B7" w:rsidP="006063E3" w:rsidRDefault="00492140" w14:paraId="0FA650D4" w14:textId="77777777">
      <w:pPr>
        <w:ind w:left="360"/>
        <w:rPr>
          <w:b/>
        </w:rPr>
      </w:pPr>
      <w:r w:rsidRPr="0027795B">
        <w:t xml:space="preserve">   </w:t>
      </w:r>
      <w:r w:rsidRPr="0027795B" w:rsidR="004613B7">
        <w:t xml:space="preserve">                                                                                                </w:t>
      </w:r>
    </w:p>
    <w:p w:rsidRPr="005E71E0" w:rsidR="004613B7" w:rsidP="006063E3" w:rsidRDefault="005E71E0" w14:paraId="7A778A10" w14:textId="0B616E30">
      <w:pPr>
        <w:pStyle w:val="ListParagraph"/>
        <w:numPr>
          <w:ilvl w:val="0"/>
          <w:numId w:val="20"/>
        </w:numPr>
        <w:rPr>
          <w:b/>
        </w:rPr>
      </w:pPr>
      <w:r w:rsidRPr="00F820CF">
        <w:rPr>
          <w:u w:val="single"/>
        </w:rPr>
        <w:t>ESTIMATED TOTAL ANNUAL COST BURDEN TO RESPONDENTS</w:t>
      </w:r>
    </w:p>
    <w:p w:rsidRPr="0027795B" w:rsidR="005E71E0" w:rsidP="005E71E0" w:rsidRDefault="005E71E0" w14:paraId="33CCDFA3" w14:textId="77777777">
      <w:pPr>
        <w:pStyle w:val="ListParagraph"/>
        <w:ind w:left="360"/>
        <w:rPr>
          <w:b/>
        </w:rPr>
      </w:pPr>
    </w:p>
    <w:p w:rsidR="004613B7" w:rsidP="006063E3" w:rsidRDefault="0091099E" w14:paraId="56F878BA" w14:textId="7D74B14A">
      <w:pPr>
        <w:ind w:left="360"/>
        <w:rPr>
          <w:color w:val="000000"/>
        </w:rPr>
      </w:pPr>
      <w:r w:rsidRPr="0027795B">
        <w:rPr>
          <w:color w:val="000000"/>
        </w:rPr>
        <w:t xml:space="preserve">There </w:t>
      </w:r>
      <w:r w:rsidRPr="0027795B" w:rsidR="00DF74DF">
        <w:rPr>
          <w:color w:val="000000"/>
        </w:rPr>
        <w:t>are</w:t>
      </w:r>
      <w:r w:rsidRPr="0027795B">
        <w:rPr>
          <w:color w:val="000000"/>
        </w:rPr>
        <w:t xml:space="preserve"> no </w:t>
      </w:r>
      <w:r w:rsidRPr="0027795B" w:rsidR="00DF74DF">
        <w:rPr>
          <w:color w:val="000000"/>
        </w:rPr>
        <w:t xml:space="preserve">out-of-pocket </w:t>
      </w:r>
      <w:r w:rsidRPr="0027795B">
        <w:rPr>
          <w:color w:val="000000"/>
        </w:rPr>
        <w:t>cost</w:t>
      </w:r>
      <w:r w:rsidRPr="0027795B" w:rsidR="00DF74DF">
        <w:rPr>
          <w:color w:val="000000"/>
        </w:rPr>
        <w:t>s</w:t>
      </w:r>
      <w:r w:rsidRPr="0027795B">
        <w:rPr>
          <w:color w:val="000000"/>
        </w:rPr>
        <w:t xml:space="preserve"> to respondents.</w:t>
      </w:r>
      <w:r w:rsidRPr="0027795B" w:rsidR="00BE0806">
        <w:rPr>
          <w:color w:val="000000"/>
        </w:rPr>
        <w:t xml:space="preserve">  The total estimated annual cost burden to respondents is </w:t>
      </w:r>
      <w:r w:rsidRPr="0027795B" w:rsidR="00D2703D">
        <w:rPr>
          <w:color w:val="000000"/>
        </w:rPr>
        <w:t xml:space="preserve">estimated to be </w:t>
      </w:r>
      <w:r w:rsidRPr="0027795B" w:rsidR="00BE0806">
        <w:rPr>
          <w:color w:val="000000"/>
        </w:rPr>
        <w:t>$27,75</w:t>
      </w:r>
      <w:r w:rsidRPr="0027795B" w:rsidR="00A65FD6">
        <w:rPr>
          <w:color w:val="000000"/>
        </w:rPr>
        <w:t>8</w:t>
      </w:r>
      <w:r w:rsidRPr="0027795B" w:rsidR="00DF74DF">
        <w:rPr>
          <w:color w:val="000000"/>
        </w:rPr>
        <w:t>, accounting for the value of their time</w:t>
      </w:r>
      <w:r w:rsidRPr="0027795B" w:rsidR="00BE0806">
        <w:rPr>
          <w:color w:val="000000"/>
        </w:rPr>
        <w:t>.  The surveys take place across the United States with all cross-sections of society.  This estimate was created using the mean hourly wage for all occupations ($24.98) from the B</w:t>
      </w:r>
      <w:r w:rsidRPr="0027795B" w:rsidR="00DF74DF">
        <w:rPr>
          <w:color w:val="000000"/>
        </w:rPr>
        <w:t xml:space="preserve">ureau of </w:t>
      </w:r>
      <w:r w:rsidRPr="0027795B" w:rsidR="00BE0806">
        <w:rPr>
          <w:color w:val="000000"/>
        </w:rPr>
        <w:t>L</w:t>
      </w:r>
      <w:r w:rsidRPr="0027795B" w:rsidR="00DF74DF">
        <w:rPr>
          <w:color w:val="000000"/>
        </w:rPr>
        <w:t xml:space="preserve">abor </w:t>
      </w:r>
      <w:r w:rsidRPr="0027795B" w:rsidR="00BE0806">
        <w:rPr>
          <w:color w:val="000000"/>
        </w:rPr>
        <w:t>S</w:t>
      </w:r>
      <w:r w:rsidRPr="0027795B" w:rsidR="00DF74DF">
        <w:rPr>
          <w:color w:val="000000"/>
        </w:rPr>
        <w:t>tatistics</w:t>
      </w:r>
      <w:r w:rsidRPr="0027795B" w:rsidR="00BE0806">
        <w:rPr>
          <w:color w:val="000000"/>
        </w:rPr>
        <w:t xml:space="preserve"> May 2018 National Occupational Employment and Wage Estimates - United States.</w:t>
      </w:r>
      <w:r w:rsidRPr="0027795B" w:rsidR="00D2703D">
        <w:rPr>
          <w:rStyle w:val="FootnoteReference"/>
          <w:color w:val="000000"/>
        </w:rPr>
        <w:footnoteReference w:id="2"/>
      </w:r>
    </w:p>
    <w:p w:rsidR="00811A42" w:rsidP="006063E3" w:rsidRDefault="00811A42" w14:paraId="00C264B0" w14:textId="3C9D70B4">
      <w:pPr>
        <w:ind w:left="360"/>
        <w:rPr>
          <w:color w:val="000000"/>
        </w:rPr>
      </w:pPr>
    </w:p>
    <w:p w:rsidRPr="00F820CF" w:rsidR="00811A42" w:rsidP="00811A42" w:rsidRDefault="00811A42" w14:paraId="21B4BD02" w14:textId="77777777">
      <w:pPr>
        <w:ind w:left="360"/>
      </w:pPr>
      <w:r w:rsidRPr="00895219">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7795B" w:rsidR="00F36A54" w:rsidP="006063E3" w:rsidRDefault="00F36A54" w14:paraId="153C6D96" w14:textId="77777777">
      <w:pPr>
        <w:ind w:left="360"/>
      </w:pPr>
    </w:p>
    <w:p w:rsidRPr="005E71E0" w:rsidR="005E71E0" w:rsidP="005E71E0" w:rsidRDefault="005E71E0" w14:paraId="1ADA0EF3" w14:textId="2FE1F829">
      <w:pPr>
        <w:pStyle w:val="Level1"/>
        <w:numPr>
          <w:ilvl w:val="0"/>
          <w:numId w:val="20"/>
        </w:numPr>
        <w:tabs>
          <w:tab w:val="left" w:pos="-1440"/>
        </w:tabs>
        <w:rPr>
          <w:rFonts w:ascii="Times New Roman" w:hAnsi="Times New Roman"/>
        </w:rPr>
      </w:pPr>
      <w:r w:rsidRPr="00F820CF">
        <w:rPr>
          <w:rFonts w:ascii="Times New Roman" w:hAnsi="Times New Roman"/>
          <w:u w:val="single"/>
        </w:rPr>
        <w:t>ESTIMATED ANNUALIZED COST TO THE FEDERAL GOVERNMENT</w:t>
      </w:r>
    </w:p>
    <w:p w:rsidRPr="00F820CF" w:rsidR="005E71E0" w:rsidP="005E71E0" w:rsidRDefault="005E71E0" w14:paraId="0AFA0A73" w14:textId="77777777">
      <w:pPr>
        <w:pStyle w:val="Level1"/>
        <w:numPr>
          <w:ilvl w:val="0"/>
          <w:numId w:val="0"/>
        </w:numPr>
        <w:tabs>
          <w:tab w:val="left" w:pos="-1440"/>
        </w:tabs>
        <w:ind w:left="360"/>
        <w:rPr>
          <w:rFonts w:ascii="Times New Roman" w:hAnsi="Times New Roman"/>
        </w:rPr>
      </w:pPr>
    </w:p>
    <w:p w:rsidRPr="0027795B" w:rsidR="004613B7" w:rsidP="006063E3" w:rsidRDefault="00DF74DF" w14:paraId="4C0D8434" w14:textId="77777777">
      <w:pPr>
        <w:pStyle w:val="ListParagraph"/>
        <w:ind w:left="360"/>
        <w:rPr>
          <w:color w:val="000000" w:themeColor="text1"/>
        </w:rPr>
      </w:pPr>
      <w:r w:rsidRPr="0027795B">
        <w:rPr>
          <w:color w:val="000000" w:themeColor="text1"/>
        </w:rPr>
        <w:t xml:space="preserve">The cost to the federal government is </w:t>
      </w:r>
      <w:r w:rsidRPr="0027795B" w:rsidR="004613B7">
        <w:rPr>
          <w:color w:val="000000" w:themeColor="text1"/>
        </w:rPr>
        <w:t>$</w:t>
      </w:r>
      <w:r w:rsidRPr="0027795B" w:rsidR="008502E0">
        <w:rPr>
          <w:color w:val="000000" w:themeColor="text1"/>
        </w:rPr>
        <w:t>294,439.15</w:t>
      </w:r>
      <w:r w:rsidRPr="0027795B">
        <w:rPr>
          <w:color w:val="000000" w:themeColor="text1"/>
        </w:rPr>
        <w:t>, based on the cost of paying the contractor to conduct the surveys.</w:t>
      </w:r>
    </w:p>
    <w:p w:rsidRPr="0027795B" w:rsidR="004613B7" w:rsidP="006063E3" w:rsidRDefault="004613B7" w14:paraId="3D95A6E4" w14:textId="77777777">
      <w:pPr>
        <w:ind w:left="360"/>
      </w:pPr>
    </w:p>
    <w:p w:rsidRPr="005E71E0" w:rsidR="005E71E0" w:rsidP="005E71E0" w:rsidRDefault="005E71E0" w14:paraId="14215C6B" w14:textId="0AD25D25">
      <w:pPr>
        <w:pStyle w:val="Level1"/>
        <w:numPr>
          <w:ilvl w:val="0"/>
          <w:numId w:val="20"/>
        </w:numPr>
        <w:tabs>
          <w:tab w:val="left" w:pos="-1440"/>
        </w:tabs>
        <w:rPr>
          <w:rFonts w:ascii="Times New Roman" w:hAnsi="Times New Roman"/>
        </w:rPr>
      </w:pPr>
      <w:bookmarkStart w:name="_Hlk38375184" w:id="0"/>
      <w:r w:rsidRPr="00F820CF">
        <w:rPr>
          <w:rFonts w:ascii="Times New Roman" w:hAnsi="Times New Roman"/>
          <w:u w:val="single"/>
        </w:rPr>
        <w:t>REASONS FOR CHANGE IN BURDEN</w:t>
      </w:r>
    </w:p>
    <w:p w:rsidRPr="00F820CF" w:rsidR="005E71E0" w:rsidP="005E71E0" w:rsidRDefault="005E71E0" w14:paraId="434C0FDC" w14:textId="77777777">
      <w:pPr>
        <w:pStyle w:val="Level1"/>
        <w:numPr>
          <w:ilvl w:val="0"/>
          <w:numId w:val="0"/>
        </w:numPr>
        <w:tabs>
          <w:tab w:val="left" w:pos="-1440"/>
        </w:tabs>
        <w:ind w:left="360"/>
        <w:rPr>
          <w:rFonts w:ascii="Times New Roman" w:hAnsi="Times New Roman"/>
        </w:rPr>
      </w:pPr>
    </w:p>
    <w:p w:rsidRPr="0027795B" w:rsidR="00F60F5D" w:rsidP="00F60F5D" w:rsidRDefault="0007342E" w14:paraId="268CB409" w14:textId="29A0BE9B">
      <w:pPr>
        <w:ind w:left="360"/>
      </w:pPr>
      <w:r>
        <w:rPr>
          <w:color w:val="000000"/>
        </w:rPr>
        <w:t xml:space="preserve">The Internal Revenue Service (IRS) conducts the Comprehensive Taxpayer Attitude Survey as part of the Service-wide effort to maintain a system of balanced organizational performance measures mandated by the IRS Restructuring and Reform Act (RRA) of 1998.  </w:t>
      </w:r>
      <w:r w:rsidR="00D878FA">
        <w:t xml:space="preserve">The previous package was an emergency approval for six months that was </w:t>
      </w:r>
      <w:r w:rsidR="0050639E">
        <w:t>discontinued prior to expiration</w:t>
      </w:r>
      <w:r w:rsidR="00D878FA">
        <w:t>.</w:t>
      </w:r>
      <w:r w:rsidR="0050639E">
        <w:t xml:space="preserve">  This action reduced the burden to zero.</w:t>
      </w:r>
      <w:bookmarkStart w:name="_GoBack" w:id="1"/>
      <w:bookmarkEnd w:id="1"/>
      <w:r w:rsidR="00D878FA">
        <w:t xml:space="preserve">  We are making this submission to reinstate the information collection and are not making any changes to the burden previously approved.</w:t>
      </w:r>
    </w:p>
    <w:bookmarkEnd w:id="0"/>
    <w:p w:rsidRPr="0027795B" w:rsidR="00AC5736" w:rsidP="006063E3" w:rsidRDefault="00AC5736" w14:paraId="7EE38592" w14:textId="77777777">
      <w:pPr>
        <w:ind w:left="360"/>
        <w:rPr>
          <w:b/>
        </w:rPr>
      </w:pPr>
    </w:p>
    <w:p w:rsidRPr="005E71E0" w:rsidR="004613B7" w:rsidP="006063E3" w:rsidRDefault="005E71E0" w14:paraId="79883D1A" w14:textId="44422CBA">
      <w:pPr>
        <w:pStyle w:val="ListParagraph"/>
        <w:numPr>
          <w:ilvl w:val="0"/>
          <w:numId w:val="20"/>
        </w:numPr>
        <w:rPr>
          <w:b/>
        </w:rPr>
      </w:pPr>
      <w:r w:rsidRPr="00F820CF">
        <w:rPr>
          <w:u w:val="single"/>
        </w:rPr>
        <w:t>PLANS FOR TABULATION, STATISTICAL ANALYSIS AND PUBLICATION</w:t>
      </w:r>
    </w:p>
    <w:p w:rsidRPr="0027795B" w:rsidR="005E71E0" w:rsidP="005E71E0" w:rsidRDefault="005E71E0" w14:paraId="39BAC1FF" w14:textId="77777777">
      <w:pPr>
        <w:pStyle w:val="ListParagraph"/>
        <w:ind w:left="360"/>
        <w:rPr>
          <w:b/>
        </w:rPr>
      </w:pPr>
    </w:p>
    <w:p w:rsidRPr="0027795B" w:rsidR="004613B7" w:rsidP="006063E3" w:rsidRDefault="004613B7" w14:paraId="7A9D1371" w14:textId="77777777">
      <w:pPr>
        <w:ind w:left="360"/>
      </w:pPr>
      <w:r w:rsidRPr="0027795B">
        <w:t>The data will be collected using</w:t>
      </w:r>
      <w:r w:rsidRPr="0027795B" w:rsidR="00BD7822">
        <w:t xml:space="preserve"> concurrent</w:t>
      </w:r>
      <w:r w:rsidRPr="0027795B">
        <w:t xml:space="preserve"> telephone </w:t>
      </w:r>
      <w:r w:rsidRPr="0027795B" w:rsidR="007440C2">
        <w:t xml:space="preserve">and online </w:t>
      </w:r>
      <w:r w:rsidRPr="0027795B">
        <w:t>survey</w:t>
      </w:r>
      <w:r w:rsidRPr="0027795B" w:rsidR="007440C2">
        <w:t>s</w:t>
      </w:r>
      <w:r w:rsidRPr="0027795B">
        <w:t xml:space="preserve"> in August</w:t>
      </w:r>
      <w:r w:rsidRPr="0027795B" w:rsidR="00D2703D">
        <w:t xml:space="preserve"> and September</w:t>
      </w:r>
      <w:r w:rsidRPr="0027795B">
        <w:t xml:space="preserve"> 20</w:t>
      </w:r>
      <w:r w:rsidRPr="0027795B" w:rsidR="00721437">
        <w:t>20</w:t>
      </w:r>
      <w:r w:rsidRPr="0027795B" w:rsidR="00B76EF0">
        <w:t>, and subsequent periods through 2023</w:t>
      </w:r>
      <w:r w:rsidRPr="0027795B">
        <w:t>. Data from the survey</w:t>
      </w:r>
      <w:r w:rsidRPr="0027795B" w:rsidR="00BD7822">
        <w:t>s</w:t>
      </w:r>
      <w:r w:rsidRPr="0027795B">
        <w:t xml:space="preserve">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27795B">
        <w:rPr>
          <w:iCs/>
          <w:snapToGrid w:val="0"/>
        </w:rPr>
        <w:t xml:space="preserve">The data will </w:t>
      </w:r>
      <w:r w:rsidRPr="0027795B">
        <w:t xml:space="preserve">help </w:t>
      </w:r>
      <w:r w:rsidRPr="0027795B" w:rsidR="00D11B6D">
        <w:t>RAAS</w:t>
      </w:r>
      <w:r w:rsidRPr="0027795B">
        <w:t xml:space="preserve"> to further develop general service improvement in tax administration.</w:t>
      </w:r>
    </w:p>
    <w:p w:rsidRPr="0027795B" w:rsidR="004613B7" w:rsidP="006063E3" w:rsidRDefault="004613B7" w14:paraId="76FFBFC6" w14:textId="77777777">
      <w:pPr>
        <w:ind w:left="360"/>
      </w:pPr>
    </w:p>
    <w:p w:rsidRPr="0027795B" w:rsidR="004613B7" w:rsidP="006063E3" w:rsidRDefault="004613B7" w14:paraId="4C6CF428" w14:textId="77777777">
      <w:pPr>
        <w:ind w:left="360"/>
        <w:rPr>
          <w:snapToGrid w:val="0"/>
        </w:rPr>
      </w:pPr>
      <w:r w:rsidRPr="0027795B">
        <w:rPr>
          <w:snapToGrid w:val="0"/>
        </w:rPr>
        <w:t xml:space="preserve">Because the expected response rate is less than 50%, no critical decisions will be made solely from the analysis of the data from this survey. The results of this survey are simply one piece of a larger set of information needed to assess taxpayers’ attitudes and needs and help </w:t>
      </w:r>
      <w:r w:rsidRPr="0027795B" w:rsidR="00D11B6D">
        <w:rPr>
          <w:snapToGrid w:val="0"/>
        </w:rPr>
        <w:t>RAAS</w:t>
      </w:r>
      <w:r w:rsidRPr="0027795B">
        <w:rPr>
          <w:snapToGrid w:val="0"/>
        </w:rPr>
        <w:t xml:space="preserve"> better direct the IRS.</w:t>
      </w:r>
      <w:r w:rsidRPr="0027795B" w:rsidR="003A6ACD">
        <w:rPr>
          <w:snapToGrid w:val="0"/>
        </w:rPr>
        <w:t xml:space="preserve">  The Executive Report of the survey will be published on the IRS Tax Stats website in the spring of 202</w:t>
      </w:r>
      <w:r w:rsidRPr="0027795B" w:rsidR="00721437">
        <w:rPr>
          <w:snapToGrid w:val="0"/>
        </w:rPr>
        <w:t>1</w:t>
      </w:r>
      <w:r w:rsidRPr="0027795B" w:rsidR="00B76EF0">
        <w:rPr>
          <w:snapToGrid w:val="0"/>
        </w:rPr>
        <w:t>, and subsequent years through 2023</w:t>
      </w:r>
      <w:r w:rsidRPr="0027795B" w:rsidR="003A6ACD">
        <w:rPr>
          <w:snapToGrid w:val="0"/>
        </w:rPr>
        <w:t>.  A few highlights from the Executive Report will be published in the IRS Data Book, which is published in March of each year.  The results will be high level totals with some demographic groupings.</w:t>
      </w:r>
    </w:p>
    <w:p w:rsidRPr="0027795B" w:rsidR="00DE2EA3" w:rsidP="006063E3" w:rsidRDefault="00DE2EA3" w14:paraId="0ADF8BA9" w14:textId="1F079709">
      <w:pPr>
        <w:ind w:left="360"/>
      </w:pPr>
    </w:p>
    <w:p w:rsidRPr="0027795B" w:rsidR="00032ADE" w:rsidP="006063E3" w:rsidRDefault="00032ADE" w14:paraId="0139FF34" w14:textId="77777777">
      <w:pPr>
        <w:ind w:left="360"/>
      </w:pPr>
    </w:p>
    <w:p w:rsidRPr="005E71E0" w:rsidR="005E71E0" w:rsidP="005E71E0" w:rsidRDefault="005E71E0" w14:paraId="65E8EB91" w14:textId="144020C8">
      <w:pPr>
        <w:pStyle w:val="Level1"/>
        <w:numPr>
          <w:ilvl w:val="0"/>
          <w:numId w:val="20"/>
        </w:numPr>
        <w:tabs>
          <w:tab w:val="left" w:pos="-144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5E71E0" w:rsidP="005E71E0" w:rsidRDefault="005E71E0" w14:paraId="7B366767" w14:textId="77777777">
      <w:pPr>
        <w:pStyle w:val="Level1"/>
        <w:numPr>
          <w:ilvl w:val="0"/>
          <w:numId w:val="0"/>
        </w:numPr>
        <w:tabs>
          <w:tab w:val="left" w:pos="-1440"/>
        </w:tabs>
        <w:ind w:left="360"/>
        <w:rPr>
          <w:rFonts w:ascii="Times New Roman" w:hAnsi="Times New Roman"/>
        </w:rPr>
      </w:pPr>
    </w:p>
    <w:p w:rsidRPr="0027795B" w:rsidR="007B6662" w:rsidP="006063E3" w:rsidRDefault="007B6662" w14:paraId="641CB828" w14:textId="77777777">
      <w:pPr>
        <w:pStyle w:val="ListParagraph"/>
        <w:ind w:left="360"/>
        <w:rPr>
          <w:b/>
        </w:rPr>
      </w:pPr>
      <w:r w:rsidRPr="0027795B">
        <w:rPr>
          <w:color w:val="000000"/>
        </w:rPr>
        <w:t>IRS is seeking approval to not display the expiration date for OMB approval, as this is a limited-duration collection</w:t>
      </w:r>
      <w:r w:rsidRPr="0027795B" w:rsidR="008D5EC8">
        <w:rPr>
          <w:color w:val="000000"/>
        </w:rPr>
        <w:t xml:space="preserve"> and disclosure over the telephone adds time and complexity to the script</w:t>
      </w:r>
      <w:r w:rsidRPr="0027795B">
        <w:rPr>
          <w:color w:val="000000"/>
        </w:rPr>
        <w:t>.</w:t>
      </w:r>
    </w:p>
    <w:p w:rsidRPr="0027795B" w:rsidR="004613B7" w:rsidP="006063E3" w:rsidRDefault="004613B7" w14:paraId="3CD1CAD2" w14:textId="77777777">
      <w:pPr>
        <w:ind w:left="360"/>
      </w:pPr>
    </w:p>
    <w:p w:rsidRPr="005E71E0" w:rsidR="005E71E0" w:rsidP="005E71E0" w:rsidRDefault="005E71E0" w14:paraId="1ECC1280" w14:textId="78DBDD11">
      <w:pPr>
        <w:pStyle w:val="Level1"/>
        <w:numPr>
          <w:ilvl w:val="0"/>
          <w:numId w:val="20"/>
        </w:numPr>
        <w:tabs>
          <w:tab w:val="left" w:pos="-1440"/>
        </w:tabs>
        <w:rPr>
          <w:rFonts w:ascii="Times New Roman" w:hAnsi="Times New Roman"/>
        </w:rPr>
      </w:pPr>
      <w:r w:rsidRPr="00F820CF">
        <w:rPr>
          <w:rFonts w:ascii="Times New Roman" w:hAnsi="Times New Roman"/>
          <w:u w:val="single"/>
        </w:rPr>
        <w:t xml:space="preserve">EXCEPTIONS TO THE CERTIFICATION STATEMENT </w:t>
      </w:r>
    </w:p>
    <w:p w:rsidRPr="00F820CF" w:rsidR="005E71E0" w:rsidP="005E71E0" w:rsidRDefault="005E71E0" w14:paraId="25BCD767" w14:textId="77777777">
      <w:pPr>
        <w:pStyle w:val="Level1"/>
        <w:numPr>
          <w:ilvl w:val="0"/>
          <w:numId w:val="0"/>
        </w:numPr>
        <w:tabs>
          <w:tab w:val="left" w:pos="-1440"/>
        </w:tabs>
        <w:ind w:left="360"/>
        <w:rPr>
          <w:rFonts w:ascii="Times New Roman" w:hAnsi="Times New Roman"/>
        </w:rPr>
      </w:pPr>
    </w:p>
    <w:p w:rsidRPr="0027795B" w:rsidR="004613B7" w:rsidP="006063E3" w:rsidRDefault="004613B7" w14:paraId="66A72DDE" w14:textId="77777777">
      <w:pPr>
        <w:ind w:left="360"/>
      </w:pPr>
      <w:r w:rsidRPr="0027795B">
        <w:t>These activities comply with the requirements in 5 CFR 1320.9.</w:t>
      </w:r>
    </w:p>
    <w:p w:rsidRPr="0027795B" w:rsidR="004613B7" w:rsidP="006063E3" w:rsidRDefault="004613B7" w14:paraId="36977D08" w14:textId="77777777">
      <w:pPr>
        <w:ind w:left="360"/>
      </w:pPr>
    </w:p>
    <w:p w:rsidRPr="0027795B" w:rsidR="004613B7" w:rsidP="006063E3" w:rsidRDefault="007E6AED" w14:paraId="6CA47E82" w14:textId="77777777">
      <w:pPr>
        <w:pStyle w:val="BodyTextIndent3"/>
        <w:ind w:left="360"/>
        <w:rPr>
          <w:b/>
        </w:rPr>
      </w:pPr>
      <w:r w:rsidRPr="0027795B">
        <w:rPr>
          <w:b/>
        </w:rPr>
        <w:t xml:space="preserve">     </w:t>
      </w:r>
    </w:p>
    <w:p w:rsidRPr="0027795B" w:rsidR="004613B7" w:rsidP="006D0E97" w:rsidRDefault="004613B7" w14:paraId="7D9642ED" w14:textId="77777777">
      <w:pPr>
        <w:pStyle w:val="BodyTextIndent3"/>
        <w:ind w:left="0"/>
        <w:rPr>
          <w:b/>
        </w:rPr>
      </w:pPr>
    </w:p>
    <w:p w:rsidRPr="0027795B" w:rsidR="004613B7" w:rsidP="006063E3" w:rsidRDefault="004613B7" w14:paraId="08926820" w14:textId="77777777">
      <w:pPr>
        <w:ind w:left="360"/>
      </w:pPr>
    </w:p>
    <w:sectPr w:rsidRPr="0027795B" w:rsidR="004613B7" w:rsidSect="00745852">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A8590" w14:textId="77777777" w:rsidR="00A20EF1" w:rsidRDefault="00A20EF1">
      <w:r>
        <w:separator/>
      </w:r>
    </w:p>
  </w:endnote>
  <w:endnote w:type="continuationSeparator" w:id="0">
    <w:p w14:paraId="6E619084" w14:textId="77777777" w:rsidR="00A20EF1" w:rsidRDefault="00A20EF1">
      <w:r>
        <w:continuationSeparator/>
      </w:r>
    </w:p>
  </w:endnote>
  <w:endnote w:type="continuationNotice" w:id="1">
    <w:p w14:paraId="727F0BC4" w14:textId="77777777" w:rsidR="00A20EF1" w:rsidRDefault="00A20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A68C" w14:textId="77777777"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1D0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238A" w14:textId="77777777" w:rsidR="00A20EF1" w:rsidRDefault="00A20EF1">
      <w:r>
        <w:separator/>
      </w:r>
    </w:p>
  </w:footnote>
  <w:footnote w:type="continuationSeparator" w:id="0">
    <w:p w14:paraId="56FACF8E" w14:textId="77777777" w:rsidR="00A20EF1" w:rsidRDefault="00A20EF1">
      <w:r>
        <w:continuationSeparator/>
      </w:r>
    </w:p>
  </w:footnote>
  <w:footnote w:type="continuationNotice" w:id="1">
    <w:p w14:paraId="717B84FD" w14:textId="77777777" w:rsidR="00A20EF1" w:rsidRDefault="00A20EF1"/>
  </w:footnote>
  <w:footnote w:id="2">
    <w:p w14:paraId="5670B9C7" w14:textId="77777777" w:rsidR="00D2703D" w:rsidRDefault="00D2703D">
      <w:pPr>
        <w:pStyle w:val="FootnoteText"/>
      </w:pPr>
      <w:r>
        <w:rPr>
          <w:rStyle w:val="FootnoteReference"/>
        </w:rPr>
        <w:footnoteRef/>
      </w:r>
      <w:r>
        <w:t xml:space="preserve"> </w:t>
      </w:r>
      <w:hyperlink r:id="rId1" w:history="1">
        <w:r>
          <w:rPr>
            <w:rStyle w:val="Hyperlink"/>
          </w:rPr>
          <w:t>https://www.bls.gov/oes/current/oes_nat.htm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CCC6" w14:textId="77777777"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9"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0230D6"/>
    <w:multiLevelType w:val="hybridMultilevel"/>
    <w:tmpl w:val="648E3366"/>
    <w:lvl w:ilvl="0" w:tplc="CC72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15:restartNumberingAfterBreak="0">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5" w15:restartNumberingAfterBreak="0">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15:restartNumberingAfterBreak="0">
    <w:nsid w:val="6D412705"/>
    <w:multiLevelType w:val="hybridMultilevel"/>
    <w:tmpl w:val="DC5E8836"/>
    <w:lvl w:ilvl="0" w:tplc="EE1AEA54">
      <w:start w:val="1"/>
      <w:numFmt w:val="decimal"/>
      <w:lvlText w:val="%1."/>
      <w:lvlJc w:val="left"/>
      <w:pPr>
        <w:ind w:left="360" w:hanging="360"/>
      </w:pPr>
      <w:rPr>
        <w:rFonts w:cs="Times New Roman" w:hint="default"/>
        <w:b w:val="0"/>
        <w:b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4"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5" w15:restartNumberingAfterBreak="0">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4"/>
  </w:num>
  <w:num w:numId="3">
    <w:abstractNumId w:val="43"/>
  </w:num>
  <w:num w:numId="4">
    <w:abstractNumId w:val="45"/>
  </w:num>
  <w:num w:numId="5">
    <w:abstractNumId w:val="9"/>
  </w:num>
  <w:num w:numId="6">
    <w:abstractNumId w:val="4"/>
  </w:num>
  <w:num w:numId="7">
    <w:abstractNumId w:val="20"/>
  </w:num>
  <w:num w:numId="8">
    <w:abstractNumId w:val="38"/>
  </w:num>
  <w:num w:numId="9">
    <w:abstractNumId w:val="24"/>
  </w:num>
  <w:num w:numId="10">
    <w:abstractNumId w:val="5"/>
  </w:num>
  <w:num w:numId="11">
    <w:abstractNumId w:val="13"/>
  </w:num>
  <w:num w:numId="12">
    <w:abstractNumId w:val="16"/>
  </w:num>
  <w:num w:numId="13">
    <w:abstractNumId w:val="2"/>
  </w:num>
  <w:num w:numId="14">
    <w:abstractNumId w:val="41"/>
  </w:num>
  <w:num w:numId="15">
    <w:abstractNumId w:val="37"/>
  </w:num>
  <w:num w:numId="16">
    <w:abstractNumId w:val="28"/>
  </w:num>
  <w:num w:numId="17">
    <w:abstractNumId w:val="10"/>
  </w:num>
  <w:num w:numId="18">
    <w:abstractNumId w:val="12"/>
  </w:num>
  <w:num w:numId="19">
    <w:abstractNumId w:val="26"/>
  </w:num>
  <w:num w:numId="20">
    <w:abstractNumId w:val="39"/>
  </w:num>
  <w:num w:numId="21">
    <w:abstractNumId w:val="14"/>
  </w:num>
  <w:num w:numId="22">
    <w:abstractNumId w:val="23"/>
  </w:num>
  <w:num w:numId="23">
    <w:abstractNumId w:val="3"/>
  </w:num>
  <w:num w:numId="24">
    <w:abstractNumId w:val="18"/>
  </w:num>
  <w:num w:numId="25">
    <w:abstractNumId w:val="6"/>
  </w:num>
  <w:num w:numId="26">
    <w:abstractNumId w:val="32"/>
  </w:num>
  <w:num w:numId="27">
    <w:abstractNumId w:val="31"/>
  </w:num>
  <w:num w:numId="28">
    <w:abstractNumId w:val="11"/>
  </w:num>
  <w:num w:numId="29">
    <w:abstractNumId w:val="21"/>
  </w:num>
  <w:num w:numId="30">
    <w:abstractNumId w:val="7"/>
  </w:num>
  <w:num w:numId="31">
    <w:abstractNumId w:val="29"/>
  </w:num>
  <w:num w:numId="32">
    <w:abstractNumId w:val="42"/>
  </w:num>
  <w:num w:numId="33">
    <w:abstractNumId w:val="40"/>
  </w:num>
  <w:num w:numId="34">
    <w:abstractNumId w:val="36"/>
  </w:num>
  <w:num w:numId="35">
    <w:abstractNumId w:val="15"/>
  </w:num>
  <w:num w:numId="36">
    <w:abstractNumId w:val="22"/>
  </w:num>
  <w:num w:numId="37">
    <w:abstractNumId w:val="35"/>
  </w:num>
  <w:num w:numId="38">
    <w:abstractNumId w:val="19"/>
  </w:num>
  <w:num w:numId="39">
    <w:abstractNumId w:val="33"/>
  </w:num>
  <w:num w:numId="40">
    <w:abstractNumId w:val="8"/>
  </w:num>
  <w:num w:numId="41">
    <w:abstractNumId w:val="30"/>
  </w:num>
  <w:num w:numId="42">
    <w:abstractNumId w:val="34"/>
  </w:num>
  <w:num w:numId="43">
    <w:abstractNumId w:val="46"/>
  </w:num>
  <w:num w:numId="44">
    <w:abstractNumId w:val="27"/>
  </w:num>
  <w:num w:numId="45">
    <w:abstractNumId w:val="17"/>
  </w:num>
  <w:num w:numId="4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0A5"/>
    <w:rsid w:val="000030D3"/>
    <w:rsid w:val="00004E55"/>
    <w:rsid w:val="00005262"/>
    <w:rsid w:val="00023A57"/>
    <w:rsid w:val="00030FD1"/>
    <w:rsid w:val="00032ADE"/>
    <w:rsid w:val="00032F0D"/>
    <w:rsid w:val="000337A6"/>
    <w:rsid w:val="00047A64"/>
    <w:rsid w:val="000514A5"/>
    <w:rsid w:val="00051FE2"/>
    <w:rsid w:val="00054F86"/>
    <w:rsid w:val="00055B7A"/>
    <w:rsid w:val="00064C34"/>
    <w:rsid w:val="00067329"/>
    <w:rsid w:val="000721C7"/>
    <w:rsid w:val="0007342E"/>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030D"/>
    <w:rsid w:val="000F68BE"/>
    <w:rsid w:val="000F7C5D"/>
    <w:rsid w:val="00100A90"/>
    <w:rsid w:val="0010179F"/>
    <w:rsid w:val="001105C8"/>
    <w:rsid w:val="00110C98"/>
    <w:rsid w:val="0012364A"/>
    <w:rsid w:val="00125FDA"/>
    <w:rsid w:val="001271DE"/>
    <w:rsid w:val="001339FD"/>
    <w:rsid w:val="00135832"/>
    <w:rsid w:val="00144BE6"/>
    <w:rsid w:val="00157D98"/>
    <w:rsid w:val="001608BC"/>
    <w:rsid w:val="00166E88"/>
    <w:rsid w:val="00167ABF"/>
    <w:rsid w:val="00170491"/>
    <w:rsid w:val="00171BB9"/>
    <w:rsid w:val="00183AF3"/>
    <w:rsid w:val="001859B4"/>
    <w:rsid w:val="001927A4"/>
    <w:rsid w:val="00194AC6"/>
    <w:rsid w:val="00196496"/>
    <w:rsid w:val="001A0D9E"/>
    <w:rsid w:val="001A23B0"/>
    <w:rsid w:val="001A25CC"/>
    <w:rsid w:val="001A4972"/>
    <w:rsid w:val="001B04D9"/>
    <w:rsid w:val="001B0AAA"/>
    <w:rsid w:val="001B3956"/>
    <w:rsid w:val="001B396B"/>
    <w:rsid w:val="001C2B8F"/>
    <w:rsid w:val="001C32E4"/>
    <w:rsid w:val="001C361F"/>
    <w:rsid w:val="001C39F7"/>
    <w:rsid w:val="001D329A"/>
    <w:rsid w:val="001D74DF"/>
    <w:rsid w:val="001E1AA5"/>
    <w:rsid w:val="001E2E18"/>
    <w:rsid w:val="001F1CA3"/>
    <w:rsid w:val="001F4645"/>
    <w:rsid w:val="001F6360"/>
    <w:rsid w:val="001F7350"/>
    <w:rsid w:val="00203E87"/>
    <w:rsid w:val="0021545C"/>
    <w:rsid w:val="00216C11"/>
    <w:rsid w:val="00217BAA"/>
    <w:rsid w:val="00217FED"/>
    <w:rsid w:val="0022128A"/>
    <w:rsid w:val="002214B5"/>
    <w:rsid w:val="00225C38"/>
    <w:rsid w:val="00236854"/>
    <w:rsid w:val="00237B48"/>
    <w:rsid w:val="0024521E"/>
    <w:rsid w:val="00247F29"/>
    <w:rsid w:val="00260863"/>
    <w:rsid w:val="00263C3D"/>
    <w:rsid w:val="00274D0B"/>
    <w:rsid w:val="0027795B"/>
    <w:rsid w:val="00281EE2"/>
    <w:rsid w:val="002844DF"/>
    <w:rsid w:val="0029450A"/>
    <w:rsid w:val="00295E32"/>
    <w:rsid w:val="002B04BD"/>
    <w:rsid w:val="002B3C95"/>
    <w:rsid w:val="002B7A40"/>
    <w:rsid w:val="002C3FD7"/>
    <w:rsid w:val="002C564C"/>
    <w:rsid w:val="002C7970"/>
    <w:rsid w:val="002C7BBA"/>
    <w:rsid w:val="002D0B92"/>
    <w:rsid w:val="002D0D9E"/>
    <w:rsid w:val="002E1313"/>
    <w:rsid w:val="00306047"/>
    <w:rsid w:val="003123E1"/>
    <w:rsid w:val="0031785A"/>
    <w:rsid w:val="0032313C"/>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A6ACD"/>
    <w:rsid w:val="003B3923"/>
    <w:rsid w:val="003B4F66"/>
    <w:rsid w:val="003C1063"/>
    <w:rsid w:val="003C2130"/>
    <w:rsid w:val="003C5827"/>
    <w:rsid w:val="003C77DB"/>
    <w:rsid w:val="003D039E"/>
    <w:rsid w:val="003D097D"/>
    <w:rsid w:val="003D274C"/>
    <w:rsid w:val="003D5BBE"/>
    <w:rsid w:val="003E3C61"/>
    <w:rsid w:val="003E71A6"/>
    <w:rsid w:val="003F03EF"/>
    <w:rsid w:val="003F1C5B"/>
    <w:rsid w:val="003F6969"/>
    <w:rsid w:val="004005CC"/>
    <w:rsid w:val="00400920"/>
    <w:rsid w:val="00401744"/>
    <w:rsid w:val="00407D6E"/>
    <w:rsid w:val="00416584"/>
    <w:rsid w:val="00420DC8"/>
    <w:rsid w:val="00430BA0"/>
    <w:rsid w:val="00432BB7"/>
    <w:rsid w:val="0043315D"/>
    <w:rsid w:val="00434E33"/>
    <w:rsid w:val="00441434"/>
    <w:rsid w:val="004420FB"/>
    <w:rsid w:val="0045264C"/>
    <w:rsid w:val="004613B7"/>
    <w:rsid w:val="00465CF0"/>
    <w:rsid w:val="004677AA"/>
    <w:rsid w:val="0047072D"/>
    <w:rsid w:val="00480BD0"/>
    <w:rsid w:val="004872C1"/>
    <w:rsid w:val="004876EC"/>
    <w:rsid w:val="00490B0D"/>
    <w:rsid w:val="00492140"/>
    <w:rsid w:val="00495623"/>
    <w:rsid w:val="004A0010"/>
    <w:rsid w:val="004A276E"/>
    <w:rsid w:val="004A39B8"/>
    <w:rsid w:val="004A6FC4"/>
    <w:rsid w:val="004A77CD"/>
    <w:rsid w:val="004B46BE"/>
    <w:rsid w:val="004C0282"/>
    <w:rsid w:val="004C2E95"/>
    <w:rsid w:val="004D1256"/>
    <w:rsid w:val="004D6E14"/>
    <w:rsid w:val="004E0521"/>
    <w:rsid w:val="004E47E1"/>
    <w:rsid w:val="004F1461"/>
    <w:rsid w:val="004F5874"/>
    <w:rsid w:val="005009B0"/>
    <w:rsid w:val="00503D78"/>
    <w:rsid w:val="0050639E"/>
    <w:rsid w:val="0051132F"/>
    <w:rsid w:val="00514C4A"/>
    <w:rsid w:val="005416BB"/>
    <w:rsid w:val="00542DD1"/>
    <w:rsid w:val="00545DC1"/>
    <w:rsid w:val="005522C0"/>
    <w:rsid w:val="00552984"/>
    <w:rsid w:val="00557BA6"/>
    <w:rsid w:val="00560B6C"/>
    <w:rsid w:val="005673EB"/>
    <w:rsid w:val="0057169D"/>
    <w:rsid w:val="0057655A"/>
    <w:rsid w:val="00581365"/>
    <w:rsid w:val="00585DB5"/>
    <w:rsid w:val="00587213"/>
    <w:rsid w:val="005917EE"/>
    <w:rsid w:val="00591FCE"/>
    <w:rsid w:val="005A1006"/>
    <w:rsid w:val="005A3DC5"/>
    <w:rsid w:val="005A48E7"/>
    <w:rsid w:val="005A61BB"/>
    <w:rsid w:val="005C4F43"/>
    <w:rsid w:val="005D7AD2"/>
    <w:rsid w:val="005E3FA8"/>
    <w:rsid w:val="005E6224"/>
    <w:rsid w:val="005E714A"/>
    <w:rsid w:val="005E71E0"/>
    <w:rsid w:val="005F0B69"/>
    <w:rsid w:val="006063E3"/>
    <w:rsid w:val="00607A58"/>
    <w:rsid w:val="00610382"/>
    <w:rsid w:val="006140A0"/>
    <w:rsid w:val="00617E00"/>
    <w:rsid w:val="00622FBF"/>
    <w:rsid w:val="00625700"/>
    <w:rsid w:val="00634A2C"/>
    <w:rsid w:val="00634BB0"/>
    <w:rsid w:val="00636621"/>
    <w:rsid w:val="006429B9"/>
    <w:rsid w:val="00642B49"/>
    <w:rsid w:val="006446A5"/>
    <w:rsid w:val="00645A04"/>
    <w:rsid w:val="00656146"/>
    <w:rsid w:val="0065685E"/>
    <w:rsid w:val="00665447"/>
    <w:rsid w:val="00666282"/>
    <w:rsid w:val="00671D31"/>
    <w:rsid w:val="00676526"/>
    <w:rsid w:val="0068289E"/>
    <w:rsid w:val="006832D9"/>
    <w:rsid w:val="0069403B"/>
    <w:rsid w:val="00696554"/>
    <w:rsid w:val="00696D09"/>
    <w:rsid w:val="006A5947"/>
    <w:rsid w:val="006C27E4"/>
    <w:rsid w:val="006C5FFE"/>
    <w:rsid w:val="006D0E97"/>
    <w:rsid w:val="006D0FFF"/>
    <w:rsid w:val="006D3FBD"/>
    <w:rsid w:val="006E0EB1"/>
    <w:rsid w:val="006E3869"/>
    <w:rsid w:val="006F3DDE"/>
    <w:rsid w:val="006F6212"/>
    <w:rsid w:val="006F64A2"/>
    <w:rsid w:val="007030BE"/>
    <w:rsid w:val="00704678"/>
    <w:rsid w:val="00710CEA"/>
    <w:rsid w:val="0071125A"/>
    <w:rsid w:val="007131C9"/>
    <w:rsid w:val="0071640A"/>
    <w:rsid w:val="00720421"/>
    <w:rsid w:val="00721437"/>
    <w:rsid w:val="00722FE9"/>
    <w:rsid w:val="007231D4"/>
    <w:rsid w:val="00723F88"/>
    <w:rsid w:val="00735222"/>
    <w:rsid w:val="007425E7"/>
    <w:rsid w:val="007426AD"/>
    <w:rsid w:val="007440C2"/>
    <w:rsid w:val="00745852"/>
    <w:rsid w:val="0075296F"/>
    <w:rsid w:val="00757314"/>
    <w:rsid w:val="0076266E"/>
    <w:rsid w:val="00766F69"/>
    <w:rsid w:val="00770B9D"/>
    <w:rsid w:val="00776A9B"/>
    <w:rsid w:val="00777C92"/>
    <w:rsid w:val="007901DF"/>
    <w:rsid w:val="007938A9"/>
    <w:rsid w:val="007A0342"/>
    <w:rsid w:val="007A1A93"/>
    <w:rsid w:val="007A2082"/>
    <w:rsid w:val="007B1AAE"/>
    <w:rsid w:val="007B35B6"/>
    <w:rsid w:val="007B6662"/>
    <w:rsid w:val="007D1731"/>
    <w:rsid w:val="007E2198"/>
    <w:rsid w:val="007E226F"/>
    <w:rsid w:val="007E3AE1"/>
    <w:rsid w:val="007E6AED"/>
    <w:rsid w:val="007F5569"/>
    <w:rsid w:val="00801376"/>
    <w:rsid w:val="00802607"/>
    <w:rsid w:val="00802D0E"/>
    <w:rsid w:val="00803DC5"/>
    <w:rsid w:val="008101A5"/>
    <w:rsid w:val="008108B4"/>
    <w:rsid w:val="00811A42"/>
    <w:rsid w:val="00811E94"/>
    <w:rsid w:val="0081370E"/>
    <w:rsid w:val="008148AD"/>
    <w:rsid w:val="00822664"/>
    <w:rsid w:val="0082350F"/>
    <w:rsid w:val="00824ACA"/>
    <w:rsid w:val="00831D66"/>
    <w:rsid w:val="00832253"/>
    <w:rsid w:val="0083250D"/>
    <w:rsid w:val="00836B63"/>
    <w:rsid w:val="00840F2D"/>
    <w:rsid w:val="00843796"/>
    <w:rsid w:val="008469C2"/>
    <w:rsid w:val="00846CC8"/>
    <w:rsid w:val="008502E0"/>
    <w:rsid w:val="00854E19"/>
    <w:rsid w:val="00854FAD"/>
    <w:rsid w:val="00860D56"/>
    <w:rsid w:val="00880869"/>
    <w:rsid w:val="00886DBB"/>
    <w:rsid w:val="00890E92"/>
    <w:rsid w:val="00895229"/>
    <w:rsid w:val="00896359"/>
    <w:rsid w:val="008965BF"/>
    <w:rsid w:val="00897200"/>
    <w:rsid w:val="008A1235"/>
    <w:rsid w:val="008A2216"/>
    <w:rsid w:val="008A74F9"/>
    <w:rsid w:val="008B2316"/>
    <w:rsid w:val="008B55BD"/>
    <w:rsid w:val="008B6537"/>
    <w:rsid w:val="008D5EC8"/>
    <w:rsid w:val="008E08A0"/>
    <w:rsid w:val="008E1814"/>
    <w:rsid w:val="008E368C"/>
    <w:rsid w:val="008E37BA"/>
    <w:rsid w:val="008E6615"/>
    <w:rsid w:val="008E71B7"/>
    <w:rsid w:val="008F0203"/>
    <w:rsid w:val="008F0602"/>
    <w:rsid w:val="008F33C4"/>
    <w:rsid w:val="008F50D4"/>
    <w:rsid w:val="008F7CC6"/>
    <w:rsid w:val="0090289B"/>
    <w:rsid w:val="00903EC9"/>
    <w:rsid w:val="0091099E"/>
    <w:rsid w:val="00916E6D"/>
    <w:rsid w:val="009202FB"/>
    <w:rsid w:val="009239AA"/>
    <w:rsid w:val="00925A61"/>
    <w:rsid w:val="00926069"/>
    <w:rsid w:val="00931BFD"/>
    <w:rsid w:val="00935ADA"/>
    <w:rsid w:val="00946B6C"/>
    <w:rsid w:val="00950695"/>
    <w:rsid w:val="00953A51"/>
    <w:rsid w:val="00954086"/>
    <w:rsid w:val="00955240"/>
    <w:rsid w:val="00955A71"/>
    <w:rsid w:val="00956776"/>
    <w:rsid w:val="0096108F"/>
    <w:rsid w:val="00964C0E"/>
    <w:rsid w:val="00965A23"/>
    <w:rsid w:val="00971609"/>
    <w:rsid w:val="009721E6"/>
    <w:rsid w:val="00975037"/>
    <w:rsid w:val="00976446"/>
    <w:rsid w:val="009866D0"/>
    <w:rsid w:val="009871B5"/>
    <w:rsid w:val="009A4D30"/>
    <w:rsid w:val="009B04E2"/>
    <w:rsid w:val="009B1E9E"/>
    <w:rsid w:val="009B36CC"/>
    <w:rsid w:val="009C13B9"/>
    <w:rsid w:val="009C2DC9"/>
    <w:rsid w:val="009C522E"/>
    <w:rsid w:val="009D01A2"/>
    <w:rsid w:val="009E13B8"/>
    <w:rsid w:val="009E1C07"/>
    <w:rsid w:val="009E4516"/>
    <w:rsid w:val="009E4B0D"/>
    <w:rsid w:val="009F5923"/>
    <w:rsid w:val="009F66AC"/>
    <w:rsid w:val="00A07280"/>
    <w:rsid w:val="00A20EF1"/>
    <w:rsid w:val="00A32912"/>
    <w:rsid w:val="00A3632F"/>
    <w:rsid w:val="00A403BB"/>
    <w:rsid w:val="00A50A52"/>
    <w:rsid w:val="00A6441F"/>
    <w:rsid w:val="00A65FD6"/>
    <w:rsid w:val="00A667E7"/>
    <w:rsid w:val="00A674DF"/>
    <w:rsid w:val="00A70CEE"/>
    <w:rsid w:val="00A747E9"/>
    <w:rsid w:val="00A8127B"/>
    <w:rsid w:val="00A83AA6"/>
    <w:rsid w:val="00A91D19"/>
    <w:rsid w:val="00AA6E8A"/>
    <w:rsid w:val="00AB1887"/>
    <w:rsid w:val="00AB395F"/>
    <w:rsid w:val="00AB5E44"/>
    <w:rsid w:val="00AC3BEF"/>
    <w:rsid w:val="00AC5736"/>
    <w:rsid w:val="00AD00E5"/>
    <w:rsid w:val="00AD21DE"/>
    <w:rsid w:val="00AE1809"/>
    <w:rsid w:val="00AE1D62"/>
    <w:rsid w:val="00AF07B6"/>
    <w:rsid w:val="00AF63EE"/>
    <w:rsid w:val="00AF756B"/>
    <w:rsid w:val="00B03907"/>
    <w:rsid w:val="00B04B38"/>
    <w:rsid w:val="00B14623"/>
    <w:rsid w:val="00B1704C"/>
    <w:rsid w:val="00B33A71"/>
    <w:rsid w:val="00B37F57"/>
    <w:rsid w:val="00B429E0"/>
    <w:rsid w:val="00B51F57"/>
    <w:rsid w:val="00B536E5"/>
    <w:rsid w:val="00B61587"/>
    <w:rsid w:val="00B6326B"/>
    <w:rsid w:val="00B76EF0"/>
    <w:rsid w:val="00B80D76"/>
    <w:rsid w:val="00B919D1"/>
    <w:rsid w:val="00B94B3B"/>
    <w:rsid w:val="00BA2105"/>
    <w:rsid w:val="00BA26FC"/>
    <w:rsid w:val="00BA7E06"/>
    <w:rsid w:val="00BB3F07"/>
    <w:rsid w:val="00BB43B5"/>
    <w:rsid w:val="00BB6219"/>
    <w:rsid w:val="00BC6F4F"/>
    <w:rsid w:val="00BD0A7D"/>
    <w:rsid w:val="00BD290F"/>
    <w:rsid w:val="00BD7822"/>
    <w:rsid w:val="00BE0806"/>
    <w:rsid w:val="00BE3BF4"/>
    <w:rsid w:val="00BE45E6"/>
    <w:rsid w:val="00BF246E"/>
    <w:rsid w:val="00BF2661"/>
    <w:rsid w:val="00BF348E"/>
    <w:rsid w:val="00C05B94"/>
    <w:rsid w:val="00C14CC4"/>
    <w:rsid w:val="00C166C2"/>
    <w:rsid w:val="00C26F3C"/>
    <w:rsid w:val="00C277F1"/>
    <w:rsid w:val="00C303F6"/>
    <w:rsid w:val="00C32432"/>
    <w:rsid w:val="00C33C52"/>
    <w:rsid w:val="00C40D8B"/>
    <w:rsid w:val="00C5229A"/>
    <w:rsid w:val="00C54997"/>
    <w:rsid w:val="00C65A55"/>
    <w:rsid w:val="00C80BFC"/>
    <w:rsid w:val="00C82CAF"/>
    <w:rsid w:val="00C8407A"/>
    <w:rsid w:val="00C8488C"/>
    <w:rsid w:val="00C86E91"/>
    <w:rsid w:val="00C87E62"/>
    <w:rsid w:val="00C941BA"/>
    <w:rsid w:val="00C97934"/>
    <w:rsid w:val="00CA252B"/>
    <w:rsid w:val="00CA2650"/>
    <w:rsid w:val="00CB0923"/>
    <w:rsid w:val="00CB1078"/>
    <w:rsid w:val="00CC2BC8"/>
    <w:rsid w:val="00CC4862"/>
    <w:rsid w:val="00CC6FAF"/>
    <w:rsid w:val="00CD6D60"/>
    <w:rsid w:val="00CE53B0"/>
    <w:rsid w:val="00CE63D3"/>
    <w:rsid w:val="00CF3954"/>
    <w:rsid w:val="00D03843"/>
    <w:rsid w:val="00D10820"/>
    <w:rsid w:val="00D11B6D"/>
    <w:rsid w:val="00D122EB"/>
    <w:rsid w:val="00D24698"/>
    <w:rsid w:val="00D2703D"/>
    <w:rsid w:val="00D36E48"/>
    <w:rsid w:val="00D40E0D"/>
    <w:rsid w:val="00D527D0"/>
    <w:rsid w:val="00D551E3"/>
    <w:rsid w:val="00D55D32"/>
    <w:rsid w:val="00D56351"/>
    <w:rsid w:val="00D570C7"/>
    <w:rsid w:val="00D6150F"/>
    <w:rsid w:val="00D6383F"/>
    <w:rsid w:val="00D76E17"/>
    <w:rsid w:val="00D878FA"/>
    <w:rsid w:val="00D95F1B"/>
    <w:rsid w:val="00DA7750"/>
    <w:rsid w:val="00DB01D4"/>
    <w:rsid w:val="00DB27E8"/>
    <w:rsid w:val="00DB59D0"/>
    <w:rsid w:val="00DC33D3"/>
    <w:rsid w:val="00DC608D"/>
    <w:rsid w:val="00DC7965"/>
    <w:rsid w:val="00DD226F"/>
    <w:rsid w:val="00DD462B"/>
    <w:rsid w:val="00DD58B8"/>
    <w:rsid w:val="00DD63D4"/>
    <w:rsid w:val="00DD652B"/>
    <w:rsid w:val="00DE1414"/>
    <w:rsid w:val="00DE250A"/>
    <w:rsid w:val="00DE2EA3"/>
    <w:rsid w:val="00DE364B"/>
    <w:rsid w:val="00DE5C68"/>
    <w:rsid w:val="00DE6F00"/>
    <w:rsid w:val="00DE78EF"/>
    <w:rsid w:val="00DF11F6"/>
    <w:rsid w:val="00DF1263"/>
    <w:rsid w:val="00DF6F8C"/>
    <w:rsid w:val="00DF726B"/>
    <w:rsid w:val="00DF74DF"/>
    <w:rsid w:val="00E01D0A"/>
    <w:rsid w:val="00E03459"/>
    <w:rsid w:val="00E0701E"/>
    <w:rsid w:val="00E113AF"/>
    <w:rsid w:val="00E11783"/>
    <w:rsid w:val="00E12E6B"/>
    <w:rsid w:val="00E14D82"/>
    <w:rsid w:val="00E21E50"/>
    <w:rsid w:val="00E2468B"/>
    <w:rsid w:val="00E26329"/>
    <w:rsid w:val="00E31FDD"/>
    <w:rsid w:val="00E3482D"/>
    <w:rsid w:val="00E40B50"/>
    <w:rsid w:val="00E50293"/>
    <w:rsid w:val="00E56836"/>
    <w:rsid w:val="00E617A3"/>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C6642"/>
    <w:rsid w:val="00ED15F6"/>
    <w:rsid w:val="00ED6492"/>
    <w:rsid w:val="00EE3C7F"/>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51447"/>
    <w:rsid w:val="00F52E4B"/>
    <w:rsid w:val="00F6093A"/>
    <w:rsid w:val="00F60F5D"/>
    <w:rsid w:val="00F6366C"/>
    <w:rsid w:val="00F654D3"/>
    <w:rsid w:val="00F66363"/>
    <w:rsid w:val="00F6693B"/>
    <w:rsid w:val="00F66DAF"/>
    <w:rsid w:val="00F66E93"/>
    <w:rsid w:val="00F74507"/>
    <w:rsid w:val="00F81198"/>
    <w:rsid w:val="00F823C8"/>
    <w:rsid w:val="00F85BD8"/>
    <w:rsid w:val="00F976B0"/>
    <w:rsid w:val="00FA102E"/>
    <w:rsid w:val="00FA60E5"/>
    <w:rsid w:val="00FA6DE7"/>
    <w:rsid w:val="00FB0BD2"/>
    <w:rsid w:val="00FB1F72"/>
    <w:rsid w:val="00FB3312"/>
    <w:rsid w:val="00FB4B16"/>
    <w:rsid w:val="00FB4FEA"/>
    <w:rsid w:val="00FC0A8E"/>
    <w:rsid w:val="00FC173F"/>
    <w:rsid w:val="00FC24FD"/>
    <w:rsid w:val="00FC2A56"/>
    <w:rsid w:val="00FD3705"/>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6AD7363"/>
  <w15:docId w15:val="{7A452635-ED86-4B35-989D-A120F328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 w:type="paragraph" w:customStyle="1" w:styleId="Level1">
    <w:name w:val="Level 1"/>
    <w:basedOn w:val="Normal"/>
    <w:rsid w:val="00971609"/>
    <w:pPr>
      <w:widowControl w:val="0"/>
      <w:numPr>
        <w:numId w:val="47"/>
      </w:numPr>
      <w:autoSpaceDE w:val="0"/>
      <w:autoSpaceDN w:val="0"/>
      <w:adjustRightInd w:val="0"/>
      <w:ind w:left="720" w:hanging="720"/>
      <w:outlineLvl w:val="0"/>
    </w:pPr>
    <w:rPr>
      <w:rFonts w:ascii="Courier" w:hAnsi="Courier"/>
    </w:rPr>
  </w:style>
  <w:style w:type="paragraph" w:customStyle="1" w:styleId="Default">
    <w:name w:val="Default"/>
    <w:rsid w:val="005E71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547957476">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0607293">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EA4D-D01C-45D7-90C2-63B7F2BB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5</Pages>
  <Words>1920</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Martinen Rachel</cp:lastModifiedBy>
  <cp:revision>11</cp:revision>
  <cp:lastPrinted>2019-04-16T12:17:00Z</cp:lastPrinted>
  <dcterms:created xsi:type="dcterms:W3CDTF">2020-04-16T15:58:00Z</dcterms:created>
  <dcterms:modified xsi:type="dcterms:W3CDTF">2020-04-23T14:41:00Z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