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225" w:rsidP="00AB50EA" w:rsidRDefault="00291225" w14:paraId="17871A35" w14:textId="77777777">
      <w:pPr>
        <w:pStyle w:val="Header"/>
        <w:tabs>
          <w:tab w:val="clear" w:pos="4320"/>
          <w:tab w:val="clear" w:pos="8640"/>
        </w:tabs>
      </w:pPr>
      <w:r>
        <w:t>The Employee Benefits Security Administration is seeking to obtain a control number for this new information collection required by the SECURE Act.</w:t>
      </w:r>
    </w:p>
    <w:p w:rsidR="00291225" w:rsidP="00AB50EA" w:rsidRDefault="00291225" w14:paraId="35053155" w14:textId="77777777">
      <w:pPr>
        <w:pStyle w:val="Header"/>
        <w:tabs>
          <w:tab w:val="clear" w:pos="4320"/>
          <w:tab w:val="clear" w:pos="8640"/>
        </w:tabs>
      </w:pPr>
    </w:p>
    <w:p w:rsidRPr="008823D6" w:rsidR="00AB50EA" w:rsidP="00AB50EA" w:rsidRDefault="00AB50EA" w14:paraId="234247B2" w14:textId="77777777">
      <w:pPr>
        <w:pStyle w:val="Header"/>
        <w:tabs>
          <w:tab w:val="clear" w:pos="4320"/>
          <w:tab w:val="clear" w:pos="8640"/>
        </w:tabs>
      </w:pPr>
      <w:r w:rsidRPr="008823D6">
        <w:t>SUPPORTING STATEMENT FOR PAPERWORK REDUCTION ACT 1995 SUBMISSION</w:t>
      </w:r>
    </w:p>
    <w:p w:rsidRPr="008823D6" w:rsidR="00AB50EA" w:rsidP="00AB50EA" w:rsidRDefault="00AB50EA" w14:paraId="40C54BE2" w14:textId="77777777"/>
    <w:p w:rsidRPr="008823D6" w:rsidR="00AB50EA" w:rsidP="00AB50EA" w:rsidRDefault="00AB50EA" w14:paraId="6BFCFD3B" w14:textId="77777777">
      <w:pPr>
        <w:pStyle w:val="Heading1"/>
      </w:pPr>
      <w:r w:rsidRPr="008823D6">
        <w:t>A.</w:t>
      </w:r>
      <w:r w:rsidRPr="008823D6">
        <w:tab/>
        <w:t>Justification</w:t>
      </w:r>
    </w:p>
    <w:p w:rsidRPr="008823D6" w:rsidR="00AB50EA" w:rsidP="00AB50EA" w:rsidRDefault="00AB50EA" w14:paraId="638BC25B" w14:textId="77777777"/>
    <w:p w:rsidRPr="008823D6" w:rsidR="00AB50EA" w:rsidP="00AB50EA" w:rsidRDefault="00AB50EA" w14:paraId="03AC1C11" w14:textId="77777777">
      <w:pPr>
        <w:numPr>
          <w:ilvl w:val="0"/>
          <w:numId w:val="1"/>
        </w:numPr>
        <w:rPr>
          <w:b/>
          <w:i/>
          <w:iCs/>
        </w:rPr>
      </w:pPr>
      <w:r w:rsidRPr="008823D6">
        <w:rPr>
          <w:b/>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823D6" w:rsidR="00AB50EA" w:rsidP="00AB50EA" w:rsidRDefault="00AB50EA" w14:paraId="7CBD6714" w14:textId="77777777">
      <w:pPr>
        <w:ind w:left="360"/>
        <w:rPr>
          <w:i/>
          <w:iCs/>
        </w:rPr>
      </w:pPr>
    </w:p>
    <w:p w:rsidR="004E189C" w:rsidP="00B81EF4" w:rsidRDefault="002204EA" w14:paraId="09285F3B" w14:textId="0D6F03CF">
      <w:pPr>
        <w:ind w:left="1080"/>
        <w:rPr>
          <w:rFonts w:eastAsiaTheme="minorHAnsi"/>
        </w:rPr>
      </w:pPr>
      <w:r>
        <w:t xml:space="preserve">The </w:t>
      </w:r>
      <w:r w:rsidRPr="00AB50EA" w:rsidR="00AB50EA">
        <w:t>Setting Every Community Up for Retirement Enhancement Act of 2019 (</w:t>
      </w:r>
      <w:r>
        <w:t xml:space="preserve">the </w:t>
      </w:r>
      <w:r w:rsidRPr="00AB50EA" w:rsidR="00AB50EA">
        <w:t xml:space="preserve">SECURE Act) </w:t>
      </w:r>
      <w:r w:rsidR="009B7CE9">
        <w:t xml:space="preserve">included amendments to the Employee Retirement Income Security Act (ERISA) </w:t>
      </w:r>
      <w:r w:rsidRPr="00AB50EA" w:rsidR="00AB50EA">
        <w:t>designed to improve retirement coverage as well as the ability of individuals to manage important retirement-related risks.</w:t>
      </w:r>
      <w:r w:rsidR="00AB50EA">
        <w:t xml:space="preserve"> </w:t>
      </w:r>
      <w:r w:rsidR="00D57E6E">
        <w:t xml:space="preserve"> </w:t>
      </w:r>
      <w:r w:rsidRPr="00F569E9" w:rsidR="00F569E9">
        <w:rPr>
          <w:rFonts w:eastAsiaTheme="minorHAnsi"/>
        </w:rPr>
        <w:t>Section 101 of the SECURE Act amend</w:t>
      </w:r>
      <w:r w:rsidR="009B7CE9">
        <w:rPr>
          <w:rFonts w:eastAsiaTheme="minorHAnsi"/>
        </w:rPr>
        <w:t>ed section 3(2) and add</w:t>
      </w:r>
      <w:r w:rsidR="00F36826">
        <w:rPr>
          <w:rFonts w:eastAsiaTheme="minorHAnsi"/>
        </w:rPr>
        <w:t>ed new sections 3(43) and 3(44)</w:t>
      </w:r>
      <w:r w:rsidRPr="00F569E9" w:rsidR="00F569E9">
        <w:rPr>
          <w:rFonts w:eastAsiaTheme="minorHAnsi"/>
        </w:rPr>
        <w:t xml:space="preserve"> to </w:t>
      </w:r>
      <w:r w:rsidR="009B7CE9">
        <w:rPr>
          <w:rFonts w:eastAsiaTheme="minorHAnsi"/>
        </w:rPr>
        <w:t xml:space="preserve">establish a new type of ERISA retirement savings plan called a “pooled employer plan.”  </w:t>
      </w:r>
      <w:r w:rsidRPr="00F569E9" w:rsidR="00F569E9">
        <w:rPr>
          <w:rFonts w:eastAsiaTheme="minorHAnsi"/>
        </w:rPr>
        <w:t xml:space="preserve">Among </w:t>
      </w:r>
      <w:r w:rsidR="009B7CE9">
        <w:rPr>
          <w:rFonts w:eastAsiaTheme="minorHAnsi"/>
        </w:rPr>
        <w:t xml:space="preserve">other </w:t>
      </w:r>
      <w:r w:rsidRPr="00F569E9" w:rsidR="00F569E9">
        <w:rPr>
          <w:rFonts w:eastAsiaTheme="minorHAnsi"/>
        </w:rPr>
        <w:t xml:space="preserve">requirements, </w:t>
      </w:r>
      <w:r w:rsidR="009B7CE9">
        <w:rPr>
          <w:rFonts w:eastAsiaTheme="minorHAnsi"/>
        </w:rPr>
        <w:t xml:space="preserve">pooled employer plans must be operated by a </w:t>
      </w:r>
      <w:r w:rsidRPr="00F569E9" w:rsidR="00F569E9">
        <w:rPr>
          <w:rFonts w:eastAsiaTheme="minorHAnsi"/>
        </w:rPr>
        <w:t>designate</w:t>
      </w:r>
      <w:r w:rsidR="009B7CE9">
        <w:rPr>
          <w:rFonts w:eastAsiaTheme="minorHAnsi"/>
        </w:rPr>
        <w:t xml:space="preserve">d </w:t>
      </w:r>
      <w:r w:rsidRPr="00F569E9" w:rsidR="00F569E9">
        <w:rPr>
          <w:rFonts w:eastAsiaTheme="minorHAnsi"/>
        </w:rPr>
        <w:t>“pooled plan provider</w:t>
      </w:r>
      <w:r w:rsidR="009B7CE9">
        <w:rPr>
          <w:rFonts w:eastAsiaTheme="minorHAnsi"/>
        </w:rPr>
        <w:t>.</w:t>
      </w:r>
      <w:r w:rsidRPr="00F569E9" w:rsidR="00F569E9">
        <w:rPr>
          <w:rFonts w:eastAsiaTheme="minorHAnsi"/>
        </w:rPr>
        <w:t>”</w:t>
      </w:r>
      <w:r w:rsidR="009B7CE9">
        <w:rPr>
          <w:rFonts w:eastAsiaTheme="minorHAnsi"/>
        </w:rPr>
        <w:t xml:space="preserve"> </w:t>
      </w:r>
      <w:r w:rsidRPr="00EE0FDD" w:rsidR="009B7CE9">
        <w:rPr>
          <w:rFonts w:eastAsiaTheme="minorHAnsi"/>
        </w:rPr>
        <w:t xml:space="preserve">The </w:t>
      </w:r>
      <w:r w:rsidR="009B7CE9">
        <w:rPr>
          <w:rFonts w:eastAsiaTheme="minorHAnsi"/>
        </w:rPr>
        <w:t xml:space="preserve">SECURE Act </w:t>
      </w:r>
      <w:r w:rsidRPr="00EE0FDD" w:rsidR="009B7CE9">
        <w:rPr>
          <w:rFonts w:eastAsiaTheme="minorHAnsi"/>
        </w:rPr>
        <w:t xml:space="preserve">provides </w:t>
      </w:r>
      <w:proofErr w:type="gramStart"/>
      <w:r w:rsidRPr="00EE0FDD" w:rsidR="009B7CE9">
        <w:rPr>
          <w:rFonts w:eastAsiaTheme="minorHAnsi"/>
        </w:rPr>
        <w:t>that  “</w:t>
      </w:r>
      <w:proofErr w:type="gramEnd"/>
      <w:r w:rsidRPr="00EE0FDD" w:rsidR="009B7CE9">
        <w:rPr>
          <w:rFonts w:eastAsiaTheme="minorHAnsi"/>
        </w:rPr>
        <w:t>pooled plan providers” can begin offering “pooled employer plans” on January 1, 2021, but</w:t>
      </w:r>
      <w:r w:rsidR="009B7CE9">
        <w:rPr>
          <w:rFonts w:eastAsiaTheme="minorHAnsi"/>
        </w:rPr>
        <w:t>, as noted above,</w:t>
      </w:r>
      <w:r w:rsidRPr="00EE0FDD" w:rsidR="009B7CE9">
        <w:rPr>
          <w:rFonts w:eastAsiaTheme="minorHAnsi"/>
        </w:rPr>
        <w:t xml:space="preserve"> also requires that such persons register with the Secretary of Labor before beginning operations.  </w:t>
      </w:r>
      <w:r w:rsidR="009B7CE9">
        <w:t xml:space="preserve"> </w:t>
      </w:r>
      <w:r w:rsidRPr="006701CE" w:rsidR="009B7CE9">
        <w:rPr>
          <w:rFonts w:eastAsiaTheme="minorHAnsi"/>
        </w:rPr>
        <w:t xml:space="preserve">Section 101 of the SECURE Act requires a “pooled plan provider” to register with the Labor Department </w:t>
      </w:r>
      <w:r w:rsidR="009B7CE9">
        <w:rPr>
          <w:rFonts w:eastAsiaTheme="minorHAnsi"/>
        </w:rPr>
        <w:t xml:space="preserve">(the Department) </w:t>
      </w:r>
      <w:r w:rsidRPr="006701CE" w:rsidR="009B7CE9">
        <w:rPr>
          <w:rFonts w:eastAsiaTheme="minorHAnsi"/>
        </w:rPr>
        <w:t xml:space="preserve">and the Treasury Department </w:t>
      </w:r>
      <w:r w:rsidR="009B7CE9">
        <w:rPr>
          <w:rFonts w:eastAsiaTheme="minorHAnsi"/>
        </w:rPr>
        <w:t xml:space="preserve">(Treasury) </w:t>
      </w:r>
      <w:r w:rsidRPr="006701CE" w:rsidR="009B7CE9">
        <w:rPr>
          <w:rFonts w:eastAsiaTheme="minorHAnsi"/>
        </w:rPr>
        <w:t>before beginning operations as a pooled plan provider.</w:t>
      </w:r>
    </w:p>
    <w:p w:rsidR="006A2DA3" w:rsidP="00B81EF4" w:rsidRDefault="006A2DA3" w14:paraId="6CDA22BD" w14:textId="77777777">
      <w:pPr>
        <w:ind w:left="1080"/>
        <w:rPr>
          <w:rFonts w:eastAsiaTheme="minorHAnsi"/>
        </w:rPr>
      </w:pPr>
    </w:p>
    <w:p w:rsidR="004E189C" w:rsidP="004046BC" w:rsidRDefault="00EE0FDD" w14:paraId="0773915E" w14:textId="77777777">
      <w:pPr>
        <w:ind w:left="1080"/>
        <w:rPr>
          <w:rFonts w:eastAsiaTheme="minorHAnsi"/>
        </w:rPr>
      </w:pPr>
      <w:r w:rsidRPr="00EE0FDD">
        <w:rPr>
          <w:rFonts w:eastAsiaTheme="minorHAnsi"/>
        </w:rPr>
        <w:t xml:space="preserve">This proposed rule would establish the requirements for registering with the </w:t>
      </w:r>
      <w:r w:rsidR="00544731">
        <w:rPr>
          <w:rFonts w:eastAsiaTheme="minorHAnsi"/>
        </w:rPr>
        <w:t>Department</w:t>
      </w:r>
      <w:r w:rsidRPr="00EE0FDD">
        <w:rPr>
          <w:rFonts w:eastAsiaTheme="minorHAnsi"/>
        </w:rPr>
        <w:t xml:space="preserve"> as a “pooled plan provider” for “pooled employer plans</w:t>
      </w:r>
      <w:r w:rsidR="009B7CE9">
        <w:rPr>
          <w:rFonts w:eastAsiaTheme="minorHAnsi"/>
        </w:rPr>
        <w:t>.</w:t>
      </w:r>
      <w:r w:rsidRPr="00EE0FDD">
        <w:rPr>
          <w:rFonts w:eastAsiaTheme="minorHAnsi"/>
        </w:rPr>
        <w:t>”  The proposed rule would also establish a new EBSA form</w:t>
      </w:r>
      <w:r>
        <w:rPr>
          <w:rFonts w:eastAsiaTheme="minorHAnsi"/>
        </w:rPr>
        <w:t xml:space="preserve"> </w:t>
      </w:r>
      <w:r w:rsidRPr="00EE0FDD">
        <w:rPr>
          <w:rFonts w:eastAsiaTheme="minorHAnsi"/>
        </w:rPr>
        <w:t>EBSA Form PR (Pooled Plan Provider Registration) as the required filing format for pooled plan provider registrations.  The proposed rule would affect persons wishing to serve as pooled plan providers, employee defined contribution pension benefit plans that are operated as pooled employer plans, employers participating in such plans, and participants and beneficiaries covered by such plans.</w:t>
      </w:r>
      <w:r>
        <w:rPr>
          <w:rFonts w:eastAsiaTheme="minorHAnsi"/>
        </w:rPr>
        <w:t xml:space="preserve"> </w:t>
      </w:r>
    </w:p>
    <w:p w:rsidR="009D5978" w:rsidRDefault="009D5978" w14:paraId="779C7B6B" w14:textId="77777777"/>
    <w:p w:rsidR="00B56B3F" w:rsidRDefault="00B56B3F" w14:paraId="4937A185" w14:textId="77777777"/>
    <w:p w:rsidRPr="00B56B3F" w:rsidR="00B56B3F" w:rsidP="00B56B3F" w:rsidRDefault="00B56B3F" w14:paraId="763C49A6" w14:textId="77777777">
      <w:pPr>
        <w:pStyle w:val="ListParagraph"/>
        <w:numPr>
          <w:ilvl w:val="0"/>
          <w:numId w:val="1"/>
        </w:numPr>
        <w:rPr>
          <w:b/>
          <w:i/>
          <w:iCs/>
        </w:rPr>
      </w:pPr>
      <w:r w:rsidRPr="00B56B3F">
        <w:rPr>
          <w:b/>
          <w:i/>
          <w:iCs/>
        </w:rPr>
        <w:t>Indicate how, by whom, and for what purpose the information is to be used.  Except for a new collection, indicate the actual use the agency has made of the information received from the collection.</w:t>
      </w:r>
    </w:p>
    <w:p w:rsidR="00B56B3F" w:rsidP="00523A2E" w:rsidRDefault="00B56B3F" w14:paraId="01E25973" w14:textId="77777777">
      <w:pPr>
        <w:ind w:left="1080"/>
      </w:pPr>
    </w:p>
    <w:p w:rsidR="009B7CE9" w:rsidP="009B7CE9" w:rsidRDefault="00651586" w14:paraId="638E32DE" w14:textId="77777777">
      <w:pPr>
        <w:ind w:left="1080"/>
        <w:rPr>
          <w:rFonts w:eastAsiaTheme="minorHAnsi"/>
        </w:rPr>
      </w:pPr>
      <w:r>
        <w:t xml:space="preserve">The Department anticipates </w:t>
      </w:r>
      <w:r w:rsidRPr="00651586">
        <w:t xml:space="preserve">that a number of </w:t>
      </w:r>
      <w:r w:rsidR="009B7CE9">
        <w:t xml:space="preserve">financial services </w:t>
      </w:r>
      <w:r w:rsidRPr="00651586">
        <w:t xml:space="preserve">providers </w:t>
      </w:r>
      <w:r w:rsidR="009B7CE9">
        <w:t xml:space="preserve">and recordkeepers who </w:t>
      </w:r>
      <w:r w:rsidRPr="00651586">
        <w:t xml:space="preserve">are already involved in the defined contribution retirement plan marketplace will register as </w:t>
      </w:r>
      <w:r w:rsidR="00D20DFE">
        <w:t xml:space="preserve">pooled plan providers </w:t>
      </w:r>
      <w:r w:rsidR="00B6254D">
        <w:t xml:space="preserve">and will </w:t>
      </w:r>
      <w:r w:rsidRPr="00651586">
        <w:t xml:space="preserve">start making </w:t>
      </w:r>
      <w:r w:rsidR="00BF48A5">
        <w:t>pooled employer plans’</w:t>
      </w:r>
      <w:r w:rsidRPr="00651586">
        <w:t xml:space="preserve"> available to prospective participating employers</w:t>
      </w:r>
      <w:r w:rsidR="00F007EC">
        <w:t xml:space="preserve"> based on the requirements of this proposed regulation</w:t>
      </w:r>
      <w:r w:rsidRPr="00651586" w:rsidR="009E65FF">
        <w:t>.</w:t>
      </w:r>
      <w:r w:rsidR="009E65FF">
        <w:t xml:space="preserve">  </w:t>
      </w:r>
      <w:r w:rsidRPr="00BF48A5" w:rsidR="00BF48A5">
        <w:t>T</w:t>
      </w:r>
      <w:r w:rsidR="00BF48A5">
        <w:t xml:space="preserve">he registration requirements of the </w:t>
      </w:r>
      <w:r w:rsidR="00BF48A5">
        <w:lastRenderedPageBreak/>
        <w:t xml:space="preserve">proposed regulation </w:t>
      </w:r>
      <w:r w:rsidRPr="00BF48A5" w:rsidR="00BF48A5">
        <w:t xml:space="preserve">will be publicly available and will provide </w:t>
      </w:r>
      <w:proofErr w:type="gramStart"/>
      <w:r w:rsidRPr="00BF48A5" w:rsidR="00BF48A5">
        <w:t>an</w:t>
      </w:r>
      <w:proofErr w:type="gramEnd"/>
      <w:r w:rsidRPr="00BF48A5" w:rsidR="00BF48A5">
        <w:t xml:space="preserve"> list of pooled plan providers.  </w:t>
      </w:r>
      <w:r w:rsidRPr="00EB072D" w:rsidR="009B7CE9">
        <w:rPr>
          <w:rFonts w:eastAsiaTheme="minorHAnsi"/>
        </w:rPr>
        <w:t xml:space="preserve">The registration process and requirements </w:t>
      </w:r>
      <w:r w:rsidR="009B7CE9">
        <w:rPr>
          <w:rFonts w:eastAsiaTheme="minorHAnsi"/>
        </w:rPr>
        <w:t xml:space="preserve">are intended to </w:t>
      </w:r>
      <w:r w:rsidRPr="00EB072D" w:rsidR="009B7CE9">
        <w:rPr>
          <w:rFonts w:eastAsiaTheme="minorHAnsi"/>
        </w:rPr>
        <w:t>enable the Department</w:t>
      </w:r>
      <w:r w:rsidR="009B7CE9">
        <w:rPr>
          <w:rFonts w:eastAsiaTheme="minorHAnsi"/>
        </w:rPr>
        <w:t xml:space="preserve">, participating employers, and other interested parties </w:t>
      </w:r>
      <w:r w:rsidRPr="00EB072D" w:rsidR="009B7CE9">
        <w:rPr>
          <w:rFonts w:eastAsiaTheme="minorHAnsi"/>
        </w:rPr>
        <w:t>to identify pooled plan providers when they begin operating</w:t>
      </w:r>
      <w:r w:rsidR="009B7CE9">
        <w:rPr>
          <w:rFonts w:eastAsiaTheme="minorHAnsi"/>
        </w:rPr>
        <w:t xml:space="preserve">, assist </w:t>
      </w:r>
      <w:r w:rsidR="00A5503A">
        <w:rPr>
          <w:rFonts w:eastAsiaTheme="minorHAnsi"/>
        </w:rPr>
        <w:t xml:space="preserve">participating employers in fulfilling the fiduciary duties imposed on them by the SECURE Act when selecting and monitoring pooled employer plans, and help the Department </w:t>
      </w:r>
      <w:r w:rsidRPr="00EB072D" w:rsidR="009B7CE9">
        <w:rPr>
          <w:rFonts w:eastAsiaTheme="minorHAnsi"/>
        </w:rPr>
        <w:t xml:space="preserve">and </w:t>
      </w:r>
      <w:r w:rsidR="009B7CE9">
        <w:rPr>
          <w:rFonts w:eastAsiaTheme="minorHAnsi"/>
        </w:rPr>
        <w:t xml:space="preserve">more </w:t>
      </w:r>
      <w:r w:rsidRPr="00EB072D" w:rsidR="009B7CE9">
        <w:rPr>
          <w:rFonts w:eastAsiaTheme="minorHAnsi"/>
        </w:rPr>
        <w:t xml:space="preserve">effectively oversee their actions and the pooled employer plans they operate.  </w:t>
      </w:r>
    </w:p>
    <w:p w:rsidR="00FA1EB4" w:rsidP="00523A2E" w:rsidRDefault="00FA1EB4" w14:paraId="6142614A" w14:textId="77777777">
      <w:pPr>
        <w:ind w:left="1080"/>
      </w:pPr>
    </w:p>
    <w:p w:rsidR="00B56B3F" w:rsidP="00523A2E" w:rsidRDefault="00FA1EB4" w14:paraId="4A9B4147" w14:textId="77777777">
      <w:pPr>
        <w:ind w:left="1080"/>
      </w:pPr>
      <w:r w:rsidRPr="00FA1EB4">
        <w:t xml:space="preserve">The proposal would require an initial registration filing and supplemental filings to report changes in the information in the initial filing changes, information about each specific pooled employer plan at its inception, and information on specified reportable events, time-sensitive knowledge of which are important for the Department and the Treasury Department to carry out oversight and for participating employers to be able to exercise their fiduciary duties of selection and monitoring.  The proposal would require a final filing once the </w:t>
      </w:r>
      <w:r w:rsidR="00A5503A">
        <w:t xml:space="preserve">provider’s </w:t>
      </w:r>
      <w:r w:rsidRPr="00FA1EB4">
        <w:t>last pooled employer plan has been terminated and ceased operations.</w:t>
      </w:r>
      <w:r w:rsidR="00DC16FB">
        <w:t xml:space="preserve">  </w:t>
      </w:r>
      <w:r w:rsidRPr="00DC16FB" w:rsidR="00DC16FB">
        <w:t>The Department believes that the initial registration, supplemental filing, and final filing requirements, when combined with the Form 5500 annual reporting requirements, will give the Department timely access to pooled plan provider information needed to fulfill the monitoring and oversight tasks the SECURE Act placed on the agencies</w:t>
      </w:r>
      <w:r w:rsidR="00A5503A">
        <w:t xml:space="preserve">.  The registration requirements give the Department more immediate access to pooled plan provider information, allowing it to observe how this new market develops and assess whether further guidance is needed.   </w:t>
      </w:r>
      <w:r w:rsidRPr="00BF48A5" w:rsidR="00BF48A5">
        <w:t xml:space="preserve">In addition, the </w:t>
      </w:r>
      <w:r w:rsidR="00A5503A">
        <w:t xml:space="preserve">registration process </w:t>
      </w:r>
      <w:r w:rsidRPr="00BF48A5" w:rsidR="00BF48A5">
        <w:t xml:space="preserve">will provide transparency regarding </w:t>
      </w:r>
      <w:r w:rsidR="00A5503A">
        <w:t xml:space="preserve">key aspects of the </w:t>
      </w:r>
      <w:r w:rsidRPr="00BF48A5" w:rsidR="00BF48A5">
        <w:t>provider</w:t>
      </w:r>
      <w:r w:rsidR="00A5503A">
        <w:t xml:space="preserve"> and its pooled employer plan </w:t>
      </w:r>
      <w:r w:rsidRPr="00BF48A5" w:rsidR="00BF48A5">
        <w:t>practices, allowing employers to better survey the market when choosing a pooled plan provider.</w:t>
      </w:r>
      <w:r w:rsidR="00BF48A5">
        <w:t xml:space="preserve"> </w:t>
      </w:r>
    </w:p>
    <w:p w:rsidR="00E511BE" w:rsidRDefault="00E511BE" w14:paraId="41242220" w14:textId="77777777"/>
    <w:p w:rsidRPr="00E511BE" w:rsidR="00E511BE" w:rsidP="00E511BE" w:rsidRDefault="00E511BE" w14:paraId="223DFD98" w14:textId="77777777">
      <w:pPr>
        <w:pStyle w:val="ListParagraph"/>
        <w:numPr>
          <w:ilvl w:val="0"/>
          <w:numId w:val="1"/>
        </w:numPr>
      </w:pPr>
      <w:r w:rsidRPr="00E511BE">
        <w:rPr>
          <w:b/>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511BE" w:rsidP="00E511BE" w:rsidRDefault="00E511BE" w14:paraId="3F366D23" w14:textId="77777777">
      <w:pPr>
        <w:ind w:left="360"/>
      </w:pPr>
    </w:p>
    <w:p w:rsidR="00D74C03" w:rsidP="00523A2E" w:rsidRDefault="00617A8B" w14:paraId="2605A50B" w14:textId="77777777">
      <w:pPr>
        <w:ind w:left="1080"/>
      </w:pPr>
      <w:r w:rsidRPr="005707D0">
        <w:rPr>
          <w:bCs/>
          <w:iCs/>
        </w:rPr>
        <w:t xml:space="preserve">Registrations </w:t>
      </w:r>
      <w:r>
        <w:rPr>
          <w:bCs/>
          <w:iCs/>
        </w:rPr>
        <w:t xml:space="preserve">to be a </w:t>
      </w:r>
      <w:r w:rsidR="00B6254D">
        <w:rPr>
          <w:bCs/>
          <w:iCs/>
        </w:rPr>
        <w:t>pooled plan provider (</w:t>
      </w:r>
      <w:r>
        <w:rPr>
          <w:bCs/>
          <w:iCs/>
        </w:rPr>
        <w:t>PPP</w:t>
      </w:r>
      <w:r w:rsidR="00B6254D">
        <w:rPr>
          <w:bCs/>
          <w:iCs/>
        </w:rPr>
        <w:t>)</w:t>
      </w:r>
      <w:r>
        <w:rPr>
          <w:bCs/>
          <w:iCs/>
        </w:rPr>
        <w:t xml:space="preserve"> </w:t>
      </w:r>
      <w:r w:rsidRPr="005707D0">
        <w:rPr>
          <w:bCs/>
          <w:iCs/>
        </w:rPr>
        <w:t>required under this</w:t>
      </w:r>
      <w:r>
        <w:rPr>
          <w:bCs/>
          <w:iCs/>
        </w:rPr>
        <w:t xml:space="preserve"> regulation</w:t>
      </w:r>
      <w:r w:rsidRPr="005707D0">
        <w:rPr>
          <w:bCs/>
          <w:iCs/>
        </w:rPr>
        <w:t xml:space="preserve"> </w:t>
      </w:r>
      <w:r w:rsidR="00A5503A">
        <w:t>must</w:t>
      </w:r>
      <w:r w:rsidRPr="005707D0">
        <w:t xml:space="preserve"> be filed with the Secretary </w:t>
      </w:r>
      <w:r>
        <w:t xml:space="preserve">of Labor </w:t>
      </w:r>
      <w:r w:rsidRPr="005707D0">
        <w:t xml:space="preserve">electronically in accordance with </w:t>
      </w:r>
      <w:r w:rsidR="00A5503A">
        <w:t xml:space="preserve">the EBSA Form PR </w:t>
      </w:r>
      <w:r w:rsidRPr="005707D0">
        <w:t>instructions</w:t>
      </w:r>
      <w:r w:rsidRPr="0044487E">
        <w:t xml:space="preserve"> </w:t>
      </w:r>
      <w:r w:rsidR="00A5503A">
        <w:t xml:space="preserve">and electronic filing procedures </w:t>
      </w:r>
      <w:r w:rsidRPr="0044487E">
        <w:t>published by the Department</w:t>
      </w:r>
      <w:r>
        <w:t xml:space="preserve">.  </w:t>
      </w:r>
      <w:r w:rsidRPr="005707D0">
        <w:t xml:space="preserve">Only one registration must be filed for each person intending to act as a pooled plan provider, regardless of the number of pooled </w:t>
      </w:r>
      <w:proofErr w:type="gramStart"/>
      <w:r w:rsidRPr="005707D0">
        <w:t>employer</w:t>
      </w:r>
      <w:proofErr w:type="gramEnd"/>
      <w:r w:rsidRPr="005707D0">
        <w:t xml:space="preserve"> plans it operates.  </w:t>
      </w:r>
      <w:r w:rsidR="00FA1EB4">
        <w:t xml:space="preserve"> </w:t>
      </w:r>
    </w:p>
    <w:p w:rsidR="00D74C03" w:rsidP="00523A2E" w:rsidRDefault="00D74C03" w14:paraId="41995BDB" w14:textId="77777777">
      <w:pPr>
        <w:ind w:left="1080"/>
      </w:pPr>
    </w:p>
    <w:p w:rsidR="00725BEC" w:rsidP="00523A2E" w:rsidRDefault="00617A8B" w14:paraId="3365B7A0" w14:textId="77777777">
      <w:pPr>
        <w:ind w:left="1080"/>
      </w:pPr>
      <w:r w:rsidRPr="005707D0">
        <w:t xml:space="preserve">A pooled plan provider must file updates for each change described in </w:t>
      </w:r>
      <w:r w:rsidR="00011FCB">
        <w:t xml:space="preserve">paragraphs </w:t>
      </w:r>
      <w:r w:rsidRPr="005707D0">
        <w:t xml:space="preserve"> (b)(2)</w:t>
      </w:r>
      <w:r w:rsidR="00011FCB">
        <w:t xml:space="preserve"> and (3)</w:t>
      </w:r>
      <w:r>
        <w:t xml:space="preserve"> of the proposed regulation</w:t>
      </w:r>
      <w:r w:rsidRPr="005707D0">
        <w:t>, and may file a single update to report multi</w:t>
      </w:r>
      <w:r>
        <w:t xml:space="preserve">ple simultaneous changes, e.g., </w:t>
      </w:r>
      <w:r w:rsidRPr="005707D0">
        <w:t>beginning to operate two or more pooled employer plans, or to report a change that applies to the pooled plan provider with respect to all pooled employer plans it operates.</w:t>
      </w:r>
      <w:r>
        <w:t xml:space="preserve"> </w:t>
      </w:r>
    </w:p>
    <w:p w:rsidR="00725BEC" w:rsidP="00523A2E" w:rsidRDefault="00725BEC" w14:paraId="60425183" w14:textId="77777777">
      <w:pPr>
        <w:ind w:left="1080"/>
      </w:pPr>
    </w:p>
    <w:p w:rsidRPr="00924F66" w:rsidR="00924F66" w:rsidP="00924F66" w:rsidRDefault="00924F66" w14:paraId="6B3DE701" w14:textId="77777777">
      <w:pPr>
        <w:ind w:left="1080"/>
      </w:pPr>
      <w:r>
        <w:lastRenderedPageBreak/>
        <w:t>Under the proposed regulation the PPP would need to file before beginning operations as a PPP the a</w:t>
      </w:r>
      <w:r w:rsidRPr="00924F66">
        <w:t xml:space="preserve">ddress of any public website to be used to market the </w:t>
      </w:r>
      <w:proofErr w:type="gramStart"/>
      <w:r w:rsidRPr="00924F66">
        <w:t>provider</w:t>
      </w:r>
      <w:r w:rsidR="00C01E07">
        <w:t>.</w:t>
      </w:r>
      <w:r w:rsidRPr="00924F66">
        <w:t>.</w:t>
      </w:r>
      <w:proofErr w:type="gramEnd"/>
      <w:r w:rsidRPr="00924F66">
        <w:t xml:space="preserve">  The Department believes this information will be useful in the Department’s oversight of pooled plan providers and will also assist employers performing due diligence in selecting and monitoring pooled employer plans.  The Department also expects that most pooled plan providers will have such websites, and believes that having information on such websites provides an alternative to requiring more information to be submitted as part of the registration process.</w:t>
      </w:r>
    </w:p>
    <w:p w:rsidR="00E511BE" w:rsidP="00523A2E" w:rsidRDefault="00E511BE" w14:paraId="40D3F817" w14:textId="77777777">
      <w:pPr>
        <w:ind w:left="1080"/>
      </w:pPr>
    </w:p>
    <w:p w:rsidR="00617A8B" w:rsidP="00E511BE" w:rsidRDefault="00617A8B" w14:paraId="1EE16565" w14:textId="77777777">
      <w:pPr>
        <w:ind w:left="360"/>
      </w:pPr>
    </w:p>
    <w:p w:rsidRPr="008823D6" w:rsidR="00617A8B" w:rsidP="00617A8B" w:rsidRDefault="00617A8B" w14:paraId="47FBA1C4" w14:textId="77777777">
      <w:pPr>
        <w:numPr>
          <w:ilvl w:val="0"/>
          <w:numId w:val="1"/>
        </w:numPr>
        <w:rPr>
          <w:b/>
          <w:i/>
          <w:iCs/>
        </w:rPr>
      </w:pPr>
      <w:r w:rsidRPr="008823D6">
        <w:rPr>
          <w:b/>
          <w:i/>
          <w:iCs/>
        </w:rPr>
        <w:t>Describe efforts to identify duplication.  Show specifically why similar information already available cannot be used or modified for use for the purposes described in Item 2 above.</w:t>
      </w:r>
    </w:p>
    <w:p w:rsidRPr="008823D6" w:rsidR="00617A8B" w:rsidP="00617A8B" w:rsidRDefault="00617A8B" w14:paraId="1B79C063" w14:textId="77777777">
      <w:pPr>
        <w:rPr>
          <w:i/>
          <w:iCs/>
        </w:rPr>
      </w:pPr>
    </w:p>
    <w:p w:rsidR="000E1A9D" w:rsidP="00523A2E" w:rsidRDefault="00617A8B" w14:paraId="28D643D3" w14:textId="77777777">
      <w:pPr>
        <w:ind w:left="1080"/>
      </w:pPr>
      <w:r w:rsidRPr="008823D6">
        <w:t>Th</w:t>
      </w:r>
      <w:r w:rsidR="008C0EF2">
        <w:t>e</w:t>
      </w:r>
      <w:r w:rsidRPr="008823D6">
        <w:t xml:space="preserve"> information </w:t>
      </w:r>
      <w:r w:rsidR="00480551">
        <w:t>on who wants to be a pooled plan provider</w:t>
      </w:r>
      <w:r>
        <w:t xml:space="preserve"> </w:t>
      </w:r>
      <w:r w:rsidRPr="008823D6">
        <w:t>is not avai</w:t>
      </w:r>
      <w:r>
        <w:t>lable from any other source</w:t>
      </w:r>
      <w:r w:rsidR="00480551">
        <w:t>.  Other requested information could be in the public domain, but</w:t>
      </w:r>
      <w:r>
        <w:t xml:space="preserve"> not </w:t>
      </w:r>
      <w:r w:rsidR="00480551">
        <w:t>collected in one location</w:t>
      </w:r>
      <w:r>
        <w:t xml:space="preserve">.  </w:t>
      </w:r>
      <w:r w:rsidR="00A5503A">
        <w:t xml:space="preserve">The preamble to the proposal includes a request for comments on </w:t>
      </w:r>
      <w:r w:rsidR="000D79B9">
        <w:t>other federal and state filing requirements that could be used as an alternative source of information.</w:t>
      </w:r>
    </w:p>
    <w:p w:rsidR="000E1A9D" w:rsidP="00617A8B" w:rsidRDefault="000E1A9D" w14:paraId="3EF4AF6C" w14:textId="77777777">
      <w:pPr>
        <w:ind w:left="360"/>
      </w:pPr>
    </w:p>
    <w:p w:rsidRPr="008823D6" w:rsidR="000E1A9D" w:rsidP="000E1A9D" w:rsidRDefault="00617A8B" w14:paraId="4BFA9DCC" w14:textId="77777777">
      <w:pPr>
        <w:numPr>
          <w:ilvl w:val="0"/>
          <w:numId w:val="1"/>
        </w:numPr>
        <w:rPr>
          <w:b/>
          <w:i/>
          <w:iCs/>
        </w:rPr>
      </w:pPr>
      <w:r w:rsidRPr="008823D6">
        <w:t xml:space="preserve"> </w:t>
      </w:r>
      <w:r w:rsidRPr="008823D6" w:rsidR="000E1A9D">
        <w:rPr>
          <w:b/>
          <w:i/>
          <w:iCs/>
        </w:rPr>
        <w:t>If the collection of information impacts small businesses or other small entities, describe any methods used to minimize burden.</w:t>
      </w:r>
    </w:p>
    <w:p w:rsidR="00617A8B" w:rsidP="00617A8B" w:rsidRDefault="00617A8B" w14:paraId="68847399" w14:textId="77777777">
      <w:pPr>
        <w:ind w:left="360"/>
      </w:pPr>
    </w:p>
    <w:p w:rsidR="000E1A9D" w:rsidP="00523A2E" w:rsidRDefault="00E473BD" w14:paraId="3C53A247" w14:textId="77777777">
      <w:pPr>
        <w:ind w:left="1080"/>
      </w:pPr>
      <w:r>
        <w:t xml:space="preserve">The proposed regulation requirements on notification to the Secretary of Labor </w:t>
      </w:r>
      <w:r w:rsidRPr="008823D6">
        <w:t>applies equally to</w:t>
      </w:r>
      <w:r>
        <w:t xml:space="preserve"> small and large pooled plan providers for pension </w:t>
      </w:r>
      <w:r w:rsidRPr="008823D6">
        <w:t>plans, and the Department did not fashion any special treatment</w:t>
      </w:r>
      <w:r>
        <w:t xml:space="preserve"> for small pooled plan providers.  </w:t>
      </w:r>
      <w:r w:rsidR="003C3AEE">
        <w:t>Information</w:t>
      </w:r>
      <w:r w:rsidR="00D74C03">
        <w:t xml:space="preserve"> readily available in the normal course of business</w:t>
      </w:r>
      <w:r w:rsidR="003C3AEE">
        <w:t xml:space="preserve"> is required to be submitted.</w:t>
      </w:r>
      <w:r w:rsidR="00D74C03">
        <w:t xml:space="preserve"> </w:t>
      </w:r>
    </w:p>
    <w:p w:rsidR="00E76A5A" w:rsidP="00617A8B" w:rsidRDefault="00E76A5A" w14:paraId="6F8554A2" w14:textId="77777777">
      <w:pPr>
        <w:ind w:left="360"/>
      </w:pPr>
    </w:p>
    <w:p w:rsidR="00E76A5A" w:rsidP="00E76A5A" w:rsidRDefault="00E76A5A" w14:paraId="690CB8B2" w14:textId="77777777">
      <w:pPr>
        <w:numPr>
          <w:ilvl w:val="0"/>
          <w:numId w:val="1"/>
        </w:numPr>
        <w:rPr>
          <w:b/>
          <w:i/>
          <w:iCs/>
        </w:rPr>
      </w:pPr>
      <w:r w:rsidRPr="008823D6">
        <w:rPr>
          <w:b/>
          <w:i/>
          <w:iCs/>
        </w:rPr>
        <w:t>Describe the consequence to federal program or policy activities if the collection is not conducted or is conducted less frequently, as well as any technical or legal obstacles to reducing burden.</w:t>
      </w:r>
    </w:p>
    <w:p w:rsidRPr="00E76A5A" w:rsidR="00E76A5A" w:rsidP="00E76A5A" w:rsidRDefault="00E76A5A" w14:paraId="28166998" w14:textId="77777777">
      <w:pPr>
        <w:rPr>
          <w:iCs/>
        </w:rPr>
      </w:pPr>
    </w:p>
    <w:p w:rsidR="00617A8B" w:rsidP="00523A2E" w:rsidRDefault="00E76A5A" w14:paraId="7EDDB964" w14:textId="77777777">
      <w:pPr>
        <w:ind w:left="1080"/>
      </w:pPr>
      <w:r w:rsidRPr="008823D6">
        <w:t>This D</w:t>
      </w:r>
      <w:r>
        <w:t>epartment is required by the Secure Act</w:t>
      </w:r>
      <w:r w:rsidRPr="008823D6">
        <w:t xml:space="preserve"> to implement this information collection.  Failure to do so would be in contravention of a stated statutory requirement.  Failure to conduct this information collection activity would undermine </w:t>
      </w:r>
      <w:r>
        <w:t>th</w:t>
      </w:r>
      <w:r w:rsidR="00572987">
        <w:t>e</w:t>
      </w:r>
      <w:r>
        <w:t xml:space="preserve"> important policy objective </w:t>
      </w:r>
      <w:r w:rsidR="00572987">
        <w:t>of</w:t>
      </w:r>
      <w:r>
        <w:t xml:space="preserve"> </w:t>
      </w:r>
      <w:r w:rsidR="008E21BB">
        <w:t>allow</w:t>
      </w:r>
      <w:r w:rsidR="00572987">
        <w:t>ing</w:t>
      </w:r>
      <w:r w:rsidR="008E21BB">
        <w:t xml:space="preserve"> </w:t>
      </w:r>
      <w:r w:rsidRPr="008E21BB" w:rsidR="008E21BB">
        <w:t xml:space="preserve">many small and mid-sized employers that do not currently sponsor retirement plans or that are </w:t>
      </w:r>
      <w:r w:rsidR="008E21BB">
        <w:t xml:space="preserve">overwhelmed </w:t>
      </w:r>
      <w:r w:rsidRPr="008E21BB" w:rsidR="008E21BB">
        <w:t>by the burdens and com</w:t>
      </w:r>
      <w:r w:rsidR="008E21BB">
        <w:t>plexity of administering plans</w:t>
      </w:r>
      <w:r w:rsidR="00572987">
        <w:t>,</w:t>
      </w:r>
      <w:r w:rsidR="008E21BB">
        <w:t xml:space="preserve"> to </w:t>
      </w:r>
      <w:r w:rsidRPr="008E21BB" w:rsidR="008E21BB">
        <w:t>establish P</w:t>
      </w:r>
      <w:r w:rsidR="00CC0BA2">
        <w:t xml:space="preserve">ooled </w:t>
      </w:r>
      <w:r w:rsidRPr="008E21BB" w:rsidR="008E21BB">
        <w:t>E</w:t>
      </w:r>
      <w:r w:rsidR="00CC0BA2">
        <w:t xml:space="preserve">mployer </w:t>
      </w:r>
      <w:r w:rsidRPr="008E21BB" w:rsidR="008E21BB">
        <w:t>P</w:t>
      </w:r>
      <w:r w:rsidR="00CC0BA2">
        <w:t>lans</w:t>
      </w:r>
      <w:r w:rsidRPr="008E21BB" w:rsidR="008E21BB">
        <w:t xml:space="preserve"> product offerings and </w:t>
      </w:r>
      <w:r w:rsidR="00572987">
        <w:t xml:space="preserve">to </w:t>
      </w:r>
      <w:r w:rsidRPr="008E21BB" w:rsidR="008E21BB">
        <w:t>appoint and retain administrators, investment advisors and investment managers for their respective P</w:t>
      </w:r>
      <w:r w:rsidR="00CC0BA2">
        <w:t xml:space="preserve">ooled </w:t>
      </w:r>
      <w:r w:rsidRPr="008E21BB" w:rsidR="008E21BB">
        <w:t>E</w:t>
      </w:r>
      <w:r w:rsidR="00CC0BA2">
        <w:t xml:space="preserve">mployer </w:t>
      </w:r>
      <w:r w:rsidRPr="008E21BB" w:rsidR="008E21BB">
        <w:t>P</w:t>
      </w:r>
      <w:r w:rsidR="00CC0BA2">
        <w:t>lan</w:t>
      </w:r>
      <w:r w:rsidRPr="008E21BB" w:rsidR="008E21BB">
        <w:t>s.</w:t>
      </w:r>
      <w:r w:rsidR="008E21BB">
        <w:t xml:space="preserve"> </w:t>
      </w:r>
    </w:p>
    <w:p w:rsidR="002D6175" w:rsidP="00E76A5A" w:rsidRDefault="002D6175" w14:paraId="1B1E34FB" w14:textId="77777777">
      <w:pPr>
        <w:ind w:left="360"/>
      </w:pPr>
    </w:p>
    <w:p w:rsidR="002D6175" w:rsidP="00E76A5A" w:rsidRDefault="002D6175" w14:paraId="70E33A34" w14:textId="77777777">
      <w:pPr>
        <w:ind w:left="360"/>
      </w:pPr>
    </w:p>
    <w:p w:rsidRPr="008823D6" w:rsidR="002D6175" w:rsidP="002D6175" w:rsidRDefault="002D6175" w14:paraId="583CBF7F" w14:textId="77777777">
      <w:pPr>
        <w:numPr>
          <w:ilvl w:val="0"/>
          <w:numId w:val="1"/>
        </w:numPr>
        <w:rPr>
          <w:b/>
          <w:i/>
          <w:iCs/>
        </w:rPr>
      </w:pPr>
      <w:r w:rsidRPr="008823D6">
        <w:rPr>
          <w:b/>
          <w:i/>
          <w:iCs/>
        </w:rPr>
        <w:t>Explain any special circumstances that would cause an information collection to be conducted in a manner:</w:t>
      </w:r>
    </w:p>
    <w:p w:rsidRPr="008823D6" w:rsidR="002D6175" w:rsidP="002D6175" w:rsidRDefault="002D6175" w14:paraId="2D8B467A" w14:textId="77777777">
      <w:pPr>
        <w:numPr>
          <w:ilvl w:val="1"/>
          <w:numId w:val="1"/>
        </w:numPr>
        <w:rPr>
          <w:b/>
          <w:i/>
          <w:iCs/>
        </w:rPr>
      </w:pPr>
      <w:r w:rsidRPr="008823D6">
        <w:rPr>
          <w:b/>
          <w:i/>
          <w:iCs/>
        </w:rPr>
        <w:lastRenderedPageBreak/>
        <w:t>Requiring respondents to report information to the agency more often than quarterly;</w:t>
      </w:r>
    </w:p>
    <w:p w:rsidRPr="008823D6" w:rsidR="002D6175" w:rsidP="002D6175" w:rsidRDefault="002D6175" w14:paraId="531B79E8" w14:textId="77777777">
      <w:pPr>
        <w:numPr>
          <w:ilvl w:val="1"/>
          <w:numId w:val="1"/>
        </w:numPr>
        <w:rPr>
          <w:b/>
          <w:i/>
          <w:iCs/>
        </w:rPr>
      </w:pPr>
      <w:r w:rsidRPr="008823D6">
        <w:rPr>
          <w:b/>
          <w:i/>
          <w:iCs/>
        </w:rPr>
        <w:t>Requiring respondents to prepare a written response to a collection of information in fewer than 30 days after receipt of it;</w:t>
      </w:r>
    </w:p>
    <w:p w:rsidRPr="008823D6" w:rsidR="002D6175" w:rsidP="002D6175" w:rsidRDefault="002D6175" w14:paraId="60208CF9" w14:textId="77777777">
      <w:pPr>
        <w:numPr>
          <w:ilvl w:val="1"/>
          <w:numId w:val="1"/>
        </w:numPr>
        <w:rPr>
          <w:b/>
          <w:i/>
          <w:iCs/>
        </w:rPr>
      </w:pPr>
      <w:r w:rsidRPr="008823D6">
        <w:rPr>
          <w:b/>
          <w:i/>
          <w:iCs/>
        </w:rPr>
        <w:t>Requiring respondents to submit more than an original and two copies of any document;</w:t>
      </w:r>
    </w:p>
    <w:p w:rsidRPr="008823D6" w:rsidR="002D6175" w:rsidP="002D6175" w:rsidRDefault="002D6175" w14:paraId="5BCD2889" w14:textId="77777777">
      <w:pPr>
        <w:numPr>
          <w:ilvl w:val="1"/>
          <w:numId w:val="1"/>
        </w:numPr>
        <w:rPr>
          <w:b/>
          <w:i/>
          <w:iCs/>
        </w:rPr>
      </w:pPr>
      <w:r w:rsidRPr="008823D6">
        <w:rPr>
          <w:b/>
          <w:i/>
          <w:iCs/>
        </w:rPr>
        <w:t>Requiring respondents to retain records, other than health, medical, government contract, grant-in-aid, or tax records for more than three years;</w:t>
      </w:r>
    </w:p>
    <w:p w:rsidRPr="008823D6" w:rsidR="002D6175" w:rsidP="002D6175" w:rsidRDefault="002D6175" w14:paraId="6899082D" w14:textId="77777777">
      <w:pPr>
        <w:numPr>
          <w:ilvl w:val="1"/>
          <w:numId w:val="1"/>
        </w:numPr>
        <w:rPr>
          <w:b/>
          <w:i/>
          <w:iCs/>
        </w:rPr>
      </w:pPr>
      <w:r w:rsidRPr="008823D6">
        <w:rPr>
          <w:b/>
          <w:i/>
          <w:iCs/>
        </w:rPr>
        <w:t>In connection with a statistical survey, that is not designed to produce valid and reliable result that can be generalized to the universe of study;</w:t>
      </w:r>
    </w:p>
    <w:p w:rsidRPr="008823D6" w:rsidR="002D6175" w:rsidP="002D6175" w:rsidRDefault="002D6175" w14:paraId="51DBA294" w14:textId="77777777">
      <w:pPr>
        <w:numPr>
          <w:ilvl w:val="1"/>
          <w:numId w:val="1"/>
        </w:numPr>
        <w:rPr>
          <w:b/>
          <w:i/>
          <w:iCs/>
        </w:rPr>
      </w:pPr>
      <w:r w:rsidRPr="008823D6">
        <w:rPr>
          <w:b/>
          <w:i/>
          <w:iCs/>
        </w:rPr>
        <w:t>Requiring the use of a statistical data classification that has not been reviewed and approved by OMB;</w:t>
      </w:r>
    </w:p>
    <w:p w:rsidRPr="008823D6" w:rsidR="002D6175" w:rsidP="002D6175" w:rsidRDefault="002D6175" w14:paraId="71F8E7BF" w14:textId="77777777">
      <w:pPr>
        <w:numPr>
          <w:ilvl w:val="1"/>
          <w:numId w:val="1"/>
        </w:numPr>
        <w:rPr>
          <w:b/>
          <w:i/>
          <w:iCs/>
        </w:rPr>
      </w:pPr>
      <w:r w:rsidRPr="008823D6">
        <w:rPr>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823D6" w:rsidR="002D6175" w:rsidP="002D6175" w:rsidRDefault="002D6175" w14:paraId="74DF7E5F" w14:textId="77777777">
      <w:pPr>
        <w:numPr>
          <w:ilvl w:val="1"/>
          <w:numId w:val="1"/>
        </w:numPr>
        <w:rPr>
          <w:b/>
          <w:i/>
          <w:iCs/>
        </w:rPr>
      </w:pPr>
      <w:r w:rsidRPr="008823D6">
        <w:rPr>
          <w:b/>
          <w:i/>
          <w:iCs/>
        </w:rPr>
        <w:t>Requiring respondents to submit proprietary trade secret, or other confidential information unless the agency can demonstrate that it has instituted procedures to protect the information’s confidentiality to the extent permitted by law.</w:t>
      </w:r>
    </w:p>
    <w:p w:rsidR="002D6175" w:rsidP="00E76A5A" w:rsidRDefault="002D6175" w14:paraId="3D00099C" w14:textId="77777777">
      <w:pPr>
        <w:ind w:left="360"/>
      </w:pPr>
    </w:p>
    <w:p w:rsidRPr="00EB039A" w:rsidR="003C3AEE" w:rsidP="002827EF" w:rsidRDefault="003C3AEE" w14:paraId="457D6C54" w14:textId="77777777">
      <w:pPr>
        <w:ind w:left="1080"/>
      </w:pPr>
      <w:r w:rsidRPr="00EB039A">
        <w:t>There are no special circumstances that require the collection to be conducted in a manner inconsistent with the guidelines in 5 CFR 1320.5.</w:t>
      </w:r>
    </w:p>
    <w:p w:rsidRPr="00EB039A" w:rsidR="003C3AEE" w:rsidP="003C3AEE" w:rsidRDefault="003C3AEE" w14:paraId="77B1B75E" w14:textId="77777777">
      <w:pPr>
        <w:ind w:left="720"/>
      </w:pPr>
    </w:p>
    <w:p w:rsidR="002D6175" w:rsidP="00E76A5A" w:rsidRDefault="002D6175" w14:paraId="77D47DB7" w14:textId="77777777">
      <w:pPr>
        <w:ind w:left="360"/>
      </w:pPr>
    </w:p>
    <w:p w:rsidRPr="00601E48" w:rsidR="00601E48" w:rsidP="00601E48" w:rsidRDefault="00601E48" w14:paraId="2DE7DD54" w14:textId="77777777">
      <w:pPr>
        <w:numPr>
          <w:ilvl w:val="0"/>
          <w:numId w:val="1"/>
        </w:numPr>
        <w:rPr>
          <w:b/>
          <w:i/>
          <w:iCs/>
        </w:rPr>
      </w:pPr>
      <w:r w:rsidRPr="00601E48">
        <w:rPr>
          <w:b/>
          <w:i/>
          <w:iCs/>
        </w:rPr>
        <w:t xml:space="preserve">If applicable, provide a copy and identify the date and page number of </w:t>
      </w:r>
      <w:proofErr w:type="gramStart"/>
      <w:r w:rsidRPr="00601E48">
        <w:rPr>
          <w:b/>
          <w:i/>
          <w:iCs/>
        </w:rPr>
        <w:t>publication</w:t>
      </w:r>
      <w:proofErr w:type="gramEnd"/>
      <w:r w:rsidRPr="00601E48">
        <w:rPr>
          <w:b/>
          <w:i/>
          <w:iCs/>
        </w:rPr>
        <w:t xml:space="preserve"> in the </w:t>
      </w:r>
      <w:r w:rsidRPr="00601E48">
        <w:rPr>
          <w:b/>
          <w:i/>
          <w:iCs/>
          <w:u w:val="single"/>
        </w:rPr>
        <w:t xml:space="preserve">Federal Register </w:t>
      </w:r>
      <w:r w:rsidRPr="00601E48">
        <w:rPr>
          <w:b/>
          <w:i/>
          <w:iCs/>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01E48" w:rsidR="00601E48" w:rsidP="00601E48" w:rsidRDefault="00601E48" w14:paraId="33229F21" w14:textId="77777777">
      <w:pPr>
        <w:ind w:left="1080"/>
        <w:rPr>
          <w:b/>
          <w:i/>
          <w:iCs/>
        </w:rPr>
      </w:pPr>
    </w:p>
    <w:p w:rsidRPr="00601E48" w:rsidR="00601E48" w:rsidP="00601E48" w:rsidRDefault="00601E48" w14:paraId="523F96FE" w14:textId="77777777">
      <w:pPr>
        <w:ind w:left="1080"/>
        <w:rPr>
          <w:b/>
          <w:i/>
          <w:iCs/>
        </w:rPr>
      </w:pPr>
      <w:r w:rsidRPr="00601E48">
        <w:rPr>
          <w:b/>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601E48" w:rsidR="00601E48" w:rsidP="00601E48" w:rsidRDefault="00601E48" w14:paraId="6C907E97" w14:textId="77777777">
      <w:pPr>
        <w:ind w:left="1080"/>
        <w:rPr>
          <w:b/>
          <w:i/>
          <w:iCs/>
        </w:rPr>
      </w:pPr>
    </w:p>
    <w:p w:rsidR="00601E48" w:rsidP="00601E48" w:rsidRDefault="00601E48" w14:paraId="7E554B68" w14:textId="77777777">
      <w:pPr>
        <w:ind w:left="1080"/>
        <w:rPr>
          <w:b/>
          <w:i/>
        </w:rPr>
      </w:pPr>
      <w:r w:rsidRPr="00601E48">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1E48" w:rsidP="00601E48" w:rsidRDefault="00601E48" w14:paraId="293ACBFE" w14:textId="77777777">
      <w:pPr>
        <w:rPr>
          <w:b/>
          <w:i/>
        </w:rPr>
      </w:pPr>
    </w:p>
    <w:p w:rsidR="00491223" w:rsidP="00B73250" w:rsidRDefault="00491223" w14:paraId="4FB0A8D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color w:val="000000"/>
        </w:rPr>
      </w:pPr>
      <w:r>
        <w:t>In addition to requesting public comment on the proposed regulation, the NPRM solicits public comment on the paperwork burden of the proposed regulation. </w:t>
      </w:r>
      <w:r>
        <w:rPr>
          <w:color w:val="000000"/>
        </w:rPr>
        <w:t xml:space="preserve">The Office of Management and Budget has 60 days to review the information, but must allow at least 30 days for public comment. Therefore, the PRA section of the </w:t>
      </w:r>
      <w:r>
        <w:rPr>
          <w:color w:val="000000"/>
        </w:rPr>
        <w:lastRenderedPageBreak/>
        <w:t>proposed rule requests the public to send comments within 30 days to ensure their consideration. (5 CFR 1320.11(c); 5 CFR 1320.11(e))</w:t>
      </w:r>
    </w:p>
    <w:p w:rsidR="00DE0E9D" w:rsidP="00B73250" w:rsidRDefault="00DE0E9D" w14:paraId="47490F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8823D6" w:rsidR="009612B9" w:rsidP="009612B9" w:rsidRDefault="009612B9" w14:paraId="58ED1614" w14:textId="77777777">
      <w:pPr>
        <w:pStyle w:val="BodyTextIndent"/>
        <w:widowControl/>
        <w:numPr>
          <w:ilvl w:val="0"/>
          <w:numId w:val="1"/>
        </w:numPr>
        <w:tabs>
          <w:tab w:val="clear" w:pos="-1440"/>
        </w:tabs>
        <w:autoSpaceDE/>
        <w:autoSpaceDN/>
        <w:adjustRightInd/>
        <w:rPr>
          <w:b/>
        </w:rPr>
      </w:pPr>
      <w:r w:rsidRPr="008823D6">
        <w:rPr>
          <w:b/>
        </w:rPr>
        <w:t>Explain any decision to provide any payment or gift to respondents, other than remuneration of contractors or grantees.</w:t>
      </w:r>
    </w:p>
    <w:p w:rsidR="00DE0E9D" w:rsidP="003C13B7" w:rsidRDefault="00DE0E9D" w14:paraId="1A74F0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Pr="009612B9" w:rsidR="009612B9" w:rsidP="00B92C34" w:rsidRDefault="009612B9" w14:paraId="1335ACE7" w14:textId="77777777">
      <w:pPr>
        <w:autoSpaceDE w:val="0"/>
        <w:autoSpaceDN w:val="0"/>
        <w:adjustRightInd w:val="0"/>
        <w:ind w:left="720" w:firstLine="360"/>
      </w:pPr>
      <w:r w:rsidRPr="009612B9">
        <w:t>No payments or gifts are provided to respondents.</w:t>
      </w:r>
    </w:p>
    <w:p w:rsidR="009612B9" w:rsidP="003C13B7" w:rsidRDefault="009612B9" w14:paraId="0D36C5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Pr="008823D6" w:rsidR="009612B9" w:rsidP="009612B9" w:rsidRDefault="009612B9" w14:paraId="09391B77" w14:textId="77777777">
      <w:pPr>
        <w:pStyle w:val="BodyTextIndent"/>
        <w:widowControl/>
        <w:numPr>
          <w:ilvl w:val="0"/>
          <w:numId w:val="1"/>
        </w:numPr>
        <w:tabs>
          <w:tab w:val="clear" w:pos="-1440"/>
        </w:tabs>
        <w:autoSpaceDE/>
        <w:autoSpaceDN/>
        <w:adjustRightInd/>
        <w:rPr>
          <w:b/>
        </w:rPr>
      </w:pPr>
      <w:r w:rsidRPr="008823D6">
        <w:rPr>
          <w:b/>
        </w:rPr>
        <w:t>Describe any assurance of confidentiality provided to respondents and the basis for the assurance in statute, regulation, or agency policy.</w:t>
      </w:r>
    </w:p>
    <w:p w:rsidR="009612B9" w:rsidP="003C13B7" w:rsidRDefault="009612B9" w14:paraId="6EDF4C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9612B9" w:rsidP="00B92C34" w:rsidRDefault="009612B9" w14:paraId="0777007A" w14:textId="77777777">
      <w:pPr>
        <w:widowControl w:val="0"/>
        <w:autoSpaceDE w:val="0"/>
        <w:autoSpaceDN w:val="0"/>
        <w:adjustRightInd w:val="0"/>
        <w:ind w:left="1080"/>
      </w:pPr>
      <w:r>
        <w:t xml:space="preserve">None. </w:t>
      </w:r>
      <w:r w:rsidR="003C3AEE">
        <w:t xml:space="preserve"> </w:t>
      </w:r>
    </w:p>
    <w:p w:rsidR="00A06284" w:rsidP="009612B9" w:rsidRDefault="00A06284" w14:paraId="7B59EE02" w14:textId="77777777">
      <w:pPr>
        <w:widowControl w:val="0"/>
        <w:autoSpaceDE w:val="0"/>
        <w:autoSpaceDN w:val="0"/>
        <w:adjustRightInd w:val="0"/>
        <w:ind w:left="720"/>
      </w:pPr>
    </w:p>
    <w:p w:rsidR="00A06284" w:rsidP="00A06284" w:rsidRDefault="00A06284" w14:paraId="440CAA94" w14:textId="77777777">
      <w:pPr>
        <w:pStyle w:val="BodyTextIndent"/>
        <w:widowControl/>
        <w:numPr>
          <w:ilvl w:val="0"/>
          <w:numId w:val="1"/>
        </w:numPr>
        <w:tabs>
          <w:tab w:val="clear" w:pos="-1440"/>
        </w:tabs>
        <w:autoSpaceDE/>
        <w:autoSpaceDN/>
        <w:adjustRightInd/>
        <w:rPr>
          <w:b/>
        </w:rPr>
      </w:pPr>
      <w:r w:rsidRPr="008823D6">
        <w:rPr>
          <w:b/>
        </w:rPr>
        <w:t>Provide additional justification for any questions of a sensitive nature, such as sexual behavior and attitudes, religious beliefs, and other matters that are commonly considered</w:t>
      </w:r>
      <w:r w:rsidRPr="008823D6">
        <w:t xml:space="preserve"> </w:t>
      </w:r>
      <w:r w:rsidRPr="008823D6">
        <w:rPr>
          <w:b/>
        </w:rPr>
        <w:t>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A06284" w:rsidP="00A06284" w:rsidRDefault="00A06284" w14:paraId="34F8C051" w14:textId="77777777">
      <w:pPr>
        <w:ind w:left="360"/>
      </w:pPr>
    </w:p>
    <w:p w:rsidR="00A06284" w:rsidP="003E3FF2" w:rsidRDefault="00A06284" w14:paraId="45F6A104" w14:textId="77777777">
      <w:pPr>
        <w:ind w:left="1080"/>
      </w:pPr>
      <w:r w:rsidRPr="00B8639F">
        <w:t>There are no questions of a sensitive nature pertaining to sexual behavior and attitudes, religious beliefs, or other matters that are</w:t>
      </w:r>
      <w:r w:rsidR="003C3AEE">
        <w:t xml:space="preserve"> </w:t>
      </w:r>
      <w:r w:rsidRPr="00B8639F">
        <w:t xml:space="preserve">commonly considered private. </w:t>
      </w:r>
      <w:r>
        <w:t xml:space="preserve"> </w:t>
      </w:r>
      <w:r w:rsidRPr="00B8639F">
        <w:t xml:space="preserve">Therefore, this is not applicable to the requirements of this </w:t>
      </w:r>
      <w:r w:rsidR="003C3AEE">
        <w:t>information collection</w:t>
      </w:r>
      <w:r>
        <w:t xml:space="preserve">.  </w:t>
      </w:r>
    </w:p>
    <w:p w:rsidR="008C4059" w:rsidP="008C4059" w:rsidRDefault="008C4059" w14:paraId="218BFC22" w14:textId="77777777"/>
    <w:p w:rsidRPr="008823D6" w:rsidR="008C4059" w:rsidP="008C4059" w:rsidRDefault="008C4059" w14:paraId="12546A7D" w14:textId="77777777">
      <w:pPr>
        <w:pStyle w:val="BodyTextIndent"/>
        <w:widowControl/>
        <w:numPr>
          <w:ilvl w:val="0"/>
          <w:numId w:val="1"/>
        </w:numPr>
        <w:tabs>
          <w:tab w:val="clear" w:pos="-1440"/>
        </w:tabs>
        <w:autoSpaceDE/>
        <w:autoSpaceDN/>
        <w:adjustRightInd/>
        <w:rPr>
          <w:b/>
        </w:rPr>
      </w:pPr>
      <w:r w:rsidRPr="008823D6">
        <w:rPr>
          <w:b/>
        </w:rPr>
        <w:t>Provide estimates of the hour burden of the collection of information.  The statement should:</w:t>
      </w:r>
    </w:p>
    <w:p w:rsidRPr="008823D6" w:rsidR="008C4059" w:rsidP="008C4059" w:rsidRDefault="008C4059" w14:paraId="4B85F17C" w14:textId="77777777">
      <w:pPr>
        <w:pStyle w:val="BodyTextIndent"/>
        <w:widowControl/>
        <w:numPr>
          <w:ilvl w:val="1"/>
          <w:numId w:val="1"/>
        </w:numPr>
        <w:tabs>
          <w:tab w:val="clear" w:pos="-1440"/>
        </w:tabs>
        <w:autoSpaceDE/>
        <w:autoSpaceDN/>
        <w:adjustRightInd/>
        <w:rPr>
          <w:b/>
        </w:rPr>
      </w:pPr>
      <w:r w:rsidRPr="008823D6">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Pr="008823D6" w:rsidR="008C4059" w:rsidP="008C4059" w:rsidRDefault="008C4059" w14:paraId="6C8E051A" w14:textId="77777777">
      <w:pPr>
        <w:pStyle w:val="BodyTextIndent"/>
        <w:widowControl/>
        <w:numPr>
          <w:ilvl w:val="1"/>
          <w:numId w:val="1"/>
        </w:numPr>
        <w:tabs>
          <w:tab w:val="clear" w:pos="-1440"/>
        </w:tabs>
        <w:autoSpaceDE/>
        <w:autoSpaceDN/>
        <w:adjustRightInd/>
        <w:rPr>
          <w:b/>
        </w:rPr>
      </w:pPr>
      <w:r w:rsidRPr="008823D6">
        <w:rPr>
          <w:b/>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w:t>
      </w:r>
    </w:p>
    <w:p w:rsidR="00D36812" w:rsidP="008C4059" w:rsidRDefault="00D36812" w14:paraId="1F66953B" w14:textId="77777777">
      <w:pPr>
        <w:pStyle w:val="BodyTextIndent"/>
      </w:pPr>
    </w:p>
    <w:p w:rsidRPr="00D43A5B" w:rsidR="003F33AB" w:rsidP="00B73250" w:rsidRDefault="003F33AB" w14:paraId="3D77C9BB" w14:textId="77777777">
      <w:pPr>
        <w:spacing w:before="100" w:beforeAutospacing="1" w:after="100" w:afterAutospacing="1"/>
        <w:ind w:left="1080"/>
      </w:pPr>
      <w:r w:rsidRPr="00D43A5B">
        <w:t>The SECURE Act requires a person to register as a pooled plan provider with the Secretary, and provide other information the Secretary may require, before beginning operations.  This information collection contains the requirements to register with the Secretary under section 3(44) of the Act.</w:t>
      </w:r>
      <w:r>
        <w:t xml:space="preserve">  The information collection will </w:t>
      </w:r>
      <w:r w:rsidR="008542AD">
        <w:t xml:space="preserve">be integrated into the Department’s existing </w:t>
      </w:r>
      <w:r>
        <w:t>EFAST 2 electronic filing system</w:t>
      </w:r>
      <w:r w:rsidR="008542AD">
        <w:t xml:space="preserve"> for filing </w:t>
      </w:r>
      <w:r>
        <w:lastRenderedPageBreak/>
        <w:t>the Form 5500</w:t>
      </w:r>
      <w:r w:rsidDel="00657D91">
        <w:t xml:space="preserve"> </w:t>
      </w:r>
      <w:r w:rsidR="008542AD">
        <w:t xml:space="preserve">annual return/report generally </w:t>
      </w:r>
      <w:r>
        <w:t xml:space="preserve">required </w:t>
      </w:r>
      <w:r w:rsidR="008542AD">
        <w:t xml:space="preserve">for ERISA-covered employee benefit plans, including </w:t>
      </w:r>
      <w:r>
        <w:t>pooled employer plan</w:t>
      </w:r>
      <w:r w:rsidR="008542AD">
        <w:t xml:space="preserve">s operated by pooled plan </w:t>
      </w:r>
      <w:proofErr w:type="gramStart"/>
      <w:r w:rsidR="008542AD">
        <w:t>providers.</w:t>
      </w:r>
      <w:r>
        <w:t>.</w:t>
      </w:r>
      <w:proofErr w:type="gramEnd"/>
      <w:r>
        <w:t xml:space="preserve">  The proposed Form PR and </w:t>
      </w:r>
      <w:r w:rsidR="008542AD">
        <w:t>i</w:t>
      </w:r>
      <w:r>
        <w:t>nstructions that appear in Appendix A are included as part of the information collection request.</w:t>
      </w:r>
    </w:p>
    <w:p w:rsidR="007065D9" w:rsidP="00523A2E" w:rsidRDefault="003F33AB" w14:paraId="3782E7D8" w14:textId="77777777">
      <w:pPr>
        <w:pStyle w:val="BodyTextIndent"/>
        <w:ind w:left="1080"/>
      </w:pPr>
      <w:r w:rsidRPr="00D43A5B">
        <w:t>The Department</w:t>
      </w:r>
      <w:r>
        <w:t xml:space="preserve"> </w:t>
      </w:r>
      <w:r w:rsidRPr="00D43A5B">
        <w:t xml:space="preserve">has designed a two-part approach for this requirement.  The first consists of a registration of contact information, links to marketing websites, and a description of services and the role of any affiliates.  </w:t>
      </w:r>
      <w:r w:rsidR="008542AD">
        <w:t>As proposed, p</w:t>
      </w:r>
      <w:r w:rsidRPr="00D43A5B">
        <w:t xml:space="preserve">ooled employer plans must electronically register with the Department at least 30 days, but not more than 90 days, before beginning operations.  The information included should be collected by the pooled plan provider during its normal course of business, so collection should not require additional effort by the administrator.  Therefore, the Department estimates that compiling and submitting the initial registration information will take about 45 minutes and impose no additional costs on the administrator.  To limit costs, a pooled plan provider needs to file only one registration regardless of the number of pooled </w:t>
      </w:r>
      <w:proofErr w:type="gramStart"/>
      <w:r w:rsidRPr="00D43A5B">
        <w:t>employer</w:t>
      </w:r>
      <w:proofErr w:type="gramEnd"/>
      <w:r w:rsidRPr="00D43A5B">
        <w:t xml:space="preserve"> plans it operates, although </w:t>
      </w:r>
      <w:r w:rsidR="00B20112">
        <w:t>it m</w:t>
      </w:r>
      <w:r w:rsidR="00011FCB">
        <w:t xml:space="preserve">ay have to file </w:t>
      </w:r>
      <w:r w:rsidR="00B20112">
        <w:t xml:space="preserve">a supplemental </w:t>
      </w:r>
      <w:r w:rsidR="00011FCB">
        <w:t>report for each new plan not identified in the initial registration</w:t>
      </w:r>
      <w:r w:rsidR="00B20112">
        <w:t>.</w:t>
      </w:r>
    </w:p>
    <w:p w:rsidRPr="008E53D9" w:rsidR="008E53D9" w:rsidP="004046BC" w:rsidRDefault="008E53D9" w14:paraId="34052C4D" w14:textId="77777777">
      <w:pPr>
        <w:pStyle w:val="BodyTextIndent"/>
        <w:ind w:left="0"/>
      </w:pPr>
    </w:p>
    <w:p w:rsidRPr="00D43A5B" w:rsidR="00626677" w:rsidP="00B73250" w:rsidRDefault="00626677" w14:paraId="45814FDA" w14:textId="77777777">
      <w:pPr>
        <w:spacing w:before="100" w:beforeAutospacing="1" w:after="100" w:afterAutospacing="1"/>
        <w:ind w:left="1080"/>
        <w:rPr>
          <w:color w:val="222222"/>
          <w:shd w:val="clear" w:color="auto" w:fill="FFFFFF"/>
        </w:rPr>
      </w:pPr>
      <w:r w:rsidRPr="00D43A5B">
        <w:t xml:space="preserve">The Department has identified certain existing entities that it believes would be most likely to serve as pooled plan providers.  For example, recordkeepers that currently administer retirement plans </w:t>
      </w:r>
      <w:r>
        <w:t xml:space="preserve">may be well positioned </w:t>
      </w:r>
      <w:r w:rsidRPr="00D43A5B">
        <w:t>to serve as pooled plan providers</w:t>
      </w:r>
      <w:r>
        <w:t xml:space="preserve"> and some recordkeepers have affiliated entities that may seek to provide investment alternatives and services to the plan</w:t>
      </w:r>
      <w:r w:rsidRPr="00D43A5B">
        <w:t xml:space="preserve">.  Similarly, many Professional Employer Organizations (PEOs) have served as plan administrators and </w:t>
      </w:r>
      <w:r w:rsidR="008542AD">
        <w:t xml:space="preserve">may </w:t>
      </w:r>
      <w:r w:rsidRPr="00D43A5B">
        <w:t>tak</w:t>
      </w:r>
      <w:r w:rsidR="008542AD">
        <w:t>e</w:t>
      </w:r>
      <w:r w:rsidRPr="00D43A5B">
        <w:t xml:space="preserve"> on the role of pooled plan provider.  Further, </w:t>
      </w:r>
      <w:r w:rsidR="008542AD">
        <w:t xml:space="preserve">certain financial services providers and </w:t>
      </w:r>
      <w:r>
        <w:t xml:space="preserve">insurance companies </w:t>
      </w:r>
      <w:r w:rsidRPr="00D43A5B">
        <w:t xml:space="preserve">have expressed </w:t>
      </w:r>
      <w:r>
        <w:t xml:space="preserve">interest in </w:t>
      </w:r>
      <w:r w:rsidRPr="00D43A5B">
        <w:t>serving as pooled plan providers</w:t>
      </w:r>
      <w:r>
        <w:t xml:space="preserve"> and some have prior experience providing similar services</w:t>
      </w:r>
      <w:r w:rsidR="008542AD">
        <w:t xml:space="preserve"> to existing multiple employer plans</w:t>
      </w:r>
      <w:r w:rsidRPr="00D43A5B">
        <w:t>.</w:t>
      </w:r>
      <w:r>
        <w:t xml:space="preserve">  </w:t>
      </w:r>
      <w:r w:rsidR="008542AD">
        <w:t>Although the SECURE Act did not establish specific qualification requirements for pooled plan providers, the Department expects that some enterprises and employer groups may</w:t>
      </w:r>
      <w:r w:rsidRPr="00D43A5B">
        <w:t xml:space="preserve"> be reluctant to assume the named fiduciary and plan administrator roles</w:t>
      </w:r>
      <w:r w:rsidR="008542AD">
        <w:t xml:space="preserve"> that the SECURE Act mandates for pooled plan providers</w:t>
      </w:r>
      <w:r w:rsidRPr="00D43A5B">
        <w:t xml:space="preserve">.  </w:t>
      </w:r>
    </w:p>
    <w:p w:rsidRPr="00D43A5B" w:rsidR="00626677" w:rsidP="00B73250" w:rsidRDefault="00626677" w14:paraId="0CE13BC9" w14:textId="77777777">
      <w:pPr>
        <w:spacing w:before="100" w:beforeAutospacing="1" w:after="100" w:afterAutospacing="1"/>
        <w:ind w:left="1080"/>
      </w:pPr>
      <w:r w:rsidRPr="00D43A5B">
        <w:t>Given these assumptions, the Department currently estimates that roughly 3,200 unique entities will initially register to serve as pooled plan providers.  Recordkeepers and plan administrators of existing defined contribution plans are most likely to enter the market, followed by PEOs, direct annuity writers, chambers of commerce, and plan advisors.</w:t>
      </w:r>
    </w:p>
    <w:p w:rsidR="00652CE2" w:rsidP="00523A2E" w:rsidRDefault="00652CE2" w14:paraId="37BF3C7A" w14:textId="77777777">
      <w:pPr>
        <w:pStyle w:val="BodyTextIndent"/>
        <w:ind w:left="1080"/>
      </w:pPr>
    </w:p>
    <w:tbl>
      <w:tblPr>
        <w:tblW w:w="9360" w:type="dxa"/>
        <w:tblInd w:w="976" w:type="dxa"/>
        <w:tblLook w:val="04A0" w:firstRow="1" w:lastRow="0" w:firstColumn="1" w:lastColumn="0" w:noHBand="0" w:noVBand="1"/>
      </w:tblPr>
      <w:tblGrid>
        <w:gridCol w:w="5486"/>
        <w:gridCol w:w="269"/>
        <w:gridCol w:w="1085"/>
        <w:gridCol w:w="1216"/>
        <w:gridCol w:w="1304"/>
      </w:tblGrid>
      <w:tr w:rsidRPr="005E1DC9" w:rsidR="005E1DC9" w:rsidTr="00652CE2" w14:paraId="3E1358D9" w14:textId="77777777">
        <w:trPr>
          <w:trHeight w:val="615"/>
        </w:trPr>
        <w:tc>
          <w:tcPr>
            <w:tcW w:w="5755" w:type="dxa"/>
            <w:gridSpan w:val="2"/>
            <w:tcBorders>
              <w:top w:val="single" w:color="auto" w:sz="8" w:space="0"/>
              <w:left w:val="nil"/>
              <w:bottom w:val="single" w:color="auto" w:sz="8" w:space="0"/>
              <w:right w:val="nil"/>
            </w:tcBorders>
            <w:shd w:val="clear" w:color="auto" w:fill="auto"/>
            <w:noWrap/>
            <w:vAlign w:val="bottom"/>
            <w:hideMark/>
          </w:tcPr>
          <w:p w:rsidRPr="005E1DC9" w:rsidR="005E1DC9" w:rsidP="005E1DC9" w:rsidRDefault="005E1DC9" w14:paraId="3E7FDF79" w14:textId="77777777">
            <w:pPr>
              <w:rPr>
                <w:color w:val="000000"/>
                <w:sz w:val="22"/>
                <w:szCs w:val="22"/>
              </w:rPr>
            </w:pPr>
            <w:r w:rsidRPr="005E1DC9">
              <w:rPr>
                <w:color w:val="000000"/>
                <w:sz w:val="22"/>
                <w:szCs w:val="22"/>
              </w:rPr>
              <w:t> </w:t>
            </w:r>
          </w:p>
        </w:tc>
        <w:tc>
          <w:tcPr>
            <w:tcW w:w="1085" w:type="dxa"/>
            <w:tcBorders>
              <w:top w:val="single" w:color="auto" w:sz="8" w:space="0"/>
              <w:left w:val="nil"/>
              <w:bottom w:val="single" w:color="auto" w:sz="8" w:space="0"/>
              <w:right w:val="nil"/>
            </w:tcBorders>
            <w:shd w:val="clear" w:color="auto" w:fill="auto"/>
            <w:vAlign w:val="center"/>
            <w:hideMark/>
          </w:tcPr>
          <w:p w:rsidRPr="005E1DC9" w:rsidR="005E1DC9" w:rsidP="005E1DC9" w:rsidRDefault="005E1DC9" w14:paraId="4AAD05EA" w14:textId="77777777">
            <w:pPr>
              <w:jc w:val="center"/>
              <w:rPr>
                <w:color w:val="000000"/>
                <w:sz w:val="22"/>
                <w:szCs w:val="22"/>
              </w:rPr>
            </w:pPr>
            <w:r w:rsidRPr="005E1DC9">
              <w:rPr>
                <w:color w:val="000000"/>
                <w:sz w:val="22"/>
                <w:szCs w:val="22"/>
              </w:rPr>
              <w:t>Universe</w:t>
            </w:r>
          </w:p>
        </w:tc>
        <w:tc>
          <w:tcPr>
            <w:tcW w:w="1216" w:type="dxa"/>
            <w:tcBorders>
              <w:top w:val="single" w:color="auto" w:sz="8" w:space="0"/>
              <w:left w:val="nil"/>
              <w:bottom w:val="single" w:color="auto" w:sz="8" w:space="0"/>
              <w:right w:val="nil"/>
            </w:tcBorders>
            <w:shd w:val="clear" w:color="auto" w:fill="auto"/>
            <w:vAlign w:val="center"/>
            <w:hideMark/>
          </w:tcPr>
          <w:p w:rsidRPr="005E1DC9" w:rsidR="005E1DC9" w:rsidP="005E1DC9" w:rsidRDefault="005E1DC9" w14:paraId="6AC8BD7E" w14:textId="77777777">
            <w:pPr>
              <w:jc w:val="center"/>
              <w:rPr>
                <w:color w:val="000000"/>
                <w:sz w:val="22"/>
                <w:szCs w:val="22"/>
              </w:rPr>
            </w:pPr>
            <w:r w:rsidRPr="005E1DC9">
              <w:rPr>
                <w:color w:val="000000"/>
                <w:sz w:val="22"/>
                <w:szCs w:val="22"/>
              </w:rPr>
              <w:t>Expected Share</w:t>
            </w:r>
          </w:p>
        </w:tc>
        <w:tc>
          <w:tcPr>
            <w:tcW w:w="1304" w:type="dxa"/>
            <w:tcBorders>
              <w:top w:val="single" w:color="auto" w:sz="8" w:space="0"/>
              <w:left w:val="nil"/>
              <w:bottom w:val="single" w:color="auto" w:sz="8" w:space="0"/>
              <w:right w:val="nil"/>
            </w:tcBorders>
            <w:shd w:val="clear" w:color="auto" w:fill="auto"/>
            <w:vAlign w:val="center"/>
            <w:hideMark/>
          </w:tcPr>
          <w:p w:rsidRPr="005E1DC9" w:rsidR="005E1DC9" w:rsidP="005E1DC9" w:rsidRDefault="005E1DC9" w14:paraId="321A82A9" w14:textId="77777777">
            <w:pPr>
              <w:jc w:val="center"/>
              <w:rPr>
                <w:color w:val="000000"/>
                <w:sz w:val="22"/>
                <w:szCs w:val="22"/>
              </w:rPr>
            </w:pPr>
            <w:r w:rsidRPr="005E1DC9">
              <w:rPr>
                <w:color w:val="000000"/>
                <w:sz w:val="22"/>
                <w:szCs w:val="22"/>
              </w:rPr>
              <w:t>Estimated Number</w:t>
            </w:r>
          </w:p>
        </w:tc>
      </w:tr>
      <w:tr w:rsidRPr="005E1DC9" w:rsidR="005E1DC9" w:rsidTr="00652CE2" w14:paraId="2F386984" w14:textId="77777777">
        <w:trPr>
          <w:trHeight w:val="600"/>
        </w:trPr>
        <w:tc>
          <w:tcPr>
            <w:tcW w:w="5755" w:type="dxa"/>
            <w:gridSpan w:val="2"/>
            <w:tcBorders>
              <w:top w:val="nil"/>
              <w:left w:val="nil"/>
              <w:bottom w:val="nil"/>
              <w:right w:val="nil"/>
            </w:tcBorders>
            <w:shd w:val="clear" w:color="auto" w:fill="auto"/>
            <w:vAlign w:val="bottom"/>
            <w:hideMark/>
          </w:tcPr>
          <w:p w:rsidRPr="005E1DC9" w:rsidR="005E1DC9" w:rsidP="005E1DC9" w:rsidRDefault="005E1DC9" w14:paraId="0744534E" w14:textId="77777777">
            <w:pPr>
              <w:rPr>
                <w:color w:val="000000"/>
                <w:sz w:val="22"/>
                <w:szCs w:val="22"/>
              </w:rPr>
            </w:pPr>
            <w:r w:rsidRPr="005E1DC9">
              <w:rPr>
                <w:color w:val="000000"/>
                <w:sz w:val="22"/>
                <w:szCs w:val="22"/>
              </w:rPr>
              <w:t xml:space="preserve">Unique Recordkeepers and Plan Administrators for Existing DC Plans </w:t>
            </w:r>
            <w:r w:rsidRPr="005E1DC9">
              <w:rPr>
                <w:color w:val="000000"/>
                <w:sz w:val="22"/>
                <w:szCs w:val="22"/>
                <w:vertAlign w:val="superscript"/>
              </w:rPr>
              <w:t>a</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633C7BF9" w14:textId="77777777">
            <w:pPr>
              <w:jc w:val="right"/>
              <w:rPr>
                <w:color w:val="000000"/>
                <w:sz w:val="22"/>
                <w:szCs w:val="22"/>
              </w:rPr>
            </w:pPr>
            <w:r w:rsidRPr="005E1DC9">
              <w:rPr>
                <w:color w:val="000000"/>
                <w:sz w:val="22"/>
                <w:szCs w:val="22"/>
              </w:rPr>
              <w:t>2,378</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226CF8D8" w14:textId="77777777">
            <w:pPr>
              <w:jc w:val="right"/>
              <w:rPr>
                <w:color w:val="000000"/>
                <w:sz w:val="22"/>
                <w:szCs w:val="22"/>
              </w:rPr>
            </w:pPr>
            <w:r w:rsidRPr="005E1DC9">
              <w:rPr>
                <w:color w:val="000000"/>
                <w:sz w:val="22"/>
                <w:szCs w:val="22"/>
              </w:rPr>
              <w:t>50%</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499333D6" w14:textId="77777777">
            <w:pPr>
              <w:jc w:val="right"/>
              <w:rPr>
                <w:color w:val="000000"/>
                <w:sz w:val="22"/>
                <w:szCs w:val="22"/>
              </w:rPr>
            </w:pPr>
            <w:r w:rsidRPr="005E1DC9">
              <w:rPr>
                <w:color w:val="000000"/>
                <w:sz w:val="22"/>
                <w:szCs w:val="22"/>
              </w:rPr>
              <w:t>1189</w:t>
            </w:r>
          </w:p>
        </w:tc>
      </w:tr>
      <w:tr w:rsidRPr="005E1DC9" w:rsidR="005E1DC9" w:rsidTr="00652CE2" w14:paraId="06B3D545"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2234BF74" w14:textId="77777777">
            <w:pPr>
              <w:rPr>
                <w:color w:val="000000"/>
                <w:sz w:val="22"/>
                <w:szCs w:val="22"/>
              </w:rPr>
            </w:pPr>
            <w:r w:rsidRPr="005E1DC9">
              <w:rPr>
                <w:color w:val="000000"/>
                <w:sz w:val="22"/>
                <w:szCs w:val="22"/>
              </w:rPr>
              <w:t xml:space="preserve">Professional Employer Organization </w:t>
            </w:r>
            <w:r w:rsidRPr="005E1DC9">
              <w:rPr>
                <w:color w:val="000000"/>
                <w:sz w:val="22"/>
                <w:szCs w:val="22"/>
                <w:vertAlign w:val="superscript"/>
              </w:rPr>
              <w:t>b</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5CA17817" w14:textId="77777777">
            <w:pPr>
              <w:jc w:val="right"/>
              <w:rPr>
                <w:color w:val="000000"/>
                <w:sz w:val="22"/>
                <w:szCs w:val="22"/>
              </w:rPr>
            </w:pPr>
            <w:r w:rsidRPr="005E1DC9">
              <w:rPr>
                <w:color w:val="000000"/>
                <w:sz w:val="22"/>
                <w:szCs w:val="22"/>
              </w:rPr>
              <w:t>907</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3988F7FA" w14:textId="77777777">
            <w:pPr>
              <w:jc w:val="right"/>
              <w:rPr>
                <w:color w:val="000000"/>
                <w:sz w:val="22"/>
                <w:szCs w:val="22"/>
              </w:rPr>
            </w:pPr>
            <w:r w:rsidRPr="005E1DC9">
              <w:rPr>
                <w:color w:val="000000"/>
                <w:sz w:val="22"/>
                <w:szCs w:val="22"/>
              </w:rPr>
              <w:t>25%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569E01B1" w14:textId="77777777">
            <w:pPr>
              <w:jc w:val="right"/>
              <w:rPr>
                <w:color w:val="000000"/>
                <w:sz w:val="22"/>
                <w:szCs w:val="22"/>
              </w:rPr>
            </w:pPr>
            <w:r w:rsidRPr="005E1DC9">
              <w:rPr>
                <w:color w:val="000000"/>
                <w:sz w:val="22"/>
                <w:szCs w:val="22"/>
              </w:rPr>
              <w:t>227</w:t>
            </w:r>
          </w:p>
        </w:tc>
      </w:tr>
      <w:tr w:rsidRPr="005E1DC9" w:rsidR="005E1DC9" w:rsidTr="00652CE2" w14:paraId="53C0A735"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3C09761C" w14:textId="77777777">
            <w:pPr>
              <w:rPr>
                <w:color w:val="000000"/>
                <w:sz w:val="22"/>
                <w:szCs w:val="22"/>
              </w:rPr>
            </w:pPr>
            <w:r w:rsidRPr="005E1DC9">
              <w:rPr>
                <w:color w:val="000000"/>
                <w:sz w:val="22"/>
                <w:szCs w:val="22"/>
              </w:rPr>
              <w:lastRenderedPageBreak/>
              <w:t xml:space="preserve">Chambers of Commerce </w:t>
            </w:r>
            <w:r w:rsidRPr="005E1DC9">
              <w:rPr>
                <w:color w:val="000000"/>
                <w:sz w:val="22"/>
                <w:szCs w:val="22"/>
                <w:vertAlign w:val="superscript"/>
              </w:rPr>
              <w:t>c</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5204D2EF" w14:textId="77777777">
            <w:pPr>
              <w:jc w:val="right"/>
              <w:rPr>
                <w:color w:val="000000"/>
                <w:sz w:val="22"/>
                <w:szCs w:val="22"/>
              </w:rPr>
            </w:pPr>
            <w:r w:rsidRPr="005E1DC9">
              <w:rPr>
                <w:color w:val="000000"/>
                <w:sz w:val="22"/>
                <w:szCs w:val="22"/>
              </w:rPr>
              <w:t>4,000</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1E1CEE99" w14:textId="77777777">
            <w:pPr>
              <w:jc w:val="right"/>
              <w:rPr>
                <w:color w:val="000000"/>
                <w:sz w:val="22"/>
                <w:szCs w:val="22"/>
              </w:rPr>
            </w:pPr>
            <w:r w:rsidRPr="005E1DC9">
              <w:rPr>
                <w:color w:val="000000"/>
                <w:sz w:val="22"/>
                <w:szCs w:val="22"/>
              </w:rPr>
              <w:t>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56FA19E7" w14:textId="77777777">
            <w:pPr>
              <w:jc w:val="right"/>
              <w:rPr>
                <w:color w:val="000000"/>
                <w:sz w:val="22"/>
                <w:szCs w:val="22"/>
              </w:rPr>
            </w:pPr>
            <w:r w:rsidRPr="005E1DC9">
              <w:rPr>
                <w:color w:val="000000"/>
                <w:sz w:val="22"/>
                <w:szCs w:val="22"/>
              </w:rPr>
              <w:t>200</w:t>
            </w:r>
          </w:p>
        </w:tc>
      </w:tr>
      <w:tr w:rsidRPr="005E1DC9" w:rsidR="005E1DC9" w:rsidTr="00652CE2" w14:paraId="10DAFE95"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20DB7280" w14:textId="77777777">
            <w:pPr>
              <w:rPr>
                <w:color w:val="000000"/>
                <w:sz w:val="22"/>
                <w:szCs w:val="22"/>
              </w:rPr>
            </w:pPr>
            <w:r w:rsidRPr="005E1DC9">
              <w:rPr>
                <w:color w:val="000000"/>
                <w:sz w:val="22"/>
                <w:szCs w:val="22"/>
              </w:rPr>
              <w:t xml:space="preserve">Large Broker-Dealers </w:t>
            </w:r>
            <w:r w:rsidRPr="005E1DC9">
              <w:rPr>
                <w:color w:val="000000"/>
                <w:sz w:val="22"/>
                <w:szCs w:val="22"/>
                <w:vertAlign w:val="superscript"/>
              </w:rPr>
              <w:t>d</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1DC44E9A" w14:textId="77777777">
            <w:pPr>
              <w:jc w:val="right"/>
              <w:rPr>
                <w:color w:val="000000"/>
                <w:sz w:val="22"/>
                <w:szCs w:val="22"/>
              </w:rPr>
            </w:pPr>
            <w:r w:rsidRPr="005E1DC9">
              <w:rPr>
                <w:color w:val="000000"/>
                <w:sz w:val="22"/>
                <w:szCs w:val="22"/>
              </w:rPr>
              <w:t>173</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0F0822F8" w14:textId="77777777">
            <w:pPr>
              <w:jc w:val="right"/>
              <w:rPr>
                <w:color w:val="000000"/>
                <w:sz w:val="22"/>
                <w:szCs w:val="22"/>
              </w:rPr>
            </w:pPr>
            <w:r w:rsidRPr="005E1DC9">
              <w:rPr>
                <w:color w:val="000000"/>
                <w:sz w:val="22"/>
                <w:szCs w:val="22"/>
              </w:rPr>
              <w:t>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46324056" w14:textId="77777777">
            <w:pPr>
              <w:jc w:val="right"/>
              <w:rPr>
                <w:color w:val="000000"/>
                <w:sz w:val="22"/>
                <w:szCs w:val="22"/>
              </w:rPr>
            </w:pPr>
            <w:r w:rsidRPr="005E1DC9">
              <w:rPr>
                <w:color w:val="000000"/>
                <w:sz w:val="22"/>
                <w:szCs w:val="22"/>
              </w:rPr>
              <w:t>9</w:t>
            </w:r>
          </w:p>
        </w:tc>
      </w:tr>
      <w:tr w:rsidRPr="005E1DC9" w:rsidR="005E1DC9" w:rsidTr="00652CE2" w14:paraId="4B36E793" w14:textId="77777777">
        <w:trPr>
          <w:trHeight w:val="300"/>
        </w:trPr>
        <w:tc>
          <w:tcPr>
            <w:tcW w:w="5486" w:type="dxa"/>
            <w:tcBorders>
              <w:top w:val="nil"/>
              <w:left w:val="nil"/>
              <w:bottom w:val="nil"/>
              <w:right w:val="nil"/>
            </w:tcBorders>
            <w:shd w:val="clear" w:color="auto" w:fill="auto"/>
            <w:noWrap/>
            <w:vAlign w:val="bottom"/>
            <w:hideMark/>
          </w:tcPr>
          <w:p w:rsidRPr="005E1DC9" w:rsidR="005E1DC9" w:rsidP="005E1DC9" w:rsidRDefault="005E1DC9" w14:paraId="3C655DB7" w14:textId="77777777">
            <w:pPr>
              <w:rPr>
                <w:color w:val="000000"/>
                <w:sz w:val="22"/>
                <w:szCs w:val="22"/>
              </w:rPr>
            </w:pPr>
            <w:r w:rsidRPr="005E1DC9">
              <w:rPr>
                <w:color w:val="000000"/>
                <w:sz w:val="22"/>
                <w:szCs w:val="22"/>
              </w:rPr>
              <w:t xml:space="preserve">Registered Investment Advisor Firms </w:t>
            </w:r>
            <w:r w:rsidRPr="005E1DC9">
              <w:rPr>
                <w:color w:val="000000"/>
                <w:sz w:val="22"/>
                <w:szCs w:val="22"/>
                <w:vertAlign w:val="superscript"/>
              </w:rPr>
              <w:t>d</w:t>
            </w:r>
          </w:p>
        </w:tc>
        <w:tc>
          <w:tcPr>
            <w:tcW w:w="1354" w:type="dxa"/>
            <w:gridSpan w:val="2"/>
            <w:tcBorders>
              <w:top w:val="nil"/>
              <w:left w:val="nil"/>
              <w:bottom w:val="nil"/>
              <w:right w:val="nil"/>
            </w:tcBorders>
            <w:shd w:val="clear" w:color="auto" w:fill="auto"/>
            <w:noWrap/>
            <w:vAlign w:val="center"/>
            <w:hideMark/>
          </w:tcPr>
          <w:p w:rsidRPr="005E1DC9" w:rsidR="005E1DC9" w:rsidP="005E1DC9" w:rsidRDefault="005E1DC9" w14:paraId="17C9092E" w14:textId="77777777">
            <w:pPr>
              <w:jc w:val="right"/>
              <w:rPr>
                <w:color w:val="000000"/>
                <w:sz w:val="22"/>
                <w:szCs w:val="22"/>
              </w:rPr>
            </w:pPr>
            <w:r w:rsidRPr="005E1DC9">
              <w:rPr>
                <w:color w:val="000000"/>
                <w:sz w:val="22"/>
                <w:szCs w:val="22"/>
              </w:rPr>
              <w:t xml:space="preserve">     30,246</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1671D912" w14:textId="77777777">
            <w:pPr>
              <w:jc w:val="right"/>
              <w:rPr>
                <w:color w:val="000000"/>
                <w:sz w:val="22"/>
                <w:szCs w:val="22"/>
              </w:rPr>
            </w:pPr>
            <w:r w:rsidRPr="005E1DC9">
              <w:rPr>
                <w:color w:val="000000"/>
                <w:sz w:val="22"/>
                <w:szCs w:val="22"/>
              </w:rPr>
              <w:t>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28A13339" w14:textId="77777777">
            <w:pPr>
              <w:jc w:val="right"/>
              <w:rPr>
                <w:color w:val="000000"/>
                <w:sz w:val="22"/>
                <w:szCs w:val="22"/>
              </w:rPr>
            </w:pPr>
            <w:r w:rsidRPr="005E1DC9">
              <w:rPr>
                <w:color w:val="000000"/>
                <w:sz w:val="22"/>
                <w:szCs w:val="22"/>
              </w:rPr>
              <w:t>1512</w:t>
            </w:r>
          </w:p>
        </w:tc>
      </w:tr>
      <w:tr w:rsidRPr="005E1DC9" w:rsidR="005E1DC9" w:rsidTr="00652CE2" w14:paraId="7C2AFB92" w14:textId="77777777">
        <w:trPr>
          <w:trHeight w:val="300"/>
        </w:trPr>
        <w:tc>
          <w:tcPr>
            <w:tcW w:w="5486" w:type="dxa"/>
            <w:tcBorders>
              <w:top w:val="nil"/>
              <w:left w:val="nil"/>
              <w:bottom w:val="nil"/>
              <w:right w:val="nil"/>
            </w:tcBorders>
            <w:shd w:val="clear" w:color="auto" w:fill="auto"/>
            <w:noWrap/>
            <w:vAlign w:val="bottom"/>
            <w:hideMark/>
          </w:tcPr>
          <w:p w:rsidRPr="005E1DC9" w:rsidR="005E1DC9" w:rsidP="005E1DC9" w:rsidRDefault="005E1DC9" w14:paraId="145ED263" w14:textId="77777777">
            <w:pPr>
              <w:rPr>
                <w:color w:val="000000"/>
                <w:sz w:val="22"/>
                <w:szCs w:val="22"/>
              </w:rPr>
            </w:pPr>
            <w:r w:rsidRPr="005E1DC9">
              <w:rPr>
                <w:color w:val="000000"/>
                <w:sz w:val="22"/>
                <w:szCs w:val="22"/>
              </w:rPr>
              <w:t xml:space="preserve">Direct Annuity Writers (Insurance Companies) </w:t>
            </w:r>
            <w:r w:rsidRPr="005E1DC9">
              <w:rPr>
                <w:color w:val="000000"/>
                <w:sz w:val="22"/>
                <w:szCs w:val="22"/>
                <w:vertAlign w:val="superscript"/>
              </w:rPr>
              <w:t>e</w:t>
            </w:r>
          </w:p>
        </w:tc>
        <w:tc>
          <w:tcPr>
            <w:tcW w:w="1354" w:type="dxa"/>
            <w:gridSpan w:val="2"/>
            <w:tcBorders>
              <w:top w:val="nil"/>
              <w:left w:val="nil"/>
              <w:bottom w:val="nil"/>
              <w:right w:val="nil"/>
            </w:tcBorders>
            <w:shd w:val="clear" w:color="auto" w:fill="auto"/>
            <w:noWrap/>
            <w:vAlign w:val="center"/>
            <w:hideMark/>
          </w:tcPr>
          <w:p w:rsidRPr="005E1DC9" w:rsidR="005E1DC9" w:rsidP="005E1DC9" w:rsidRDefault="005E1DC9" w14:paraId="14B9ED98" w14:textId="77777777">
            <w:pPr>
              <w:jc w:val="right"/>
              <w:rPr>
                <w:color w:val="000000"/>
                <w:sz w:val="22"/>
                <w:szCs w:val="22"/>
              </w:rPr>
            </w:pPr>
            <w:r w:rsidRPr="005E1DC9">
              <w:rPr>
                <w:color w:val="000000"/>
                <w:sz w:val="22"/>
                <w:szCs w:val="22"/>
              </w:rPr>
              <w:t xml:space="preserve">    386</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3BDC9A97" w14:textId="77777777">
            <w:pPr>
              <w:jc w:val="right"/>
              <w:rPr>
                <w:color w:val="000000"/>
                <w:sz w:val="22"/>
                <w:szCs w:val="22"/>
              </w:rPr>
            </w:pPr>
            <w:r w:rsidRPr="005E1DC9">
              <w:rPr>
                <w:color w:val="000000"/>
                <w:sz w:val="22"/>
                <w:szCs w:val="22"/>
              </w:rPr>
              <w:t>25%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19235971" w14:textId="77777777">
            <w:pPr>
              <w:jc w:val="right"/>
              <w:rPr>
                <w:color w:val="000000"/>
                <w:sz w:val="22"/>
                <w:szCs w:val="22"/>
              </w:rPr>
            </w:pPr>
            <w:r w:rsidRPr="005E1DC9">
              <w:rPr>
                <w:color w:val="000000"/>
                <w:sz w:val="22"/>
                <w:szCs w:val="22"/>
              </w:rPr>
              <w:t>97</w:t>
            </w:r>
          </w:p>
        </w:tc>
      </w:tr>
      <w:tr w:rsidRPr="005E1DC9" w:rsidR="005E1DC9" w:rsidTr="00652CE2" w14:paraId="293E5DEF" w14:textId="77777777">
        <w:trPr>
          <w:trHeight w:val="315"/>
        </w:trPr>
        <w:tc>
          <w:tcPr>
            <w:tcW w:w="5755" w:type="dxa"/>
            <w:gridSpan w:val="2"/>
            <w:tcBorders>
              <w:top w:val="dashed" w:color="auto" w:sz="4" w:space="0"/>
              <w:left w:val="nil"/>
              <w:bottom w:val="single" w:color="auto" w:sz="8" w:space="0"/>
              <w:right w:val="nil"/>
            </w:tcBorders>
            <w:shd w:val="clear" w:color="auto" w:fill="auto"/>
            <w:noWrap/>
            <w:vAlign w:val="bottom"/>
            <w:hideMark/>
          </w:tcPr>
          <w:p w:rsidRPr="005E1DC9" w:rsidR="005E1DC9" w:rsidP="005E1DC9" w:rsidRDefault="005E1DC9" w14:paraId="180200BC" w14:textId="77777777">
            <w:pPr>
              <w:rPr>
                <w:color w:val="000000"/>
                <w:sz w:val="22"/>
                <w:szCs w:val="22"/>
              </w:rPr>
            </w:pPr>
            <w:r w:rsidRPr="005E1DC9">
              <w:rPr>
                <w:color w:val="000000"/>
                <w:sz w:val="22"/>
                <w:szCs w:val="22"/>
              </w:rPr>
              <w:t>Total</w:t>
            </w:r>
          </w:p>
        </w:tc>
        <w:tc>
          <w:tcPr>
            <w:tcW w:w="1085" w:type="dxa"/>
            <w:tcBorders>
              <w:top w:val="dashed" w:color="auto" w:sz="4" w:space="0"/>
              <w:left w:val="nil"/>
              <w:bottom w:val="single" w:color="auto" w:sz="8" w:space="0"/>
              <w:right w:val="nil"/>
            </w:tcBorders>
            <w:shd w:val="clear" w:color="auto" w:fill="auto"/>
            <w:noWrap/>
            <w:vAlign w:val="center"/>
            <w:hideMark/>
          </w:tcPr>
          <w:p w:rsidRPr="005E1DC9" w:rsidR="005E1DC9" w:rsidP="005E1DC9" w:rsidRDefault="005E1DC9" w14:paraId="1FE2E6F8" w14:textId="77777777">
            <w:pPr>
              <w:jc w:val="right"/>
              <w:rPr>
                <w:color w:val="000000"/>
                <w:sz w:val="22"/>
                <w:szCs w:val="22"/>
              </w:rPr>
            </w:pPr>
            <w:r w:rsidRPr="005E1DC9">
              <w:rPr>
                <w:color w:val="000000"/>
                <w:sz w:val="22"/>
                <w:szCs w:val="22"/>
              </w:rPr>
              <w:t>38,090</w:t>
            </w:r>
          </w:p>
        </w:tc>
        <w:tc>
          <w:tcPr>
            <w:tcW w:w="1216" w:type="dxa"/>
            <w:tcBorders>
              <w:top w:val="dashed" w:color="auto" w:sz="4" w:space="0"/>
              <w:left w:val="nil"/>
              <w:bottom w:val="single" w:color="auto" w:sz="8" w:space="0"/>
              <w:right w:val="nil"/>
            </w:tcBorders>
            <w:shd w:val="clear" w:color="auto" w:fill="auto"/>
            <w:noWrap/>
            <w:vAlign w:val="center"/>
            <w:hideMark/>
          </w:tcPr>
          <w:p w:rsidRPr="005E1DC9" w:rsidR="005E1DC9" w:rsidP="005E1DC9" w:rsidRDefault="005E1DC9" w14:paraId="5EC3742F" w14:textId="77777777">
            <w:pPr>
              <w:jc w:val="right"/>
              <w:rPr>
                <w:color w:val="000000"/>
                <w:sz w:val="22"/>
                <w:szCs w:val="22"/>
              </w:rPr>
            </w:pPr>
            <w:r w:rsidRPr="005E1DC9">
              <w:rPr>
                <w:color w:val="000000"/>
                <w:sz w:val="22"/>
                <w:szCs w:val="22"/>
              </w:rPr>
              <w:t>8%</w:t>
            </w:r>
          </w:p>
        </w:tc>
        <w:tc>
          <w:tcPr>
            <w:tcW w:w="1304" w:type="dxa"/>
            <w:tcBorders>
              <w:top w:val="dashed" w:color="auto" w:sz="4" w:space="0"/>
              <w:left w:val="nil"/>
              <w:bottom w:val="single" w:color="auto" w:sz="8" w:space="0"/>
              <w:right w:val="nil"/>
            </w:tcBorders>
            <w:shd w:val="clear" w:color="auto" w:fill="auto"/>
            <w:noWrap/>
            <w:vAlign w:val="bottom"/>
            <w:hideMark/>
          </w:tcPr>
          <w:p w:rsidRPr="005E1DC9" w:rsidR="005E1DC9" w:rsidP="005E1DC9" w:rsidRDefault="005E1DC9" w14:paraId="0B4D22D8" w14:textId="77777777">
            <w:pPr>
              <w:jc w:val="right"/>
              <w:rPr>
                <w:color w:val="000000"/>
                <w:sz w:val="22"/>
                <w:szCs w:val="22"/>
              </w:rPr>
            </w:pPr>
            <w:r w:rsidRPr="005E1DC9">
              <w:rPr>
                <w:color w:val="000000"/>
                <w:sz w:val="22"/>
                <w:szCs w:val="22"/>
              </w:rPr>
              <w:t xml:space="preserve">3,233 </w:t>
            </w:r>
          </w:p>
        </w:tc>
      </w:tr>
      <w:tr w:rsidRPr="005E1DC9" w:rsidR="005E1DC9" w:rsidTr="00652CE2" w14:paraId="5134BC8A"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58A66CC5" w14:textId="77777777">
            <w:pPr>
              <w:ind w:right="-566"/>
              <w:rPr>
                <w:color w:val="000000"/>
                <w:sz w:val="22"/>
                <w:szCs w:val="22"/>
              </w:rPr>
            </w:pPr>
            <w:proofErr w:type="spellStart"/>
            <w:r w:rsidRPr="005E1DC9">
              <w:rPr>
                <w:color w:val="000000"/>
                <w:sz w:val="22"/>
                <w:szCs w:val="22"/>
                <w:vertAlign w:val="superscript"/>
              </w:rPr>
              <w:t>a</w:t>
            </w:r>
            <w:r w:rsidRPr="005E1DC9">
              <w:rPr>
                <w:color w:val="000000"/>
                <w:sz w:val="22"/>
                <w:szCs w:val="22"/>
              </w:rPr>
              <w:t>Source</w:t>
            </w:r>
            <w:proofErr w:type="spellEnd"/>
            <w:r w:rsidRPr="005E1DC9">
              <w:rPr>
                <w:color w:val="000000"/>
                <w:sz w:val="22"/>
                <w:szCs w:val="22"/>
              </w:rPr>
              <w:t>: 2017 Form 5500 Schedule C Data.</w:t>
            </w:r>
          </w:p>
        </w:tc>
        <w:tc>
          <w:tcPr>
            <w:tcW w:w="1085" w:type="dxa"/>
            <w:tcBorders>
              <w:top w:val="nil"/>
              <w:left w:val="nil"/>
              <w:bottom w:val="nil"/>
              <w:right w:val="nil"/>
            </w:tcBorders>
            <w:shd w:val="clear" w:color="auto" w:fill="auto"/>
            <w:vAlign w:val="bottom"/>
            <w:hideMark/>
          </w:tcPr>
          <w:p w:rsidRPr="005E1DC9" w:rsidR="005E1DC9" w:rsidP="005E1DC9" w:rsidRDefault="005E1DC9" w14:paraId="03A79E55" w14:textId="77777777">
            <w:pPr>
              <w:ind w:left="263" w:hanging="7"/>
              <w:rPr>
                <w:color w:val="000000"/>
                <w:sz w:val="22"/>
                <w:szCs w:val="22"/>
              </w:rPr>
            </w:pPr>
          </w:p>
        </w:tc>
        <w:tc>
          <w:tcPr>
            <w:tcW w:w="1216" w:type="dxa"/>
            <w:tcBorders>
              <w:top w:val="nil"/>
              <w:left w:val="nil"/>
              <w:bottom w:val="nil"/>
              <w:right w:val="nil"/>
            </w:tcBorders>
            <w:shd w:val="clear" w:color="auto" w:fill="auto"/>
            <w:vAlign w:val="bottom"/>
            <w:hideMark/>
          </w:tcPr>
          <w:p w:rsidRPr="005E1DC9" w:rsidR="005E1DC9" w:rsidP="005E1DC9" w:rsidRDefault="005E1DC9" w14:paraId="5071D169" w14:textId="77777777">
            <w:pPr>
              <w:rPr>
                <w:sz w:val="20"/>
                <w:szCs w:val="20"/>
              </w:rPr>
            </w:pPr>
          </w:p>
        </w:tc>
        <w:tc>
          <w:tcPr>
            <w:tcW w:w="1304" w:type="dxa"/>
            <w:tcBorders>
              <w:top w:val="nil"/>
              <w:left w:val="nil"/>
              <w:bottom w:val="nil"/>
              <w:right w:val="nil"/>
            </w:tcBorders>
            <w:shd w:val="clear" w:color="auto" w:fill="auto"/>
            <w:vAlign w:val="bottom"/>
            <w:hideMark/>
          </w:tcPr>
          <w:p w:rsidRPr="005E1DC9" w:rsidR="005E1DC9" w:rsidP="005E1DC9" w:rsidRDefault="005E1DC9" w14:paraId="397B7B44" w14:textId="77777777">
            <w:pPr>
              <w:rPr>
                <w:sz w:val="20"/>
                <w:szCs w:val="20"/>
              </w:rPr>
            </w:pPr>
          </w:p>
        </w:tc>
      </w:tr>
      <w:tr w:rsidRPr="005E1DC9" w:rsidR="005E1DC9" w:rsidTr="00652CE2" w14:paraId="65EB65A3" w14:textId="77777777">
        <w:trPr>
          <w:trHeight w:val="600"/>
        </w:trPr>
        <w:tc>
          <w:tcPr>
            <w:tcW w:w="9360" w:type="dxa"/>
            <w:gridSpan w:val="5"/>
            <w:tcBorders>
              <w:top w:val="nil"/>
              <w:left w:val="nil"/>
              <w:bottom w:val="nil"/>
              <w:right w:val="nil"/>
            </w:tcBorders>
            <w:shd w:val="clear" w:color="auto" w:fill="auto"/>
            <w:vAlign w:val="bottom"/>
            <w:hideMark/>
          </w:tcPr>
          <w:p w:rsidRPr="005E1DC9" w:rsidR="005E1DC9" w:rsidP="005E1DC9" w:rsidRDefault="005E1DC9" w14:paraId="6F31D5FE" w14:textId="77777777">
            <w:pPr>
              <w:rPr>
                <w:color w:val="000000"/>
                <w:sz w:val="22"/>
                <w:szCs w:val="22"/>
              </w:rPr>
            </w:pPr>
            <w:proofErr w:type="spellStart"/>
            <w:r w:rsidRPr="005E1DC9">
              <w:rPr>
                <w:color w:val="000000"/>
                <w:sz w:val="22"/>
                <w:szCs w:val="22"/>
                <w:vertAlign w:val="superscript"/>
              </w:rPr>
              <w:t>b</w:t>
            </w:r>
            <w:r w:rsidRPr="005E1DC9">
              <w:rPr>
                <w:color w:val="000000"/>
                <w:sz w:val="22"/>
                <w:szCs w:val="22"/>
              </w:rPr>
              <w:t>Source</w:t>
            </w:r>
            <w:proofErr w:type="spellEnd"/>
            <w:r w:rsidRPr="005E1DC9">
              <w:rPr>
                <w:color w:val="000000"/>
                <w:sz w:val="22"/>
                <w:szCs w:val="22"/>
              </w:rPr>
              <w:t xml:space="preserve">: National Association of Professional Employers, </w:t>
            </w:r>
            <w:r w:rsidRPr="005E1DC9" w:rsidR="00610EE8">
              <w:rPr>
                <w:color w:val="0000FF"/>
                <w:sz w:val="22"/>
                <w:szCs w:val="22"/>
                <w:u w:val="single"/>
              </w:rPr>
              <w:t>https://www.napeo.org/what-is-a-peo/about-the-peo-industry/industry-statistics</w:t>
            </w:r>
            <w:r w:rsidRPr="005E1DC9">
              <w:rPr>
                <w:color w:val="0000FF"/>
                <w:sz w:val="22"/>
                <w:szCs w:val="22"/>
                <w:u w:val="single"/>
              </w:rPr>
              <w:t>.</w:t>
            </w:r>
          </w:p>
        </w:tc>
      </w:tr>
      <w:tr w:rsidRPr="005E1DC9" w:rsidR="005E1DC9" w:rsidTr="00652CE2" w14:paraId="2B0B3CCF" w14:textId="77777777">
        <w:trPr>
          <w:trHeight w:val="600"/>
        </w:trPr>
        <w:tc>
          <w:tcPr>
            <w:tcW w:w="9360" w:type="dxa"/>
            <w:gridSpan w:val="5"/>
            <w:tcBorders>
              <w:top w:val="nil"/>
              <w:left w:val="nil"/>
              <w:bottom w:val="nil"/>
              <w:right w:val="nil"/>
            </w:tcBorders>
            <w:shd w:val="clear" w:color="auto" w:fill="auto"/>
            <w:vAlign w:val="bottom"/>
            <w:hideMark/>
          </w:tcPr>
          <w:p w:rsidRPr="005E1DC9" w:rsidR="005E1DC9" w:rsidP="005E1DC9" w:rsidRDefault="005E1DC9" w14:paraId="12A6FB81" w14:textId="77777777">
            <w:pPr>
              <w:rPr>
                <w:color w:val="000000"/>
                <w:sz w:val="22"/>
                <w:szCs w:val="22"/>
              </w:rPr>
            </w:pPr>
            <w:proofErr w:type="spellStart"/>
            <w:r w:rsidRPr="005E1DC9">
              <w:rPr>
                <w:color w:val="000000"/>
                <w:sz w:val="22"/>
                <w:szCs w:val="22"/>
                <w:vertAlign w:val="superscript"/>
              </w:rPr>
              <w:t>c</w:t>
            </w:r>
            <w:r w:rsidRPr="005E1DC9">
              <w:rPr>
                <w:color w:val="000000"/>
                <w:sz w:val="22"/>
                <w:szCs w:val="22"/>
              </w:rPr>
              <w:t>Source</w:t>
            </w:r>
            <w:proofErr w:type="spellEnd"/>
            <w:r w:rsidRPr="005E1DC9">
              <w:rPr>
                <w:color w:val="000000"/>
                <w:sz w:val="22"/>
                <w:szCs w:val="22"/>
              </w:rPr>
              <w:t>: Association of Chamber of Commerce Executives reports that there are 4,000 chambers with at least one full-time staff person.</w:t>
            </w:r>
          </w:p>
        </w:tc>
      </w:tr>
      <w:tr w:rsidRPr="005E1DC9" w:rsidR="005E1DC9" w:rsidTr="00652CE2" w14:paraId="587B6D33" w14:textId="77777777">
        <w:trPr>
          <w:trHeight w:val="600"/>
        </w:trPr>
        <w:tc>
          <w:tcPr>
            <w:tcW w:w="9360" w:type="dxa"/>
            <w:gridSpan w:val="5"/>
            <w:tcBorders>
              <w:top w:val="nil"/>
              <w:left w:val="nil"/>
              <w:bottom w:val="nil"/>
              <w:right w:val="nil"/>
            </w:tcBorders>
            <w:shd w:val="clear" w:color="auto" w:fill="auto"/>
            <w:vAlign w:val="bottom"/>
            <w:hideMark/>
          </w:tcPr>
          <w:p w:rsidRPr="005E1DC9" w:rsidR="005E1DC9" w:rsidP="005E1DC9" w:rsidRDefault="005E1DC9" w14:paraId="6928ACD6" w14:textId="77777777">
            <w:pPr>
              <w:rPr>
                <w:color w:val="000000"/>
                <w:sz w:val="22"/>
                <w:szCs w:val="22"/>
              </w:rPr>
            </w:pPr>
            <w:proofErr w:type="spellStart"/>
            <w:r w:rsidRPr="005E1DC9">
              <w:rPr>
                <w:color w:val="000000"/>
                <w:sz w:val="22"/>
                <w:szCs w:val="22"/>
                <w:vertAlign w:val="superscript"/>
              </w:rPr>
              <w:t>d</w:t>
            </w:r>
            <w:r w:rsidRPr="005E1DC9">
              <w:rPr>
                <w:color w:val="000000"/>
                <w:sz w:val="22"/>
                <w:szCs w:val="22"/>
              </w:rPr>
              <w:t>Source</w:t>
            </w:r>
            <w:proofErr w:type="spellEnd"/>
            <w:r w:rsidRPr="005E1DC9">
              <w:rPr>
                <w:color w:val="000000"/>
                <w:sz w:val="22"/>
                <w:szCs w:val="22"/>
              </w:rPr>
              <w:t>: 2019 FINRA Industry Snapshot.  FINRA reported 3,607 FINRA registered firms in 2018, 173 of which had 500 or more registered representatives.</w:t>
            </w:r>
          </w:p>
        </w:tc>
      </w:tr>
      <w:tr w:rsidRPr="005E1DC9" w:rsidR="005E1DC9" w:rsidTr="00652CE2" w14:paraId="59E7DFEE" w14:textId="77777777">
        <w:trPr>
          <w:trHeight w:val="300"/>
        </w:trPr>
        <w:tc>
          <w:tcPr>
            <w:tcW w:w="5755" w:type="dxa"/>
            <w:gridSpan w:val="2"/>
            <w:tcBorders>
              <w:top w:val="nil"/>
              <w:left w:val="nil"/>
              <w:bottom w:val="nil"/>
              <w:right w:val="nil"/>
            </w:tcBorders>
            <w:shd w:val="clear" w:color="auto" w:fill="auto"/>
            <w:vAlign w:val="bottom"/>
            <w:hideMark/>
          </w:tcPr>
          <w:p w:rsidRPr="005E1DC9" w:rsidR="005E1DC9" w:rsidP="005E1DC9" w:rsidRDefault="005E1DC9" w14:paraId="1219271B" w14:textId="77777777">
            <w:pPr>
              <w:rPr>
                <w:color w:val="000000"/>
                <w:sz w:val="22"/>
                <w:szCs w:val="22"/>
              </w:rPr>
            </w:pPr>
          </w:p>
        </w:tc>
        <w:tc>
          <w:tcPr>
            <w:tcW w:w="1085" w:type="dxa"/>
            <w:tcBorders>
              <w:top w:val="nil"/>
              <w:left w:val="nil"/>
              <w:bottom w:val="nil"/>
              <w:right w:val="nil"/>
            </w:tcBorders>
            <w:shd w:val="clear" w:color="auto" w:fill="auto"/>
            <w:vAlign w:val="bottom"/>
            <w:hideMark/>
          </w:tcPr>
          <w:p w:rsidRPr="005E1DC9" w:rsidR="005E1DC9" w:rsidP="005E1DC9" w:rsidRDefault="005E1DC9" w14:paraId="69FDE7A9" w14:textId="77777777">
            <w:pPr>
              <w:rPr>
                <w:color w:val="000000"/>
                <w:sz w:val="22"/>
                <w:szCs w:val="22"/>
              </w:rPr>
            </w:pPr>
          </w:p>
        </w:tc>
        <w:tc>
          <w:tcPr>
            <w:tcW w:w="1216" w:type="dxa"/>
            <w:tcBorders>
              <w:top w:val="nil"/>
              <w:left w:val="nil"/>
              <w:bottom w:val="nil"/>
              <w:right w:val="nil"/>
            </w:tcBorders>
            <w:shd w:val="clear" w:color="auto" w:fill="auto"/>
            <w:vAlign w:val="bottom"/>
            <w:hideMark/>
          </w:tcPr>
          <w:p w:rsidRPr="005E1DC9" w:rsidR="005E1DC9" w:rsidP="005E1DC9" w:rsidRDefault="005E1DC9" w14:paraId="4CAD28B8" w14:textId="77777777">
            <w:pPr>
              <w:rPr>
                <w:sz w:val="20"/>
                <w:szCs w:val="20"/>
              </w:rPr>
            </w:pPr>
          </w:p>
        </w:tc>
        <w:tc>
          <w:tcPr>
            <w:tcW w:w="1304" w:type="dxa"/>
            <w:tcBorders>
              <w:top w:val="nil"/>
              <w:left w:val="nil"/>
              <w:bottom w:val="nil"/>
              <w:right w:val="nil"/>
            </w:tcBorders>
            <w:shd w:val="clear" w:color="auto" w:fill="auto"/>
            <w:vAlign w:val="bottom"/>
            <w:hideMark/>
          </w:tcPr>
          <w:p w:rsidRPr="005E1DC9" w:rsidR="005E1DC9" w:rsidP="005E1DC9" w:rsidRDefault="005E1DC9" w14:paraId="29FFEB05" w14:textId="77777777">
            <w:pPr>
              <w:rPr>
                <w:sz w:val="20"/>
                <w:szCs w:val="20"/>
              </w:rPr>
            </w:pPr>
          </w:p>
        </w:tc>
      </w:tr>
      <w:tr w:rsidRPr="005E1DC9" w:rsidR="005E1DC9" w:rsidTr="00652CE2" w14:paraId="796C4815" w14:textId="77777777">
        <w:trPr>
          <w:trHeight w:val="300"/>
        </w:trPr>
        <w:tc>
          <w:tcPr>
            <w:tcW w:w="6840" w:type="dxa"/>
            <w:gridSpan w:val="3"/>
            <w:tcBorders>
              <w:top w:val="nil"/>
              <w:left w:val="nil"/>
              <w:bottom w:val="nil"/>
              <w:right w:val="nil"/>
            </w:tcBorders>
            <w:shd w:val="clear" w:color="auto" w:fill="auto"/>
            <w:noWrap/>
            <w:vAlign w:val="bottom"/>
            <w:hideMark/>
          </w:tcPr>
          <w:p w:rsidRPr="005E1DC9" w:rsidR="005E1DC9" w:rsidP="005E1DC9" w:rsidRDefault="005E1DC9" w14:paraId="2F868162" w14:textId="77777777">
            <w:pPr>
              <w:rPr>
                <w:color w:val="000000"/>
                <w:sz w:val="22"/>
                <w:szCs w:val="22"/>
              </w:rPr>
            </w:pPr>
            <w:r w:rsidRPr="005E1DC9">
              <w:rPr>
                <w:color w:val="000000"/>
                <w:sz w:val="22"/>
                <w:szCs w:val="22"/>
                <w:vertAlign w:val="superscript"/>
              </w:rPr>
              <w:t>e</w:t>
            </w:r>
            <w:r w:rsidRPr="005E1DC9">
              <w:rPr>
                <w:color w:val="000000"/>
                <w:sz w:val="22"/>
                <w:szCs w:val="22"/>
              </w:rPr>
              <w:t>Source: National Association of Insurance Commissioners.</w:t>
            </w:r>
          </w:p>
        </w:tc>
        <w:tc>
          <w:tcPr>
            <w:tcW w:w="1216" w:type="dxa"/>
            <w:tcBorders>
              <w:top w:val="nil"/>
              <w:left w:val="nil"/>
              <w:bottom w:val="nil"/>
              <w:right w:val="nil"/>
            </w:tcBorders>
            <w:shd w:val="clear" w:color="auto" w:fill="auto"/>
            <w:vAlign w:val="bottom"/>
            <w:hideMark/>
          </w:tcPr>
          <w:p w:rsidRPr="005E1DC9" w:rsidR="005E1DC9" w:rsidP="005E1DC9" w:rsidRDefault="005E1DC9" w14:paraId="561E50DC" w14:textId="77777777">
            <w:pPr>
              <w:rPr>
                <w:color w:val="000000"/>
                <w:sz w:val="22"/>
                <w:szCs w:val="22"/>
              </w:rPr>
            </w:pPr>
          </w:p>
        </w:tc>
        <w:tc>
          <w:tcPr>
            <w:tcW w:w="1304" w:type="dxa"/>
            <w:tcBorders>
              <w:top w:val="nil"/>
              <w:left w:val="nil"/>
              <w:bottom w:val="nil"/>
              <w:right w:val="nil"/>
            </w:tcBorders>
            <w:shd w:val="clear" w:color="auto" w:fill="auto"/>
            <w:vAlign w:val="bottom"/>
            <w:hideMark/>
          </w:tcPr>
          <w:p w:rsidRPr="005E1DC9" w:rsidR="005E1DC9" w:rsidP="005E1DC9" w:rsidRDefault="005E1DC9" w14:paraId="6410F3F7" w14:textId="77777777">
            <w:pPr>
              <w:rPr>
                <w:sz w:val="20"/>
                <w:szCs w:val="20"/>
              </w:rPr>
            </w:pPr>
          </w:p>
        </w:tc>
      </w:tr>
    </w:tbl>
    <w:p w:rsidR="00C13E87" w:rsidP="009B5258" w:rsidRDefault="00C13E87" w14:paraId="4A164969" w14:textId="77777777">
      <w:pPr>
        <w:pStyle w:val="BodyTextIndent"/>
      </w:pPr>
    </w:p>
    <w:p w:rsidRPr="00D43A5B" w:rsidR="00626677" w:rsidP="00B73250" w:rsidRDefault="00626677" w14:paraId="540B1DAE" w14:textId="77777777">
      <w:pPr>
        <w:spacing w:before="100" w:beforeAutospacing="1" w:after="100" w:afterAutospacing="1"/>
        <w:ind w:left="1080"/>
      </w:pPr>
      <w:r>
        <w:t xml:space="preserve">If the pooled plan provider </w:t>
      </w:r>
      <w:r w:rsidDel="004D54F9">
        <w:t>does not begin operating any new pooled employer plans</w:t>
      </w:r>
      <w:r>
        <w:t xml:space="preserve">, does not change its use of affiliates or other related parties to provide services or its contact information, or does not experience any material changes in condition set forth in the proposal, it may go for a period of years without needing to supplement its registration.  The Department anticipates that this </w:t>
      </w:r>
      <w:r w:rsidR="006709B1">
        <w:t xml:space="preserve">may </w:t>
      </w:r>
      <w:r>
        <w:t>be the case with many pooled plan providers.</w:t>
      </w:r>
    </w:p>
    <w:p w:rsidRPr="00D43A5B" w:rsidR="00626677" w:rsidP="00B73250" w:rsidRDefault="00626677" w14:paraId="497E8290" w14:textId="77777777">
      <w:pPr>
        <w:spacing w:before="100" w:beforeAutospacing="1" w:after="100" w:afterAutospacing="1"/>
        <w:ind w:left="1080"/>
      </w:pPr>
      <w:r>
        <w:t>The supplemental filing</w:t>
      </w:r>
      <w:r w:rsidRPr="00D43A5B">
        <w:t xml:space="preserve"> requirement is similar to</w:t>
      </w:r>
      <w:r>
        <w:t>, although more limited than,</w:t>
      </w:r>
      <w:r w:rsidRPr="00D43A5B">
        <w:t xml:space="preserve"> </w:t>
      </w:r>
      <w:r>
        <w:t xml:space="preserve">filers’ obligations with respect to </w:t>
      </w:r>
      <w:r w:rsidRPr="00D43A5B">
        <w:t>the</w:t>
      </w:r>
      <w:r w:rsidR="006709B1">
        <w:t xml:space="preserve"> Department’s current </w:t>
      </w:r>
      <w:r w:rsidRPr="00D43A5B">
        <w:t>Form M-1</w:t>
      </w:r>
      <w:r w:rsidR="006709B1">
        <w:t xml:space="preserve"> filed by certain multiple employer welfare arrangements and entities. </w:t>
      </w:r>
      <w:r w:rsidRPr="00D43A5B">
        <w:t xml:space="preserve">  Approximately </w:t>
      </w:r>
      <w:r>
        <w:t>seven</w:t>
      </w:r>
      <w:r w:rsidRPr="00D43A5B">
        <w:t xml:space="preserve"> percent of entities filing a Form M-1 in 2017 submitted an additional filing after undergoing a material change.  Assuming pooled plan providers will behave in a similar manner, the Department expects roughly 230 pooled plan providers to submit </w:t>
      </w:r>
      <w:r>
        <w:t>supplemental</w:t>
      </w:r>
      <w:r w:rsidRPr="00D43A5B">
        <w:t xml:space="preserve"> filings documenting material changes annually, including in the first year.</w:t>
      </w:r>
    </w:p>
    <w:p w:rsidRPr="00D43A5B" w:rsidR="00626677" w:rsidP="00B73250" w:rsidRDefault="00626677" w14:paraId="1563ACCD" w14:textId="77777777">
      <w:pPr>
        <w:spacing w:before="100" w:beforeAutospacing="1" w:after="100" w:afterAutospacing="1"/>
        <w:ind w:left="1080"/>
      </w:pPr>
      <w:r w:rsidRPr="00D43A5B">
        <w:t xml:space="preserve">The </w:t>
      </w:r>
      <w:r>
        <w:t xml:space="preserve">supplemental filing </w:t>
      </w:r>
      <w:r w:rsidR="006709B1">
        <w:t xml:space="preserve">adds to </w:t>
      </w:r>
      <w:r w:rsidRPr="00D43A5B">
        <w:t>the original registration to include employe</w:t>
      </w:r>
      <w:r>
        <w:t>r</w:t>
      </w:r>
      <w:r w:rsidRPr="00D43A5B">
        <w:t xml:space="preserve"> identification numbers (EINs) and contact information for pooled employer plans that begin operations, cease operations, or experience material changes relevant to the pooled plan provider’s fiduciary duties (including</w:t>
      </w:r>
      <w:r>
        <w:t>, for example,</w:t>
      </w:r>
      <w:r w:rsidRPr="00D43A5B">
        <w:t xml:space="preserve"> bankruptcy, litigation, and criminal or regulatory enforcement actions).  Accordingly, the Department estimates the </w:t>
      </w:r>
      <w:r>
        <w:t xml:space="preserve">supplemental filing </w:t>
      </w:r>
      <w:r w:rsidRPr="00D43A5B">
        <w:t xml:space="preserve">would take 30 minutes for pooled plan providers to submit.  </w:t>
      </w:r>
      <w:r>
        <w:t>T</w:t>
      </w:r>
      <w:r w:rsidRPr="00D43A5B">
        <w:t>he Department does not believe</w:t>
      </w:r>
      <w:r>
        <w:t>, however,</w:t>
      </w:r>
      <w:r w:rsidRPr="00D43A5B">
        <w:t xml:space="preserve"> that the pooled plan provider would incur any additional costs beyond the labor costs necessary to collect and submit this information.  The Department estimates that there will be 3,460 </w:t>
      </w:r>
      <w:r w:rsidRPr="00D43A5B">
        <w:lastRenderedPageBreak/>
        <w:t xml:space="preserve">filings </w:t>
      </w:r>
      <w:r>
        <w:t xml:space="preserve">under </w:t>
      </w:r>
      <w:r w:rsidRPr="00D43A5B">
        <w:t>the second part of this requirement</w:t>
      </w:r>
      <w:r>
        <w:t xml:space="preserve"> in the first year</w:t>
      </w:r>
      <w:r w:rsidRPr="00D43A5B">
        <w:t xml:space="preserve">, imposing a burden of 1,730 hours, with an equivalent cost </w:t>
      </w:r>
      <w:r>
        <w:t xml:space="preserve">of </w:t>
      </w:r>
      <w:r w:rsidRPr="00D43A5B">
        <w:t>$287,000.</w:t>
      </w:r>
      <w:r w:rsidRPr="00D43A5B">
        <w:rPr>
          <w:vertAlign w:val="superscript"/>
        </w:rPr>
        <w:footnoteReference w:id="2"/>
      </w:r>
      <w:r w:rsidRPr="00D43A5B">
        <w:t xml:space="preserve">  </w:t>
      </w:r>
    </w:p>
    <w:p w:rsidRPr="00D43A5B" w:rsidR="00626677" w:rsidP="00B73250" w:rsidRDefault="00626677" w14:paraId="551E68EF" w14:textId="77777777">
      <w:pPr>
        <w:spacing w:before="100" w:beforeAutospacing="1" w:after="100" w:afterAutospacing="1"/>
        <w:ind w:left="1080"/>
      </w:pPr>
      <w:r w:rsidRPr="00D43A5B">
        <w:t xml:space="preserve">In subsequent years, the Department </w:t>
      </w:r>
      <w:r w:rsidR="006709B1">
        <w:t xml:space="preserve">is assuming for purposes of the proposal </w:t>
      </w:r>
      <w:r w:rsidRPr="00D43A5B">
        <w:t xml:space="preserve">that the percentage of pooled plan providers reporting beginning or ceasing operations of pooled employer plans will </w:t>
      </w:r>
      <w:r>
        <w:t xml:space="preserve">roughly parallel the experience </w:t>
      </w:r>
      <w:r w:rsidRPr="00D43A5B">
        <w:t xml:space="preserve">of Form M-1 filers.  Approximately 14 percent of Form M-1 filers indicated they began operations in 2017, while </w:t>
      </w:r>
      <w:r>
        <w:t>six</w:t>
      </w:r>
      <w:r w:rsidRPr="00D43A5B">
        <w:t xml:space="preserve"> percent indicated they ceased operations.</w:t>
      </w:r>
      <w:r w:rsidRPr="00D43A5B">
        <w:rPr>
          <w:vertAlign w:val="superscript"/>
        </w:rPr>
        <w:footnoteReference w:id="3"/>
      </w:r>
      <w:r w:rsidRPr="00D43A5B">
        <w:t xml:space="preserve">  Assuming pooled plan providers behave in a similar manner, the Department expects an additional 650 registrations related to beginning or ceasing operations annually in subsequent years.</w:t>
      </w:r>
      <w:r w:rsidRPr="00D43A5B">
        <w:rPr>
          <w:vertAlign w:val="superscript"/>
        </w:rPr>
        <w:footnoteReference w:id="4"/>
      </w:r>
      <w:r w:rsidRPr="00D43A5B">
        <w:t xml:space="preserve">  These filings require an hour burden of 324 hours with an equivalent cost of nearly $54,000 in subsequent years. </w:t>
      </w:r>
    </w:p>
    <w:p w:rsidRPr="00D43A5B" w:rsidR="00626677" w:rsidP="00B73250" w:rsidRDefault="00626677" w14:paraId="7A77ADA1" w14:textId="77777777">
      <w:pPr>
        <w:spacing w:before="100" w:beforeAutospacing="1" w:after="100" w:afterAutospacing="1"/>
        <w:ind w:left="1080"/>
      </w:pPr>
      <w:r w:rsidRPr="00D43A5B">
        <w:t>The estimated total burden of this information collection is 4,155 hours, with an equivalent cost of $688,000, in the first year and 437 hours, with an equivalent cost of $72,400, in subsequent years.</w:t>
      </w:r>
      <w:r w:rsidRPr="00D43A5B">
        <w:rPr>
          <w:vertAlign w:val="superscript"/>
        </w:rPr>
        <w:footnoteReference w:id="5"/>
      </w:r>
    </w:p>
    <w:p w:rsidR="00626677" w:rsidP="00B73250" w:rsidRDefault="00626677" w14:paraId="0CA71492" w14:textId="6105B666">
      <w:pPr>
        <w:spacing w:before="100" w:beforeAutospacing="1" w:after="100" w:afterAutospacing="1"/>
        <w:ind w:left="1080"/>
      </w:pPr>
      <w:r w:rsidRPr="00D43A5B">
        <w:t xml:space="preserve">The Department expects a large number of pooled plan providers to file the first part of registrations in the initial year, and significantly fewer to file in subsequent years as the market stabilizes.  Incidents of filing updated and amended registration statements are expected to increase after the first year, as pooled employer plans enter and exit the market, change service providers, and </w:t>
      </w:r>
      <w:r>
        <w:t xml:space="preserve">change </w:t>
      </w:r>
      <w:r w:rsidRPr="00D43A5B">
        <w:t>pooled employer plan offerings.</w:t>
      </w:r>
    </w:p>
    <w:tbl>
      <w:tblPr>
        <w:tblW w:w="7483" w:type="dxa"/>
        <w:tblInd w:w="1332" w:type="dxa"/>
        <w:tblLook w:val="04A0" w:firstRow="1" w:lastRow="0" w:firstColumn="1" w:lastColumn="0" w:noHBand="0" w:noVBand="1"/>
      </w:tblPr>
      <w:tblGrid>
        <w:gridCol w:w="1239"/>
        <w:gridCol w:w="725"/>
        <w:gridCol w:w="972"/>
        <w:gridCol w:w="753"/>
        <w:gridCol w:w="974"/>
        <w:gridCol w:w="1340"/>
        <w:gridCol w:w="1480"/>
      </w:tblGrid>
      <w:tr w:rsidRPr="00AE45AD" w:rsidR="00AE45AD" w:rsidTr="00AE45AD" w14:paraId="357E9F72" w14:textId="77777777">
        <w:trPr>
          <w:trHeight w:val="315"/>
        </w:trPr>
        <w:tc>
          <w:tcPr>
            <w:tcW w:w="4663" w:type="dxa"/>
            <w:gridSpan w:val="5"/>
            <w:tcBorders>
              <w:top w:val="nil"/>
              <w:left w:val="nil"/>
              <w:bottom w:val="nil"/>
              <w:right w:val="nil"/>
            </w:tcBorders>
            <w:shd w:val="clear" w:color="auto" w:fill="auto"/>
            <w:noWrap/>
            <w:vAlign w:val="bottom"/>
            <w:hideMark/>
          </w:tcPr>
          <w:p w:rsidRPr="00AE45AD" w:rsidR="00AE45AD" w:rsidRDefault="00AE45AD" w14:paraId="61B1AF9F" w14:textId="77777777">
            <w:pPr>
              <w:rPr>
                <w:i/>
                <w:iCs/>
                <w:color w:val="000000"/>
                <w:sz w:val="20"/>
                <w:szCs w:val="20"/>
              </w:rPr>
            </w:pPr>
            <w:r w:rsidRPr="00AE45AD">
              <w:rPr>
                <w:color w:val="000000"/>
                <w:sz w:val="20"/>
                <w:szCs w:val="20"/>
              </w:rPr>
              <w:t>Table--</w:t>
            </w:r>
            <w:r w:rsidRPr="00AE45AD">
              <w:rPr>
                <w:i/>
                <w:iCs/>
                <w:color w:val="000000"/>
                <w:sz w:val="20"/>
                <w:szCs w:val="20"/>
              </w:rPr>
              <w:t>Pooled Plan Providers: Three Year Averages</w:t>
            </w:r>
          </w:p>
        </w:tc>
        <w:tc>
          <w:tcPr>
            <w:tcW w:w="1340" w:type="dxa"/>
            <w:tcBorders>
              <w:top w:val="nil"/>
              <w:left w:val="nil"/>
              <w:bottom w:val="nil"/>
              <w:right w:val="nil"/>
            </w:tcBorders>
            <w:shd w:val="clear" w:color="auto" w:fill="auto"/>
            <w:noWrap/>
            <w:vAlign w:val="bottom"/>
            <w:hideMark/>
          </w:tcPr>
          <w:p w:rsidRPr="00AE45AD" w:rsidR="00AE45AD" w:rsidP="00AE45AD" w:rsidRDefault="00AE45AD" w14:paraId="78AB5162" w14:textId="77777777">
            <w:pPr>
              <w:rPr>
                <w:i/>
                <w:iCs/>
                <w:color w:val="000000"/>
                <w:sz w:val="20"/>
                <w:szCs w:val="20"/>
              </w:rPr>
            </w:pPr>
          </w:p>
        </w:tc>
        <w:tc>
          <w:tcPr>
            <w:tcW w:w="1480" w:type="dxa"/>
            <w:tcBorders>
              <w:top w:val="nil"/>
              <w:left w:val="nil"/>
              <w:bottom w:val="nil"/>
              <w:right w:val="nil"/>
            </w:tcBorders>
            <w:shd w:val="clear" w:color="auto" w:fill="auto"/>
            <w:noWrap/>
            <w:vAlign w:val="bottom"/>
            <w:hideMark/>
          </w:tcPr>
          <w:p w:rsidRPr="00AE45AD" w:rsidR="00AE45AD" w:rsidP="00AE45AD" w:rsidRDefault="00AE45AD" w14:paraId="5F5E08A6" w14:textId="77777777">
            <w:pPr>
              <w:rPr>
                <w:sz w:val="20"/>
                <w:szCs w:val="20"/>
              </w:rPr>
            </w:pPr>
          </w:p>
        </w:tc>
      </w:tr>
      <w:tr w:rsidRPr="00AE45AD" w:rsidR="00AE45AD" w:rsidTr="00AE45AD" w14:paraId="584AA4F9" w14:textId="77777777">
        <w:trPr>
          <w:trHeight w:val="630"/>
        </w:trPr>
        <w:tc>
          <w:tcPr>
            <w:tcW w:w="1239" w:type="dxa"/>
            <w:tcBorders>
              <w:top w:val="single" w:color="auto" w:sz="8" w:space="0"/>
              <w:left w:val="nil"/>
              <w:bottom w:val="single" w:color="auto" w:sz="8" w:space="0"/>
              <w:right w:val="nil"/>
            </w:tcBorders>
            <w:shd w:val="clear" w:color="auto" w:fill="auto"/>
            <w:noWrap/>
            <w:vAlign w:val="bottom"/>
            <w:hideMark/>
          </w:tcPr>
          <w:p w:rsidRPr="00AE45AD" w:rsidR="00AE45AD" w:rsidP="00AE45AD" w:rsidRDefault="00AE45AD" w14:paraId="55B7BBC5" w14:textId="77777777">
            <w:pPr>
              <w:rPr>
                <w:color w:val="000000"/>
                <w:sz w:val="20"/>
                <w:szCs w:val="20"/>
              </w:rPr>
            </w:pPr>
            <w:r w:rsidRPr="00AE45AD">
              <w:rPr>
                <w:color w:val="000000"/>
                <w:sz w:val="20"/>
                <w:szCs w:val="20"/>
              </w:rPr>
              <w:t> </w:t>
            </w:r>
          </w:p>
        </w:tc>
        <w:tc>
          <w:tcPr>
            <w:tcW w:w="725"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04AB48DD" w14:textId="77777777">
            <w:pPr>
              <w:jc w:val="center"/>
              <w:rPr>
                <w:color w:val="000000"/>
                <w:sz w:val="20"/>
                <w:szCs w:val="20"/>
              </w:rPr>
            </w:pPr>
            <w:r w:rsidRPr="00AE45AD">
              <w:rPr>
                <w:color w:val="000000"/>
                <w:sz w:val="20"/>
                <w:szCs w:val="20"/>
              </w:rPr>
              <w:t>First Year</w:t>
            </w:r>
          </w:p>
        </w:tc>
        <w:tc>
          <w:tcPr>
            <w:tcW w:w="972"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3A170706" w14:textId="77777777">
            <w:pPr>
              <w:jc w:val="center"/>
              <w:rPr>
                <w:color w:val="000000"/>
                <w:sz w:val="20"/>
                <w:szCs w:val="20"/>
              </w:rPr>
            </w:pPr>
            <w:r w:rsidRPr="00AE45AD">
              <w:rPr>
                <w:color w:val="000000"/>
                <w:sz w:val="20"/>
                <w:szCs w:val="20"/>
              </w:rPr>
              <w:t>Second Year</w:t>
            </w:r>
          </w:p>
        </w:tc>
        <w:tc>
          <w:tcPr>
            <w:tcW w:w="753"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207548A0" w14:textId="77777777">
            <w:pPr>
              <w:jc w:val="center"/>
              <w:rPr>
                <w:color w:val="000000"/>
                <w:sz w:val="20"/>
                <w:szCs w:val="20"/>
              </w:rPr>
            </w:pPr>
            <w:r w:rsidRPr="00AE45AD">
              <w:rPr>
                <w:color w:val="000000"/>
                <w:sz w:val="20"/>
                <w:szCs w:val="20"/>
              </w:rPr>
              <w:t>Third Year</w:t>
            </w:r>
          </w:p>
        </w:tc>
        <w:tc>
          <w:tcPr>
            <w:tcW w:w="974"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4E6FD4A0" w14:textId="77777777">
            <w:pPr>
              <w:jc w:val="center"/>
              <w:rPr>
                <w:color w:val="000000"/>
                <w:sz w:val="20"/>
                <w:szCs w:val="20"/>
              </w:rPr>
            </w:pPr>
            <w:r w:rsidRPr="00AE45AD">
              <w:rPr>
                <w:color w:val="000000"/>
                <w:sz w:val="20"/>
                <w:szCs w:val="20"/>
              </w:rPr>
              <w:t>Average</w:t>
            </w:r>
          </w:p>
        </w:tc>
        <w:tc>
          <w:tcPr>
            <w:tcW w:w="1340" w:type="dxa"/>
            <w:vAlign w:val="center"/>
            <w:hideMark/>
          </w:tcPr>
          <w:p w:rsidRPr="00AE45AD" w:rsidR="00AE45AD" w:rsidP="00AE45AD" w:rsidRDefault="00AE45AD" w14:paraId="333CE84D" w14:textId="77777777">
            <w:pPr>
              <w:rPr>
                <w:sz w:val="20"/>
                <w:szCs w:val="20"/>
              </w:rPr>
            </w:pPr>
          </w:p>
        </w:tc>
        <w:tc>
          <w:tcPr>
            <w:tcW w:w="1480" w:type="dxa"/>
            <w:vAlign w:val="center"/>
            <w:hideMark/>
          </w:tcPr>
          <w:p w:rsidRPr="00AE45AD" w:rsidR="00AE45AD" w:rsidP="00AE45AD" w:rsidRDefault="00AE45AD" w14:paraId="42A89436" w14:textId="77777777">
            <w:pPr>
              <w:rPr>
                <w:sz w:val="20"/>
                <w:szCs w:val="20"/>
              </w:rPr>
            </w:pPr>
          </w:p>
        </w:tc>
      </w:tr>
      <w:tr w:rsidRPr="00AE45AD" w:rsidR="00AE45AD" w:rsidTr="00AE45AD" w14:paraId="2B85F344" w14:textId="77777777">
        <w:trPr>
          <w:trHeight w:val="300"/>
        </w:trPr>
        <w:tc>
          <w:tcPr>
            <w:tcW w:w="1239" w:type="dxa"/>
            <w:tcBorders>
              <w:top w:val="nil"/>
              <w:left w:val="nil"/>
              <w:bottom w:val="nil"/>
              <w:right w:val="nil"/>
            </w:tcBorders>
            <w:shd w:val="clear" w:color="auto" w:fill="auto"/>
            <w:noWrap/>
            <w:vAlign w:val="bottom"/>
            <w:hideMark/>
          </w:tcPr>
          <w:p w:rsidRPr="00AE45AD" w:rsidR="00AE45AD" w:rsidP="00AE45AD" w:rsidRDefault="00AE45AD" w14:paraId="42A7B7A1" w14:textId="77777777">
            <w:pPr>
              <w:rPr>
                <w:color w:val="000000"/>
                <w:sz w:val="20"/>
                <w:szCs w:val="20"/>
              </w:rPr>
            </w:pPr>
            <w:r w:rsidRPr="00AE45AD">
              <w:rPr>
                <w:color w:val="000000"/>
                <w:sz w:val="20"/>
                <w:szCs w:val="20"/>
              </w:rPr>
              <w:t>Respondents</w:t>
            </w:r>
          </w:p>
        </w:tc>
        <w:tc>
          <w:tcPr>
            <w:tcW w:w="725" w:type="dxa"/>
            <w:tcBorders>
              <w:top w:val="nil"/>
              <w:left w:val="nil"/>
              <w:bottom w:val="nil"/>
              <w:right w:val="nil"/>
            </w:tcBorders>
            <w:shd w:val="clear" w:color="auto" w:fill="auto"/>
            <w:vAlign w:val="center"/>
            <w:hideMark/>
          </w:tcPr>
          <w:p w:rsidRPr="00AE45AD" w:rsidR="00AE45AD" w:rsidP="00AE45AD" w:rsidRDefault="00AE45AD" w14:paraId="373C66CB" w14:textId="77777777">
            <w:pPr>
              <w:jc w:val="center"/>
              <w:rPr>
                <w:color w:val="000000"/>
                <w:sz w:val="20"/>
                <w:szCs w:val="20"/>
              </w:rPr>
            </w:pPr>
            <w:r w:rsidRPr="00AE45AD">
              <w:rPr>
                <w:color w:val="000000"/>
                <w:sz w:val="20"/>
                <w:szCs w:val="20"/>
              </w:rPr>
              <w:t xml:space="preserve">3,233 </w:t>
            </w:r>
          </w:p>
        </w:tc>
        <w:tc>
          <w:tcPr>
            <w:tcW w:w="972" w:type="dxa"/>
            <w:tcBorders>
              <w:top w:val="nil"/>
              <w:left w:val="nil"/>
              <w:bottom w:val="nil"/>
              <w:right w:val="nil"/>
            </w:tcBorders>
            <w:shd w:val="clear" w:color="auto" w:fill="auto"/>
            <w:noWrap/>
            <w:vAlign w:val="center"/>
            <w:hideMark/>
          </w:tcPr>
          <w:p w:rsidRPr="00AE45AD" w:rsidR="00AE45AD" w:rsidP="00AE45AD" w:rsidRDefault="00AE45AD" w14:paraId="23404247" w14:textId="77777777">
            <w:pPr>
              <w:jc w:val="center"/>
              <w:rPr>
                <w:color w:val="000000"/>
                <w:sz w:val="20"/>
                <w:szCs w:val="20"/>
              </w:rPr>
            </w:pPr>
            <w:r w:rsidRPr="00AE45AD">
              <w:rPr>
                <w:color w:val="000000"/>
                <w:sz w:val="20"/>
                <w:szCs w:val="20"/>
              </w:rPr>
              <w:t>873</w:t>
            </w:r>
          </w:p>
        </w:tc>
        <w:tc>
          <w:tcPr>
            <w:tcW w:w="753" w:type="dxa"/>
            <w:tcBorders>
              <w:top w:val="nil"/>
              <w:left w:val="nil"/>
              <w:bottom w:val="nil"/>
              <w:right w:val="nil"/>
            </w:tcBorders>
            <w:shd w:val="clear" w:color="auto" w:fill="auto"/>
            <w:noWrap/>
            <w:vAlign w:val="center"/>
            <w:hideMark/>
          </w:tcPr>
          <w:p w:rsidRPr="00AE45AD" w:rsidR="00AE45AD" w:rsidP="00AE45AD" w:rsidRDefault="00AE45AD" w14:paraId="733B7109" w14:textId="77777777">
            <w:pPr>
              <w:jc w:val="center"/>
              <w:rPr>
                <w:color w:val="000000"/>
                <w:sz w:val="20"/>
                <w:szCs w:val="20"/>
              </w:rPr>
            </w:pPr>
            <w:r w:rsidRPr="00AE45AD">
              <w:rPr>
                <w:color w:val="000000"/>
                <w:sz w:val="20"/>
                <w:szCs w:val="20"/>
              </w:rPr>
              <w:t>873</w:t>
            </w:r>
          </w:p>
        </w:tc>
        <w:tc>
          <w:tcPr>
            <w:tcW w:w="974" w:type="dxa"/>
            <w:tcBorders>
              <w:top w:val="nil"/>
              <w:left w:val="nil"/>
              <w:bottom w:val="nil"/>
              <w:right w:val="nil"/>
            </w:tcBorders>
            <w:shd w:val="clear" w:color="auto" w:fill="auto"/>
            <w:noWrap/>
            <w:vAlign w:val="center"/>
            <w:hideMark/>
          </w:tcPr>
          <w:p w:rsidRPr="00AE45AD" w:rsidR="00AE45AD" w:rsidP="00AE45AD" w:rsidRDefault="00AE45AD" w14:paraId="4A6C5EE7" w14:textId="77777777">
            <w:pPr>
              <w:jc w:val="center"/>
              <w:rPr>
                <w:color w:val="000000"/>
                <w:sz w:val="20"/>
                <w:szCs w:val="20"/>
              </w:rPr>
            </w:pPr>
            <w:r w:rsidRPr="00AE45AD">
              <w:rPr>
                <w:color w:val="000000"/>
                <w:sz w:val="20"/>
                <w:szCs w:val="20"/>
              </w:rPr>
              <w:t xml:space="preserve">1,660 </w:t>
            </w:r>
          </w:p>
        </w:tc>
        <w:tc>
          <w:tcPr>
            <w:tcW w:w="1340" w:type="dxa"/>
            <w:vAlign w:val="center"/>
            <w:hideMark/>
          </w:tcPr>
          <w:p w:rsidRPr="00AE45AD" w:rsidR="00AE45AD" w:rsidP="00AE45AD" w:rsidRDefault="00AE45AD" w14:paraId="3A81AED7" w14:textId="77777777">
            <w:pPr>
              <w:rPr>
                <w:sz w:val="20"/>
                <w:szCs w:val="20"/>
              </w:rPr>
            </w:pPr>
          </w:p>
        </w:tc>
        <w:tc>
          <w:tcPr>
            <w:tcW w:w="1480" w:type="dxa"/>
            <w:vAlign w:val="center"/>
            <w:hideMark/>
          </w:tcPr>
          <w:p w:rsidRPr="00AE45AD" w:rsidR="00AE45AD" w:rsidP="00AE45AD" w:rsidRDefault="00AE45AD" w14:paraId="1C1D4FAA" w14:textId="77777777">
            <w:pPr>
              <w:rPr>
                <w:sz w:val="20"/>
                <w:szCs w:val="20"/>
              </w:rPr>
            </w:pPr>
          </w:p>
        </w:tc>
      </w:tr>
      <w:tr w:rsidRPr="00AE45AD" w:rsidR="00AE45AD" w:rsidTr="00AE45AD" w14:paraId="277A4AAE" w14:textId="77777777">
        <w:trPr>
          <w:trHeight w:val="300"/>
        </w:trPr>
        <w:tc>
          <w:tcPr>
            <w:tcW w:w="1239" w:type="dxa"/>
            <w:tcBorders>
              <w:top w:val="nil"/>
              <w:left w:val="nil"/>
              <w:bottom w:val="nil"/>
              <w:right w:val="nil"/>
            </w:tcBorders>
            <w:shd w:val="clear" w:color="auto" w:fill="auto"/>
            <w:noWrap/>
            <w:vAlign w:val="bottom"/>
            <w:hideMark/>
          </w:tcPr>
          <w:p w:rsidRPr="00AE45AD" w:rsidR="00AE45AD" w:rsidP="00AE45AD" w:rsidRDefault="00AE45AD" w14:paraId="4CD24E9F" w14:textId="77777777">
            <w:pPr>
              <w:rPr>
                <w:color w:val="000000"/>
                <w:sz w:val="20"/>
                <w:szCs w:val="20"/>
              </w:rPr>
            </w:pPr>
            <w:r w:rsidRPr="00AE45AD">
              <w:rPr>
                <w:color w:val="000000"/>
                <w:sz w:val="20"/>
                <w:szCs w:val="20"/>
              </w:rPr>
              <w:t>Responses</w:t>
            </w:r>
          </w:p>
        </w:tc>
        <w:tc>
          <w:tcPr>
            <w:tcW w:w="725" w:type="dxa"/>
            <w:tcBorders>
              <w:top w:val="nil"/>
              <w:left w:val="nil"/>
              <w:bottom w:val="nil"/>
              <w:right w:val="nil"/>
            </w:tcBorders>
            <w:shd w:val="clear" w:color="auto" w:fill="auto"/>
            <w:vAlign w:val="center"/>
            <w:hideMark/>
          </w:tcPr>
          <w:p w:rsidRPr="00AE45AD" w:rsidR="00AE45AD" w:rsidP="00AE45AD" w:rsidRDefault="00AE45AD" w14:paraId="3B1EF836" w14:textId="77777777">
            <w:pPr>
              <w:jc w:val="center"/>
              <w:rPr>
                <w:color w:val="000000"/>
                <w:sz w:val="20"/>
                <w:szCs w:val="20"/>
              </w:rPr>
            </w:pPr>
            <w:r w:rsidRPr="00AE45AD">
              <w:rPr>
                <w:color w:val="000000"/>
                <w:sz w:val="20"/>
                <w:szCs w:val="20"/>
              </w:rPr>
              <w:t xml:space="preserve">6,693 </w:t>
            </w:r>
          </w:p>
        </w:tc>
        <w:tc>
          <w:tcPr>
            <w:tcW w:w="972" w:type="dxa"/>
            <w:tcBorders>
              <w:top w:val="nil"/>
              <w:left w:val="nil"/>
              <w:bottom w:val="nil"/>
              <w:right w:val="nil"/>
            </w:tcBorders>
            <w:shd w:val="clear" w:color="auto" w:fill="auto"/>
            <w:noWrap/>
            <w:vAlign w:val="center"/>
            <w:hideMark/>
          </w:tcPr>
          <w:p w:rsidRPr="00AE45AD" w:rsidR="00AE45AD" w:rsidP="00AE45AD" w:rsidRDefault="00AE45AD" w14:paraId="2E251047" w14:textId="77777777">
            <w:pPr>
              <w:jc w:val="center"/>
              <w:rPr>
                <w:color w:val="000000"/>
                <w:sz w:val="20"/>
                <w:szCs w:val="20"/>
              </w:rPr>
            </w:pPr>
            <w:r w:rsidRPr="00AE45AD">
              <w:rPr>
                <w:color w:val="000000"/>
                <w:sz w:val="20"/>
                <w:szCs w:val="20"/>
              </w:rPr>
              <w:t>873</w:t>
            </w:r>
          </w:p>
        </w:tc>
        <w:tc>
          <w:tcPr>
            <w:tcW w:w="753" w:type="dxa"/>
            <w:tcBorders>
              <w:top w:val="nil"/>
              <w:left w:val="nil"/>
              <w:bottom w:val="nil"/>
              <w:right w:val="nil"/>
            </w:tcBorders>
            <w:shd w:val="clear" w:color="auto" w:fill="auto"/>
            <w:noWrap/>
            <w:vAlign w:val="center"/>
            <w:hideMark/>
          </w:tcPr>
          <w:p w:rsidRPr="00AE45AD" w:rsidR="00AE45AD" w:rsidP="00AE45AD" w:rsidRDefault="00AE45AD" w14:paraId="5EEE3368" w14:textId="77777777">
            <w:pPr>
              <w:jc w:val="center"/>
              <w:rPr>
                <w:color w:val="000000"/>
                <w:sz w:val="20"/>
                <w:szCs w:val="20"/>
              </w:rPr>
            </w:pPr>
            <w:r w:rsidRPr="00AE45AD">
              <w:rPr>
                <w:color w:val="000000"/>
                <w:sz w:val="20"/>
                <w:szCs w:val="20"/>
              </w:rPr>
              <w:t>873</w:t>
            </w:r>
          </w:p>
        </w:tc>
        <w:tc>
          <w:tcPr>
            <w:tcW w:w="974" w:type="dxa"/>
            <w:tcBorders>
              <w:top w:val="nil"/>
              <w:left w:val="nil"/>
              <w:bottom w:val="nil"/>
              <w:right w:val="nil"/>
            </w:tcBorders>
            <w:shd w:val="clear" w:color="auto" w:fill="auto"/>
            <w:noWrap/>
            <w:vAlign w:val="center"/>
            <w:hideMark/>
          </w:tcPr>
          <w:p w:rsidRPr="00AE45AD" w:rsidR="00AE45AD" w:rsidP="00AE45AD" w:rsidRDefault="00AE45AD" w14:paraId="7336FEC9" w14:textId="77777777">
            <w:pPr>
              <w:jc w:val="center"/>
              <w:rPr>
                <w:color w:val="000000"/>
                <w:sz w:val="20"/>
                <w:szCs w:val="20"/>
              </w:rPr>
            </w:pPr>
            <w:r w:rsidRPr="00AE45AD">
              <w:rPr>
                <w:color w:val="000000"/>
                <w:sz w:val="20"/>
                <w:szCs w:val="20"/>
              </w:rPr>
              <w:t xml:space="preserve">2,813 </w:t>
            </w:r>
          </w:p>
        </w:tc>
        <w:tc>
          <w:tcPr>
            <w:tcW w:w="1340" w:type="dxa"/>
            <w:vAlign w:val="center"/>
            <w:hideMark/>
          </w:tcPr>
          <w:p w:rsidRPr="00AE45AD" w:rsidR="00AE45AD" w:rsidP="00AE45AD" w:rsidRDefault="00AE45AD" w14:paraId="1FD95557" w14:textId="77777777">
            <w:pPr>
              <w:rPr>
                <w:sz w:val="20"/>
                <w:szCs w:val="20"/>
              </w:rPr>
            </w:pPr>
          </w:p>
        </w:tc>
        <w:tc>
          <w:tcPr>
            <w:tcW w:w="1480" w:type="dxa"/>
            <w:vAlign w:val="center"/>
            <w:hideMark/>
          </w:tcPr>
          <w:p w:rsidRPr="00AE45AD" w:rsidR="00AE45AD" w:rsidP="00AE45AD" w:rsidRDefault="00AE45AD" w14:paraId="6FABA8DE" w14:textId="77777777">
            <w:pPr>
              <w:rPr>
                <w:sz w:val="20"/>
                <w:szCs w:val="20"/>
              </w:rPr>
            </w:pPr>
          </w:p>
        </w:tc>
      </w:tr>
      <w:tr w:rsidRPr="00AE45AD" w:rsidR="00AE45AD" w:rsidTr="00AE45AD" w14:paraId="64305B3C" w14:textId="77777777">
        <w:trPr>
          <w:trHeight w:val="315"/>
        </w:trPr>
        <w:tc>
          <w:tcPr>
            <w:tcW w:w="1239" w:type="dxa"/>
            <w:tcBorders>
              <w:top w:val="nil"/>
              <w:left w:val="nil"/>
              <w:bottom w:val="single" w:color="auto" w:sz="8" w:space="0"/>
              <w:right w:val="nil"/>
            </w:tcBorders>
            <w:shd w:val="clear" w:color="auto" w:fill="auto"/>
            <w:noWrap/>
            <w:vAlign w:val="bottom"/>
            <w:hideMark/>
          </w:tcPr>
          <w:p w:rsidRPr="00AE45AD" w:rsidR="00AE45AD" w:rsidP="00AE45AD" w:rsidRDefault="00AE45AD" w14:paraId="198FBCC5" w14:textId="77777777">
            <w:pPr>
              <w:rPr>
                <w:color w:val="000000"/>
                <w:sz w:val="20"/>
                <w:szCs w:val="20"/>
              </w:rPr>
            </w:pPr>
            <w:r w:rsidRPr="00AE45AD">
              <w:rPr>
                <w:color w:val="000000"/>
                <w:sz w:val="20"/>
                <w:szCs w:val="20"/>
              </w:rPr>
              <w:t>Hours</w:t>
            </w:r>
          </w:p>
        </w:tc>
        <w:tc>
          <w:tcPr>
            <w:tcW w:w="725" w:type="dxa"/>
            <w:tcBorders>
              <w:top w:val="nil"/>
              <w:left w:val="nil"/>
              <w:bottom w:val="single" w:color="auto" w:sz="8" w:space="0"/>
              <w:right w:val="nil"/>
            </w:tcBorders>
            <w:shd w:val="clear" w:color="auto" w:fill="auto"/>
            <w:vAlign w:val="center"/>
            <w:hideMark/>
          </w:tcPr>
          <w:p w:rsidRPr="00AE45AD" w:rsidR="00AE45AD" w:rsidP="00AE45AD" w:rsidRDefault="00AE45AD" w14:paraId="3A4996F3" w14:textId="77777777">
            <w:pPr>
              <w:jc w:val="center"/>
              <w:rPr>
                <w:color w:val="000000"/>
                <w:sz w:val="20"/>
                <w:szCs w:val="20"/>
              </w:rPr>
            </w:pPr>
            <w:r w:rsidRPr="00AE45AD">
              <w:rPr>
                <w:color w:val="000000"/>
                <w:sz w:val="20"/>
                <w:szCs w:val="20"/>
              </w:rPr>
              <w:t xml:space="preserve">4,155 </w:t>
            </w:r>
          </w:p>
        </w:tc>
        <w:tc>
          <w:tcPr>
            <w:tcW w:w="972" w:type="dxa"/>
            <w:tcBorders>
              <w:top w:val="nil"/>
              <w:left w:val="nil"/>
              <w:bottom w:val="single" w:color="auto" w:sz="8" w:space="0"/>
              <w:right w:val="nil"/>
            </w:tcBorders>
            <w:shd w:val="clear" w:color="auto" w:fill="auto"/>
            <w:noWrap/>
            <w:vAlign w:val="center"/>
            <w:hideMark/>
          </w:tcPr>
          <w:p w:rsidRPr="00AE45AD" w:rsidR="00AE45AD" w:rsidP="00AE45AD" w:rsidRDefault="00AE45AD" w14:paraId="3430C9C3" w14:textId="77777777">
            <w:pPr>
              <w:jc w:val="center"/>
              <w:rPr>
                <w:color w:val="000000"/>
                <w:sz w:val="20"/>
                <w:szCs w:val="20"/>
              </w:rPr>
            </w:pPr>
            <w:r w:rsidRPr="00AE45AD">
              <w:rPr>
                <w:color w:val="000000"/>
                <w:sz w:val="20"/>
                <w:szCs w:val="20"/>
              </w:rPr>
              <w:t>437</w:t>
            </w:r>
          </w:p>
        </w:tc>
        <w:tc>
          <w:tcPr>
            <w:tcW w:w="753" w:type="dxa"/>
            <w:tcBorders>
              <w:top w:val="nil"/>
              <w:left w:val="nil"/>
              <w:bottom w:val="single" w:color="auto" w:sz="8" w:space="0"/>
              <w:right w:val="nil"/>
            </w:tcBorders>
            <w:shd w:val="clear" w:color="auto" w:fill="auto"/>
            <w:noWrap/>
            <w:vAlign w:val="center"/>
            <w:hideMark/>
          </w:tcPr>
          <w:p w:rsidRPr="00AE45AD" w:rsidR="00AE45AD" w:rsidP="00AE45AD" w:rsidRDefault="00AE45AD" w14:paraId="4EB8FD61" w14:textId="77777777">
            <w:pPr>
              <w:jc w:val="center"/>
              <w:rPr>
                <w:color w:val="000000"/>
                <w:sz w:val="20"/>
                <w:szCs w:val="20"/>
              </w:rPr>
            </w:pPr>
            <w:r w:rsidRPr="00AE45AD">
              <w:rPr>
                <w:color w:val="000000"/>
                <w:sz w:val="20"/>
                <w:szCs w:val="20"/>
              </w:rPr>
              <w:t>437</w:t>
            </w:r>
          </w:p>
        </w:tc>
        <w:tc>
          <w:tcPr>
            <w:tcW w:w="974" w:type="dxa"/>
            <w:tcBorders>
              <w:top w:val="nil"/>
              <w:left w:val="nil"/>
              <w:bottom w:val="single" w:color="auto" w:sz="8" w:space="0"/>
              <w:right w:val="nil"/>
            </w:tcBorders>
            <w:shd w:val="clear" w:color="auto" w:fill="auto"/>
            <w:noWrap/>
            <w:vAlign w:val="center"/>
            <w:hideMark/>
          </w:tcPr>
          <w:p w:rsidRPr="00AE45AD" w:rsidR="00AE45AD" w:rsidP="00AE45AD" w:rsidRDefault="00AE45AD" w14:paraId="29DD4D47" w14:textId="77777777">
            <w:pPr>
              <w:jc w:val="center"/>
              <w:rPr>
                <w:color w:val="000000"/>
                <w:sz w:val="20"/>
                <w:szCs w:val="20"/>
              </w:rPr>
            </w:pPr>
            <w:r w:rsidRPr="00AE45AD">
              <w:rPr>
                <w:color w:val="000000"/>
                <w:sz w:val="20"/>
                <w:szCs w:val="20"/>
              </w:rPr>
              <w:t xml:space="preserve">1,676 </w:t>
            </w:r>
          </w:p>
        </w:tc>
        <w:tc>
          <w:tcPr>
            <w:tcW w:w="1340" w:type="dxa"/>
            <w:vAlign w:val="center"/>
            <w:hideMark/>
          </w:tcPr>
          <w:p w:rsidRPr="00AE45AD" w:rsidR="00AE45AD" w:rsidP="00AE45AD" w:rsidRDefault="00AE45AD" w14:paraId="29EA6ADF" w14:textId="77777777">
            <w:pPr>
              <w:rPr>
                <w:sz w:val="20"/>
                <w:szCs w:val="20"/>
              </w:rPr>
            </w:pPr>
          </w:p>
        </w:tc>
        <w:tc>
          <w:tcPr>
            <w:tcW w:w="1480" w:type="dxa"/>
            <w:vAlign w:val="center"/>
            <w:hideMark/>
          </w:tcPr>
          <w:p w:rsidRPr="00AE45AD" w:rsidR="00AE45AD" w:rsidP="00AE45AD" w:rsidRDefault="00AE45AD" w14:paraId="2112AAD4" w14:textId="77777777">
            <w:pPr>
              <w:rPr>
                <w:sz w:val="20"/>
                <w:szCs w:val="20"/>
              </w:rPr>
            </w:pPr>
          </w:p>
        </w:tc>
      </w:tr>
    </w:tbl>
    <w:p w:rsidRPr="00D43A5B" w:rsidR="00AE45AD" w:rsidP="00B73250" w:rsidRDefault="00AE45AD" w14:paraId="3333549A" w14:textId="77777777">
      <w:pPr>
        <w:spacing w:before="100" w:beforeAutospacing="1" w:after="100" w:afterAutospacing="1"/>
        <w:ind w:left="1080"/>
      </w:pPr>
    </w:p>
    <w:p w:rsidRPr="008823D6" w:rsidR="00077920" w:rsidP="00B45159" w:rsidRDefault="00077920" w14:paraId="00CCDCF1" w14:textId="77777777">
      <w:pPr>
        <w:pStyle w:val="BodyTextIndent"/>
        <w:ind w:left="0"/>
        <w:rPr>
          <w:i/>
        </w:rPr>
      </w:pPr>
    </w:p>
    <w:p w:rsidRPr="008823D6" w:rsidR="008C4059" w:rsidP="008C4059" w:rsidRDefault="008C4059" w14:paraId="4E44A9FF" w14:textId="77777777">
      <w:pPr>
        <w:pStyle w:val="BodyTextIndent"/>
        <w:widowControl/>
        <w:numPr>
          <w:ilvl w:val="0"/>
          <w:numId w:val="1"/>
        </w:numPr>
        <w:tabs>
          <w:tab w:val="clear" w:pos="-1440"/>
        </w:tabs>
        <w:autoSpaceDE/>
        <w:autoSpaceDN/>
        <w:adjustRightInd/>
        <w:rPr>
          <w:b/>
        </w:rPr>
      </w:pPr>
      <w:r w:rsidRPr="008823D6">
        <w:rPr>
          <w:b/>
        </w:rPr>
        <w:lastRenderedPageBreak/>
        <w:t>Provide an estimate of the total annual cost burden to respondents or recordkeepers resulting from the collection of information.  (Do not include the cost of any hour burden shown in Items 12 or 14).</w:t>
      </w:r>
    </w:p>
    <w:p w:rsidR="008C4059" w:rsidP="008C4059" w:rsidRDefault="008C4059" w14:paraId="3B3A6811" w14:textId="77777777">
      <w:pPr>
        <w:pStyle w:val="BodyTextIndent"/>
      </w:pPr>
    </w:p>
    <w:p w:rsidRPr="008823D6" w:rsidR="00A027D1" w:rsidP="00523A2E" w:rsidRDefault="000C3F0C" w14:paraId="4AB71D9B" w14:textId="77777777">
      <w:pPr>
        <w:pStyle w:val="BodyTextIndent"/>
        <w:ind w:left="1080"/>
      </w:pPr>
      <w:r>
        <w:t>T</w:t>
      </w:r>
      <w:r w:rsidRPr="000C3F0C">
        <w:t>he Department does not believe that the pooled plan provider would incur any additional costs beyond the labor by the administrator to collec</w:t>
      </w:r>
      <w:r>
        <w:t xml:space="preserve">t and submit this information.  </w:t>
      </w:r>
      <w:r w:rsidR="00A027D1">
        <w:t xml:space="preserve">Thus, </w:t>
      </w:r>
      <w:r w:rsidR="00E96015">
        <w:t>the total annual</w:t>
      </w:r>
      <w:r w:rsidR="00A74C60">
        <w:t xml:space="preserve"> cost</w:t>
      </w:r>
      <w:r w:rsidR="00E96015">
        <w:t xml:space="preserve"> burden of this information collection is $0</w:t>
      </w:r>
      <w:r>
        <w:t xml:space="preserve">.  </w:t>
      </w:r>
    </w:p>
    <w:p w:rsidRPr="008823D6" w:rsidR="008C4059" w:rsidP="008C4059" w:rsidRDefault="008C4059" w14:paraId="6DF79D72" w14:textId="77777777">
      <w:pPr>
        <w:pStyle w:val="BodyTextIndent"/>
        <w:rPr>
          <w:i/>
        </w:rPr>
      </w:pPr>
    </w:p>
    <w:p w:rsidRPr="008823D6" w:rsidR="008C4059" w:rsidP="008C4059" w:rsidRDefault="008C4059" w14:paraId="4F600BF5" w14:textId="77777777">
      <w:pPr>
        <w:pStyle w:val="BodyTextIndent"/>
        <w:widowControl/>
        <w:numPr>
          <w:ilvl w:val="0"/>
          <w:numId w:val="1"/>
        </w:numPr>
        <w:tabs>
          <w:tab w:val="clear" w:pos="-1440"/>
        </w:tabs>
        <w:autoSpaceDE/>
        <w:autoSpaceDN/>
        <w:adjustRightInd/>
        <w:rPr>
          <w:b/>
        </w:rPr>
      </w:pPr>
      <w:r w:rsidRPr="008823D6">
        <w:rPr>
          <w:b/>
        </w:rPr>
        <w:t xml:space="preserve">Provide estimates of annualized cost to the federal government.  Also, provide </w:t>
      </w:r>
      <w:proofErr w:type="gramStart"/>
      <w:r w:rsidRPr="008823D6">
        <w:rPr>
          <w:b/>
        </w:rPr>
        <w:t>an</w:t>
      </w:r>
      <w:proofErr w:type="gramEnd"/>
      <w:r w:rsidRPr="008823D6">
        <w:rPr>
          <w:b/>
        </w:rPr>
        <w:t xml:space="preserve">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8C4059" w:rsidP="008C4059" w:rsidRDefault="008C4059" w14:paraId="32B7A56C" w14:textId="77777777">
      <w:pPr>
        <w:pStyle w:val="BodyTextIndent"/>
      </w:pPr>
    </w:p>
    <w:p w:rsidRPr="00011FCB" w:rsidR="00D812A2" w:rsidP="00A01C62" w:rsidRDefault="00D812A2" w14:paraId="4A51FDE5" w14:textId="77777777">
      <w:pPr>
        <w:ind w:left="1080"/>
        <w:rPr>
          <w:b/>
          <w:bCs/>
        </w:rPr>
      </w:pPr>
      <w:r w:rsidRPr="00C01E07">
        <w:t xml:space="preserve">The costs of this information collection </w:t>
      </w:r>
      <w:proofErr w:type="gramStart"/>
      <w:r w:rsidRPr="00C01E07">
        <w:t>fits</w:t>
      </w:r>
      <w:proofErr w:type="gramEnd"/>
      <w:r w:rsidRPr="00C01E07">
        <w:t xml:space="preserve"> within the total processing costs, including an EBSA contractor costs, of the information collect 1210-0110, Annual Return/Report of Employee Benefit Plan (Form 5500).</w:t>
      </w:r>
    </w:p>
    <w:p w:rsidRPr="008823D6" w:rsidR="008C4059" w:rsidP="008C4059" w:rsidRDefault="008C4059" w14:paraId="468615FA" w14:textId="77777777">
      <w:pPr>
        <w:pStyle w:val="BodyTextIndent"/>
        <w:rPr>
          <w:b/>
          <w:i/>
        </w:rPr>
      </w:pPr>
    </w:p>
    <w:p w:rsidR="008C4059" w:rsidP="008C4059" w:rsidRDefault="008C4059" w14:paraId="21060538" w14:textId="77777777">
      <w:pPr>
        <w:pStyle w:val="BodyTextIndent"/>
        <w:widowControl/>
        <w:numPr>
          <w:ilvl w:val="0"/>
          <w:numId w:val="1"/>
        </w:numPr>
        <w:tabs>
          <w:tab w:val="clear" w:pos="-1440"/>
        </w:tabs>
        <w:autoSpaceDE/>
        <w:autoSpaceDN/>
        <w:adjustRightInd/>
        <w:rPr>
          <w:b/>
        </w:rPr>
      </w:pPr>
      <w:r w:rsidRPr="008823D6">
        <w:rPr>
          <w:b/>
        </w:rPr>
        <w:t>Explain any reasons for any program changes or adjustments</w:t>
      </w:r>
      <w:r>
        <w:rPr>
          <w:b/>
        </w:rPr>
        <w:t>.</w:t>
      </w:r>
    </w:p>
    <w:p w:rsidR="003C3AEE" w:rsidP="00260A7E" w:rsidRDefault="003C3AEE" w14:paraId="7F02F04F" w14:textId="77777777">
      <w:pPr>
        <w:pStyle w:val="BodyTextIndent"/>
        <w:widowControl/>
        <w:tabs>
          <w:tab w:val="clear" w:pos="-1440"/>
        </w:tabs>
        <w:autoSpaceDE/>
        <w:autoSpaceDN/>
        <w:adjustRightInd/>
        <w:rPr>
          <w:b/>
        </w:rPr>
      </w:pPr>
    </w:p>
    <w:p w:rsidRPr="00260A7E" w:rsidR="003C3AEE" w:rsidP="00260A7E" w:rsidRDefault="003C3AEE" w14:paraId="2ECA0508" w14:textId="77777777">
      <w:pPr>
        <w:pStyle w:val="BodyTextIndent"/>
        <w:widowControl/>
        <w:tabs>
          <w:tab w:val="clear" w:pos="-1440"/>
        </w:tabs>
        <w:autoSpaceDE/>
        <w:autoSpaceDN/>
        <w:adjustRightInd/>
        <w:ind w:left="1080"/>
      </w:pPr>
      <w:r w:rsidRPr="00260A7E">
        <w:t>This is a new information collection.</w:t>
      </w:r>
    </w:p>
    <w:p w:rsidRPr="008823D6" w:rsidR="008C4059" w:rsidP="008C4059" w:rsidRDefault="008C4059" w14:paraId="172FC0FA" w14:textId="77777777">
      <w:pPr>
        <w:pStyle w:val="BodyTextIndent"/>
        <w:ind w:left="360"/>
      </w:pPr>
    </w:p>
    <w:p w:rsidRPr="008823D6" w:rsidR="008C4059" w:rsidP="008C4059" w:rsidRDefault="008C4059" w14:paraId="1E0AEBB9" w14:textId="77777777">
      <w:pPr>
        <w:pStyle w:val="BodyTextIndent"/>
        <w:widowControl/>
        <w:numPr>
          <w:ilvl w:val="0"/>
          <w:numId w:val="1"/>
        </w:numPr>
        <w:tabs>
          <w:tab w:val="clear" w:pos="-1440"/>
        </w:tabs>
        <w:autoSpaceDE/>
        <w:autoSpaceDN/>
        <w:adjustRightInd/>
        <w:rPr>
          <w:b/>
        </w:rPr>
      </w:pPr>
      <w:r w:rsidRPr="008823D6">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059" w:rsidP="008C4059" w:rsidRDefault="008C4059" w14:paraId="2401D4D3" w14:textId="77777777">
      <w:pPr>
        <w:pStyle w:val="BodyTextIndent"/>
      </w:pPr>
    </w:p>
    <w:p w:rsidRPr="008823D6" w:rsidR="003C3AEE" w:rsidP="00260A7E" w:rsidRDefault="003C3AEE" w14:paraId="754E7A77" w14:textId="77777777">
      <w:pPr>
        <w:ind w:left="1080"/>
      </w:pPr>
      <w:r w:rsidRPr="00EB039A">
        <w:t>This is not a collection of information for statistical use and</w:t>
      </w:r>
      <w:r w:rsidR="00A5503A">
        <w:t xml:space="preserve">, other than making the registration information </w:t>
      </w:r>
      <w:r w:rsidR="008542AD">
        <w:t>available to the public on the Department’s website,</w:t>
      </w:r>
      <w:r w:rsidRPr="00EB039A">
        <w:t xml:space="preserve"> there are no plans to </w:t>
      </w:r>
      <w:r w:rsidR="008542AD">
        <w:t>subject the information to any complex analytical techniques</w:t>
      </w:r>
      <w:r w:rsidRPr="00EB039A">
        <w:t>.</w:t>
      </w:r>
    </w:p>
    <w:p w:rsidRPr="008823D6" w:rsidR="008C4059" w:rsidP="00093824" w:rsidRDefault="008C4059" w14:paraId="5EBD22EF" w14:textId="77777777">
      <w:r w:rsidRPr="008823D6">
        <w:tab/>
      </w:r>
    </w:p>
    <w:p w:rsidRPr="008823D6" w:rsidR="008C4059" w:rsidP="008C4059" w:rsidRDefault="008C4059" w14:paraId="18F226D5" w14:textId="77777777">
      <w:pPr>
        <w:pStyle w:val="BodyTextIndent"/>
        <w:widowControl/>
        <w:numPr>
          <w:ilvl w:val="0"/>
          <w:numId w:val="1"/>
        </w:numPr>
        <w:tabs>
          <w:tab w:val="clear" w:pos="-1440"/>
        </w:tabs>
        <w:autoSpaceDE/>
        <w:autoSpaceDN/>
        <w:adjustRightInd/>
        <w:rPr>
          <w:b/>
        </w:rPr>
      </w:pPr>
      <w:r w:rsidRPr="008823D6">
        <w:rPr>
          <w:b/>
        </w:rPr>
        <w:t>If seeking approval to not display the expiration date for OMB approval of the information collection, explain the reasons that display would be inappropriate.</w:t>
      </w:r>
    </w:p>
    <w:p w:rsidRPr="008823D6" w:rsidR="008C4059" w:rsidP="008C4059" w:rsidRDefault="008C4059" w14:paraId="1CC88476" w14:textId="77777777">
      <w:pPr>
        <w:pStyle w:val="BodyTextIndent"/>
      </w:pPr>
    </w:p>
    <w:p w:rsidR="00572BF9" w:rsidP="00260A7E" w:rsidRDefault="00572BF9" w14:paraId="538E567E" w14:textId="77777777">
      <w:pPr>
        <w:ind w:left="1080"/>
      </w:pPr>
      <w:r>
        <w:t>The collection of information will display a currently valid OMB control number.</w:t>
      </w:r>
    </w:p>
    <w:p w:rsidRPr="008823D6" w:rsidR="00572BF9" w:rsidP="00093824" w:rsidRDefault="00572BF9" w14:paraId="1698FF63" w14:textId="77777777">
      <w:pPr>
        <w:pStyle w:val="BodyTextIndent"/>
        <w:ind w:left="0"/>
        <w:rPr>
          <w:i/>
          <w:iCs/>
        </w:rPr>
      </w:pPr>
    </w:p>
    <w:p w:rsidRPr="008823D6" w:rsidR="008C4059" w:rsidP="008C4059" w:rsidRDefault="008C4059" w14:paraId="068A23C1" w14:textId="77777777">
      <w:pPr>
        <w:pStyle w:val="BodyTextIndent"/>
        <w:widowControl/>
        <w:numPr>
          <w:ilvl w:val="0"/>
          <w:numId w:val="1"/>
        </w:numPr>
        <w:tabs>
          <w:tab w:val="clear" w:pos="-1440"/>
        </w:tabs>
        <w:autoSpaceDE/>
        <w:autoSpaceDN/>
        <w:adjustRightInd/>
        <w:rPr>
          <w:b/>
        </w:rPr>
      </w:pPr>
      <w:r w:rsidRPr="008823D6">
        <w:rPr>
          <w:b/>
        </w:rPr>
        <w:t>Explain each exception to the certification statement</w:t>
      </w:r>
      <w:r>
        <w:rPr>
          <w:b/>
        </w:rPr>
        <w:t>.</w:t>
      </w:r>
    </w:p>
    <w:p w:rsidR="008C4059" w:rsidP="008C4059" w:rsidRDefault="008C4059" w14:paraId="7C8A4BB9" w14:textId="77777777">
      <w:pPr>
        <w:pStyle w:val="BodyTextIndent"/>
      </w:pPr>
    </w:p>
    <w:p w:rsidRPr="00EB039A" w:rsidR="00572BF9" w:rsidP="00260A7E" w:rsidRDefault="00572BF9" w14:paraId="6087E347" w14:textId="77777777">
      <w:pPr>
        <w:ind w:left="1080"/>
      </w:pPr>
      <w:r w:rsidRPr="00EB039A">
        <w:t>There are no exceptions to the certification statement.</w:t>
      </w:r>
    </w:p>
    <w:p w:rsidRPr="008823D6" w:rsidR="00572BF9" w:rsidP="008C4059" w:rsidRDefault="00572BF9" w14:paraId="58270A5C" w14:textId="77777777">
      <w:pPr>
        <w:pStyle w:val="BodyTextIndent"/>
      </w:pPr>
    </w:p>
    <w:p w:rsidRPr="008823D6" w:rsidR="008C4059" w:rsidP="008C4059" w:rsidRDefault="008C4059" w14:paraId="6CC55704" w14:textId="77777777">
      <w:pPr>
        <w:pStyle w:val="BodyTextIndent"/>
        <w:ind w:left="0"/>
      </w:pPr>
    </w:p>
    <w:p w:rsidRPr="008823D6" w:rsidR="008C4059" w:rsidP="008C4059" w:rsidRDefault="008C4059" w14:paraId="69A82E5C" w14:textId="77777777">
      <w:pPr>
        <w:pStyle w:val="BodyTextIndent"/>
        <w:ind w:left="0"/>
        <w:rPr>
          <w:b/>
          <w:bCs/>
          <w:i/>
          <w:iCs/>
        </w:rPr>
      </w:pPr>
      <w:r w:rsidRPr="008823D6">
        <w:rPr>
          <w:b/>
          <w:bCs/>
        </w:rPr>
        <w:t>B.  Collection of Information Employing Statistical Methods.</w:t>
      </w:r>
    </w:p>
    <w:p w:rsidRPr="008823D6" w:rsidR="008C4059" w:rsidP="008C4059" w:rsidRDefault="008C4059" w14:paraId="74076DA3" w14:textId="77777777">
      <w:pPr>
        <w:pStyle w:val="BodyTextIndent"/>
        <w:ind w:left="360"/>
        <w:rPr>
          <w:b/>
          <w:bCs/>
          <w:i/>
          <w:iCs/>
        </w:rPr>
      </w:pPr>
    </w:p>
    <w:p w:rsidRPr="008823D6" w:rsidR="008C4059" w:rsidP="00523A2E" w:rsidRDefault="008C4059" w14:paraId="5C060DD5" w14:textId="77777777">
      <w:pPr>
        <w:pStyle w:val="BodyTextIndent"/>
        <w:ind w:left="1080"/>
        <w:rPr>
          <w:bCs/>
          <w:i/>
          <w:iCs/>
        </w:rPr>
      </w:pPr>
      <w:r w:rsidRPr="008823D6">
        <w:rPr>
          <w:bCs/>
        </w:rPr>
        <w:t>Not applicable.</w:t>
      </w:r>
    </w:p>
    <w:p w:rsidR="00757581" w:rsidP="00523A2E" w:rsidRDefault="00757581" w14:paraId="6F4D9BE3" w14:textId="77777777"/>
    <w:sectPr w:rsidR="007575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B1DA0" w14:textId="77777777" w:rsidR="005D0DA5" w:rsidRDefault="005D0DA5" w:rsidP="008C4059">
      <w:r>
        <w:separator/>
      </w:r>
    </w:p>
  </w:endnote>
  <w:endnote w:type="continuationSeparator" w:id="0">
    <w:p w14:paraId="5BF9AF4C" w14:textId="77777777" w:rsidR="005D0DA5" w:rsidRDefault="005D0DA5" w:rsidP="008C4059">
      <w:r>
        <w:continuationSeparator/>
      </w:r>
    </w:p>
  </w:endnote>
  <w:endnote w:type="continuationNotice" w:id="1">
    <w:p w14:paraId="29ECE0D0" w14:textId="77777777" w:rsidR="005D0DA5" w:rsidRDefault="005D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103C0" w14:textId="77777777" w:rsidR="005D0DA5" w:rsidRDefault="005D0DA5" w:rsidP="008C4059">
      <w:r>
        <w:separator/>
      </w:r>
    </w:p>
  </w:footnote>
  <w:footnote w:type="continuationSeparator" w:id="0">
    <w:p w14:paraId="3BC13015" w14:textId="77777777" w:rsidR="005D0DA5" w:rsidRDefault="005D0DA5" w:rsidP="008C4059">
      <w:r>
        <w:continuationSeparator/>
      </w:r>
    </w:p>
  </w:footnote>
  <w:footnote w:type="continuationNotice" w:id="1">
    <w:p w14:paraId="2C0C5313" w14:textId="77777777" w:rsidR="005D0DA5" w:rsidRDefault="005D0DA5"/>
  </w:footnote>
  <w:footnote w:id="2">
    <w:p w14:paraId="699E2FE8" w14:textId="77777777" w:rsidR="00626677" w:rsidRPr="00D11EDC" w:rsidRDefault="00626677" w:rsidP="00626677">
      <w:pPr>
        <w:pStyle w:val="FootnoteText"/>
      </w:pPr>
      <w:r w:rsidRPr="00375982">
        <w:rPr>
          <w:rStyle w:val="FootnoteReference"/>
        </w:rPr>
        <w:footnoteRef/>
      </w:r>
      <w:r w:rsidRPr="00375982">
        <w:t xml:space="preserve"> 3,460 pooled plan providers * 0.50 hour = 1,730 hours.  1,730 hours * $165.63 = $286,540.  </w:t>
      </w:r>
      <w:r w:rsidRPr="007D7F5E">
        <w:t xml:space="preserve">Labor rates are EBSA estimates, found </w:t>
      </w:r>
      <w:r w:rsidRPr="00D11EDC">
        <w:t xml:space="preserve">at </w:t>
      </w:r>
      <w:r w:rsidRPr="00D11EDC">
        <w:rPr>
          <w:rStyle w:val="Hyperlink"/>
        </w:rPr>
        <w:t>https://www.dol.gov/sites/dolgov/files/EBSA/laws-and-regulations/rules-and-regulations/technical-appendices/labor-cost-inputs-used-in-ebsa-opr-ria-and-pra-burden-calculations-june-2019.pdf</w:t>
      </w:r>
      <w:r w:rsidRPr="00D11EDC">
        <w:t>.</w:t>
      </w:r>
    </w:p>
  </w:footnote>
  <w:footnote w:id="3">
    <w:p w14:paraId="74A0BEFB" w14:textId="77777777" w:rsidR="00626677" w:rsidRPr="00375982" w:rsidRDefault="00626677" w:rsidP="00626677">
      <w:pPr>
        <w:pStyle w:val="FootnoteText"/>
      </w:pPr>
      <w:r w:rsidRPr="00D11EDC">
        <w:rPr>
          <w:rStyle w:val="FootnoteReference"/>
        </w:rPr>
        <w:footnoteRef/>
      </w:r>
      <w:r w:rsidRPr="00D11EDC">
        <w:t xml:space="preserve"> Pension plans face additional burdens in terminating, and so using welfare plans termination rates as a proxy may overstate the number of incidents.  The Department welcomes comments addressing this assumption</w:t>
      </w:r>
      <w:r w:rsidRPr="00375982">
        <w:t>.</w:t>
      </w:r>
    </w:p>
  </w:footnote>
  <w:footnote w:id="4">
    <w:p w14:paraId="55CB8C02" w14:textId="77777777" w:rsidR="00626677" w:rsidRPr="009C6ECD" w:rsidRDefault="00626677" w:rsidP="00626677">
      <w:pPr>
        <w:pStyle w:val="FootnoteText"/>
      </w:pPr>
      <w:r w:rsidRPr="00375982">
        <w:rPr>
          <w:rStyle w:val="FootnoteReference"/>
        </w:rPr>
        <w:footnoteRef/>
      </w:r>
      <w:r w:rsidRPr="00375982">
        <w:t xml:space="preserve"> 3,233</w:t>
      </w:r>
      <w:r>
        <w:t xml:space="preserve"> </w:t>
      </w:r>
      <w:r w:rsidRPr="00375982">
        <w:t>*</w:t>
      </w:r>
      <w:r>
        <w:t xml:space="preserve"> </w:t>
      </w:r>
      <w:r w:rsidRPr="00375982">
        <w:t>0.14</w:t>
      </w:r>
      <w:r>
        <w:t xml:space="preserve"> </w:t>
      </w:r>
      <w:r w:rsidRPr="00375982">
        <w:t>=</w:t>
      </w:r>
      <w:r>
        <w:t xml:space="preserve"> </w:t>
      </w:r>
      <w:r w:rsidRPr="00375982">
        <w:t>453 pooled plan providers report pooled employer plans beginning operation, 453 pooled plan providers * 0.50 hour = 227 hours.  227 hours * $165.63 = $37,598 3,233</w:t>
      </w:r>
      <w:r>
        <w:t xml:space="preserve"> </w:t>
      </w:r>
      <w:r w:rsidRPr="00375982">
        <w:t>*</w:t>
      </w:r>
      <w:r>
        <w:t xml:space="preserve"> </w:t>
      </w:r>
      <w:r w:rsidRPr="00375982">
        <w:t>0.06</w:t>
      </w:r>
      <w:r>
        <w:t xml:space="preserve"> </w:t>
      </w:r>
      <w:r w:rsidRPr="00375982">
        <w:t>=</w:t>
      </w:r>
      <w:r>
        <w:t xml:space="preserve"> </w:t>
      </w:r>
      <w:r w:rsidRPr="00375982">
        <w:t xml:space="preserve">453 pooled plan providers report pooled </w:t>
      </w:r>
      <w:r w:rsidRPr="009C6ECD">
        <w:t>employer plans ending operation, 194 pooled plan providers * 0.50 hour = 977 hours.  97 hours * $165.63 = $16,060.</w:t>
      </w:r>
    </w:p>
  </w:footnote>
  <w:footnote w:id="5">
    <w:p w14:paraId="7CC7070F" w14:textId="77777777" w:rsidR="00626677" w:rsidRPr="009C6ECD" w:rsidRDefault="00626677" w:rsidP="00626677">
      <w:pPr>
        <w:pStyle w:val="FootnoteText"/>
      </w:pPr>
      <w:r w:rsidRPr="009C6ECD">
        <w:rPr>
          <w:rStyle w:val="FootnoteReference"/>
        </w:rPr>
        <w:footnoteRef/>
      </w:r>
      <w:r w:rsidRPr="009C6ECD">
        <w:t xml:space="preserve"> 873 filings * 0.5 hours = 437 hours.  The 873 filings in subsequent years are 453 pooled plan providers reporting pooled employer plans beginning operations, 194 pooled plan providers reporting pooled employer plans ending operations, and 226 pooled plan providers filing other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5A519" w14:textId="77777777" w:rsidR="00CE65DD" w:rsidRDefault="00CE65DD" w:rsidP="009C730A">
    <w:pPr>
      <w:pStyle w:val="Header"/>
      <w:tabs>
        <w:tab w:val="clear" w:pos="4320"/>
        <w:tab w:val="clear" w:pos="8640"/>
        <w:tab w:val="left" w:pos="6585"/>
        <w:tab w:val="right" w:pos="9360"/>
      </w:tabs>
      <w:ind w:left="720"/>
      <w:jc w:val="right"/>
    </w:pPr>
    <w:r w:rsidRPr="00CE65DD">
      <w:t>Registration Requirements to Serve as a Pooled Plan Provider to Pooled Employer Plans</w:t>
    </w:r>
  </w:p>
  <w:p w14:paraId="23F00C26" w14:textId="28F12237" w:rsidR="00CE65DD" w:rsidRDefault="00CE65DD" w:rsidP="002329EB">
    <w:pPr>
      <w:pStyle w:val="Header"/>
      <w:tabs>
        <w:tab w:val="clear" w:pos="4320"/>
        <w:tab w:val="clear" w:pos="8640"/>
        <w:tab w:val="left" w:pos="6585"/>
        <w:tab w:val="right" w:pos="9360"/>
      </w:tabs>
      <w:ind w:left="720"/>
      <w:jc w:val="right"/>
    </w:pPr>
    <w:r>
      <w:t>OMB Control Number 1210-New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9E3168"/>
    <w:multiLevelType w:val="hybridMultilevel"/>
    <w:tmpl w:val="1F4E7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E449A5"/>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A"/>
    <w:rsid w:val="00011FCB"/>
    <w:rsid w:val="00075B9D"/>
    <w:rsid w:val="00077920"/>
    <w:rsid w:val="00093824"/>
    <w:rsid w:val="000B3B46"/>
    <w:rsid w:val="000C3F0C"/>
    <w:rsid w:val="000C5892"/>
    <w:rsid w:val="000D79B9"/>
    <w:rsid w:val="000E1A9D"/>
    <w:rsid w:val="00127804"/>
    <w:rsid w:val="00133909"/>
    <w:rsid w:val="00140BF9"/>
    <w:rsid w:val="00143480"/>
    <w:rsid w:val="00191837"/>
    <w:rsid w:val="00192479"/>
    <w:rsid w:val="001A7ACE"/>
    <w:rsid w:val="001C44A8"/>
    <w:rsid w:val="001C4F0F"/>
    <w:rsid w:val="001D0D34"/>
    <w:rsid w:val="002060E3"/>
    <w:rsid w:val="002204EA"/>
    <w:rsid w:val="002329EB"/>
    <w:rsid w:val="00260A7E"/>
    <w:rsid w:val="002811D2"/>
    <w:rsid w:val="002827EF"/>
    <w:rsid w:val="0028720F"/>
    <w:rsid w:val="00291225"/>
    <w:rsid w:val="00293F80"/>
    <w:rsid w:val="002A7E4E"/>
    <w:rsid w:val="002D21F0"/>
    <w:rsid w:val="002D6175"/>
    <w:rsid w:val="002F5914"/>
    <w:rsid w:val="003733FC"/>
    <w:rsid w:val="00380155"/>
    <w:rsid w:val="00382970"/>
    <w:rsid w:val="003C13B7"/>
    <w:rsid w:val="003C3AEE"/>
    <w:rsid w:val="003D6642"/>
    <w:rsid w:val="003E3FF2"/>
    <w:rsid w:val="003F33AB"/>
    <w:rsid w:val="00400C6C"/>
    <w:rsid w:val="004046BC"/>
    <w:rsid w:val="00456244"/>
    <w:rsid w:val="00480551"/>
    <w:rsid w:val="00491223"/>
    <w:rsid w:val="004C6011"/>
    <w:rsid w:val="004E189C"/>
    <w:rsid w:val="00523A2E"/>
    <w:rsid w:val="00544731"/>
    <w:rsid w:val="00557568"/>
    <w:rsid w:val="00570714"/>
    <w:rsid w:val="00572987"/>
    <w:rsid w:val="00572BF9"/>
    <w:rsid w:val="00585BD6"/>
    <w:rsid w:val="005D0DA5"/>
    <w:rsid w:val="005D2A4C"/>
    <w:rsid w:val="005E1DC9"/>
    <w:rsid w:val="00601E48"/>
    <w:rsid w:val="00610EE8"/>
    <w:rsid w:val="00617A8B"/>
    <w:rsid w:val="00626677"/>
    <w:rsid w:val="00630846"/>
    <w:rsid w:val="00651586"/>
    <w:rsid w:val="00652729"/>
    <w:rsid w:val="00652CE2"/>
    <w:rsid w:val="006701CE"/>
    <w:rsid w:val="006709B1"/>
    <w:rsid w:val="006721B3"/>
    <w:rsid w:val="00697D8E"/>
    <w:rsid w:val="006A2DA3"/>
    <w:rsid w:val="006B5652"/>
    <w:rsid w:val="0070466A"/>
    <w:rsid w:val="007065D9"/>
    <w:rsid w:val="00722002"/>
    <w:rsid w:val="00725BEC"/>
    <w:rsid w:val="00757581"/>
    <w:rsid w:val="00775F96"/>
    <w:rsid w:val="007B7033"/>
    <w:rsid w:val="007E4D8F"/>
    <w:rsid w:val="008542AD"/>
    <w:rsid w:val="00870616"/>
    <w:rsid w:val="0087194E"/>
    <w:rsid w:val="00891347"/>
    <w:rsid w:val="008C0EF2"/>
    <w:rsid w:val="008C4059"/>
    <w:rsid w:val="008C7158"/>
    <w:rsid w:val="008D2639"/>
    <w:rsid w:val="008E21BB"/>
    <w:rsid w:val="008E53D9"/>
    <w:rsid w:val="00904639"/>
    <w:rsid w:val="009147E4"/>
    <w:rsid w:val="00924F66"/>
    <w:rsid w:val="00930DE3"/>
    <w:rsid w:val="0095664D"/>
    <w:rsid w:val="009612B9"/>
    <w:rsid w:val="009B0817"/>
    <w:rsid w:val="009B5258"/>
    <w:rsid w:val="009B7CE9"/>
    <w:rsid w:val="009C730A"/>
    <w:rsid w:val="009D5978"/>
    <w:rsid w:val="009E65FF"/>
    <w:rsid w:val="009F0FB6"/>
    <w:rsid w:val="009F1BEE"/>
    <w:rsid w:val="009F2CAD"/>
    <w:rsid w:val="00A01C62"/>
    <w:rsid w:val="00A027D1"/>
    <w:rsid w:val="00A06284"/>
    <w:rsid w:val="00A11FE9"/>
    <w:rsid w:val="00A37CC2"/>
    <w:rsid w:val="00A5503A"/>
    <w:rsid w:val="00A74C60"/>
    <w:rsid w:val="00A969E5"/>
    <w:rsid w:val="00AB50EA"/>
    <w:rsid w:val="00AC6CD0"/>
    <w:rsid w:val="00AD10E7"/>
    <w:rsid w:val="00AE45AD"/>
    <w:rsid w:val="00AE523E"/>
    <w:rsid w:val="00AF0A0B"/>
    <w:rsid w:val="00B20112"/>
    <w:rsid w:val="00B45159"/>
    <w:rsid w:val="00B56B3F"/>
    <w:rsid w:val="00B6254D"/>
    <w:rsid w:val="00B73250"/>
    <w:rsid w:val="00B81B87"/>
    <w:rsid w:val="00B81EF4"/>
    <w:rsid w:val="00B92C34"/>
    <w:rsid w:val="00BA10CB"/>
    <w:rsid w:val="00BB6AFC"/>
    <w:rsid w:val="00BD1F4B"/>
    <w:rsid w:val="00BE3A75"/>
    <w:rsid w:val="00BF48A5"/>
    <w:rsid w:val="00C01E07"/>
    <w:rsid w:val="00C13E87"/>
    <w:rsid w:val="00C20D31"/>
    <w:rsid w:val="00C63D36"/>
    <w:rsid w:val="00C644A4"/>
    <w:rsid w:val="00C828BC"/>
    <w:rsid w:val="00CC0BA2"/>
    <w:rsid w:val="00CD4342"/>
    <w:rsid w:val="00CE65DD"/>
    <w:rsid w:val="00D20DFE"/>
    <w:rsid w:val="00D34611"/>
    <w:rsid w:val="00D36812"/>
    <w:rsid w:val="00D4372C"/>
    <w:rsid w:val="00D57E6E"/>
    <w:rsid w:val="00D743AA"/>
    <w:rsid w:val="00D74C03"/>
    <w:rsid w:val="00D75D74"/>
    <w:rsid w:val="00D812A2"/>
    <w:rsid w:val="00D82AD0"/>
    <w:rsid w:val="00D904C1"/>
    <w:rsid w:val="00DC0043"/>
    <w:rsid w:val="00DC16FB"/>
    <w:rsid w:val="00DE0E9D"/>
    <w:rsid w:val="00DE3630"/>
    <w:rsid w:val="00E01639"/>
    <w:rsid w:val="00E473BD"/>
    <w:rsid w:val="00E511BE"/>
    <w:rsid w:val="00E63551"/>
    <w:rsid w:val="00E76A5A"/>
    <w:rsid w:val="00E96015"/>
    <w:rsid w:val="00EB072D"/>
    <w:rsid w:val="00EC4240"/>
    <w:rsid w:val="00EE0FDD"/>
    <w:rsid w:val="00F007EC"/>
    <w:rsid w:val="00F11F4F"/>
    <w:rsid w:val="00F32FBD"/>
    <w:rsid w:val="00F36826"/>
    <w:rsid w:val="00F459C5"/>
    <w:rsid w:val="00F569E9"/>
    <w:rsid w:val="00F65206"/>
    <w:rsid w:val="00F66E2E"/>
    <w:rsid w:val="00F9130B"/>
    <w:rsid w:val="00FA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6D39"/>
  <w15:chartTrackingRefBased/>
  <w15:docId w15:val="{22A14720-DBC6-4ABC-B2FC-7F2B853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0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50E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EA"/>
    <w:rPr>
      <w:rFonts w:ascii="Times New Roman" w:eastAsia="Times New Roman" w:hAnsi="Times New Roman" w:cs="Times New Roman"/>
      <w:b/>
      <w:bCs/>
      <w:sz w:val="24"/>
      <w:szCs w:val="24"/>
    </w:rPr>
  </w:style>
  <w:style w:type="paragraph" w:styleId="Header">
    <w:name w:val="header"/>
    <w:basedOn w:val="Normal"/>
    <w:link w:val="HeaderChar"/>
    <w:uiPriority w:val="99"/>
    <w:rsid w:val="00AB50EA"/>
    <w:pPr>
      <w:tabs>
        <w:tab w:val="center" w:pos="4320"/>
        <w:tab w:val="right" w:pos="8640"/>
      </w:tabs>
    </w:pPr>
  </w:style>
  <w:style w:type="character" w:customStyle="1" w:styleId="HeaderChar">
    <w:name w:val="Header Char"/>
    <w:basedOn w:val="DefaultParagraphFont"/>
    <w:link w:val="Header"/>
    <w:uiPriority w:val="99"/>
    <w:rsid w:val="00AB50E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6B3F"/>
    <w:rPr>
      <w:sz w:val="16"/>
      <w:szCs w:val="16"/>
    </w:rPr>
  </w:style>
  <w:style w:type="paragraph" w:styleId="CommentText">
    <w:name w:val="annotation text"/>
    <w:basedOn w:val="Normal"/>
    <w:link w:val="CommentTextChar"/>
    <w:uiPriority w:val="99"/>
    <w:semiHidden/>
    <w:unhideWhenUsed/>
    <w:rsid w:val="00B56B3F"/>
    <w:rPr>
      <w:sz w:val="20"/>
      <w:szCs w:val="20"/>
    </w:rPr>
  </w:style>
  <w:style w:type="character" w:customStyle="1" w:styleId="CommentTextChar">
    <w:name w:val="Comment Text Char"/>
    <w:basedOn w:val="DefaultParagraphFont"/>
    <w:link w:val="CommentText"/>
    <w:uiPriority w:val="99"/>
    <w:semiHidden/>
    <w:rsid w:val="00B56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6B3F"/>
    <w:rPr>
      <w:b/>
      <w:bCs/>
    </w:rPr>
  </w:style>
  <w:style w:type="character" w:customStyle="1" w:styleId="CommentSubjectChar">
    <w:name w:val="Comment Subject Char"/>
    <w:basedOn w:val="CommentTextChar"/>
    <w:link w:val="CommentSubject"/>
    <w:uiPriority w:val="99"/>
    <w:semiHidden/>
    <w:rsid w:val="00B56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3F"/>
    <w:rPr>
      <w:rFonts w:ascii="Segoe UI" w:eastAsia="Times New Roman" w:hAnsi="Segoe UI" w:cs="Segoe UI"/>
      <w:sz w:val="18"/>
      <w:szCs w:val="18"/>
    </w:rPr>
  </w:style>
  <w:style w:type="paragraph" w:styleId="ListParagraph">
    <w:name w:val="List Paragraph"/>
    <w:basedOn w:val="Normal"/>
    <w:uiPriority w:val="34"/>
    <w:qFormat/>
    <w:rsid w:val="00B56B3F"/>
    <w:pPr>
      <w:ind w:left="720"/>
      <w:contextualSpacing/>
    </w:pPr>
  </w:style>
  <w:style w:type="paragraph" w:styleId="BodyTextIndent">
    <w:name w:val="Body Text Indent"/>
    <w:basedOn w:val="Normal"/>
    <w:link w:val="BodyTextIndentChar"/>
    <w:rsid w:val="00601E48"/>
    <w:pPr>
      <w:widowControl w:val="0"/>
      <w:tabs>
        <w:tab w:val="left" w:pos="-1440"/>
      </w:tabs>
      <w:autoSpaceDE w:val="0"/>
      <w:autoSpaceDN w:val="0"/>
      <w:adjustRightInd w:val="0"/>
      <w:ind w:left="720"/>
    </w:pPr>
  </w:style>
  <w:style w:type="character" w:customStyle="1" w:styleId="BodyTextIndentChar">
    <w:name w:val="Body Text Indent Char"/>
    <w:basedOn w:val="DefaultParagraphFont"/>
    <w:link w:val="BodyTextIndent"/>
    <w:rsid w:val="00601E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4059"/>
    <w:rPr>
      <w:sz w:val="20"/>
      <w:szCs w:val="20"/>
    </w:rPr>
  </w:style>
  <w:style w:type="character" w:customStyle="1" w:styleId="FootnoteTextChar">
    <w:name w:val="Footnote Text Char"/>
    <w:basedOn w:val="DefaultParagraphFont"/>
    <w:link w:val="FootnoteText"/>
    <w:uiPriority w:val="99"/>
    <w:rsid w:val="008C405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C4059"/>
    <w:rPr>
      <w:vertAlign w:val="superscript"/>
    </w:rPr>
  </w:style>
  <w:style w:type="paragraph" w:styleId="BodyText">
    <w:name w:val="Body Text"/>
    <w:basedOn w:val="Normal"/>
    <w:link w:val="BodyTextChar"/>
    <w:rsid w:val="008C4059"/>
    <w:pPr>
      <w:spacing w:after="120"/>
    </w:pPr>
  </w:style>
  <w:style w:type="character" w:customStyle="1" w:styleId="BodyTextChar">
    <w:name w:val="Body Text Char"/>
    <w:basedOn w:val="DefaultParagraphFont"/>
    <w:link w:val="BodyText"/>
    <w:rsid w:val="008C4059"/>
    <w:rPr>
      <w:rFonts w:ascii="Times New Roman" w:eastAsia="Times New Roman" w:hAnsi="Times New Roman" w:cs="Times New Roman"/>
      <w:sz w:val="24"/>
      <w:szCs w:val="24"/>
    </w:rPr>
  </w:style>
  <w:style w:type="character" w:styleId="Hyperlink">
    <w:name w:val="Hyperlink"/>
    <w:uiPriority w:val="99"/>
    <w:rsid w:val="009B5258"/>
    <w:rPr>
      <w:color w:val="0000FF"/>
      <w:u w:val="single"/>
    </w:rPr>
  </w:style>
  <w:style w:type="paragraph" w:styleId="Footer">
    <w:name w:val="footer"/>
    <w:basedOn w:val="Normal"/>
    <w:link w:val="FooterChar"/>
    <w:uiPriority w:val="99"/>
    <w:unhideWhenUsed/>
    <w:rsid w:val="00CE65DD"/>
    <w:pPr>
      <w:tabs>
        <w:tab w:val="center" w:pos="4680"/>
        <w:tab w:val="right" w:pos="9360"/>
      </w:tabs>
    </w:pPr>
  </w:style>
  <w:style w:type="character" w:customStyle="1" w:styleId="FooterChar">
    <w:name w:val="Footer Char"/>
    <w:basedOn w:val="DefaultParagraphFont"/>
    <w:link w:val="Footer"/>
    <w:uiPriority w:val="99"/>
    <w:rsid w:val="00CE65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57476">
      <w:bodyDiv w:val="1"/>
      <w:marLeft w:val="0"/>
      <w:marRight w:val="0"/>
      <w:marTop w:val="0"/>
      <w:marBottom w:val="0"/>
      <w:divBdr>
        <w:top w:val="none" w:sz="0" w:space="0" w:color="auto"/>
        <w:left w:val="none" w:sz="0" w:space="0" w:color="auto"/>
        <w:bottom w:val="none" w:sz="0" w:space="0" w:color="auto"/>
        <w:right w:val="none" w:sz="0" w:space="0" w:color="auto"/>
      </w:divBdr>
    </w:div>
    <w:div w:id="761796830">
      <w:bodyDiv w:val="1"/>
      <w:marLeft w:val="0"/>
      <w:marRight w:val="0"/>
      <w:marTop w:val="0"/>
      <w:marBottom w:val="0"/>
      <w:divBdr>
        <w:top w:val="none" w:sz="0" w:space="0" w:color="auto"/>
        <w:left w:val="none" w:sz="0" w:space="0" w:color="auto"/>
        <w:bottom w:val="none" w:sz="0" w:space="0" w:color="auto"/>
        <w:right w:val="none" w:sz="0" w:space="0" w:color="auto"/>
      </w:divBdr>
    </w:div>
    <w:div w:id="1498615205">
      <w:bodyDiv w:val="1"/>
      <w:marLeft w:val="0"/>
      <w:marRight w:val="0"/>
      <w:marTop w:val="0"/>
      <w:marBottom w:val="0"/>
      <w:divBdr>
        <w:top w:val="none" w:sz="0" w:space="0" w:color="auto"/>
        <w:left w:val="none" w:sz="0" w:space="0" w:color="auto"/>
        <w:bottom w:val="none" w:sz="0" w:space="0" w:color="auto"/>
        <w:right w:val="none" w:sz="0" w:space="0" w:color="auto"/>
      </w:divBdr>
    </w:div>
    <w:div w:id="1538354333">
      <w:bodyDiv w:val="1"/>
      <w:marLeft w:val="0"/>
      <w:marRight w:val="0"/>
      <w:marTop w:val="0"/>
      <w:marBottom w:val="0"/>
      <w:divBdr>
        <w:top w:val="none" w:sz="0" w:space="0" w:color="auto"/>
        <w:left w:val="none" w:sz="0" w:space="0" w:color="auto"/>
        <w:bottom w:val="none" w:sz="0" w:space="0" w:color="auto"/>
        <w:right w:val="none" w:sz="0" w:space="0" w:color="auto"/>
      </w:divBdr>
    </w:div>
    <w:div w:id="19023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E96D3-BC6E-4FE8-B004-7D29A1620BFA}">
  <ds:schemaRefs>
    <ds:schemaRef ds:uri="http://schemas.openxmlformats.org/officeDocument/2006/bibliography"/>
  </ds:schemaRefs>
</ds:datastoreItem>
</file>

<file path=customXml/itemProps2.xml><?xml version="1.0" encoding="utf-8"?>
<ds:datastoreItem xmlns:ds="http://schemas.openxmlformats.org/officeDocument/2006/customXml" ds:itemID="{A7D4B6E1-D43D-497E-998C-54750CC4791B}">
  <ds:schemaRefs>
    <ds:schemaRef ds:uri="http://schemas.microsoft.com/sharepoint/v3/contenttype/forms"/>
  </ds:schemaRefs>
</ds:datastoreItem>
</file>

<file path=customXml/itemProps3.xml><?xml version="1.0" encoding="utf-8"?>
<ds:datastoreItem xmlns:ds="http://schemas.openxmlformats.org/officeDocument/2006/customXml" ds:itemID="{45B64337-768E-4E76-88D8-18E82E542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16A04-0ABF-428C-9A9E-2ACF5A9AEF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Buyniski</dc:creator>
  <cp:keywords/>
  <dc:description/>
  <cp:lastModifiedBy>Anthony May</cp:lastModifiedBy>
  <cp:revision>4</cp:revision>
  <dcterms:created xsi:type="dcterms:W3CDTF">2020-09-01T12:51:00Z</dcterms:created>
  <dcterms:modified xsi:type="dcterms:W3CDTF">2020-09-01T12:51:00Z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