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A5863" w:rsidR="00E26C58" w:rsidP="00E26C58" w:rsidRDefault="00E26C58" w14:paraId="2FD61744" w14:textId="47F4268F">
      <w:pPr>
        <w:spacing w:before="80"/>
        <w:outlineLvl w:val="1"/>
        <w:rPr>
          <w:rFonts w:eastAsia="Times New Roman" w:cstheme="minorHAnsi"/>
          <w:color w:val="C00000"/>
          <w:sz w:val="28"/>
          <w:szCs w:val="28"/>
        </w:rPr>
      </w:pPr>
      <w:bookmarkStart w:name="_GoBack" w:id="0"/>
      <w:bookmarkEnd w:id="0"/>
      <w:r w:rsidRPr="00CA5863">
        <w:rPr>
          <w:rFonts w:eastAsia="Times New Roman" w:cstheme="minorHAnsi"/>
          <w:color w:val="C00000"/>
          <w:sz w:val="28"/>
          <w:szCs w:val="28"/>
        </w:rPr>
        <w:t>Part B – Statistical Methods</w:t>
      </w:r>
    </w:p>
    <w:p w:rsidRPr="00F81199" w:rsidR="002E7AD2" w:rsidP="00E26C58" w:rsidRDefault="002E7AD2" w14:paraId="7C7821B3" w14:textId="77777777">
      <w:pPr>
        <w:spacing w:before="80"/>
        <w:outlineLvl w:val="1"/>
        <w:rPr>
          <w:rFonts w:eastAsia="Times New Roman" w:cstheme="minorHAnsi"/>
          <w:color w:val="C00000"/>
        </w:rPr>
      </w:pPr>
    </w:p>
    <w:p w:rsidRPr="00CA5863" w:rsidR="00E26C58" w:rsidP="00E26C58" w:rsidRDefault="00E26C58" w14:paraId="43475FD9" w14:textId="77777777">
      <w:pPr>
        <w:rPr>
          <w:rFonts w:eastAsia="Times New Roman" w:cstheme="minorHAnsi"/>
          <w:color w:val="000000"/>
          <w:bdr w:val="none" w:color="auto" w:sz="0" w:space="0" w:frame="1"/>
        </w:rPr>
      </w:pPr>
      <w:r w:rsidRPr="00CA5863">
        <w:rPr>
          <w:rFonts w:eastAsia="Times New Roman" w:cstheme="minorHAnsi"/>
          <w:color w:val="000000"/>
          <w:bdr w:val="none" w:color="auto" w:sz="0" w:space="0" w:frame="1"/>
        </w:rPr>
        <w:t>If selecting “Yes” on question 17 of OMB Form 83-I or if selecting in ROCIS that the collection will employ statistical methods, then the organization sponsoring the collection will include responses to the following questions to the extent that they apply to the statistical methods proposed in addition to the answers and information provided in Supporting Statement Part A.</w:t>
      </w:r>
    </w:p>
    <w:p w:rsidRPr="00CA5863" w:rsidR="00E26C58" w:rsidP="00E26C58" w:rsidRDefault="00E26C58" w14:paraId="2434E100" w14:textId="77777777">
      <w:pPr>
        <w:rPr>
          <w:rFonts w:eastAsia="Times New Roman" w:cstheme="minorHAnsi"/>
          <w:color w:val="000000"/>
          <w:sz w:val="22"/>
          <w:szCs w:val="22"/>
        </w:rPr>
      </w:pPr>
    </w:p>
    <w:p w:rsidRPr="00CA5863" w:rsidR="00E26C58" w:rsidP="00E6234E" w:rsidRDefault="00E26C58" w14:paraId="1BA87653" w14:textId="0F7228A9">
      <w:pPr>
        <w:spacing w:line="480" w:lineRule="auto"/>
        <w:ind w:left="360" w:hanging="360"/>
        <w:rPr>
          <w:rFonts w:eastAsia="Times New Roman" w:cstheme="minorHAnsi"/>
          <w:color w:val="000000"/>
          <w:bdr w:val="none" w:color="auto" w:sz="0" w:space="0" w:frame="1"/>
        </w:rPr>
      </w:pPr>
      <w:r w:rsidRPr="00CA5863">
        <w:rPr>
          <w:rFonts w:eastAsia="Times New Roman" w:cstheme="minorHAnsi"/>
          <w:color w:val="000000"/>
          <w:bdr w:val="none" w:color="auto" w:sz="0" w:space="0" w:frame="1"/>
        </w:rPr>
        <w:t>1.</w:t>
      </w:r>
      <w:r w:rsidRPr="00CA5863">
        <w:rPr>
          <w:rFonts w:eastAsia="Times New Roman" w:cstheme="minorHAnsi"/>
          <w:color w:val="000000"/>
          <w:sz w:val="14"/>
          <w:szCs w:val="14"/>
          <w:bdr w:val="none" w:color="auto" w:sz="0" w:space="0" w:frame="1"/>
        </w:rPr>
        <w:t>     </w:t>
      </w:r>
      <w:r w:rsidRPr="00541729">
        <w:rPr>
          <w:rFonts w:eastAsia="Times New Roman" w:cstheme="minorHAnsi"/>
          <w:b/>
          <w:bCs/>
          <w:color w:val="000000"/>
          <w:bdr w:val="none" w:color="auto" w:sz="0" w:space="0" w:frame="1"/>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CA5863" w:rsidR="00E26C58" w:rsidP="00E6234E" w:rsidRDefault="00E26C58" w14:paraId="28CFFFE8" w14:textId="0604E16D">
      <w:pPr>
        <w:spacing w:line="480" w:lineRule="auto"/>
        <w:ind w:left="360" w:hanging="360"/>
        <w:rPr>
          <w:rFonts w:eastAsia="Times New Roman" w:cstheme="minorHAnsi"/>
          <w:color w:val="000000"/>
          <w:sz w:val="20"/>
          <w:szCs w:val="20"/>
        </w:rPr>
      </w:pPr>
    </w:p>
    <w:p w:rsidR="00CA5863" w:rsidP="00E6234E" w:rsidRDefault="00CA5863" w14:paraId="155F003B" w14:textId="53F7CE47">
      <w:pPr>
        <w:spacing w:line="480" w:lineRule="auto"/>
        <w:ind w:left="360"/>
        <w:rPr>
          <w:rFonts w:cstheme="minorHAnsi"/>
        </w:rPr>
      </w:pPr>
      <w:r w:rsidRPr="00CA5863">
        <w:rPr>
          <w:rFonts w:eastAsia="Times New Roman" w:cstheme="minorHAnsi"/>
          <w:color w:val="000000"/>
        </w:rPr>
        <w:t>The respondent universe for the</w:t>
      </w:r>
      <w:r w:rsidRPr="00CA5863">
        <w:rPr>
          <w:rFonts w:cstheme="minorHAnsi"/>
        </w:rPr>
        <w:t xml:space="preserve"> ATCS is summarized in Table 1 below.</w:t>
      </w:r>
      <w:r w:rsidR="00B12BA4">
        <w:rPr>
          <w:rFonts w:cstheme="minorHAnsi"/>
        </w:rPr>
        <w:t xml:space="preserve"> </w:t>
      </w:r>
      <w:proofErr w:type="spellStart"/>
      <w:r w:rsidR="00B12BA4">
        <w:rPr>
          <w:rFonts w:cstheme="minorHAnsi"/>
        </w:rPr>
        <w:t>Qualtrics</w:t>
      </w:r>
      <w:proofErr w:type="spellEnd"/>
      <w:r w:rsidR="00B12BA4">
        <w:rPr>
          <w:rFonts w:cstheme="minorHAnsi"/>
        </w:rPr>
        <w:t xml:space="preserve"> survey links will be sent via email to </w:t>
      </w:r>
      <w:r w:rsidR="00541729">
        <w:rPr>
          <w:rFonts w:cstheme="minorHAnsi"/>
        </w:rPr>
        <w:t xml:space="preserve">all members of the respondent universe currently </w:t>
      </w:r>
      <w:r w:rsidR="00B12BA4">
        <w:rPr>
          <w:rFonts w:cstheme="minorHAnsi"/>
        </w:rPr>
        <w:t xml:space="preserve">serving as local treatment court coordinators, Judges presiding over </w:t>
      </w:r>
      <w:r w:rsidRPr="00CA5863" w:rsidR="00B12BA4">
        <w:rPr>
          <w:rFonts w:cstheme="minorHAnsi"/>
        </w:rPr>
        <w:t>Tribal Healing-to-Wellness Court</w:t>
      </w:r>
      <w:r w:rsidR="00B12BA4">
        <w:rPr>
          <w:rFonts w:cstheme="minorHAnsi"/>
        </w:rPr>
        <w:t xml:space="preserve">s, and State/Territory Coordinators. </w:t>
      </w:r>
      <w:r w:rsidR="00541729">
        <w:rPr>
          <w:rFonts w:cstheme="minorHAnsi"/>
        </w:rPr>
        <w:t xml:space="preserve">As a result, data will be gathered from the population of interest versus a sample. </w:t>
      </w:r>
      <w:r w:rsidR="00B12BA4">
        <w:rPr>
          <w:rFonts w:cstheme="minorHAnsi"/>
        </w:rPr>
        <w:t>NDCRC staff will work closely with TTA providers from the Center for Court Innovation (CCI), National Association of Drug Court Professionals (NADCP), and Tribal Law &amp; Policy Institute (TLPI) to make contact with these individuals in an effort to maximize the response rate on all three surveys.</w:t>
      </w:r>
      <w:r w:rsidR="00541729">
        <w:rPr>
          <w:rFonts w:cstheme="minorHAnsi"/>
        </w:rPr>
        <w:t xml:space="preserve"> The State/Territory Coordinator survey was last conducted in 2016 and achieved a response rate of 98%. This </w:t>
      </w:r>
      <w:r w:rsidR="0042198A">
        <w:rPr>
          <w:rFonts w:cstheme="minorHAnsi"/>
        </w:rPr>
        <w:t xml:space="preserve">upcoming </w:t>
      </w:r>
      <w:r w:rsidR="00541729">
        <w:rPr>
          <w:rFonts w:cstheme="minorHAnsi"/>
        </w:rPr>
        <w:t xml:space="preserve">cycle of </w:t>
      </w:r>
      <w:r w:rsidR="00541729">
        <w:rPr>
          <w:rFonts w:cstheme="minorHAnsi"/>
        </w:rPr>
        <w:lastRenderedPageBreak/>
        <w:t xml:space="preserve">surveys represents the first time the Local Treatment Court and </w:t>
      </w:r>
      <w:r w:rsidRPr="00CA5863" w:rsidR="00541729">
        <w:rPr>
          <w:rFonts w:cstheme="minorHAnsi"/>
        </w:rPr>
        <w:t>Tribal Healing-to-Wellness Court</w:t>
      </w:r>
      <w:r w:rsidR="00541729">
        <w:rPr>
          <w:rFonts w:cstheme="minorHAnsi"/>
        </w:rPr>
        <w:t xml:space="preserve"> surveys will be disseminated. </w:t>
      </w:r>
    </w:p>
    <w:p w:rsidRPr="00CA5863" w:rsidR="00CA5863" w:rsidP="00E6234E" w:rsidRDefault="00CA5863" w14:paraId="62535B72" w14:textId="21DAF65B">
      <w:pPr>
        <w:spacing w:line="480" w:lineRule="auto"/>
        <w:ind w:left="360" w:hanging="360"/>
        <w:rPr>
          <w:rFonts w:cstheme="minorHAnsi"/>
        </w:rPr>
      </w:pPr>
      <w:r>
        <w:rPr>
          <w:rFonts w:cstheme="minorHAnsi"/>
        </w:rPr>
        <w:t xml:space="preserve"> </w:t>
      </w:r>
      <w:r>
        <w:rPr>
          <w:rFonts w:cstheme="minorHAnsi"/>
        </w:rPr>
        <w:tab/>
        <w:t xml:space="preserve">Table 1: </w:t>
      </w:r>
      <w:r w:rsidR="00F81199">
        <w:rPr>
          <w:rFonts w:cstheme="minorHAnsi"/>
        </w:rPr>
        <w:t>ATC Survey Respondent Universe</w:t>
      </w:r>
    </w:p>
    <w:tbl>
      <w:tblPr>
        <w:tblStyle w:val="TableGrid"/>
        <w:tblW w:w="0" w:type="auto"/>
        <w:jc w:val="center"/>
        <w:tblLook w:val="04A0" w:firstRow="1" w:lastRow="0" w:firstColumn="1" w:lastColumn="0" w:noHBand="0" w:noVBand="1"/>
      </w:tblPr>
      <w:tblGrid>
        <w:gridCol w:w="3415"/>
        <w:gridCol w:w="1580"/>
        <w:gridCol w:w="1792"/>
        <w:gridCol w:w="1488"/>
      </w:tblGrid>
      <w:tr w:rsidRPr="00CA5863" w:rsidR="00CA5863" w:rsidTr="00CA5863" w14:paraId="24535AAF" w14:textId="1B935BBB">
        <w:trPr>
          <w:jc w:val="center"/>
        </w:trPr>
        <w:tc>
          <w:tcPr>
            <w:tcW w:w="3415" w:type="dxa"/>
          </w:tcPr>
          <w:p w:rsidRPr="00CA5863" w:rsidR="00CA5863" w:rsidP="00E6234E" w:rsidRDefault="00CA5863" w14:paraId="3C05F47A" w14:textId="3E612788">
            <w:pPr>
              <w:spacing w:line="480" w:lineRule="auto"/>
              <w:jc w:val="center"/>
              <w:rPr>
                <w:rFonts w:cstheme="minorHAnsi"/>
                <w:b/>
                <w:bCs/>
              </w:rPr>
            </w:pPr>
            <w:r w:rsidRPr="00CA5863">
              <w:rPr>
                <w:rFonts w:cstheme="minorHAnsi"/>
                <w:b/>
                <w:bCs/>
              </w:rPr>
              <w:t>ATC Survey</w:t>
            </w:r>
          </w:p>
        </w:tc>
        <w:tc>
          <w:tcPr>
            <w:tcW w:w="1580" w:type="dxa"/>
          </w:tcPr>
          <w:p w:rsidRPr="00CA5863" w:rsidR="00CA5863" w:rsidP="00E6234E" w:rsidRDefault="00CA5863" w14:paraId="4B80B959" w14:textId="06AE87F2">
            <w:pPr>
              <w:spacing w:line="480" w:lineRule="auto"/>
              <w:jc w:val="center"/>
              <w:rPr>
                <w:rFonts w:cstheme="minorHAnsi"/>
                <w:b/>
                <w:bCs/>
              </w:rPr>
            </w:pPr>
            <w:r w:rsidRPr="00CA5863">
              <w:rPr>
                <w:rFonts w:cstheme="minorHAnsi"/>
                <w:b/>
                <w:bCs/>
              </w:rPr>
              <w:t># of Respondents</w:t>
            </w:r>
          </w:p>
        </w:tc>
        <w:tc>
          <w:tcPr>
            <w:tcW w:w="1792" w:type="dxa"/>
          </w:tcPr>
          <w:p w:rsidR="00CA5863" w:rsidP="00E6234E" w:rsidRDefault="00CA5863" w14:paraId="23A3BE52" w14:textId="77777777">
            <w:pPr>
              <w:spacing w:line="480" w:lineRule="auto"/>
              <w:jc w:val="center"/>
              <w:rPr>
                <w:rFonts w:cstheme="minorHAnsi"/>
                <w:b/>
                <w:bCs/>
              </w:rPr>
            </w:pPr>
            <w:r>
              <w:rPr>
                <w:rFonts w:cstheme="minorHAnsi"/>
                <w:b/>
                <w:bCs/>
              </w:rPr>
              <w:t>Response</w:t>
            </w:r>
          </w:p>
          <w:p w:rsidRPr="00CA5863" w:rsidR="00CA5863" w:rsidP="00E6234E" w:rsidRDefault="00CA5863" w14:paraId="595E7BF8" w14:textId="5BC90403">
            <w:pPr>
              <w:spacing w:line="480" w:lineRule="auto"/>
              <w:jc w:val="center"/>
              <w:rPr>
                <w:rFonts w:cstheme="minorHAnsi"/>
                <w:b/>
                <w:bCs/>
              </w:rPr>
            </w:pPr>
            <w:r>
              <w:rPr>
                <w:rFonts w:cstheme="minorHAnsi"/>
                <w:b/>
                <w:bCs/>
              </w:rPr>
              <w:t>Rate in 2016</w:t>
            </w:r>
          </w:p>
        </w:tc>
        <w:tc>
          <w:tcPr>
            <w:tcW w:w="1488" w:type="dxa"/>
          </w:tcPr>
          <w:p w:rsidR="00CA5863" w:rsidP="00E6234E" w:rsidRDefault="00CA5863" w14:paraId="7F32D96A" w14:textId="4A9B404A">
            <w:pPr>
              <w:spacing w:line="480" w:lineRule="auto"/>
              <w:jc w:val="center"/>
              <w:rPr>
                <w:rFonts w:cstheme="minorHAnsi"/>
                <w:b/>
                <w:bCs/>
              </w:rPr>
            </w:pPr>
            <w:r>
              <w:rPr>
                <w:rFonts w:cstheme="minorHAnsi"/>
                <w:b/>
                <w:bCs/>
              </w:rPr>
              <w:t>Expected Response Rate</w:t>
            </w:r>
          </w:p>
        </w:tc>
      </w:tr>
      <w:tr w:rsidRPr="00CA5863" w:rsidR="00CA5863" w:rsidTr="00CA5863" w14:paraId="5860B912" w14:textId="5CCBB875">
        <w:trPr>
          <w:jc w:val="center"/>
        </w:trPr>
        <w:tc>
          <w:tcPr>
            <w:tcW w:w="3415" w:type="dxa"/>
          </w:tcPr>
          <w:p w:rsidRPr="00CA5863" w:rsidR="00CA5863" w:rsidP="00E6234E" w:rsidRDefault="00CA5863" w14:paraId="2CCAACC3" w14:textId="3DA91A9A">
            <w:pPr>
              <w:spacing w:line="480" w:lineRule="auto"/>
              <w:rPr>
                <w:rFonts w:cstheme="minorHAnsi"/>
              </w:rPr>
            </w:pPr>
            <w:r w:rsidRPr="00CA5863">
              <w:rPr>
                <w:rFonts w:cstheme="minorHAnsi"/>
              </w:rPr>
              <w:t>Local Treatment Court</w:t>
            </w:r>
          </w:p>
        </w:tc>
        <w:tc>
          <w:tcPr>
            <w:tcW w:w="1580" w:type="dxa"/>
          </w:tcPr>
          <w:p w:rsidRPr="00CA5863" w:rsidR="00CA5863" w:rsidP="00E6234E" w:rsidRDefault="00CA5863" w14:paraId="76528FBA" w14:textId="61BFA38E">
            <w:pPr>
              <w:spacing w:line="480" w:lineRule="auto"/>
              <w:jc w:val="center"/>
              <w:rPr>
                <w:rFonts w:cstheme="minorHAnsi"/>
              </w:rPr>
            </w:pPr>
            <w:r w:rsidRPr="00CA5863">
              <w:rPr>
                <w:rFonts w:cstheme="minorHAnsi"/>
              </w:rPr>
              <w:t>4</w:t>
            </w:r>
            <w:r>
              <w:rPr>
                <w:rFonts w:cstheme="minorHAnsi"/>
              </w:rPr>
              <w:t>,</w:t>
            </w:r>
            <w:r w:rsidRPr="00CA5863">
              <w:rPr>
                <w:rFonts w:cstheme="minorHAnsi"/>
              </w:rPr>
              <w:t>172</w:t>
            </w:r>
          </w:p>
        </w:tc>
        <w:tc>
          <w:tcPr>
            <w:tcW w:w="1792" w:type="dxa"/>
          </w:tcPr>
          <w:p w:rsidRPr="00CA5863" w:rsidR="00CA5863" w:rsidP="00E6234E" w:rsidRDefault="00CA5863" w14:paraId="1B271CDA" w14:textId="23E38F6F">
            <w:pPr>
              <w:spacing w:line="480" w:lineRule="auto"/>
              <w:jc w:val="center"/>
              <w:rPr>
                <w:rFonts w:cstheme="minorHAnsi"/>
              </w:rPr>
            </w:pPr>
            <w:r>
              <w:rPr>
                <w:rFonts w:cstheme="minorHAnsi"/>
              </w:rPr>
              <w:t>N/A</w:t>
            </w:r>
          </w:p>
        </w:tc>
        <w:tc>
          <w:tcPr>
            <w:tcW w:w="1488" w:type="dxa"/>
          </w:tcPr>
          <w:p w:rsidRPr="00CA5863" w:rsidR="00CA5863" w:rsidP="00E6234E" w:rsidRDefault="00CA5863" w14:paraId="0E705193" w14:textId="42BD42CE">
            <w:pPr>
              <w:spacing w:line="480" w:lineRule="auto"/>
              <w:jc w:val="center"/>
              <w:rPr>
                <w:rFonts w:cstheme="minorHAnsi"/>
              </w:rPr>
            </w:pPr>
            <w:r>
              <w:rPr>
                <w:rFonts w:cstheme="minorHAnsi"/>
              </w:rPr>
              <w:t>75%</w:t>
            </w:r>
          </w:p>
        </w:tc>
      </w:tr>
      <w:tr w:rsidRPr="00CA5863" w:rsidR="00CA5863" w:rsidTr="00CA5863" w14:paraId="4AAE93EB" w14:textId="05F62B8E">
        <w:trPr>
          <w:jc w:val="center"/>
        </w:trPr>
        <w:tc>
          <w:tcPr>
            <w:tcW w:w="3415" w:type="dxa"/>
          </w:tcPr>
          <w:p w:rsidRPr="00CA5863" w:rsidR="00CA5863" w:rsidP="00E6234E" w:rsidRDefault="00CA5863" w14:paraId="11A8D3F7" w14:textId="693EBF8B">
            <w:pPr>
              <w:spacing w:line="480" w:lineRule="auto"/>
              <w:rPr>
                <w:rFonts w:cstheme="minorHAnsi"/>
              </w:rPr>
            </w:pPr>
            <w:r w:rsidRPr="00CA5863">
              <w:rPr>
                <w:rFonts w:cstheme="minorHAnsi"/>
              </w:rPr>
              <w:t>Tribal Healing-to-Wellness Court</w:t>
            </w:r>
          </w:p>
        </w:tc>
        <w:tc>
          <w:tcPr>
            <w:tcW w:w="1580" w:type="dxa"/>
          </w:tcPr>
          <w:p w:rsidRPr="00CA5863" w:rsidR="00CA5863" w:rsidP="00E6234E" w:rsidRDefault="00CA5863" w14:paraId="14D857D7" w14:textId="40BDDBA6">
            <w:pPr>
              <w:spacing w:line="480" w:lineRule="auto"/>
              <w:jc w:val="center"/>
              <w:rPr>
                <w:rFonts w:cstheme="minorHAnsi"/>
              </w:rPr>
            </w:pPr>
            <w:r w:rsidRPr="00CA5863">
              <w:rPr>
                <w:rFonts w:cstheme="minorHAnsi"/>
              </w:rPr>
              <w:t>117</w:t>
            </w:r>
          </w:p>
        </w:tc>
        <w:tc>
          <w:tcPr>
            <w:tcW w:w="1792" w:type="dxa"/>
          </w:tcPr>
          <w:p w:rsidRPr="00CA5863" w:rsidR="00CA5863" w:rsidP="00E6234E" w:rsidRDefault="00CA5863" w14:paraId="4BE85ACD" w14:textId="6C024F3E">
            <w:pPr>
              <w:spacing w:line="480" w:lineRule="auto"/>
              <w:jc w:val="center"/>
              <w:rPr>
                <w:rFonts w:cstheme="minorHAnsi"/>
              </w:rPr>
            </w:pPr>
            <w:r>
              <w:rPr>
                <w:rFonts w:cstheme="minorHAnsi"/>
              </w:rPr>
              <w:t>N/A</w:t>
            </w:r>
          </w:p>
        </w:tc>
        <w:tc>
          <w:tcPr>
            <w:tcW w:w="1488" w:type="dxa"/>
          </w:tcPr>
          <w:p w:rsidRPr="00CA5863" w:rsidR="00CA5863" w:rsidP="00E6234E" w:rsidRDefault="00CA5863" w14:paraId="4FF18E13" w14:textId="27E8AA8C">
            <w:pPr>
              <w:spacing w:line="480" w:lineRule="auto"/>
              <w:jc w:val="center"/>
              <w:rPr>
                <w:rFonts w:cstheme="minorHAnsi"/>
              </w:rPr>
            </w:pPr>
            <w:r>
              <w:rPr>
                <w:rFonts w:cstheme="minorHAnsi"/>
              </w:rPr>
              <w:t>75%</w:t>
            </w:r>
          </w:p>
        </w:tc>
      </w:tr>
      <w:tr w:rsidRPr="00CA5863" w:rsidR="00CA5863" w:rsidTr="00CA5863" w14:paraId="51247E4B" w14:textId="00E43E2E">
        <w:trPr>
          <w:jc w:val="center"/>
        </w:trPr>
        <w:tc>
          <w:tcPr>
            <w:tcW w:w="3415" w:type="dxa"/>
          </w:tcPr>
          <w:p w:rsidRPr="00CA5863" w:rsidR="00CA5863" w:rsidP="00E6234E" w:rsidRDefault="00CA5863" w14:paraId="5899089A" w14:textId="2F956AF2">
            <w:pPr>
              <w:spacing w:line="480" w:lineRule="auto"/>
              <w:rPr>
                <w:rFonts w:cstheme="minorHAnsi"/>
              </w:rPr>
            </w:pPr>
            <w:r w:rsidRPr="00CA5863">
              <w:rPr>
                <w:rFonts w:cstheme="minorHAnsi"/>
              </w:rPr>
              <w:t>State/Territory Coordinator</w:t>
            </w:r>
          </w:p>
        </w:tc>
        <w:tc>
          <w:tcPr>
            <w:tcW w:w="1580" w:type="dxa"/>
          </w:tcPr>
          <w:p w:rsidRPr="00CA5863" w:rsidR="00CA5863" w:rsidP="00E6234E" w:rsidRDefault="00CA5863" w14:paraId="01EBE107" w14:textId="5498577C">
            <w:pPr>
              <w:spacing w:line="480" w:lineRule="auto"/>
              <w:jc w:val="center"/>
              <w:rPr>
                <w:rFonts w:cstheme="minorHAnsi"/>
              </w:rPr>
            </w:pPr>
            <w:r w:rsidRPr="00CA5863">
              <w:rPr>
                <w:rFonts w:cstheme="minorHAnsi"/>
              </w:rPr>
              <w:t>54</w:t>
            </w:r>
          </w:p>
        </w:tc>
        <w:tc>
          <w:tcPr>
            <w:tcW w:w="1792" w:type="dxa"/>
          </w:tcPr>
          <w:p w:rsidRPr="00CA5863" w:rsidR="00CA5863" w:rsidP="00E6234E" w:rsidRDefault="00CA5863" w14:paraId="3E7EBFF2" w14:textId="3475E4A7">
            <w:pPr>
              <w:spacing w:line="480" w:lineRule="auto"/>
              <w:jc w:val="center"/>
              <w:rPr>
                <w:rFonts w:cstheme="minorHAnsi"/>
              </w:rPr>
            </w:pPr>
            <w:r>
              <w:rPr>
                <w:rFonts w:cstheme="minorHAnsi"/>
              </w:rPr>
              <w:t>98%</w:t>
            </w:r>
          </w:p>
        </w:tc>
        <w:tc>
          <w:tcPr>
            <w:tcW w:w="1488" w:type="dxa"/>
          </w:tcPr>
          <w:p w:rsidRPr="00CA5863" w:rsidR="00CA5863" w:rsidP="00E6234E" w:rsidRDefault="00CA5863" w14:paraId="4F3224EE" w14:textId="426AD4B6">
            <w:pPr>
              <w:spacing w:line="480" w:lineRule="auto"/>
              <w:jc w:val="center"/>
              <w:rPr>
                <w:rFonts w:cstheme="minorHAnsi"/>
              </w:rPr>
            </w:pPr>
            <w:r>
              <w:rPr>
                <w:rFonts w:cstheme="minorHAnsi"/>
              </w:rPr>
              <w:t>98%</w:t>
            </w:r>
          </w:p>
        </w:tc>
      </w:tr>
      <w:tr w:rsidRPr="00CA5863" w:rsidR="00CA5863" w:rsidTr="00CA5863" w14:paraId="1BACA5D6" w14:textId="51BF9D78">
        <w:trPr>
          <w:jc w:val="center"/>
        </w:trPr>
        <w:tc>
          <w:tcPr>
            <w:tcW w:w="3415" w:type="dxa"/>
          </w:tcPr>
          <w:p w:rsidRPr="00CA5863" w:rsidR="00CA5863" w:rsidP="00E6234E" w:rsidRDefault="00CA5863" w14:paraId="2AEACE9D" w14:textId="4CFC406A">
            <w:pPr>
              <w:spacing w:line="480" w:lineRule="auto"/>
              <w:jc w:val="right"/>
              <w:rPr>
                <w:rFonts w:cstheme="minorHAnsi"/>
                <w:b/>
                <w:bCs/>
              </w:rPr>
            </w:pPr>
            <w:r w:rsidRPr="00CA5863">
              <w:rPr>
                <w:rFonts w:cstheme="minorHAnsi"/>
                <w:b/>
                <w:bCs/>
              </w:rPr>
              <w:t>Total</w:t>
            </w:r>
          </w:p>
        </w:tc>
        <w:tc>
          <w:tcPr>
            <w:tcW w:w="1580" w:type="dxa"/>
          </w:tcPr>
          <w:p w:rsidRPr="00CA5863" w:rsidR="00CA5863" w:rsidP="00E6234E" w:rsidRDefault="00CA5863" w14:paraId="0D05341B" w14:textId="25524F79">
            <w:pPr>
              <w:spacing w:line="480" w:lineRule="auto"/>
              <w:jc w:val="center"/>
              <w:rPr>
                <w:rFonts w:cstheme="minorHAnsi"/>
                <w:b/>
                <w:bCs/>
              </w:rPr>
            </w:pPr>
            <w:r w:rsidRPr="00CA5863">
              <w:rPr>
                <w:rFonts w:cstheme="minorHAnsi"/>
                <w:b/>
                <w:bCs/>
              </w:rPr>
              <w:t>4,343</w:t>
            </w:r>
          </w:p>
        </w:tc>
        <w:tc>
          <w:tcPr>
            <w:tcW w:w="1792" w:type="dxa"/>
          </w:tcPr>
          <w:p w:rsidRPr="00CA5863" w:rsidR="00CA5863" w:rsidP="00E6234E" w:rsidRDefault="00CA5863" w14:paraId="6C5D57B4" w14:textId="77777777">
            <w:pPr>
              <w:spacing w:line="480" w:lineRule="auto"/>
              <w:jc w:val="center"/>
              <w:rPr>
                <w:rFonts w:cstheme="minorHAnsi"/>
                <w:b/>
                <w:bCs/>
              </w:rPr>
            </w:pPr>
          </w:p>
        </w:tc>
        <w:tc>
          <w:tcPr>
            <w:tcW w:w="1488" w:type="dxa"/>
          </w:tcPr>
          <w:p w:rsidRPr="00CA5863" w:rsidR="00CA5863" w:rsidP="00E6234E" w:rsidRDefault="00CA5863" w14:paraId="3F08F62F" w14:textId="77777777">
            <w:pPr>
              <w:spacing w:line="480" w:lineRule="auto"/>
              <w:jc w:val="center"/>
              <w:rPr>
                <w:rFonts w:cstheme="minorHAnsi"/>
                <w:b/>
                <w:bCs/>
              </w:rPr>
            </w:pPr>
          </w:p>
        </w:tc>
      </w:tr>
    </w:tbl>
    <w:p w:rsidR="0042198A" w:rsidP="00AA73BF" w:rsidRDefault="0042198A" w14:paraId="28F92812" w14:textId="798312BA">
      <w:pPr>
        <w:spacing w:line="480" w:lineRule="auto"/>
        <w:rPr>
          <w:rFonts w:cstheme="minorHAnsi"/>
        </w:rPr>
      </w:pPr>
    </w:p>
    <w:p w:rsidRPr="00CA5863" w:rsidR="00E26C58" w:rsidP="00E6234E" w:rsidRDefault="00E26C58" w14:paraId="3B5AD715" w14:textId="137294D3">
      <w:pPr>
        <w:ind w:left="360" w:hanging="360"/>
        <w:rPr>
          <w:rFonts w:eastAsia="Times New Roman" w:cstheme="minorHAnsi"/>
          <w:color w:val="000000"/>
          <w:sz w:val="14"/>
          <w:szCs w:val="14"/>
          <w:bdr w:val="none" w:color="auto" w:sz="0" w:space="0" w:frame="1"/>
        </w:rPr>
      </w:pPr>
      <w:r w:rsidRPr="00CA5863">
        <w:rPr>
          <w:rFonts w:eastAsia="Times New Roman" w:cstheme="minorHAnsi"/>
          <w:color w:val="000000"/>
          <w:bdr w:val="none" w:color="auto" w:sz="0" w:space="0" w:frame="1"/>
        </w:rPr>
        <w:t>2.</w:t>
      </w:r>
      <w:r w:rsidRPr="00CA5863">
        <w:rPr>
          <w:rFonts w:eastAsia="Times New Roman" w:cstheme="minorHAnsi"/>
          <w:color w:val="000000"/>
          <w:sz w:val="14"/>
          <w:szCs w:val="14"/>
          <w:bdr w:val="none" w:color="auto" w:sz="0" w:space="0" w:frame="1"/>
        </w:rPr>
        <w:t>     </w:t>
      </w:r>
      <w:r w:rsidRPr="00CA5863">
        <w:rPr>
          <w:rFonts w:eastAsia="Times New Roman" w:cstheme="minorHAnsi"/>
          <w:color w:val="000000"/>
          <w:bdr w:val="none" w:color="auto" w:sz="0" w:space="0" w:frame="1"/>
        </w:rPr>
        <w:t>Describe the procedures for the collection of information including:</w:t>
      </w:r>
    </w:p>
    <w:p w:rsidRPr="0042198A" w:rsidR="00E26C58" w:rsidP="00E6234E" w:rsidRDefault="00E26C58" w14:paraId="26FA10A7" w14:textId="0A51B206">
      <w:pPr>
        <w:pStyle w:val="ListParagraph"/>
        <w:numPr>
          <w:ilvl w:val="0"/>
          <w:numId w:val="4"/>
        </w:numPr>
        <w:rPr>
          <w:rFonts w:eastAsia="Times New Roman" w:cstheme="minorHAnsi"/>
          <w:color w:val="000000"/>
          <w:sz w:val="20"/>
          <w:szCs w:val="20"/>
        </w:rPr>
      </w:pPr>
      <w:r w:rsidRPr="0042198A">
        <w:rPr>
          <w:rFonts w:eastAsia="Times New Roman" w:cstheme="minorHAnsi"/>
          <w:color w:val="000000"/>
          <w:bdr w:val="none" w:color="auto" w:sz="0" w:space="0" w:frame="1"/>
        </w:rPr>
        <w:t>Statistical methodology for stratification and sample selection,</w:t>
      </w:r>
    </w:p>
    <w:p w:rsidRPr="0042198A" w:rsidR="00E26C58" w:rsidP="00E6234E" w:rsidRDefault="00E26C58" w14:paraId="625DB035" w14:textId="3DBB8577">
      <w:pPr>
        <w:pStyle w:val="ListParagraph"/>
        <w:numPr>
          <w:ilvl w:val="0"/>
          <w:numId w:val="4"/>
        </w:numPr>
        <w:rPr>
          <w:rFonts w:eastAsia="Times New Roman" w:cstheme="minorHAnsi"/>
          <w:color w:val="000000"/>
          <w:sz w:val="20"/>
          <w:szCs w:val="20"/>
        </w:rPr>
      </w:pPr>
      <w:r w:rsidRPr="0042198A">
        <w:rPr>
          <w:rFonts w:eastAsia="Times New Roman" w:cstheme="minorHAnsi"/>
          <w:color w:val="000000"/>
          <w:bdr w:val="none" w:color="auto" w:sz="0" w:space="0" w:frame="1"/>
        </w:rPr>
        <w:t>Estimation procedure,</w:t>
      </w:r>
    </w:p>
    <w:p w:rsidRPr="0042198A" w:rsidR="00E26C58" w:rsidP="00E6234E" w:rsidRDefault="00E26C58" w14:paraId="3F3DBD6B" w14:textId="0F242064">
      <w:pPr>
        <w:pStyle w:val="ListParagraph"/>
        <w:numPr>
          <w:ilvl w:val="0"/>
          <w:numId w:val="4"/>
        </w:numPr>
        <w:rPr>
          <w:rFonts w:eastAsia="Times New Roman" w:cstheme="minorHAnsi"/>
          <w:color w:val="000000"/>
          <w:sz w:val="20"/>
          <w:szCs w:val="20"/>
        </w:rPr>
      </w:pPr>
      <w:r w:rsidRPr="0042198A">
        <w:rPr>
          <w:rFonts w:eastAsia="Times New Roman" w:cstheme="minorHAnsi"/>
          <w:color w:val="000000"/>
          <w:bdr w:val="none" w:color="auto" w:sz="0" w:space="0" w:frame="1"/>
        </w:rPr>
        <w:t>Degree of accuracy needed for the purpose described in the justification,</w:t>
      </w:r>
    </w:p>
    <w:p w:rsidRPr="0042198A" w:rsidR="00E26C58" w:rsidP="00E6234E" w:rsidRDefault="00E26C58" w14:paraId="3E987562" w14:textId="6689F664">
      <w:pPr>
        <w:pStyle w:val="ListParagraph"/>
        <w:numPr>
          <w:ilvl w:val="0"/>
          <w:numId w:val="4"/>
        </w:numPr>
        <w:rPr>
          <w:rFonts w:eastAsia="Times New Roman" w:cstheme="minorHAnsi"/>
          <w:color w:val="000000"/>
          <w:sz w:val="20"/>
          <w:szCs w:val="20"/>
        </w:rPr>
      </w:pPr>
      <w:r w:rsidRPr="0042198A">
        <w:rPr>
          <w:rFonts w:eastAsia="Times New Roman" w:cstheme="minorHAnsi"/>
          <w:color w:val="000000"/>
          <w:bdr w:val="none" w:color="auto" w:sz="0" w:space="0" w:frame="1"/>
        </w:rPr>
        <w:t>Unusual problems requiring specialized sampling procedures, and</w:t>
      </w:r>
    </w:p>
    <w:p w:rsidRPr="0042198A" w:rsidR="00E26C58" w:rsidP="00E6234E" w:rsidRDefault="00E26C58" w14:paraId="79DBFD53" w14:textId="542B89B3">
      <w:pPr>
        <w:pStyle w:val="ListParagraph"/>
        <w:numPr>
          <w:ilvl w:val="0"/>
          <w:numId w:val="4"/>
        </w:numPr>
        <w:rPr>
          <w:rFonts w:eastAsia="Times New Roman" w:cstheme="minorHAnsi"/>
          <w:color w:val="000000"/>
          <w:bdr w:val="none" w:color="auto" w:sz="0" w:space="0" w:frame="1"/>
        </w:rPr>
      </w:pPr>
      <w:r w:rsidRPr="0042198A">
        <w:rPr>
          <w:rFonts w:eastAsia="Times New Roman" w:cstheme="minorHAnsi"/>
          <w:color w:val="000000"/>
          <w:bdr w:val="none" w:color="auto" w:sz="0" w:space="0" w:frame="1"/>
        </w:rPr>
        <w:t>Any use of periodic (less frequent than annual) data collection cycles to reduce burden.</w:t>
      </w:r>
    </w:p>
    <w:p w:rsidR="0042198A" w:rsidP="00E6234E" w:rsidRDefault="0042198A" w14:paraId="738EAA41" w14:textId="66A7195B">
      <w:pPr>
        <w:spacing w:line="480" w:lineRule="auto"/>
        <w:rPr>
          <w:rFonts w:eastAsia="Times New Roman" w:cstheme="minorHAnsi"/>
          <w:color w:val="000000"/>
          <w:sz w:val="20"/>
          <w:szCs w:val="20"/>
        </w:rPr>
      </w:pPr>
    </w:p>
    <w:p w:rsidRPr="0042198A" w:rsidR="0042198A" w:rsidP="00E6234E" w:rsidRDefault="0042198A" w14:paraId="33849C3D" w14:textId="5E515FF6">
      <w:pPr>
        <w:spacing w:line="480" w:lineRule="auto"/>
        <w:ind w:left="360"/>
        <w:rPr>
          <w:rFonts w:eastAsia="Times New Roman" w:cstheme="minorHAnsi"/>
          <w:color w:val="000000"/>
        </w:rPr>
      </w:pPr>
      <w:r>
        <w:rPr>
          <w:rFonts w:eastAsia="Times New Roman" w:cstheme="minorHAnsi"/>
          <w:color w:val="000000"/>
        </w:rPr>
        <w:t xml:space="preserve">As stated above, </w:t>
      </w:r>
      <w:r w:rsidR="00E50EB7">
        <w:rPr>
          <w:rFonts w:eastAsia="Times New Roman" w:cstheme="minorHAnsi"/>
          <w:color w:val="000000"/>
        </w:rPr>
        <w:t xml:space="preserve">sampling procedures will not be utilized, as </w:t>
      </w:r>
      <w:r>
        <w:rPr>
          <w:rFonts w:eastAsia="Times New Roman" w:cstheme="minorHAnsi"/>
          <w:color w:val="000000"/>
        </w:rPr>
        <w:t>d</w:t>
      </w:r>
      <w:r w:rsidRPr="0042198A">
        <w:rPr>
          <w:rFonts w:eastAsia="Times New Roman" w:cstheme="minorHAnsi"/>
          <w:color w:val="000000"/>
        </w:rPr>
        <w:t>ata from the ATCS</w:t>
      </w:r>
      <w:r>
        <w:rPr>
          <w:rFonts w:eastAsia="Times New Roman" w:cstheme="minorHAnsi"/>
          <w:color w:val="000000"/>
        </w:rPr>
        <w:t xml:space="preserve"> will be gathered from the population</w:t>
      </w:r>
      <w:r w:rsidR="00E50EB7">
        <w:rPr>
          <w:rFonts w:eastAsia="Times New Roman" w:cstheme="minorHAnsi"/>
          <w:color w:val="000000"/>
        </w:rPr>
        <w:t xml:space="preserve">s of interest. The purpose of the ATCS is to gather 1) demographic information regarding participants enrolled in various types of problem-solving courts in operation within states/territories and tribal communities and 2) information regarding the program structure and operation. The ATCS will be conducted every two years to reduce burden on the individuals providing said data.    </w:t>
      </w:r>
    </w:p>
    <w:p w:rsidRPr="00CA5863" w:rsidR="00E26C58" w:rsidP="00E6234E" w:rsidRDefault="00E26C58" w14:paraId="147AC9CF" w14:textId="77777777">
      <w:pPr>
        <w:spacing w:line="480" w:lineRule="auto"/>
        <w:ind w:left="1080" w:hanging="360"/>
        <w:rPr>
          <w:rFonts w:eastAsia="Times New Roman" w:cstheme="minorHAnsi"/>
          <w:color w:val="000000"/>
          <w:sz w:val="20"/>
          <w:szCs w:val="20"/>
        </w:rPr>
      </w:pPr>
    </w:p>
    <w:p w:rsidR="00E6234E" w:rsidP="00E6234E" w:rsidRDefault="00E26C58" w14:paraId="4E48AB4B" w14:textId="77777777">
      <w:pPr>
        <w:ind w:left="360" w:hanging="360"/>
        <w:rPr>
          <w:rFonts w:eastAsia="Times New Roman" w:cstheme="minorHAnsi"/>
          <w:color w:val="000000"/>
          <w:bdr w:val="none" w:color="auto" w:sz="0" w:space="0" w:frame="1"/>
        </w:rPr>
      </w:pPr>
      <w:r w:rsidRPr="00CA5863">
        <w:rPr>
          <w:rFonts w:eastAsia="Times New Roman" w:cstheme="minorHAnsi"/>
          <w:color w:val="000000"/>
          <w:bdr w:val="none" w:color="auto" w:sz="0" w:space="0" w:frame="1"/>
        </w:rPr>
        <w:lastRenderedPageBreak/>
        <w:t>3.</w:t>
      </w:r>
      <w:r w:rsidRPr="00CA5863">
        <w:rPr>
          <w:rFonts w:eastAsia="Times New Roman" w:cstheme="minorHAnsi"/>
          <w:color w:val="000000"/>
          <w:sz w:val="14"/>
          <w:szCs w:val="14"/>
          <w:bdr w:val="none" w:color="auto" w:sz="0" w:space="0" w:frame="1"/>
        </w:rPr>
        <w:t>     </w:t>
      </w:r>
      <w:r w:rsidRPr="00CA5863">
        <w:rPr>
          <w:rFonts w:eastAsia="Times New Roman" w:cstheme="minorHAnsi"/>
          <w:color w:val="000000"/>
          <w:bdr w:val="none" w:color="auto" w:sz="0" w:space="0" w:frame="1"/>
        </w:rPr>
        <w:t>Describe methods to maximize response rates and to deal with issues of non- 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6234E" w:rsidP="00E6234E" w:rsidRDefault="00E6234E" w14:paraId="3B30FD04" w14:textId="77777777">
      <w:pPr>
        <w:ind w:left="360" w:hanging="360"/>
        <w:rPr>
          <w:rFonts w:eastAsia="Times New Roman" w:cstheme="minorHAnsi"/>
          <w:color w:val="000000"/>
          <w:bdr w:val="none" w:color="auto" w:sz="0" w:space="0" w:frame="1"/>
        </w:rPr>
      </w:pPr>
    </w:p>
    <w:p w:rsidR="00F81199" w:rsidP="00E6234E" w:rsidRDefault="00F81199" w14:paraId="2B10D557" w14:textId="54E047D8">
      <w:pPr>
        <w:spacing w:line="480" w:lineRule="auto"/>
        <w:ind w:left="360" w:hanging="360"/>
        <w:rPr>
          <w:rFonts w:eastAsia="Times New Roman" w:cstheme="minorHAnsi"/>
          <w:color w:val="000000"/>
        </w:rPr>
      </w:pPr>
      <w:r>
        <w:rPr>
          <w:rFonts w:eastAsia="Times New Roman" w:cstheme="minorHAnsi"/>
          <w:color w:val="000000"/>
          <w:sz w:val="20"/>
          <w:szCs w:val="20"/>
        </w:rPr>
        <w:tab/>
      </w:r>
      <w:r>
        <w:rPr>
          <w:rFonts w:eastAsia="Times New Roman" w:cstheme="minorHAnsi"/>
          <w:color w:val="000000"/>
        </w:rPr>
        <w:t xml:space="preserve">NDCRC staff will work with the following TTA Provider entities to maximize response rate and minimize survey non-response. Each of these entities works directly with each of the respondent universes and has agreed to assist NDCRC with </w:t>
      </w:r>
      <w:r w:rsidR="004E0FDB">
        <w:rPr>
          <w:rFonts w:eastAsia="Times New Roman" w:cstheme="minorHAnsi"/>
          <w:color w:val="000000"/>
        </w:rPr>
        <w:t>survey dissemination and developing strategies for gathering data within each jurisdiction. Moreover, all three TTA Providers have a vested interest in the NDCRC obtaining valid and reliable survey information</w:t>
      </w:r>
      <w:r w:rsidR="00462314">
        <w:rPr>
          <w:rFonts w:eastAsia="Times New Roman" w:cstheme="minorHAnsi"/>
          <w:color w:val="000000"/>
        </w:rPr>
        <w:t>,</w:t>
      </w:r>
      <w:r w:rsidR="004E0FDB">
        <w:rPr>
          <w:rFonts w:eastAsia="Times New Roman" w:cstheme="minorHAnsi"/>
          <w:color w:val="000000"/>
        </w:rPr>
        <w:t xml:space="preserve"> which will be used to </w:t>
      </w:r>
      <w:r w:rsidR="00DE530E">
        <w:rPr>
          <w:rFonts w:eastAsia="Times New Roman" w:cstheme="minorHAnsi"/>
          <w:color w:val="000000"/>
        </w:rPr>
        <w:t xml:space="preserve">describe and summarize </w:t>
      </w:r>
      <w:r w:rsidR="004E0FDB">
        <w:rPr>
          <w:rFonts w:eastAsia="Times New Roman" w:cstheme="minorHAnsi"/>
          <w:color w:val="000000"/>
        </w:rPr>
        <w:t xml:space="preserve">the </w:t>
      </w:r>
      <w:r w:rsidR="00462314">
        <w:rPr>
          <w:rFonts w:eastAsia="Times New Roman" w:cstheme="minorHAnsi"/>
          <w:color w:val="000000"/>
        </w:rPr>
        <w:t xml:space="preserve">current state of </w:t>
      </w:r>
      <w:r w:rsidR="004E0FDB">
        <w:rPr>
          <w:rFonts w:eastAsia="Times New Roman" w:cstheme="minorHAnsi"/>
          <w:color w:val="000000"/>
        </w:rPr>
        <w:t xml:space="preserve">problem-solving courts. </w:t>
      </w:r>
    </w:p>
    <w:p w:rsidRPr="00F81199" w:rsidR="00F81199" w:rsidP="00E6234E" w:rsidRDefault="00F81199" w14:paraId="530807EF" w14:textId="61674A3C">
      <w:pPr>
        <w:spacing w:line="480" w:lineRule="auto"/>
        <w:ind w:left="360" w:hanging="360"/>
        <w:rPr>
          <w:rFonts w:eastAsia="Times New Roman" w:cstheme="minorHAnsi"/>
          <w:color w:val="000000"/>
        </w:rPr>
      </w:pPr>
    </w:p>
    <w:tbl>
      <w:tblPr>
        <w:tblStyle w:val="TableGrid"/>
        <w:tblW w:w="0" w:type="auto"/>
        <w:jc w:val="center"/>
        <w:tblLook w:val="04A0" w:firstRow="1" w:lastRow="0" w:firstColumn="1" w:lastColumn="0" w:noHBand="0" w:noVBand="1"/>
      </w:tblPr>
      <w:tblGrid>
        <w:gridCol w:w="3415"/>
        <w:gridCol w:w="5130"/>
      </w:tblGrid>
      <w:tr w:rsidRPr="00CA5863" w:rsidR="00F81199" w:rsidTr="00F81199" w14:paraId="5474AB8F" w14:textId="77777777">
        <w:trPr>
          <w:jc w:val="center"/>
        </w:trPr>
        <w:tc>
          <w:tcPr>
            <w:tcW w:w="3415" w:type="dxa"/>
          </w:tcPr>
          <w:p w:rsidRPr="00CA5863" w:rsidR="00F81199" w:rsidP="00E6234E" w:rsidRDefault="00F81199" w14:paraId="7625367C" w14:textId="77777777">
            <w:pPr>
              <w:spacing w:line="480" w:lineRule="auto"/>
              <w:jc w:val="center"/>
              <w:rPr>
                <w:rFonts w:cstheme="minorHAnsi"/>
                <w:b/>
                <w:bCs/>
              </w:rPr>
            </w:pPr>
            <w:r w:rsidRPr="00CA5863">
              <w:rPr>
                <w:rFonts w:cstheme="minorHAnsi"/>
                <w:b/>
                <w:bCs/>
              </w:rPr>
              <w:t>ATC Survey</w:t>
            </w:r>
          </w:p>
        </w:tc>
        <w:tc>
          <w:tcPr>
            <w:tcW w:w="5130" w:type="dxa"/>
          </w:tcPr>
          <w:p w:rsidRPr="00CA5863" w:rsidR="00F81199" w:rsidP="00E6234E" w:rsidRDefault="00F81199" w14:paraId="0CA82B03" w14:textId="27D797D4">
            <w:pPr>
              <w:spacing w:line="480" w:lineRule="auto"/>
              <w:jc w:val="center"/>
              <w:rPr>
                <w:rFonts w:cstheme="minorHAnsi"/>
                <w:b/>
                <w:bCs/>
              </w:rPr>
            </w:pPr>
            <w:r>
              <w:rPr>
                <w:rFonts w:cstheme="minorHAnsi"/>
                <w:b/>
                <w:bCs/>
              </w:rPr>
              <w:t xml:space="preserve">TTA Provider </w:t>
            </w:r>
            <w:r w:rsidR="004E0FDB">
              <w:rPr>
                <w:rFonts w:cstheme="minorHAnsi"/>
                <w:b/>
                <w:bCs/>
              </w:rPr>
              <w:t>Entities</w:t>
            </w:r>
          </w:p>
        </w:tc>
      </w:tr>
      <w:tr w:rsidRPr="00CA5863" w:rsidR="00F81199" w:rsidTr="00F81199" w14:paraId="4E58646E" w14:textId="77777777">
        <w:trPr>
          <w:jc w:val="center"/>
        </w:trPr>
        <w:tc>
          <w:tcPr>
            <w:tcW w:w="3415" w:type="dxa"/>
          </w:tcPr>
          <w:p w:rsidRPr="00CA5863" w:rsidR="00F81199" w:rsidP="00E6234E" w:rsidRDefault="00F81199" w14:paraId="1AE67EEB" w14:textId="77777777">
            <w:pPr>
              <w:spacing w:line="480" w:lineRule="auto"/>
              <w:rPr>
                <w:rFonts w:cstheme="minorHAnsi"/>
              </w:rPr>
            </w:pPr>
            <w:r w:rsidRPr="00CA5863">
              <w:rPr>
                <w:rFonts w:cstheme="minorHAnsi"/>
              </w:rPr>
              <w:t>Local Treatment Court</w:t>
            </w:r>
          </w:p>
        </w:tc>
        <w:tc>
          <w:tcPr>
            <w:tcW w:w="5130" w:type="dxa"/>
          </w:tcPr>
          <w:p w:rsidRPr="00CA5863" w:rsidR="00F81199" w:rsidP="00E6234E" w:rsidRDefault="00F81199" w14:paraId="179FBB6A" w14:textId="2DAFB671">
            <w:pPr>
              <w:spacing w:line="480" w:lineRule="auto"/>
              <w:jc w:val="center"/>
              <w:rPr>
                <w:rFonts w:cstheme="minorHAnsi"/>
              </w:rPr>
            </w:pPr>
            <w:r>
              <w:rPr>
                <w:rFonts w:cstheme="minorHAnsi"/>
              </w:rPr>
              <w:t>National Association of Drug Court Professionals</w:t>
            </w:r>
          </w:p>
        </w:tc>
      </w:tr>
      <w:tr w:rsidRPr="00CA5863" w:rsidR="00F81199" w:rsidTr="00F81199" w14:paraId="344BA664" w14:textId="77777777">
        <w:trPr>
          <w:jc w:val="center"/>
        </w:trPr>
        <w:tc>
          <w:tcPr>
            <w:tcW w:w="3415" w:type="dxa"/>
          </w:tcPr>
          <w:p w:rsidRPr="00CA5863" w:rsidR="00F81199" w:rsidP="00E6234E" w:rsidRDefault="00F81199" w14:paraId="30119DE3" w14:textId="77777777">
            <w:pPr>
              <w:spacing w:line="480" w:lineRule="auto"/>
              <w:rPr>
                <w:rFonts w:cstheme="minorHAnsi"/>
              </w:rPr>
            </w:pPr>
            <w:r w:rsidRPr="00CA5863">
              <w:rPr>
                <w:rFonts w:cstheme="minorHAnsi"/>
              </w:rPr>
              <w:t>Tribal Healing-to-Wellness Court</w:t>
            </w:r>
          </w:p>
        </w:tc>
        <w:tc>
          <w:tcPr>
            <w:tcW w:w="5130" w:type="dxa"/>
          </w:tcPr>
          <w:p w:rsidRPr="00CA5863" w:rsidR="00F81199" w:rsidP="00E6234E" w:rsidRDefault="00F81199" w14:paraId="2EE2E3B5" w14:textId="5FB1ED4D">
            <w:pPr>
              <w:spacing w:line="480" w:lineRule="auto"/>
              <w:jc w:val="center"/>
              <w:rPr>
                <w:rFonts w:cstheme="minorHAnsi"/>
              </w:rPr>
            </w:pPr>
            <w:r>
              <w:rPr>
                <w:rFonts w:cstheme="minorHAnsi"/>
              </w:rPr>
              <w:t>Tribal Law &amp; Policy Institute</w:t>
            </w:r>
          </w:p>
        </w:tc>
      </w:tr>
      <w:tr w:rsidRPr="00CA5863" w:rsidR="00F81199" w:rsidTr="00F81199" w14:paraId="289AF62F" w14:textId="77777777">
        <w:trPr>
          <w:jc w:val="center"/>
        </w:trPr>
        <w:tc>
          <w:tcPr>
            <w:tcW w:w="3415" w:type="dxa"/>
          </w:tcPr>
          <w:p w:rsidRPr="00CA5863" w:rsidR="00F81199" w:rsidP="00E6234E" w:rsidRDefault="00F81199" w14:paraId="553B25AA" w14:textId="77777777">
            <w:pPr>
              <w:spacing w:line="480" w:lineRule="auto"/>
              <w:rPr>
                <w:rFonts w:cstheme="minorHAnsi"/>
              </w:rPr>
            </w:pPr>
            <w:r w:rsidRPr="00CA5863">
              <w:rPr>
                <w:rFonts w:cstheme="minorHAnsi"/>
              </w:rPr>
              <w:t>State/Territory Coordinator</w:t>
            </w:r>
          </w:p>
        </w:tc>
        <w:tc>
          <w:tcPr>
            <w:tcW w:w="5130" w:type="dxa"/>
          </w:tcPr>
          <w:p w:rsidRPr="00CA5863" w:rsidR="00F81199" w:rsidP="00E6234E" w:rsidRDefault="00F81199" w14:paraId="5920D4B5" w14:textId="5515E4B4">
            <w:pPr>
              <w:spacing w:line="480" w:lineRule="auto"/>
              <w:jc w:val="center"/>
              <w:rPr>
                <w:rFonts w:cstheme="minorHAnsi"/>
              </w:rPr>
            </w:pPr>
            <w:r>
              <w:rPr>
                <w:rFonts w:cstheme="minorHAnsi"/>
              </w:rPr>
              <w:t>Center for Court Innovation</w:t>
            </w:r>
          </w:p>
        </w:tc>
      </w:tr>
    </w:tbl>
    <w:p w:rsidR="00AA73BF" w:rsidP="00E6234E" w:rsidRDefault="00AA73BF" w14:paraId="7DEC56DC" w14:textId="77777777">
      <w:pPr>
        <w:ind w:left="360" w:hanging="360"/>
        <w:rPr>
          <w:rFonts w:eastAsia="Times New Roman" w:cstheme="minorHAnsi"/>
          <w:color w:val="000000"/>
          <w:sz w:val="14"/>
          <w:szCs w:val="14"/>
          <w:bdr w:val="none" w:color="auto" w:sz="0" w:space="0" w:frame="1"/>
        </w:rPr>
      </w:pPr>
    </w:p>
    <w:p w:rsidR="00AA73BF" w:rsidP="00E6234E" w:rsidRDefault="00E26C58" w14:paraId="346289D9" w14:textId="020110C0">
      <w:pPr>
        <w:ind w:left="360" w:hanging="360"/>
        <w:rPr>
          <w:rFonts w:eastAsia="Times New Roman" w:cstheme="minorHAnsi"/>
          <w:color w:val="000000"/>
          <w:sz w:val="14"/>
          <w:szCs w:val="14"/>
          <w:bdr w:val="none" w:color="auto" w:sz="0" w:space="0" w:frame="1"/>
        </w:rPr>
      </w:pPr>
      <w:r w:rsidRPr="00CA5863">
        <w:rPr>
          <w:rFonts w:eastAsia="Times New Roman" w:cstheme="minorHAnsi"/>
          <w:color w:val="000000"/>
          <w:sz w:val="14"/>
          <w:szCs w:val="14"/>
          <w:bdr w:val="none" w:color="auto" w:sz="0" w:space="0" w:frame="1"/>
        </w:rPr>
        <w:t>    </w:t>
      </w:r>
    </w:p>
    <w:p w:rsidRPr="00AA73BF" w:rsidR="00E26C58" w:rsidP="00AA73BF" w:rsidRDefault="00E26C58" w14:paraId="36F2599F" w14:textId="15A84CC6">
      <w:pPr>
        <w:pStyle w:val="ListParagraph"/>
        <w:numPr>
          <w:ilvl w:val="0"/>
          <w:numId w:val="6"/>
        </w:numPr>
        <w:rPr>
          <w:rFonts w:eastAsia="Times New Roman" w:cstheme="minorHAnsi"/>
          <w:color w:val="000000"/>
          <w:bdr w:val="none" w:color="auto" w:sz="0" w:space="0" w:frame="1"/>
        </w:rPr>
      </w:pPr>
      <w:r w:rsidRPr="00AA73BF">
        <w:rPr>
          <w:rFonts w:eastAsia="Times New Roman" w:cstheme="minorHAnsi"/>
          <w:color w:val="000000"/>
          <w:bdr w:val="none" w:color="auto" w:sz="0" w:space="0" w:frame="1"/>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Pr="00CA5863" w:rsidR="00E26C58" w:rsidP="00E6234E" w:rsidRDefault="00E26C58" w14:paraId="0A64F50B" w14:textId="77777777">
      <w:pPr>
        <w:spacing w:line="480" w:lineRule="auto"/>
        <w:ind w:left="360" w:hanging="360"/>
        <w:rPr>
          <w:rFonts w:eastAsia="Times New Roman" w:cstheme="minorHAnsi"/>
          <w:color w:val="000000"/>
          <w:sz w:val="20"/>
          <w:szCs w:val="20"/>
        </w:rPr>
      </w:pPr>
    </w:p>
    <w:p w:rsidRPr="00394201" w:rsidR="00E26C58" w:rsidP="00E6234E" w:rsidRDefault="002E4B24" w14:paraId="5E195706" w14:textId="49661D34">
      <w:pPr>
        <w:spacing w:line="480" w:lineRule="auto"/>
        <w:ind w:left="360" w:hanging="360"/>
        <w:rPr>
          <w:rFonts w:eastAsia="Times New Roman" w:cstheme="minorHAnsi"/>
          <w:color w:val="000000"/>
        </w:rPr>
      </w:pPr>
      <w:r>
        <w:rPr>
          <w:rFonts w:eastAsia="Times New Roman" w:cstheme="minorHAnsi"/>
          <w:color w:val="000000"/>
          <w:sz w:val="20"/>
          <w:szCs w:val="20"/>
        </w:rPr>
        <w:tab/>
      </w:r>
      <w:r w:rsidRPr="00394201" w:rsidR="00394201">
        <w:rPr>
          <w:rFonts w:eastAsia="Times New Roman" w:cstheme="minorHAnsi"/>
          <w:color w:val="000000"/>
        </w:rPr>
        <w:t xml:space="preserve">Experts in survey research methodology and the field of problem-solving courts will review the structure of </w:t>
      </w:r>
      <w:r w:rsidR="00394201">
        <w:rPr>
          <w:rFonts w:eastAsia="Times New Roman" w:cstheme="minorHAnsi"/>
          <w:color w:val="000000"/>
        </w:rPr>
        <w:t>the</w:t>
      </w:r>
      <w:r w:rsidRPr="00394201" w:rsidR="00394201">
        <w:rPr>
          <w:rFonts w:eastAsia="Times New Roman" w:cstheme="minorHAnsi"/>
          <w:color w:val="000000"/>
        </w:rPr>
        <w:t xml:space="preserve"> three surveys</w:t>
      </w:r>
      <w:r w:rsidR="00394201">
        <w:rPr>
          <w:rFonts w:eastAsia="Times New Roman" w:cstheme="minorHAnsi"/>
          <w:color w:val="000000"/>
        </w:rPr>
        <w:t xml:space="preserve">, including </w:t>
      </w:r>
      <w:r w:rsidRPr="00394201" w:rsidR="00394201">
        <w:rPr>
          <w:rFonts w:eastAsia="Times New Roman" w:cstheme="minorHAnsi"/>
          <w:color w:val="000000"/>
        </w:rPr>
        <w:t>question wording, question order, and ensur</w:t>
      </w:r>
      <w:r w:rsidR="00394201">
        <w:rPr>
          <w:rFonts w:eastAsia="Times New Roman" w:cstheme="minorHAnsi"/>
          <w:color w:val="000000"/>
        </w:rPr>
        <w:t xml:space="preserve">ing </w:t>
      </w:r>
      <w:r w:rsidRPr="00394201" w:rsidR="00394201">
        <w:rPr>
          <w:rFonts w:eastAsia="Times New Roman" w:cstheme="minorHAnsi"/>
          <w:color w:val="000000"/>
        </w:rPr>
        <w:t xml:space="preserve">all </w:t>
      </w:r>
      <w:r w:rsidRPr="00394201">
        <w:rPr>
          <w:rFonts w:eastAsia="Times New Roman" w:cstheme="minorHAnsi"/>
          <w:color w:val="000000"/>
        </w:rPr>
        <w:t xml:space="preserve">contingency questions and skip patterns operate as intended. </w:t>
      </w:r>
      <w:r w:rsidR="00394201">
        <w:rPr>
          <w:rFonts w:eastAsia="Times New Roman" w:cstheme="minorHAnsi"/>
          <w:color w:val="000000"/>
        </w:rPr>
        <w:t xml:space="preserve">In addition, the survey </w:t>
      </w:r>
      <w:r w:rsidR="00394201">
        <w:rPr>
          <w:rFonts w:eastAsia="Times New Roman" w:cstheme="minorHAnsi"/>
          <w:color w:val="000000"/>
        </w:rPr>
        <w:lastRenderedPageBreak/>
        <w:t xml:space="preserve">research experts will assess both the readability and time necessary to complete the survey instrument. </w:t>
      </w:r>
    </w:p>
    <w:p w:rsidRPr="002E4B24" w:rsidR="002E4B24" w:rsidP="00E6234E" w:rsidRDefault="002E4B24" w14:paraId="67141803" w14:textId="77777777">
      <w:pPr>
        <w:spacing w:line="480" w:lineRule="auto"/>
        <w:ind w:left="360" w:hanging="360"/>
        <w:rPr>
          <w:rFonts w:eastAsia="Times New Roman" w:cstheme="minorHAnsi"/>
          <w:color w:val="000000"/>
        </w:rPr>
      </w:pPr>
    </w:p>
    <w:p w:rsidRPr="00CA5863" w:rsidR="00E26C58" w:rsidP="00E6234E" w:rsidRDefault="00E26C58" w14:paraId="0D2C6B95" w14:textId="2DC42677">
      <w:pPr>
        <w:ind w:left="360" w:hanging="360"/>
        <w:rPr>
          <w:rFonts w:eastAsia="Times New Roman" w:cstheme="minorHAnsi"/>
          <w:color w:val="000000"/>
          <w:sz w:val="20"/>
          <w:szCs w:val="20"/>
        </w:rPr>
      </w:pPr>
      <w:r w:rsidRPr="00CA5863">
        <w:rPr>
          <w:rFonts w:eastAsia="Times New Roman" w:cstheme="minorHAnsi"/>
          <w:color w:val="000000"/>
          <w:bdr w:val="none" w:color="auto" w:sz="0" w:space="0" w:frame="1"/>
        </w:rPr>
        <w:t>5.</w:t>
      </w:r>
      <w:r w:rsidRPr="00CA5863">
        <w:rPr>
          <w:rFonts w:eastAsia="Times New Roman" w:cstheme="minorHAnsi"/>
          <w:color w:val="000000"/>
          <w:sz w:val="14"/>
          <w:szCs w:val="14"/>
          <w:bdr w:val="none" w:color="auto" w:sz="0" w:space="0" w:frame="1"/>
        </w:rPr>
        <w:t>     </w:t>
      </w:r>
      <w:r w:rsidRPr="00CA5863">
        <w:rPr>
          <w:rFonts w:eastAsia="Times New Roman" w:cstheme="minorHAnsi"/>
          <w:color w:val="000000"/>
          <w:bdr w:val="none" w:color="auto" w:sz="0" w:space="0" w:frame="1"/>
        </w:rPr>
        <w:t>Provide the name and telephone number of individuals consulted on statistical aspects of the design and the name of the agency unit, contractor(s), grantee(s), or other person(s) who will actually collect and/or analyze the information for the agency.</w:t>
      </w:r>
    </w:p>
    <w:p w:rsidR="006C67FD" w:rsidP="00E6234E" w:rsidRDefault="00CF1207" w14:paraId="7C27E3E7" w14:textId="030130F5">
      <w:pPr>
        <w:spacing w:line="480" w:lineRule="auto"/>
        <w:rPr>
          <w:rFonts w:cstheme="minorHAnsi"/>
        </w:rPr>
      </w:pPr>
    </w:p>
    <w:p w:rsidR="00AF655A" w:rsidP="00E6234E" w:rsidRDefault="00AF655A" w14:paraId="5FBFE09F" w14:textId="094DD717">
      <w:pPr>
        <w:spacing w:line="480" w:lineRule="auto"/>
        <w:ind w:left="360"/>
        <w:rPr>
          <w:rFonts w:cstheme="minorHAnsi"/>
        </w:rPr>
      </w:pPr>
      <w:r>
        <w:rPr>
          <w:rFonts w:cstheme="minorHAnsi"/>
        </w:rPr>
        <w:t xml:space="preserve">The below-listed individuals were consulted on statistical aspects of the design of the ATCS. Moreover, all individuals will be involved in various aspects of both data collection and/or analysis. </w:t>
      </w:r>
    </w:p>
    <w:p w:rsidR="00394201" w:rsidP="00E6234E" w:rsidRDefault="00394201" w14:paraId="14F06940" w14:textId="0F887E24">
      <w:pPr>
        <w:spacing w:line="480" w:lineRule="auto"/>
        <w:rPr>
          <w:rFonts w:cstheme="minorHAnsi"/>
        </w:rPr>
      </w:pPr>
      <w:r>
        <w:rPr>
          <w:rFonts w:cstheme="minorHAnsi"/>
        </w:rPr>
        <w:tab/>
        <w:t xml:space="preserve">Dr. David Hartmann </w:t>
      </w:r>
      <w:r w:rsidR="00AF655A">
        <w:rPr>
          <w:rFonts w:cstheme="minorHAnsi"/>
        </w:rPr>
        <w:tab/>
      </w:r>
      <w:r w:rsidR="0045354D">
        <w:rPr>
          <w:rFonts w:cstheme="minorHAnsi"/>
        </w:rPr>
        <w:tab/>
      </w:r>
      <w:r w:rsidR="00AF655A">
        <w:rPr>
          <w:rFonts w:cstheme="minorHAnsi"/>
        </w:rPr>
        <w:t>269-387-5281</w:t>
      </w:r>
      <w:r w:rsidR="00AF655A">
        <w:rPr>
          <w:rFonts w:cstheme="minorHAnsi"/>
        </w:rPr>
        <w:tab/>
      </w:r>
      <w:r w:rsidR="00AF655A">
        <w:rPr>
          <w:rFonts w:cstheme="minorHAnsi"/>
        </w:rPr>
        <w:tab/>
      </w:r>
      <w:hyperlink w:history="1" r:id="rId5">
        <w:r w:rsidRPr="00DB09AA" w:rsidR="00AF655A">
          <w:rPr>
            <w:rStyle w:val="Hyperlink"/>
            <w:rFonts w:cstheme="minorHAnsi"/>
          </w:rPr>
          <w:t>david.hartmann@wmich.edu</w:t>
        </w:r>
      </w:hyperlink>
    </w:p>
    <w:p w:rsidR="00AF655A" w:rsidP="00E6234E" w:rsidRDefault="00AF655A" w14:paraId="3469B9FC" w14:textId="025BD617">
      <w:pPr>
        <w:spacing w:line="480" w:lineRule="auto"/>
        <w:rPr>
          <w:rFonts w:cstheme="minorHAnsi"/>
        </w:rPr>
      </w:pPr>
      <w:r>
        <w:rPr>
          <w:rFonts w:cstheme="minorHAnsi"/>
        </w:rPr>
        <w:tab/>
        <w:t xml:space="preserve">Dr. Kristen </w:t>
      </w:r>
      <w:proofErr w:type="spellStart"/>
      <w:r>
        <w:rPr>
          <w:rFonts w:cstheme="minorHAnsi"/>
        </w:rPr>
        <w:t>DeVall</w:t>
      </w:r>
      <w:proofErr w:type="spellEnd"/>
      <w:r>
        <w:rPr>
          <w:rFonts w:cstheme="minorHAnsi"/>
        </w:rPr>
        <w:tab/>
      </w:r>
      <w:r w:rsidR="0045354D">
        <w:rPr>
          <w:rFonts w:cstheme="minorHAnsi"/>
        </w:rPr>
        <w:tab/>
      </w:r>
      <w:r>
        <w:rPr>
          <w:rFonts w:cstheme="minorHAnsi"/>
        </w:rPr>
        <w:t>910-962-2351</w:t>
      </w:r>
      <w:r>
        <w:rPr>
          <w:rFonts w:cstheme="minorHAnsi"/>
        </w:rPr>
        <w:tab/>
      </w:r>
      <w:r>
        <w:rPr>
          <w:rFonts w:cstheme="minorHAnsi"/>
        </w:rPr>
        <w:tab/>
      </w:r>
      <w:hyperlink w:history="1" r:id="rId6">
        <w:r w:rsidRPr="00DB09AA">
          <w:rPr>
            <w:rStyle w:val="Hyperlink"/>
            <w:rFonts w:cstheme="minorHAnsi"/>
          </w:rPr>
          <w:t>devallk@uncw.edu</w:t>
        </w:r>
      </w:hyperlink>
    </w:p>
    <w:p w:rsidR="00AF655A" w:rsidP="00E6234E" w:rsidRDefault="00AF655A" w14:paraId="1AA9E9D9" w14:textId="1830EDE0">
      <w:pPr>
        <w:spacing w:line="480" w:lineRule="auto"/>
        <w:rPr>
          <w:rFonts w:cstheme="minorHAnsi"/>
        </w:rPr>
      </w:pPr>
      <w:r>
        <w:rPr>
          <w:rFonts w:cstheme="minorHAnsi"/>
        </w:rPr>
        <w:tab/>
        <w:t>Dr. Christina Lanier</w:t>
      </w:r>
      <w:r>
        <w:rPr>
          <w:rFonts w:cstheme="minorHAnsi"/>
        </w:rPr>
        <w:tab/>
      </w:r>
      <w:r w:rsidR="0045354D">
        <w:rPr>
          <w:rFonts w:cstheme="minorHAnsi"/>
        </w:rPr>
        <w:tab/>
      </w:r>
      <w:r>
        <w:rPr>
          <w:rFonts w:cstheme="minorHAnsi"/>
        </w:rPr>
        <w:t>910-962-7571</w:t>
      </w:r>
      <w:r>
        <w:rPr>
          <w:rFonts w:cstheme="minorHAnsi"/>
        </w:rPr>
        <w:tab/>
      </w:r>
      <w:r>
        <w:rPr>
          <w:rFonts w:cstheme="minorHAnsi"/>
        </w:rPr>
        <w:tab/>
      </w:r>
      <w:hyperlink w:history="1" r:id="rId7">
        <w:r w:rsidRPr="00DB09AA">
          <w:rPr>
            <w:rStyle w:val="Hyperlink"/>
            <w:rFonts w:cstheme="minorHAnsi"/>
          </w:rPr>
          <w:t>lanierc@uncw.edu</w:t>
        </w:r>
      </w:hyperlink>
    </w:p>
    <w:p w:rsidR="00AF655A" w:rsidP="00E6234E" w:rsidRDefault="00AF655A" w14:paraId="1103FAA1" w14:textId="282262BA">
      <w:pPr>
        <w:spacing w:line="480" w:lineRule="auto"/>
        <w:rPr>
          <w:rFonts w:cstheme="minorHAnsi"/>
        </w:rPr>
      </w:pPr>
      <w:r>
        <w:rPr>
          <w:rFonts w:cstheme="minorHAnsi"/>
        </w:rPr>
        <w:tab/>
        <w:t>Ms. Savannah Bryson</w:t>
      </w:r>
      <w:r>
        <w:rPr>
          <w:rFonts w:cstheme="minorHAnsi"/>
        </w:rPr>
        <w:tab/>
      </w:r>
      <w:r w:rsidR="0045354D">
        <w:rPr>
          <w:rFonts w:cstheme="minorHAnsi"/>
        </w:rPr>
        <w:tab/>
      </w:r>
      <w:r>
        <w:rPr>
          <w:rFonts w:cstheme="minorHAnsi"/>
        </w:rPr>
        <w:t>910-962-2955</w:t>
      </w:r>
      <w:r>
        <w:rPr>
          <w:rFonts w:cstheme="minorHAnsi"/>
        </w:rPr>
        <w:tab/>
      </w:r>
      <w:r>
        <w:rPr>
          <w:rFonts w:cstheme="minorHAnsi"/>
        </w:rPr>
        <w:tab/>
      </w:r>
      <w:hyperlink w:history="1" r:id="rId8">
        <w:r w:rsidRPr="00DB09AA">
          <w:rPr>
            <w:rStyle w:val="Hyperlink"/>
            <w:rFonts w:cstheme="minorHAnsi"/>
          </w:rPr>
          <w:t>brysons@uncw.edu</w:t>
        </w:r>
      </w:hyperlink>
    </w:p>
    <w:p w:rsidRPr="00CA5863" w:rsidR="00AF655A" w:rsidP="00E6234E" w:rsidRDefault="00AF655A" w14:paraId="6E1E8076" w14:textId="77777777">
      <w:pPr>
        <w:spacing w:line="480" w:lineRule="auto"/>
        <w:rPr>
          <w:rFonts w:cstheme="minorHAnsi"/>
        </w:rPr>
      </w:pPr>
    </w:p>
    <w:sectPr w:rsidRPr="00CA5863" w:rsidR="00AF655A" w:rsidSect="006A3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3932"/>
    <w:multiLevelType w:val="hybridMultilevel"/>
    <w:tmpl w:val="05FA8884"/>
    <w:lvl w:ilvl="0" w:tplc="403E16AC">
      <w:numFmt w:val="bullet"/>
      <w:lvlText w:val=""/>
      <w:lvlJc w:val="left"/>
      <w:pPr>
        <w:ind w:left="1840" w:hanging="400"/>
      </w:pPr>
      <w:rPr>
        <w:rFonts w:ascii="Calibri" w:eastAsia="Times New Roman" w:hAnsi="Calibri" w:cs="Calibri"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690440"/>
    <w:multiLevelType w:val="hybridMultilevel"/>
    <w:tmpl w:val="63D8D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5852012"/>
    <w:multiLevelType w:val="hybridMultilevel"/>
    <w:tmpl w:val="0A3AA1C8"/>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CC50BE"/>
    <w:multiLevelType w:val="hybridMultilevel"/>
    <w:tmpl w:val="3962F1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4953C3B"/>
    <w:multiLevelType w:val="hybridMultilevel"/>
    <w:tmpl w:val="82A0BA1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B262D46"/>
    <w:multiLevelType w:val="hybridMultilevel"/>
    <w:tmpl w:val="191CB21C"/>
    <w:lvl w:ilvl="0" w:tplc="403E16AC">
      <w:numFmt w:val="bullet"/>
      <w:lvlText w:val=""/>
      <w:lvlJc w:val="left"/>
      <w:pPr>
        <w:ind w:left="1120" w:hanging="400"/>
      </w:pPr>
      <w:rPr>
        <w:rFonts w:ascii="Calibri" w:eastAsia="Times New Roman" w:hAnsi="Calibri" w:cs="Calibri"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C58"/>
    <w:rsid w:val="002E4B24"/>
    <w:rsid w:val="002E7AD2"/>
    <w:rsid w:val="00394201"/>
    <w:rsid w:val="0042198A"/>
    <w:rsid w:val="0045354D"/>
    <w:rsid w:val="00462314"/>
    <w:rsid w:val="004B5326"/>
    <w:rsid w:val="004E0FDB"/>
    <w:rsid w:val="00541729"/>
    <w:rsid w:val="00573A50"/>
    <w:rsid w:val="006A34FF"/>
    <w:rsid w:val="006D10AC"/>
    <w:rsid w:val="00AA73BF"/>
    <w:rsid w:val="00AF655A"/>
    <w:rsid w:val="00B12BA4"/>
    <w:rsid w:val="00CA5863"/>
    <w:rsid w:val="00CE7EBB"/>
    <w:rsid w:val="00CF1207"/>
    <w:rsid w:val="00DE530E"/>
    <w:rsid w:val="00E26C58"/>
    <w:rsid w:val="00E50EB7"/>
    <w:rsid w:val="00E6234E"/>
    <w:rsid w:val="00F81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27A8"/>
  <w15:chartTrackingRefBased/>
  <w15:docId w15:val="{995D1940-2A93-144E-B4B8-1A9144ED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26C5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6C5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26C5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26C58"/>
  </w:style>
  <w:style w:type="table" w:styleId="TableGrid">
    <w:name w:val="Table Grid"/>
    <w:basedOn w:val="TableNormal"/>
    <w:uiPriority w:val="39"/>
    <w:rsid w:val="00CA5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198A"/>
    <w:pPr>
      <w:ind w:left="720"/>
      <w:contextualSpacing/>
    </w:pPr>
  </w:style>
  <w:style w:type="character" w:styleId="Hyperlink">
    <w:name w:val="Hyperlink"/>
    <w:basedOn w:val="DefaultParagraphFont"/>
    <w:uiPriority w:val="99"/>
    <w:unhideWhenUsed/>
    <w:rsid w:val="00AF655A"/>
    <w:rPr>
      <w:color w:val="0563C1" w:themeColor="hyperlink"/>
      <w:u w:val="single"/>
    </w:rPr>
  </w:style>
  <w:style w:type="character" w:customStyle="1" w:styleId="UnresolvedMention1">
    <w:name w:val="Unresolved Mention1"/>
    <w:basedOn w:val="DefaultParagraphFont"/>
    <w:uiPriority w:val="99"/>
    <w:semiHidden/>
    <w:unhideWhenUsed/>
    <w:rsid w:val="00AF655A"/>
    <w:rPr>
      <w:color w:val="605E5C"/>
      <w:shd w:val="clear" w:color="auto" w:fill="E1DFDD"/>
    </w:rPr>
  </w:style>
  <w:style w:type="paragraph" w:styleId="BalloonText">
    <w:name w:val="Balloon Text"/>
    <w:basedOn w:val="Normal"/>
    <w:link w:val="BalloonTextChar"/>
    <w:uiPriority w:val="99"/>
    <w:semiHidden/>
    <w:unhideWhenUsed/>
    <w:rsid w:val="004B532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532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03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ysons@uncw.edu" TargetMode="External"/><Relationship Id="rId3" Type="http://schemas.openxmlformats.org/officeDocument/2006/relationships/settings" Target="settings.xml"/><Relationship Id="rId7" Type="http://schemas.openxmlformats.org/officeDocument/2006/relationships/hyperlink" Target="mailto:lanierc@uncw.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vallk@uncw.edu" TargetMode="External"/><Relationship Id="rId5" Type="http://schemas.openxmlformats.org/officeDocument/2006/relationships/hyperlink" Target="mailto:david.hartmann@wmich.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5039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Marie Baldwin</dc:creator>
  <cp:keywords/>
  <dc:description/>
  <cp:lastModifiedBy>Scarborough, Angela</cp:lastModifiedBy>
  <cp:revision>2</cp:revision>
  <dcterms:created xsi:type="dcterms:W3CDTF">2020-02-06T16:43:00Z</dcterms:created>
  <dcterms:modified xsi:type="dcterms:W3CDTF">2020-02-06T16:43:00Z</dcterms:modified>
</cp:coreProperties>
</file>