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000C" w:rsidR="00AB5D6F" w:rsidP="00AB5D6F" w:rsidRDefault="00AB5D6F" w14:paraId="402A2BA1" w14:textId="77777777">
      <w:pPr>
        <w:suppressAutoHyphens/>
        <w:spacing w:after="0" w:line="240" w:lineRule="auto"/>
        <w:jc w:val="center"/>
        <w:rPr>
          <w:rFonts w:ascii="Times New Roman" w:hAnsi="Times New Roman" w:cs="Times New Roman"/>
          <w:b/>
          <w:sz w:val="24"/>
          <w:szCs w:val="24"/>
        </w:rPr>
      </w:pPr>
      <w:r w:rsidRPr="00A4000C">
        <w:rPr>
          <w:rFonts w:ascii="Times New Roman" w:hAnsi="Times New Roman" w:cs="Times New Roman"/>
          <w:b/>
          <w:bCs/>
          <w:sz w:val="24"/>
          <w:szCs w:val="24"/>
        </w:rPr>
        <w:t xml:space="preserve">Justification for the Non-Substantive Changes to the </w:t>
      </w:r>
      <w:r w:rsidRPr="00A4000C">
        <w:rPr>
          <w:rFonts w:ascii="Times New Roman" w:hAnsi="Times New Roman" w:cs="Times New Roman"/>
          <w:b/>
          <w:sz w:val="24"/>
          <w:szCs w:val="24"/>
        </w:rPr>
        <w:t xml:space="preserve">Supporting Statement for </w:t>
      </w:r>
    </w:p>
    <w:p w:rsidRPr="00A4000C" w:rsidR="00AB5D6F" w:rsidP="00AB5D6F" w:rsidRDefault="00AB5D6F" w14:paraId="2CD88BEB" w14:textId="77777777">
      <w:pPr>
        <w:suppressAutoHyphens/>
        <w:spacing w:after="0" w:line="240" w:lineRule="auto"/>
        <w:jc w:val="center"/>
        <w:rPr>
          <w:rFonts w:ascii="Times New Roman" w:hAnsi="Times New Roman" w:cs="Times New Roman"/>
          <w:b/>
          <w:sz w:val="24"/>
          <w:szCs w:val="24"/>
        </w:rPr>
      </w:pPr>
      <w:r w:rsidRPr="00A4000C">
        <w:rPr>
          <w:rFonts w:ascii="Times New Roman" w:hAnsi="Times New Roman" w:cs="Times New Roman"/>
          <w:b/>
          <w:sz w:val="24"/>
          <w:szCs w:val="24"/>
        </w:rPr>
        <w:t>Form HA-504, Acknowledgement of Receipt (Notice of Hearing)</w:t>
      </w:r>
    </w:p>
    <w:p w:rsidRPr="00A4000C" w:rsidR="00AB5D6F" w:rsidP="00AB5D6F" w:rsidRDefault="00AB5D6F" w14:paraId="0A7C7457" w14:textId="77777777">
      <w:pPr>
        <w:suppressAutoHyphens/>
        <w:spacing w:after="0" w:line="240" w:lineRule="auto"/>
        <w:jc w:val="center"/>
        <w:rPr>
          <w:rFonts w:ascii="Times New Roman" w:hAnsi="Times New Roman" w:cs="Times New Roman"/>
          <w:b/>
          <w:sz w:val="24"/>
          <w:szCs w:val="24"/>
        </w:rPr>
      </w:pPr>
      <w:r w:rsidRPr="00A4000C">
        <w:rPr>
          <w:rFonts w:ascii="Times New Roman" w:hAnsi="Times New Roman" w:cs="Times New Roman"/>
          <w:b/>
          <w:sz w:val="24"/>
          <w:szCs w:val="24"/>
        </w:rPr>
        <w:t>Form HA-L83, Acknowledgement of Receipt (Notice of Hearing) Cover Letter</w:t>
      </w:r>
    </w:p>
    <w:p w:rsidRPr="00A4000C" w:rsidR="00AB5D6F" w:rsidP="00AB5D6F" w:rsidRDefault="00AB5D6F" w14:paraId="6387E965" w14:textId="77777777">
      <w:pPr>
        <w:suppressAutoHyphens/>
        <w:spacing w:after="0" w:line="240" w:lineRule="auto"/>
        <w:jc w:val="center"/>
        <w:rPr>
          <w:rFonts w:ascii="Times New Roman" w:hAnsi="Times New Roman" w:cs="Times New Roman"/>
          <w:b/>
          <w:sz w:val="24"/>
          <w:szCs w:val="24"/>
        </w:rPr>
      </w:pPr>
      <w:r w:rsidRPr="00A4000C">
        <w:rPr>
          <w:rFonts w:ascii="Times New Roman" w:hAnsi="Times New Roman" w:cs="Times New Roman"/>
          <w:b/>
          <w:sz w:val="24"/>
          <w:szCs w:val="24"/>
        </w:rPr>
        <w:t>Form HA-55, Objection to Appearing by Video Teleconferencing</w:t>
      </w:r>
    </w:p>
    <w:p w:rsidRPr="00A4000C" w:rsidR="00AB5D6F" w:rsidP="00AB5D6F" w:rsidRDefault="00AB5D6F" w14:paraId="7011C5F1" w14:textId="77777777">
      <w:pPr>
        <w:suppressAutoHyphens/>
        <w:spacing w:after="0" w:line="240" w:lineRule="auto"/>
        <w:jc w:val="center"/>
        <w:rPr>
          <w:rFonts w:ascii="Times New Roman" w:hAnsi="Times New Roman" w:cs="Times New Roman"/>
          <w:b/>
          <w:sz w:val="24"/>
          <w:szCs w:val="24"/>
        </w:rPr>
      </w:pPr>
      <w:r w:rsidRPr="00A4000C">
        <w:rPr>
          <w:rFonts w:ascii="Times New Roman" w:hAnsi="Times New Roman" w:cs="Times New Roman"/>
          <w:b/>
          <w:sz w:val="24"/>
          <w:szCs w:val="24"/>
        </w:rPr>
        <w:t xml:space="preserve">Form HA-510, Waiver of Written Notice of Hearing </w:t>
      </w:r>
    </w:p>
    <w:p w:rsidRPr="00A4000C" w:rsidR="00AB5D6F" w:rsidP="00AB5D6F" w:rsidRDefault="00AB5D6F" w14:paraId="74E3B139" w14:textId="77777777">
      <w:pPr>
        <w:pStyle w:val="PlainText"/>
        <w:jc w:val="center"/>
        <w:rPr>
          <w:rFonts w:ascii="Times New Roman" w:hAnsi="Times New Roman" w:cs="Times New Roman"/>
          <w:b/>
          <w:sz w:val="24"/>
          <w:szCs w:val="24"/>
        </w:rPr>
      </w:pPr>
      <w:r w:rsidRPr="00A4000C">
        <w:rPr>
          <w:rFonts w:ascii="Times New Roman" w:hAnsi="Times New Roman" w:cs="Times New Roman"/>
          <w:b/>
          <w:sz w:val="24"/>
          <w:szCs w:val="24"/>
        </w:rPr>
        <w:t>20 CFR 404.936, 404.938, 416.1436, 416.1438</w:t>
      </w:r>
    </w:p>
    <w:p w:rsidRPr="00A4000C" w:rsidR="003B124B" w:rsidP="008A0ADE" w:rsidRDefault="00AB5D6F" w14:paraId="23796D29" w14:textId="6D1F2A6F">
      <w:pPr>
        <w:spacing w:after="0" w:line="240" w:lineRule="auto"/>
        <w:jc w:val="center"/>
        <w:rPr>
          <w:rFonts w:ascii="Times New Roman" w:hAnsi="Times New Roman" w:cs="Times New Roman"/>
          <w:b/>
          <w:sz w:val="24"/>
          <w:szCs w:val="24"/>
        </w:rPr>
      </w:pPr>
      <w:r w:rsidRPr="00A4000C">
        <w:rPr>
          <w:rFonts w:ascii="Times New Roman" w:hAnsi="Times New Roman" w:cs="Times New Roman"/>
          <w:b/>
          <w:sz w:val="24"/>
          <w:szCs w:val="24"/>
        </w:rPr>
        <w:t>OMB No. 0960-0671</w:t>
      </w:r>
    </w:p>
    <w:p w:rsidRPr="00A4000C" w:rsidR="008A0ADE" w:rsidP="008A0ADE" w:rsidRDefault="008A0ADE" w14:paraId="5FABE7BF" w14:textId="77777777">
      <w:pPr>
        <w:spacing w:after="0" w:line="240" w:lineRule="auto"/>
        <w:jc w:val="center"/>
        <w:rPr>
          <w:rFonts w:ascii="Times New Roman" w:hAnsi="Times New Roman" w:cs="Times New Roman"/>
          <w:b/>
          <w:sz w:val="24"/>
          <w:szCs w:val="24"/>
        </w:rPr>
      </w:pPr>
    </w:p>
    <w:p w:rsidRPr="00A4000C" w:rsidR="00910B08" w:rsidP="00910B08" w:rsidRDefault="00910B08" w14:paraId="045D77BE" w14:textId="77777777">
      <w:pPr>
        <w:spacing w:line="240" w:lineRule="auto"/>
        <w:rPr>
          <w:rFonts w:ascii="Times New Roman" w:hAnsi="Times New Roman" w:cs="Times New Roman"/>
          <w:b/>
          <w:bCs/>
          <w:sz w:val="24"/>
          <w:szCs w:val="24"/>
          <w:u w:val="single"/>
        </w:rPr>
      </w:pPr>
      <w:r w:rsidRPr="00A4000C">
        <w:rPr>
          <w:rFonts w:ascii="Times New Roman" w:hAnsi="Times New Roman" w:cs="Times New Roman"/>
          <w:b/>
          <w:bCs/>
          <w:sz w:val="24"/>
          <w:szCs w:val="24"/>
          <w:u w:val="single"/>
        </w:rPr>
        <w:t>Background</w:t>
      </w:r>
      <w:r w:rsidRPr="00A4000C" w:rsidR="005F3FA9">
        <w:rPr>
          <w:rFonts w:ascii="Times New Roman" w:hAnsi="Times New Roman" w:cs="Times New Roman"/>
          <w:b/>
          <w:bCs/>
          <w:sz w:val="24"/>
          <w:szCs w:val="24"/>
          <w:u w:val="single"/>
        </w:rPr>
        <w:t xml:space="preserve"> and Purpose</w:t>
      </w:r>
      <w:r w:rsidRPr="00A4000C">
        <w:rPr>
          <w:rFonts w:ascii="Times New Roman" w:hAnsi="Times New Roman" w:cs="Times New Roman"/>
          <w:b/>
          <w:bCs/>
          <w:sz w:val="24"/>
          <w:szCs w:val="24"/>
          <w:u w:val="single"/>
        </w:rPr>
        <w:t>:</w:t>
      </w:r>
    </w:p>
    <w:p w:rsidRPr="00A4000C" w:rsidR="00910B08" w:rsidP="00910B08" w:rsidRDefault="00D53E34" w14:paraId="10C77032" w14:textId="23F04593">
      <w:pPr>
        <w:spacing w:line="240" w:lineRule="auto"/>
        <w:rPr>
          <w:rFonts w:ascii="Times New Roman" w:hAnsi="Times New Roman" w:cs="Times New Roman"/>
          <w:sz w:val="24"/>
          <w:szCs w:val="24"/>
        </w:rPr>
      </w:pPr>
      <w:r w:rsidRPr="00A4000C">
        <w:rPr>
          <w:rFonts w:ascii="Times New Roman" w:hAnsi="Times New Roman" w:cs="Times New Roman"/>
          <w:sz w:val="24"/>
          <w:szCs w:val="24"/>
        </w:rPr>
        <w:t>To respond to</w:t>
      </w:r>
      <w:r w:rsidRPr="00A4000C" w:rsidR="00910B08">
        <w:rPr>
          <w:rFonts w:ascii="Times New Roman" w:hAnsi="Times New Roman" w:cs="Times New Roman"/>
          <w:sz w:val="24"/>
          <w:szCs w:val="24"/>
        </w:rPr>
        <w:t xml:space="preserve"> the COVID-19 public health crisis, the Office </w:t>
      </w:r>
      <w:r w:rsidRPr="00A4000C">
        <w:rPr>
          <w:rFonts w:ascii="Times New Roman" w:hAnsi="Times New Roman" w:cs="Times New Roman"/>
          <w:sz w:val="24"/>
          <w:szCs w:val="24"/>
        </w:rPr>
        <w:t>of Hearings Operations (OHO) is closed to the public and</w:t>
      </w:r>
      <w:r w:rsidRPr="00A4000C" w:rsidR="00910B08">
        <w:rPr>
          <w:rFonts w:ascii="Times New Roman" w:hAnsi="Times New Roman" w:cs="Times New Roman"/>
          <w:sz w:val="24"/>
          <w:szCs w:val="24"/>
        </w:rPr>
        <w:t xml:space="preserve"> temporarily </w:t>
      </w:r>
      <w:r w:rsidRPr="00A4000C">
        <w:rPr>
          <w:rFonts w:ascii="Times New Roman" w:hAnsi="Times New Roman" w:cs="Times New Roman"/>
          <w:sz w:val="24"/>
          <w:szCs w:val="24"/>
        </w:rPr>
        <w:t>conducting all hearings by telephone.</w:t>
      </w:r>
      <w:r w:rsidRPr="00A4000C" w:rsidR="00910B08">
        <w:rPr>
          <w:rFonts w:ascii="Times New Roman" w:hAnsi="Times New Roman" w:cs="Times New Roman"/>
          <w:sz w:val="24"/>
          <w:szCs w:val="24"/>
        </w:rPr>
        <w:t xml:space="preserve"> </w:t>
      </w:r>
      <w:r w:rsidRPr="00A4000C" w:rsidR="00AB5D6F">
        <w:rPr>
          <w:rFonts w:ascii="Times New Roman" w:hAnsi="Times New Roman" w:cs="Times New Roman"/>
          <w:sz w:val="24"/>
          <w:szCs w:val="24"/>
        </w:rPr>
        <w:t xml:space="preserve"> </w:t>
      </w:r>
      <w:r w:rsidRPr="00A4000C" w:rsidR="00912FAD">
        <w:rPr>
          <w:rFonts w:ascii="Times New Roman" w:hAnsi="Times New Roman" w:cs="Times New Roman"/>
          <w:sz w:val="24"/>
          <w:szCs w:val="24"/>
        </w:rPr>
        <w:t xml:space="preserve">Additionally, the claimant cannot visit a hearing office to review the file while our hearing offices are closed, and </w:t>
      </w:r>
      <w:r w:rsidRPr="00A4000C" w:rsidR="00910B08">
        <w:rPr>
          <w:rFonts w:ascii="Times New Roman" w:hAnsi="Times New Roman" w:cs="Times New Roman"/>
          <w:sz w:val="24"/>
          <w:szCs w:val="24"/>
        </w:rPr>
        <w:t xml:space="preserve">we cannot burn </w:t>
      </w:r>
      <w:r w:rsidRPr="00A4000C" w:rsidR="00366AFE">
        <w:rPr>
          <w:rFonts w:ascii="Times New Roman" w:hAnsi="Times New Roman" w:cs="Times New Roman"/>
          <w:sz w:val="24"/>
          <w:szCs w:val="24"/>
        </w:rPr>
        <w:t>compact discs (</w:t>
      </w:r>
      <w:r w:rsidRPr="00A4000C" w:rsidR="00910B08">
        <w:rPr>
          <w:rFonts w:ascii="Times New Roman" w:hAnsi="Times New Roman" w:cs="Times New Roman"/>
          <w:sz w:val="24"/>
          <w:szCs w:val="24"/>
        </w:rPr>
        <w:t>CDs</w:t>
      </w:r>
      <w:r w:rsidRPr="00A4000C" w:rsidR="00366AFE">
        <w:rPr>
          <w:rFonts w:ascii="Times New Roman" w:hAnsi="Times New Roman" w:cs="Times New Roman"/>
          <w:sz w:val="24"/>
          <w:szCs w:val="24"/>
        </w:rPr>
        <w:t>) of claimants’ files for claimants</w:t>
      </w:r>
      <w:r w:rsidRPr="00A4000C" w:rsidR="002D0BDF">
        <w:rPr>
          <w:rFonts w:ascii="Times New Roman" w:hAnsi="Times New Roman" w:cs="Times New Roman"/>
          <w:sz w:val="24"/>
          <w:szCs w:val="24"/>
        </w:rPr>
        <w:t xml:space="preserve"> who do not have electronic folder access</w:t>
      </w:r>
      <w:r w:rsidRPr="00A4000C" w:rsidR="00910B08">
        <w:rPr>
          <w:rFonts w:ascii="Times New Roman" w:hAnsi="Times New Roman" w:cs="Times New Roman"/>
          <w:sz w:val="24"/>
          <w:szCs w:val="24"/>
        </w:rPr>
        <w:t xml:space="preserve">.  </w:t>
      </w:r>
    </w:p>
    <w:p w:rsidRPr="00A4000C" w:rsidR="00910B08" w:rsidP="00910B08" w:rsidRDefault="00912FAD" w14:paraId="4E27DC2B" w14:textId="77777777">
      <w:pPr>
        <w:spacing w:line="240" w:lineRule="auto"/>
        <w:rPr>
          <w:rFonts w:ascii="Times New Roman" w:hAnsi="Times New Roman" w:cs="Times New Roman"/>
          <w:sz w:val="24"/>
          <w:szCs w:val="24"/>
        </w:rPr>
      </w:pPr>
      <w:r w:rsidRPr="00A4000C">
        <w:rPr>
          <w:rFonts w:ascii="Times New Roman" w:hAnsi="Times New Roman" w:cs="Times New Roman"/>
          <w:sz w:val="24"/>
          <w:szCs w:val="24"/>
        </w:rPr>
        <w:t xml:space="preserve">As a public service enhancement to </w:t>
      </w:r>
      <w:r w:rsidRPr="00A4000C" w:rsidR="00910B08">
        <w:rPr>
          <w:rFonts w:ascii="Times New Roman" w:hAnsi="Times New Roman" w:cs="Times New Roman"/>
          <w:sz w:val="24"/>
          <w:szCs w:val="24"/>
        </w:rPr>
        <w:t xml:space="preserve">our new telephone hearing process, decision writers </w:t>
      </w:r>
      <w:r w:rsidRPr="00A4000C" w:rsidR="000C5516">
        <w:rPr>
          <w:rFonts w:ascii="Times New Roman" w:hAnsi="Times New Roman" w:cs="Times New Roman"/>
          <w:sz w:val="24"/>
          <w:szCs w:val="24"/>
        </w:rPr>
        <w:t xml:space="preserve">(DW) </w:t>
      </w:r>
      <w:r w:rsidRPr="00A4000C" w:rsidR="005F3FA9">
        <w:rPr>
          <w:rFonts w:ascii="Times New Roman" w:hAnsi="Times New Roman" w:cs="Times New Roman"/>
          <w:sz w:val="24"/>
          <w:szCs w:val="24"/>
        </w:rPr>
        <w:t xml:space="preserve">will </w:t>
      </w:r>
      <w:r w:rsidRPr="00A4000C" w:rsidR="00D53E34">
        <w:rPr>
          <w:rFonts w:ascii="Times New Roman" w:hAnsi="Times New Roman" w:cs="Times New Roman"/>
          <w:sz w:val="24"/>
          <w:szCs w:val="24"/>
        </w:rPr>
        <w:t>conduct</w:t>
      </w:r>
      <w:r w:rsidRPr="00A4000C" w:rsidR="00C63445">
        <w:rPr>
          <w:rFonts w:ascii="Times New Roman" w:hAnsi="Times New Roman" w:cs="Times New Roman"/>
          <w:sz w:val="24"/>
          <w:szCs w:val="24"/>
        </w:rPr>
        <w:t xml:space="preserve"> COVID-19 Enhanced Outreach</w:t>
      </w:r>
      <w:r w:rsidRPr="00A4000C" w:rsidR="00790278">
        <w:rPr>
          <w:rFonts w:ascii="Times New Roman" w:hAnsi="Times New Roman" w:cs="Times New Roman"/>
          <w:sz w:val="24"/>
          <w:szCs w:val="24"/>
        </w:rPr>
        <w:t xml:space="preserve"> </w:t>
      </w:r>
      <w:r w:rsidRPr="00A4000C" w:rsidR="00D53E34">
        <w:rPr>
          <w:rFonts w:ascii="Times New Roman" w:hAnsi="Times New Roman" w:cs="Times New Roman"/>
          <w:sz w:val="24"/>
          <w:szCs w:val="24"/>
        </w:rPr>
        <w:t>for</w:t>
      </w:r>
      <w:r w:rsidRPr="00A4000C" w:rsidR="00910B08">
        <w:rPr>
          <w:rFonts w:ascii="Times New Roman" w:hAnsi="Times New Roman" w:cs="Times New Roman"/>
          <w:sz w:val="24"/>
          <w:szCs w:val="24"/>
        </w:rPr>
        <w:t xml:space="preserve"> </w:t>
      </w:r>
      <w:r w:rsidRPr="00A4000C" w:rsidR="002D0BDF">
        <w:rPr>
          <w:rFonts w:ascii="Times New Roman" w:hAnsi="Times New Roman" w:cs="Times New Roman"/>
          <w:sz w:val="24"/>
          <w:szCs w:val="24"/>
        </w:rPr>
        <w:t xml:space="preserve">hearings that are ready to schedule (RTS) or currently scheduled (SCHD) </w:t>
      </w:r>
      <w:r w:rsidRPr="00A4000C" w:rsidR="00C63445">
        <w:rPr>
          <w:rFonts w:ascii="Times New Roman" w:hAnsi="Times New Roman" w:cs="Times New Roman"/>
          <w:sz w:val="24"/>
          <w:szCs w:val="24"/>
        </w:rPr>
        <w:t xml:space="preserve">for </w:t>
      </w:r>
      <w:r w:rsidRPr="00A4000C" w:rsidR="00910B08">
        <w:rPr>
          <w:rFonts w:ascii="Times New Roman" w:hAnsi="Times New Roman" w:cs="Times New Roman"/>
          <w:sz w:val="24"/>
          <w:szCs w:val="24"/>
        </w:rPr>
        <w:t xml:space="preserve">both unrepresented and represented claimants.  </w:t>
      </w:r>
    </w:p>
    <w:p w:rsidRPr="00A4000C" w:rsidR="00912FAD" w:rsidP="00910B08" w:rsidRDefault="00912FAD" w14:paraId="6A364BB0" w14:textId="3137752F">
      <w:pPr>
        <w:spacing w:line="240" w:lineRule="auto"/>
        <w:rPr>
          <w:rFonts w:ascii="Times New Roman" w:hAnsi="Times New Roman" w:cs="Times New Roman"/>
          <w:sz w:val="24"/>
          <w:szCs w:val="24"/>
        </w:rPr>
      </w:pPr>
      <w:r w:rsidRPr="00A4000C">
        <w:rPr>
          <w:rFonts w:ascii="Times New Roman" w:hAnsi="Times New Roman" w:cs="Times New Roman"/>
          <w:sz w:val="24"/>
          <w:szCs w:val="24"/>
        </w:rPr>
        <w:t>T</w:t>
      </w:r>
      <w:r w:rsidRPr="00A4000C" w:rsidR="00F90EFD">
        <w:rPr>
          <w:rFonts w:ascii="Times New Roman" w:hAnsi="Times New Roman" w:cs="Times New Roman"/>
          <w:sz w:val="24"/>
          <w:szCs w:val="24"/>
        </w:rPr>
        <w:t>he COVID</w:t>
      </w:r>
      <w:r w:rsidR="00C54209">
        <w:rPr>
          <w:rFonts w:ascii="Times New Roman" w:hAnsi="Times New Roman" w:cs="Times New Roman"/>
          <w:sz w:val="24"/>
          <w:szCs w:val="24"/>
        </w:rPr>
        <w:t>-19</w:t>
      </w:r>
      <w:r w:rsidRPr="00A4000C" w:rsidR="00F90EFD">
        <w:rPr>
          <w:rFonts w:ascii="Times New Roman" w:hAnsi="Times New Roman" w:cs="Times New Roman"/>
          <w:sz w:val="24"/>
          <w:szCs w:val="24"/>
        </w:rPr>
        <w:t xml:space="preserve"> Enhanced </w:t>
      </w:r>
      <w:r w:rsidRPr="00A4000C" w:rsidR="00366AFE">
        <w:rPr>
          <w:rFonts w:ascii="Times New Roman" w:hAnsi="Times New Roman" w:cs="Times New Roman"/>
          <w:sz w:val="24"/>
          <w:szCs w:val="24"/>
        </w:rPr>
        <w:t>Outreach,</w:t>
      </w:r>
      <w:r w:rsidRPr="00A4000C" w:rsidR="00F90EFD">
        <w:rPr>
          <w:rFonts w:ascii="Times New Roman" w:hAnsi="Times New Roman" w:cs="Times New Roman"/>
          <w:sz w:val="24"/>
          <w:szCs w:val="24"/>
        </w:rPr>
        <w:t xml:space="preserve"> </w:t>
      </w:r>
      <w:r w:rsidRPr="00A4000C">
        <w:rPr>
          <w:rFonts w:ascii="Times New Roman" w:hAnsi="Times New Roman" w:cs="Times New Roman"/>
          <w:sz w:val="24"/>
          <w:szCs w:val="24"/>
        </w:rPr>
        <w:t xml:space="preserve">DWs will: </w:t>
      </w:r>
    </w:p>
    <w:p w:rsidRPr="00557901" w:rsidR="00AB5D6F" w:rsidP="00557901" w:rsidRDefault="00AB5D6F" w14:paraId="3E3BB813" w14:textId="0482502E">
      <w:pPr>
        <w:pStyle w:val="ListParagraph"/>
        <w:numPr>
          <w:ilvl w:val="0"/>
          <w:numId w:val="2"/>
        </w:numPr>
        <w:spacing w:line="240" w:lineRule="auto"/>
        <w:rPr>
          <w:rFonts w:ascii="Times New Roman" w:hAnsi="Times New Roman" w:cs="Times New Roman"/>
          <w:sz w:val="24"/>
          <w:szCs w:val="24"/>
        </w:rPr>
      </w:pPr>
      <w:r w:rsidRPr="00A4000C">
        <w:rPr>
          <w:rFonts w:ascii="Times New Roman" w:hAnsi="Times New Roman" w:cs="Times New Roman"/>
          <w:sz w:val="24"/>
          <w:szCs w:val="24"/>
        </w:rPr>
        <w:t>S</w:t>
      </w:r>
      <w:r w:rsidRPr="00A4000C" w:rsidR="00912FAD">
        <w:rPr>
          <w:rFonts w:ascii="Times New Roman" w:hAnsi="Times New Roman" w:cs="Times New Roman"/>
          <w:sz w:val="24"/>
          <w:szCs w:val="24"/>
        </w:rPr>
        <w:t>creen those cases for potential On-The-Record (OTR) decisions, alerting management of a potential OTR for assignment to a Senior Attorney for further review, recommended amended onset date, etc.</w:t>
      </w:r>
    </w:p>
    <w:p w:rsidRPr="00557901" w:rsidR="00AB5D6F" w:rsidP="00557901" w:rsidRDefault="00AB5D6F" w14:paraId="41150B07" w14:textId="1884C564">
      <w:pPr>
        <w:pStyle w:val="ListParagraph"/>
        <w:numPr>
          <w:ilvl w:val="0"/>
          <w:numId w:val="2"/>
        </w:numPr>
        <w:spacing w:line="240" w:lineRule="auto"/>
        <w:rPr>
          <w:rFonts w:ascii="Times New Roman" w:hAnsi="Times New Roman" w:cs="Times New Roman"/>
          <w:sz w:val="24"/>
          <w:szCs w:val="24"/>
        </w:rPr>
      </w:pPr>
      <w:r w:rsidRPr="00A4000C">
        <w:rPr>
          <w:rFonts w:ascii="Times New Roman" w:hAnsi="Times New Roman" w:cs="Times New Roman"/>
          <w:sz w:val="24"/>
          <w:szCs w:val="24"/>
        </w:rPr>
        <w:t>C</w:t>
      </w:r>
      <w:r w:rsidRPr="00A4000C" w:rsidR="00912FAD">
        <w:rPr>
          <w:rFonts w:ascii="Times New Roman" w:hAnsi="Times New Roman" w:cs="Times New Roman"/>
          <w:sz w:val="24"/>
          <w:szCs w:val="24"/>
        </w:rPr>
        <w:t>over the current situation that our offices are closed and that hearings are only being conducted by telephone to seek the claimant or representative’s agreement to proceed w</w:t>
      </w:r>
      <w:r w:rsidRPr="00A4000C">
        <w:rPr>
          <w:rFonts w:ascii="Times New Roman" w:hAnsi="Times New Roman" w:cs="Times New Roman"/>
          <w:sz w:val="24"/>
          <w:szCs w:val="24"/>
        </w:rPr>
        <w:t>ith a hearing by telephone; and</w:t>
      </w:r>
    </w:p>
    <w:p w:rsidRPr="00A4000C" w:rsidR="00912FAD" w:rsidP="00910B08" w:rsidRDefault="00AB5D6F" w14:paraId="7D4F17A6" w14:textId="3AE6BE08">
      <w:pPr>
        <w:pStyle w:val="ListParagraph"/>
        <w:numPr>
          <w:ilvl w:val="0"/>
          <w:numId w:val="2"/>
        </w:numPr>
        <w:spacing w:line="240" w:lineRule="auto"/>
        <w:rPr>
          <w:rFonts w:ascii="Times New Roman" w:hAnsi="Times New Roman" w:cs="Times New Roman"/>
          <w:sz w:val="24"/>
          <w:szCs w:val="24"/>
        </w:rPr>
      </w:pPr>
      <w:r w:rsidRPr="00A4000C">
        <w:rPr>
          <w:rFonts w:ascii="Times New Roman" w:hAnsi="Times New Roman" w:cs="Times New Roman"/>
          <w:sz w:val="24"/>
          <w:szCs w:val="24"/>
        </w:rPr>
        <w:t>R</w:t>
      </w:r>
      <w:r w:rsidRPr="00A4000C" w:rsidR="00912FAD">
        <w:rPr>
          <w:rFonts w:ascii="Times New Roman" w:hAnsi="Times New Roman" w:cs="Times New Roman"/>
          <w:sz w:val="24"/>
          <w:szCs w:val="24"/>
        </w:rPr>
        <w:t xml:space="preserve">equest </w:t>
      </w:r>
      <w:r w:rsidRPr="00A4000C" w:rsidR="00F90EFD">
        <w:rPr>
          <w:rFonts w:ascii="Times New Roman" w:hAnsi="Times New Roman" w:cs="Times New Roman"/>
          <w:sz w:val="24"/>
          <w:szCs w:val="24"/>
        </w:rPr>
        <w:t xml:space="preserve">the claimant’s email address so that we can email the evidence in the claimant’s case. </w:t>
      </w:r>
    </w:p>
    <w:p w:rsidRPr="00A4000C" w:rsidR="00912FAD" w:rsidP="00912FAD" w:rsidRDefault="00912FAD" w14:paraId="5E4B35A9" w14:textId="77777777">
      <w:pPr>
        <w:spacing w:line="240" w:lineRule="auto"/>
        <w:rPr>
          <w:rFonts w:ascii="Times New Roman" w:hAnsi="Times New Roman" w:cs="Times New Roman"/>
          <w:sz w:val="24"/>
          <w:szCs w:val="24"/>
        </w:rPr>
      </w:pPr>
      <w:r w:rsidRPr="00A4000C">
        <w:rPr>
          <w:rFonts w:ascii="Times New Roman" w:hAnsi="Times New Roman" w:cs="Times New Roman"/>
          <w:sz w:val="24"/>
          <w:szCs w:val="24"/>
        </w:rPr>
        <w:t xml:space="preserve">This enhanced outreach will ensure our ability to provide timely and efficient hearings while safeguarding due process. </w:t>
      </w:r>
    </w:p>
    <w:p w:rsidRPr="00A4000C" w:rsidR="00D53E34" w:rsidP="00910B08" w:rsidRDefault="00D53E34" w14:paraId="06568611" w14:textId="6809ABDA">
      <w:pPr>
        <w:spacing w:line="240" w:lineRule="auto"/>
        <w:rPr>
          <w:rFonts w:ascii="Times New Roman" w:hAnsi="Times New Roman" w:cs="Times New Roman"/>
          <w:sz w:val="24"/>
          <w:szCs w:val="24"/>
        </w:rPr>
      </w:pPr>
      <w:r w:rsidRPr="00A4000C">
        <w:rPr>
          <w:rFonts w:ascii="Times New Roman" w:hAnsi="Times New Roman" w:cs="Times New Roman"/>
          <w:sz w:val="24"/>
          <w:szCs w:val="24"/>
        </w:rPr>
        <w:t>COVID</w:t>
      </w:r>
      <w:r w:rsidR="00C54209">
        <w:rPr>
          <w:rFonts w:ascii="Times New Roman" w:hAnsi="Times New Roman" w:cs="Times New Roman"/>
          <w:sz w:val="24"/>
          <w:szCs w:val="24"/>
        </w:rPr>
        <w:t>-19</w:t>
      </w:r>
      <w:r w:rsidRPr="00A4000C">
        <w:rPr>
          <w:rFonts w:ascii="Times New Roman" w:hAnsi="Times New Roman" w:cs="Times New Roman"/>
          <w:sz w:val="24"/>
          <w:szCs w:val="24"/>
        </w:rPr>
        <w:t xml:space="preserve"> </w:t>
      </w:r>
      <w:r w:rsidRPr="00A4000C" w:rsidR="00C63445">
        <w:rPr>
          <w:rFonts w:ascii="Times New Roman" w:hAnsi="Times New Roman" w:cs="Times New Roman"/>
          <w:sz w:val="24"/>
          <w:szCs w:val="24"/>
        </w:rPr>
        <w:t xml:space="preserve">Enhanced </w:t>
      </w:r>
      <w:r w:rsidRPr="00A4000C">
        <w:rPr>
          <w:rFonts w:ascii="Times New Roman" w:hAnsi="Times New Roman" w:cs="Times New Roman"/>
          <w:sz w:val="24"/>
          <w:szCs w:val="24"/>
        </w:rPr>
        <w:t>Ou</w:t>
      </w:r>
      <w:r w:rsidRPr="00A4000C" w:rsidR="00C63445">
        <w:rPr>
          <w:rFonts w:ascii="Times New Roman" w:hAnsi="Times New Roman" w:cs="Times New Roman"/>
          <w:sz w:val="24"/>
          <w:szCs w:val="24"/>
        </w:rPr>
        <w:t xml:space="preserve">treach </w:t>
      </w:r>
      <w:r w:rsidRPr="00A4000C">
        <w:rPr>
          <w:rFonts w:ascii="Times New Roman" w:hAnsi="Times New Roman" w:cs="Times New Roman"/>
          <w:sz w:val="24"/>
          <w:szCs w:val="24"/>
        </w:rPr>
        <w:t xml:space="preserve">with </w:t>
      </w:r>
      <w:r w:rsidRPr="00A4000C" w:rsidR="000C5516">
        <w:rPr>
          <w:rFonts w:ascii="Times New Roman" w:hAnsi="Times New Roman" w:cs="Times New Roman"/>
          <w:sz w:val="24"/>
          <w:szCs w:val="24"/>
        </w:rPr>
        <w:t>unrepresented claimants</w:t>
      </w:r>
      <w:r w:rsidRPr="00A4000C">
        <w:rPr>
          <w:rFonts w:ascii="Times New Roman" w:hAnsi="Times New Roman" w:cs="Times New Roman"/>
          <w:sz w:val="24"/>
          <w:szCs w:val="24"/>
        </w:rPr>
        <w:t xml:space="preserve"> will include:</w:t>
      </w:r>
    </w:p>
    <w:p w:rsidRPr="00557901" w:rsidR="00AB5D6F" w:rsidP="00557901" w:rsidRDefault="00321CC9" w14:paraId="663783D7" w14:textId="6DBCF00C">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Informing claimants of the right to representation</w:t>
      </w:r>
      <w:r w:rsidRPr="00A4000C" w:rsidR="00910B08">
        <w:rPr>
          <w:rFonts w:ascii="Times New Roman" w:hAnsi="Times New Roman" w:cs="Times New Roman"/>
          <w:sz w:val="24"/>
          <w:szCs w:val="24"/>
        </w:rPr>
        <w:t>, attempt</w:t>
      </w:r>
      <w:r w:rsidRPr="00A4000C" w:rsidR="00F97725">
        <w:rPr>
          <w:rFonts w:ascii="Times New Roman" w:hAnsi="Times New Roman" w:cs="Times New Roman"/>
          <w:sz w:val="24"/>
          <w:szCs w:val="24"/>
        </w:rPr>
        <w:t>ing</w:t>
      </w:r>
      <w:r w:rsidRPr="00A4000C" w:rsidR="00910B08">
        <w:rPr>
          <w:rFonts w:ascii="Times New Roman" w:hAnsi="Times New Roman" w:cs="Times New Roman"/>
          <w:sz w:val="24"/>
          <w:szCs w:val="24"/>
        </w:rPr>
        <w:t xml:space="preserve"> to identify outstand</w:t>
      </w:r>
      <w:r w:rsidRPr="00A4000C" w:rsidR="00F97725">
        <w:rPr>
          <w:rFonts w:ascii="Times New Roman" w:hAnsi="Times New Roman" w:cs="Times New Roman"/>
          <w:sz w:val="24"/>
          <w:szCs w:val="24"/>
        </w:rPr>
        <w:t>ing medical evidence and resolving</w:t>
      </w:r>
      <w:r w:rsidRPr="00A4000C" w:rsidR="00910B08">
        <w:rPr>
          <w:rFonts w:ascii="Times New Roman" w:hAnsi="Times New Roman" w:cs="Times New Roman"/>
          <w:sz w:val="24"/>
          <w:szCs w:val="24"/>
        </w:rPr>
        <w:t xml:space="preserve"> any development issues.  </w:t>
      </w:r>
    </w:p>
    <w:p w:rsidRPr="00557901" w:rsidR="00AB5D6F" w:rsidP="00557901" w:rsidRDefault="00F97725" w14:paraId="6F756A13" w14:textId="1D873708">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For cases in RTS status, informing</w:t>
      </w:r>
      <w:r w:rsidRPr="00A4000C" w:rsidR="0097496B">
        <w:rPr>
          <w:rFonts w:ascii="Times New Roman" w:hAnsi="Times New Roman" w:cs="Times New Roman"/>
          <w:sz w:val="24"/>
          <w:szCs w:val="24"/>
        </w:rPr>
        <w:t xml:space="preserve"> claimant</w:t>
      </w:r>
      <w:r w:rsidRPr="00A4000C">
        <w:rPr>
          <w:rFonts w:ascii="Times New Roman" w:hAnsi="Times New Roman" w:cs="Times New Roman"/>
          <w:sz w:val="24"/>
          <w:szCs w:val="24"/>
        </w:rPr>
        <w:t>s</w:t>
      </w:r>
      <w:r w:rsidRPr="00A4000C" w:rsidR="0097496B">
        <w:rPr>
          <w:rFonts w:ascii="Times New Roman" w:hAnsi="Times New Roman" w:cs="Times New Roman"/>
          <w:sz w:val="24"/>
          <w:szCs w:val="24"/>
        </w:rPr>
        <w:t xml:space="preserve"> that </w:t>
      </w:r>
      <w:r w:rsidRPr="00A4000C" w:rsidR="00366AFE">
        <w:rPr>
          <w:rFonts w:ascii="Times New Roman" w:hAnsi="Times New Roman" w:cs="Times New Roman"/>
          <w:sz w:val="24"/>
          <w:szCs w:val="24"/>
        </w:rPr>
        <w:t>while the hearing office is closed</w:t>
      </w:r>
      <w:r w:rsidRPr="00A4000C">
        <w:rPr>
          <w:rFonts w:ascii="Times New Roman" w:hAnsi="Times New Roman" w:cs="Times New Roman"/>
          <w:sz w:val="24"/>
          <w:szCs w:val="24"/>
        </w:rPr>
        <w:t xml:space="preserve">, </w:t>
      </w:r>
      <w:r w:rsidRPr="00A4000C" w:rsidR="0097496B">
        <w:rPr>
          <w:rFonts w:ascii="Times New Roman" w:hAnsi="Times New Roman" w:cs="Times New Roman"/>
          <w:sz w:val="24"/>
          <w:szCs w:val="24"/>
        </w:rPr>
        <w:t>w</w:t>
      </w:r>
      <w:r w:rsidRPr="00A4000C">
        <w:rPr>
          <w:rFonts w:ascii="Times New Roman" w:hAnsi="Times New Roman" w:cs="Times New Roman"/>
          <w:sz w:val="24"/>
          <w:szCs w:val="24"/>
        </w:rPr>
        <w:t>e are conducting all hearings by telephone, and w</w:t>
      </w:r>
      <w:r w:rsidRPr="00A4000C" w:rsidR="0097496B">
        <w:rPr>
          <w:rFonts w:ascii="Times New Roman" w:hAnsi="Times New Roman" w:cs="Times New Roman"/>
          <w:sz w:val="24"/>
          <w:szCs w:val="24"/>
        </w:rPr>
        <w:t xml:space="preserve">e will not schedule </w:t>
      </w:r>
      <w:r w:rsidRPr="00A4000C">
        <w:rPr>
          <w:rFonts w:ascii="Times New Roman" w:hAnsi="Times New Roman" w:cs="Times New Roman"/>
          <w:sz w:val="24"/>
          <w:szCs w:val="24"/>
        </w:rPr>
        <w:t>t</w:t>
      </w:r>
      <w:r w:rsidRPr="00A4000C" w:rsidR="0097496B">
        <w:rPr>
          <w:rFonts w:ascii="Times New Roman" w:hAnsi="Times New Roman" w:cs="Times New Roman"/>
          <w:sz w:val="24"/>
          <w:szCs w:val="24"/>
        </w:rPr>
        <w:t>hei</w:t>
      </w:r>
      <w:r w:rsidRPr="00A4000C">
        <w:rPr>
          <w:rFonts w:ascii="Times New Roman" w:hAnsi="Times New Roman" w:cs="Times New Roman"/>
          <w:sz w:val="24"/>
          <w:szCs w:val="24"/>
        </w:rPr>
        <w:t xml:space="preserve">r hearing </w:t>
      </w:r>
      <w:r w:rsidRPr="00A4000C" w:rsidR="0097496B">
        <w:rPr>
          <w:rFonts w:ascii="Times New Roman" w:hAnsi="Times New Roman" w:cs="Times New Roman"/>
          <w:sz w:val="24"/>
          <w:szCs w:val="24"/>
        </w:rPr>
        <w:t>unless they agree to a telephone hearing.</w:t>
      </w:r>
    </w:p>
    <w:p w:rsidRPr="00557901" w:rsidR="00AB5D6F" w:rsidP="00557901" w:rsidRDefault="0097496B" w14:paraId="4A748232" w14:textId="2E77BA9A">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For cases i</w:t>
      </w:r>
      <w:r w:rsidRPr="00A4000C" w:rsidR="00F97725">
        <w:rPr>
          <w:rFonts w:ascii="Times New Roman" w:hAnsi="Times New Roman" w:cs="Times New Roman"/>
          <w:sz w:val="24"/>
          <w:szCs w:val="24"/>
        </w:rPr>
        <w:t xml:space="preserve">n SCHD status, </w:t>
      </w:r>
      <w:r w:rsidRPr="00A4000C">
        <w:rPr>
          <w:rFonts w:ascii="Times New Roman" w:hAnsi="Times New Roman" w:cs="Times New Roman"/>
          <w:sz w:val="24"/>
          <w:szCs w:val="24"/>
        </w:rPr>
        <w:t>inform</w:t>
      </w:r>
      <w:r w:rsidRPr="00A4000C" w:rsidR="00F97725">
        <w:rPr>
          <w:rFonts w:ascii="Times New Roman" w:hAnsi="Times New Roman" w:cs="Times New Roman"/>
          <w:sz w:val="24"/>
          <w:szCs w:val="24"/>
        </w:rPr>
        <w:t>ing</w:t>
      </w:r>
      <w:r w:rsidRPr="00A4000C">
        <w:rPr>
          <w:rFonts w:ascii="Times New Roman" w:hAnsi="Times New Roman" w:cs="Times New Roman"/>
          <w:sz w:val="24"/>
          <w:szCs w:val="24"/>
        </w:rPr>
        <w:t xml:space="preserve"> the claimant that </w:t>
      </w:r>
      <w:r w:rsidRPr="00A4000C" w:rsidR="00366AFE">
        <w:rPr>
          <w:rFonts w:ascii="Times New Roman" w:hAnsi="Times New Roman" w:cs="Times New Roman"/>
          <w:sz w:val="24"/>
          <w:szCs w:val="24"/>
        </w:rPr>
        <w:t>while the hearing office is closed</w:t>
      </w:r>
      <w:r w:rsidRPr="00A4000C">
        <w:rPr>
          <w:rFonts w:ascii="Times New Roman" w:hAnsi="Times New Roman" w:cs="Times New Roman"/>
          <w:sz w:val="24"/>
          <w:szCs w:val="24"/>
        </w:rPr>
        <w:t xml:space="preserve"> we are conducting all hearings by telephone, and ask</w:t>
      </w:r>
      <w:r w:rsidRPr="00A4000C" w:rsidR="00F97725">
        <w:rPr>
          <w:rFonts w:ascii="Times New Roman" w:hAnsi="Times New Roman" w:cs="Times New Roman"/>
          <w:sz w:val="24"/>
          <w:szCs w:val="24"/>
        </w:rPr>
        <w:t>ing</w:t>
      </w:r>
      <w:r w:rsidRPr="00A4000C">
        <w:rPr>
          <w:rFonts w:ascii="Times New Roman" w:hAnsi="Times New Roman" w:cs="Times New Roman"/>
          <w:sz w:val="24"/>
          <w:szCs w:val="24"/>
        </w:rPr>
        <w:t xml:space="preserve"> if they want to proceed with a telephone hearing or postpone until our offices re-open.  </w:t>
      </w:r>
    </w:p>
    <w:p w:rsidRPr="00557901" w:rsidR="00AB5D6F" w:rsidP="00557901" w:rsidRDefault="00F97725" w14:paraId="06A3C5DC" w14:textId="5D896817">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For cases in SCHD status,</w:t>
      </w:r>
      <w:r w:rsidRPr="00A4000C" w:rsidR="003A411F">
        <w:rPr>
          <w:rFonts w:ascii="Times New Roman" w:hAnsi="Times New Roman" w:cs="Times New Roman"/>
          <w:sz w:val="24"/>
          <w:szCs w:val="24"/>
        </w:rPr>
        <w:t xml:space="preserve"> if claimant agrees to a telephone hearing, and if applicable, </w:t>
      </w:r>
      <w:r w:rsidRPr="00A4000C">
        <w:rPr>
          <w:rFonts w:ascii="Times New Roman" w:hAnsi="Times New Roman" w:cs="Times New Roman"/>
          <w:sz w:val="24"/>
          <w:szCs w:val="24"/>
        </w:rPr>
        <w:t xml:space="preserve">obtain </w:t>
      </w:r>
      <w:r w:rsidRPr="00A4000C" w:rsidR="003A411F">
        <w:rPr>
          <w:rFonts w:ascii="Times New Roman" w:hAnsi="Times New Roman" w:cs="Times New Roman"/>
          <w:sz w:val="24"/>
          <w:szCs w:val="24"/>
        </w:rPr>
        <w:t>agreement to waiver o</w:t>
      </w:r>
      <w:r w:rsidRPr="00A4000C">
        <w:rPr>
          <w:rFonts w:ascii="Times New Roman" w:hAnsi="Times New Roman" w:cs="Times New Roman"/>
          <w:sz w:val="24"/>
          <w:szCs w:val="24"/>
        </w:rPr>
        <w:t xml:space="preserve">f the 20-day Notice for amended or supplemental hearings. </w:t>
      </w:r>
    </w:p>
    <w:p w:rsidRPr="00557901" w:rsidR="00AB5D6F" w:rsidP="00557901" w:rsidRDefault="00912FAD" w14:paraId="019C73AB" w14:textId="5AF7E4E9">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 xml:space="preserve">Providing an encrypted, password protected PDF via email of the electronic folder. </w:t>
      </w:r>
      <w:r w:rsidRPr="00A4000C" w:rsidR="00AB5D6F">
        <w:rPr>
          <w:rFonts w:ascii="Times New Roman" w:hAnsi="Times New Roman" w:cs="Times New Roman"/>
          <w:sz w:val="24"/>
          <w:szCs w:val="24"/>
        </w:rPr>
        <w:t xml:space="preserve"> </w:t>
      </w:r>
      <w:r w:rsidRPr="00A4000C">
        <w:rPr>
          <w:rFonts w:ascii="Times New Roman" w:hAnsi="Times New Roman" w:cs="Times New Roman"/>
          <w:sz w:val="24"/>
          <w:szCs w:val="24"/>
        </w:rPr>
        <w:t xml:space="preserve">The claimant can view the file on any device. </w:t>
      </w:r>
    </w:p>
    <w:p w:rsidRPr="00A4000C" w:rsidR="00377597" w:rsidP="00377597" w:rsidRDefault="00321CC9" w14:paraId="028489E1" w14:textId="09684E9C">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R</w:t>
      </w:r>
      <w:r w:rsidRPr="00A4000C" w:rsidR="00910B08">
        <w:rPr>
          <w:rFonts w:ascii="Times New Roman" w:hAnsi="Times New Roman" w:cs="Times New Roman"/>
          <w:sz w:val="24"/>
          <w:szCs w:val="24"/>
        </w:rPr>
        <w:t>eview</w:t>
      </w:r>
      <w:r w:rsidRPr="00A4000C">
        <w:rPr>
          <w:rFonts w:ascii="Times New Roman" w:hAnsi="Times New Roman" w:cs="Times New Roman"/>
          <w:sz w:val="24"/>
          <w:szCs w:val="24"/>
        </w:rPr>
        <w:t>ing</w:t>
      </w:r>
      <w:r w:rsidRPr="00A4000C" w:rsidR="00910B08">
        <w:rPr>
          <w:rFonts w:ascii="Times New Roman" w:hAnsi="Times New Roman" w:cs="Times New Roman"/>
          <w:sz w:val="24"/>
          <w:szCs w:val="24"/>
        </w:rPr>
        <w:t xml:space="preserve"> the exhibited evidence </w:t>
      </w:r>
      <w:r w:rsidRPr="00A4000C" w:rsidR="000068E7">
        <w:rPr>
          <w:rFonts w:ascii="Times New Roman" w:hAnsi="Times New Roman" w:cs="Times New Roman"/>
          <w:sz w:val="24"/>
          <w:szCs w:val="24"/>
        </w:rPr>
        <w:t xml:space="preserve">in the file </w:t>
      </w:r>
      <w:r w:rsidRPr="00A4000C" w:rsidR="00910B08">
        <w:rPr>
          <w:rFonts w:ascii="Times New Roman" w:hAnsi="Times New Roman" w:cs="Times New Roman"/>
          <w:sz w:val="24"/>
          <w:szCs w:val="24"/>
        </w:rPr>
        <w:t>with unrepresented claim</w:t>
      </w:r>
      <w:r w:rsidRPr="00A4000C">
        <w:rPr>
          <w:rFonts w:ascii="Times New Roman" w:hAnsi="Times New Roman" w:cs="Times New Roman"/>
          <w:sz w:val="24"/>
          <w:szCs w:val="24"/>
        </w:rPr>
        <w:t xml:space="preserve">ants by telephone to ensure </w:t>
      </w:r>
      <w:r w:rsidRPr="00A4000C" w:rsidR="00910B08">
        <w:rPr>
          <w:rFonts w:ascii="Times New Roman" w:hAnsi="Times New Roman" w:cs="Times New Roman"/>
          <w:sz w:val="24"/>
          <w:szCs w:val="24"/>
        </w:rPr>
        <w:t xml:space="preserve">that </w:t>
      </w:r>
      <w:r w:rsidRPr="00A4000C">
        <w:rPr>
          <w:rFonts w:ascii="Times New Roman" w:hAnsi="Times New Roman" w:cs="Times New Roman"/>
          <w:sz w:val="24"/>
          <w:szCs w:val="24"/>
        </w:rPr>
        <w:t xml:space="preserve">the </w:t>
      </w:r>
      <w:r w:rsidRPr="00A4000C" w:rsidR="00910B08">
        <w:rPr>
          <w:rFonts w:ascii="Times New Roman" w:hAnsi="Times New Roman" w:cs="Times New Roman"/>
          <w:sz w:val="24"/>
          <w:szCs w:val="24"/>
        </w:rPr>
        <w:t>file accurately reflects the record evidence.</w:t>
      </w:r>
      <w:r w:rsidRPr="00A4000C" w:rsidR="00377597">
        <w:rPr>
          <w:rFonts w:ascii="Times New Roman" w:hAnsi="Times New Roman" w:cs="Times New Roman"/>
          <w:sz w:val="24"/>
          <w:szCs w:val="24"/>
        </w:rPr>
        <w:t xml:space="preserve"> </w:t>
      </w:r>
    </w:p>
    <w:p w:rsidRPr="00A4000C" w:rsidR="00AB5D6F" w:rsidP="000068E7" w:rsidRDefault="00AB5D6F" w14:paraId="0509E61E" w14:textId="77777777">
      <w:pPr>
        <w:pStyle w:val="ListParagraph"/>
        <w:spacing w:line="240" w:lineRule="auto"/>
        <w:rPr>
          <w:rFonts w:ascii="Times New Roman" w:hAnsi="Times New Roman" w:cs="Times New Roman"/>
          <w:sz w:val="24"/>
          <w:szCs w:val="24"/>
        </w:rPr>
      </w:pPr>
    </w:p>
    <w:p w:rsidRPr="00A4000C" w:rsidR="000068E7" w:rsidP="000068E7" w:rsidRDefault="000068E7" w14:paraId="006FC9FE" w14:textId="59D15921">
      <w:pPr>
        <w:pStyle w:val="ListParagraph"/>
        <w:spacing w:line="240" w:lineRule="auto"/>
        <w:rPr>
          <w:rFonts w:ascii="Times New Roman" w:hAnsi="Times New Roman" w:cs="Times New Roman"/>
          <w:sz w:val="24"/>
          <w:szCs w:val="24"/>
        </w:rPr>
      </w:pPr>
      <w:r w:rsidRPr="00A4000C">
        <w:rPr>
          <w:rFonts w:ascii="Times New Roman" w:hAnsi="Times New Roman" w:cs="Times New Roman"/>
          <w:sz w:val="24"/>
          <w:szCs w:val="24"/>
        </w:rPr>
        <w:lastRenderedPageBreak/>
        <w:t xml:space="preserve">NOTE: </w:t>
      </w:r>
      <w:r w:rsidRPr="00A4000C" w:rsidR="00AB5D6F">
        <w:rPr>
          <w:rFonts w:ascii="Times New Roman" w:hAnsi="Times New Roman" w:cs="Times New Roman"/>
          <w:sz w:val="24"/>
          <w:szCs w:val="24"/>
        </w:rPr>
        <w:t xml:space="preserve"> </w:t>
      </w:r>
      <w:r w:rsidRPr="00A4000C">
        <w:rPr>
          <w:rFonts w:ascii="Times New Roman" w:hAnsi="Times New Roman" w:cs="Times New Roman"/>
          <w:sz w:val="24"/>
          <w:szCs w:val="24"/>
        </w:rPr>
        <w:t xml:space="preserve">If the claimant does not have access to the internet or email, they will not be able to receive the PDF; instead, the DW will provide in-depth verbal review of the claimant’s file with them to ensure they are prepared for their hearing. </w:t>
      </w:r>
    </w:p>
    <w:p w:rsidRPr="00A4000C" w:rsidR="00333E29" w:rsidRDefault="00D53E34" w14:paraId="686786E5" w14:textId="5D57D002">
      <w:pPr>
        <w:rPr>
          <w:rFonts w:ascii="Times New Roman" w:hAnsi="Times New Roman" w:cs="Times New Roman"/>
          <w:sz w:val="24"/>
          <w:szCs w:val="24"/>
        </w:rPr>
      </w:pPr>
      <w:r w:rsidRPr="00A4000C">
        <w:rPr>
          <w:rFonts w:ascii="Times New Roman" w:hAnsi="Times New Roman" w:cs="Times New Roman"/>
          <w:sz w:val="24"/>
          <w:szCs w:val="24"/>
        </w:rPr>
        <w:t>C</w:t>
      </w:r>
      <w:r w:rsidRPr="00A4000C" w:rsidR="001A7099">
        <w:rPr>
          <w:rFonts w:ascii="Times New Roman" w:hAnsi="Times New Roman" w:cs="Times New Roman"/>
          <w:sz w:val="24"/>
          <w:szCs w:val="24"/>
        </w:rPr>
        <w:t>OVID</w:t>
      </w:r>
      <w:r w:rsidR="00C54209">
        <w:rPr>
          <w:rFonts w:ascii="Times New Roman" w:hAnsi="Times New Roman" w:cs="Times New Roman"/>
          <w:sz w:val="24"/>
          <w:szCs w:val="24"/>
        </w:rPr>
        <w:t>-19</w:t>
      </w:r>
      <w:r w:rsidRPr="00A4000C" w:rsidR="001A7099">
        <w:rPr>
          <w:rFonts w:ascii="Times New Roman" w:hAnsi="Times New Roman" w:cs="Times New Roman"/>
          <w:sz w:val="24"/>
          <w:szCs w:val="24"/>
        </w:rPr>
        <w:t xml:space="preserve"> </w:t>
      </w:r>
      <w:r w:rsidRPr="00A4000C" w:rsidR="00C63445">
        <w:rPr>
          <w:rFonts w:ascii="Times New Roman" w:hAnsi="Times New Roman" w:cs="Times New Roman"/>
          <w:sz w:val="24"/>
          <w:szCs w:val="24"/>
        </w:rPr>
        <w:t xml:space="preserve">Enhanced </w:t>
      </w:r>
      <w:r w:rsidRPr="00A4000C" w:rsidR="004D4553">
        <w:rPr>
          <w:rFonts w:ascii="Times New Roman" w:hAnsi="Times New Roman" w:cs="Times New Roman"/>
          <w:sz w:val="24"/>
          <w:szCs w:val="24"/>
        </w:rPr>
        <w:t xml:space="preserve">Outreach </w:t>
      </w:r>
      <w:r w:rsidRPr="00A4000C" w:rsidR="001A7099">
        <w:rPr>
          <w:rFonts w:ascii="Times New Roman" w:hAnsi="Times New Roman" w:cs="Times New Roman"/>
          <w:sz w:val="24"/>
          <w:szCs w:val="24"/>
        </w:rPr>
        <w:t xml:space="preserve">with </w:t>
      </w:r>
      <w:r w:rsidRPr="00A4000C" w:rsidR="003A411F">
        <w:rPr>
          <w:rFonts w:ascii="Times New Roman" w:hAnsi="Times New Roman" w:cs="Times New Roman"/>
          <w:sz w:val="24"/>
          <w:szCs w:val="24"/>
        </w:rPr>
        <w:t>representatives</w:t>
      </w:r>
      <w:r w:rsidRPr="00A4000C">
        <w:rPr>
          <w:rFonts w:ascii="Times New Roman" w:hAnsi="Times New Roman" w:cs="Times New Roman"/>
          <w:sz w:val="24"/>
          <w:szCs w:val="24"/>
        </w:rPr>
        <w:t xml:space="preserve"> will include:</w:t>
      </w:r>
    </w:p>
    <w:p w:rsidRPr="00557901" w:rsidR="00AB5D6F" w:rsidP="00557901" w:rsidRDefault="00321CC9" w14:paraId="1332E8A6" w14:textId="10791AC6">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Obtaining accurate representative information</w:t>
      </w:r>
      <w:r w:rsidRPr="00A4000C" w:rsidR="003A411F">
        <w:rPr>
          <w:rFonts w:ascii="Times New Roman" w:hAnsi="Times New Roman" w:cs="Times New Roman"/>
          <w:sz w:val="24"/>
          <w:szCs w:val="24"/>
        </w:rPr>
        <w:t xml:space="preserve"> (valid </w:t>
      </w:r>
      <w:r w:rsidRPr="00A4000C" w:rsidR="002D0BDF">
        <w:rPr>
          <w:rFonts w:ascii="Times New Roman" w:hAnsi="Times New Roman" w:cs="Times New Roman"/>
          <w:sz w:val="24"/>
          <w:szCs w:val="24"/>
        </w:rPr>
        <w:t>SSA-</w:t>
      </w:r>
      <w:r w:rsidRPr="00A4000C" w:rsidR="003A411F">
        <w:rPr>
          <w:rFonts w:ascii="Times New Roman" w:hAnsi="Times New Roman" w:cs="Times New Roman"/>
          <w:sz w:val="24"/>
          <w:szCs w:val="24"/>
        </w:rPr>
        <w:t>1696)</w:t>
      </w:r>
      <w:r w:rsidRPr="00A4000C" w:rsidR="00F97725">
        <w:rPr>
          <w:rFonts w:ascii="Times New Roman" w:hAnsi="Times New Roman" w:cs="Times New Roman"/>
          <w:sz w:val="24"/>
          <w:szCs w:val="24"/>
        </w:rPr>
        <w:t>, attempting to identify outstanding medical evidence</w:t>
      </w:r>
      <w:r w:rsidRPr="00A4000C">
        <w:rPr>
          <w:rFonts w:ascii="Times New Roman" w:hAnsi="Times New Roman" w:cs="Times New Roman"/>
          <w:sz w:val="24"/>
          <w:szCs w:val="24"/>
        </w:rPr>
        <w:t>,</w:t>
      </w:r>
      <w:r w:rsidRPr="00A4000C" w:rsidR="00F97725">
        <w:rPr>
          <w:rFonts w:ascii="Times New Roman" w:hAnsi="Times New Roman" w:cs="Times New Roman"/>
          <w:sz w:val="24"/>
          <w:szCs w:val="24"/>
        </w:rPr>
        <w:t xml:space="preserve"> and resolving any development issues.  </w:t>
      </w:r>
    </w:p>
    <w:p w:rsidRPr="00557901" w:rsidR="00AB5D6F" w:rsidP="00557901" w:rsidRDefault="00F97725" w14:paraId="66A1797B" w14:textId="64D42D3B">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 xml:space="preserve">For cases in RTS status, informing representatives that </w:t>
      </w:r>
      <w:r w:rsidRPr="00A4000C" w:rsidR="00366AFE">
        <w:rPr>
          <w:rFonts w:ascii="Times New Roman" w:hAnsi="Times New Roman" w:cs="Times New Roman"/>
          <w:sz w:val="24"/>
          <w:szCs w:val="24"/>
        </w:rPr>
        <w:t>while the hearing office is closed</w:t>
      </w:r>
      <w:r w:rsidRPr="00A4000C">
        <w:rPr>
          <w:rFonts w:ascii="Times New Roman" w:hAnsi="Times New Roman" w:cs="Times New Roman"/>
          <w:sz w:val="24"/>
          <w:szCs w:val="24"/>
        </w:rPr>
        <w:t xml:space="preserve">, we are conducting all hearings by telephone, and we will not schedule their </w:t>
      </w:r>
      <w:r w:rsidRPr="00A4000C" w:rsidR="00321CC9">
        <w:rPr>
          <w:rFonts w:ascii="Times New Roman" w:hAnsi="Times New Roman" w:cs="Times New Roman"/>
          <w:sz w:val="24"/>
          <w:szCs w:val="24"/>
        </w:rPr>
        <w:t xml:space="preserve">claimant’s </w:t>
      </w:r>
      <w:r w:rsidRPr="00A4000C">
        <w:rPr>
          <w:rFonts w:ascii="Times New Roman" w:hAnsi="Times New Roman" w:cs="Times New Roman"/>
          <w:sz w:val="24"/>
          <w:szCs w:val="24"/>
        </w:rPr>
        <w:t>hearing unless they agree to a telephone hearing.</w:t>
      </w:r>
    </w:p>
    <w:p w:rsidRPr="00557901" w:rsidR="00AB5D6F" w:rsidP="00557901" w:rsidRDefault="00F97725" w14:paraId="70934918" w14:textId="6EBFB526">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For cases in SCHD status, informing</w:t>
      </w:r>
      <w:r w:rsidRPr="00A4000C" w:rsidR="00321CC9">
        <w:rPr>
          <w:rFonts w:ascii="Times New Roman" w:hAnsi="Times New Roman" w:cs="Times New Roman"/>
          <w:sz w:val="24"/>
          <w:szCs w:val="24"/>
        </w:rPr>
        <w:t xml:space="preserve"> the representative </w:t>
      </w:r>
      <w:r w:rsidRPr="00A4000C">
        <w:rPr>
          <w:rFonts w:ascii="Times New Roman" w:hAnsi="Times New Roman" w:cs="Times New Roman"/>
          <w:sz w:val="24"/>
          <w:szCs w:val="24"/>
        </w:rPr>
        <w:t xml:space="preserve">that </w:t>
      </w:r>
      <w:r w:rsidRPr="00A4000C" w:rsidR="00366AFE">
        <w:rPr>
          <w:rFonts w:ascii="Times New Roman" w:hAnsi="Times New Roman" w:cs="Times New Roman"/>
          <w:sz w:val="24"/>
          <w:szCs w:val="24"/>
        </w:rPr>
        <w:t>while the office is closed</w:t>
      </w:r>
      <w:r w:rsidRPr="00A4000C">
        <w:rPr>
          <w:rFonts w:ascii="Times New Roman" w:hAnsi="Times New Roman" w:cs="Times New Roman"/>
          <w:sz w:val="24"/>
          <w:szCs w:val="24"/>
        </w:rPr>
        <w:t xml:space="preserve"> we are conducting all hearings by telephone, and asking if they want to proceed with a telephone hearing or postpone until our offices re-open.  </w:t>
      </w:r>
    </w:p>
    <w:p w:rsidRPr="00557901" w:rsidR="00AB5D6F" w:rsidP="00557901" w:rsidRDefault="00F97725" w14:paraId="3D48DDE8" w14:textId="243DBC4A">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 xml:space="preserve">For cases in SCHD status, </w:t>
      </w:r>
      <w:r w:rsidRPr="00A4000C" w:rsidR="003A411F">
        <w:rPr>
          <w:rFonts w:ascii="Times New Roman" w:hAnsi="Times New Roman" w:cs="Times New Roman"/>
          <w:sz w:val="24"/>
          <w:szCs w:val="24"/>
        </w:rPr>
        <w:t xml:space="preserve">if agree to a telephone hearing, and if applicable, </w:t>
      </w:r>
      <w:r w:rsidRPr="00A4000C">
        <w:rPr>
          <w:rFonts w:ascii="Times New Roman" w:hAnsi="Times New Roman" w:cs="Times New Roman"/>
          <w:sz w:val="24"/>
          <w:szCs w:val="24"/>
        </w:rPr>
        <w:t xml:space="preserve">obtain </w:t>
      </w:r>
      <w:r w:rsidRPr="00A4000C" w:rsidR="003A411F">
        <w:rPr>
          <w:rFonts w:ascii="Times New Roman" w:hAnsi="Times New Roman" w:cs="Times New Roman"/>
          <w:sz w:val="24"/>
          <w:szCs w:val="24"/>
        </w:rPr>
        <w:t xml:space="preserve">agreement to </w:t>
      </w:r>
      <w:r w:rsidRPr="00A4000C">
        <w:rPr>
          <w:rFonts w:ascii="Times New Roman" w:hAnsi="Times New Roman" w:cs="Times New Roman"/>
          <w:sz w:val="24"/>
          <w:szCs w:val="24"/>
        </w:rPr>
        <w:t xml:space="preserve">waiver of the 20-day Notice for amended or supplemental hearings required. </w:t>
      </w:r>
    </w:p>
    <w:p w:rsidRPr="00557901" w:rsidR="00AB5D6F" w:rsidP="00557901" w:rsidRDefault="002C7061" w14:paraId="1E0910D7" w14:textId="6EE9921C">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 xml:space="preserve">For cases where representatives who do not have access to Electronic Records Express (ERE) and did not receive a CD, providing an encrypted, password protected PDF via email of the electronic folder. </w:t>
      </w:r>
      <w:r w:rsidRPr="00A4000C" w:rsidR="00AB5D6F">
        <w:rPr>
          <w:rFonts w:ascii="Times New Roman" w:hAnsi="Times New Roman" w:cs="Times New Roman"/>
          <w:sz w:val="24"/>
          <w:szCs w:val="24"/>
        </w:rPr>
        <w:t xml:space="preserve"> </w:t>
      </w:r>
      <w:r w:rsidRPr="00A4000C">
        <w:rPr>
          <w:rFonts w:ascii="Times New Roman" w:hAnsi="Times New Roman" w:cs="Times New Roman"/>
          <w:sz w:val="24"/>
          <w:szCs w:val="24"/>
        </w:rPr>
        <w:t xml:space="preserve">The representative can view the file on any device. </w:t>
      </w:r>
    </w:p>
    <w:p w:rsidRPr="00557901" w:rsidR="00AB5D6F" w:rsidP="00557901" w:rsidRDefault="002C7061" w14:paraId="13DF8EC8" w14:textId="7F5FE276">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Confirming with the representative that the file accurately reflects the record evidence.</w:t>
      </w:r>
    </w:p>
    <w:p w:rsidRPr="00A4000C" w:rsidR="002C7061" w:rsidP="002C7061" w:rsidRDefault="002C7061" w14:paraId="31C7FCE2" w14:textId="1123577A">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 xml:space="preserve">Reviewing the exhibited evidence in the file with representatives without ERE access by telephone to ensure that the file accurately reflects the record evidence. </w:t>
      </w:r>
    </w:p>
    <w:p w:rsidRPr="00A4000C" w:rsidR="00AB5D6F" w:rsidP="002C7061" w:rsidRDefault="00AB5D6F" w14:paraId="7B9343BC" w14:textId="77777777">
      <w:pPr>
        <w:pStyle w:val="ListParagraph"/>
        <w:spacing w:line="240" w:lineRule="auto"/>
        <w:rPr>
          <w:rFonts w:ascii="Times New Roman" w:hAnsi="Times New Roman" w:cs="Times New Roman"/>
          <w:sz w:val="24"/>
          <w:szCs w:val="24"/>
        </w:rPr>
      </w:pPr>
    </w:p>
    <w:p w:rsidRPr="00557901" w:rsidR="008A0ADE" w:rsidP="00557901" w:rsidRDefault="002C7061" w14:paraId="694588A5" w14:textId="79CD1C48">
      <w:pPr>
        <w:pStyle w:val="ListParagraph"/>
        <w:spacing w:line="240" w:lineRule="auto"/>
        <w:rPr>
          <w:rFonts w:ascii="Times New Roman" w:hAnsi="Times New Roman" w:cs="Times New Roman"/>
          <w:sz w:val="24"/>
          <w:szCs w:val="24"/>
        </w:rPr>
      </w:pPr>
      <w:r w:rsidRPr="00A4000C">
        <w:rPr>
          <w:rFonts w:ascii="Times New Roman" w:hAnsi="Times New Roman" w:cs="Times New Roman"/>
          <w:sz w:val="24"/>
          <w:szCs w:val="24"/>
        </w:rPr>
        <w:t>NOTE:</w:t>
      </w:r>
      <w:r w:rsidRPr="00A4000C" w:rsidR="00AB5D6F">
        <w:rPr>
          <w:rFonts w:ascii="Times New Roman" w:hAnsi="Times New Roman" w:cs="Times New Roman"/>
          <w:sz w:val="24"/>
          <w:szCs w:val="24"/>
        </w:rPr>
        <w:t xml:space="preserve"> </w:t>
      </w:r>
      <w:r w:rsidRPr="00A4000C">
        <w:rPr>
          <w:rFonts w:ascii="Times New Roman" w:hAnsi="Times New Roman" w:cs="Times New Roman"/>
          <w:sz w:val="24"/>
          <w:szCs w:val="24"/>
        </w:rPr>
        <w:t xml:space="preserve"> If the representative without ERE access does not have access to the internet or email, they will not be able to receive the PDF; instead, the DW will provide in-depth verbal review of the claimant’s file with them to ensure they are prepared for their hearing. </w:t>
      </w:r>
    </w:p>
    <w:p w:rsidRPr="00A4000C" w:rsidR="00321CC9" w:rsidP="00377597" w:rsidRDefault="00AB5D6F" w14:paraId="5D09620F" w14:textId="3C1769E0">
      <w:pPr>
        <w:spacing w:line="259" w:lineRule="auto"/>
        <w:rPr>
          <w:rFonts w:ascii="Times New Roman" w:hAnsi="Times New Roman" w:cs="Times New Roman" w:eastAsiaTheme="minorHAnsi"/>
          <w:b/>
          <w:sz w:val="24"/>
          <w:szCs w:val="24"/>
          <w:u w:val="single"/>
        </w:rPr>
      </w:pPr>
      <w:r w:rsidRPr="00A4000C">
        <w:rPr>
          <w:rFonts w:ascii="Times New Roman" w:hAnsi="Times New Roman" w:cs="Times New Roman" w:eastAsiaTheme="minorHAnsi"/>
          <w:b/>
          <w:sz w:val="24"/>
          <w:szCs w:val="24"/>
          <w:u w:val="single"/>
        </w:rPr>
        <w:t>Revisions to the Collection Instrument</w:t>
      </w:r>
    </w:p>
    <w:p w:rsidRPr="00A4000C" w:rsidR="00AB5D6F" w:rsidP="00AB5D6F" w:rsidRDefault="00AB5D6F" w14:paraId="52EA20FB" w14:textId="4D5E618A">
      <w:pPr>
        <w:pStyle w:val="ListParagraph"/>
        <w:numPr>
          <w:ilvl w:val="0"/>
          <w:numId w:val="3"/>
        </w:numPr>
        <w:spacing w:line="259" w:lineRule="auto"/>
        <w:rPr>
          <w:rFonts w:ascii="Times New Roman" w:hAnsi="Times New Roman" w:cs="Times New Roman" w:eastAsiaTheme="minorHAnsi"/>
          <w:b/>
          <w:sz w:val="24"/>
          <w:szCs w:val="24"/>
        </w:rPr>
      </w:pPr>
      <w:r w:rsidRPr="00A4000C">
        <w:rPr>
          <w:rFonts w:ascii="Times New Roman" w:hAnsi="Times New Roman" w:cs="Times New Roman" w:eastAsiaTheme="minorHAnsi"/>
          <w:b/>
          <w:sz w:val="24"/>
          <w:szCs w:val="24"/>
          <w:u w:val="single"/>
        </w:rPr>
        <w:t>Change #1</w:t>
      </w:r>
      <w:r w:rsidRPr="00A4000C">
        <w:rPr>
          <w:rFonts w:ascii="Times New Roman" w:hAnsi="Times New Roman" w:cs="Times New Roman" w:eastAsiaTheme="minorHAnsi"/>
          <w:b/>
          <w:sz w:val="24"/>
          <w:szCs w:val="24"/>
        </w:rPr>
        <w:t xml:space="preserve">:  </w:t>
      </w:r>
      <w:r w:rsidRPr="00A4000C">
        <w:rPr>
          <w:rFonts w:ascii="Times New Roman" w:hAnsi="Times New Roman" w:cs="Times New Roman" w:eastAsiaTheme="minorHAnsi"/>
          <w:sz w:val="24"/>
          <w:szCs w:val="24"/>
        </w:rPr>
        <w:t xml:space="preserve">We will implement an initial pre-hearing call to </w:t>
      </w:r>
      <w:r w:rsidRPr="00A4000C" w:rsidR="00227E03">
        <w:rPr>
          <w:rFonts w:ascii="Times New Roman" w:hAnsi="Times New Roman" w:cs="Times New Roman" w:eastAsiaTheme="minorHAnsi"/>
          <w:sz w:val="24"/>
          <w:szCs w:val="24"/>
        </w:rPr>
        <w:t>explain the current situation to the claimant or their representative payee; allow the claimant, or their representative, to opt out of the telephone hearing; and to set up a second pre-hearing call</w:t>
      </w:r>
      <w:r w:rsidRPr="00A4000C">
        <w:rPr>
          <w:rFonts w:ascii="Times New Roman" w:hAnsi="Times New Roman" w:cs="Times New Roman" w:eastAsiaTheme="minorHAnsi"/>
          <w:sz w:val="24"/>
          <w:szCs w:val="24"/>
        </w:rPr>
        <w:t xml:space="preserve">.  </w:t>
      </w:r>
    </w:p>
    <w:p w:rsidRPr="00A4000C" w:rsidR="008A0ADE" w:rsidP="008A0ADE" w:rsidRDefault="008A0ADE" w14:paraId="38D0CCFE" w14:textId="7BD430AE">
      <w:pPr>
        <w:pStyle w:val="ListParagraph"/>
        <w:spacing w:line="259" w:lineRule="auto"/>
        <w:ind w:left="360"/>
        <w:rPr>
          <w:rFonts w:ascii="Times New Roman" w:hAnsi="Times New Roman" w:cs="Times New Roman" w:eastAsiaTheme="minorHAnsi"/>
          <w:b/>
          <w:sz w:val="24"/>
          <w:szCs w:val="24"/>
        </w:rPr>
      </w:pPr>
    </w:p>
    <w:p w:rsidR="008A0ADE" w:rsidP="008A0ADE" w:rsidRDefault="008A0ADE" w14:paraId="165C7DF3" w14:textId="40734424">
      <w:pPr>
        <w:pStyle w:val="ListParagraph"/>
        <w:spacing w:line="259" w:lineRule="auto"/>
        <w:ind w:left="360"/>
        <w:rPr>
          <w:rFonts w:ascii="Times New Roman" w:hAnsi="Times New Roman" w:cs="Times New Roman" w:eastAsiaTheme="minorHAnsi"/>
          <w:sz w:val="24"/>
          <w:szCs w:val="24"/>
        </w:rPr>
      </w:pPr>
      <w:r w:rsidRPr="00A4000C">
        <w:rPr>
          <w:rFonts w:ascii="Times New Roman" w:hAnsi="Times New Roman" w:cs="Times New Roman" w:eastAsiaTheme="minorHAnsi"/>
          <w:b/>
          <w:sz w:val="24"/>
          <w:szCs w:val="24"/>
          <w:u w:val="single"/>
        </w:rPr>
        <w:t>Justification #1</w:t>
      </w:r>
      <w:r w:rsidRPr="00A4000C">
        <w:rPr>
          <w:rFonts w:ascii="Times New Roman" w:hAnsi="Times New Roman" w:cs="Times New Roman" w:eastAsiaTheme="minorHAnsi"/>
          <w:b/>
          <w:sz w:val="24"/>
          <w:szCs w:val="24"/>
        </w:rPr>
        <w:t>:</w:t>
      </w:r>
      <w:r w:rsidRPr="00A4000C">
        <w:rPr>
          <w:rFonts w:ascii="Times New Roman" w:hAnsi="Times New Roman" w:cs="Times New Roman" w:eastAsiaTheme="minorHAnsi"/>
          <w:sz w:val="24"/>
          <w:szCs w:val="24"/>
        </w:rPr>
        <w:t xml:space="preserve">  We need these calls to help explain the current telephone-only hearing option to the respondent, and to allow them to opt out, if they choose to do so.  In addition, we also need this outreach to explain to the claimant, or their representative, that opting out of the telephone hearing would mean that we need to wait to reschedule their hearing until after we can reopen hearings offices, which could mean a delay of months.</w:t>
      </w:r>
    </w:p>
    <w:p w:rsidRPr="00A4000C" w:rsidR="00950389" w:rsidP="008A0ADE" w:rsidRDefault="00950389" w14:paraId="2109F3B5" w14:textId="77777777">
      <w:pPr>
        <w:pStyle w:val="ListParagraph"/>
        <w:spacing w:line="259" w:lineRule="auto"/>
        <w:ind w:left="360"/>
        <w:rPr>
          <w:rFonts w:ascii="Times New Roman" w:hAnsi="Times New Roman" w:cs="Times New Roman" w:eastAsiaTheme="minorHAnsi"/>
          <w:sz w:val="24"/>
          <w:szCs w:val="24"/>
        </w:rPr>
      </w:pPr>
    </w:p>
    <w:p w:rsidRPr="00A4000C" w:rsidR="00227E03" w:rsidP="00AB5D6F" w:rsidRDefault="00227E03" w14:paraId="4261FB13" w14:textId="6821CC1F">
      <w:pPr>
        <w:pStyle w:val="ListParagraph"/>
        <w:numPr>
          <w:ilvl w:val="0"/>
          <w:numId w:val="3"/>
        </w:numPr>
        <w:spacing w:line="259" w:lineRule="auto"/>
        <w:rPr>
          <w:rFonts w:ascii="Times New Roman" w:hAnsi="Times New Roman" w:cs="Times New Roman" w:eastAsiaTheme="minorHAnsi"/>
          <w:b/>
          <w:sz w:val="24"/>
          <w:szCs w:val="24"/>
        </w:rPr>
      </w:pPr>
      <w:r w:rsidRPr="00A4000C">
        <w:rPr>
          <w:rFonts w:ascii="Times New Roman" w:hAnsi="Times New Roman" w:cs="Times New Roman" w:eastAsiaTheme="minorHAnsi"/>
          <w:b/>
          <w:sz w:val="24"/>
          <w:szCs w:val="24"/>
          <w:u w:val="single"/>
        </w:rPr>
        <w:t>Change #2</w:t>
      </w:r>
      <w:r w:rsidRPr="00A4000C">
        <w:rPr>
          <w:rFonts w:ascii="Times New Roman" w:hAnsi="Times New Roman" w:cs="Times New Roman" w:eastAsiaTheme="minorHAnsi"/>
          <w:b/>
          <w:sz w:val="24"/>
          <w:szCs w:val="24"/>
        </w:rPr>
        <w:t>:</w:t>
      </w:r>
      <w:r w:rsidRPr="00A4000C">
        <w:rPr>
          <w:rFonts w:ascii="Times New Roman" w:hAnsi="Times New Roman" w:cs="Times New Roman" w:eastAsiaTheme="minorHAnsi"/>
          <w:sz w:val="24"/>
          <w:szCs w:val="24"/>
        </w:rPr>
        <w:t xml:space="preserve">  We will implement a second pre-hearing call to better prepare the claimant, and their representative payee, as necessary, for the telephone hearing; to go over the evidence on file; and to complete any OMB-approved agency forms we need completed prior to the hearing.</w:t>
      </w:r>
    </w:p>
    <w:p w:rsidRPr="00A4000C" w:rsidR="008A0ADE" w:rsidP="008A0ADE" w:rsidRDefault="008A0ADE" w14:paraId="73A09FBE" w14:textId="3D41F1BE">
      <w:pPr>
        <w:pStyle w:val="ListParagraph"/>
        <w:spacing w:line="259" w:lineRule="auto"/>
        <w:ind w:left="360"/>
        <w:rPr>
          <w:rFonts w:ascii="Times New Roman" w:hAnsi="Times New Roman" w:cs="Times New Roman" w:eastAsiaTheme="minorHAnsi"/>
          <w:b/>
          <w:sz w:val="24"/>
          <w:szCs w:val="24"/>
        </w:rPr>
      </w:pPr>
    </w:p>
    <w:p w:rsidRPr="00A4000C" w:rsidR="008A0ADE" w:rsidP="00557901" w:rsidRDefault="008A0ADE" w14:paraId="12E02355" w14:textId="5B687183">
      <w:pPr>
        <w:pStyle w:val="ListParagraph"/>
        <w:spacing w:line="259" w:lineRule="auto"/>
        <w:ind w:left="360"/>
        <w:rPr>
          <w:rFonts w:ascii="Times New Roman" w:hAnsi="Times New Roman" w:cs="Times New Roman" w:eastAsiaTheme="minorHAnsi"/>
          <w:sz w:val="24"/>
          <w:szCs w:val="24"/>
        </w:rPr>
      </w:pPr>
      <w:r w:rsidRPr="00A4000C">
        <w:rPr>
          <w:rFonts w:ascii="Times New Roman" w:hAnsi="Times New Roman" w:cs="Times New Roman" w:eastAsiaTheme="minorHAnsi"/>
          <w:b/>
          <w:sz w:val="24"/>
          <w:szCs w:val="24"/>
          <w:u w:val="single"/>
        </w:rPr>
        <w:t>Justification #2</w:t>
      </w:r>
      <w:r w:rsidRPr="00A4000C">
        <w:rPr>
          <w:rFonts w:ascii="Times New Roman" w:hAnsi="Times New Roman" w:cs="Times New Roman" w:eastAsiaTheme="minorHAnsi"/>
          <w:b/>
          <w:sz w:val="24"/>
          <w:szCs w:val="24"/>
        </w:rPr>
        <w:t xml:space="preserve">:  </w:t>
      </w:r>
      <w:r w:rsidRPr="00A4000C">
        <w:rPr>
          <w:rFonts w:ascii="Times New Roman" w:hAnsi="Times New Roman" w:cs="Times New Roman" w:eastAsiaTheme="minorHAnsi"/>
          <w:sz w:val="24"/>
          <w:szCs w:val="24"/>
        </w:rPr>
        <w:t>We need to implement the second pre-hearing call to ensure we have all the information we need to hold the telephone hearing, and that the claimant, or their representative, is comfortable with the telephone hearing format.  We believe this outreach will help the claimants and their representatives during the telephone hearing.</w:t>
      </w:r>
    </w:p>
    <w:p w:rsidR="008A0ADE" w:rsidP="008A0ADE" w:rsidRDefault="00227E03" w14:paraId="3356593D" w14:textId="53FA31A2">
      <w:pPr>
        <w:spacing w:line="240" w:lineRule="auto"/>
        <w:rPr>
          <w:rFonts w:ascii="Times New Roman" w:hAnsi="Times New Roman" w:cs="Times New Roman"/>
          <w:b/>
          <w:bCs/>
          <w:sz w:val="24"/>
          <w:szCs w:val="24"/>
        </w:rPr>
      </w:pPr>
      <w:r w:rsidRPr="00A4000C">
        <w:rPr>
          <w:rFonts w:ascii="Times New Roman" w:hAnsi="Times New Roman" w:cs="Times New Roman" w:eastAsiaTheme="minorHAnsi"/>
          <w:b/>
          <w:sz w:val="24"/>
          <w:szCs w:val="24"/>
        </w:rPr>
        <w:t xml:space="preserve">Public Reporting Burdens for </w:t>
      </w:r>
      <w:r w:rsidRPr="00A4000C" w:rsidR="008A0ADE">
        <w:rPr>
          <w:rFonts w:ascii="Times New Roman" w:hAnsi="Times New Roman" w:cs="Times New Roman" w:eastAsiaTheme="minorHAnsi"/>
          <w:b/>
          <w:sz w:val="24"/>
          <w:szCs w:val="24"/>
        </w:rPr>
        <w:t xml:space="preserve">the </w:t>
      </w:r>
      <w:r w:rsidRPr="00A4000C" w:rsidR="008A0ADE">
        <w:rPr>
          <w:rFonts w:ascii="Times New Roman" w:hAnsi="Times New Roman" w:cs="Times New Roman"/>
          <w:b/>
          <w:bCs/>
          <w:sz w:val="24"/>
          <w:szCs w:val="24"/>
        </w:rPr>
        <w:t>COVID-19 Enhanced Outreach</w:t>
      </w:r>
    </w:p>
    <w:p w:rsidRPr="00A4000C" w:rsidR="000F115F" w:rsidP="008A0ADE" w:rsidRDefault="000F115F" w14:paraId="404F031F" w14:textId="27434DEE">
      <w:pPr>
        <w:spacing w:line="240" w:lineRule="auto"/>
        <w:rPr>
          <w:rFonts w:ascii="Times New Roman" w:hAnsi="Times New Roman" w:cs="Times New Roman"/>
          <w:b/>
          <w:bCs/>
          <w:sz w:val="24"/>
          <w:szCs w:val="24"/>
        </w:rPr>
      </w:pPr>
      <w:r>
        <w:rPr>
          <w:rFonts w:ascii="Times New Roman" w:hAnsi="Times New Roman"/>
          <w:sz w:val="24"/>
          <w:szCs w:val="24"/>
        </w:rPr>
        <w:t>We estimate the total universe of approximately 276,590 respondents for this outreach.  Of this universe, we anticipate that 50% of unrepresented claimants and 40% of represented claimants will not go forward with the second contact.</w:t>
      </w:r>
      <w:r w:rsidR="005D0C33">
        <w:rPr>
          <w:rFonts w:ascii="Times New Roman" w:hAnsi="Times New Roman"/>
          <w:sz w:val="24"/>
          <w:szCs w:val="24"/>
        </w:rPr>
        <w:t xml:space="preserve">  The numbers on this chart reflect these estimates:</w:t>
      </w:r>
    </w:p>
    <w:tbl>
      <w:tblPr>
        <w:tblStyle w:val="TableGrid"/>
        <w:tblW w:w="10345" w:type="dxa"/>
        <w:tblLayout w:type="fixed"/>
        <w:tblLook w:val="04A0" w:firstRow="1" w:lastRow="0" w:firstColumn="1" w:lastColumn="0" w:noHBand="0" w:noVBand="1"/>
      </w:tblPr>
      <w:tblGrid>
        <w:gridCol w:w="1816"/>
        <w:gridCol w:w="1523"/>
        <w:gridCol w:w="1321"/>
        <w:gridCol w:w="1210"/>
        <w:gridCol w:w="1271"/>
        <w:gridCol w:w="1393"/>
        <w:gridCol w:w="1811"/>
      </w:tblGrid>
      <w:tr w:rsidR="00A4000C" w:rsidTr="00ED431E" w14:paraId="13FA9146" w14:textId="77777777">
        <w:tc>
          <w:tcPr>
            <w:tcW w:w="1816" w:type="dxa"/>
          </w:tcPr>
          <w:p w:rsidR="00A4000C" w:rsidP="00A4000C" w:rsidRDefault="00A4000C" w14:paraId="3328811D" w14:textId="0AC0AB39">
            <w:pPr>
              <w:spacing w:line="240" w:lineRule="auto"/>
              <w:rPr>
                <w:rFonts w:ascii="Times New Roman" w:hAnsi="Times New Roman" w:cs="Times New Roman"/>
                <w:b/>
                <w:bCs/>
              </w:rPr>
            </w:pPr>
            <w:r>
              <w:rPr>
                <w:rFonts w:ascii="Times New Roman" w:hAnsi="Times New Roman" w:cs="Times New Roman"/>
                <w:b/>
                <w:bCs/>
                <w:sz w:val="24"/>
                <w:szCs w:val="24"/>
              </w:rPr>
              <w:t>Modality of Completion</w:t>
            </w:r>
          </w:p>
        </w:tc>
        <w:tc>
          <w:tcPr>
            <w:tcW w:w="1523" w:type="dxa"/>
          </w:tcPr>
          <w:p w:rsidR="00A4000C" w:rsidP="00A4000C" w:rsidRDefault="00A4000C" w14:paraId="33EE1392" w14:textId="1C756C05">
            <w:pPr>
              <w:spacing w:line="240" w:lineRule="auto"/>
              <w:rPr>
                <w:rFonts w:ascii="Times New Roman" w:hAnsi="Times New Roman" w:cs="Times New Roman"/>
                <w:b/>
                <w:bCs/>
              </w:rPr>
            </w:pPr>
            <w:r>
              <w:rPr>
                <w:rFonts w:ascii="Times New Roman" w:hAnsi="Times New Roman" w:cs="Times New Roman"/>
                <w:b/>
                <w:bCs/>
                <w:sz w:val="24"/>
                <w:szCs w:val="24"/>
              </w:rPr>
              <w:t>Number of Respondents</w:t>
            </w:r>
          </w:p>
        </w:tc>
        <w:tc>
          <w:tcPr>
            <w:tcW w:w="1321" w:type="dxa"/>
          </w:tcPr>
          <w:p w:rsidR="00A4000C" w:rsidP="00A4000C" w:rsidRDefault="00A4000C" w14:paraId="4F71A04E" w14:textId="5FBDCC23">
            <w:pPr>
              <w:spacing w:line="240" w:lineRule="auto"/>
              <w:rPr>
                <w:rFonts w:ascii="Times New Roman" w:hAnsi="Times New Roman" w:cs="Times New Roman"/>
                <w:b/>
                <w:bCs/>
              </w:rPr>
            </w:pPr>
            <w:r>
              <w:rPr>
                <w:rFonts w:ascii="Times New Roman" w:hAnsi="Times New Roman" w:cs="Times New Roman"/>
                <w:b/>
                <w:bCs/>
                <w:sz w:val="24"/>
                <w:szCs w:val="24"/>
              </w:rPr>
              <w:t>Frequency of Response</w:t>
            </w:r>
          </w:p>
        </w:tc>
        <w:tc>
          <w:tcPr>
            <w:tcW w:w="1210" w:type="dxa"/>
          </w:tcPr>
          <w:p w:rsidR="00A4000C" w:rsidP="00A4000C" w:rsidRDefault="00A4000C" w14:paraId="551FA920" w14:textId="0F4D5021">
            <w:pPr>
              <w:spacing w:line="240" w:lineRule="auto"/>
              <w:rPr>
                <w:rFonts w:ascii="Times New Roman" w:hAnsi="Times New Roman" w:cs="Times New Roman"/>
                <w:b/>
                <w:bCs/>
              </w:rPr>
            </w:pPr>
            <w:r>
              <w:rPr>
                <w:rFonts w:ascii="Times New Roman" w:hAnsi="Times New Roman" w:cs="Times New Roman"/>
                <w:b/>
                <w:bCs/>
                <w:sz w:val="24"/>
                <w:szCs w:val="24"/>
              </w:rPr>
              <w:t>Average Burden per Response (minutes)</w:t>
            </w:r>
          </w:p>
        </w:tc>
        <w:tc>
          <w:tcPr>
            <w:tcW w:w="1271" w:type="dxa"/>
          </w:tcPr>
          <w:p w:rsidR="00A4000C" w:rsidP="00A4000C" w:rsidRDefault="00A4000C" w14:paraId="3AA813D5" w14:textId="2407CDAB">
            <w:pPr>
              <w:spacing w:line="240" w:lineRule="auto"/>
              <w:rPr>
                <w:rFonts w:ascii="Times New Roman" w:hAnsi="Times New Roman" w:cs="Times New Roman"/>
                <w:b/>
                <w:bCs/>
              </w:rPr>
            </w:pPr>
            <w:r>
              <w:rPr>
                <w:rFonts w:ascii="Times New Roman" w:hAnsi="Times New Roman" w:cs="Times New Roman"/>
                <w:b/>
                <w:bCs/>
                <w:sz w:val="24"/>
                <w:szCs w:val="24"/>
              </w:rPr>
              <w:t>Estimated Total Annual Burden (hours)</w:t>
            </w:r>
          </w:p>
        </w:tc>
        <w:tc>
          <w:tcPr>
            <w:tcW w:w="1393" w:type="dxa"/>
          </w:tcPr>
          <w:p w:rsidR="00A4000C" w:rsidP="00A4000C" w:rsidRDefault="00A4000C" w14:paraId="5D0D98BC" w14:textId="13B5246E">
            <w:pPr>
              <w:spacing w:line="240" w:lineRule="auto"/>
              <w:rPr>
                <w:rFonts w:ascii="Times New Roman" w:hAnsi="Times New Roman" w:cs="Times New Roman"/>
                <w:b/>
                <w:bCs/>
              </w:rPr>
            </w:pPr>
            <w:r>
              <w:rPr>
                <w:rFonts w:ascii="Times New Roman" w:hAnsi="Times New Roman" w:cs="Times New Roman"/>
                <w:b/>
                <w:bCs/>
                <w:sz w:val="24"/>
                <w:szCs w:val="24"/>
              </w:rPr>
              <w:t>Average Theoretical Hourly Cost Amount (dollars)*</w:t>
            </w:r>
          </w:p>
        </w:tc>
        <w:tc>
          <w:tcPr>
            <w:tcW w:w="1811" w:type="dxa"/>
          </w:tcPr>
          <w:p w:rsidR="00A4000C" w:rsidP="00A4000C" w:rsidRDefault="00A4000C" w14:paraId="6DA953A3" w14:textId="26934F4F">
            <w:pPr>
              <w:spacing w:line="240" w:lineRule="auto"/>
              <w:rPr>
                <w:rFonts w:ascii="Times New Roman" w:hAnsi="Times New Roman" w:cs="Times New Roman"/>
                <w:b/>
                <w:bCs/>
              </w:rPr>
            </w:pPr>
            <w:r>
              <w:rPr>
                <w:rFonts w:ascii="Times New Roman" w:hAnsi="Times New Roman" w:cs="Times New Roman"/>
                <w:b/>
                <w:bCs/>
                <w:sz w:val="24"/>
                <w:szCs w:val="24"/>
              </w:rPr>
              <w:t>Total Annual Opportunity Cost (dollars) **</w:t>
            </w:r>
          </w:p>
        </w:tc>
      </w:tr>
      <w:tr w:rsidR="00A4000C" w:rsidTr="00ED431E" w14:paraId="3427C706" w14:textId="77777777">
        <w:tc>
          <w:tcPr>
            <w:tcW w:w="1816" w:type="dxa"/>
          </w:tcPr>
          <w:p w:rsidRPr="00A4000C" w:rsidR="00A4000C" w:rsidP="00A4000C" w:rsidRDefault="00A4000C" w14:paraId="0EA3E40E" w14:textId="6945948F">
            <w:pPr>
              <w:spacing w:line="240" w:lineRule="auto"/>
              <w:rPr>
                <w:rFonts w:ascii="Times New Roman" w:hAnsi="Times New Roman" w:cs="Times New Roman"/>
                <w:b/>
                <w:bCs/>
                <w:color w:val="000000" w:themeColor="text1"/>
                <w:sz w:val="24"/>
                <w:szCs w:val="24"/>
              </w:rPr>
            </w:pPr>
            <w:r w:rsidRPr="00A4000C">
              <w:rPr>
                <w:rFonts w:ascii="Times New Roman" w:hAnsi="Times New Roman" w:cs="Times New Roman"/>
                <w:color w:val="000000" w:themeColor="text1"/>
                <w:sz w:val="24"/>
                <w:szCs w:val="24"/>
              </w:rPr>
              <w:t>CEO Initial Call – No Representative (Unrepresented Claimant/</w:t>
            </w:r>
            <w:proofErr w:type="spellStart"/>
            <w:r w:rsidRPr="00A4000C">
              <w:rPr>
                <w:rFonts w:ascii="Times New Roman" w:hAnsi="Times New Roman" w:cs="Times New Roman"/>
                <w:color w:val="000000" w:themeColor="text1"/>
                <w:sz w:val="24"/>
                <w:szCs w:val="24"/>
              </w:rPr>
              <w:t>ProSe</w:t>
            </w:r>
            <w:proofErr w:type="spellEnd"/>
            <w:r w:rsidRPr="00A4000C">
              <w:rPr>
                <w:rFonts w:ascii="Times New Roman" w:hAnsi="Times New Roman" w:cs="Times New Roman"/>
                <w:color w:val="000000" w:themeColor="text1"/>
                <w:sz w:val="24"/>
                <w:szCs w:val="24"/>
              </w:rPr>
              <w:t xml:space="preserve">) </w:t>
            </w:r>
          </w:p>
        </w:tc>
        <w:tc>
          <w:tcPr>
            <w:tcW w:w="1523" w:type="dxa"/>
          </w:tcPr>
          <w:p w:rsidRPr="00A4000C" w:rsidR="00A4000C" w:rsidP="00A4000C" w:rsidRDefault="008457D3" w14:paraId="40709459" w14:textId="58E2E3FB">
            <w:pPr>
              <w:spacing w:line="240" w:lineRule="auto"/>
              <w:jc w:val="right"/>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75,190</w:t>
            </w:r>
            <w:r w:rsidRPr="00A4000C" w:rsidR="00A4000C">
              <w:rPr>
                <w:rFonts w:ascii="Times New Roman" w:hAnsi="Times New Roman" w:cs="Times New Roman"/>
                <w:color w:val="000000" w:themeColor="text1"/>
                <w:sz w:val="24"/>
                <w:szCs w:val="24"/>
              </w:rPr>
              <w:t xml:space="preserve"> </w:t>
            </w:r>
          </w:p>
        </w:tc>
        <w:tc>
          <w:tcPr>
            <w:tcW w:w="1321" w:type="dxa"/>
          </w:tcPr>
          <w:p w:rsidRPr="00A4000C" w:rsidR="00A4000C" w:rsidP="00A4000C" w:rsidRDefault="00A4000C" w14:paraId="39F7FB11" w14:textId="036C4F37">
            <w:pPr>
              <w:spacing w:line="240" w:lineRule="auto"/>
              <w:jc w:val="right"/>
              <w:rPr>
                <w:rFonts w:ascii="Times New Roman" w:hAnsi="Times New Roman" w:cs="Times New Roman"/>
                <w:b/>
                <w:bCs/>
                <w:color w:val="000000" w:themeColor="text1"/>
                <w:sz w:val="24"/>
                <w:szCs w:val="24"/>
              </w:rPr>
            </w:pPr>
            <w:r w:rsidRPr="00A4000C">
              <w:rPr>
                <w:rFonts w:ascii="Times New Roman" w:hAnsi="Times New Roman" w:cs="Times New Roman"/>
                <w:color w:val="000000" w:themeColor="text1"/>
                <w:sz w:val="24"/>
                <w:szCs w:val="24"/>
              </w:rPr>
              <w:t>1</w:t>
            </w:r>
          </w:p>
        </w:tc>
        <w:tc>
          <w:tcPr>
            <w:tcW w:w="1210" w:type="dxa"/>
          </w:tcPr>
          <w:p w:rsidRPr="00A4000C" w:rsidR="00A4000C" w:rsidP="008457D3" w:rsidRDefault="00A4000C" w14:paraId="796781C1" w14:textId="79E0AB35">
            <w:pPr>
              <w:spacing w:line="240" w:lineRule="auto"/>
              <w:jc w:val="right"/>
              <w:rPr>
                <w:rFonts w:ascii="Times New Roman" w:hAnsi="Times New Roman" w:cs="Times New Roman"/>
                <w:b/>
                <w:bCs/>
                <w:color w:val="000000" w:themeColor="text1"/>
                <w:sz w:val="24"/>
                <w:szCs w:val="24"/>
              </w:rPr>
            </w:pPr>
            <w:r w:rsidRPr="00A4000C">
              <w:rPr>
                <w:rFonts w:ascii="Times New Roman" w:hAnsi="Times New Roman" w:cs="Times New Roman"/>
                <w:color w:val="000000" w:themeColor="text1"/>
                <w:sz w:val="24"/>
                <w:szCs w:val="24"/>
              </w:rPr>
              <w:t>1</w:t>
            </w:r>
            <w:r w:rsidR="008457D3">
              <w:rPr>
                <w:rFonts w:ascii="Times New Roman" w:hAnsi="Times New Roman" w:cs="Times New Roman"/>
                <w:color w:val="000000" w:themeColor="text1"/>
                <w:sz w:val="24"/>
                <w:szCs w:val="24"/>
              </w:rPr>
              <w:t>0</w:t>
            </w:r>
          </w:p>
        </w:tc>
        <w:tc>
          <w:tcPr>
            <w:tcW w:w="1271" w:type="dxa"/>
          </w:tcPr>
          <w:p w:rsidRPr="00A4000C" w:rsidR="00A4000C" w:rsidP="000F115F" w:rsidRDefault="00266F8D" w14:paraId="12E9CD5D" w14:textId="1B4C2691">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12,5</w:t>
            </w:r>
            <w:r w:rsidR="000F115F">
              <w:rPr>
                <w:rFonts w:ascii="Times New Roman" w:hAnsi="Times New Roman" w:cs="Times New Roman"/>
                <w:bCs/>
                <w:color w:val="000000" w:themeColor="text1"/>
                <w:sz w:val="24"/>
                <w:szCs w:val="24"/>
              </w:rPr>
              <w:t>32</w:t>
            </w:r>
          </w:p>
        </w:tc>
        <w:tc>
          <w:tcPr>
            <w:tcW w:w="1393" w:type="dxa"/>
          </w:tcPr>
          <w:p w:rsidRPr="00A4000C" w:rsidR="00A4000C" w:rsidP="00A4000C" w:rsidRDefault="00A4000C" w14:paraId="2E783331" w14:textId="16EB1131">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$10.22*</w:t>
            </w:r>
          </w:p>
        </w:tc>
        <w:tc>
          <w:tcPr>
            <w:tcW w:w="1811" w:type="dxa"/>
          </w:tcPr>
          <w:p w:rsidRPr="00A4000C" w:rsidR="00A4000C" w:rsidP="00266F8D" w:rsidRDefault="00A4000C" w14:paraId="5450A070" w14:textId="5889D707">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0F115F">
              <w:rPr>
                <w:rFonts w:ascii="Times New Roman" w:hAnsi="Times New Roman" w:cs="Times New Roman"/>
                <w:bCs/>
                <w:color w:val="000000" w:themeColor="text1"/>
                <w:sz w:val="24"/>
                <w:szCs w:val="24"/>
              </w:rPr>
              <w:t>128,077</w:t>
            </w:r>
            <w:r>
              <w:rPr>
                <w:rFonts w:ascii="Times New Roman" w:hAnsi="Times New Roman" w:cs="Times New Roman"/>
                <w:bCs/>
                <w:color w:val="000000" w:themeColor="text1"/>
                <w:sz w:val="24"/>
                <w:szCs w:val="24"/>
              </w:rPr>
              <w:t>*</w:t>
            </w:r>
            <w:r w:rsidR="00ED431E">
              <w:rPr>
                <w:rFonts w:ascii="Times New Roman" w:hAnsi="Times New Roman" w:cs="Times New Roman"/>
                <w:bCs/>
                <w:color w:val="000000" w:themeColor="text1"/>
                <w:sz w:val="24"/>
                <w:szCs w:val="24"/>
              </w:rPr>
              <w:t>*</w:t>
            </w:r>
          </w:p>
        </w:tc>
      </w:tr>
      <w:tr w:rsidR="00A4000C" w:rsidTr="00ED431E" w14:paraId="2D8F8BFF" w14:textId="77777777">
        <w:tc>
          <w:tcPr>
            <w:tcW w:w="1816" w:type="dxa"/>
          </w:tcPr>
          <w:p w:rsidRPr="00A4000C" w:rsidR="00A4000C" w:rsidP="00A4000C" w:rsidRDefault="00A4000C" w14:paraId="750AFEF4" w14:textId="61ECD51B">
            <w:pPr>
              <w:spacing w:line="240" w:lineRule="auto"/>
              <w:rPr>
                <w:rFonts w:ascii="Times New Roman" w:hAnsi="Times New Roman" w:cs="Times New Roman"/>
                <w:b/>
                <w:bCs/>
                <w:color w:val="000000" w:themeColor="text1"/>
                <w:sz w:val="24"/>
                <w:szCs w:val="24"/>
              </w:rPr>
            </w:pPr>
            <w:r w:rsidRPr="00A4000C">
              <w:rPr>
                <w:rFonts w:ascii="Times New Roman" w:hAnsi="Times New Roman" w:cs="Times New Roman"/>
                <w:color w:val="000000" w:themeColor="text1"/>
                <w:sz w:val="24"/>
                <w:szCs w:val="24"/>
              </w:rPr>
              <w:t xml:space="preserve">CEO Initial Call – With Representative </w:t>
            </w:r>
          </w:p>
        </w:tc>
        <w:tc>
          <w:tcPr>
            <w:tcW w:w="1523" w:type="dxa"/>
          </w:tcPr>
          <w:p w:rsidRPr="00A4000C" w:rsidR="00A4000C" w:rsidP="00A4000C" w:rsidRDefault="008457D3" w14:paraId="41E3C54F" w14:textId="40D18AE5">
            <w:pPr>
              <w:spacing w:line="240" w:lineRule="auto"/>
              <w:jc w:val="right"/>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201,400</w:t>
            </w:r>
            <w:r w:rsidRPr="00A4000C" w:rsidR="00A4000C">
              <w:rPr>
                <w:rFonts w:ascii="Times New Roman" w:hAnsi="Times New Roman" w:cs="Times New Roman"/>
                <w:color w:val="000000" w:themeColor="text1"/>
                <w:sz w:val="24"/>
                <w:szCs w:val="24"/>
              </w:rPr>
              <w:t xml:space="preserve"> </w:t>
            </w:r>
          </w:p>
        </w:tc>
        <w:tc>
          <w:tcPr>
            <w:tcW w:w="1321" w:type="dxa"/>
          </w:tcPr>
          <w:p w:rsidRPr="00A4000C" w:rsidR="00A4000C" w:rsidP="00A4000C" w:rsidRDefault="00A4000C" w14:paraId="5A154C7A" w14:textId="1DEA8CE5">
            <w:pPr>
              <w:spacing w:line="240" w:lineRule="auto"/>
              <w:jc w:val="right"/>
              <w:rPr>
                <w:rFonts w:ascii="Times New Roman" w:hAnsi="Times New Roman" w:cs="Times New Roman"/>
                <w:b/>
                <w:bCs/>
                <w:color w:val="000000" w:themeColor="text1"/>
                <w:sz w:val="24"/>
                <w:szCs w:val="24"/>
              </w:rPr>
            </w:pPr>
            <w:r w:rsidRPr="00A4000C">
              <w:rPr>
                <w:rFonts w:ascii="Times New Roman" w:hAnsi="Times New Roman" w:cs="Times New Roman"/>
                <w:color w:val="000000" w:themeColor="text1"/>
                <w:sz w:val="24"/>
                <w:szCs w:val="24"/>
              </w:rPr>
              <w:t>1</w:t>
            </w:r>
          </w:p>
        </w:tc>
        <w:tc>
          <w:tcPr>
            <w:tcW w:w="1210" w:type="dxa"/>
          </w:tcPr>
          <w:p w:rsidRPr="00A4000C" w:rsidR="00A4000C" w:rsidP="008457D3" w:rsidRDefault="00A4000C" w14:paraId="7E23C9EB" w14:textId="2F568A95">
            <w:pPr>
              <w:spacing w:line="240" w:lineRule="auto"/>
              <w:jc w:val="right"/>
              <w:rPr>
                <w:rFonts w:ascii="Times New Roman" w:hAnsi="Times New Roman" w:cs="Times New Roman"/>
                <w:b/>
                <w:bCs/>
                <w:color w:val="000000" w:themeColor="text1"/>
                <w:sz w:val="24"/>
                <w:szCs w:val="24"/>
              </w:rPr>
            </w:pPr>
            <w:r w:rsidRPr="00A4000C">
              <w:rPr>
                <w:rFonts w:ascii="Times New Roman" w:hAnsi="Times New Roman" w:cs="Times New Roman"/>
                <w:color w:val="000000" w:themeColor="text1"/>
                <w:sz w:val="24"/>
                <w:szCs w:val="24"/>
              </w:rPr>
              <w:t>1</w:t>
            </w:r>
            <w:r w:rsidR="008457D3">
              <w:rPr>
                <w:rFonts w:ascii="Times New Roman" w:hAnsi="Times New Roman" w:cs="Times New Roman"/>
                <w:color w:val="000000" w:themeColor="text1"/>
                <w:sz w:val="24"/>
                <w:szCs w:val="24"/>
              </w:rPr>
              <w:t>0</w:t>
            </w:r>
          </w:p>
        </w:tc>
        <w:tc>
          <w:tcPr>
            <w:tcW w:w="1271" w:type="dxa"/>
          </w:tcPr>
          <w:p w:rsidRPr="00A4000C" w:rsidR="00A4000C" w:rsidP="00A4000C" w:rsidRDefault="000F115F" w14:paraId="3E064843" w14:textId="0E7805D5">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33,567</w:t>
            </w:r>
          </w:p>
        </w:tc>
        <w:tc>
          <w:tcPr>
            <w:tcW w:w="1393" w:type="dxa"/>
          </w:tcPr>
          <w:p w:rsidRPr="00A4000C" w:rsidR="00A4000C" w:rsidP="00A4000C" w:rsidRDefault="00C472C1" w14:paraId="120F10FA" w14:textId="2394D3AD">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$25.72*</w:t>
            </w:r>
          </w:p>
        </w:tc>
        <w:tc>
          <w:tcPr>
            <w:tcW w:w="1811" w:type="dxa"/>
          </w:tcPr>
          <w:p w:rsidRPr="00A4000C" w:rsidR="00A4000C" w:rsidP="000F115F" w:rsidRDefault="00C472C1" w14:paraId="670B0A1B" w14:textId="69B8BB91">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0F115F">
              <w:rPr>
                <w:rFonts w:ascii="Times New Roman" w:hAnsi="Times New Roman" w:cs="Times New Roman"/>
                <w:bCs/>
                <w:color w:val="000000" w:themeColor="text1"/>
                <w:sz w:val="24"/>
                <w:szCs w:val="24"/>
              </w:rPr>
              <w:t>863,343</w:t>
            </w:r>
            <w:r>
              <w:rPr>
                <w:rFonts w:ascii="Times New Roman" w:hAnsi="Times New Roman" w:cs="Times New Roman"/>
                <w:bCs/>
                <w:color w:val="000000" w:themeColor="text1"/>
                <w:sz w:val="24"/>
                <w:szCs w:val="24"/>
              </w:rPr>
              <w:t>**</w:t>
            </w:r>
          </w:p>
        </w:tc>
      </w:tr>
      <w:tr w:rsidR="00C472C1" w:rsidTr="00ED431E" w14:paraId="426B7A77" w14:textId="77777777">
        <w:tc>
          <w:tcPr>
            <w:tcW w:w="1816" w:type="dxa"/>
          </w:tcPr>
          <w:p w:rsidRPr="00A4000C" w:rsidR="00C472C1" w:rsidP="00C472C1" w:rsidRDefault="00C472C1" w14:paraId="566312D5" w14:textId="7545CF7A">
            <w:pPr>
              <w:spacing w:line="240" w:lineRule="auto"/>
              <w:rPr>
                <w:rFonts w:ascii="Times New Roman" w:hAnsi="Times New Roman" w:cs="Times New Roman"/>
                <w:color w:val="000000" w:themeColor="text1"/>
                <w:sz w:val="24"/>
                <w:szCs w:val="24"/>
              </w:rPr>
            </w:pPr>
            <w:r w:rsidRPr="00A4000C">
              <w:rPr>
                <w:rFonts w:ascii="Times New Roman" w:hAnsi="Times New Roman" w:cs="Times New Roman"/>
                <w:color w:val="000000" w:themeColor="text1"/>
                <w:sz w:val="24"/>
                <w:szCs w:val="24"/>
              </w:rPr>
              <w:t>CEO Follow Up Call – No Representative (Unrepresented Claimant/</w:t>
            </w:r>
            <w:proofErr w:type="spellStart"/>
            <w:r w:rsidRPr="00A4000C">
              <w:rPr>
                <w:rFonts w:ascii="Times New Roman" w:hAnsi="Times New Roman" w:cs="Times New Roman"/>
                <w:color w:val="000000" w:themeColor="text1"/>
                <w:sz w:val="24"/>
                <w:szCs w:val="24"/>
              </w:rPr>
              <w:t>ProSe</w:t>
            </w:r>
            <w:proofErr w:type="spellEnd"/>
            <w:r w:rsidRPr="00A4000C">
              <w:rPr>
                <w:rFonts w:ascii="Times New Roman" w:hAnsi="Times New Roman" w:cs="Times New Roman"/>
                <w:color w:val="000000" w:themeColor="text1"/>
                <w:sz w:val="24"/>
                <w:szCs w:val="24"/>
              </w:rPr>
              <w:t>)</w:t>
            </w:r>
          </w:p>
        </w:tc>
        <w:tc>
          <w:tcPr>
            <w:tcW w:w="1523" w:type="dxa"/>
          </w:tcPr>
          <w:p w:rsidRPr="00A4000C" w:rsidR="00C472C1" w:rsidP="00C472C1" w:rsidRDefault="008457D3" w14:paraId="31D6694B" w14:textId="0DE75A97">
            <w:pPr>
              <w:spacing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37,500</w:t>
            </w:r>
            <w:r w:rsidRPr="00A4000C" w:rsidR="00C472C1">
              <w:rPr>
                <w:rFonts w:ascii="Times New Roman" w:hAnsi="Times New Roman" w:cs="Times New Roman"/>
                <w:color w:val="000000" w:themeColor="text1"/>
                <w:sz w:val="24"/>
                <w:szCs w:val="24"/>
              </w:rPr>
              <w:t xml:space="preserve"> </w:t>
            </w:r>
          </w:p>
        </w:tc>
        <w:tc>
          <w:tcPr>
            <w:tcW w:w="1321" w:type="dxa"/>
          </w:tcPr>
          <w:p w:rsidRPr="00A4000C" w:rsidR="00C472C1" w:rsidP="00C472C1" w:rsidRDefault="00C472C1" w14:paraId="09923C04" w14:textId="28749991">
            <w:pPr>
              <w:spacing w:line="240" w:lineRule="auto"/>
              <w:jc w:val="right"/>
              <w:rPr>
                <w:rFonts w:ascii="Times New Roman" w:hAnsi="Times New Roman" w:cs="Times New Roman"/>
                <w:color w:val="000000" w:themeColor="text1"/>
                <w:sz w:val="24"/>
                <w:szCs w:val="24"/>
              </w:rPr>
            </w:pPr>
            <w:r w:rsidRPr="00A4000C">
              <w:rPr>
                <w:rFonts w:ascii="Times New Roman" w:hAnsi="Times New Roman" w:cs="Times New Roman"/>
                <w:color w:val="000000" w:themeColor="text1"/>
                <w:sz w:val="24"/>
                <w:szCs w:val="24"/>
              </w:rPr>
              <w:t>1</w:t>
            </w:r>
          </w:p>
        </w:tc>
        <w:tc>
          <w:tcPr>
            <w:tcW w:w="1210" w:type="dxa"/>
          </w:tcPr>
          <w:p w:rsidRPr="00A4000C" w:rsidR="00C472C1" w:rsidP="00C472C1" w:rsidRDefault="00C472C1" w14:paraId="4A1509CB" w14:textId="057CE297">
            <w:pPr>
              <w:spacing w:line="240" w:lineRule="auto"/>
              <w:jc w:val="right"/>
              <w:rPr>
                <w:rFonts w:ascii="Times New Roman" w:hAnsi="Times New Roman" w:cs="Times New Roman"/>
                <w:color w:val="000000" w:themeColor="text1"/>
                <w:sz w:val="24"/>
                <w:szCs w:val="24"/>
              </w:rPr>
            </w:pPr>
            <w:r w:rsidRPr="00A4000C">
              <w:rPr>
                <w:rFonts w:ascii="Times New Roman" w:hAnsi="Times New Roman" w:cs="Times New Roman"/>
                <w:color w:val="000000" w:themeColor="text1"/>
                <w:sz w:val="24"/>
                <w:szCs w:val="24"/>
              </w:rPr>
              <w:t>60</w:t>
            </w:r>
          </w:p>
        </w:tc>
        <w:tc>
          <w:tcPr>
            <w:tcW w:w="1271" w:type="dxa"/>
          </w:tcPr>
          <w:p w:rsidRPr="00A4000C" w:rsidR="00C472C1" w:rsidP="00C472C1" w:rsidRDefault="00266F8D" w14:paraId="24258E42" w14:textId="0C55D9FD">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37,500</w:t>
            </w:r>
          </w:p>
        </w:tc>
        <w:tc>
          <w:tcPr>
            <w:tcW w:w="1393" w:type="dxa"/>
          </w:tcPr>
          <w:p w:rsidRPr="00A4000C" w:rsidR="00C472C1" w:rsidP="00C472C1" w:rsidRDefault="00C472C1" w14:paraId="4FCF47D4" w14:textId="7156C340">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$10.22*</w:t>
            </w:r>
          </w:p>
        </w:tc>
        <w:tc>
          <w:tcPr>
            <w:tcW w:w="1811" w:type="dxa"/>
          </w:tcPr>
          <w:p w:rsidRPr="00A4000C" w:rsidR="00C472C1" w:rsidP="00266F8D" w:rsidRDefault="000F115F" w14:paraId="5E035F4A" w14:textId="7ADE77E4">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$383,250**</w:t>
            </w:r>
          </w:p>
        </w:tc>
      </w:tr>
      <w:tr w:rsidR="00C472C1" w:rsidTr="00ED431E" w14:paraId="5048ADF5" w14:textId="77777777">
        <w:tc>
          <w:tcPr>
            <w:tcW w:w="1816" w:type="dxa"/>
          </w:tcPr>
          <w:p w:rsidRPr="00A4000C" w:rsidR="00C472C1" w:rsidP="00C472C1" w:rsidRDefault="00C472C1" w14:paraId="4AF6B4FA" w14:textId="6D57CD1F">
            <w:pPr>
              <w:spacing w:line="240" w:lineRule="auto"/>
              <w:rPr>
                <w:rFonts w:ascii="Times New Roman" w:hAnsi="Times New Roman" w:cs="Times New Roman"/>
                <w:color w:val="000000" w:themeColor="text1"/>
                <w:sz w:val="24"/>
                <w:szCs w:val="24"/>
              </w:rPr>
            </w:pPr>
            <w:r w:rsidRPr="00A4000C">
              <w:rPr>
                <w:rFonts w:ascii="Times New Roman" w:hAnsi="Times New Roman" w:cs="Times New Roman"/>
                <w:color w:val="000000" w:themeColor="text1"/>
                <w:sz w:val="24"/>
                <w:szCs w:val="24"/>
              </w:rPr>
              <w:t xml:space="preserve">CEO Follow up Call – With Representative </w:t>
            </w:r>
          </w:p>
        </w:tc>
        <w:tc>
          <w:tcPr>
            <w:tcW w:w="1523" w:type="dxa"/>
          </w:tcPr>
          <w:p w:rsidRPr="00A4000C" w:rsidR="00C472C1" w:rsidP="00C472C1" w:rsidRDefault="008457D3" w14:paraId="7589C571" w14:textId="1186267C">
            <w:pPr>
              <w:spacing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120,800</w:t>
            </w:r>
            <w:r w:rsidRPr="00A4000C" w:rsidR="00C472C1">
              <w:rPr>
                <w:rFonts w:ascii="Times New Roman" w:hAnsi="Times New Roman" w:cs="Times New Roman"/>
                <w:color w:val="000000" w:themeColor="text1"/>
                <w:sz w:val="24"/>
                <w:szCs w:val="24"/>
              </w:rPr>
              <w:t xml:space="preserve"> </w:t>
            </w:r>
          </w:p>
        </w:tc>
        <w:tc>
          <w:tcPr>
            <w:tcW w:w="1321" w:type="dxa"/>
          </w:tcPr>
          <w:p w:rsidRPr="00A4000C" w:rsidR="00C472C1" w:rsidP="00C472C1" w:rsidRDefault="00C472C1" w14:paraId="41686C19" w14:textId="2D7F964A">
            <w:pPr>
              <w:spacing w:line="240" w:lineRule="auto"/>
              <w:jc w:val="right"/>
              <w:rPr>
                <w:rFonts w:ascii="Times New Roman" w:hAnsi="Times New Roman" w:cs="Times New Roman"/>
                <w:color w:val="000000" w:themeColor="text1"/>
                <w:sz w:val="24"/>
                <w:szCs w:val="24"/>
              </w:rPr>
            </w:pPr>
            <w:r w:rsidRPr="00A4000C">
              <w:rPr>
                <w:rFonts w:ascii="Times New Roman" w:hAnsi="Times New Roman" w:cs="Times New Roman"/>
                <w:color w:val="000000" w:themeColor="text1"/>
                <w:sz w:val="24"/>
                <w:szCs w:val="24"/>
              </w:rPr>
              <w:t>1</w:t>
            </w:r>
          </w:p>
        </w:tc>
        <w:tc>
          <w:tcPr>
            <w:tcW w:w="1210" w:type="dxa"/>
          </w:tcPr>
          <w:p w:rsidRPr="00A4000C" w:rsidR="00C472C1" w:rsidP="00C472C1" w:rsidRDefault="00C472C1" w14:paraId="5E07D239" w14:textId="3BE28331">
            <w:pPr>
              <w:autoSpaceDE w:val="0"/>
              <w:autoSpaceDN w:val="0"/>
              <w:jc w:val="right"/>
              <w:rPr>
                <w:rFonts w:ascii="Times New Roman" w:hAnsi="Times New Roman" w:cs="Times New Roman"/>
                <w:color w:val="000000" w:themeColor="text1"/>
                <w:sz w:val="24"/>
                <w:szCs w:val="24"/>
              </w:rPr>
            </w:pPr>
            <w:r w:rsidRPr="00A4000C">
              <w:rPr>
                <w:rFonts w:ascii="Times New Roman" w:hAnsi="Times New Roman" w:cs="Times New Roman"/>
                <w:color w:val="000000" w:themeColor="text1"/>
                <w:sz w:val="24"/>
                <w:szCs w:val="24"/>
              </w:rPr>
              <w:t>30</w:t>
            </w:r>
          </w:p>
        </w:tc>
        <w:tc>
          <w:tcPr>
            <w:tcW w:w="1271" w:type="dxa"/>
          </w:tcPr>
          <w:p w:rsidRPr="00A4000C" w:rsidR="00C472C1" w:rsidP="00C472C1" w:rsidRDefault="00266F8D" w14:paraId="6D18B80F" w14:textId="32E234F7">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60,400</w:t>
            </w:r>
          </w:p>
        </w:tc>
        <w:tc>
          <w:tcPr>
            <w:tcW w:w="1393" w:type="dxa"/>
          </w:tcPr>
          <w:p w:rsidRPr="00A4000C" w:rsidR="00C472C1" w:rsidP="00C472C1" w:rsidRDefault="00C472C1" w14:paraId="685A121B" w14:textId="550CA74D">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$25.72*</w:t>
            </w:r>
          </w:p>
        </w:tc>
        <w:tc>
          <w:tcPr>
            <w:tcW w:w="1811" w:type="dxa"/>
          </w:tcPr>
          <w:p w:rsidRPr="00A4000C" w:rsidR="00C472C1" w:rsidP="00C472C1" w:rsidRDefault="000F115F" w14:paraId="62757CFC" w14:textId="4913B1D0">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$1,553,488**</w:t>
            </w:r>
          </w:p>
        </w:tc>
      </w:tr>
      <w:tr w:rsidR="00A4000C" w:rsidTr="00ED431E" w14:paraId="28FE7B8A" w14:textId="77777777">
        <w:tc>
          <w:tcPr>
            <w:tcW w:w="1816" w:type="dxa"/>
          </w:tcPr>
          <w:p w:rsidRPr="00A4000C" w:rsidR="00A4000C" w:rsidP="00A4000C" w:rsidRDefault="00A4000C" w14:paraId="68B44D2E" w14:textId="1E428E05">
            <w:pPr>
              <w:spacing w:line="240" w:lineRule="auto"/>
              <w:rPr>
                <w:rFonts w:ascii="Times New Roman" w:hAnsi="Times New Roman" w:cs="Times New Roman"/>
                <w:b/>
                <w:color w:val="000000" w:themeColor="text1"/>
                <w:sz w:val="24"/>
                <w:szCs w:val="24"/>
              </w:rPr>
            </w:pPr>
            <w:r w:rsidRPr="00A4000C">
              <w:rPr>
                <w:rFonts w:ascii="Times New Roman" w:hAnsi="Times New Roman" w:cs="Times New Roman"/>
                <w:b/>
                <w:color w:val="000000" w:themeColor="text1"/>
                <w:sz w:val="24"/>
                <w:szCs w:val="24"/>
              </w:rPr>
              <w:t>Totals</w:t>
            </w:r>
          </w:p>
        </w:tc>
        <w:tc>
          <w:tcPr>
            <w:tcW w:w="1523" w:type="dxa"/>
          </w:tcPr>
          <w:p w:rsidRPr="0082628D" w:rsidR="00A4000C" w:rsidP="00A4000C" w:rsidRDefault="000F115F" w14:paraId="6801D1FF" w14:textId="614007BA">
            <w:pPr>
              <w:spacing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434,890</w:t>
            </w:r>
          </w:p>
        </w:tc>
        <w:tc>
          <w:tcPr>
            <w:tcW w:w="1321" w:type="dxa"/>
          </w:tcPr>
          <w:p w:rsidRPr="00A4000C" w:rsidR="00A4000C" w:rsidP="00A4000C" w:rsidRDefault="00A4000C" w14:paraId="28E2203F" w14:textId="77777777">
            <w:pPr>
              <w:spacing w:line="240" w:lineRule="auto"/>
              <w:jc w:val="right"/>
              <w:rPr>
                <w:rFonts w:ascii="Times New Roman" w:hAnsi="Times New Roman" w:cs="Times New Roman"/>
                <w:color w:val="000000" w:themeColor="text1"/>
                <w:sz w:val="24"/>
                <w:szCs w:val="24"/>
              </w:rPr>
            </w:pPr>
          </w:p>
        </w:tc>
        <w:tc>
          <w:tcPr>
            <w:tcW w:w="1210" w:type="dxa"/>
          </w:tcPr>
          <w:p w:rsidRPr="00A4000C" w:rsidR="00A4000C" w:rsidP="00A4000C" w:rsidRDefault="00A4000C" w14:paraId="05FBC6FD" w14:textId="77777777">
            <w:pPr>
              <w:autoSpaceDE w:val="0"/>
              <w:autoSpaceDN w:val="0"/>
              <w:jc w:val="right"/>
              <w:rPr>
                <w:rFonts w:ascii="Times New Roman" w:hAnsi="Times New Roman" w:cs="Times New Roman"/>
                <w:color w:val="000000" w:themeColor="text1"/>
                <w:sz w:val="24"/>
                <w:szCs w:val="24"/>
              </w:rPr>
            </w:pPr>
          </w:p>
        </w:tc>
        <w:tc>
          <w:tcPr>
            <w:tcW w:w="1271" w:type="dxa"/>
          </w:tcPr>
          <w:p w:rsidRPr="00A4000C" w:rsidR="00A4000C" w:rsidP="00A4000C" w:rsidRDefault="000F115F" w14:paraId="270D90EF" w14:textId="596F808F">
            <w:pPr>
              <w:spacing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143,999</w:t>
            </w:r>
          </w:p>
        </w:tc>
        <w:tc>
          <w:tcPr>
            <w:tcW w:w="1393" w:type="dxa"/>
          </w:tcPr>
          <w:p w:rsidRPr="00A4000C" w:rsidR="00A4000C" w:rsidP="00A4000C" w:rsidRDefault="00A4000C" w14:paraId="4E7DDD11" w14:textId="77777777">
            <w:pPr>
              <w:spacing w:line="240" w:lineRule="auto"/>
              <w:jc w:val="right"/>
              <w:rPr>
                <w:rFonts w:ascii="Times New Roman" w:hAnsi="Times New Roman" w:cs="Times New Roman"/>
                <w:b/>
                <w:bCs/>
                <w:color w:val="000000" w:themeColor="text1"/>
                <w:sz w:val="24"/>
                <w:szCs w:val="24"/>
              </w:rPr>
            </w:pPr>
          </w:p>
        </w:tc>
        <w:tc>
          <w:tcPr>
            <w:tcW w:w="1811" w:type="dxa"/>
          </w:tcPr>
          <w:p w:rsidRPr="00A4000C" w:rsidR="00A4000C" w:rsidP="00A4000C" w:rsidRDefault="000F115F" w14:paraId="4D96B083" w14:textId="142069EA">
            <w:pPr>
              <w:spacing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$2,928,158</w:t>
            </w:r>
            <w:r w:rsidR="0082628D">
              <w:rPr>
                <w:rFonts w:ascii="Times New Roman" w:hAnsi="Times New Roman" w:cs="Times New Roman"/>
                <w:b/>
                <w:bCs/>
                <w:color w:val="000000" w:themeColor="text1"/>
                <w:sz w:val="24"/>
                <w:szCs w:val="24"/>
              </w:rPr>
              <w:t>**</w:t>
            </w:r>
          </w:p>
        </w:tc>
      </w:tr>
    </w:tbl>
    <w:p w:rsidRPr="00C472C1" w:rsidR="00C472C1" w:rsidP="00C472C1" w:rsidRDefault="00C472C1" w14:paraId="65FC36C6" w14:textId="48932154">
      <w:pPr>
        <w:ind w:left="720"/>
        <w:rPr>
          <w:rFonts w:ascii="Times New Roman" w:hAnsi="Times New Roman"/>
          <w:sz w:val="24"/>
          <w:szCs w:val="24"/>
        </w:rPr>
      </w:pPr>
      <w:r w:rsidRPr="00C472C1">
        <w:rPr>
          <w:rFonts w:ascii="Times New Roman" w:hAnsi="Times New Roman"/>
          <w:sz w:val="24"/>
          <w:szCs w:val="24"/>
        </w:rPr>
        <w:t xml:space="preserve">* We based this figure on average </w:t>
      </w:r>
      <w:r>
        <w:rPr>
          <w:rFonts w:ascii="Times New Roman" w:hAnsi="Times New Roman"/>
          <w:sz w:val="24"/>
          <w:szCs w:val="24"/>
        </w:rPr>
        <w:t xml:space="preserve">DI payments from SSA’s records (for claimants), and the average U.S. worker’s salary as reported by the Bureau of Labor Statistics (for representative payees), </w:t>
      </w:r>
      <w:hyperlink w:history="1" r:id="rId8">
        <w:r w:rsidRPr="0049433E">
          <w:rPr>
            <w:rStyle w:val="Hyperlink"/>
            <w:rFonts w:ascii="Times New Roman" w:hAnsi="Times New Roman"/>
            <w:sz w:val="24"/>
            <w:szCs w:val="24"/>
          </w:rPr>
          <w:t>https://www.bls.gov/oes/current/oes_nat.htm</w:t>
        </w:r>
      </w:hyperlink>
      <w:r>
        <w:rPr>
          <w:rFonts w:ascii="Times New Roman" w:hAnsi="Times New Roman"/>
          <w:sz w:val="24"/>
          <w:szCs w:val="24"/>
        </w:rPr>
        <w:t xml:space="preserve">. </w:t>
      </w:r>
    </w:p>
    <w:p w:rsidRPr="005D0C33" w:rsidR="00C472C1" w:rsidP="005D0C33" w:rsidRDefault="00C472C1" w14:paraId="4F6C172B" w14:textId="08D6D6E8">
      <w:pPr>
        <w:ind w:left="720"/>
        <w:rPr>
          <w:rFonts w:ascii="Times New Roman" w:hAnsi="Times New Roman"/>
          <w:sz w:val="24"/>
          <w:szCs w:val="24"/>
        </w:rPr>
      </w:pPr>
      <w:r w:rsidRPr="00C472C1">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472C1">
        <w:rPr>
          <w:rFonts w:ascii="Times New Roman" w:hAnsi="Times New Roman"/>
          <w:b/>
          <w:sz w:val="24"/>
          <w:szCs w:val="24"/>
          <w:u w:val="single"/>
        </w:rPr>
        <w:t>There is no actual charge to respondents to complete the application</w:t>
      </w:r>
      <w:r w:rsidRPr="00C472C1">
        <w:rPr>
          <w:rFonts w:ascii="Times New Roman" w:hAnsi="Times New Roman"/>
          <w:sz w:val="24"/>
          <w:szCs w:val="24"/>
        </w:rPr>
        <w:t>.</w:t>
      </w:r>
    </w:p>
    <w:p w:rsidR="00C472C1" w:rsidP="00C472C1" w:rsidRDefault="00C472C1" w14:paraId="54D0C178" w14:textId="1AC0A1D6">
      <w:pPr>
        <w:pStyle w:val="ListParagraph"/>
        <w:rPr>
          <w:rFonts w:ascii="Times New Roman" w:hAnsi="Times New Roman"/>
          <w:sz w:val="24"/>
          <w:szCs w:val="24"/>
        </w:rPr>
      </w:pPr>
      <w:r w:rsidRPr="0082628D">
        <w:rPr>
          <w:rFonts w:ascii="Times New Roman" w:hAnsi="Times New Roman"/>
          <w:sz w:val="24"/>
          <w:szCs w:val="24"/>
        </w:rPr>
        <w:t xml:space="preserve">The total burden for </w:t>
      </w:r>
      <w:r w:rsidRPr="0082628D" w:rsidR="0082628D">
        <w:rPr>
          <w:rFonts w:ascii="Times New Roman" w:hAnsi="Times New Roman"/>
          <w:sz w:val="24"/>
          <w:szCs w:val="24"/>
        </w:rPr>
        <w:t xml:space="preserve">the </w:t>
      </w:r>
      <w:r w:rsidRPr="0082628D" w:rsidR="0082628D">
        <w:rPr>
          <w:rFonts w:ascii="Times New Roman" w:hAnsi="Times New Roman" w:cs="Times New Roman"/>
          <w:bCs/>
          <w:sz w:val="24"/>
          <w:szCs w:val="24"/>
        </w:rPr>
        <w:t xml:space="preserve">COVID-19 Enhanced Outreach is </w:t>
      </w:r>
      <w:r w:rsidR="00237FA8">
        <w:rPr>
          <w:rFonts w:ascii="Times New Roman" w:hAnsi="Times New Roman" w:cs="Times New Roman"/>
          <w:b/>
          <w:bCs/>
          <w:sz w:val="24"/>
          <w:szCs w:val="24"/>
        </w:rPr>
        <w:t>143,999</w:t>
      </w:r>
      <w:bookmarkStart w:name="_GoBack" w:id="0"/>
      <w:bookmarkEnd w:id="0"/>
      <w:r w:rsidRPr="0082628D" w:rsidR="0082628D">
        <w:rPr>
          <w:rFonts w:ascii="Times New Roman" w:hAnsi="Times New Roman" w:cs="Times New Roman"/>
          <w:bCs/>
          <w:color w:val="000000" w:themeColor="text1"/>
          <w:sz w:val="24"/>
          <w:szCs w:val="24"/>
        </w:rPr>
        <w:t xml:space="preserve"> hours, which will temporarily increase the total burden for this</w:t>
      </w:r>
      <w:r w:rsidRPr="0082628D">
        <w:rPr>
          <w:rFonts w:ascii="Times New Roman" w:hAnsi="Times New Roman"/>
          <w:sz w:val="24"/>
          <w:szCs w:val="24"/>
        </w:rPr>
        <w:t xml:space="preserve"> ICR </w:t>
      </w:r>
      <w:r w:rsidRPr="0082628D" w:rsidR="0082628D">
        <w:rPr>
          <w:rFonts w:ascii="Times New Roman" w:hAnsi="Times New Roman"/>
          <w:sz w:val="24"/>
          <w:szCs w:val="24"/>
        </w:rPr>
        <w:t xml:space="preserve">to </w:t>
      </w:r>
      <w:r w:rsidRPr="0082628D" w:rsidR="0082628D">
        <w:rPr>
          <w:rFonts w:ascii="Times New Roman" w:hAnsi="Times New Roman"/>
          <w:b/>
          <w:sz w:val="24"/>
          <w:szCs w:val="24"/>
        </w:rPr>
        <w:t>1,</w:t>
      </w:r>
      <w:r w:rsidR="00237FA8">
        <w:rPr>
          <w:rFonts w:ascii="Times New Roman" w:hAnsi="Times New Roman"/>
          <w:b/>
          <w:sz w:val="24"/>
          <w:szCs w:val="24"/>
        </w:rPr>
        <w:t>125,132</w:t>
      </w:r>
      <w:r w:rsidRPr="0082628D">
        <w:rPr>
          <w:rFonts w:ascii="Times New Roman" w:hAnsi="Times New Roman"/>
          <w:sz w:val="24"/>
          <w:szCs w:val="24"/>
        </w:rPr>
        <w:t xml:space="preserve"> burden hours (reflecting SSA management information data), which results in an associated theoretical (not actual) opportunity cost financial burden </w:t>
      </w:r>
      <w:r w:rsidR="003C55BB">
        <w:rPr>
          <w:rFonts w:ascii="Times New Roman" w:hAnsi="Times New Roman"/>
          <w:sz w:val="24"/>
          <w:szCs w:val="24"/>
        </w:rPr>
        <w:t xml:space="preserve">increase </w:t>
      </w:r>
      <w:r w:rsidRPr="0082628D">
        <w:rPr>
          <w:rFonts w:ascii="Times New Roman" w:hAnsi="Times New Roman"/>
          <w:sz w:val="24"/>
          <w:szCs w:val="24"/>
        </w:rPr>
        <w:t>of $</w:t>
      </w:r>
      <w:r w:rsidR="00266F8D">
        <w:rPr>
          <w:rFonts w:ascii="Times New Roman" w:hAnsi="Times New Roman"/>
          <w:sz w:val="24"/>
          <w:szCs w:val="24"/>
        </w:rPr>
        <w:t>2,930,126</w:t>
      </w:r>
      <w:r w:rsidRPr="0082628D">
        <w:rPr>
          <w:rFonts w:ascii="Times New Roman" w:hAnsi="Times New Roman"/>
          <w:sz w:val="24"/>
          <w:szCs w:val="24"/>
        </w:rPr>
        <w:t>.  SSA does not charge respondents to complete our applications.</w:t>
      </w:r>
    </w:p>
    <w:p w:rsidRPr="00C472C1" w:rsidR="00227E03" w:rsidP="00557901" w:rsidRDefault="00557901" w14:paraId="519B6002" w14:textId="5E1E40D6">
      <w:pPr>
        <w:rPr>
          <w:rFonts w:ascii="Times New Roman" w:hAnsi="Times New Roman" w:cs="Times New Roman" w:eastAsiaTheme="minorHAnsi"/>
          <w:b/>
          <w:sz w:val="24"/>
          <w:szCs w:val="24"/>
        </w:rPr>
      </w:pPr>
      <w:r>
        <w:rPr>
          <w:rFonts w:ascii="Times New Roman" w:hAnsi="Times New Roman"/>
          <w:sz w:val="24"/>
          <w:szCs w:val="24"/>
        </w:rPr>
        <w:t xml:space="preserve">We will implement the </w:t>
      </w:r>
      <w:r w:rsidRPr="0082628D">
        <w:rPr>
          <w:rFonts w:ascii="Times New Roman" w:hAnsi="Times New Roman" w:cs="Times New Roman"/>
          <w:bCs/>
          <w:sz w:val="24"/>
          <w:szCs w:val="24"/>
        </w:rPr>
        <w:t>COVID-19 Enhanced Outreach</w:t>
      </w:r>
      <w:r>
        <w:rPr>
          <w:rFonts w:ascii="Times New Roman" w:hAnsi="Times New Roman" w:cs="Times New Roman"/>
          <w:bCs/>
          <w:sz w:val="24"/>
          <w:szCs w:val="24"/>
        </w:rPr>
        <w:t xml:space="preserve"> upon OMB’s approval.</w:t>
      </w:r>
      <w:r w:rsidRPr="00C472C1">
        <w:rPr>
          <w:rFonts w:ascii="Times New Roman" w:hAnsi="Times New Roman" w:cs="Times New Roman" w:eastAsiaTheme="minorHAnsi"/>
          <w:b/>
          <w:sz w:val="24"/>
          <w:szCs w:val="24"/>
        </w:rPr>
        <w:t xml:space="preserve"> </w:t>
      </w:r>
    </w:p>
    <w:sectPr w:rsidRPr="00C472C1" w:rsidR="00227E03" w:rsidSect="006D10A1">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FA847" w14:textId="77777777" w:rsidR="00366AFE" w:rsidRDefault="00366AFE" w:rsidP="00366AFE">
      <w:pPr>
        <w:spacing w:after="0" w:line="240" w:lineRule="auto"/>
      </w:pPr>
      <w:r>
        <w:separator/>
      </w:r>
    </w:p>
  </w:endnote>
  <w:endnote w:type="continuationSeparator" w:id="0">
    <w:p w14:paraId="154A0E5E" w14:textId="77777777" w:rsidR="00366AFE" w:rsidRDefault="00366AFE" w:rsidP="0036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D4173" w14:textId="165A2ED3" w:rsidR="00366AFE" w:rsidRPr="00366AFE" w:rsidRDefault="00366AFE" w:rsidP="00366AFE">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80877" w14:textId="77777777" w:rsidR="00366AFE" w:rsidRDefault="00366AFE" w:rsidP="00366AFE">
      <w:pPr>
        <w:spacing w:after="0" w:line="240" w:lineRule="auto"/>
      </w:pPr>
      <w:r>
        <w:separator/>
      </w:r>
    </w:p>
  </w:footnote>
  <w:footnote w:type="continuationSeparator" w:id="0">
    <w:p w14:paraId="34F99943" w14:textId="77777777" w:rsidR="00366AFE" w:rsidRDefault="00366AFE" w:rsidP="00366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343BA"/>
    <w:multiLevelType w:val="hybridMultilevel"/>
    <w:tmpl w:val="D33C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2142D"/>
    <w:multiLevelType w:val="hybridMultilevel"/>
    <w:tmpl w:val="66FE8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766511"/>
    <w:multiLevelType w:val="hybridMultilevel"/>
    <w:tmpl w:val="F26CC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08"/>
    <w:rsid w:val="000068E7"/>
    <w:rsid w:val="00040DCE"/>
    <w:rsid w:val="000C5516"/>
    <w:rsid w:val="000F115F"/>
    <w:rsid w:val="00164C9E"/>
    <w:rsid w:val="00192CD2"/>
    <w:rsid w:val="001A7099"/>
    <w:rsid w:val="001C1772"/>
    <w:rsid w:val="00216CB3"/>
    <w:rsid w:val="00227E03"/>
    <w:rsid w:val="00237FA8"/>
    <w:rsid w:val="00266F8D"/>
    <w:rsid w:val="002C7061"/>
    <w:rsid w:val="002D0BDF"/>
    <w:rsid w:val="00321CC9"/>
    <w:rsid w:val="0032789A"/>
    <w:rsid w:val="00335340"/>
    <w:rsid w:val="00366AFE"/>
    <w:rsid w:val="00377597"/>
    <w:rsid w:val="003A411F"/>
    <w:rsid w:val="003B124B"/>
    <w:rsid w:val="003C55BB"/>
    <w:rsid w:val="00413B0D"/>
    <w:rsid w:val="00457225"/>
    <w:rsid w:val="00462502"/>
    <w:rsid w:val="004A362D"/>
    <w:rsid w:val="004D4553"/>
    <w:rsid w:val="00527218"/>
    <w:rsid w:val="00557901"/>
    <w:rsid w:val="005D0C33"/>
    <w:rsid w:val="005F3FA9"/>
    <w:rsid w:val="006D10A1"/>
    <w:rsid w:val="00790278"/>
    <w:rsid w:val="0082628D"/>
    <w:rsid w:val="008457D3"/>
    <w:rsid w:val="00873A9C"/>
    <w:rsid w:val="008A0ADE"/>
    <w:rsid w:val="00910B08"/>
    <w:rsid w:val="00912FAD"/>
    <w:rsid w:val="00950389"/>
    <w:rsid w:val="0097496B"/>
    <w:rsid w:val="009938AD"/>
    <w:rsid w:val="00A4000C"/>
    <w:rsid w:val="00A84585"/>
    <w:rsid w:val="00A9408B"/>
    <w:rsid w:val="00AB5D6F"/>
    <w:rsid w:val="00C26988"/>
    <w:rsid w:val="00C472C1"/>
    <w:rsid w:val="00C54209"/>
    <w:rsid w:val="00C63445"/>
    <w:rsid w:val="00CA761A"/>
    <w:rsid w:val="00D53E34"/>
    <w:rsid w:val="00DF1B9D"/>
    <w:rsid w:val="00E43311"/>
    <w:rsid w:val="00ED431E"/>
    <w:rsid w:val="00F90EFD"/>
    <w:rsid w:val="00F97725"/>
    <w:rsid w:val="00FB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60F6"/>
  <w15:chartTrackingRefBased/>
  <w15:docId w15:val="{B842294D-FE5F-4E66-B81D-537CAA4E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B08"/>
    <w:pPr>
      <w:spacing w:line="252"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B08"/>
    <w:pPr>
      <w:ind w:left="720"/>
      <w:contextualSpacing/>
    </w:pPr>
  </w:style>
  <w:style w:type="character" w:styleId="CommentReference">
    <w:name w:val="annotation reference"/>
    <w:basedOn w:val="DefaultParagraphFont"/>
    <w:uiPriority w:val="99"/>
    <w:semiHidden/>
    <w:unhideWhenUsed/>
    <w:rsid w:val="00CA761A"/>
    <w:rPr>
      <w:sz w:val="16"/>
      <w:szCs w:val="16"/>
    </w:rPr>
  </w:style>
  <w:style w:type="paragraph" w:styleId="CommentText">
    <w:name w:val="annotation text"/>
    <w:basedOn w:val="Normal"/>
    <w:link w:val="CommentTextChar"/>
    <w:uiPriority w:val="99"/>
    <w:semiHidden/>
    <w:unhideWhenUsed/>
    <w:rsid w:val="00CA761A"/>
    <w:pPr>
      <w:spacing w:line="240" w:lineRule="auto"/>
    </w:pPr>
    <w:rPr>
      <w:sz w:val="20"/>
      <w:szCs w:val="20"/>
    </w:rPr>
  </w:style>
  <w:style w:type="character" w:customStyle="1" w:styleId="CommentTextChar">
    <w:name w:val="Comment Text Char"/>
    <w:basedOn w:val="DefaultParagraphFont"/>
    <w:link w:val="CommentText"/>
    <w:uiPriority w:val="99"/>
    <w:semiHidden/>
    <w:rsid w:val="00CA761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761A"/>
    <w:rPr>
      <w:b/>
      <w:bCs/>
    </w:rPr>
  </w:style>
  <w:style w:type="character" w:customStyle="1" w:styleId="CommentSubjectChar">
    <w:name w:val="Comment Subject Char"/>
    <w:basedOn w:val="CommentTextChar"/>
    <w:link w:val="CommentSubject"/>
    <w:uiPriority w:val="99"/>
    <w:semiHidden/>
    <w:rsid w:val="00CA761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61A"/>
    <w:rPr>
      <w:rFonts w:ascii="Segoe UI" w:eastAsia="Calibri" w:hAnsi="Segoe UI" w:cs="Segoe UI"/>
      <w:sz w:val="18"/>
      <w:szCs w:val="18"/>
    </w:rPr>
  </w:style>
  <w:style w:type="paragraph" w:styleId="Header">
    <w:name w:val="header"/>
    <w:basedOn w:val="Normal"/>
    <w:link w:val="HeaderChar"/>
    <w:uiPriority w:val="99"/>
    <w:unhideWhenUsed/>
    <w:rsid w:val="0036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AFE"/>
    <w:rPr>
      <w:rFonts w:ascii="Calibri" w:eastAsia="Calibri" w:hAnsi="Calibri" w:cs="Calibri"/>
    </w:rPr>
  </w:style>
  <w:style w:type="paragraph" w:styleId="Footer">
    <w:name w:val="footer"/>
    <w:basedOn w:val="Normal"/>
    <w:link w:val="FooterChar"/>
    <w:uiPriority w:val="99"/>
    <w:unhideWhenUsed/>
    <w:rsid w:val="0036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AFE"/>
    <w:rPr>
      <w:rFonts w:ascii="Calibri" w:eastAsia="Calibri" w:hAnsi="Calibri" w:cs="Calibri"/>
    </w:rPr>
  </w:style>
  <w:style w:type="paragraph" w:styleId="PlainText">
    <w:name w:val="Plain Text"/>
    <w:basedOn w:val="Normal"/>
    <w:link w:val="PlainTextChar"/>
    <w:rsid w:val="00AB5D6F"/>
    <w:pPr>
      <w:spacing w:after="0" w:line="240" w:lineRule="auto"/>
    </w:pPr>
    <w:rPr>
      <w:rFonts w:ascii="Courier New" w:eastAsia="Times New Roman" w:hAnsi="Courier New" w:cs="Courier New"/>
      <w:sz w:val="20"/>
      <w:szCs w:val="20"/>
      <w:lang w:eastAsia="zh-CN"/>
    </w:rPr>
  </w:style>
  <w:style w:type="character" w:customStyle="1" w:styleId="PlainTextChar">
    <w:name w:val="Plain Text Char"/>
    <w:basedOn w:val="DefaultParagraphFont"/>
    <w:link w:val="PlainText"/>
    <w:rsid w:val="00AB5D6F"/>
    <w:rPr>
      <w:rFonts w:ascii="Courier New" w:eastAsia="Times New Roman" w:hAnsi="Courier New" w:cs="Courier New"/>
      <w:sz w:val="20"/>
      <w:szCs w:val="20"/>
      <w:lang w:eastAsia="zh-CN"/>
    </w:rPr>
  </w:style>
  <w:style w:type="table" w:styleId="TableGrid">
    <w:name w:val="Table Grid"/>
    <w:basedOn w:val="TableNormal"/>
    <w:uiPriority w:val="39"/>
    <w:rsid w:val="008A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2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EA65C-58D4-48E3-A50B-BCBF484C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Swansiger, Susan J.</dc:creator>
  <cp:keywords/>
  <dc:description/>
  <cp:lastModifiedBy>SSA Response</cp:lastModifiedBy>
  <cp:revision>4</cp:revision>
  <dcterms:created xsi:type="dcterms:W3CDTF">2020-04-21T18:49:00Z</dcterms:created>
  <dcterms:modified xsi:type="dcterms:W3CDTF">2020-04-21T19:56:00Z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674255371</vt:i4>
  </property>
  <property fmtid="{D5CDD505-2E9C-101B-9397-08002B2CF9AE}" pid="3" name="_NewReviewCycle">
    <vt:lpwstr/>
  </property>
  <property fmtid="{D5CDD505-2E9C-101B-9397-08002B2CF9AE}" pid="4" name="_EmailSubject">
    <vt:lpwstr>OHO COVID19 Enhanced Outreach (CEO) Project -- OMB Clearance</vt:lpwstr>
  </property>
  <property fmtid="{D5CDD505-2E9C-101B-9397-08002B2CF9AE}" pid="5" name="_AuthorEmail">
    <vt:lpwstr>Sandy.Shultis@ssa.gov</vt:lpwstr>
  </property>
  <property fmtid="{D5CDD505-2E9C-101B-9397-08002B2CF9AE}" pid="6" name="_AuthorEmailDisplayName">
    <vt:lpwstr>Shultis, Sandy</vt:lpwstr>
  </property>
  <property fmtid="{D5CDD505-2E9C-101B-9397-08002B2CF9AE}" pid="7" name="_PreviousAdHocReviewCycleID">
    <vt:i4>-942810209</vt:i4>
  </property>
</Properties>
</file>