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5D53" w:rsidR="003559D0" w:rsidP="002A5D53" w:rsidRDefault="001C43F0" w14:paraId="0E86EBDD" w14:textId="77777777">
      <w:pPr>
        <w:widowControl w:val="0"/>
        <w:spacing w:before="66" w:after="0" w:line="271" w:lineRule="exact"/>
        <w:ind w:right="-20"/>
        <w:jc w:val="center"/>
        <w:rPr>
          <w:rFonts w:ascii="Times New Roman" w:hAnsi="Times New Roman" w:eastAsia="Times New Roman" w:cs="Times New Roman"/>
          <w:b/>
          <w:bCs/>
          <w:spacing w:val="1"/>
          <w:position w:val="-1"/>
          <w:sz w:val="24"/>
          <w:szCs w:val="28"/>
        </w:rPr>
      </w:pPr>
      <w:r w:rsidRPr="002A5D53">
        <w:rPr>
          <w:rFonts w:ascii="Times New Roman" w:hAnsi="Times New Roman" w:eastAsia="Times New Roman" w:cs="Times New Roman"/>
          <w:b/>
          <w:bCs/>
          <w:spacing w:val="1"/>
          <w:position w:val="-1"/>
          <w:sz w:val="24"/>
          <w:szCs w:val="28"/>
        </w:rPr>
        <w:t xml:space="preserve">Supporting Statement for </w:t>
      </w:r>
      <w:r w:rsidRPr="002A5D53" w:rsidR="005E018C">
        <w:rPr>
          <w:rFonts w:ascii="Times New Roman" w:hAnsi="Times New Roman" w:eastAsia="Times New Roman" w:cs="Times New Roman"/>
          <w:b/>
          <w:bCs/>
          <w:spacing w:val="1"/>
          <w:position w:val="-1"/>
          <w:sz w:val="24"/>
          <w:szCs w:val="28"/>
        </w:rPr>
        <w:t>Billing</w:t>
      </w:r>
      <w:r w:rsidRPr="002A5D53" w:rsidR="00F52905">
        <w:rPr>
          <w:rFonts w:ascii="Times New Roman" w:hAnsi="Times New Roman" w:eastAsia="Times New Roman" w:cs="Times New Roman"/>
          <w:b/>
          <w:bCs/>
          <w:spacing w:val="1"/>
          <w:position w:val="-1"/>
          <w:sz w:val="24"/>
          <w:szCs w:val="28"/>
        </w:rPr>
        <w:t xml:space="preserve"> and </w:t>
      </w:r>
      <w:r w:rsidRPr="002A5D53" w:rsidR="005E018C">
        <w:rPr>
          <w:rFonts w:ascii="Times New Roman" w:hAnsi="Times New Roman" w:eastAsia="Times New Roman" w:cs="Times New Roman"/>
          <w:b/>
          <w:bCs/>
          <w:spacing w:val="1"/>
          <w:position w:val="-1"/>
          <w:sz w:val="24"/>
          <w:szCs w:val="28"/>
        </w:rPr>
        <w:t>Collection</w:t>
      </w:r>
      <w:r w:rsidRPr="002A5D53" w:rsidR="00F52905">
        <w:rPr>
          <w:rFonts w:ascii="Times New Roman" w:hAnsi="Times New Roman" w:eastAsia="Times New Roman" w:cs="Times New Roman"/>
          <w:b/>
          <w:bCs/>
          <w:spacing w:val="1"/>
          <w:position w:val="-1"/>
          <w:sz w:val="24"/>
          <w:szCs w:val="28"/>
        </w:rPr>
        <w:t xml:space="preserve"> of the </w:t>
      </w:r>
    </w:p>
    <w:p w:rsidRPr="002A5D53" w:rsidR="001C43F0" w:rsidP="002A5D53" w:rsidRDefault="00F52905" w14:paraId="41F76A1F" w14:textId="6CC2F6E7">
      <w:pPr>
        <w:widowControl w:val="0"/>
        <w:spacing w:before="66" w:after="0" w:line="271" w:lineRule="exact"/>
        <w:ind w:right="-20"/>
        <w:jc w:val="center"/>
        <w:rPr>
          <w:rFonts w:ascii="Times New Roman" w:hAnsi="Times New Roman" w:eastAsia="Times New Roman" w:cs="Times New Roman"/>
          <w:b/>
          <w:bCs/>
          <w:spacing w:val="1"/>
          <w:position w:val="-1"/>
          <w:sz w:val="24"/>
          <w:szCs w:val="28"/>
        </w:rPr>
      </w:pPr>
      <w:r w:rsidRPr="002A5D53">
        <w:rPr>
          <w:rFonts w:ascii="Times New Roman" w:hAnsi="Times New Roman" w:eastAsia="Times New Roman" w:cs="Times New Roman"/>
          <w:b/>
          <w:bCs/>
          <w:spacing w:val="1"/>
          <w:position w:val="-1"/>
          <w:sz w:val="24"/>
          <w:szCs w:val="28"/>
        </w:rPr>
        <w:t>Separate Payment for Certain Abortion Services</w:t>
      </w:r>
    </w:p>
    <w:p w:rsidRPr="002A5D53" w:rsidR="00BE56FA" w:rsidP="002A5D53" w:rsidRDefault="00BE56FA" w14:paraId="4BAF0B97" w14:textId="04FD840F">
      <w:pPr>
        <w:widowControl w:val="0"/>
        <w:spacing w:before="66" w:after="0" w:line="271" w:lineRule="exact"/>
        <w:ind w:right="-20"/>
        <w:jc w:val="center"/>
        <w:rPr>
          <w:rFonts w:ascii="Times New Roman" w:hAnsi="Times New Roman" w:eastAsia="Times New Roman" w:cs="Times New Roman"/>
          <w:b/>
          <w:bCs/>
          <w:spacing w:val="1"/>
          <w:position w:val="-1"/>
          <w:sz w:val="24"/>
          <w:szCs w:val="28"/>
        </w:rPr>
      </w:pPr>
      <w:r w:rsidRPr="002A5D53">
        <w:rPr>
          <w:rFonts w:ascii="Times New Roman" w:hAnsi="Times New Roman" w:eastAsia="Times New Roman" w:cs="Times New Roman"/>
          <w:b/>
          <w:bCs/>
          <w:spacing w:val="1"/>
          <w:position w:val="-1"/>
          <w:sz w:val="24"/>
          <w:szCs w:val="28"/>
        </w:rPr>
        <w:t>(CMS-</w:t>
      </w:r>
      <w:r w:rsidRPr="002A5D53" w:rsidR="003559D0">
        <w:rPr>
          <w:rFonts w:ascii="Times New Roman" w:hAnsi="Times New Roman" w:eastAsia="Times New Roman" w:cs="Times New Roman"/>
          <w:b/>
          <w:bCs/>
          <w:spacing w:val="1"/>
          <w:position w:val="-1"/>
          <w:sz w:val="24"/>
          <w:szCs w:val="28"/>
        </w:rPr>
        <w:t>10681</w:t>
      </w:r>
      <w:r w:rsidRPr="002A5D53">
        <w:rPr>
          <w:rFonts w:ascii="Times New Roman" w:hAnsi="Times New Roman" w:eastAsia="Times New Roman" w:cs="Times New Roman"/>
          <w:b/>
          <w:bCs/>
          <w:spacing w:val="1"/>
          <w:position w:val="-1"/>
          <w:sz w:val="24"/>
          <w:szCs w:val="28"/>
        </w:rPr>
        <w:t xml:space="preserve">/OMB </w:t>
      </w:r>
      <w:r w:rsidRPr="002A5D53" w:rsidR="003559D0">
        <w:rPr>
          <w:rFonts w:ascii="Times New Roman" w:hAnsi="Times New Roman" w:eastAsia="Times New Roman" w:cs="Times New Roman"/>
          <w:b/>
          <w:bCs/>
          <w:spacing w:val="1"/>
          <w:position w:val="-1"/>
          <w:sz w:val="24"/>
          <w:szCs w:val="28"/>
        </w:rPr>
        <w:t>c</w:t>
      </w:r>
      <w:r w:rsidRPr="002A5D53">
        <w:rPr>
          <w:rFonts w:ascii="Times New Roman" w:hAnsi="Times New Roman" w:eastAsia="Times New Roman" w:cs="Times New Roman"/>
          <w:b/>
          <w:bCs/>
          <w:spacing w:val="1"/>
          <w:position w:val="-1"/>
          <w:sz w:val="24"/>
          <w:szCs w:val="28"/>
        </w:rPr>
        <w:t xml:space="preserve">ontrol </w:t>
      </w:r>
      <w:r w:rsidRPr="002A5D53" w:rsidR="003559D0">
        <w:rPr>
          <w:rFonts w:ascii="Times New Roman" w:hAnsi="Times New Roman" w:eastAsia="Times New Roman" w:cs="Times New Roman"/>
          <w:b/>
          <w:bCs/>
          <w:spacing w:val="1"/>
          <w:position w:val="-1"/>
          <w:sz w:val="24"/>
          <w:szCs w:val="28"/>
        </w:rPr>
        <w:t>n</w:t>
      </w:r>
      <w:r w:rsidRPr="002A5D53">
        <w:rPr>
          <w:rFonts w:ascii="Times New Roman" w:hAnsi="Times New Roman" w:eastAsia="Times New Roman" w:cs="Times New Roman"/>
          <w:b/>
          <w:bCs/>
          <w:spacing w:val="1"/>
          <w:position w:val="-1"/>
          <w:sz w:val="24"/>
          <w:szCs w:val="28"/>
        </w:rPr>
        <w:t xml:space="preserve">umber: </w:t>
      </w:r>
      <w:r w:rsidRPr="002A5D53" w:rsidR="003559D0">
        <w:rPr>
          <w:rFonts w:ascii="Times New Roman" w:hAnsi="Times New Roman" w:eastAsia="Times New Roman" w:cs="Times New Roman"/>
          <w:b/>
          <w:bCs/>
          <w:spacing w:val="1"/>
          <w:position w:val="-1"/>
          <w:sz w:val="24"/>
          <w:szCs w:val="28"/>
        </w:rPr>
        <w:t>0938-NEW</w:t>
      </w:r>
      <w:r w:rsidRPr="002A5D53" w:rsidR="00461E78">
        <w:rPr>
          <w:rFonts w:ascii="Times New Roman" w:hAnsi="Times New Roman" w:eastAsia="Times New Roman" w:cs="Times New Roman"/>
          <w:b/>
          <w:bCs/>
          <w:spacing w:val="1"/>
          <w:position w:val="-1"/>
          <w:sz w:val="24"/>
          <w:szCs w:val="28"/>
        </w:rPr>
        <w:t>)</w:t>
      </w:r>
    </w:p>
    <w:p w:rsidRPr="00543981" w:rsidR="001C43F0" w:rsidP="001C43F0" w:rsidRDefault="001C43F0" w14:paraId="155C8204" w14:textId="77777777">
      <w:pPr>
        <w:widowControl w:val="0"/>
        <w:spacing w:before="16" w:after="0" w:line="260" w:lineRule="exact"/>
        <w:rPr>
          <w:rFonts w:ascii="Calibri" w:hAnsi="Calibri" w:eastAsia="Calibri" w:cs="Times New Roman"/>
          <w:sz w:val="26"/>
          <w:szCs w:val="26"/>
        </w:rPr>
      </w:pPr>
    </w:p>
    <w:p w:rsidRPr="002A5D53" w:rsidR="001C43F0" w:rsidP="002A5D53" w:rsidRDefault="001C43F0" w14:paraId="18F484FC" w14:textId="77777777">
      <w:pPr>
        <w:pStyle w:val="ListParagraph"/>
        <w:widowControl w:val="0"/>
        <w:tabs>
          <w:tab w:val="left" w:pos="1170"/>
        </w:tabs>
        <w:autoSpaceDE w:val="0"/>
        <w:autoSpaceDN w:val="0"/>
        <w:spacing w:after="0" w:line="240" w:lineRule="auto"/>
        <w:ind w:right="29" w:hanging="720"/>
        <w:contextualSpacing w:val="0"/>
        <w:rPr>
          <w:rFonts w:ascii="Times New Roman" w:hAnsi="Times New Roman" w:eastAsia="Times New Roman" w:cs="Times New Roman"/>
          <w:b/>
          <w:sz w:val="24"/>
          <w:u w:val="single"/>
        </w:rPr>
      </w:pPr>
      <w:r w:rsidRPr="002A5D53">
        <w:rPr>
          <w:rFonts w:ascii="Times New Roman" w:hAnsi="Times New Roman" w:eastAsia="Times New Roman" w:cs="Times New Roman"/>
          <w:b/>
          <w:sz w:val="24"/>
          <w:u w:val="single"/>
        </w:rPr>
        <w:t>A.</w:t>
      </w:r>
      <w:r w:rsidRPr="0092154D">
        <w:rPr>
          <w:rFonts w:ascii="Times New Roman" w:hAnsi="Times New Roman" w:eastAsia="Times New Roman" w:cs="Times New Roman"/>
          <w:b/>
          <w:sz w:val="24"/>
        </w:rPr>
        <w:tab/>
      </w:r>
      <w:r w:rsidRPr="002A5D53">
        <w:rPr>
          <w:rFonts w:ascii="Times New Roman" w:hAnsi="Times New Roman" w:eastAsia="Times New Roman" w:cs="Times New Roman"/>
          <w:b/>
          <w:sz w:val="24"/>
          <w:u w:val="single"/>
        </w:rPr>
        <w:t>Background</w:t>
      </w:r>
    </w:p>
    <w:p w:rsidRPr="00543981" w:rsidR="001C43F0" w:rsidP="001C43F0" w:rsidRDefault="001C43F0" w14:paraId="779E6D7E" w14:textId="77777777">
      <w:pPr>
        <w:widowControl w:val="0"/>
        <w:spacing w:before="11" w:after="0" w:line="260" w:lineRule="exact"/>
        <w:rPr>
          <w:rFonts w:ascii="Times New Roman" w:hAnsi="Times New Roman" w:eastAsia="Calibri" w:cs="Times New Roman"/>
          <w:sz w:val="24"/>
          <w:szCs w:val="24"/>
        </w:rPr>
      </w:pPr>
    </w:p>
    <w:p w:rsidRPr="0092154D" w:rsidR="001C43F0" w:rsidP="002A5D53" w:rsidRDefault="001C43F0" w14:paraId="1DC9277E" w14:textId="3FD4DCC8">
      <w:pPr>
        <w:widowControl w:val="0"/>
        <w:spacing w:after="0" w:line="240" w:lineRule="auto"/>
        <w:ind w:right="29"/>
        <w:rPr>
          <w:rFonts w:ascii="Times New Roman" w:hAnsi="Times New Roman" w:eastAsia="Times New Roman" w:cs="Times New Roman"/>
          <w:sz w:val="24"/>
        </w:rPr>
      </w:pPr>
      <w:r w:rsidRPr="0092154D">
        <w:rPr>
          <w:rFonts w:ascii="Times New Roman" w:hAnsi="Times New Roman" w:eastAsia="Times New Roman" w:cs="Times New Roman"/>
          <w:sz w:val="24"/>
        </w:rPr>
        <w:t>On M</w:t>
      </w:r>
      <w:r w:rsidRPr="002A5D53">
        <w:rPr>
          <w:rFonts w:ascii="Times New Roman" w:hAnsi="Times New Roman" w:eastAsia="Times New Roman" w:cs="Times New Roman"/>
          <w:sz w:val="24"/>
        </w:rPr>
        <w:t>arc</w:t>
      </w:r>
      <w:r w:rsidRPr="0092154D">
        <w:rPr>
          <w:rFonts w:ascii="Times New Roman" w:hAnsi="Times New Roman" w:eastAsia="Times New Roman" w:cs="Times New Roman"/>
          <w:sz w:val="24"/>
        </w:rPr>
        <w:t>h</w:t>
      </w:r>
      <w:r w:rsidRPr="002A5D53">
        <w:rPr>
          <w:rFonts w:ascii="Times New Roman" w:hAnsi="Times New Roman" w:eastAsia="Times New Roman" w:cs="Times New Roman"/>
          <w:sz w:val="24"/>
        </w:rPr>
        <w:t xml:space="preserve"> 2</w:t>
      </w:r>
      <w:r w:rsidRPr="0092154D">
        <w:rPr>
          <w:rFonts w:ascii="Times New Roman" w:hAnsi="Times New Roman" w:eastAsia="Times New Roman" w:cs="Times New Roman"/>
          <w:sz w:val="24"/>
        </w:rPr>
        <w:t>3, 2</w:t>
      </w:r>
      <w:r w:rsidRPr="002A5D53">
        <w:rPr>
          <w:rFonts w:ascii="Times New Roman" w:hAnsi="Times New Roman" w:eastAsia="Times New Roman" w:cs="Times New Roman"/>
          <w:sz w:val="24"/>
        </w:rPr>
        <w:t>01</w:t>
      </w:r>
      <w:r w:rsidRPr="0092154D">
        <w:rPr>
          <w:rFonts w:ascii="Times New Roman" w:hAnsi="Times New Roman" w:eastAsia="Times New Roman" w:cs="Times New Roman"/>
          <w:sz w:val="24"/>
        </w:rPr>
        <w:t>0,</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the</w:t>
      </w:r>
      <w:r w:rsidRPr="002A5D53">
        <w:rPr>
          <w:rFonts w:ascii="Times New Roman" w:hAnsi="Times New Roman" w:eastAsia="Times New Roman" w:cs="Times New Roman"/>
          <w:sz w:val="24"/>
        </w:rPr>
        <w:t xml:space="preserve"> Pa</w:t>
      </w:r>
      <w:r w:rsidRPr="0092154D">
        <w:rPr>
          <w:rFonts w:ascii="Times New Roman" w:hAnsi="Times New Roman" w:eastAsia="Times New Roman" w:cs="Times New Roman"/>
          <w:sz w:val="24"/>
        </w:rPr>
        <w:t>t</w:t>
      </w:r>
      <w:r w:rsidRPr="002A5D53">
        <w:rPr>
          <w:rFonts w:ascii="Times New Roman" w:hAnsi="Times New Roman" w:eastAsia="Times New Roman" w:cs="Times New Roman"/>
          <w:sz w:val="24"/>
        </w:rPr>
        <w:t>ie</w:t>
      </w:r>
      <w:r w:rsidRPr="0092154D">
        <w:rPr>
          <w:rFonts w:ascii="Times New Roman" w:hAnsi="Times New Roman" w:eastAsia="Times New Roman" w:cs="Times New Roman"/>
          <w:sz w:val="24"/>
        </w:rPr>
        <w:t>nt</w:t>
      </w:r>
      <w:r w:rsidRPr="002A5D53">
        <w:rPr>
          <w:rFonts w:ascii="Times New Roman" w:hAnsi="Times New Roman" w:eastAsia="Times New Roman" w:cs="Times New Roman"/>
          <w:sz w:val="24"/>
        </w:rPr>
        <w:t xml:space="preserve"> Pr</w:t>
      </w:r>
      <w:r w:rsidRPr="0092154D">
        <w:rPr>
          <w:rFonts w:ascii="Times New Roman" w:hAnsi="Times New Roman" w:eastAsia="Times New Roman" w:cs="Times New Roman"/>
          <w:sz w:val="24"/>
        </w:rPr>
        <w:t>ot</w:t>
      </w:r>
      <w:r w:rsidRPr="002A5D53">
        <w:rPr>
          <w:rFonts w:ascii="Times New Roman" w:hAnsi="Times New Roman" w:eastAsia="Times New Roman" w:cs="Times New Roman"/>
          <w:sz w:val="24"/>
        </w:rPr>
        <w:t>ec</w:t>
      </w:r>
      <w:r w:rsidRPr="0092154D">
        <w:rPr>
          <w:rFonts w:ascii="Times New Roman" w:hAnsi="Times New Roman" w:eastAsia="Times New Roman" w:cs="Times New Roman"/>
          <w:sz w:val="24"/>
        </w:rPr>
        <w:t xml:space="preserve">tion </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nd A</w:t>
      </w:r>
      <w:r w:rsidRPr="002A5D53">
        <w:rPr>
          <w:rFonts w:ascii="Times New Roman" w:hAnsi="Times New Roman" w:eastAsia="Times New Roman" w:cs="Times New Roman"/>
          <w:sz w:val="24"/>
        </w:rPr>
        <w:t>ff</w:t>
      </w:r>
      <w:r w:rsidRPr="0092154D">
        <w:rPr>
          <w:rFonts w:ascii="Times New Roman" w:hAnsi="Times New Roman" w:eastAsia="Times New Roman" w:cs="Times New Roman"/>
          <w:sz w:val="24"/>
        </w:rPr>
        <w:t>o</w:t>
      </w:r>
      <w:r w:rsidRPr="002A5D53">
        <w:rPr>
          <w:rFonts w:ascii="Times New Roman" w:hAnsi="Times New Roman" w:eastAsia="Times New Roman" w:cs="Times New Roman"/>
          <w:sz w:val="24"/>
        </w:rPr>
        <w:t>r</w:t>
      </w:r>
      <w:r w:rsidRPr="0092154D">
        <w:rPr>
          <w:rFonts w:ascii="Times New Roman" w:hAnsi="Times New Roman" w:eastAsia="Times New Roman" w:cs="Times New Roman"/>
          <w:sz w:val="24"/>
        </w:rPr>
        <w:t>d</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ble</w:t>
      </w:r>
      <w:r w:rsidRPr="002A5D53">
        <w:rPr>
          <w:rFonts w:ascii="Times New Roman" w:hAnsi="Times New Roman" w:eastAsia="Times New Roman" w:cs="Times New Roman"/>
          <w:sz w:val="24"/>
        </w:rPr>
        <w:t xml:space="preserve"> Car</w:t>
      </w:r>
      <w:r w:rsidRPr="0092154D">
        <w:rPr>
          <w:rFonts w:ascii="Times New Roman" w:hAnsi="Times New Roman" w:eastAsia="Times New Roman" w:cs="Times New Roman"/>
          <w:sz w:val="24"/>
        </w:rPr>
        <w:t>e</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A</w:t>
      </w:r>
      <w:r w:rsidRPr="002A5D53">
        <w:rPr>
          <w:rFonts w:ascii="Times New Roman" w:hAnsi="Times New Roman" w:eastAsia="Times New Roman" w:cs="Times New Roman"/>
          <w:sz w:val="24"/>
        </w:rPr>
        <w:t>ct</w:t>
      </w:r>
      <w:r w:rsidRPr="0092154D" w:rsidR="00502381">
        <w:rPr>
          <w:rFonts w:ascii="Times New Roman" w:hAnsi="Times New Roman" w:eastAsia="Times New Roman" w:cs="Times New Roman"/>
          <w:sz w:val="24"/>
        </w:rPr>
        <w:t xml:space="preserve"> </w:t>
      </w:r>
      <w:r w:rsidRPr="002A5D53" w:rsidR="00502381">
        <w:rPr>
          <w:rFonts w:ascii="Times New Roman" w:hAnsi="Times New Roman" w:eastAsia="Times New Roman" w:cs="Times New Roman"/>
          <w:sz w:val="24"/>
        </w:rPr>
        <w:t>(PPACA; P.L</w:t>
      </w:r>
      <w:r w:rsidRPr="0092154D" w:rsidR="00502381">
        <w:rPr>
          <w:rFonts w:ascii="Times New Roman" w:hAnsi="Times New Roman" w:eastAsia="Times New Roman" w:cs="Times New Roman"/>
          <w:sz w:val="24"/>
        </w:rPr>
        <w:t>. 111</w:t>
      </w:r>
      <w:r w:rsidRPr="002A5D53" w:rsidR="00502381">
        <w:rPr>
          <w:rFonts w:ascii="Times New Roman" w:hAnsi="Times New Roman" w:eastAsia="Times New Roman" w:cs="Times New Roman"/>
          <w:sz w:val="24"/>
        </w:rPr>
        <w:t>-</w:t>
      </w:r>
      <w:r w:rsidRPr="0092154D" w:rsidR="00502381">
        <w:rPr>
          <w:rFonts w:ascii="Times New Roman" w:hAnsi="Times New Roman" w:eastAsia="Times New Roman" w:cs="Times New Roman"/>
          <w:sz w:val="24"/>
        </w:rPr>
        <w:t>148</w:t>
      </w:r>
      <w:r w:rsidRPr="002A5D53" w:rsidR="00502381">
        <w:rPr>
          <w:rFonts w:ascii="Times New Roman" w:hAnsi="Times New Roman" w:eastAsia="Times New Roman" w:cs="Times New Roman"/>
          <w:sz w:val="24"/>
        </w:rPr>
        <w:t xml:space="preserve">) </w:t>
      </w:r>
      <w:r w:rsidRPr="0092154D" w:rsidR="00502381">
        <w:rPr>
          <w:rFonts w:ascii="Times New Roman" w:hAnsi="Times New Roman" w:eastAsia="Times New Roman" w:cs="Times New Roman"/>
          <w:sz w:val="24"/>
        </w:rPr>
        <w:t>was si</w:t>
      </w:r>
      <w:r w:rsidRPr="002A5D53" w:rsidR="00502381">
        <w:rPr>
          <w:rFonts w:ascii="Times New Roman" w:hAnsi="Times New Roman" w:eastAsia="Times New Roman" w:cs="Times New Roman"/>
          <w:sz w:val="24"/>
        </w:rPr>
        <w:t>g</w:t>
      </w:r>
      <w:r w:rsidRPr="0092154D" w:rsidR="00502381">
        <w:rPr>
          <w:rFonts w:ascii="Times New Roman" w:hAnsi="Times New Roman" w:eastAsia="Times New Roman" w:cs="Times New Roman"/>
          <w:sz w:val="24"/>
        </w:rPr>
        <w:t>n</w:t>
      </w:r>
      <w:r w:rsidRPr="002A5D53" w:rsidR="00502381">
        <w:rPr>
          <w:rFonts w:ascii="Times New Roman" w:hAnsi="Times New Roman" w:eastAsia="Times New Roman" w:cs="Times New Roman"/>
          <w:sz w:val="24"/>
        </w:rPr>
        <w:t>e</w:t>
      </w:r>
      <w:r w:rsidRPr="0092154D" w:rsidR="00502381">
        <w:rPr>
          <w:rFonts w:ascii="Times New Roman" w:hAnsi="Times New Roman" w:eastAsia="Times New Roman" w:cs="Times New Roman"/>
          <w:sz w:val="24"/>
        </w:rPr>
        <w:t>d in</w:t>
      </w:r>
      <w:r w:rsidRPr="002A5D53" w:rsidR="00502381">
        <w:rPr>
          <w:rFonts w:ascii="Times New Roman" w:hAnsi="Times New Roman" w:eastAsia="Times New Roman" w:cs="Times New Roman"/>
          <w:sz w:val="24"/>
        </w:rPr>
        <w:t>t</w:t>
      </w:r>
      <w:r w:rsidRPr="0092154D" w:rsidR="00502381">
        <w:rPr>
          <w:rFonts w:ascii="Times New Roman" w:hAnsi="Times New Roman" w:eastAsia="Times New Roman" w:cs="Times New Roman"/>
          <w:sz w:val="24"/>
        </w:rPr>
        <w:t>o</w:t>
      </w:r>
      <w:r w:rsidRPr="002A5D53" w:rsidR="00502381">
        <w:rPr>
          <w:rFonts w:ascii="Times New Roman" w:hAnsi="Times New Roman" w:eastAsia="Times New Roman" w:cs="Times New Roman"/>
          <w:sz w:val="24"/>
        </w:rPr>
        <w:t xml:space="preserve"> </w:t>
      </w:r>
      <w:r w:rsidRPr="0092154D" w:rsidR="00502381">
        <w:rPr>
          <w:rFonts w:ascii="Times New Roman" w:hAnsi="Times New Roman" w:eastAsia="Times New Roman" w:cs="Times New Roman"/>
          <w:sz w:val="24"/>
        </w:rPr>
        <w:t>l</w:t>
      </w:r>
      <w:r w:rsidRPr="002A5D53" w:rsidR="00502381">
        <w:rPr>
          <w:rFonts w:ascii="Times New Roman" w:hAnsi="Times New Roman" w:eastAsia="Times New Roman" w:cs="Times New Roman"/>
          <w:sz w:val="24"/>
        </w:rPr>
        <w:t>a</w:t>
      </w:r>
      <w:r w:rsidRPr="0092154D" w:rsidR="00502381">
        <w:rPr>
          <w:rFonts w:ascii="Times New Roman" w:hAnsi="Times New Roman" w:eastAsia="Times New Roman" w:cs="Times New Roman"/>
          <w:sz w:val="24"/>
        </w:rPr>
        <w:t>w</w:t>
      </w:r>
      <w:r w:rsidRPr="0092154D" w:rsidR="008322AA">
        <w:rPr>
          <w:rFonts w:ascii="Times New Roman" w:hAnsi="Times New Roman" w:eastAsia="Times New Roman" w:cs="Times New Roman"/>
          <w:sz w:val="24"/>
        </w:rPr>
        <w:t>,</w:t>
      </w:r>
      <w:r w:rsidRPr="0092154D" w:rsidR="00502381">
        <w:rPr>
          <w:rFonts w:ascii="Times New Roman" w:hAnsi="Times New Roman" w:eastAsia="Times New Roman" w:cs="Times New Roman"/>
          <w:sz w:val="24"/>
        </w:rPr>
        <w:t xml:space="preserve"> and o</w:t>
      </w:r>
      <w:r w:rsidRPr="0092154D">
        <w:rPr>
          <w:rFonts w:ascii="Times New Roman" w:hAnsi="Times New Roman" w:eastAsia="Times New Roman" w:cs="Times New Roman"/>
          <w:sz w:val="24"/>
        </w:rPr>
        <w:t>n</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M</w:t>
      </w:r>
      <w:r w:rsidRPr="002A5D53">
        <w:rPr>
          <w:rFonts w:ascii="Times New Roman" w:hAnsi="Times New Roman" w:eastAsia="Times New Roman" w:cs="Times New Roman"/>
          <w:sz w:val="24"/>
        </w:rPr>
        <w:t>arc</w:t>
      </w:r>
      <w:r w:rsidRPr="0092154D">
        <w:rPr>
          <w:rFonts w:ascii="Times New Roman" w:hAnsi="Times New Roman" w:eastAsia="Times New Roman" w:cs="Times New Roman"/>
          <w:sz w:val="24"/>
        </w:rPr>
        <w:t>h</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30,</w:t>
      </w:r>
      <w:r w:rsidRPr="002A5D53">
        <w:rPr>
          <w:rFonts w:ascii="Times New Roman" w:hAnsi="Times New Roman" w:eastAsia="Times New Roman" w:cs="Times New Roman"/>
          <w:sz w:val="24"/>
        </w:rPr>
        <w:t xml:space="preserve"> 2</w:t>
      </w:r>
      <w:r w:rsidRPr="0092154D">
        <w:rPr>
          <w:rFonts w:ascii="Times New Roman" w:hAnsi="Times New Roman" w:eastAsia="Times New Roman" w:cs="Times New Roman"/>
          <w:sz w:val="24"/>
        </w:rPr>
        <w:t>010,</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the</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H</w:t>
      </w:r>
      <w:r w:rsidRPr="002A5D53">
        <w:rPr>
          <w:rFonts w:ascii="Times New Roman" w:hAnsi="Times New Roman" w:eastAsia="Times New Roman" w:cs="Times New Roman"/>
          <w:sz w:val="24"/>
        </w:rPr>
        <w:t>ea</w:t>
      </w:r>
      <w:r w:rsidRPr="0092154D">
        <w:rPr>
          <w:rFonts w:ascii="Times New Roman" w:hAnsi="Times New Roman" w:eastAsia="Times New Roman" w:cs="Times New Roman"/>
          <w:sz w:val="24"/>
        </w:rPr>
        <w:t xml:space="preserve">lth </w:t>
      </w:r>
      <w:r w:rsidRPr="002A5D53">
        <w:rPr>
          <w:rFonts w:ascii="Times New Roman" w:hAnsi="Times New Roman" w:eastAsia="Times New Roman" w:cs="Times New Roman"/>
          <w:sz w:val="24"/>
        </w:rPr>
        <w:t>Car</w:t>
      </w:r>
      <w:r w:rsidRPr="0092154D">
        <w:rPr>
          <w:rFonts w:ascii="Times New Roman" w:hAnsi="Times New Roman" w:eastAsia="Times New Roman" w:cs="Times New Roman"/>
          <w:sz w:val="24"/>
        </w:rPr>
        <w:t>e</w:t>
      </w:r>
      <w:r w:rsidRPr="002A5D53">
        <w:rPr>
          <w:rFonts w:ascii="Times New Roman" w:hAnsi="Times New Roman" w:eastAsia="Times New Roman" w:cs="Times New Roman"/>
          <w:sz w:val="24"/>
        </w:rPr>
        <w:t xml:space="preserve"> a</w:t>
      </w:r>
      <w:r w:rsidRPr="0092154D">
        <w:rPr>
          <w:rFonts w:ascii="Times New Roman" w:hAnsi="Times New Roman" w:eastAsia="Times New Roman" w:cs="Times New Roman"/>
          <w:sz w:val="24"/>
        </w:rPr>
        <w:t>nd E</w:t>
      </w:r>
      <w:r w:rsidRPr="002A5D53">
        <w:rPr>
          <w:rFonts w:ascii="Times New Roman" w:hAnsi="Times New Roman" w:eastAsia="Times New Roman" w:cs="Times New Roman"/>
          <w:sz w:val="24"/>
        </w:rPr>
        <w:t>d</w:t>
      </w:r>
      <w:r w:rsidRPr="0092154D">
        <w:rPr>
          <w:rFonts w:ascii="Times New Roman" w:hAnsi="Times New Roman" w:eastAsia="Times New Roman" w:cs="Times New Roman"/>
          <w:sz w:val="24"/>
        </w:rPr>
        <w:t>u</w:t>
      </w:r>
      <w:r w:rsidRPr="002A5D53">
        <w:rPr>
          <w:rFonts w:ascii="Times New Roman" w:hAnsi="Times New Roman" w:eastAsia="Times New Roman" w:cs="Times New Roman"/>
          <w:sz w:val="24"/>
        </w:rPr>
        <w:t>ca</w:t>
      </w:r>
      <w:r w:rsidRPr="0092154D">
        <w:rPr>
          <w:rFonts w:ascii="Times New Roman" w:hAnsi="Times New Roman" w:eastAsia="Times New Roman" w:cs="Times New Roman"/>
          <w:sz w:val="24"/>
        </w:rPr>
        <w:t xml:space="preserve">tion </w:t>
      </w:r>
      <w:r w:rsidRPr="002A5D53">
        <w:rPr>
          <w:rFonts w:ascii="Times New Roman" w:hAnsi="Times New Roman" w:eastAsia="Times New Roman" w:cs="Times New Roman"/>
          <w:sz w:val="24"/>
        </w:rPr>
        <w:t>Rec</w:t>
      </w:r>
      <w:r w:rsidRPr="0092154D">
        <w:rPr>
          <w:rFonts w:ascii="Times New Roman" w:hAnsi="Times New Roman" w:eastAsia="Times New Roman" w:cs="Times New Roman"/>
          <w:sz w:val="24"/>
        </w:rPr>
        <w:t>on</w:t>
      </w:r>
      <w:r w:rsidRPr="002A5D53">
        <w:rPr>
          <w:rFonts w:ascii="Times New Roman" w:hAnsi="Times New Roman" w:eastAsia="Times New Roman" w:cs="Times New Roman"/>
          <w:sz w:val="24"/>
        </w:rPr>
        <w:t>c</w:t>
      </w:r>
      <w:r w:rsidRPr="0092154D">
        <w:rPr>
          <w:rFonts w:ascii="Times New Roman" w:hAnsi="Times New Roman" w:eastAsia="Times New Roman" w:cs="Times New Roman"/>
          <w:sz w:val="24"/>
        </w:rPr>
        <w:t>ili</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t</w:t>
      </w:r>
      <w:r w:rsidRPr="002A5D53">
        <w:rPr>
          <w:rFonts w:ascii="Times New Roman" w:hAnsi="Times New Roman" w:eastAsia="Times New Roman" w:cs="Times New Roman"/>
          <w:sz w:val="24"/>
        </w:rPr>
        <w:t>i</w:t>
      </w:r>
      <w:r w:rsidRPr="0092154D">
        <w:rPr>
          <w:rFonts w:ascii="Times New Roman" w:hAnsi="Times New Roman" w:eastAsia="Times New Roman" w:cs="Times New Roman"/>
          <w:sz w:val="24"/>
        </w:rPr>
        <w:t>on A</w:t>
      </w:r>
      <w:r w:rsidRPr="002A5D53">
        <w:rPr>
          <w:rFonts w:ascii="Times New Roman" w:hAnsi="Times New Roman" w:eastAsia="Times New Roman" w:cs="Times New Roman"/>
          <w:sz w:val="24"/>
        </w:rPr>
        <w:t>c</w:t>
      </w:r>
      <w:r w:rsidRPr="0092154D">
        <w:rPr>
          <w:rFonts w:ascii="Times New Roman" w:hAnsi="Times New Roman" w:eastAsia="Times New Roman" w:cs="Times New Roman"/>
          <w:sz w:val="24"/>
        </w:rPr>
        <w:t>t</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of</w:t>
      </w:r>
      <w:r w:rsidRPr="002A5D53">
        <w:rPr>
          <w:rFonts w:ascii="Times New Roman" w:hAnsi="Times New Roman" w:eastAsia="Times New Roman" w:cs="Times New Roman"/>
          <w:sz w:val="24"/>
        </w:rPr>
        <w:t xml:space="preserve"> 20</w:t>
      </w:r>
      <w:r w:rsidRPr="0092154D">
        <w:rPr>
          <w:rFonts w:ascii="Times New Roman" w:hAnsi="Times New Roman" w:eastAsia="Times New Roman" w:cs="Times New Roman"/>
          <w:sz w:val="24"/>
        </w:rPr>
        <w:t xml:space="preserve">10 </w:t>
      </w:r>
      <w:r w:rsidRPr="002A5D53">
        <w:rPr>
          <w:rFonts w:ascii="Times New Roman" w:hAnsi="Times New Roman" w:eastAsia="Times New Roman" w:cs="Times New Roman"/>
          <w:sz w:val="24"/>
        </w:rPr>
        <w:t>(P</w:t>
      </w:r>
      <w:r w:rsidRPr="0092154D">
        <w:rPr>
          <w:rFonts w:ascii="Times New Roman" w:hAnsi="Times New Roman" w:eastAsia="Times New Roman" w:cs="Times New Roman"/>
          <w:sz w:val="24"/>
        </w:rPr>
        <w:t>.</w:t>
      </w:r>
      <w:r w:rsidRPr="002A5D53">
        <w:rPr>
          <w:rFonts w:ascii="Times New Roman" w:hAnsi="Times New Roman" w:eastAsia="Times New Roman" w:cs="Times New Roman"/>
          <w:sz w:val="24"/>
        </w:rPr>
        <w:t>L</w:t>
      </w:r>
      <w:r w:rsidRPr="0092154D">
        <w:rPr>
          <w:rFonts w:ascii="Times New Roman" w:hAnsi="Times New Roman" w:eastAsia="Times New Roman" w:cs="Times New Roman"/>
          <w:sz w:val="24"/>
        </w:rPr>
        <w:t>.</w:t>
      </w:r>
      <w:r w:rsidRPr="0092154D" w:rsidR="00F946C0">
        <w:rPr>
          <w:rFonts w:ascii="Times New Roman" w:hAnsi="Times New Roman" w:eastAsia="Times New Roman" w:cs="Times New Roman"/>
          <w:sz w:val="24"/>
        </w:rPr>
        <w:t xml:space="preserve"> </w:t>
      </w:r>
      <w:r w:rsidRPr="002A5D53">
        <w:rPr>
          <w:rFonts w:ascii="Times New Roman" w:hAnsi="Times New Roman" w:eastAsia="Times New Roman" w:cs="Times New Roman"/>
          <w:sz w:val="24"/>
        </w:rPr>
        <w:t>1</w:t>
      </w:r>
      <w:r w:rsidRPr="0092154D">
        <w:rPr>
          <w:rFonts w:ascii="Times New Roman" w:hAnsi="Times New Roman" w:eastAsia="Times New Roman" w:cs="Times New Roman"/>
          <w:sz w:val="24"/>
        </w:rPr>
        <w:t>11</w:t>
      </w:r>
      <w:r w:rsidRPr="002A5D53">
        <w:rPr>
          <w:rFonts w:ascii="Times New Roman" w:hAnsi="Times New Roman" w:eastAsia="Times New Roman" w:cs="Times New Roman"/>
          <w:sz w:val="24"/>
        </w:rPr>
        <w:t>-</w:t>
      </w:r>
      <w:r w:rsidRPr="0092154D">
        <w:rPr>
          <w:rFonts w:ascii="Times New Roman" w:hAnsi="Times New Roman" w:eastAsia="Times New Roman" w:cs="Times New Roman"/>
          <w:sz w:val="24"/>
        </w:rPr>
        <w:t>15</w:t>
      </w:r>
      <w:r w:rsidRPr="002A5D53">
        <w:rPr>
          <w:rFonts w:ascii="Times New Roman" w:hAnsi="Times New Roman" w:eastAsia="Times New Roman" w:cs="Times New Roman"/>
          <w:sz w:val="24"/>
        </w:rPr>
        <w:t>2</w:t>
      </w:r>
      <w:r w:rsidRPr="0092154D">
        <w:rPr>
          <w:rFonts w:ascii="Times New Roman" w:hAnsi="Times New Roman" w:eastAsia="Times New Roman" w:cs="Times New Roman"/>
          <w:sz w:val="24"/>
        </w:rPr>
        <w:t>)</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w</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s</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si</w:t>
      </w:r>
      <w:r w:rsidRPr="002A5D53">
        <w:rPr>
          <w:rFonts w:ascii="Times New Roman" w:hAnsi="Times New Roman" w:eastAsia="Times New Roman" w:cs="Times New Roman"/>
          <w:sz w:val="24"/>
        </w:rPr>
        <w:t>g</w:t>
      </w:r>
      <w:r w:rsidRPr="0092154D">
        <w:rPr>
          <w:rFonts w:ascii="Times New Roman" w:hAnsi="Times New Roman" w:eastAsia="Times New Roman" w:cs="Times New Roman"/>
          <w:sz w:val="24"/>
        </w:rPr>
        <w:t>n</w:t>
      </w:r>
      <w:r w:rsidRPr="002A5D53">
        <w:rPr>
          <w:rFonts w:ascii="Times New Roman" w:hAnsi="Times New Roman" w:eastAsia="Times New Roman" w:cs="Times New Roman"/>
          <w:sz w:val="24"/>
        </w:rPr>
        <w:t>e</w:t>
      </w:r>
      <w:r w:rsidRPr="0092154D">
        <w:rPr>
          <w:rFonts w:ascii="Times New Roman" w:hAnsi="Times New Roman" w:eastAsia="Times New Roman" w:cs="Times New Roman"/>
          <w:sz w:val="24"/>
        </w:rPr>
        <w:t>d in</w:t>
      </w:r>
      <w:r w:rsidRPr="002A5D53">
        <w:rPr>
          <w:rFonts w:ascii="Times New Roman" w:hAnsi="Times New Roman" w:eastAsia="Times New Roman" w:cs="Times New Roman"/>
          <w:sz w:val="24"/>
        </w:rPr>
        <w:t>t</w:t>
      </w:r>
      <w:r w:rsidRPr="0092154D">
        <w:rPr>
          <w:rFonts w:ascii="Times New Roman" w:hAnsi="Times New Roman" w:eastAsia="Times New Roman" w:cs="Times New Roman"/>
          <w:sz w:val="24"/>
        </w:rPr>
        <w:t>o</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l</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w. The</w:t>
      </w:r>
      <w:r w:rsidRPr="002A5D53">
        <w:rPr>
          <w:rFonts w:ascii="Times New Roman" w:hAnsi="Times New Roman" w:eastAsia="Times New Roman" w:cs="Times New Roman"/>
          <w:sz w:val="24"/>
        </w:rPr>
        <w:t xml:space="preserve"> t</w:t>
      </w:r>
      <w:r w:rsidRPr="0092154D">
        <w:rPr>
          <w:rFonts w:ascii="Times New Roman" w:hAnsi="Times New Roman" w:eastAsia="Times New Roman" w:cs="Times New Roman"/>
          <w:sz w:val="24"/>
        </w:rPr>
        <w:t>wo</w:t>
      </w:r>
      <w:r w:rsidRPr="002A5D53">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l</w:t>
      </w:r>
      <w:r w:rsidRPr="002A5D53">
        <w:rPr>
          <w:rFonts w:ascii="Times New Roman" w:hAnsi="Times New Roman" w:eastAsia="Times New Roman" w:cs="Times New Roman"/>
          <w:sz w:val="24"/>
        </w:rPr>
        <w:t>a</w:t>
      </w:r>
      <w:r w:rsidRPr="0092154D">
        <w:rPr>
          <w:rFonts w:ascii="Times New Roman" w:hAnsi="Times New Roman" w:eastAsia="Times New Roman" w:cs="Times New Roman"/>
          <w:sz w:val="24"/>
        </w:rPr>
        <w:t>ws imp</w:t>
      </w:r>
      <w:r w:rsidRPr="002A5D53">
        <w:rPr>
          <w:rFonts w:ascii="Times New Roman" w:hAnsi="Times New Roman" w:eastAsia="Times New Roman" w:cs="Times New Roman"/>
          <w:sz w:val="24"/>
        </w:rPr>
        <w:t>le</w:t>
      </w:r>
      <w:r w:rsidRPr="0092154D">
        <w:rPr>
          <w:rFonts w:ascii="Times New Roman" w:hAnsi="Times New Roman" w:eastAsia="Times New Roman" w:cs="Times New Roman"/>
          <w:sz w:val="24"/>
        </w:rPr>
        <w:t>m</w:t>
      </w:r>
      <w:r w:rsidRPr="002A5D53">
        <w:rPr>
          <w:rFonts w:ascii="Times New Roman" w:hAnsi="Times New Roman" w:eastAsia="Times New Roman" w:cs="Times New Roman"/>
          <w:sz w:val="24"/>
        </w:rPr>
        <w:t>e</w:t>
      </w:r>
      <w:r w:rsidRPr="0092154D">
        <w:rPr>
          <w:rFonts w:ascii="Times New Roman" w:hAnsi="Times New Roman" w:eastAsia="Times New Roman" w:cs="Times New Roman"/>
          <w:sz w:val="24"/>
        </w:rPr>
        <w:t>nt</w:t>
      </w:r>
      <w:r w:rsidRPr="0092154D" w:rsidR="00502381">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v</w:t>
      </w:r>
      <w:r w:rsidRPr="002A5D53">
        <w:rPr>
          <w:rFonts w:ascii="Times New Roman" w:hAnsi="Times New Roman" w:eastAsia="Times New Roman" w:cs="Times New Roman"/>
          <w:sz w:val="24"/>
        </w:rPr>
        <w:t>ari</w:t>
      </w:r>
      <w:r w:rsidRPr="0092154D">
        <w:rPr>
          <w:rFonts w:ascii="Times New Roman" w:hAnsi="Times New Roman" w:eastAsia="Times New Roman" w:cs="Times New Roman"/>
          <w:sz w:val="24"/>
        </w:rPr>
        <w:t xml:space="preserve">ous </w:t>
      </w:r>
      <w:r w:rsidRPr="0092154D" w:rsidR="00F946C0">
        <w:rPr>
          <w:rFonts w:ascii="Times New Roman" w:hAnsi="Times New Roman" w:eastAsia="Times New Roman" w:cs="Times New Roman"/>
          <w:sz w:val="24"/>
        </w:rPr>
        <w:t>h</w:t>
      </w:r>
      <w:r w:rsidRPr="002A5D53" w:rsidR="00F946C0">
        <w:rPr>
          <w:rFonts w:ascii="Times New Roman" w:hAnsi="Times New Roman" w:eastAsia="Times New Roman" w:cs="Times New Roman"/>
          <w:sz w:val="24"/>
        </w:rPr>
        <w:t>ea</w:t>
      </w:r>
      <w:r w:rsidRPr="0092154D" w:rsidR="00F946C0">
        <w:rPr>
          <w:rFonts w:ascii="Times New Roman" w:hAnsi="Times New Roman" w:eastAsia="Times New Roman" w:cs="Times New Roman"/>
          <w:sz w:val="24"/>
        </w:rPr>
        <w:t>lth</w:t>
      </w:r>
      <w:r w:rsidRPr="002A5D53" w:rsidR="00F946C0">
        <w:rPr>
          <w:rFonts w:ascii="Times New Roman" w:hAnsi="Times New Roman" w:eastAsia="Times New Roman" w:cs="Times New Roman"/>
          <w:sz w:val="24"/>
        </w:rPr>
        <w:t xml:space="preserve"> </w:t>
      </w:r>
      <w:r w:rsidRPr="0092154D" w:rsidR="00F946C0">
        <w:rPr>
          <w:rFonts w:ascii="Times New Roman" w:hAnsi="Times New Roman" w:eastAsia="Times New Roman" w:cs="Times New Roman"/>
          <w:sz w:val="24"/>
        </w:rPr>
        <w:t>insu</w:t>
      </w:r>
      <w:r w:rsidRPr="002A5D53" w:rsidR="00F946C0">
        <w:rPr>
          <w:rFonts w:ascii="Times New Roman" w:hAnsi="Times New Roman" w:eastAsia="Times New Roman" w:cs="Times New Roman"/>
          <w:sz w:val="24"/>
        </w:rPr>
        <w:t>ra</w:t>
      </w:r>
      <w:r w:rsidRPr="0092154D" w:rsidR="00F946C0">
        <w:rPr>
          <w:rFonts w:ascii="Times New Roman" w:hAnsi="Times New Roman" w:eastAsia="Times New Roman" w:cs="Times New Roman"/>
          <w:sz w:val="24"/>
        </w:rPr>
        <w:t>n</w:t>
      </w:r>
      <w:r w:rsidRPr="002A5D53" w:rsidR="00F946C0">
        <w:rPr>
          <w:rFonts w:ascii="Times New Roman" w:hAnsi="Times New Roman" w:eastAsia="Times New Roman" w:cs="Times New Roman"/>
          <w:sz w:val="24"/>
        </w:rPr>
        <w:t>c</w:t>
      </w:r>
      <w:r w:rsidRPr="0092154D" w:rsidR="00F946C0">
        <w:rPr>
          <w:rFonts w:ascii="Times New Roman" w:hAnsi="Times New Roman" w:eastAsia="Times New Roman" w:cs="Times New Roman"/>
          <w:sz w:val="24"/>
        </w:rPr>
        <w:t>e</w:t>
      </w:r>
      <w:r w:rsidRPr="002A5D53" w:rsidR="00F946C0">
        <w:rPr>
          <w:rFonts w:ascii="Times New Roman" w:hAnsi="Times New Roman" w:eastAsia="Times New Roman" w:cs="Times New Roman"/>
          <w:sz w:val="24"/>
        </w:rPr>
        <w:t xml:space="preserve"> </w:t>
      </w:r>
      <w:r w:rsidRPr="0092154D">
        <w:rPr>
          <w:rFonts w:ascii="Times New Roman" w:hAnsi="Times New Roman" w:eastAsia="Times New Roman" w:cs="Times New Roman"/>
          <w:sz w:val="24"/>
        </w:rPr>
        <w:t>pol</w:t>
      </w:r>
      <w:r w:rsidRPr="002A5D53">
        <w:rPr>
          <w:rFonts w:ascii="Times New Roman" w:hAnsi="Times New Roman" w:eastAsia="Times New Roman" w:cs="Times New Roman"/>
          <w:sz w:val="24"/>
        </w:rPr>
        <w:t>ic</w:t>
      </w:r>
      <w:r w:rsidRPr="0092154D">
        <w:rPr>
          <w:rFonts w:ascii="Times New Roman" w:hAnsi="Times New Roman" w:eastAsia="Times New Roman" w:cs="Times New Roman"/>
          <w:sz w:val="24"/>
        </w:rPr>
        <w:t>i</w:t>
      </w:r>
      <w:r w:rsidRPr="002A5D53">
        <w:rPr>
          <w:rFonts w:ascii="Times New Roman" w:hAnsi="Times New Roman" w:eastAsia="Times New Roman" w:cs="Times New Roman"/>
          <w:sz w:val="24"/>
        </w:rPr>
        <w:t>e</w:t>
      </w:r>
      <w:r w:rsidRPr="0092154D">
        <w:rPr>
          <w:rFonts w:ascii="Times New Roman" w:hAnsi="Times New Roman" w:eastAsia="Times New Roman" w:cs="Times New Roman"/>
          <w:sz w:val="24"/>
        </w:rPr>
        <w:t>s.</w:t>
      </w:r>
      <w:r w:rsidRPr="002A5D53">
        <w:rPr>
          <w:rFonts w:ascii="Times New Roman" w:hAnsi="Times New Roman" w:eastAsia="Times New Roman" w:cs="Times New Roman"/>
          <w:sz w:val="24"/>
        </w:rPr>
        <w:t xml:space="preserve"> </w:t>
      </w:r>
    </w:p>
    <w:p w:rsidRPr="002A5D53" w:rsidR="001C43F0" w:rsidP="002A5D53" w:rsidRDefault="001C43F0" w14:paraId="48FCCD49" w14:textId="77777777">
      <w:pPr>
        <w:widowControl w:val="0"/>
        <w:spacing w:before="16" w:after="0" w:line="240" w:lineRule="auto"/>
        <w:ind w:right="29"/>
        <w:rPr>
          <w:rFonts w:ascii="Times New Roman" w:hAnsi="Times New Roman" w:eastAsia="Times New Roman" w:cs="Times New Roman"/>
          <w:sz w:val="24"/>
        </w:rPr>
      </w:pPr>
    </w:p>
    <w:p w:rsidRPr="002A5D53" w:rsidR="007F224D" w:rsidP="002A5D53" w:rsidRDefault="007F224D" w14:paraId="2040CAAC" w14:textId="48FC29D1">
      <w:pPr>
        <w:spacing w:line="240" w:lineRule="auto"/>
        <w:ind w:right="29"/>
        <w:rPr>
          <w:rFonts w:ascii="Times New Roman" w:hAnsi="Times New Roman" w:eastAsia="Times New Roman" w:cs="Times New Roman"/>
          <w:sz w:val="24"/>
        </w:rPr>
      </w:pPr>
      <w:r w:rsidRPr="002A5D53">
        <w:rPr>
          <w:rFonts w:ascii="Times New Roman" w:hAnsi="Times New Roman" w:eastAsia="Times New Roman" w:cs="Times New Roman"/>
          <w:sz w:val="24"/>
        </w:rPr>
        <w:t xml:space="preserve">Section 1303 of the PPACA, as implemented in 45 </w:t>
      </w:r>
      <w:r w:rsidR="00D974C1">
        <w:rPr>
          <w:rFonts w:ascii="Times New Roman" w:hAnsi="Times New Roman" w:eastAsia="Times New Roman" w:cs="Times New Roman"/>
          <w:sz w:val="24"/>
        </w:rPr>
        <w:t>CFR</w:t>
      </w:r>
      <w:r w:rsidRPr="002A5D53">
        <w:rPr>
          <w:rFonts w:ascii="Times New Roman" w:hAnsi="Times New Roman" w:eastAsia="Times New Roman" w:cs="Times New Roman"/>
          <w:sz w:val="24"/>
        </w:rPr>
        <w:t xml:space="preserve"> 156.280, specifies standards for issuers of qualified health plans (QHPs) through the Exchanges that cover abortion services for which public funding is prohibited (also referred to a</w:t>
      </w:r>
      <w:r w:rsidRPr="002A5D53" w:rsidR="00C749F0">
        <w:rPr>
          <w:rFonts w:ascii="Times New Roman" w:hAnsi="Times New Roman" w:eastAsia="Times New Roman" w:cs="Times New Roman"/>
          <w:sz w:val="24"/>
        </w:rPr>
        <w:t xml:space="preserve">s non-Hyde abortion services). </w:t>
      </w:r>
      <w:r w:rsidRPr="002A5D53">
        <w:rPr>
          <w:rFonts w:ascii="Times New Roman" w:hAnsi="Times New Roman" w:eastAsia="Times New Roman" w:cs="Times New Roman"/>
          <w:sz w:val="24"/>
        </w:rPr>
        <w:t>The statute and regulations establish that, unless otherwise prohibited by state law, a QHP issuer may elect to cover su</w:t>
      </w:r>
      <w:r w:rsidRPr="002A5D53" w:rsidR="00C749F0">
        <w:rPr>
          <w:rFonts w:ascii="Times New Roman" w:hAnsi="Times New Roman" w:eastAsia="Times New Roman" w:cs="Times New Roman"/>
          <w:sz w:val="24"/>
        </w:rPr>
        <w:t xml:space="preserve">ch non-Hyde abortion services. </w:t>
      </w:r>
      <w:r w:rsidRPr="002A5D53">
        <w:rPr>
          <w:rFonts w:ascii="Times New Roman" w:hAnsi="Times New Roman" w:eastAsia="Times New Roman" w:cs="Times New Roman"/>
          <w:sz w:val="24"/>
        </w:rPr>
        <w:t>If a</w:t>
      </w:r>
      <w:r w:rsidRPr="002A5D53" w:rsidR="00650D54">
        <w:rPr>
          <w:rFonts w:ascii="Times New Roman" w:hAnsi="Times New Roman" w:eastAsia="Times New Roman" w:cs="Times New Roman"/>
          <w:sz w:val="24"/>
        </w:rPr>
        <w:t xml:space="preserve"> QHP </w:t>
      </w:r>
      <w:r w:rsidRPr="002A5D53">
        <w:rPr>
          <w:rFonts w:ascii="Times New Roman" w:hAnsi="Times New Roman" w:eastAsia="Times New Roman" w:cs="Times New Roman"/>
          <w:sz w:val="24"/>
        </w:rPr>
        <w:t>issuer elects to cover such services under a QHP sold through an individual market Exchange, the issuer must take certain steps to ensure that no premium tax credit or cost-sharing reduction funds are used to pay for abortion services for which</w:t>
      </w:r>
      <w:r w:rsidRPr="002A5D53" w:rsidR="001F275E">
        <w:rPr>
          <w:rFonts w:ascii="Times New Roman" w:hAnsi="Times New Roman" w:eastAsia="Times New Roman" w:cs="Times New Roman"/>
          <w:sz w:val="24"/>
        </w:rPr>
        <w:t xml:space="preserve"> public funding is prohibited. </w:t>
      </w:r>
      <w:r w:rsidRPr="002A5D53">
        <w:rPr>
          <w:rFonts w:ascii="Times New Roman" w:hAnsi="Times New Roman" w:eastAsia="Times New Roman" w:cs="Times New Roman"/>
          <w:sz w:val="24"/>
        </w:rPr>
        <w:t>One such step is that</w:t>
      </w:r>
      <w:r w:rsidRPr="002A5D53" w:rsidR="00650D54">
        <w:rPr>
          <w:rFonts w:ascii="Times New Roman" w:hAnsi="Times New Roman" w:eastAsia="Times New Roman" w:cs="Times New Roman"/>
          <w:sz w:val="24"/>
        </w:rPr>
        <w:t xml:space="preserve"> QHP</w:t>
      </w:r>
      <w:r w:rsidRPr="002A5D53">
        <w:rPr>
          <w:rFonts w:ascii="Times New Roman" w:hAnsi="Times New Roman" w:eastAsia="Times New Roman" w:cs="Times New Roman"/>
          <w:sz w:val="24"/>
        </w:rPr>
        <w:t xml:space="preserve"> issuers must</w:t>
      </w:r>
      <w:r w:rsidRPr="002A5D53" w:rsidR="0042421C">
        <w:rPr>
          <w:rFonts w:ascii="Times New Roman" w:hAnsi="Times New Roman" w:eastAsia="Times New Roman" w:cs="Times New Roman"/>
          <w:sz w:val="24"/>
        </w:rPr>
        <w:t xml:space="preserve"> determine the amount of, and </w:t>
      </w:r>
      <w:r w:rsidRPr="002A5D53">
        <w:rPr>
          <w:rFonts w:ascii="Times New Roman" w:hAnsi="Times New Roman" w:eastAsia="Times New Roman" w:cs="Times New Roman"/>
          <w:sz w:val="24"/>
        </w:rPr>
        <w:t>collect</w:t>
      </w:r>
      <w:r w:rsidRPr="002A5D53" w:rsidR="0042421C">
        <w:rPr>
          <w:rFonts w:ascii="Times New Roman" w:hAnsi="Times New Roman" w:eastAsia="Times New Roman" w:cs="Times New Roman"/>
          <w:sz w:val="24"/>
        </w:rPr>
        <w:t xml:space="preserve"> from each enrollee, </w:t>
      </w:r>
      <w:r w:rsidRPr="002A5D53">
        <w:rPr>
          <w:rFonts w:ascii="Times New Roman" w:hAnsi="Times New Roman" w:eastAsia="Times New Roman" w:cs="Times New Roman"/>
          <w:sz w:val="24"/>
        </w:rPr>
        <w:t xml:space="preserve">a “separate payment” for an amount equal to the actuarial value of the coverage for abortions for which public funding </w:t>
      </w:r>
      <w:r w:rsidRPr="002A5D53" w:rsidR="00574E6E">
        <w:rPr>
          <w:rFonts w:ascii="Times New Roman" w:hAnsi="Times New Roman" w:eastAsia="Times New Roman" w:cs="Times New Roman"/>
          <w:sz w:val="24"/>
        </w:rPr>
        <w:t xml:space="preserve">is </w:t>
      </w:r>
      <w:r w:rsidRPr="002A5D53" w:rsidR="0042421C">
        <w:rPr>
          <w:rFonts w:ascii="Times New Roman" w:hAnsi="Times New Roman" w:eastAsia="Times New Roman" w:cs="Times New Roman"/>
          <w:sz w:val="24"/>
        </w:rPr>
        <w:t>prohibited,</w:t>
      </w:r>
      <w:r w:rsidRPr="00D667C1" w:rsidR="0042421C">
        <w:rPr>
          <w:rFonts w:eastAsia="Times New Roman" w:cs="Times New Roman"/>
          <w:vertAlign w:val="superscript"/>
        </w:rPr>
        <w:footnoteReference w:id="1"/>
      </w:r>
      <w:r w:rsidRPr="00D667C1" w:rsidR="0042421C">
        <w:rPr>
          <w:rFonts w:ascii="Times New Roman" w:hAnsi="Times New Roman" w:eastAsia="Times New Roman" w:cs="Times New Roman"/>
          <w:sz w:val="24"/>
          <w:vertAlign w:val="superscript"/>
        </w:rPr>
        <w:t xml:space="preserve"> </w:t>
      </w:r>
      <w:r w:rsidRPr="002A5D53" w:rsidR="0042421C">
        <w:rPr>
          <w:rFonts w:ascii="Times New Roman" w:hAnsi="Times New Roman" w:eastAsia="Times New Roman" w:cs="Times New Roman"/>
          <w:sz w:val="24"/>
        </w:rPr>
        <w:t xml:space="preserve">which must be no less </w:t>
      </w:r>
      <w:r w:rsidRPr="002A5D53">
        <w:rPr>
          <w:rFonts w:ascii="Times New Roman" w:hAnsi="Times New Roman" w:eastAsia="Times New Roman" w:cs="Times New Roman"/>
          <w:sz w:val="24"/>
        </w:rPr>
        <w:t>t</w:t>
      </w:r>
      <w:r w:rsidRPr="002A5D53" w:rsidR="00C749F0">
        <w:rPr>
          <w:rFonts w:ascii="Times New Roman" w:hAnsi="Times New Roman" w:eastAsia="Times New Roman" w:cs="Times New Roman"/>
          <w:sz w:val="24"/>
        </w:rPr>
        <w:t>han $1</w:t>
      </w:r>
      <w:r w:rsidR="0025255A">
        <w:rPr>
          <w:rFonts w:ascii="Times New Roman" w:hAnsi="Times New Roman" w:eastAsia="Times New Roman" w:cs="Times New Roman"/>
          <w:sz w:val="24"/>
        </w:rPr>
        <w:t>.00</w:t>
      </w:r>
      <w:r w:rsidRPr="002A5D53" w:rsidR="00C749F0">
        <w:rPr>
          <w:rFonts w:ascii="Times New Roman" w:hAnsi="Times New Roman" w:eastAsia="Times New Roman" w:cs="Times New Roman"/>
          <w:sz w:val="24"/>
        </w:rPr>
        <w:t xml:space="preserve"> per enrollee per month. </w:t>
      </w:r>
      <w:r w:rsidRPr="002A5D53">
        <w:rPr>
          <w:rFonts w:ascii="Times New Roman" w:hAnsi="Times New Roman" w:eastAsia="Times New Roman" w:cs="Times New Roman"/>
          <w:sz w:val="24"/>
        </w:rPr>
        <w:t>QHP issuers must also segregate funds for non-Hyde abortion services collected through this payment into a separate allocation account used exclusively to pay for non-Hyde abortion services.</w:t>
      </w:r>
    </w:p>
    <w:p w:rsidRPr="002A5D53" w:rsidR="001553F4" w:rsidP="002A5D53" w:rsidRDefault="007F224D" w14:paraId="153390DD" w14:textId="13307722">
      <w:pPr>
        <w:spacing w:line="240" w:lineRule="auto"/>
        <w:ind w:right="29"/>
        <w:rPr>
          <w:rFonts w:ascii="Times New Roman" w:hAnsi="Times New Roman" w:eastAsia="Times New Roman" w:cs="Times New Roman"/>
          <w:sz w:val="24"/>
        </w:rPr>
      </w:pPr>
      <w:r w:rsidRPr="002A5D53">
        <w:rPr>
          <w:rFonts w:ascii="Times New Roman" w:hAnsi="Times New Roman" w:eastAsia="Times New Roman" w:cs="Times New Roman"/>
          <w:sz w:val="24"/>
        </w:rPr>
        <w:t xml:space="preserve">In the </w:t>
      </w:r>
      <w:r w:rsidRPr="002A5D53" w:rsidR="005E5711">
        <w:rPr>
          <w:rFonts w:ascii="Times New Roman" w:hAnsi="Times New Roman" w:eastAsia="Times New Roman" w:cs="Times New Roman"/>
          <w:i/>
          <w:sz w:val="24"/>
        </w:rPr>
        <w:t>Patient Protection and Affordable Care Act; Establishment of Exchanges and Qualified Health Plans; Exchange Standards for Employers</w:t>
      </w:r>
      <w:r w:rsidRPr="002A5D53" w:rsidR="005E5711">
        <w:rPr>
          <w:rFonts w:ascii="Times New Roman" w:hAnsi="Times New Roman" w:eastAsia="Times New Roman" w:cs="Times New Roman"/>
          <w:sz w:val="24"/>
        </w:rPr>
        <w:t xml:space="preserve"> (2012 Exchange Establishment Rule)</w:t>
      </w:r>
      <w:r w:rsidR="0025255A">
        <w:rPr>
          <w:rFonts w:ascii="Times New Roman" w:hAnsi="Times New Roman" w:eastAsia="Times New Roman" w:cs="Times New Roman"/>
          <w:sz w:val="24"/>
        </w:rPr>
        <w:t xml:space="preserve"> </w:t>
      </w:r>
      <w:r w:rsidRPr="00D24D01" w:rsidR="0025255A">
        <w:rPr>
          <w:rFonts w:ascii="Times New Roman" w:hAnsi="Times New Roman" w:eastAsia="Times New Roman" w:cs="Times New Roman"/>
          <w:sz w:val="24"/>
        </w:rPr>
        <w:t>(77 FR 18310)</w:t>
      </w:r>
      <w:r w:rsidRPr="002A5D53">
        <w:rPr>
          <w:rFonts w:ascii="Times New Roman" w:hAnsi="Times New Roman" w:eastAsia="Times New Roman" w:cs="Times New Roman"/>
          <w:sz w:val="24"/>
        </w:rPr>
        <w:t>, we codified the statutory provisions of section 1303 of the PPACA i</w:t>
      </w:r>
      <w:r w:rsidRPr="002A5D53" w:rsidR="00C749F0">
        <w:rPr>
          <w:rFonts w:ascii="Times New Roman" w:hAnsi="Times New Roman" w:eastAsia="Times New Roman" w:cs="Times New Roman"/>
          <w:sz w:val="24"/>
        </w:rPr>
        <w:t xml:space="preserve">n regulation </w:t>
      </w:r>
      <w:r w:rsidRPr="002A5D53" w:rsidR="00C95BFF">
        <w:rPr>
          <w:rFonts w:ascii="Times New Roman" w:hAnsi="Times New Roman" w:eastAsia="Times New Roman" w:cs="Times New Roman"/>
          <w:sz w:val="24"/>
        </w:rPr>
        <w:t xml:space="preserve">at 45 CFR </w:t>
      </w:r>
      <w:r w:rsidRPr="002A5D53" w:rsidR="00C749F0">
        <w:rPr>
          <w:rFonts w:ascii="Times New Roman" w:hAnsi="Times New Roman" w:eastAsia="Times New Roman" w:cs="Times New Roman"/>
          <w:sz w:val="24"/>
        </w:rPr>
        <w:t>156.280.</w:t>
      </w:r>
    </w:p>
    <w:p w:rsidRPr="009B4B83" w:rsidR="009B4B83" w:rsidP="002A5D53" w:rsidRDefault="009B4B83" w14:paraId="1E829C12" w14:textId="000590EB">
      <w:pPr>
        <w:widowControl w:val="0"/>
        <w:spacing w:before="14" w:after="0" w:line="240" w:lineRule="auto"/>
        <w:ind w:right="29"/>
        <w:rPr>
          <w:rFonts w:ascii="Times New Roman" w:hAnsi="Times New Roman" w:eastAsia="Calibri" w:cs="Times New Roman"/>
          <w:b/>
          <w:sz w:val="24"/>
          <w:szCs w:val="24"/>
        </w:rPr>
      </w:pPr>
      <w:r>
        <w:rPr>
          <w:rFonts w:ascii="Times New Roman" w:hAnsi="Times New Roman" w:eastAsia="Calibri" w:cs="Times New Roman"/>
          <w:b/>
          <w:sz w:val="24"/>
          <w:szCs w:val="24"/>
        </w:rPr>
        <w:t xml:space="preserve">Segregation Plan </w:t>
      </w:r>
    </w:p>
    <w:p w:rsidR="001553F4" w:rsidP="002A5D53" w:rsidRDefault="001553F4" w14:paraId="3093BBE6" w14:textId="0A14CB19">
      <w:pPr>
        <w:spacing w:line="240" w:lineRule="auto"/>
        <w:ind w:right="29"/>
        <w:rPr>
          <w:rFonts w:ascii="Times New Roman" w:hAnsi="Times New Roman" w:eastAsia="Times New Roman" w:cs="Times New Roman"/>
          <w:spacing w:val="1"/>
          <w:sz w:val="24"/>
          <w:szCs w:val="24"/>
        </w:rPr>
      </w:pPr>
      <w:r w:rsidRPr="001553F4">
        <w:rPr>
          <w:rFonts w:ascii="Times New Roman" w:hAnsi="Times New Roman" w:eastAsia="Times New Roman" w:cs="Times New Roman"/>
          <w:spacing w:val="1"/>
          <w:sz w:val="24"/>
          <w:szCs w:val="24"/>
        </w:rPr>
        <w:t xml:space="preserve">Under 45 </w:t>
      </w:r>
      <w:r w:rsidR="00D974C1">
        <w:rPr>
          <w:rFonts w:ascii="Times New Roman" w:hAnsi="Times New Roman" w:eastAsia="Times New Roman" w:cs="Times New Roman"/>
          <w:spacing w:val="1"/>
          <w:sz w:val="24"/>
          <w:szCs w:val="24"/>
        </w:rPr>
        <w:t>CFR</w:t>
      </w:r>
      <w:r w:rsidRPr="001553F4">
        <w:rPr>
          <w:rFonts w:ascii="Times New Roman" w:hAnsi="Times New Roman" w:eastAsia="Times New Roman" w:cs="Times New Roman"/>
          <w:spacing w:val="1"/>
          <w:sz w:val="24"/>
          <w:szCs w:val="24"/>
        </w:rPr>
        <w:t xml:space="preserve"> §156.280(e)(5)(ii), each QHP issuer that offers</w:t>
      </w:r>
      <w:r w:rsidR="001F275E">
        <w:rPr>
          <w:rFonts w:ascii="Times New Roman" w:hAnsi="Times New Roman" w:eastAsia="Times New Roman" w:cs="Times New Roman"/>
          <w:spacing w:val="1"/>
          <w:sz w:val="24"/>
          <w:szCs w:val="24"/>
        </w:rPr>
        <w:t xml:space="preserve"> coverage for</w:t>
      </w:r>
      <w:r w:rsidRPr="001553F4">
        <w:rPr>
          <w:rFonts w:ascii="Times New Roman" w:hAnsi="Times New Roman" w:eastAsia="Times New Roman" w:cs="Times New Roman"/>
          <w:spacing w:val="1"/>
          <w:sz w:val="24"/>
          <w:szCs w:val="24"/>
        </w:rPr>
        <w:t xml:space="preserve"> non-</w:t>
      </w:r>
      <w:r w:rsidR="009B4B83">
        <w:rPr>
          <w:rFonts w:ascii="Times New Roman" w:hAnsi="Times New Roman" w:eastAsia="Times New Roman" w:cs="Times New Roman"/>
          <w:spacing w:val="1"/>
          <w:sz w:val="24"/>
          <w:szCs w:val="24"/>
        </w:rPr>
        <w:t>Hyde</w:t>
      </w:r>
      <w:r w:rsidRPr="001553F4">
        <w:rPr>
          <w:rFonts w:ascii="Times New Roman" w:hAnsi="Times New Roman" w:eastAsia="Times New Roman" w:cs="Times New Roman"/>
          <w:spacing w:val="1"/>
          <w:sz w:val="24"/>
          <w:szCs w:val="24"/>
        </w:rPr>
        <w:t xml:space="preserve"> abortion services must submit to the State Insurance Commissioner a segregation plan describing how the QHP issuer establishes and maintains separate </w:t>
      </w:r>
      <w:r w:rsidR="001F275E">
        <w:rPr>
          <w:rFonts w:ascii="Times New Roman" w:hAnsi="Times New Roman" w:eastAsia="Times New Roman" w:cs="Times New Roman"/>
          <w:spacing w:val="1"/>
          <w:sz w:val="24"/>
          <w:szCs w:val="24"/>
        </w:rPr>
        <w:t xml:space="preserve">allocation </w:t>
      </w:r>
      <w:r w:rsidRPr="001553F4">
        <w:rPr>
          <w:rFonts w:ascii="Times New Roman" w:hAnsi="Times New Roman" w:eastAsia="Times New Roman" w:cs="Times New Roman"/>
          <w:spacing w:val="1"/>
          <w:sz w:val="24"/>
          <w:szCs w:val="24"/>
        </w:rPr>
        <w:t>accounts for any QHP covering non-</w:t>
      </w:r>
      <w:r w:rsidR="009B4B83">
        <w:rPr>
          <w:rFonts w:ascii="Times New Roman" w:hAnsi="Times New Roman" w:eastAsia="Times New Roman" w:cs="Times New Roman"/>
          <w:spacing w:val="1"/>
          <w:sz w:val="24"/>
          <w:szCs w:val="24"/>
        </w:rPr>
        <w:t xml:space="preserve">Hyde </w:t>
      </w:r>
      <w:r w:rsidRPr="001553F4">
        <w:rPr>
          <w:rFonts w:ascii="Times New Roman" w:hAnsi="Times New Roman" w:eastAsia="Times New Roman" w:cs="Times New Roman"/>
          <w:spacing w:val="1"/>
          <w:sz w:val="24"/>
          <w:szCs w:val="24"/>
        </w:rPr>
        <w:t>abortion services, and pursuant to §156.280(e)(5)(iii), each QHP issuer must annually attest to compliance with PPACA section 1303 and applicable regulations. This segregation plan is used to verify that the QHP issuer’s financial and other systems fully conform to the segregation requirements required by the PPACA.</w:t>
      </w:r>
      <w:r>
        <w:rPr>
          <w:rFonts w:ascii="Times New Roman" w:hAnsi="Times New Roman" w:eastAsia="Times New Roman" w:cs="Times New Roman"/>
          <w:spacing w:val="1"/>
          <w:sz w:val="24"/>
          <w:szCs w:val="24"/>
        </w:rPr>
        <w:t xml:space="preserve"> </w:t>
      </w:r>
      <w:r w:rsidRPr="001553F4">
        <w:rPr>
          <w:rFonts w:ascii="Times New Roman" w:hAnsi="Times New Roman" w:eastAsia="Times New Roman" w:cs="Times New Roman"/>
          <w:spacing w:val="1"/>
          <w:sz w:val="24"/>
          <w:szCs w:val="24"/>
        </w:rPr>
        <w:t xml:space="preserve">The Centers for Medicare </w:t>
      </w:r>
      <w:r>
        <w:rPr>
          <w:rFonts w:ascii="Times New Roman" w:hAnsi="Times New Roman" w:eastAsia="Times New Roman" w:cs="Times New Roman"/>
          <w:spacing w:val="1"/>
          <w:sz w:val="24"/>
          <w:szCs w:val="24"/>
        </w:rPr>
        <w:t>and Medicaid Services (</w:t>
      </w:r>
      <w:r w:rsidRPr="00B664C4">
        <w:rPr>
          <w:rFonts w:ascii="Times New Roman" w:hAnsi="Times New Roman" w:eastAsia="Times New Roman" w:cs="Times New Roman"/>
          <w:spacing w:val="1"/>
          <w:sz w:val="24"/>
          <w:szCs w:val="24"/>
        </w:rPr>
        <w:t xml:space="preserve">CMS) is merging this information collection request (ICR) </w:t>
      </w:r>
      <w:r w:rsidRPr="00B664C4" w:rsidR="00B664C4">
        <w:rPr>
          <w:rFonts w:ascii="Times New Roman" w:hAnsi="Times New Roman" w:eastAsia="Times New Roman" w:cs="Times New Roman"/>
          <w:spacing w:val="1"/>
          <w:sz w:val="24"/>
          <w:szCs w:val="24"/>
        </w:rPr>
        <w:t xml:space="preserve">associated with the segregation plan requirements under 45 </w:t>
      </w:r>
      <w:r w:rsidR="00D974C1">
        <w:rPr>
          <w:rFonts w:ascii="Times New Roman" w:hAnsi="Times New Roman" w:eastAsia="Times New Roman" w:cs="Times New Roman"/>
          <w:spacing w:val="1"/>
          <w:sz w:val="24"/>
          <w:szCs w:val="24"/>
        </w:rPr>
        <w:t>CFR</w:t>
      </w:r>
      <w:r w:rsidRPr="00B664C4" w:rsidR="00B664C4">
        <w:rPr>
          <w:rFonts w:ascii="Times New Roman" w:hAnsi="Times New Roman" w:eastAsia="Times New Roman" w:cs="Times New Roman"/>
          <w:spacing w:val="1"/>
          <w:sz w:val="24"/>
          <w:szCs w:val="24"/>
        </w:rPr>
        <w:t xml:space="preserve"> §156.280(e)(5)(ii) with the ICR for the separate billing policy CMS-10681/OMB control number: 0938-NEW finalized in the Patient Protection and Affordable Care Act; Exchange Program Integrity (Program Integrity Rule) (CMS-9922-F), at §156.280(e)(2)(ii)</w:t>
      </w:r>
      <w:r w:rsidR="00AF4A2E">
        <w:rPr>
          <w:rFonts w:ascii="Times New Roman" w:hAnsi="Times New Roman" w:eastAsia="Times New Roman" w:cs="Times New Roman"/>
          <w:spacing w:val="1"/>
          <w:sz w:val="24"/>
          <w:szCs w:val="24"/>
        </w:rPr>
        <w:t xml:space="preserve">. </w:t>
      </w:r>
      <w:r w:rsidRPr="00B664C4" w:rsidR="00B664C4">
        <w:rPr>
          <w:rFonts w:ascii="Times New Roman" w:hAnsi="Times New Roman" w:eastAsia="Times New Roman" w:cs="Times New Roman"/>
          <w:spacing w:val="1"/>
          <w:sz w:val="24"/>
          <w:szCs w:val="24"/>
        </w:rPr>
        <w:t>Upon approval of the ICR, CMS will request to discontinue the segregation plan ICR CMS-10400/OMB control number: 0938-1156.</w:t>
      </w:r>
    </w:p>
    <w:p w:rsidRPr="007A78D8" w:rsidR="007A78D8" w:rsidP="002A5D53" w:rsidRDefault="007A78D8" w14:paraId="3DCD30B6" w14:textId="27D889C9">
      <w:pPr>
        <w:spacing w:line="240" w:lineRule="auto"/>
        <w:ind w:right="29"/>
        <w:rPr>
          <w:rFonts w:ascii="Times New Roman" w:hAnsi="Times New Roman" w:eastAsia="Times New Roman" w:cs="Times New Roman"/>
          <w:spacing w:val="1"/>
          <w:sz w:val="24"/>
          <w:szCs w:val="24"/>
        </w:rPr>
      </w:pPr>
      <w:r w:rsidRPr="007A78D8">
        <w:rPr>
          <w:rFonts w:ascii="Times New Roman" w:hAnsi="Times New Roman" w:eastAsia="Times New Roman" w:cs="Times New Roman"/>
          <w:spacing w:val="1"/>
          <w:sz w:val="24"/>
          <w:szCs w:val="24"/>
        </w:rPr>
        <w:t>The burden estimate for th</w:t>
      </w:r>
      <w:r>
        <w:rPr>
          <w:rFonts w:ascii="Times New Roman" w:hAnsi="Times New Roman" w:eastAsia="Times New Roman" w:cs="Times New Roman"/>
          <w:spacing w:val="1"/>
          <w:sz w:val="24"/>
          <w:szCs w:val="24"/>
        </w:rPr>
        <w:t>e</w:t>
      </w:r>
      <w:r w:rsidRPr="007A78D8">
        <w:rPr>
          <w:rFonts w:ascii="Times New Roman" w:hAnsi="Times New Roman" w:eastAsia="Times New Roman" w:cs="Times New Roman"/>
          <w:spacing w:val="1"/>
          <w:sz w:val="24"/>
          <w:szCs w:val="24"/>
        </w:rPr>
        <w:t xml:space="preserve"> ICR </w:t>
      </w:r>
      <w:r w:rsidRPr="001553F4">
        <w:rPr>
          <w:rFonts w:ascii="Times New Roman" w:hAnsi="Times New Roman" w:eastAsia="Times New Roman" w:cs="Times New Roman"/>
          <w:spacing w:val="1"/>
          <w:sz w:val="24"/>
          <w:szCs w:val="24"/>
        </w:rPr>
        <w:t xml:space="preserve">in connection with the segregation plan requirement under 45 </w:t>
      </w:r>
      <w:r w:rsidR="00D974C1">
        <w:rPr>
          <w:rFonts w:ascii="Times New Roman" w:hAnsi="Times New Roman" w:eastAsia="Times New Roman" w:cs="Times New Roman"/>
          <w:spacing w:val="1"/>
          <w:sz w:val="24"/>
          <w:szCs w:val="24"/>
        </w:rPr>
        <w:t>CFR</w:t>
      </w:r>
      <w:r w:rsidRPr="001553F4">
        <w:rPr>
          <w:rFonts w:ascii="Times New Roman" w:hAnsi="Times New Roman" w:eastAsia="Times New Roman" w:cs="Times New Roman"/>
          <w:spacing w:val="1"/>
          <w:sz w:val="24"/>
          <w:szCs w:val="24"/>
        </w:rPr>
        <w:t xml:space="preserve"> §156.280(e)(5)(ii)</w:t>
      </w:r>
      <w:r>
        <w:rPr>
          <w:rFonts w:ascii="Times New Roman" w:hAnsi="Times New Roman" w:eastAsia="Times New Roman" w:cs="Times New Roman"/>
          <w:spacing w:val="1"/>
          <w:sz w:val="24"/>
          <w:szCs w:val="24"/>
        </w:rPr>
        <w:t xml:space="preserve"> </w:t>
      </w:r>
      <w:r w:rsidRPr="007A78D8">
        <w:rPr>
          <w:rFonts w:ascii="Times New Roman" w:hAnsi="Times New Roman" w:eastAsia="Times New Roman" w:cs="Times New Roman"/>
          <w:spacing w:val="1"/>
          <w:sz w:val="24"/>
          <w:szCs w:val="24"/>
        </w:rPr>
        <w:t xml:space="preserve">included in this package reflects the time and effort for QHP issuers to submit a segregation plan that demonstrates how the QHP issuer segregates QHP funds in accordance with </w:t>
      </w:r>
      <w:r w:rsidRPr="007A78D8">
        <w:rPr>
          <w:rFonts w:ascii="Times New Roman" w:hAnsi="Times New Roman" w:eastAsia="Times New Roman" w:cs="Times New Roman"/>
          <w:spacing w:val="1"/>
          <w:sz w:val="24"/>
          <w:szCs w:val="24"/>
        </w:rPr>
        <w:lastRenderedPageBreak/>
        <w:t xml:space="preserve">applicable provisions of generally accepted accounting requirements, circulars on funds management of the Office of Management and Budget (OMB) and guidance on accounting of the Government Accountability Office. CMS is also </w:t>
      </w:r>
      <w:r w:rsidR="00871DCB">
        <w:rPr>
          <w:rFonts w:ascii="Times New Roman" w:hAnsi="Times New Roman" w:eastAsia="Times New Roman" w:cs="Times New Roman"/>
          <w:spacing w:val="1"/>
          <w:sz w:val="24"/>
          <w:szCs w:val="24"/>
        </w:rPr>
        <w:t>combining with this package</w:t>
      </w:r>
      <w:r w:rsidRPr="007A78D8">
        <w:rPr>
          <w:rFonts w:ascii="Times New Roman" w:hAnsi="Times New Roman" w:eastAsia="Times New Roman" w:cs="Times New Roman"/>
          <w:spacing w:val="1"/>
          <w:sz w:val="24"/>
          <w:szCs w:val="24"/>
        </w:rPr>
        <w:t xml:space="preserve"> the ICR in connection with the annual attestation requirement under 45 </w:t>
      </w:r>
      <w:r w:rsidR="00D974C1">
        <w:rPr>
          <w:rFonts w:ascii="Times New Roman" w:hAnsi="Times New Roman" w:eastAsia="Times New Roman" w:cs="Times New Roman"/>
          <w:spacing w:val="1"/>
          <w:sz w:val="24"/>
          <w:szCs w:val="24"/>
        </w:rPr>
        <w:t>CFR</w:t>
      </w:r>
      <w:r w:rsidRPr="007A78D8">
        <w:rPr>
          <w:rFonts w:ascii="Times New Roman" w:hAnsi="Times New Roman" w:eastAsia="Times New Roman" w:cs="Times New Roman"/>
          <w:spacing w:val="1"/>
          <w:sz w:val="24"/>
          <w:szCs w:val="24"/>
        </w:rPr>
        <w:t xml:space="preserve"> § 156.280(e)(5)(iii). The burden estimate for this ICR reflects the time and effort associated with QHP issuers submitting an annual attestation to the State Insurance Commissioner attesting to compliance with section 1303 of the PPACA.</w:t>
      </w:r>
    </w:p>
    <w:p w:rsidRPr="00C35263" w:rsidR="009B4B83" w:rsidP="002A5D53" w:rsidRDefault="009B4B83" w14:paraId="5270C3A8" w14:textId="77777777">
      <w:pPr>
        <w:widowControl w:val="0"/>
        <w:spacing w:before="14" w:after="0" w:line="240" w:lineRule="auto"/>
        <w:ind w:right="29"/>
        <w:rPr>
          <w:rFonts w:ascii="Times New Roman" w:hAnsi="Times New Roman" w:eastAsia="Calibri" w:cs="Times New Roman"/>
          <w:b/>
          <w:sz w:val="24"/>
          <w:szCs w:val="24"/>
        </w:rPr>
      </w:pPr>
      <w:r>
        <w:rPr>
          <w:rFonts w:ascii="Times New Roman" w:hAnsi="Times New Roman" w:eastAsia="Calibri" w:cs="Times New Roman"/>
          <w:b/>
          <w:sz w:val="24"/>
          <w:szCs w:val="24"/>
        </w:rPr>
        <w:t>Separate Billing</w:t>
      </w:r>
    </w:p>
    <w:p w:rsidRPr="00677059" w:rsidR="00543981" w:rsidP="002A5D53" w:rsidRDefault="006A4273" w14:paraId="75458874" w14:textId="6E744ACE">
      <w:pPr>
        <w:spacing w:line="240" w:lineRule="auto"/>
        <w:ind w:right="29"/>
      </w:pPr>
      <w:r>
        <w:rPr>
          <w:rFonts w:ascii="Times New Roman" w:hAnsi="Times New Roman" w:eastAsia="Times New Roman" w:cs="Times New Roman"/>
          <w:spacing w:val="1"/>
          <w:sz w:val="24"/>
          <w:szCs w:val="24"/>
        </w:rPr>
        <w:t>On</w:t>
      </w:r>
      <w:r w:rsidRPr="007F224D" w:rsidR="00C95BFF">
        <w:rPr>
          <w:rFonts w:ascii="Times New Roman" w:hAnsi="Times New Roman" w:eastAsia="Times New Roman" w:cs="Times New Roman"/>
          <w:spacing w:val="1"/>
          <w:sz w:val="24"/>
          <w:szCs w:val="24"/>
        </w:rPr>
        <w:t xml:space="preserve"> </w:t>
      </w:r>
      <w:r w:rsidRPr="007F224D" w:rsidR="007F224D">
        <w:rPr>
          <w:rFonts w:ascii="Times New Roman" w:hAnsi="Times New Roman" w:eastAsia="Times New Roman" w:cs="Times New Roman"/>
          <w:spacing w:val="1"/>
          <w:sz w:val="24"/>
          <w:szCs w:val="24"/>
        </w:rPr>
        <w:t>February 27, 2015, we published the Patient Protection and Affordable Care Act; HHS Notice of Benefit and Payment Parameters for 2016</w:t>
      </w:r>
      <w:r>
        <w:rPr>
          <w:rFonts w:ascii="Times New Roman" w:hAnsi="Times New Roman" w:eastAsia="Times New Roman" w:cs="Times New Roman"/>
          <w:spacing w:val="1"/>
          <w:sz w:val="24"/>
          <w:szCs w:val="24"/>
        </w:rPr>
        <w:t>,</w:t>
      </w:r>
      <w:r w:rsidRPr="007F224D" w:rsidR="007F224D">
        <w:rPr>
          <w:rFonts w:ascii="Times New Roman" w:hAnsi="Times New Roman" w:eastAsia="Times New Roman" w:cs="Times New Roman"/>
          <w:spacing w:val="1"/>
          <w:sz w:val="24"/>
          <w:szCs w:val="24"/>
        </w:rPr>
        <w:t xml:space="preserve"> (80 FR 10750) (2016 Payment Notice) providing guidance regarding acceptable billing and premium collection methods for the portion of the consumer’s total premium attributable to non-Hyde abortion coverage for purposes of satisfying the statutory separate payment requirement</w:t>
      </w:r>
      <w:r w:rsidR="001E2D63">
        <w:rPr>
          <w:rFonts w:ascii="Times New Roman" w:hAnsi="Times New Roman" w:eastAsia="Times New Roman" w:cs="Times New Roman"/>
          <w:spacing w:val="1"/>
          <w:sz w:val="24"/>
          <w:szCs w:val="24"/>
        </w:rPr>
        <w:t xml:space="preserve">. </w:t>
      </w:r>
      <w:r w:rsidRPr="001E2D63" w:rsidR="001E2D63">
        <w:rPr>
          <w:rFonts w:ascii="Times New Roman" w:hAnsi="Times New Roman"/>
          <w:sz w:val="24"/>
          <w:szCs w:val="24"/>
        </w:rPr>
        <w:t>We stated that the</w:t>
      </w:r>
      <w:r w:rsidR="00650D54">
        <w:rPr>
          <w:rFonts w:ascii="Times New Roman" w:hAnsi="Times New Roman"/>
          <w:sz w:val="24"/>
          <w:szCs w:val="24"/>
        </w:rPr>
        <w:t xml:space="preserve"> QHP</w:t>
      </w:r>
      <w:r w:rsidRPr="001E2D63" w:rsidR="001E2D63">
        <w:rPr>
          <w:rFonts w:ascii="Times New Roman" w:hAnsi="Times New Roman"/>
          <w:sz w:val="24"/>
          <w:szCs w:val="24"/>
        </w:rPr>
        <w:t xml:space="preserve"> issuer could satisfy the </w:t>
      </w:r>
      <w:r w:rsidRPr="00AE7E08" w:rsidR="001E2D63">
        <w:rPr>
          <w:rFonts w:ascii="Times New Roman" w:hAnsi="Times New Roman"/>
          <w:sz w:val="24"/>
          <w:szCs w:val="24"/>
        </w:rPr>
        <w:t xml:space="preserve">separate payment requirement in one of several ways, including by sending the enrollee a single monthly invoice or bill that separately itemizes the premium amount for non-Hyde abortion services; sending the enrollee a separate monthly bill for these services; or sending the enrollee a notice at or soon after the time of enrollment that the monthly invoice or bill will include a separate charge for such services and </w:t>
      </w:r>
      <w:r w:rsidR="00871DCB">
        <w:rPr>
          <w:rFonts w:ascii="Times New Roman" w:hAnsi="Times New Roman"/>
          <w:sz w:val="24"/>
          <w:szCs w:val="24"/>
        </w:rPr>
        <w:t>specify the charge.</w:t>
      </w:r>
      <w:r w:rsidRPr="00677059" w:rsidR="001E2D63">
        <w:rPr>
          <w:rFonts w:ascii="Times New Roman" w:hAnsi="Times New Roman"/>
          <w:sz w:val="24"/>
          <w:szCs w:val="24"/>
        </w:rPr>
        <w:t xml:space="preserve"> In the 2016 Payment Notice, we also stated that a consumer may make the payment for non-Hyde abortion services and the separate payment for all other services in a single transaction. On October 6, 2017, </w:t>
      </w:r>
      <w:r w:rsidRPr="00677059" w:rsidR="00677059">
        <w:rPr>
          <w:rFonts w:ascii="Times New Roman" w:hAnsi="Times New Roman"/>
          <w:sz w:val="24"/>
          <w:szCs w:val="24"/>
        </w:rPr>
        <w:t>we released a bulletin that discussed the statutory requirements for separate payment, as well as this previous guidance with respect to the separate payment requirement</w:t>
      </w:r>
      <w:r w:rsidRPr="00677059" w:rsidR="001E2D63">
        <w:rPr>
          <w:rFonts w:ascii="Times New Roman" w:hAnsi="Times New Roman"/>
          <w:sz w:val="24"/>
          <w:szCs w:val="24"/>
        </w:rPr>
        <w:t>.</w:t>
      </w:r>
      <w:r w:rsidRPr="00677059" w:rsidR="001E2D63">
        <w:rPr>
          <w:rFonts w:ascii="Times New Roman" w:hAnsi="Times New Roman" w:eastAsia="Calibri"/>
          <w:sz w:val="24"/>
          <w:szCs w:val="24"/>
          <w:vertAlign w:val="superscript"/>
        </w:rPr>
        <w:footnoteReference w:id="2"/>
      </w:r>
      <w:r w:rsidRPr="00AE7E08" w:rsidR="001E2D63">
        <w:rPr>
          <w:rFonts w:ascii="Times New Roman" w:hAnsi="Times New Roman"/>
          <w:sz w:val="24"/>
          <w:szCs w:val="24"/>
        </w:rPr>
        <w:t xml:space="preserve"> </w:t>
      </w:r>
      <w:r w:rsidRPr="00AE7E08" w:rsidR="001E2D63">
        <w:rPr>
          <w:rFonts w:ascii="Times New Roman" w:hAnsi="Times New Roman"/>
          <w:i/>
          <w:sz w:val="24"/>
          <w:szCs w:val="24"/>
        </w:rPr>
        <w:t xml:space="preserve"> </w:t>
      </w:r>
    </w:p>
    <w:p w:rsidR="001E2D63" w:rsidP="002A5D53" w:rsidRDefault="00502381" w14:paraId="363A1AEE" w14:textId="673F2AEE">
      <w:pPr>
        <w:widowControl w:val="0"/>
        <w:spacing w:after="0" w:line="240" w:lineRule="auto"/>
        <w:ind w:right="29"/>
        <w:rPr>
          <w:rFonts w:ascii="Times New Roman" w:hAnsi="Times New Roman" w:eastAsia="Times New Roman" w:cs="Times New Roman"/>
          <w:spacing w:val="1"/>
          <w:sz w:val="24"/>
          <w:szCs w:val="24"/>
        </w:rPr>
      </w:pPr>
      <w:r w:rsidRPr="00AE7E08">
        <w:rPr>
          <w:rFonts w:ascii="Times New Roman" w:hAnsi="Times New Roman" w:eastAsia="Times New Roman" w:cs="Times New Roman"/>
          <w:spacing w:val="1"/>
          <w:sz w:val="24"/>
          <w:szCs w:val="24"/>
        </w:rPr>
        <w:t xml:space="preserve">In the </w:t>
      </w:r>
      <w:r w:rsidRPr="00AE7E08" w:rsidR="00F855A6">
        <w:rPr>
          <w:rFonts w:ascii="Times New Roman" w:hAnsi="Times New Roman" w:eastAsia="Times New Roman" w:cs="Times New Roman"/>
          <w:spacing w:val="1"/>
          <w:sz w:val="24"/>
          <w:szCs w:val="24"/>
        </w:rPr>
        <w:t>Program Integrity Rule</w:t>
      </w:r>
      <w:r w:rsidR="00871DCB">
        <w:rPr>
          <w:rFonts w:ascii="Times New Roman" w:hAnsi="Times New Roman" w:eastAsia="Times New Roman" w:cs="Times New Roman"/>
          <w:spacing w:val="1"/>
          <w:sz w:val="24"/>
          <w:szCs w:val="24"/>
        </w:rPr>
        <w:t>,</w:t>
      </w:r>
      <w:r w:rsidRPr="00AE7E08">
        <w:rPr>
          <w:rFonts w:ascii="Times New Roman" w:hAnsi="Times New Roman" w:eastAsia="Times New Roman" w:cs="Times New Roman"/>
          <w:spacing w:val="1"/>
          <w:sz w:val="24"/>
          <w:szCs w:val="24"/>
        </w:rPr>
        <w:t xml:space="preserve"> we</w:t>
      </w:r>
      <w:r w:rsidRPr="00AE7E08" w:rsidR="001E2D63">
        <w:rPr>
          <w:rFonts w:ascii="Times New Roman" w:hAnsi="Times New Roman"/>
          <w:sz w:val="24"/>
          <w:szCs w:val="24"/>
        </w:rPr>
        <w:t xml:space="preserve"> </w:t>
      </w:r>
      <w:r w:rsidR="00EA09BF">
        <w:rPr>
          <w:rFonts w:ascii="Times New Roman" w:hAnsi="Times New Roman"/>
          <w:sz w:val="24"/>
          <w:szCs w:val="24"/>
        </w:rPr>
        <w:t>finalized at</w:t>
      </w:r>
      <w:r w:rsidRPr="00AE7E08" w:rsidR="001E2D63">
        <w:rPr>
          <w:rFonts w:ascii="Times New Roman" w:hAnsi="Times New Roman"/>
          <w:sz w:val="24"/>
          <w:szCs w:val="24"/>
        </w:rPr>
        <w:t xml:space="preserve"> §156.280(e)(2)</w:t>
      </w:r>
      <w:r w:rsidR="009B4B83">
        <w:rPr>
          <w:rFonts w:ascii="Times New Roman" w:hAnsi="Times New Roman"/>
          <w:sz w:val="24"/>
          <w:szCs w:val="24"/>
        </w:rPr>
        <w:t>(ii)</w:t>
      </w:r>
      <w:r w:rsidRPr="00AE7E08" w:rsidR="001E2D63">
        <w:rPr>
          <w:rFonts w:ascii="Times New Roman" w:hAnsi="Times New Roman"/>
          <w:sz w:val="24"/>
          <w:szCs w:val="24"/>
        </w:rPr>
        <w:t xml:space="preserve"> amendments relating</w:t>
      </w:r>
      <w:r w:rsidRPr="001E2D63" w:rsidR="001E2D63">
        <w:rPr>
          <w:rFonts w:ascii="Times New Roman" w:hAnsi="Times New Roman"/>
          <w:sz w:val="24"/>
          <w:szCs w:val="24"/>
        </w:rPr>
        <w:t xml:space="preserve"> </w:t>
      </w:r>
      <w:r w:rsidRPr="00AE7E08" w:rsidR="001E2D63">
        <w:rPr>
          <w:rFonts w:ascii="Times New Roman" w:hAnsi="Times New Roman"/>
          <w:sz w:val="24"/>
          <w:szCs w:val="24"/>
        </w:rPr>
        <w:t xml:space="preserve">to billing of the </w:t>
      </w:r>
      <w:r w:rsidR="00871DCB">
        <w:rPr>
          <w:rFonts w:ascii="Times New Roman" w:hAnsi="Times New Roman"/>
          <w:sz w:val="24"/>
          <w:szCs w:val="24"/>
        </w:rPr>
        <w:t>policy holder’s</w:t>
      </w:r>
      <w:r w:rsidRPr="00AE7E08" w:rsidR="001E2D63">
        <w:rPr>
          <w:rFonts w:ascii="Times New Roman" w:hAnsi="Times New Roman"/>
          <w:sz w:val="24"/>
          <w:szCs w:val="24"/>
        </w:rPr>
        <w:t xml:space="preserve"> </w:t>
      </w:r>
      <w:r w:rsidRPr="00AE7E08" w:rsidR="001E2D63">
        <w:rPr>
          <w:rFonts w:ascii="Times New Roman" w:hAnsi="Times New Roman" w:eastAsia="Times New Roman" w:cs="Times New Roman"/>
          <w:spacing w:val="1"/>
          <w:sz w:val="24"/>
          <w:szCs w:val="24"/>
        </w:rPr>
        <w:t>portion of the premium attributable to non-Hyde abortion services</w:t>
      </w:r>
      <w:r w:rsidR="00AF4A2E">
        <w:rPr>
          <w:rFonts w:ascii="Times New Roman" w:hAnsi="Times New Roman" w:eastAsia="Times New Roman" w:cs="Times New Roman"/>
          <w:spacing w:val="1"/>
          <w:sz w:val="24"/>
          <w:szCs w:val="24"/>
        </w:rPr>
        <w:t xml:space="preserve">. </w:t>
      </w:r>
      <w:r w:rsidRPr="00AE7E08" w:rsidR="001E2D63">
        <w:rPr>
          <w:rFonts w:ascii="Times New Roman" w:hAnsi="Times New Roman" w:eastAsia="Times New Roman" w:cs="Times New Roman"/>
          <w:spacing w:val="1"/>
          <w:sz w:val="24"/>
          <w:szCs w:val="24"/>
        </w:rPr>
        <w:t xml:space="preserve">Specifically, we </w:t>
      </w:r>
      <w:r w:rsidR="00EA09BF">
        <w:rPr>
          <w:rFonts w:ascii="Times New Roman" w:hAnsi="Times New Roman" w:eastAsia="Times New Roman" w:cs="Times New Roman"/>
          <w:spacing w:val="1"/>
          <w:sz w:val="24"/>
          <w:szCs w:val="24"/>
        </w:rPr>
        <w:t>finalized</w:t>
      </w:r>
      <w:r w:rsidRPr="00AE7E08" w:rsidR="001E2D63">
        <w:rPr>
          <w:rFonts w:ascii="Times New Roman" w:hAnsi="Times New Roman" w:eastAsia="Times New Roman" w:cs="Times New Roman"/>
          <w:spacing w:val="1"/>
          <w:sz w:val="24"/>
          <w:szCs w:val="24"/>
        </w:rPr>
        <w:t xml:space="preserve"> that:  </w:t>
      </w:r>
    </w:p>
    <w:p w:rsidRPr="00AE7E08" w:rsidR="008322AA" w:rsidRDefault="008322AA" w14:paraId="209CC3B8" w14:textId="77777777">
      <w:pPr>
        <w:widowControl w:val="0"/>
        <w:spacing w:after="0" w:line="240" w:lineRule="auto"/>
        <w:ind w:right="-20"/>
        <w:rPr>
          <w:rFonts w:ascii="Times New Roman" w:hAnsi="Times New Roman" w:eastAsia="Times New Roman" w:cs="Times New Roman"/>
          <w:spacing w:val="1"/>
          <w:sz w:val="24"/>
          <w:szCs w:val="24"/>
        </w:rPr>
      </w:pPr>
    </w:p>
    <w:p w:rsidRPr="009B4B83" w:rsidR="001E2D63" w:rsidP="002A5D53" w:rsidRDefault="00650D54" w14:paraId="0F9668D6" w14:textId="6EDF11AB">
      <w:pPr>
        <w:pStyle w:val="ListParagraph"/>
        <w:numPr>
          <w:ilvl w:val="0"/>
          <w:numId w:val="2"/>
        </w:numPr>
        <w:spacing w:after="0" w:line="240" w:lineRule="auto"/>
        <w:ind w:left="720" w:right="29"/>
        <w:rPr>
          <w:rFonts w:ascii="Times New Roman" w:hAnsi="Times New Roman" w:eastAsia="Times New Roman" w:cs="Times New Roman"/>
          <w:spacing w:val="1"/>
          <w:sz w:val="24"/>
          <w:szCs w:val="24"/>
        </w:rPr>
      </w:pPr>
      <w:r w:rsidRPr="009B4B83">
        <w:rPr>
          <w:rFonts w:ascii="Times New Roman" w:hAnsi="Times New Roman" w:eastAsia="Times New Roman" w:cs="Times New Roman"/>
          <w:spacing w:val="1"/>
          <w:sz w:val="24"/>
          <w:szCs w:val="24"/>
        </w:rPr>
        <w:t>QHP i</w:t>
      </w:r>
      <w:r w:rsidRPr="009B4B83" w:rsidR="001E2D63">
        <w:rPr>
          <w:rFonts w:ascii="Times New Roman" w:hAnsi="Times New Roman" w:eastAsia="Times New Roman" w:cs="Times New Roman"/>
          <w:spacing w:val="1"/>
          <w:sz w:val="24"/>
          <w:szCs w:val="24"/>
        </w:rPr>
        <w:t>ssuers</w:t>
      </w:r>
      <w:r w:rsidRPr="009B4B83" w:rsidR="00EA09BF">
        <w:rPr>
          <w:rFonts w:ascii="Times New Roman" w:hAnsi="Times New Roman" w:eastAsia="Times New Roman" w:cs="Times New Roman"/>
          <w:spacing w:val="1"/>
          <w:sz w:val="24"/>
          <w:szCs w:val="24"/>
        </w:rPr>
        <w:t xml:space="preserve"> must</w:t>
      </w:r>
      <w:r w:rsidRPr="009B4B83" w:rsidR="001E2D63">
        <w:rPr>
          <w:rFonts w:ascii="Times New Roman" w:hAnsi="Times New Roman" w:eastAsia="Times New Roman" w:cs="Times New Roman"/>
          <w:spacing w:val="1"/>
          <w:sz w:val="24"/>
          <w:szCs w:val="24"/>
        </w:rPr>
        <w:t xml:space="preserve"> send an entirely separate monthly bill to the </w:t>
      </w:r>
      <w:r w:rsidRPr="009B4B83" w:rsidR="00210CD9">
        <w:rPr>
          <w:rFonts w:ascii="Times New Roman" w:hAnsi="Times New Roman" w:eastAsia="Times New Roman" w:cs="Times New Roman"/>
          <w:spacing w:val="1"/>
          <w:sz w:val="24"/>
          <w:szCs w:val="24"/>
        </w:rPr>
        <w:t xml:space="preserve">policy </w:t>
      </w:r>
      <w:r w:rsidRPr="009B4B83" w:rsidR="00EA09BF">
        <w:rPr>
          <w:rFonts w:ascii="Times New Roman" w:hAnsi="Times New Roman" w:eastAsia="Times New Roman" w:cs="Times New Roman"/>
          <w:spacing w:val="1"/>
          <w:sz w:val="24"/>
          <w:szCs w:val="24"/>
        </w:rPr>
        <w:t xml:space="preserve">holder </w:t>
      </w:r>
      <w:r w:rsidRPr="009B4B83" w:rsidR="001E2D63">
        <w:rPr>
          <w:rFonts w:ascii="Times New Roman" w:hAnsi="Times New Roman" w:eastAsia="Times New Roman" w:cs="Times New Roman"/>
          <w:spacing w:val="1"/>
          <w:sz w:val="24"/>
          <w:szCs w:val="24"/>
        </w:rPr>
        <w:t>for only the portion of premium attributable to non-Hyde abortion coverage</w:t>
      </w:r>
      <w:r w:rsidRPr="009B4B83" w:rsidR="00EA09BF">
        <w:rPr>
          <w:rFonts w:ascii="Times New Roman" w:hAnsi="Times New Roman" w:eastAsia="Times New Roman" w:cs="Times New Roman"/>
          <w:spacing w:val="1"/>
          <w:sz w:val="24"/>
          <w:szCs w:val="24"/>
        </w:rPr>
        <w:t>;</w:t>
      </w:r>
      <w:r w:rsidRPr="009B4B83" w:rsidR="001E2D63">
        <w:rPr>
          <w:rFonts w:ascii="Times New Roman" w:hAnsi="Times New Roman" w:eastAsia="Times New Roman" w:cs="Times New Roman"/>
          <w:spacing w:val="1"/>
          <w:sz w:val="24"/>
          <w:szCs w:val="24"/>
        </w:rPr>
        <w:t xml:space="preserve"> </w:t>
      </w:r>
    </w:p>
    <w:p w:rsidR="00EA09BF" w:rsidP="002A5D53" w:rsidRDefault="00EA09BF" w14:paraId="5FFF6E9D" w14:textId="77777777">
      <w:pPr>
        <w:pStyle w:val="ListParagraph"/>
        <w:numPr>
          <w:ilvl w:val="0"/>
          <w:numId w:val="2"/>
        </w:numPr>
        <w:spacing w:after="0" w:line="240" w:lineRule="auto"/>
        <w:ind w:left="720" w:right="29"/>
        <w:rPr>
          <w:rFonts w:ascii="Times New Roman" w:hAnsi="Times New Roman" w:eastAsia="Times New Roman" w:cs="Times New Roman"/>
          <w:spacing w:val="1"/>
          <w:sz w:val="24"/>
          <w:szCs w:val="24"/>
        </w:rPr>
      </w:pPr>
      <w:r w:rsidRPr="00EA09BF">
        <w:rPr>
          <w:rFonts w:ascii="Times New Roman" w:hAnsi="Times New Roman" w:eastAsia="Times New Roman" w:cs="Times New Roman"/>
          <w:spacing w:val="1"/>
          <w:sz w:val="24"/>
          <w:szCs w:val="24"/>
        </w:rPr>
        <w:t xml:space="preserve">QHP issuers are permitted to send this separate bill in the same mailing as the bill for the other portions of the policy holder’s premium when sending the bill in an envelope; </w:t>
      </w:r>
    </w:p>
    <w:p w:rsidR="00EA09BF" w:rsidP="002A5D53" w:rsidRDefault="00EA09BF" w14:paraId="311BC94A" w14:textId="77777777">
      <w:pPr>
        <w:pStyle w:val="ListParagraph"/>
        <w:numPr>
          <w:ilvl w:val="0"/>
          <w:numId w:val="2"/>
        </w:numPr>
        <w:spacing w:after="0" w:line="240" w:lineRule="auto"/>
        <w:ind w:left="720" w:right="29"/>
        <w:rPr>
          <w:rFonts w:ascii="Times New Roman" w:hAnsi="Times New Roman" w:eastAsia="Times New Roman" w:cs="Times New Roman"/>
          <w:spacing w:val="1"/>
          <w:sz w:val="24"/>
          <w:szCs w:val="24"/>
        </w:rPr>
      </w:pPr>
      <w:r w:rsidRPr="00EA09BF">
        <w:rPr>
          <w:rFonts w:ascii="Times New Roman" w:hAnsi="Times New Roman" w:eastAsia="Times New Roman" w:cs="Times New Roman"/>
          <w:spacing w:val="1"/>
          <w:sz w:val="24"/>
          <w:szCs w:val="24"/>
        </w:rPr>
        <w:t xml:space="preserve">QHP issuers sending bills through email or other electronic means must send the separate bill in a separate email or electronic communication from the bill for the other portions of the policy holder’s premium; </w:t>
      </w:r>
    </w:p>
    <w:p w:rsidR="00871DCB" w:rsidP="002A5D53" w:rsidRDefault="00EA09BF" w14:paraId="4DFADFCF" w14:textId="77777777">
      <w:pPr>
        <w:pStyle w:val="ListParagraph"/>
        <w:numPr>
          <w:ilvl w:val="0"/>
          <w:numId w:val="2"/>
        </w:numPr>
        <w:spacing w:after="0" w:line="240" w:lineRule="auto"/>
        <w:ind w:left="720" w:right="29"/>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 xml:space="preserve">QHP </w:t>
      </w:r>
      <w:r w:rsidRPr="00EA09BF">
        <w:rPr>
          <w:rFonts w:ascii="Times New Roman" w:hAnsi="Times New Roman" w:eastAsia="Times New Roman" w:cs="Times New Roman"/>
          <w:spacing w:val="1"/>
          <w:sz w:val="24"/>
          <w:szCs w:val="24"/>
        </w:rPr>
        <w:t>issuers must instruct policy holders to pay the portion of their premium attributable to non-Hyde abortion coverage in a separate transaction from any payment the policy holder makes for the portion of their premium not attributable to non-Hyde abortion</w:t>
      </w:r>
      <w:r w:rsidR="009B4B83">
        <w:rPr>
          <w:rFonts w:ascii="Times New Roman" w:hAnsi="Times New Roman" w:eastAsia="Times New Roman" w:cs="Times New Roman"/>
          <w:spacing w:val="1"/>
          <w:sz w:val="24"/>
          <w:szCs w:val="24"/>
        </w:rPr>
        <w:t xml:space="preserve">. However, </w:t>
      </w:r>
      <w:r w:rsidRPr="009B4B83" w:rsidR="009B4B83">
        <w:rPr>
          <w:rFonts w:ascii="Times New Roman" w:hAnsi="Times New Roman" w:eastAsia="Times New Roman" w:cs="Times New Roman"/>
          <w:spacing w:val="1"/>
          <w:sz w:val="24"/>
          <w:szCs w:val="24"/>
        </w:rPr>
        <w:t>if the policy holder fails to pay each of these amounts in a separate transaction as instructed by the issuer, the issuer may not initiate a grace period or terminate the policy holder’s QHP coverage on this basis</w:t>
      </w:r>
      <w:r w:rsidRPr="00EA09BF">
        <w:rPr>
          <w:rFonts w:ascii="Times New Roman" w:hAnsi="Times New Roman" w:eastAsia="Times New Roman" w:cs="Times New Roman"/>
          <w:spacing w:val="1"/>
          <w:sz w:val="24"/>
          <w:szCs w:val="24"/>
        </w:rPr>
        <w:t xml:space="preserve">; </w:t>
      </w:r>
      <w:r w:rsidR="009B4B83">
        <w:rPr>
          <w:rFonts w:ascii="Times New Roman" w:hAnsi="Times New Roman" w:eastAsia="Times New Roman" w:cs="Times New Roman"/>
          <w:spacing w:val="1"/>
          <w:sz w:val="24"/>
          <w:szCs w:val="24"/>
        </w:rPr>
        <w:t>and</w:t>
      </w:r>
    </w:p>
    <w:p w:rsidR="00871DCB" w:rsidP="002A5D53" w:rsidRDefault="009B4B83" w14:paraId="25BBE59B" w14:textId="00B7FC6F">
      <w:pPr>
        <w:pStyle w:val="ListParagraph"/>
        <w:numPr>
          <w:ilvl w:val="0"/>
          <w:numId w:val="2"/>
        </w:numPr>
        <w:spacing w:after="0" w:line="240" w:lineRule="auto"/>
        <w:ind w:left="720" w:right="29"/>
        <w:rPr>
          <w:rFonts w:ascii="Times New Roman" w:hAnsi="Times New Roman" w:eastAsia="Times New Roman" w:cs="Times New Roman"/>
          <w:spacing w:val="1"/>
          <w:sz w:val="24"/>
          <w:szCs w:val="24"/>
        </w:rPr>
      </w:pPr>
      <w:r w:rsidRPr="00871DCB">
        <w:rPr>
          <w:rFonts w:ascii="Times New Roman" w:hAnsi="Times New Roman" w:eastAsia="Times New Roman" w:cs="Times New Roman"/>
          <w:spacing w:val="1"/>
          <w:sz w:val="24"/>
          <w:szCs w:val="24"/>
        </w:rPr>
        <w:t>QHP issuers will be required to begin complying with this policy on</w:t>
      </w:r>
      <w:r w:rsidR="006A40AF">
        <w:rPr>
          <w:rFonts w:ascii="Times New Roman" w:hAnsi="Times New Roman" w:eastAsia="Times New Roman" w:cs="Times New Roman"/>
          <w:spacing w:val="1"/>
          <w:sz w:val="24"/>
          <w:szCs w:val="24"/>
        </w:rPr>
        <w:t xml:space="preserve"> or before</w:t>
      </w:r>
      <w:r w:rsidR="00871DCB">
        <w:rPr>
          <w:rFonts w:ascii="Times New Roman" w:hAnsi="Times New Roman" w:eastAsia="Times New Roman" w:cs="Times New Roman"/>
          <w:spacing w:val="1"/>
          <w:sz w:val="24"/>
          <w:szCs w:val="24"/>
        </w:rPr>
        <w:t xml:space="preserve"> </w:t>
      </w:r>
      <w:r w:rsidRPr="003777E6" w:rsidR="003777E6">
        <w:rPr>
          <w:rFonts w:ascii="Times New Roman" w:hAnsi="Times New Roman" w:eastAsia="Times New Roman" w:cs="Times New Roman"/>
          <w:spacing w:val="1"/>
          <w:sz w:val="24"/>
          <w:szCs w:val="24"/>
        </w:rPr>
        <w:t xml:space="preserve">the first billing cycle following </w:t>
      </w:r>
      <w:r w:rsidR="006A40AF">
        <w:rPr>
          <w:rFonts w:ascii="Times New Roman" w:hAnsi="Times New Roman" w:eastAsia="Times New Roman" w:cs="Times New Roman"/>
          <w:spacing w:val="1"/>
          <w:sz w:val="24"/>
          <w:szCs w:val="24"/>
        </w:rPr>
        <w:t>the date that is 6 months after publication of the final rule</w:t>
      </w:r>
      <w:r w:rsidR="00871DCB">
        <w:rPr>
          <w:rFonts w:ascii="Times New Roman" w:hAnsi="Times New Roman" w:eastAsia="Times New Roman" w:cs="Times New Roman"/>
          <w:spacing w:val="1"/>
          <w:sz w:val="24"/>
          <w:szCs w:val="24"/>
        </w:rPr>
        <w:t xml:space="preserve">. </w:t>
      </w:r>
    </w:p>
    <w:p w:rsidR="00871DCB" w:rsidRDefault="00871DCB" w14:paraId="1403DB62" w14:textId="77777777">
      <w:pPr>
        <w:spacing w:after="0" w:line="240" w:lineRule="auto"/>
        <w:rPr>
          <w:rFonts w:ascii="Times New Roman" w:hAnsi="Times New Roman" w:eastAsia="Times New Roman" w:cs="Times New Roman"/>
          <w:spacing w:val="1"/>
          <w:sz w:val="24"/>
          <w:szCs w:val="24"/>
        </w:rPr>
      </w:pPr>
    </w:p>
    <w:p w:rsidRPr="00871DCB" w:rsidR="00085AB1" w:rsidP="002A5D53" w:rsidRDefault="00507F2B" w14:paraId="4870E1F6" w14:textId="066BAE97">
      <w:pPr>
        <w:spacing w:after="0" w:line="240" w:lineRule="auto"/>
        <w:ind w:right="29"/>
        <w:rPr>
          <w:rFonts w:ascii="Times New Roman" w:hAnsi="Times New Roman" w:eastAsia="Times New Roman" w:cs="Times New Roman"/>
          <w:spacing w:val="1"/>
          <w:sz w:val="24"/>
          <w:szCs w:val="24"/>
        </w:rPr>
      </w:pPr>
      <w:r w:rsidRPr="00871DCB">
        <w:rPr>
          <w:rFonts w:ascii="Times New Roman" w:hAnsi="Times New Roman" w:eastAsia="Times New Roman" w:cs="Times New Roman"/>
          <w:spacing w:val="1"/>
          <w:sz w:val="24"/>
          <w:szCs w:val="24"/>
        </w:rPr>
        <w:lastRenderedPageBreak/>
        <w:t xml:space="preserve">To reflect </w:t>
      </w:r>
      <w:r w:rsidRPr="00871DCB" w:rsidR="00F85ACD">
        <w:rPr>
          <w:rFonts w:ascii="Times New Roman" w:hAnsi="Times New Roman" w:eastAsia="Times New Roman" w:cs="Times New Roman"/>
          <w:spacing w:val="1"/>
          <w:sz w:val="24"/>
          <w:szCs w:val="24"/>
        </w:rPr>
        <w:t>the final rule</w:t>
      </w:r>
      <w:r w:rsidRPr="00871DCB">
        <w:rPr>
          <w:rFonts w:ascii="Times New Roman" w:hAnsi="Times New Roman" w:eastAsia="Times New Roman" w:cs="Times New Roman"/>
          <w:spacing w:val="1"/>
          <w:sz w:val="24"/>
          <w:szCs w:val="24"/>
        </w:rPr>
        <w:t xml:space="preserve">, </w:t>
      </w:r>
      <w:r w:rsidRPr="00871DCB" w:rsidR="00085AB1">
        <w:rPr>
          <w:rFonts w:ascii="Times New Roman" w:hAnsi="Times New Roman" w:eastAsia="Times New Roman" w:cs="Times New Roman"/>
          <w:spacing w:val="1"/>
          <w:sz w:val="24"/>
          <w:szCs w:val="24"/>
        </w:rPr>
        <w:t>C</w:t>
      </w:r>
      <w:r w:rsidRPr="00871DCB" w:rsidR="00085AB1">
        <w:rPr>
          <w:rFonts w:ascii="Times New Roman" w:hAnsi="Times New Roman" w:eastAsia="Times New Roman" w:cs="Times New Roman"/>
          <w:sz w:val="24"/>
          <w:szCs w:val="24"/>
        </w:rPr>
        <w:t>MS</w:t>
      </w:r>
      <w:r w:rsidRPr="00871DCB" w:rsidR="00085AB1">
        <w:rPr>
          <w:rFonts w:ascii="Times New Roman" w:hAnsi="Times New Roman" w:eastAsia="Times New Roman" w:cs="Times New Roman"/>
          <w:spacing w:val="1"/>
          <w:sz w:val="24"/>
          <w:szCs w:val="24"/>
        </w:rPr>
        <w:t xml:space="preserve"> </w:t>
      </w:r>
      <w:r w:rsidRPr="00871DCB" w:rsidR="00F855A6">
        <w:rPr>
          <w:rFonts w:ascii="Times New Roman" w:hAnsi="Times New Roman" w:eastAsia="Times New Roman" w:cs="Times New Roman"/>
          <w:sz w:val="24"/>
          <w:szCs w:val="24"/>
        </w:rPr>
        <w:t xml:space="preserve">is </w:t>
      </w:r>
      <w:r w:rsidRPr="00871DCB" w:rsidR="00F85ACD">
        <w:rPr>
          <w:rFonts w:ascii="Times New Roman" w:hAnsi="Times New Roman" w:eastAsia="Times New Roman" w:cs="Times New Roman"/>
          <w:sz w:val="24"/>
          <w:szCs w:val="24"/>
        </w:rPr>
        <w:t>amending the proposed</w:t>
      </w:r>
      <w:r w:rsidRPr="00871DCB" w:rsidR="00085AB1">
        <w:rPr>
          <w:rFonts w:ascii="Times New Roman" w:hAnsi="Times New Roman" w:eastAsia="Times New Roman" w:cs="Times New Roman"/>
          <w:spacing w:val="-2"/>
          <w:sz w:val="24"/>
          <w:szCs w:val="24"/>
        </w:rPr>
        <w:t xml:space="preserve"> </w:t>
      </w:r>
      <w:r w:rsidR="00871DCB">
        <w:rPr>
          <w:rFonts w:ascii="Times New Roman" w:hAnsi="Times New Roman" w:eastAsia="Times New Roman" w:cs="Times New Roman"/>
          <w:spacing w:val="1"/>
          <w:sz w:val="24"/>
          <w:szCs w:val="24"/>
        </w:rPr>
        <w:t>ICRs</w:t>
      </w:r>
      <w:r w:rsidR="00871DCB">
        <w:rPr>
          <w:rFonts w:ascii="Times New Roman" w:hAnsi="Times New Roman" w:eastAsia="Times New Roman" w:cs="Times New Roman"/>
          <w:sz w:val="24"/>
          <w:szCs w:val="24"/>
        </w:rPr>
        <w:t xml:space="preserve"> </w:t>
      </w:r>
      <w:r w:rsidRPr="00871DCB">
        <w:rPr>
          <w:rFonts w:ascii="Times New Roman" w:hAnsi="Times New Roman" w:eastAsia="Times New Roman" w:cs="Times New Roman"/>
          <w:sz w:val="24"/>
          <w:szCs w:val="24"/>
        </w:rPr>
        <w:t>to</w:t>
      </w:r>
      <w:r w:rsidRPr="00871DCB" w:rsidR="00085AB1">
        <w:rPr>
          <w:rFonts w:ascii="Times New Roman" w:hAnsi="Times New Roman" w:eastAsia="Times New Roman" w:cs="Times New Roman"/>
          <w:spacing w:val="2"/>
          <w:sz w:val="24"/>
          <w:szCs w:val="24"/>
        </w:rPr>
        <w:t xml:space="preserve"> </w:t>
      </w:r>
      <w:r w:rsidRPr="00871DCB" w:rsidR="00F85ACD">
        <w:rPr>
          <w:rFonts w:ascii="Times New Roman" w:hAnsi="Times New Roman" w:eastAsia="Times New Roman" w:cs="Times New Roman"/>
          <w:spacing w:val="2"/>
          <w:sz w:val="24"/>
          <w:szCs w:val="24"/>
        </w:rPr>
        <w:t xml:space="preserve">reflect the finalized policies and to </w:t>
      </w:r>
      <w:r w:rsidRPr="00871DCB" w:rsidR="000B08B6">
        <w:rPr>
          <w:rFonts w:ascii="Times New Roman" w:hAnsi="Times New Roman" w:eastAsia="Times New Roman" w:cs="Times New Roman"/>
          <w:sz w:val="24"/>
          <w:szCs w:val="24"/>
        </w:rPr>
        <w:t xml:space="preserve">account for the </w:t>
      </w:r>
      <w:r w:rsidRPr="00871DCB" w:rsidR="00F85ACD">
        <w:rPr>
          <w:rFonts w:ascii="Times New Roman" w:hAnsi="Times New Roman" w:eastAsia="Times New Roman" w:cs="Times New Roman"/>
          <w:sz w:val="24"/>
          <w:szCs w:val="24"/>
        </w:rPr>
        <w:t xml:space="preserve">revised </w:t>
      </w:r>
      <w:r w:rsidRPr="00871DCB" w:rsidR="000B08B6">
        <w:rPr>
          <w:rFonts w:ascii="Times New Roman" w:hAnsi="Times New Roman" w:eastAsia="Times New Roman" w:cs="Times New Roman"/>
          <w:sz w:val="24"/>
          <w:szCs w:val="24"/>
        </w:rPr>
        <w:t>burden to</w:t>
      </w:r>
      <w:r w:rsidRPr="00871DCB" w:rsidR="00650D54">
        <w:rPr>
          <w:rFonts w:ascii="Times New Roman" w:hAnsi="Times New Roman" w:eastAsia="Times New Roman" w:cs="Times New Roman"/>
          <w:sz w:val="24"/>
          <w:szCs w:val="24"/>
        </w:rPr>
        <w:t xml:space="preserve"> QHP</w:t>
      </w:r>
      <w:r w:rsidRPr="00871DCB" w:rsidR="000B08B6">
        <w:rPr>
          <w:rFonts w:ascii="Times New Roman" w:hAnsi="Times New Roman" w:eastAsia="Times New Roman" w:cs="Times New Roman"/>
          <w:sz w:val="24"/>
          <w:szCs w:val="24"/>
        </w:rPr>
        <w:t xml:space="preserve"> issuers for </w:t>
      </w:r>
      <w:r w:rsidRPr="00871DCB" w:rsidR="00F85ACD">
        <w:rPr>
          <w:rFonts w:ascii="Times New Roman" w:hAnsi="Times New Roman" w:eastAsia="Times New Roman" w:cs="Times New Roman"/>
          <w:sz w:val="24"/>
          <w:szCs w:val="24"/>
        </w:rPr>
        <w:t>implementing the separate billing policy</w:t>
      </w:r>
      <w:r w:rsidRPr="00871DCB" w:rsidR="00085AB1">
        <w:rPr>
          <w:rFonts w:ascii="Times New Roman" w:hAnsi="Times New Roman" w:eastAsia="Times New Roman" w:cs="Times New Roman"/>
          <w:sz w:val="24"/>
          <w:szCs w:val="24"/>
        </w:rPr>
        <w:t>.</w:t>
      </w:r>
    </w:p>
    <w:p w:rsidRPr="00AE7E08" w:rsidR="00085AB1" w:rsidP="00085AB1" w:rsidRDefault="00085AB1" w14:paraId="2D996958" w14:textId="77777777">
      <w:pPr>
        <w:widowControl w:val="0"/>
        <w:spacing w:before="1" w:after="0" w:line="280" w:lineRule="exact"/>
        <w:rPr>
          <w:rFonts w:ascii="Times New Roman" w:hAnsi="Times New Roman" w:eastAsia="Calibri" w:cs="Times New Roman"/>
          <w:sz w:val="24"/>
          <w:szCs w:val="24"/>
        </w:rPr>
      </w:pPr>
    </w:p>
    <w:p w:rsidRPr="002A5D53" w:rsidR="00085AB1" w:rsidP="002A5D53" w:rsidRDefault="00085AB1" w14:paraId="716B19AD" w14:textId="77777777">
      <w:pPr>
        <w:widowControl w:val="0"/>
        <w:tabs>
          <w:tab w:val="left" w:pos="82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
          <w:bCs/>
          <w:spacing w:val="1"/>
          <w:sz w:val="24"/>
          <w:szCs w:val="24"/>
          <w:u w:val="single"/>
        </w:rPr>
        <w:t>B</w:t>
      </w:r>
      <w:r w:rsidRPr="002A5D53">
        <w:rPr>
          <w:rFonts w:ascii="Times New Roman" w:hAnsi="Times New Roman" w:eastAsia="Times New Roman" w:cs="Times New Roman"/>
          <w:b/>
          <w:bCs/>
          <w:sz w:val="24"/>
          <w:szCs w:val="24"/>
          <w:u w:val="single"/>
        </w:rPr>
        <w:t>.</w:t>
      </w:r>
      <w:r w:rsidRPr="008322AA">
        <w:rPr>
          <w:rFonts w:ascii="Times New Roman" w:hAnsi="Times New Roman" w:eastAsia="Times New Roman" w:cs="Times New Roman"/>
          <w:b/>
          <w:bCs/>
          <w:sz w:val="24"/>
          <w:szCs w:val="24"/>
        </w:rPr>
        <w:tab/>
      </w:r>
      <w:r w:rsidRPr="002A5D53">
        <w:rPr>
          <w:rFonts w:ascii="Times New Roman" w:hAnsi="Times New Roman" w:eastAsia="Times New Roman" w:cs="Times New Roman"/>
          <w:b/>
          <w:bCs/>
          <w:sz w:val="24"/>
          <w:szCs w:val="24"/>
          <w:u w:val="single"/>
        </w:rPr>
        <w:t>J</w:t>
      </w:r>
      <w:r w:rsidRPr="002A5D53">
        <w:rPr>
          <w:rFonts w:ascii="Times New Roman" w:hAnsi="Times New Roman" w:eastAsia="Times New Roman" w:cs="Times New Roman"/>
          <w:b/>
          <w:bCs/>
          <w:spacing w:val="1"/>
          <w:sz w:val="24"/>
          <w:szCs w:val="24"/>
          <w:u w:val="single"/>
        </w:rPr>
        <w:t>u</w:t>
      </w:r>
      <w:r w:rsidRPr="002A5D53">
        <w:rPr>
          <w:rFonts w:ascii="Times New Roman" w:hAnsi="Times New Roman" w:eastAsia="Times New Roman" w:cs="Times New Roman"/>
          <w:b/>
          <w:bCs/>
          <w:sz w:val="24"/>
          <w:szCs w:val="24"/>
          <w:u w:val="single"/>
        </w:rPr>
        <w:t>s</w:t>
      </w:r>
      <w:r w:rsidRPr="002A5D53">
        <w:rPr>
          <w:rFonts w:ascii="Times New Roman" w:hAnsi="Times New Roman" w:eastAsia="Times New Roman" w:cs="Times New Roman"/>
          <w:b/>
          <w:bCs/>
          <w:spacing w:val="-1"/>
          <w:sz w:val="24"/>
          <w:szCs w:val="24"/>
          <w:u w:val="single"/>
        </w:rPr>
        <w:t>t</w:t>
      </w:r>
      <w:r w:rsidRPr="002A5D53">
        <w:rPr>
          <w:rFonts w:ascii="Times New Roman" w:hAnsi="Times New Roman" w:eastAsia="Times New Roman" w:cs="Times New Roman"/>
          <w:b/>
          <w:bCs/>
          <w:sz w:val="24"/>
          <w:szCs w:val="24"/>
          <w:u w:val="single"/>
        </w:rPr>
        <w:t>i</w:t>
      </w:r>
      <w:r w:rsidRPr="002A5D53">
        <w:rPr>
          <w:rFonts w:ascii="Times New Roman" w:hAnsi="Times New Roman" w:eastAsia="Times New Roman" w:cs="Times New Roman"/>
          <w:b/>
          <w:bCs/>
          <w:spacing w:val="-1"/>
          <w:sz w:val="24"/>
          <w:szCs w:val="24"/>
          <w:u w:val="single"/>
        </w:rPr>
        <w:t>f</w:t>
      </w:r>
      <w:r w:rsidRPr="002A5D53">
        <w:rPr>
          <w:rFonts w:ascii="Times New Roman" w:hAnsi="Times New Roman" w:eastAsia="Times New Roman" w:cs="Times New Roman"/>
          <w:b/>
          <w:bCs/>
          <w:sz w:val="24"/>
          <w:szCs w:val="24"/>
          <w:u w:val="single"/>
        </w:rPr>
        <w:t>i</w:t>
      </w:r>
      <w:r w:rsidRPr="002A5D53">
        <w:rPr>
          <w:rFonts w:ascii="Times New Roman" w:hAnsi="Times New Roman" w:eastAsia="Times New Roman" w:cs="Times New Roman"/>
          <w:b/>
          <w:bCs/>
          <w:spacing w:val="-1"/>
          <w:sz w:val="24"/>
          <w:szCs w:val="24"/>
          <w:u w:val="single"/>
        </w:rPr>
        <w:t>c</w:t>
      </w:r>
      <w:r w:rsidRPr="002A5D53">
        <w:rPr>
          <w:rFonts w:ascii="Times New Roman" w:hAnsi="Times New Roman" w:eastAsia="Times New Roman" w:cs="Times New Roman"/>
          <w:b/>
          <w:bCs/>
          <w:spacing w:val="2"/>
          <w:sz w:val="24"/>
          <w:szCs w:val="24"/>
          <w:u w:val="single"/>
        </w:rPr>
        <w:t>a</w:t>
      </w:r>
      <w:r w:rsidRPr="002A5D53">
        <w:rPr>
          <w:rFonts w:ascii="Times New Roman" w:hAnsi="Times New Roman" w:eastAsia="Times New Roman" w:cs="Times New Roman"/>
          <w:b/>
          <w:bCs/>
          <w:spacing w:val="-1"/>
          <w:sz w:val="24"/>
          <w:szCs w:val="24"/>
          <w:u w:val="single"/>
        </w:rPr>
        <w:t>t</w:t>
      </w:r>
      <w:r w:rsidRPr="002A5D53">
        <w:rPr>
          <w:rFonts w:ascii="Times New Roman" w:hAnsi="Times New Roman" w:eastAsia="Times New Roman" w:cs="Times New Roman"/>
          <w:b/>
          <w:bCs/>
          <w:sz w:val="24"/>
          <w:szCs w:val="24"/>
          <w:u w:val="single"/>
        </w:rPr>
        <w:t>ion</w:t>
      </w:r>
    </w:p>
    <w:p w:rsidRPr="00AE7E08" w:rsidR="00085AB1" w:rsidP="00085AB1" w:rsidRDefault="00085AB1" w14:paraId="34C4F158" w14:textId="77777777">
      <w:pPr>
        <w:widowControl w:val="0"/>
        <w:spacing w:before="16" w:after="0" w:line="260" w:lineRule="exact"/>
        <w:rPr>
          <w:rFonts w:ascii="Times New Roman" w:hAnsi="Times New Roman" w:eastAsia="Calibri" w:cs="Times New Roman"/>
          <w:sz w:val="24"/>
          <w:szCs w:val="24"/>
        </w:rPr>
      </w:pPr>
    </w:p>
    <w:p w:rsidRPr="002A5D53" w:rsidR="00085AB1" w:rsidP="002A5D53" w:rsidRDefault="00085AB1" w14:paraId="026B7B3D" w14:textId="767DA923">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Cs/>
          <w:sz w:val="24"/>
          <w:szCs w:val="24"/>
          <w:u w:val="single"/>
        </w:rPr>
        <w:t>1.</w:t>
      </w:r>
      <w:r w:rsidRPr="002A5D53" w:rsidR="008322AA">
        <w:rPr>
          <w:rFonts w:ascii="Times New Roman" w:hAnsi="Times New Roman" w:eastAsia="Times New Roman" w:cs="Times New Roman"/>
          <w:bCs/>
          <w:sz w:val="24"/>
          <w:szCs w:val="24"/>
        </w:rPr>
        <w:tab/>
      </w:r>
      <w:r w:rsidRPr="002A5D53">
        <w:rPr>
          <w:rFonts w:ascii="Times New Roman" w:hAnsi="Times New Roman" w:eastAsia="Times New Roman" w:cs="Times New Roman"/>
          <w:sz w:val="24"/>
          <w:u w:val="single"/>
        </w:rPr>
        <w:t>Need and Legal Basis</w:t>
      </w:r>
    </w:p>
    <w:p w:rsidR="0070652E" w:rsidP="00085AB1" w:rsidRDefault="0070652E" w14:paraId="257578D5" w14:textId="77777777">
      <w:pPr>
        <w:widowControl w:val="0"/>
        <w:spacing w:before="14" w:after="0" w:line="260" w:lineRule="exact"/>
        <w:rPr>
          <w:rFonts w:ascii="Times New Roman" w:hAnsi="Times New Roman" w:eastAsia="Calibri" w:cs="Times New Roman"/>
          <w:b/>
          <w:sz w:val="24"/>
          <w:szCs w:val="24"/>
        </w:rPr>
      </w:pPr>
    </w:p>
    <w:p w:rsidRPr="009B4B83" w:rsidR="0070652E" w:rsidP="002A5D53" w:rsidRDefault="0070652E" w14:paraId="4B22A0A5" w14:textId="3FF1FD1A">
      <w:pPr>
        <w:widowControl w:val="0"/>
        <w:spacing w:before="14" w:after="0" w:line="240" w:lineRule="auto"/>
        <w:ind w:right="29"/>
        <w:rPr>
          <w:rFonts w:ascii="Times New Roman" w:hAnsi="Times New Roman" w:eastAsia="Calibri" w:cs="Times New Roman"/>
          <w:b/>
          <w:sz w:val="24"/>
          <w:szCs w:val="24"/>
        </w:rPr>
      </w:pPr>
      <w:r>
        <w:rPr>
          <w:rFonts w:ascii="Times New Roman" w:hAnsi="Times New Roman" w:eastAsia="Calibri" w:cs="Times New Roman"/>
          <w:b/>
          <w:sz w:val="24"/>
          <w:szCs w:val="24"/>
        </w:rPr>
        <w:t xml:space="preserve">Segregation Plan </w:t>
      </w:r>
    </w:p>
    <w:p w:rsidR="0070652E" w:rsidP="002A5D53" w:rsidRDefault="0070652E" w14:paraId="06B0B608" w14:textId="1A85F0D6">
      <w:pPr>
        <w:widowControl w:val="0"/>
        <w:spacing w:before="14" w:after="0" w:line="240" w:lineRule="auto"/>
        <w:ind w:right="29"/>
        <w:rPr>
          <w:rFonts w:ascii="Times New Roman" w:hAnsi="Times New Roman" w:eastAsia="Calibri" w:cs="Times New Roman"/>
          <w:sz w:val="24"/>
          <w:szCs w:val="24"/>
        </w:rPr>
      </w:pPr>
      <w:r w:rsidRPr="0070652E">
        <w:rPr>
          <w:rFonts w:ascii="Times New Roman" w:hAnsi="Times New Roman" w:eastAsia="Calibri" w:cs="Times New Roman"/>
          <w:sz w:val="24"/>
          <w:szCs w:val="24"/>
        </w:rPr>
        <w:t xml:space="preserve">Under 45 </w:t>
      </w:r>
      <w:r w:rsidR="00D974C1">
        <w:rPr>
          <w:rFonts w:ascii="Times New Roman" w:hAnsi="Times New Roman" w:eastAsia="Calibri" w:cs="Times New Roman"/>
          <w:sz w:val="24"/>
          <w:szCs w:val="24"/>
        </w:rPr>
        <w:t>CFR</w:t>
      </w:r>
      <w:r w:rsidRPr="0070652E">
        <w:rPr>
          <w:rFonts w:ascii="Times New Roman" w:hAnsi="Times New Roman" w:eastAsia="Calibri" w:cs="Times New Roman"/>
          <w:sz w:val="24"/>
          <w:szCs w:val="24"/>
        </w:rPr>
        <w:t xml:space="preserve"> §156.280(e)(5)(ii), each QHP issuer must submit to the State Insurance Commissioner a segregation plan describing how the QHP issuer establishes and maintains separate payment accounts for any QHP covering non-</w:t>
      </w:r>
      <w:r w:rsidR="009B4B83">
        <w:rPr>
          <w:rFonts w:ascii="Times New Roman" w:hAnsi="Times New Roman" w:eastAsia="Calibri" w:cs="Times New Roman"/>
          <w:sz w:val="24"/>
          <w:szCs w:val="24"/>
        </w:rPr>
        <w:t>Hyde</w:t>
      </w:r>
      <w:r w:rsidRPr="0070652E">
        <w:rPr>
          <w:rFonts w:ascii="Times New Roman" w:hAnsi="Times New Roman" w:eastAsia="Calibri" w:cs="Times New Roman"/>
          <w:sz w:val="24"/>
          <w:szCs w:val="24"/>
        </w:rPr>
        <w:t xml:space="preserve"> abortion services. This segregation plan is used to verify that the QHP’s financial and other systems fully conform to the segregation requirements required by the PPACA</w:t>
      </w:r>
    </w:p>
    <w:p w:rsidRPr="0070652E" w:rsidR="0070652E" w:rsidP="002A5D53" w:rsidRDefault="0070652E" w14:paraId="6A670781" w14:textId="77777777">
      <w:pPr>
        <w:widowControl w:val="0"/>
        <w:spacing w:before="14" w:after="0" w:line="240" w:lineRule="auto"/>
        <w:ind w:right="29"/>
        <w:rPr>
          <w:rFonts w:ascii="Times New Roman" w:hAnsi="Times New Roman" w:eastAsia="Calibri" w:cs="Times New Roman"/>
          <w:sz w:val="24"/>
          <w:szCs w:val="24"/>
        </w:rPr>
      </w:pPr>
    </w:p>
    <w:p w:rsidRPr="009B4B83" w:rsidR="0070652E" w:rsidP="002A5D53" w:rsidRDefault="0070652E" w14:paraId="1A85886A" w14:textId="0960A874">
      <w:pPr>
        <w:widowControl w:val="0"/>
        <w:spacing w:before="14" w:after="0" w:line="240" w:lineRule="auto"/>
        <w:ind w:right="29"/>
        <w:rPr>
          <w:rFonts w:ascii="Times New Roman" w:hAnsi="Times New Roman" w:eastAsia="Calibri" w:cs="Times New Roman"/>
          <w:b/>
          <w:sz w:val="24"/>
          <w:szCs w:val="24"/>
        </w:rPr>
      </w:pPr>
      <w:r>
        <w:rPr>
          <w:rFonts w:ascii="Times New Roman" w:hAnsi="Times New Roman" w:eastAsia="Calibri" w:cs="Times New Roman"/>
          <w:b/>
          <w:sz w:val="24"/>
          <w:szCs w:val="24"/>
        </w:rPr>
        <w:t>Separate Billing</w:t>
      </w:r>
    </w:p>
    <w:p w:rsidR="001E2D63" w:rsidP="002A5D53" w:rsidRDefault="001E2D63" w14:paraId="60440CC4" w14:textId="7B61D70B">
      <w:pPr>
        <w:spacing w:line="240" w:lineRule="auto"/>
        <w:ind w:right="29"/>
        <w:rPr>
          <w:rFonts w:ascii="Times New Roman" w:hAnsi="Times New Roman"/>
          <w:sz w:val="24"/>
          <w:szCs w:val="24"/>
        </w:rPr>
      </w:pPr>
      <w:r w:rsidRPr="00AE7E08">
        <w:rPr>
          <w:rFonts w:ascii="Times New Roman" w:hAnsi="Times New Roman"/>
          <w:sz w:val="24"/>
          <w:szCs w:val="24"/>
        </w:rPr>
        <w:t xml:space="preserve">HHS believes that </w:t>
      </w:r>
      <w:r w:rsidRPr="00AE7E08" w:rsidR="002E324A">
        <w:rPr>
          <w:rFonts w:ascii="Times New Roman" w:hAnsi="Times New Roman"/>
          <w:sz w:val="24"/>
          <w:szCs w:val="24"/>
        </w:rPr>
        <w:t xml:space="preserve">some of </w:t>
      </w:r>
      <w:r w:rsidRPr="00AE7E08">
        <w:rPr>
          <w:rFonts w:ascii="Times New Roman" w:hAnsi="Times New Roman"/>
          <w:sz w:val="24"/>
          <w:szCs w:val="24"/>
        </w:rPr>
        <w:t xml:space="preserve">the methods for billing and collection of the separate payment for non-Hyde abortion services noted </w:t>
      </w:r>
      <w:r w:rsidRPr="00AE7E08" w:rsidR="002E324A">
        <w:rPr>
          <w:rFonts w:ascii="Times New Roman" w:hAnsi="Times New Roman"/>
          <w:sz w:val="24"/>
          <w:szCs w:val="24"/>
        </w:rPr>
        <w:t xml:space="preserve">as permissible </w:t>
      </w:r>
      <w:r w:rsidRPr="00AE7E08">
        <w:rPr>
          <w:rFonts w:ascii="Times New Roman" w:hAnsi="Times New Roman"/>
          <w:sz w:val="24"/>
          <w:szCs w:val="24"/>
        </w:rPr>
        <w:t xml:space="preserve">in the </w:t>
      </w:r>
      <w:r w:rsidR="00677059">
        <w:rPr>
          <w:rFonts w:ascii="Times New Roman" w:hAnsi="Times New Roman"/>
          <w:sz w:val="24"/>
          <w:szCs w:val="24"/>
        </w:rPr>
        <w:t xml:space="preserve">preamble to the </w:t>
      </w:r>
      <w:r w:rsidRPr="00AE7E08">
        <w:rPr>
          <w:rFonts w:ascii="Times New Roman" w:hAnsi="Times New Roman"/>
          <w:sz w:val="24"/>
          <w:szCs w:val="24"/>
        </w:rPr>
        <w:t xml:space="preserve">2016 Payment Notice </w:t>
      </w:r>
      <w:r w:rsidRPr="00AE7E08" w:rsidR="002E324A">
        <w:rPr>
          <w:rFonts w:ascii="Times New Roman" w:hAnsi="Times New Roman"/>
          <w:sz w:val="24"/>
          <w:szCs w:val="24"/>
        </w:rPr>
        <w:t>do not adequately reflect what we see as Congressional intent</w:t>
      </w:r>
      <w:r w:rsidRPr="002E324A" w:rsidR="002E324A">
        <w:rPr>
          <w:rFonts w:ascii="Times New Roman" w:hAnsi="Times New Roman"/>
          <w:sz w:val="24"/>
          <w:szCs w:val="24"/>
        </w:rPr>
        <w:t xml:space="preserve"> that the </w:t>
      </w:r>
      <w:r w:rsidR="00650D54">
        <w:rPr>
          <w:rFonts w:ascii="Times New Roman" w:hAnsi="Times New Roman"/>
          <w:sz w:val="24"/>
          <w:szCs w:val="24"/>
        </w:rPr>
        <w:t xml:space="preserve">QHP </w:t>
      </w:r>
      <w:r w:rsidRPr="002E324A" w:rsidR="002E324A">
        <w:rPr>
          <w:rFonts w:ascii="Times New Roman" w:hAnsi="Times New Roman"/>
          <w:sz w:val="24"/>
          <w:szCs w:val="24"/>
        </w:rPr>
        <w:t>issuer bill separately for two distinct (i.e., “separate”) payments, one for the non-Hyde abortion services at issue, and one for all other services covered under the policy, rather than simply itemizing these two components of a single total billed amount or notifying the enrollee, at or soon after the time of enrollment, that the monthly invoice or bill will include a separate charge for these services.</w:t>
      </w:r>
      <w:r w:rsidR="00C749F0">
        <w:rPr>
          <w:rFonts w:ascii="Times New Roman" w:hAnsi="Times New Roman"/>
          <w:sz w:val="24"/>
          <w:szCs w:val="24"/>
        </w:rPr>
        <w:t xml:space="preserve"> </w:t>
      </w:r>
      <w:r w:rsidRPr="002E324A" w:rsidR="002E324A">
        <w:rPr>
          <w:rFonts w:ascii="Times New Roman" w:hAnsi="Times New Roman"/>
          <w:sz w:val="24"/>
          <w:szCs w:val="24"/>
        </w:rPr>
        <w:t>Although we recognize that itemizing or providing advance notice about the amounts arguably identifies two “separate” amounts for two separate purposes, we believe that the statute contemplates issuers billing for two separate “payments” of these two amounts (e.g., two different checks or two distinct transactions)</w:t>
      </w:r>
      <w:r w:rsidRPr="00E21555" w:rsidR="00E21555">
        <w:rPr>
          <w:rFonts w:ascii="Times New Roman" w:hAnsi="Times New Roman"/>
          <w:sz w:val="24"/>
          <w:szCs w:val="24"/>
        </w:rPr>
        <w:t>, consistent with the requirement on issuers in section 1303(b)(2)(B)(i) of the PPACA to collect two separate payments</w:t>
      </w:r>
      <w:r w:rsidR="00AF4A2E">
        <w:rPr>
          <w:rFonts w:ascii="Times New Roman" w:hAnsi="Times New Roman"/>
          <w:sz w:val="24"/>
          <w:szCs w:val="24"/>
        </w:rPr>
        <w:t xml:space="preserve">. </w:t>
      </w:r>
    </w:p>
    <w:p w:rsidRPr="00AE7E08" w:rsidR="00F536DC" w:rsidP="002A5D53" w:rsidRDefault="002E324A" w14:paraId="7D48C996" w14:textId="0F3A97DF">
      <w:pPr>
        <w:tabs>
          <w:tab w:val="left" w:pos="0"/>
        </w:tabs>
        <w:spacing w:line="240" w:lineRule="auto"/>
        <w:ind w:right="29"/>
        <w:rPr>
          <w:rFonts w:ascii="Times New Roman" w:hAnsi="Times New Roman"/>
          <w:sz w:val="24"/>
          <w:szCs w:val="24"/>
        </w:rPr>
      </w:pPr>
      <w:r w:rsidRPr="002E324A">
        <w:rPr>
          <w:rFonts w:ascii="Times New Roman" w:hAnsi="Times New Roman"/>
          <w:sz w:val="24"/>
          <w:szCs w:val="24"/>
        </w:rPr>
        <w:t>HHS thus believes that requiring</w:t>
      </w:r>
      <w:r w:rsidR="00E21555">
        <w:rPr>
          <w:rFonts w:ascii="Times New Roman" w:hAnsi="Times New Roman"/>
          <w:sz w:val="24"/>
          <w:szCs w:val="24"/>
        </w:rPr>
        <w:t xml:space="preserve"> QHP</w:t>
      </w:r>
      <w:r w:rsidRPr="002E324A">
        <w:rPr>
          <w:rFonts w:ascii="Times New Roman" w:hAnsi="Times New Roman"/>
          <w:sz w:val="24"/>
          <w:szCs w:val="24"/>
        </w:rPr>
        <w:t xml:space="preserve"> issuers to separately bill the portion of the </w:t>
      </w:r>
      <w:r w:rsidR="0060752B">
        <w:rPr>
          <w:rFonts w:ascii="Times New Roman" w:hAnsi="Times New Roman"/>
          <w:sz w:val="24"/>
          <w:szCs w:val="24"/>
        </w:rPr>
        <w:t xml:space="preserve">policy </w:t>
      </w:r>
      <w:r w:rsidR="00551838">
        <w:rPr>
          <w:rFonts w:ascii="Times New Roman" w:hAnsi="Times New Roman"/>
          <w:sz w:val="24"/>
          <w:szCs w:val="24"/>
        </w:rPr>
        <w:t xml:space="preserve">holder’s </w:t>
      </w:r>
      <w:r w:rsidRPr="002E324A">
        <w:rPr>
          <w:rFonts w:ascii="Times New Roman" w:hAnsi="Times New Roman"/>
          <w:sz w:val="24"/>
          <w:szCs w:val="24"/>
        </w:rPr>
        <w:t xml:space="preserve">premium attributable to non-Hyde abortion </w:t>
      </w:r>
      <w:r w:rsidRPr="00B3077A">
        <w:rPr>
          <w:rFonts w:ascii="Times New Roman" w:hAnsi="Times New Roman"/>
          <w:sz w:val="24"/>
          <w:szCs w:val="24"/>
        </w:rPr>
        <w:t xml:space="preserve">services </w:t>
      </w:r>
      <w:r w:rsidRPr="00B3077A" w:rsidR="001661DC">
        <w:rPr>
          <w:rFonts w:ascii="Times New Roman" w:hAnsi="Times New Roman"/>
          <w:sz w:val="24"/>
          <w:szCs w:val="24"/>
        </w:rPr>
        <w:t xml:space="preserve">in a separate mailing or separate electronic communication </w:t>
      </w:r>
      <w:r w:rsidRPr="00B3077A">
        <w:rPr>
          <w:rFonts w:ascii="Times New Roman" w:hAnsi="Times New Roman"/>
          <w:sz w:val="24"/>
          <w:szCs w:val="24"/>
        </w:rPr>
        <w:t xml:space="preserve">and instruct </w:t>
      </w:r>
      <w:r w:rsidRPr="00B3077A" w:rsidR="0060752B">
        <w:rPr>
          <w:rFonts w:ascii="Times New Roman" w:hAnsi="Times New Roman"/>
          <w:sz w:val="24"/>
          <w:szCs w:val="24"/>
        </w:rPr>
        <w:t xml:space="preserve">policy </w:t>
      </w:r>
      <w:r w:rsidR="00551838">
        <w:rPr>
          <w:rFonts w:ascii="Times New Roman" w:hAnsi="Times New Roman"/>
          <w:sz w:val="24"/>
          <w:szCs w:val="24"/>
        </w:rPr>
        <w:t>holders</w:t>
      </w:r>
      <w:r w:rsidRPr="00B3077A" w:rsidR="00551838">
        <w:rPr>
          <w:rFonts w:ascii="Times New Roman" w:hAnsi="Times New Roman"/>
          <w:sz w:val="24"/>
          <w:szCs w:val="24"/>
        </w:rPr>
        <w:t xml:space="preserve"> </w:t>
      </w:r>
      <w:r w:rsidRPr="00B3077A">
        <w:rPr>
          <w:rFonts w:ascii="Times New Roman" w:hAnsi="Times New Roman"/>
          <w:sz w:val="24"/>
          <w:szCs w:val="24"/>
        </w:rPr>
        <w:t>to make a separate payment for this amount is a better implementation of the statutory requirement for</w:t>
      </w:r>
      <w:r w:rsidR="00E21555">
        <w:rPr>
          <w:rFonts w:ascii="Times New Roman" w:hAnsi="Times New Roman"/>
          <w:sz w:val="24"/>
          <w:szCs w:val="24"/>
        </w:rPr>
        <w:t xml:space="preserve"> QHP</w:t>
      </w:r>
      <w:r w:rsidRPr="002E324A">
        <w:rPr>
          <w:rFonts w:ascii="Times New Roman" w:hAnsi="Times New Roman"/>
          <w:sz w:val="24"/>
          <w:szCs w:val="24"/>
        </w:rPr>
        <w:t xml:space="preserve"> issuers to collect a separate payment for these services.  </w:t>
      </w:r>
    </w:p>
    <w:p w:rsidRPr="00B3077A" w:rsidR="00CB470C" w:rsidP="002A5D53" w:rsidRDefault="009B4B83" w14:paraId="633F8562" w14:textId="7E03CE06">
      <w:pPr>
        <w:widowControl w:val="0"/>
        <w:spacing w:after="0" w:line="240" w:lineRule="auto"/>
        <w:ind w:right="29"/>
        <w:rPr>
          <w:rFonts w:ascii="Times New Roman" w:hAnsi="Times New Roman"/>
          <w:sz w:val="24"/>
          <w:szCs w:val="24"/>
        </w:rPr>
      </w:pPr>
      <w:r>
        <w:rPr>
          <w:rFonts w:ascii="Times New Roman" w:hAnsi="Times New Roman" w:eastAsia="Times New Roman" w:cs="Times New Roman"/>
          <w:sz w:val="24"/>
          <w:szCs w:val="24"/>
        </w:rPr>
        <w:t>We are finalizing at</w:t>
      </w:r>
      <w:r w:rsidRPr="00B3077A" w:rsidR="00F536DC">
        <w:rPr>
          <w:rFonts w:ascii="Times New Roman" w:hAnsi="Times New Roman" w:eastAsia="Times New Roman" w:cs="Times New Roman"/>
          <w:sz w:val="24"/>
          <w:szCs w:val="24"/>
        </w:rPr>
        <w:t xml:space="preserve"> </w:t>
      </w:r>
      <w:r w:rsidRPr="00B3077A" w:rsidR="00F855A6">
        <w:rPr>
          <w:rFonts w:ascii="Times New Roman" w:hAnsi="Times New Roman"/>
          <w:sz w:val="24"/>
          <w:szCs w:val="24"/>
        </w:rPr>
        <w:t>§156.280(e)(2)</w:t>
      </w:r>
      <w:r>
        <w:rPr>
          <w:rFonts w:ascii="Times New Roman" w:hAnsi="Times New Roman"/>
          <w:sz w:val="24"/>
          <w:szCs w:val="24"/>
        </w:rPr>
        <w:t>(ii) that</w:t>
      </w:r>
      <w:r w:rsidRPr="00B3077A" w:rsidR="00CB470C">
        <w:rPr>
          <w:rFonts w:ascii="Times New Roman" w:hAnsi="Times New Roman"/>
          <w:sz w:val="24"/>
          <w:szCs w:val="24"/>
        </w:rPr>
        <w:t xml:space="preserve"> </w:t>
      </w:r>
      <w:r w:rsidRPr="00B3077A" w:rsidR="00E21555">
        <w:rPr>
          <w:rFonts w:ascii="Times New Roman" w:hAnsi="Times New Roman"/>
          <w:sz w:val="24"/>
          <w:szCs w:val="24"/>
        </w:rPr>
        <w:t xml:space="preserve">QHP </w:t>
      </w:r>
      <w:r w:rsidRPr="00B3077A" w:rsidR="00CB470C">
        <w:rPr>
          <w:rFonts w:ascii="Times New Roman" w:hAnsi="Times New Roman"/>
          <w:sz w:val="24"/>
          <w:szCs w:val="24"/>
        </w:rPr>
        <w:t xml:space="preserve">issuers </w:t>
      </w:r>
      <w:r>
        <w:rPr>
          <w:rFonts w:ascii="Times New Roman" w:hAnsi="Times New Roman"/>
          <w:sz w:val="24"/>
          <w:szCs w:val="24"/>
        </w:rPr>
        <w:t xml:space="preserve">offering coverage for non-Hyde abortion services </w:t>
      </w:r>
      <w:r w:rsidRPr="00B3077A" w:rsidR="00CB470C">
        <w:rPr>
          <w:rFonts w:ascii="Times New Roman" w:hAnsi="Times New Roman"/>
          <w:sz w:val="24"/>
          <w:szCs w:val="24"/>
        </w:rPr>
        <w:t xml:space="preserve">would be required to separately bill for and </w:t>
      </w:r>
      <w:r w:rsidRPr="00B3077A" w:rsidR="00642543">
        <w:rPr>
          <w:rFonts w:ascii="Times New Roman" w:hAnsi="Times New Roman"/>
          <w:sz w:val="24"/>
          <w:szCs w:val="24"/>
        </w:rPr>
        <w:t xml:space="preserve">instruct </w:t>
      </w:r>
      <w:r w:rsidRPr="00B3077A" w:rsidR="00E21555">
        <w:rPr>
          <w:rFonts w:ascii="Times New Roman" w:hAnsi="Times New Roman"/>
          <w:sz w:val="24"/>
          <w:szCs w:val="24"/>
        </w:rPr>
        <w:t xml:space="preserve">policy </w:t>
      </w:r>
      <w:r w:rsidR="00551838">
        <w:rPr>
          <w:rFonts w:ascii="Times New Roman" w:hAnsi="Times New Roman"/>
          <w:sz w:val="24"/>
          <w:szCs w:val="24"/>
        </w:rPr>
        <w:t>holders</w:t>
      </w:r>
      <w:r w:rsidRPr="00B3077A" w:rsidR="00551838">
        <w:rPr>
          <w:rFonts w:ascii="Times New Roman" w:hAnsi="Times New Roman"/>
          <w:sz w:val="24"/>
          <w:szCs w:val="24"/>
        </w:rPr>
        <w:t xml:space="preserve"> </w:t>
      </w:r>
      <w:r w:rsidRPr="00B3077A" w:rsidR="0067455D">
        <w:rPr>
          <w:rFonts w:ascii="Times New Roman" w:hAnsi="Times New Roman"/>
          <w:sz w:val="24"/>
          <w:szCs w:val="24"/>
        </w:rPr>
        <w:t>to separately pay for</w:t>
      </w:r>
      <w:r w:rsidRPr="00B3077A" w:rsidR="00CB470C">
        <w:rPr>
          <w:rFonts w:ascii="Times New Roman" w:hAnsi="Times New Roman"/>
          <w:sz w:val="24"/>
          <w:szCs w:val="24"/>
        </w:rPr>
        <w:t xml:space="preserve"> the portion of the enrollee’s premium </w:t>
      </w:r>
      <w:r w:rsidRPr="00B3077A" w:rsidR="00DA40A3">
        <w:rPr>
          <w:rFonts w:ascii="Times New Roman" w:hAnsi="Times New Roman"/>
          <w:sz w:val="24"/>
          <w:szCs w:val="24"/>
        </w:rPr>
        <w:t>attribut</w:t>
      </w:r>
      <w:r w:rsidR="00DA40A3">
        <w:rPr>
          <w:rFonts w:ascii="Times New Roman" w:hAnsi="Times New Roman"/>
          <w:sz w:val="24"/>
          <w:szCs w:val="24"/>
        </w:rPr>
        <w:t xml:space="preserve">able </w:t>
      </w:r>
      <w:r w:rsidRPr="00B3077A" w:rsidR="00CB470C">
        <w:rPr>
          <w:rFonts w:ascii="Times New Roman" w:hAnsi="Times New Roman"/>
          <w:sz w:val="24"/>
          <w:szCs w:val="24"/>
        </w:rPr>
        <w:t xml:space="preserve">to non-Hyde abortion services. </w:t>
      </w:r>
      <w:r w:rsidRPr="00B3077A" w:rsidR="00795F28">
        <w:rPr>
          <w:rFonts w:ascii="Times New Roman" w:hAnsi="Times New Roman"/>
          <w:sz w:val="24"/>
          <w:szCs w:val="24"/>
        </w:rPr>
        <w:t xml:space="preserve">Under this </w:t>
      </w:r>
      <w:r w:rsidR="00055305">
        <w:rPr>
          <w:rFonts w:ascii="Times New Roman" w:hAnsi="Times New Roman"/>
          <w:sz w:val="24"/>
          <w:szCs w:val="24"/>
        </w:rPr>
        <w:t>policy</w:t>
      </w:r>
      <w:r w:rsidRPr="00B3077A" w:rsidR="00795F28">
        <w:rPr>
          <w:rFonts w:ascii="Times New Roman" w:hAnsi="Times New Roman"/>
          <w:sz w:val="24"/>
          <w:szCs w:val="24"/>
        </w:rPr>
        <w:t xml:space="preserve">, </w:t>
      </w:r>
      <w:r w:rsidRPr="00B3077A" w:rsidR="00E21555">
        <w:rPr>
          <w:rFonts w:ascii="Times New Roman" w:hAnsi="Times New Roman"/>
          <w:sz w:val="24"/>
          <w:szCs w:val="24"/>
        </w:rPr>
        <w:t>QHP i</w:t>
      </w:r>
      <w:r w:rsidRPr="00B3077A" w:rsidR="00CB470C">
        <w:rPr>
          <w:rFonts w:ascii="Times New Roman" w:hAnsi="Times New Roman"/>
          <w:sz w:val="24"/>
          <w:szCs w:val="24"/>
        </w:rPr>
        <w:t xml:space="preserve">ssuers </w:t>
      </w:r>
      <w:r w:rsidRPr="00B3077A" w:rsidR="00BF42DD">
        <w:rPr>
          <w:rFonts w:ascii="Times New Roman" w:hAnsi="Times New Roman"/>
          <w:sz w:val="24"/>
          <w:szCs w:val="24"/>
        </w:rPr>
        <w:t xml:space="preserve">would </w:t>
      </w:r>
      <w:r>
        <w:rPr>
          <w:rFonts w:ascii="Times New Roman" w:hAnsi="Times New Roman"/>
          <w:sz w:val="24"/>
          <w:szCs w:val="24"/>
        </w:rPr>
        <w:t>be permitted</w:t>
      </w:r>
      <w:r w:rsidRPr="00B3077A" w:rsidR="00BF42DD">
        <w:rPr>
          <w:rFonts w:ascii="Times New Roman" w:hAnsi="Times New Roman"/>
          <w:sz w:val="24"/>
          <w:szCs w:val="24"/>
        </w:rPr>
        <w:t xml:space="preserve"> to send this separate bill in </w:t>
      </w:r>
      <w:r>
        <w:rPr>
          <w:rFonts w:ascii="Times New Roman" w:hAnsi="Times New Roman"/>
          <w:sz w:val="24"/>
          <w:szCs w:val="24"/>
        </w:rPr>
        <w:t>the same</w:t>
      </w:r>
      <w:r w:rsidRPr="00B3077A" w:rsidR="00BF42DD">
        <w:rPr>
          <w:rFonts w:ascii="Times New Roman" w:hAnsi="Times New Roman"/>
          <w:sz w:val="24"/>
          <w:szCs w:val="24"/>
        </w:rPr>
        <w:t xml:space="preserve"> mailing </w:t>
      </w:r>
      <w:r>
        <w:rPr>
          <w:rFonts w:ascii="Times New Roman" w:hAnsi="Times New Roman"/>
          <w:sz w:val="24"/>
          <w:szCs w:val="24"/>
        </w:rPr>
        <w:t>as the bill for the rest of the policy holder’s premium but, if sending bills electronically, would be required to send the bill in a separate email or electronic communication</w:t>
      </w:r>
      <w:r w:rsidR="00AF4A2E">
        <w:rPr>
          <w:rFonts w:ascii="Times New Roman" w:hAnsi="Times New Roman"/>
          <w:sz w:val="24"/>
          <w:szCs w:val="24"/>
        </w:rPr>
        <w:t xml:space="preserve">. </w:t>
      </w:r>
      <w:r>
        <w:rPr>
          <w:rFonts w:ascii="Times New Roman" w:hAnsi="Times New Roman"/>
          <w:sz w:val="24"/>
          <w:szCs w:val="24"/>
        </w:rPr>
        <w:t>The</w:t>
      </w:r>
      <w:r w:rsidRPr="00B3077A" w:rsidR="00BF42DD">
        <w:rPr>
          <w:rFonts w:ascii="Times New Roman" w:hAnsi="Times New Roman"/>
          <w:sz w:val="24"/>
          <w:szCs w:val="24"/>
        </w:rPr>
        <w:t xml:space="preserve"> </w:t>
      </w:r>
      <w:r w:rsidRPr="00B3077A" w:rsidR="00E21555">
        <w:rPr>
          <w:rFonts w:ascii="Times New Roman" w:hAnsi="Times New Roman"/>
          <w:sz w:val="24"/>
          <w:szCs w:val="24"/>
        </w:rPr>
        <w:t xml:space="preserve">QHP </w:t>
      </w:r>
      <w:r w:rsidRPr="00B3077A" w:rsidR="00BF42DD">
        <w:rPr>
          <w:rFonts w:ascii="Times New Roman" w:hAnsi="Times New Roman"/>
          <w:sz w:val="24"/>
          <w:szCs w:val="24"/>
        </w:rPr>
        <w:t xml:space="preserve">issuer would </w:t>
      </w:r>
      <w:r w:rsidRPr="00B3077A" w:rsidR="00795F28">
        <w:rPr>
          <w:rFonts w:ascii="Times New Roman" w:hAnsi="Times New Roman"/>
          <w:sz w:val="24"/>
          <w:szCs w:val="24"/>
        </w:rPr>
        <w:t xml:space="preserve">also </w:t>
      </w:r>
      <w:r w:rsidRPr="00B3077A" w:rsidR="00BF42DD">
        <w:rPr>
          <w:rFonts w:ascii="Times New Roman" w:hAnsi="Times New Roman"/>
          <w:sz w:val="24"/>
          <w:szCs w:val="24"/>
        </w:rPr>
        <w:t xml:space="preserve">be required to produce an invoice or bill that is distinctly separate from the invoice or bill for the other portion of the consumer’s premium that is not attributable to non-Hyde abortion coverage, whether in paper or electronic format.  </w:t>
      </w:r>
    </w:p>
    <w:p w:rsidRPr="002133FF" w:rsidR="00CB470C" w:rsidP="002A5D53" w:rsidRDefault="00CB470C" w14:paraId="1C41FC26" w14:textId="77777777">
      <w:pPr>
        <w:widowControl w:val="0"/>
        <w:spacing w:after="0" w:line="240" w:lineRule="auto"/>
        <w:ind w:right="29"/>
        <w:rPr>
          <w:rFonts w:ascii="Times New Roman" w:hAnsi="Times New Roman"/>
          <w:sz w:val="24"/>
          <w:szCs w:val="24"/>
        </w:rPr>
      </w:pPr>
    </w:p>
    <w:p w:rsidRPr="00B3077A" w:rsidR="00BF42DD" w:rsidP="002A5D53" w:rsidRDefault="00650D54" w14:paraId="6D5382C8" w14:textId="76A89859">
      <w:pPr>
        <w:widowControl w:val="0"/>
        <w:spacing w:after="0" w:line="240" w:lineRule="auto"/>
        <w:ind w:right="29"/>
        <w:rPr>
          <w:rFonts w:ascii="Times New Roman" w:hAnsi="Times New Roman"/>
          <w:sz w:val="24"/>
          <w:szCs w:val="24"/>
        </w:rPr>
      </w:pPr>
      <w:r w:rsidRPr="00B3077A">
        <w:rPr>
          <w:rFonts w:ascii="Times New Roman" w:hAnsi="Times New Roman"/>
          <w:sz w:val="24"/>
          <w:szCs w:val="24"/>
        </w:rPr>
        <w:t>QHP i</w:t>
      </w:r>
      <w:r w:rsidRPr="00B3077A" w:rsidR="00CB470C">
        <w:rPr>
          <w:rFonts w:ascii="Times New Roman" w:hAnsi="Times New Roman"/>
          <w:sz w:val="24"/>
          <w:szCs w:val="24"/>
        </w:rPr>
        <w:t xml:space="preserve">ssuers </w:t>
      </w:r>
      <w:r w:rsidRPr="00B3077A" w:rsidR="005D768C">
        <w:rPr>
          <w:rFonts w:ascii="Times New Roman" w:hAnsi="Times New Roman"/>
          <w:sz w:val="24"/>
          <w:szCs w:val="24"/>
        </w:rPr>
        <w:t xml:space="preserve">must instruct </w:t>
      </w:r>
      <w:r w:rsidRPr="00B3077A">
        <w:rPr>
          <w:rFonts w:ascii="Times New Roman" w:hAnsi="Times New Roman"/>
          <w:sz w:val="24"/>
          <w:szCs w:val="24"/>
        </w:rPr>
        <w:t xml:space="preserve">policy </w:t>
      </w:r>
      <w:r w:rsidR="00551838">
        <w:rPr>
          <w:rFonts w:ascii="Times New Roman" w:hAnsi="Times New Roman"/>
          <w:sz w:val="24"/>
          <w:szCs w:val="24"/>
        </w:rPr>
        <w:t>holders</w:t>
      </w:r>
      <w:r w:rsidRPr="00B3077A" w:rsidR="00551838">
        <w:rPr>
          <w:rFonts w:ascii="Times New Roman" w:hAnsi="Times New Roman"/>
          <w:sz w:val="24"/>
          <w:szCs w:val="24"/>
        </w:rPr>
        <w:t xml:space="preserve"> </w:t>
      </w:r>
      <w:r w:rsidRPr="00B3077A" w:rsidR="005D768C">
        <w:rPr>
          <w:rFonts w:ascii="Times New Roman" w:hAnsi="Times New Roman"/>
          <w:sz w:val="24"/>
          <w:szCs w:val="24"/>
        </w:rPr>
        <w:t xml:space="preserve">to pay the separately billed or invoiced portion of the premium for non-Hyde abortion coverage in a transaction separate from the transaction for payment of the other portion of the </w:t>
      </w:r>
      <w:r w:rsidRPr="00B3077A">
        <w:rPr>
          <w:rFonts w:ascii="Times New Roman" w:hAnsi="Times New Roman"/>
          <w:sz w:val="24"/>
          <w:szCs w:val="24"/>
        </w:rPr>
        <w:t xml:space="preserve">policy </w:t>
      </w:r>
      <w:r w:rsidR="00551838">
        <w:rPr>
          <w:rFonts w:ascii="Times New Roman" w:hAnsi="Times New Roman"/>
          <w:sz w:val="24"/>
          <w:szCs w:val="24"/>
        </w:rPr>
        <w:t>holder’s</w:t>
      </w:r>
      <w:r w:rsidRPr="00B3077A" w:rsidR="00551838">
        <w:rPr>
          <w:rFonts w:ascii="Times New Roman" w:hAnsi="Times New Roman"/>
          <w:sz w:val="24"/>
          <w:szCs w:val="24"/>
        </w:rPr>
        <w:t xml:space="preserve"> </w:t>
      </w:r>
      <w:r w:rsidRPr="00B3077A" w:rsidR="005D768C">
        <w:rPr>
          <w:rFonts w:ascii="Times New Roman" w:hAnsi="Times New Roman"/>
          <w:sz w:val="24"/>
          <w:szCs w:val="24"/>
        </w:rPr>
        <w:t xml:space="preserve">premium that is not attributable to non-Hyde abortion coverage and </w:t>
      </w:r>
      <w:r w:rsidRPr="00B3077A" w:rsidR="00BF42DD">
        <w:rPr>
          <w:rFonts w:ascii="Times New Roman" w:hAnsi="Times New Roman"/>
          <w:sz w:val="24"/>
          <w:szCs w:val="24"/>
        </w:rPr>
        <w:t>make reasonable efforts to collect the payment separately</w:t>
      </w:r>
      <w:r w:rsidR="00AF4A2E">
        <w:rPr>
          <w:rFonts w:ascii="Times New Roman" w:hAnsi="Times New Roman"/>
          <w:sz w:val="24"/>
          <w:szCs w:val="24"/>
        </w:rPr>
        <w:t xml:space="preserve">. </w:t>
      </w:r>
      <w:r w:rsidRPr="009B4B83" w:rsidR="009B4B83">
        <w:rPr>
          <w:rFonts w:ascii="Times New Roman" w:hAnsi="Times New Roman"/>
          <w:sz w:val="24"/>
          <w:szCs w:val="24"/>
        </w:rPr>
        <w:t xml:space="preserve">However, if the policy holder fails to </w:t>
      </w:r>
      <w:r w:rsidRPr="009B4B83" w:rsidR="009B4B83">
        <w:rPr>
          <w:rFonts w:ascii="Times New Roman" w:hAnsi="Times New Roman"/>
          <w:sz w:val="24"/>
          <w:szCs w:val="24"/>
        </w:rPr>
        <w:lastRenderedPageBreak/>
        <w:t>pay each of these amounts in a separate transaction as instructed by the issuer, the issuer may not initiate a grace period or terminate the policy holder’s QHP coverage on this basis</w:t>
      </w:r>
      <w:r w:rsidR="008640E6">
        <w:rPr>
          <w:rFonts w:ascii="Times New Roman" w:hAnsi="Times New Roman"/>
          <w:sz w:val="24"/>
          <w:szCs w:val="24"/>
        </w:rPr>
        <w:t>.</w:t>
      </w:r>
    </w:p>
    <w:p w:rsidRPr="00B3077A" w:rsidR="00D72BC8" w:rsidP="00D72BC8" w:rsidRDefault="00D72BC8" w14:paraId="026442A6" w14:textId="77777777">
      <w:pPr>
        <w:spacing w:before="6" w:after="0" w:line="280" w:lineRule="exact"/>
        <w:rPr>
          <w:rFonts w:ascii="Times New Roman" w:hAnsi="Times New Roman" w:cs="Times New Roman"/>
          <w:sz w:val="24"/>
          <w:szCs w:val="24"/>
        </w:rPr>
      </w:pPr>
    </w:p>
    <w:p w:rsidRPr="002A5D53" w:rsidR="00D72BC8" w:rsidP="002A5D53" w:rsidRDefault="00D72BC8" w14:paraId="5B5D9A5E" w14:textId="77777777">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Cs/>
          <w:sz w:val="24"/>
          <w:szCs w:val="24"/>
          <w:u w:val="single"/>
        </w:rPr>
        <w:t>2.</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Information Uses</w:t>
      </w:r>
    </w:p>
    <w:p w:rsidRPr="008F589E" w:rsidR="00D72BC8" w:rsidP="00D72BC8" w:rsidRDefault="00D72BC8" w14:paraId="30F7ED9B" w14:textId="77777777">
      <w:pPr>
        <w:spacing w:before="6" w:after="0" w:line="260" w:lineRule="exact"/>
        <w:rPr>
          <w:rFonts w:ascii="Times New Roman" w:hAnsi="Times New Roman" w:cs="Times New Roman"/>
          <w:sz w:val="24"/>
          <w:szCs w:val="24"/>
        </w:rPr>
      </w:pPr>
    </w:p>
    <w:p w:rsidR="0070652E" w:rsidP="002A5D53" w:rsidRDefault="000E3069" w14:paraId="0008BBFA" w14:textId="15071F08">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Segregation Plan</w:t>
      </w:r>
    </w:p>
    <w:p w:rsidRPr="0070652E" w:rsidR="0070652E" w:rsidP="002A5D53" w:rsidRDefault="0070652E" w14:paraId="7DA876F0" w14:textId="4675EB6E">
      <w:pPr>
        <w:spacing w:after="0" w:line="240" w:lineRule="auto"/>
        <w:ind w:right="29"/>
        <w:rPr>
          <w:rFonts w:ascii="Times New Roman" w:hAnsi="Times New Roman" w:eastAsia="Times New Roman" w:cs="Times New Roman"/>
          <w:sz w:val="24"/>
          <w:szCs w:val="24"/>
        </w:rPr>
      </w:pPr>
      <w:r w:rsidRPr="0070652E">
        <w:rPr>
          <w:rFonts w:ascii="Times New Roman" w:hAnsi="Times New Roman" w:eastAsia="Times New Roman" w:cs="Times New Roman"/>
          <w:sz w:val="24"/>
          <w:szCs w:val="24"/>
        </w:rPr>
        <w:t>The data collection and reporting requirements further compliance with federal law. The ICR involved in this PRA package relates to</w:t>
      </w:r>
      <w:r w:rsidR="008640E6">
        <w:rPr>
          <w:rFonts w:ascii="Times New Roman" w:hAnsi="Times New Roman" w:eastAsia="Times New Roman" w:cs="Times New Roman"/>
          <w:sz w:val="24"/>
          <w:szCs w:val="24"/>
        </w:rPr>
        <w:t xml:space="preserve"> non-Hyde abortion services</w:t>
      </w:r>
      <w:r w:rsidRPr="0070652E">
        <w:rPr>
          <w:rFonts w:ascii="Times New Roman" w:hAnsi="Times New Roman" w:eastAsia="Times New Roman" w:cs="Times New Roman"/>
          <w:sz w:val="24"/>
          <w:szCs w:val="24"/>
        </w:rPr>
        <w:t>. A QHP issuer that provides coverage of non-</w:t>
      </w:r>
      <w:r w:rsidR="009B4B83">
        <w:rPr>
          <w:rFonts w:ascii="Times New Roman" w:hAnsi="Times New Roman" w:eastAsia="Times New Roman" w:cs="Times New Roman"/>
          <w:sz w:val="24"/>
          <w:szCs w:val="24"/>
        </w:rPr>
        <w:t xml:space="preserve">Hyde </w:t>
      </w:r>
      <w:r w:rsidRPr="0070652E">
        <w:rPr>
          <w:rFonts w:ascii="Times New Roman" w:hAnsi="Times New Roman" w:eastAsia="Times New Roman" w:cs="Times New Roman"/>
          <w:sz w:val="24"/>
          <w:szCs w:val="24"/>
        </w:rPr>
        <w:t>abortion as described in §156.280(d)(1) must ensure that no premium tax credit or cost-sharing reduction funds are used to pay for non-</w:t>
      </w:r>
      <w:r w:rsidR="009B4B83">
        <w:rPr>
          <w:rFonts w:ascii="Times New Roman" w:hAnsi="Times New Roman" w:eastAsia="Times New Roman" w:cs="Times New Roman"/>
          <w:sz w:val="24"/>
          <w:szCs w:val="24"/>
        </w:rPr>
        <w:t>Hyde</w:t>
      </w:r>
      <w:r w:rsidRPr="0070652E">
        <w:rPr>
          <w:rFonts w:ascii="Times New Roman" w:hAnsi="Times New Roman" w:eastAsia="Times New Roman" w:cs="Times New Roman"/>
          <w:sz w:val="24"/>
          <w:szCs w:val="24"/>
        </w:rPr>
        <w:t xml:space="preserve"> abortions.</w:t>
      </w:r>
    </w:p>
    <w:p w:rsidRPr="0070652E" w:rsidR="0070652E" w:rsidP="002A5D53" w:rsidRDefault="0070652E" w14:paraId="42E7BE2A" w14:textId="77777777">
      <w:pPr>
        <w:spacing w:after="0" w:line="240" w:lineRule="auto"/>
        <w:ind w:right="29"/>
        <w:rPr>
          <w:rFonts w:ascii="Times New Roman" w:hAnsi="Times New Roman" w:eastAsia="Times New Roman" w:cs="Times New Roman"/>
          <w:sz w:val="24"/>
          <w:szCs w:val="24"/>
        </w:rPr>
      </w:pPr>
    </w:p>
    <w:p w:rsidR="0070652E" w:rsidP="002A5D53" w:rsidRDefault="0070652E" w14:paraId="70E65A7D" w14:textId="7D5DA53E">
      <w:pPr>
        <w:spacing w:after="0" w:line="240" w:lineRule="auto"/>
        <w:ind w:right="29"/>
        <w:rPr>
          <w:rFonts w:ascii="Times New Roman" w:hAnsi="Times New Roman" w:eastAsia="Times New Roman" w:cs="Times New Roman"/>
          <w:sz w:val="24"/>
          <w:szCs w:val="24"/>
        </w:rPr>
      </w:pPr>
      <w:r w:rsidRPr="0070652E">
        <w:rPr>
          <w:rFonts w:ascii="Times New Roman" w:hAnsi="Times New Roman" w:eastAsia="Times New Roman" w:cs="Times New Roman"/>
          <w:sz w:val="24"/>
          <w:szCs w:val="24"/>
        </w:rPr>
        <w:t>A QHP issuer providing coverage for non-</w:t>
      </w:r>
      <w:r w:rsidR="009B4B83">
        <w:rPr>
          <w:rFonts w:ascii="Times New Roman" w:hAnsi="Times New Roman" w:eastAsia="Times New Roman" w:cs="Times New Roman"/>
          <w:sz w:val="24"/>
          <w:szCs w:val="24"/>
        </w:rPr>
        <w:t>Hyde</w:t>
      </w:r>
      <w:r w:rsidRPr="0070652E">
        <w:rPr>
          <w:rFonts w:ascii="Times New Roman" w:hAnsi="Times New Roman" w:eastAsia="Times New Roman" w:cs="Times New Roman"/>
          <w:sz w:val="24"/>
          <w:szCs w:val="24"/>
        </w:rPr>
        <w:t xml:space="preserve"> abortions must, within stated parameters, segregate funds collected for such coverage into a separate allocation account used exclusively to pay for non-</w:t>
      </w:r>
      <w:r w:rsidR="009B4B83">
        <w:rPr>
          <w:rFonts w:ascii="Times New Roman" w:hAnsi="Times New Roman" w:eastAsia="Times New Roman" w:cs="Times New Roman"/>
          <w:sz w:val="24"/>
          <w:szCs w:val="24"/>
        </w:rPr>
        <w:t>Hyde</w:t>
      </w:r>
      <w:r w:rsidRPr="0070652E">
        <w:rPr>
          <w:rFonts w:ascii="Times New Roman" w:hAnsi="Times New Roman" w:eastAsia="Times New Roman" w:cs="Times New Roman"/>
          <w:sz w:val="24"/>
          <w:szCs w:val="24"/>
        </w:rPr>
        <w:t xml:space="preserve"> abortion services. The QHP issuer’s segregation plan and annual attestation are sent to the State Insurance Commissioner to verify that the QHP issuer’s financial and other systems fully conform to the segregation requirements and section 1303 of the PPACA.</w:t>
      </w:r>
    </w:p>
    <w:p w:rsidRPr="000E3069" w:rsidR="0070652E" w:rsidP="002A5D53" w:rsidRDefault="0070652E" w14:paraId="7D74B084" w14:textId="77777777">
      <w:pPr>
        <w:spacing w:after="0" w:line="240" w:lineRule="auto"/>
        <w:ind w:right="29"/>
        <w:rPr>
          <w:rFonts w:ascii="Times New Roman" w:hAnsi="Times New Roman" w:eastAsia="Times New Roman" w:cs="Times New Roman"/>
          <w:sz w:val="24"/>
          <w:szCs w:val="24"/>
        </w:rPr>
      </w:pPr>
    </w:p>
    <w:p w:rsidRPr="000E3069" w:rsidR="0070652E" w:rsidP="002A5D53" w:rsidRDefault="000E3069" w14:paraId="6CF7CDD6" w14:textId="54A740C9">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Separate Billing</w:t>
      </w:r>
    </w:p>
    <w:p w:rsidRPr="00B3077A" w:rsidR="00D72BC8" w:rsidP="002A5D53" w:rsidRDefault="003B7B36" w14:paraId="32631B8A" w14:textId="7D5A54EA">
      <w:pPr>
        <w:spacing w:after="0" w:line="240" w:lineRule="auto"/>
        <w:ind w:right="29"/>
        <w:rPr>
          <w:rFonts w:ascii="Times New Roman" w:hAnsi="Times New Roman" w:eastAsia="Times New Roman" w:cs="Times New Roman"/>
          <w:sz w:val="24"/>
          <w:szCs w:val="24"/>
        </w:rPr>
      </w:pPr>
      <w:r w:rsidRPr="00B3077A">
        <w:rPr>
          <w:rFonts w:ascii="Times New Roman" w:hAnsi="Times New Roman" w:eastAsia="Times New Roman" w:cs="Times New Roman"/>
          <w:sz w:val="24"/>
          <w:szCs w:val="24"/>
        </w:rPr>
        <w:t>Requiring</w:t>
      </w:r>
      <w:r w:rsidRPr="00B3077A" w:rsidR="00650D54">
        <w:rPr>
          <w:rFonts w:ascii="Times New Roman" w:hAnsi="Times New Roman" w:eastAsia="Times New Roman" w:cs="Times New Roman"/>
          <w:sz w:val="24"/>
          <w:szCs w:val="24"/>
        </w:rPr>
        <w:t xml:space="preserve"> QHP</w:t>
      </w:r>
      <w:r w:rsidRPr="00B3077A">
        <w:rPr>
          <w:rFonts w:ascii="Times New Roman" w:hAnsi="Times New Roman" w:eastAsia="Times New Roman" w:cs="Times New Roman"/>
          <w:sz w:val="24"/>
          <w:szCs w:val="24"/>
        </w:rPr>
        <w:t xml:space="preserve"> issuers to separately</w:t>
      </w:r>
      <w:r w:rsidRPr="00B3077A" w:rsidR="00CB470C">
        <w:rPr>
          <w:rFonts w:ascii="Times New Roman" w:hAnsi="Times New Roman" w:eastAsia="Times New Roman" w:cs="Times New Roman"/>
          <w:sz w:val="24"/>
          <w:szCs w:val="24"/>
        </w:rPr>
        <w:t xml:space="preserve"> bill for the portion of the premium attributable to non-Hyde abortion coverage</w:t>
      </w:r>
      <w:r w:rsidRPr="00B3077A">
        <w:rPr>
          <w:rFonts w:ascii="Times New Roman" w:hAnsi="Times New Roman" w:eastAsia="Times New Roman" w:cs="Times New Roman"/>
          <w:sz w:val="24"/>
          <w:szCs w:val="24"/>
        </w:rPr>
        <w:t xml:space="preserve"> </w:t>
      </w:r>
      <w:r w:rsidRPr="00B3077A" w:rsidR="008938DF">
        <w:rPr>
          <w:rFonts w:ascii="Times New Roman" w:hAnsi="Times New Roman"/>
          <w:sz w:val="24"/>
          <w:szCs w:val="24"/>
        </w:rPr>
        <w:t>in a separate mailing or separate electronic communication</w:t>
      </w:r>
      <w:r w:rsidRPr="00B3077A" w:rsidR="008938DF">
        <w:rPr>
          <w:rFonts w:ascii="Times New Roman" w:hAnsi="Times New Roman" w:eastAsia="Times New Roman" w:cs="Times New Roman"/>
          <w:sz w:val="24"/>
          <w:szCs w:val="24"/>
        </w:rPr>
        <w:t xml:space="preserve"> </w:t>
      </w:r>
      <w:r w:rsidRPr="00B3077A">
        <w:rPr>
          <w:rFonts w:ascii="Times New Roman" w:hAnsi="Times New Roman" w:eastAsia="Times New Roman" w:cs="Times New Roman"/>
          <w:sz w:val="24"/>
          <w:szCs w:val="24"/>
        </w:rPr>
        <w:t>and instruct</w:t>
      </w:r>
      <w:r w:rsidRPr="00B3077A" w:rsidR="00CB470C">
        <w:rPr>
          <w:rFonts w:ascii="Times New Roman" w:hAnsi="Times New Roman" w:eastAsia="Times New Roman" w:cs="Times New Roman"/>
          <w:sz w:val="24"/>
          <w:szCs w:val="24"/>
        </w:rPr>
        <w:t xml:space="preserve"> </w:t>
      </w:r>
      <w:r w:rsidRPr="00B3077A" w:rsidR="00650D54">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holders</w:t>
      </w:r>
      <w:r w:rsidRPr="00B3077A" w:rsidR="00551838">
        <w:rPr>
          <w:rFonts w:ascii="Times New Roman" w:hAnsi="Times New Roman" w:eastAsia="Times New Roman" w:cs="Times New Roman"/>
          <w:sz w:val="24"/>
          <w:szCs w:val="24"/>
        </w:rPr>
        <w:t xml:space="preserve"> </w:t>
      </w:r>
      <w:r w:rsidRPr="00B3077A">
        <w:rPr>
          <w:rFonts w:ascii="Times New Roman" w:hAnsi="Times New Roman" w:eastAsia="Times New Roman" w:cs="Times New Roman"/>
          <w:sz w:val="24"/>
          <w:szCs w:val="24"/>
        </w:rPr>
        <w:t xml:space="preserve">to pay for this portion of their premium in a </w:t>
      </w:r>
      <w:r w:rsidRPr="00B3077A" w:rsidR="00CB470C">
        <w:rPr>
          <w:rFonts w:ascii="Times New Roman" w:hAnsi="Times New Roman" w:eastAsia="Times New Roman" w:cs="Times New Roman"/>
          <w:sz w:val="24"/>
          <w:szCs w:val="24"/>
        </w:rPr>
        <w:t xml:space="preserve">separate transaction from any payment the </w:t>
      </w:r>
      <w:r w:rsidRPr="00B3077A" w:rsidR="00650D54">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holder</w:t>
      </w:r>
      <w:r w:rsidRPr="00B3077A" w:rsidR="00551838">
        <w:rPr>
          <w:rFonts w:ascii="Times New Roman" w:hAnsi="Times New Roman" w:eastAsia="Times New Roman" w:cs="Times New Roman"/>
          <w:sz w:val="24"/>
          <w:szCs w:val="24"/>
        </w:rPr>
        <w:t xml:space="preserve"> </w:t>
      </w:r>
      <w:r w:rsidRPr="00B3077A" w:rsidR="00CB470C">
        <w:rPr>
          <w:rFonts w:ascii="Times New Roman" w:hAnsi="Times New Roman" w:eastAsia="Times New Roman" w:cs="Times New Roman"/>
          <w:sz w:val="24"/>
          <w:szCs w:val="24"/>
        </w:rPr>
        <w:t>makes for the portions of the premium not attributable to coverage for non-Hyde abortion services</w:t>
      </w:r>
      <w:r w:rsidRPr="00B3077A">
        <w:rPr>
          <w:sz w:val="24"/>
          <w:szCs w:val="24"/>
        </w:rPr>
        <w:t xml:space="preserve"> </w:t>
      </w:r>
      <w:r w:rsidRPr="00B3077A">
        <w:rPr>
          <w:rFonts w:ascii="Times New Roman" w:hAnsi="Times New Roman" w:eastAsia="Times New Roman" w:cs="Times New Roman"/>
          <w:sz w:val="24"/>
          <w:szCs w:val="24"/>
        </w:rPr>
        <w:t>will better align the regulatory requirements for issuer billing of enrollee premiums with the separate payment requirement in section 1303</w:t>
      </w:r>
      <w:r w:rsidRPr="00B3077A" w:rsidR="00D72BC8">
        <w:rPr>
          <w:rFonts w:ascii="Times New Roman" w:hAnsi="Times New Roman" w:eastAsia="Times New Roman" w:cs="Times New Roman"/>
          <w:sz w:val="24"/>
          <w:szCs w:val="24"/>
        </w:rPr>
        <w:t xml:space="preserve">.  </w:t>
      </w:r>
    </w:p>
    <w:p w:rsidR="00C50DFA" w:rsidP="002A5D53" w:rsidRDefault="00C50DFA" w14:paraId="79FFA5BF" w14:textId="4A74BD9B">
      <w:pPr>
        <w:spacing w:after="0" w:line="240" w:lineRule="auto"/>
        <w:ind w:right="29"/>
        <w:rPr>
          <w:rFonts w:ascii="Times New Roman" w:hAnsi="Times New Roman" w:eastAsia="Times New Roman" w:cs="Times New Roman"/>
          <w:sz w:val="24"/>
          <w:szCs w:val="24"/>
        </w:rPr>
      </w:pPr>
    </w:p>
    <w:p w:rsidRPr="00B3077A" w:rsidR="00C50DFA" w:rsidP="002A5D53" w:rsidRDefault="00617C1A" w14:paraId="7B9ABDE5" w14:textId="186478F8">
      <w:pPr>
        <w:spacing w:after="0" w:line="240" w:lineRule="auto"/>
        <w:ind w:right="2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implement this </w:t>
      </w:r>
      <w:r w:rsidR="005719A8">
        <w:rPr>
          <w:rFonts w:ascii="Times New Roman" w:hAnsi="Times New Roman" w:eastAsia="Times New Roman" w:cs="Times New Roman"/>
          <w:sz w:val="24"/>
          <w:szCs w:val="24"/>
        </w:rPr>
        <w:t>policy</w:t>
      </w:r>
      <w:r>
        <w:rPr>
          <w:rFonts w:ascii="Times New Roman" w:hAnsi="Times New Roman" w:eastAsia="Times New Roman" w:cs="Times New Roman"/>
          <w:sz w:val="24"/>
          <w:szCs w:val="24"/>
        </w:rPr>
        <w:t xml:space="preserve">, </w:t>
      </w:r>
      <w:r w:rsidRPr="00B3077A" w:rsidR="00DB18A8">
        <w:rPr>
          <w:rFonts w:ascii="Times New Roman" w:hAnsi="Times New Roman" w:eastAsia="Times New Roman" w:cs="Times New Roman"/>
          <w:sz w:val="24"/>
          <w:szCs w:val="24"/>
        </w:rPr>
        <w:t xml:space="preserve">QHP issuers </w:t>
      </w:r>
      <w:r w:rsidR="00551838">
        <w:rPr>
          <w:rFonts w:ascii="Times New Roman" w:hAnsi="Times New Roman" w:eastAsia="Times New Roman" w:cs="Times New Roman"/>
          <w:sz w:val="24"/>
          <w:szCs w:val="24"/>
        </w:rPr>
        <w:t xml:space="preserve">and State Exchanges that perform premium billing and payment processing </w:t>
      </w:r>
      <w:r w:rsidRPr="00B3077A" w:rsidR="00DB18A8">
        <w:rPr>
          <w:rFonts w:ascii="Times New Roman" w:hAnsi="Times New Roman" w:eastAsia="Times New Roman" w:cs="Times New Roman"/>
          <w:sz w:val="24"/>
          <w:szCs w:val="24"/>
        </w:rPr>
        <w:t xml:space="preserve">would </w:t>
      </w:r>
      <w:r w:rsidR="00E84520">
        <w:rPr>
          <w:rFonts w:ascii="Times New Roman" w:hAnsi="Times New Roman" w:eastAsia="Times New Roman" w:cs="Times New Roman"/>
          <w:sz w:val="24"/>
          <w:szCs w:val="24"/>
        </w:rPr>
        <w:t xml:space="preserve">incur </w:t>
      </w:r>
      <w:r w:rsidR="008640E6">
        <w:rPr>
          <w:rFonts w:ascii="Times New Roman" w:hAnsi="Times New Roman" w:eastAsia="Times New Roman" w:cs="Times New Roman"/>
          <w:sz w:val="24"/>
          <w:szCs w:val="24"/>
        </w:rPr>
        <w:t xml:space="preserve">a </w:t>
      </w:r>
      <w:r w:rsidR="00E84520">
        <w:rPr>
          <w:rFonts w:ascii="Times New Roman" w:hAnsi="Times New Roman" w:eastAsia="Times New Roman" w:cs="Times New Roman"/>
          <w:sz w:val="24"/>
          <w:szCs w:val="24"/>
        </w:rPr>
        <w:t>one-time burden associated with completing</w:t>
      </w:r>
      <w:r w:rsidR="00551838">
        <w:rPr>
          <w:rFonts w:ascii="Times New Roman" w:hAnsi="Times New Roman" w:eastAsia="Times New Roman" w:cs="Times New Roman"/>
          <w:sz w:val="24"/>
          <w:szCs w:val="24"/>
        </w:rPr>
        <w:t xml:space="preserve"> the </w:t>
      </w:r>
      <w:r w:rsidRPr="00551838" w:rsidR="00551838">
        <w:rPr>
          <w:rFonts w:ascii="Times New Roman" w:hAnsi="Times New Roman" w:eastAsia="Times New Roman" w:cs="Times New Roman"/>
          <w:sz w:val="24"/>
          <w:szCs w:val="24"/>
        </w:rPr>
        <w:t>technical build to implement necessary system changes</w:t>
      </w:r>
      <w:r w:rsidR="00551838">
        <w:rPr>
          <w:rFonts w:ascii="Times New Roman" w:hAnsi="Times New Roman" w:eastAsia="Times New Roman" w:cs="Times New Roman"/>
          <w:sz w:val="24"/>
          <w:szCs w:val="24"/>
        </w:rPr>
        <w:t xml:space="preserve"> for sending and overseeing the separate bill and receipt of separate payments</w:t>
      </w:r>
      <w:r w:rsidRPr="00551838" w:rsidR="00551838">
        <w:rPr>
          <w:rFonts w:ascii="Times New Roman" w:hAnsi="Times New Roman" w:eastAsia="Times New Roman" w:cs="Times New Roman"/>
          <w:sz w:val="24"/>
          <w:szCs w:val="24"/>
        </w:rPr>
        <w:t>, including activities such as planning, assessment, budgeting, contracting, bui</w:t>
      </w:r>
      <w:r w:rsidR="00551838">
        <w:rPr>
          <w:rFonts w:ascii="Times New Roman" w:hAnsi="Times New Roman" w:eastAsia="Times New Roman" w:cs="Times New Roman"/>
          <w:sz w:val="24"/>
          <w:szCs w:val="24"/>
        </w:rPr>
        <w:t>lding and testing their systems,</w:t>
      </w:r>
      <w:r w:rsidRPr="00551838" w:rsidR="00551838">
        <w:rPr>
          <w:rFonts w:ascii="Times New Roman" w:hAnsi="Times New Roman" w:eastAsia="Times New Roman" w:cs="Times New Roman"/>
          <w:sz w:val="24"/>
          <w:szCs w:val="24"/>
        </w:rPr>
        <w:t xml:space="preserve"> as well as one-time changes such as billing-related outreach and call center training</w:t>
      </w:r>
      <w:r w:rsidR="00551838">
        <w:rPr>
          <w:rFonts w:ascii="Times New Roman" w:hAnsi="Times New Roman" w:eastAsia="Times New Roman" w:cs="Times New Roman"/>
          <w:sz w:val="24"/>
          <w:szCs w:val="24"/>
        </w:rPr>
        <w:t xml:space="preserve">. </w:t>
      </w:r>
      <w:r w:rsidRPr="00B3077A" w:rsidR="00DB18A8">
        <w:rPr>
          <w:rFonts w:ascii="Times New Roman" w:hAnsi="Times New Roman" w:eastAsia="Times New Roman" w:cs="Times New Roman"/>
          <w:sz w:val="24"/>
          <w:szCs w:val="24"/>
        </w:rPr>
        <w:t xml:space="preserve">We also anticipate that QHP issuers </w:t>
      </w:r>
      <w:r w:rsidR="00E84520">
        <w:rPr>
          <w:rFonts w:ascii="Times New Roman" w:hAnsi="Times New Roman" w:eastAsia="Times New Roman" w:cs="Times New Roman"/>
          <w:sz w:val="24"/>
          <w:szCs w:val="24"/>
        </w:rPr>
        <w:t xml:space="preserve">and State Exchanges that perform premium billing and payment processing </w:t>
      </w:r>
      <w:r w:rsidRPr="00B3077A" w:rsidR="00DB18A8">
        <w:rPr>
          <w:rFonts w:ascii="Times New Roman" w:hAnsi="Times New Roman" w:eastAsia="Times New Roman" w:cs="Times New Roman"/>
          <w:sz w:val="24"/>
          <w:szCs w:val="24"/>
        </w:rPr>
        <w:t>would</w:t>
      </w:r>
      <w:r w:rsidR="00E84520">
        <w:rPr>
          <w:rFonts w:ascii="Times New Roman" w:hAnsi="Times New Roman" w:eastAsia="Times New Roman" w:cs="Times New Roman"/>
          <w:sz w:val="24"/>
          <w:szCs w:val="24"/>
        </w:rPr>
        <w:t xml:space="preserve"> need to invest additional time and resources annually directly related to sending the</w:t>
      </w:r>
      <w:r w:rsidRPr="00E84520" w:rsidR="00E84520">
        <w:rPr>
          <w:rFonts w:ascii="Times New Roman" w:hAnsi="Times New Roman" w:eastAsia="Times New Roman" w:cs="Times New Roman"/>
          <w:sz w:val="24"/>
          <w:szCs w:val="24"/>
        </w:rPr>
        <w:t xml:space="preserve"> separate bill, such as those </w:t>
      </w:r>
      <w:r w:rsidR="00E84520">
        <w:rPr>
          <w:rFonts w:ascii="Times New Roman" w:hAnsi="Times New Roman" w:eastAsia="Times New Roman" w:cs="Times New Roman"/>
          <w:sz w:val="24"/>
          <w:szCs w:val="24"/>
        </w:rPr>
        <w:t xml:space="preserve">activities </w:t>
      </w:r>
      <w:r w:rsidRPr="00E84520" w:rsidR="00E84520">
        <w:rPr>
          <w:rFonts w:ascii="Times New Roman" w:hAnsi="Times New Roman" w:eastAsia="Times New Roman" w:cs="Times New Roman"/>
          <w:sz w:val="24"/>
          <w:szCs w:val="24"/>
        </w:rPr>
        <w:t>related to identifying impacted enrollees, ensuring billing accuracy, reconciliation, quality assurance, record keeping, and document retention</w:t>
      </w:r>
      <w:r w:rsidR="00AF4A2E">
        <w:rPr>
          <w:rFonts w:ascii="Times New Roman" w:hAnsi="Times New Roman" w:eastAsia="Times New Roman" w:cs="Times New Roman"/>
          <w:sz w:val="24"/>
          <w:szCs w:val="24"/>
        </w:rPr>
        <w:t xml:space="preserve">. </w:t>
      </w:r>
      <w:r w:rsidR="00E84520">
        <w:rPr>
          <w:rFonts w:ascii="Times New Roman" w:hAnsi="Times New Roman" w:eastAsia="Times New Roman" w:cs="Times New Roman"/>
          <w:sz w:val="24"/>
          <w:szCs w:val="24"/>
        </w:rPr>
        <w:t xml:space="preserve">QHP </w:t>
      </w:r>
      <w:r w:rsidRPr="008105A6" w:rsidR="00E84520">
        <w:rPr>
          <w:rFonts w:ascii="Times New Roman" w:hAnsi="Times New Roman" w:cs="Times New Roman"/>
          <w:sz w:val="24"/>
          <w:szCs w:val="24"/>
        </w:rPr>
        <w:t xml:space="preserve">issuers </w:t>
      </w:r>
      <w:r w:rsidR="00E84520">
        <w:rPr>
          <w:rFonts w:ascii="Times New Roman" w:hAnsi="Times New Roman" w:cs="Times New Roman"/>
          <w:sz w:val="24"/>
          <w:szCs w:val="24"/>
        </w:rPr>
        <w:t xml:space="preserve">and State Exchanges performing premium billing and payment processing </w:t>
      </w:r>
      <w:r w:rsidRPr="008105A6" w:rsidR="00E84520">
        <w:rPr>
          <w:rFonts w:ascii="Times New Roman" w:hAnsi="Times New Roman" w:cs="Times New Roman"/>
          <w:sz w:val="24"/>
          <w:szCs w:val="24"/>
        </w:rPr>
        <w:t xml:space="preserve">will </w:t>
      </w:r>
      <w:r w:rsidR="00E84520">
        <w:rPr>
          <w:rFonts w:ascii="Times New Roman" w:hAnsi="Times New Roman" w:cs="Times New Roman"/>
          <w:sz w:val="24"/>
          <w:szCs w:val="24"/>
        </w:rPr>
        <w:t xml:space="preserve">also </w:t>
      </w:r>
      <w:r w:rsidRPr="008105A6" w:rsidR="00E84520">
        <w:rPr>
          <w:rFonts w:ascii="Times New Roman" w:hAnsi="Times New Roman" w:cs="Times New Roman"/>
          <w:sz w:val="24"/>
          <w:szCs w:val="24"/>
        </w:rPr>
        <w:t>be required to send a separate bill to approximately 2 million policy</w:t>
      </w:r>
      <w:r w:rsidR="00E84520">
        <w:rPr>
          <w:rFonts w:ascii="Times New Roman" w:hAnsi="Times New Roman" w:cs="Times New Roman"/>
          <w:sz w:val="24"/>
          <w:szCs w:val="24"/>
        </w:rPr>
        <w:t xml:space="preserve"> </w:t>
      </w:r>
      <w:r w:rsidRPr="008105A6" w:rsidR="00E84520">
        <w:rPr>
          <w:rFonts w:ascii="Times New Roman" w:hAnsi="Times New Roman" w:cs="Times New Roman"/>
          <w:sz w:val="24"/>
          <w:szCs w:val="24"/>
        </w:rPr>
        <w:t>holders</w:t>
      </w:r>
      <w:r w:rsidR="00AF4A2E">
        <w:rPr>
          <w:rFonts w:ascii="Times New Roman" w:hAnsi="Times New Roman" w:cs="Times New Roman"/>
          <w:sz w:val="24"/>
          <w:szCs w:val="24"/>
        </w:rPr>
        <w:t xml:space="preserve">. </w:t>
      </w:r>
      <w:r w:rsidRPr="00B3077A" w:rsidR="00DB18A8">
        <w:rPr>
          <w:rFonts w:ascii="Times New Roman" w:hAnsi="Times New Roman" w:eastAsia="Times New Roman" w:cs="Times New Roman"/>
          <w:sz w:val="24"/>
          <w:szCs w:val="24"/>
        </w:rPr>
        <w:t xml:space="preserve">These efforts </w:t>
      </w:r>
      <w:r w:rsidRPr="00B3077A" w:rsidR="000A7A85">
        <w:rPr>
          <w:rFonts w:ascii="Times New Roman" w:hAnsi="Times New Roman" w:eastAsia="Times New Roman" w:cs="Times New Roman"/>
          <w:sz w:val="24"/>
          <w:szCs w:val="24"/>
        </w:rPr>
        <w:t xml:space="preserve">and the information produced by these efforts </w:t>
      </w:r>
      <w:r w:rsidRPr="00B3077A" w:rsidR="00DB18A8">
        <w:rPr>
          <w:rFonts w:ascii="Times New Roman" w:hAnsi="Times New Roman" w:eastAsia="Times New Roman" w:cs="Times New Roman"/>
          <w:sz w:val="24"/>
          <w:szCs w:val="24"/>
        </w:rPr>
        <w:t xml:space="preserve">will ensure that </w:t>
      </w:r>
      <w:r w:rsidRPr="00B3077A" w:rsidR="00650D54">
        <w:rPr>
          <w:rFonts w:ascii="Times New Roman" w:hAnsi="Times New Roman" w:eastAsia="Times New Roman" w:cs="Times New Roman"/>
          <w:sz w:val="24"/>
          <w:szCs w:val="24"/>
        </w:rPr>
        <w:t xml:space="preserve">QHP </w:t>
      </w:r>
      <w:r w:rsidRPr="00B3077A" w:rsidR="00DB18A8">
        <w:rPr>
          <w:rFonts w:ascii="Times New Roman" w:hAnsi="Times New Roman" w:eastAsia="Times New Roman" w:cs="Times New Roman"/>
          <w:sz w:val="24"/>
          <w:szCs w:val="24"/>
        </w:rPr>
        <w:t xml:space="preserve">issuers </w:t>
      </w:r>
      <w:r w:rsidR="00E84520">
        <w:rPr>
          <w:rFonts w:ascii="Times New Roman" w:hAnsi="Times New Roman" w:eastAsia="Times New Roman" w:cs="Times New Roman"/>
          <w:sz w:val="24"/>
          <w:szCs w:val="24"/>
        </w:rPr>
        <w:t xml:space="preserve">and State Exchanges that perform billing and payment processing </w:t>
      </w:r>
      <w:r w:rsidRPr="00B3077A" w:rsidR="00DB18A8">
        <w:rPr>
          <w:rFonts w:ascii="Times New Roman" w:hAnsi="Times New Roman" w:eastAsia="Times New Roman" w:cs="Times New Roman"/>
          <w:sz w:val="24"/>
          <w:szCs w:val="24"/>
        </w:rPr>
        <w:t xml:space="preserve">are able to implement the </w:t>
      </w:r>
      <w:r w:rsidR="005719A8">
        <w:rPr>
          <w:rFonts w:ascii="Times New Roman" w:hAnsi="Times New Roman" w:eastAsia="Times New Roman" w:cs="Times New Roman"/>
          <w:sz w:val="24"/>
          <w:szCs w:val="24"/>
        </w:rPr>
        <w:t xml:space="preserve">policy </w:t>
      </w:r>
      <w:r w:rsidRPr="00B3077A" w:rsidR="00DB18A8">
        <w:rPr>
          <w:rFonts w:ascii="Times New Roman" w:hAnsi="Times New Roman" w:eastAsia="Times New Roman" w:cs="Times New Roman"/>
          <w:sz w:val="24"/>
          <w:szCs w:val="24"/>
        </w:rPr>
        <w:t xml:space="preserve">effectively. </w:t>
      </w:r>
    </w:p>
    <w:p w:rsidRPr="008F589E" w:rsidR="00D72BC8" w:rsidP="002A5D53" w:rsidRDefault="00D72BC8" w14:paraId="1F245ADF" w14:textId="77777777">
      <w:pPr>
        <w:spacing w:before="6" w:after="0" w:line="240" w:lineRule="auto"/>
        <w:rPr>
          <w:rFonts w:ascii="Times New Roman" w:hAnsi="Times New Roman" w:cs="Times New Roman"/>
          <w:sz w:val="24"/>
          <w:szCs w:val="24"/>
        </w:rPr>
      </w:pPr>
    </w:p>
    <w:p w:rsidRPr="002A5D53" w:rsidR="00D72BC8" w:rsidP="002A5D53" w:rsidRDefault="00D72BC8" w14:paraId="50BED967"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3.</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Use of Information Technology</w:t>
      </w:r>
    </w:p>
    <w:p w:rsidRPr="008F589E" w:rsidR="00D72BC8" w:rsidP="002A5D53" w:rsidRDefault="00D72BC8" w14:paraId="44A72DB1" w14:textId="77777777">
      <w:pPr>
        <w:spacing w:before="4" w:after="0" w:line="240" w:lineRule="auto"/>
        <w:rPr>
          <w:rFonts w:ascii="Times New Roman" w:hAnsi="Times New Roman" w:cs="Times New Roman"/>
          <w:sz w:val="24"/>
          <w:szCs w:val="24"/>
        </w:rPr>
      </w:pPr>
    </w:p>
    <w:p w:rsidR="000E3069" w:rsidP="002A5D53" w:rsidRDefault="0070652E" w14:paraId="59E6FE7B" w14:textId="77777777">
      <w:pPr>
        <w:spacing w:after="0" w:line="240" w:lineRule="auto"/>
        <w:ind w:right="29"/>
        <w:rPr>
          <w:rFonts w:ascii="Times New Roman" w:hAnsi="Times New Roman" w:eastAsia="Times New Roman" w:cs="Times New Roman"/>
          <w:b/>
          <w:spacing w:val="1"/>
          <w:sz w:val="24"/>
          <w:szCs w:val="24"/>
        </w:rPr>
      </w:pPr>
      <w:r>
        <w:rPr>
          <w:rFonts w:ascii="Times New Roman" w:hAnsi="Times New Roman" w:eastAsia="Times New Roman" w:cs="Times New Roman"/>
          <w:b/>
          <w:spacing w:val="1"/>
          <w:sz w:val="24"/>
          <w:szCs w:val="24"/>
        </w:rPr>
        <w:t>Segregation Plan</w:t>
      </w:r>
    </w:p>
    <w:p w:rsidRPr="000E3069" w:rsidR="0070652E" w:rsidP="002A5D53" w:rsidRDefault="0070652E" w14:paraId="6E72D090" w14:textId="3C3F0D1E">
      <w:pPr>
        <w:spacing w:after="0" w:line="240" w:lineRule="auto"/>
        <w:ind w:right="29"/>
        <w:rPr>
          <w:rFonts w:ascii="Times New Roman" w:hAnsi="Times New Roman" w:eastAsia="Times New Roman" w:cs="Times New Roman"/>
          <w:b/>
          <w:spacing w:val="1"/>
          <w:sz w:val="24"/>
          <w:szCs w:val="24"/>
        </w:rPr>
      </w:pPr>
      <w:r w:rsidRPr="0070652E">
        <w:rPr>
          <w:rFonts w:ascii="Times New Roman" w:hAnsi="Times New Roman" w:eastAsia="Times New Roman" w:cs="Times New Roman"/>
          <w:spacing w:val="1"/>
          <w:sz w:val="24"/>
          <w:szCs w:val="24"/>
        </w:rPr>
        <w:t>HHS believes that a majority if not all of the information required by this collection can be provided in an electronic format.</w:t>
      </w:r>
    </w:p>
    <w:p w:rsidR="0070652E" w:rsidP="002A5D53" w:rsidRDefault="0070652E" w14:paraId="601B1F06" w14:textId="77777777">
      <w:pPr>
        <w:spacing w:after="0" w:line="240" w:lineRule="auto"/>
        <w:ind w:right="29"/>
        <w:rPr>
          <w:rFonts w:ascii="Times New Roman" w:hAnsi="Times New Roman" w:eastAsia="Times New Roman" w:cs="Times New Roman"/>
          <w:spacing w:val="1"/>
          <w:sz w:val="24"/>
          <w:szCs w:val="24"/>
        </w:rPr>
      </w:pPr>
    </w:p>
    <w:p w:rsidR="00582F85" w:rsidP="002A5D53" w:rsidRDefault="00582F85" w14:paraId="51846E25" w14:textId="77777777">
      <w:pPr>
        <w:spacing w:after="0" w:line="240" w:lineRule="auto"/>
        <w:ind w:right="29"/>
        <w:rPr>
          <w:rFonts w:ascii="Times New Roman" w:hAnsi="Times New Roman" w:eastAsia="Times New Roman" w:cs="Times New Roman"/>
          <w:b/>
          <w:spacing w:val="1"/>
          <w:sz w:val="24"/>
          <w:szCs w:val="24"/>
        </w:rPr>
      </w:pPr>
    </w:p>
    <w:p w:rsidRPr="000E3069" w:rsidR="0070652E" w:rsidP="002A5D53" w:rsidRDefault="0070652E" w14:paraId="314031F6" w14:textId="3E7960D4">
      <w:pPr>
        <w:spacing w:after="0" w:line="240" w:lineRule="auto"/>
        <w:ind w:right="29"/>
        <w:rPr>
          <w:rFonts w:ascii="Times New Roman" w:hAnsi="Times New Roman" w:eastAsia="Times New Roman" w:cs="Times New Roman"/>
          <w:b/>
          <w:spacing w:val="1"/>
          <w:sz w:val="24"/>
          <w:szCs w:val="24"/>
        </w:rPr>
      </w:pPr>
      <w:r>
        <w:rPr>
          <w:rFonts w:ascii="Times New Roman" w:hAnsi="Times New Roman" w:eastAsia="Times New Roman" w:cs="Times New Roman"/>
          <w:b/>
          <w:spacing w:val="1"/>
          <w:sz w:val="24"/>
          <w:szCs w:val="24"/>
        </w:rPr>
        <w:lastRenderedPageBreak/>
        <w:t>Separate Billing</w:t>
      </w:r>
    </w:p>
    <w:p w:rsidRPr="00B3077A" w:rsidR="002133FF" w:rsidP="002A5D53" w:rsidRDefault="005D2008" w14:paraId="30FA11A6" w14:textId="1175AA97">
      <w:pPr>
        <w:spacing w:after="0" w:line="240" w:lineRule="auto"/>
        <w:ind w:right="29"/>
        <w:rPr>
          <w:rFonts w:ascii="Times New Roman" w:hAnsi="Times New Roman" w:eastAsia="Times New Roman" w:cs="Times New Roman"/>
          <w:spacing w:val="1"/>
          <w:sz w:val="24"/>
          <w:szCs w:val="24"/>
        </w:rPr>
      </w:pPr>
      <w:r w:rsidRPr="00B3077A">
        <w:rPr>
          <w:rFonts w:ascii="Times New Roman" w:hAnsi="Times New Roman" w:eastAsia="Times New Roman" w:cs="Times New Roman"/>
          <w:spacing w:val="1"/>
          <w:sz w:val="24"/>
          <w:szCs w:val="24"/>
        </w:rPr>
        <w:t>QHP i</w:t>
      </w:r>
      <w:r w:rsidRPr="00B3077A" w:rsidR="002133FF">
        <w:rPr>
          <w:rFonts w:ascii="Times New Roman" w:hAnsi="Times New Roman" w:eastAsia="Times New Roman" w:cs="Times New Roman"/>
          <w:spacing w:val="1"/>
          <w:sz w:val="24"/>
          <w:szCs w:val="24"/>
        </w:rPr>
        <w:t xml:space="preserve">ssuers </w:t>
      </w:r>
      <w:r w:rsidRPr="004839DB" w:rsidR="004839DB">
        <w:rPr>
          <w:rFonts w:ascii="Times New Roman" w:hAnsi="Times New Roman" w:eastAsia="Times New Roman" w:cs="Times New Roman"/>
          <w:spacing w:val="1"/>
          <w:sz w:val="24"/>
          <w:szCs w:val="24"/>
        </w:rPr>
        <w:t>are permitted to send this separate bill in the same mailing as the bill for the other portions of the policy holder’s premium when sending the bill in an envelope</w:t>
      </w:r>
      <w:r w:rsidR="00A90BBB">
        <w:rPr>
          <w:rFonts w:ascii="Times New Roman" w:hAnsi="Times New Roman" w:eastAsia="Times New Roman" w:cs="Times New Roman"/>
          <w:spacing w:val="1"/>
          <w:sz w:val="24"/>
          <w:szCs w:val="24"/>
        </w:rPr>
        <w:t xml:space="preserve">. </w:t>
      </w:r>
      <w:r w:rsidRPr="004839DB" w:rsidR="004839DB">
        <w:rPr>
          <w:rFonts w:ascii="Times New Roman" w:hAnsi="Times New Roman" w:eastAsia="Times New Roman" w:cs="Times New Roman"/>
          <w:spacing w:val="1"/>
          <w:sz w:val="24"/>
          <w:szCs w:val="24"/>
        </w:rPr>
        <w:t>QHP issuers sending bills through email or other electronic means must send the separate bill in a separate email or electronic communication from the bill for the other portions of the policy holder’s premium</w:t>
      </w:r>
      <w:r w:rsidR="00A90BBB">
        <w:rPr>
          <w:rFonts w:ascii="Times New Roman" w:hAnsi="Times New Roman" w:eastAsia="Times New Roman" w:cs="Times New Roman"/>
          <w:spacing w:val="1"/>
          <w:sz w:val="24"/>
          <w:szCs w:val="24"/>
        </w:rPr>
        <w:t>.</w:t>
      </w:r>
      <w:r w:rsidRPr="00B3077A" w:rsidR="002133FF">
        <w:rPr>
          <w:rFonts w:ascii="Times New Roman" w:hAnsi="Times New Roman" w:eastAsia="Times New Roman" w:cs="Times New Roman"/>
          <w:spacing w:val="1"/>
          <w:sz w:val="24"/>
          <w:szCs w:val="24"/>
        </w:rPr>
        <w:t xml:space="preserve"> </w:t>
      </w:r>
      <w:r w:rsidR="004839DB">
        <w:rPr>
          <w:rFonts w:ascii="Times New Roman" w:hAnsi="Times New Roman" w:eastAsia="Times New Roman" w:cs="Times New Roman"/>
          <w:spacing w:val="1"/>
          <w:sz w:val="24"/>
          <w:szCs w:val="24"/>
        </w:rPr>
        <w:t>The</w:t>
      </w:r>
      <w:r w:rsidRPr="00B3077A">
        <w:rPr>
          <w:rFonts w:ascii="Times New Roman" w:hAnsi="Times New Roman" w:eastAsia="Times New Roman" w:cs="Times New Roman"/>
          <w:spacing w:val="1"/>
          <w:sz w:val="24"/>
          <w:szCs w:val="24"/>
        </w:rPr>
        <w:t xml:space="preserve"> QHP</w:t>
      </w:r>
      <w:r w:rsidRPr="00B3077A" w:rsidR="002133FF">
        <w:rPr>
          <w:rFonts w:ascii="Times New Roman" w:hAnsi="Times New Roman" w:eastAsia="Times New Roman" w:cs="Times New Roman"/>
          <w:spacing w:val="1"/>
          <w:sz w:val="24"/>
          <w:szCs w:val="24"/>
        </w:rPr>
        <w:t xml:space="preserve"> issuer </w:t>
      </w:r>
      <w:r w:rsidR="004839DB">
        <w:rPr>
          <w:rFonts w:ascii="Times New Roman" w:hAnsi="Times New Roman" w:eastAsia="Times New Roman" w:cs="Times New Roman"/>
          <w:spacing w:val="1"/>
          <w:sz w:val="24"/>
          <w:szCs w:val="24"/>
        </w:rPr>
        <w:t>is expected</w:t>
      </w:r>
      <w:r w:rsidRPr="00B3077A" w:rsidR="002133FF">
        <w:rPr>
          <w:rFonts w:ascii="Times New Roman" w:hAnsi="Times New Roman" w:eastAsia="Times New Roman" w:cs="Times New Roman"/>
          <w:spacing w:val="1"/>
          <w:sz w:val="24"/>
          <w:szCs w:val="24"/>
        </w:rPr>
        <w:t xml:space="preserve"> to produce an invoice or bill that is distinctly separate from the invoice or bill for the other portion of the consumer’s premium that is not attributable to non-Hyde abortion coverage, whether in paper or electronic format.  </w:t>
      </w:r>
    </w:p>
    <w:p w:rsidRPr="002133FF" w:rsidR="002133FF" w:rsidP="002A5D53" w:rsidRDefault="002133FF" w14:paraId="0483EB7E" w14:textId="77777777">
      <w:pPr>
        <w:spacing w:after="0" w:line="240" w:lineRule="auto"/>
        <w:ind w:right="29"/>
        <w:rPr>
          <w:rFonts w:ascii="Times New Roman" w:hAnsi="Times New Roman" w:eastAsia="Times New Roman" w:cs="Times New Roman"/>
          <w:spacing w:val="1"/>
          <w:sz w:val="24"/>
          <w:szCs w:val="24"/>
        </w:rPr>
      </w:pPr>
    </w:p>
    <w:p w:rsidR="00D72BC8" w:rsidP="002A5D53" w:rsidRDefault="005D2008" w14:paraId="38493E2C" w14:textId="1C1CAAF2">
      <w:pPr>
        <w:spacing w:after="0" w:line="240" w:lineRule="auto"/>
        <w:ind w:right="29"/>
        <w:rPr>
          <w:rFonts w:ascii="Times New Roman" w:hAnsi="Times New Roman" w:eastAsia="Times New Roman" w:cs="Times New Roman"/>
          <w:spacing w:val="1"/>
          <w:sz w:val="24"/>
          <w:szCs w:val="24"/>
        </w:rPr>
      </w:pPr>
      <w:r w:rsidRPr="00B3077A">
        <w:rPr>
          <w:rFonts w:ascii="Times New Roman" w:hAnsi="Times New Roman" w:eastAsia="Times New Roman" w:cs="Times New Roman"/>
          <w:spacing w:val="1"/>
          <w:sz w:val="24"/>
          <w:szCs w:val="24"/>
        </w:rPr>
        <w:t>QHP i</w:t>
      </w:r>
      <w:r w:rsidRPr="00B3077A" w:rsidR="002133FF">
        <w:rPr>
          <w:rFonts w:ascii="Times New Roman" w:hAnsi="Times New Roman" w:eastAsia="Times New Roman" w:cs="Times New Roman"/>
          <w:spacing w:val="1"/>
          <w:sz w:val="24"/>
          <w:szCs w:val="24"/>
        </w:rPr>
        <w:t xml:space="preserve">ssuers </w:t>
      </w:r>
      <w:r w:rsidRPr="00B3077A" w:rsidR="00E063D5">
        <w:rPr>
          <w:rFonts w:ascii="Times New Roman" w:hAnsi="Times New Roman" w:eastAsia="Times New Roman" w:cs="Times New Roman"/>
          <w:spacing w:val="1"/>
          <w:sz w:val="24"/>
          <w:szCs w:val="24"/>
        </w:rPr>
        <w:t>must</w:t>
      </w:r>
      <w:r w:rsidRPr="00B3077A" w:rsidR="002133FF">
        <w:rPr>
          <w:rFonts w:ascii="Times New Roman" w:hAnsi="Times New Roman" w:eastAsia="Times New Roman" w:cs="Times New Roman"/>
          <w:spacing w:val="1"/>
          <w:sz w:val="24"/>
          <w:szCs w:val="24"/>
        </w:rPr>
        <w:t xml:space="preserve"> </w:t>
      </w:r>
      <w:r w:rsidRPr="00B3077A" w:rsidR="00E063D5">
        <w:rPr>
          <w:rFonts w:ascii="Times New Roman" w:hAnsi="Times New Roman" w:eastAsia="Times New Roman" w:cs="Times New Roman"/>
          <w:spacing w:val="1"/>
          <w:sz w:val="24"/>
          <w:szCs w:val="24"/>
        </w:rPr>
        <w:t xml:space="preserve">instruct </w:t>
      </w:r>
      <w:r w:rsidRPr="00B3077A">
        <w:rPr>
          <w:rFonts w:ascii="Times New Roman" w:hAnsi="Times New Roman" w:eastAsia="Times New Roman" w:cs="Times New Roman"/>
          <w:spacing w:val="1"/>
          <w:sz w:val="24"/>
          <w:szCs w:val="24"/>
        </w:rPr>
        <w:t xml:space="preserve">policy </w:t>
      </w:r>
      <w:r w:rsidR="00551838">
        <w:rPr>
          <w:rFonts w:ascii="Times New Roman" w:hAnsi="Times New Roman" w:eastAsia="Times New Roman" w:cs="Times New Roman"/>
          <w:spacing w:val="1"/>
          <w:sz w:val="24"/>
          <w:szCs w:val="24"/>
        </w:rPr>
        <w:t>holders</w:t>
      </w:r>
      <w:r w:rsidRPr="00B3077A" w:rsidR="00551838">
        <w:rPr>
          <w:rFonts w:ascii="Times New Roman" w:hAnsi="Times New Roman" w:eastAsia="Times New Roman" w:cs="Times New Roman"/>
          <w:spacing w:val="1"/>
          <w:sz w:val="24"/>
          <w:szCs w:val="24"/>
        </w:rPr>
        <w:t xml:space="preserve"> </w:t>
      </w:r>
      <w:r w:rsidRPr="00B3077A" w:rsidR="00E063D5">
        <w:rPr>
          <w:rFonts w:ascii="Times New Roman" w:hAnsi="Times New Roman" w:eastAsia="Times New Roman" w:cs="Times New Roman"/>
          <w:spacing w:val="1"/>
          <w:sz w:val="24"/>
          <w:szCs w:val="24"/>
        </w:rPr>
        <w:t xml:space="preserve">to separately pay the separately billed or invoiced portion of the premium for non-Hyde abortion coverage and </w:t>
      </w:r>
      <w:r w:rsidRPr="00B3077A" w:rsidR="002133FF">
        <w:rPr>
          <w:rFonts w:ascii="Times New Roman" w:hAnsi="Times New Roman" w:eastAsia="Times New Roman" w:cs="Times New Roman"/>
          <w:spacing w:val="1"/>
          <w:sz w:val="24"/>
          <w:szCs w:val="24"/>
        </w:rPr>
        <w:t xml:space="preserve">make reasonable efforts to collect the payment separately. </w:t>
      </w:r>
      <w:r w:rsidRPr="004839DB" w:rsidR="004839DB">
        <w:rPr>
          <w:rFonts w:ascii="Times New Roman" w:hAnsi="Times New Roman" w:eastAsia="Times New Roman" w:cs="Times New Roman"/>
          <w:spacing w:val="1"/>
          <w:sz w:val="24"/>
          <w:szCs w:val="24"/>
        </w:rPr>
        <w:t>However, if the policy holder fails to pay each of these amounts in a separate transaction as instructed by the issuer, the issuer may not initiate a grace period or terminate the policy holder’s QHP coverage on this basis</w:t>
      </w:r>
      <w:r w:rsidR="004839DB">
        <w:rPr>
          <w:rFonts w:ascii="Times New Roman" w:hAnsi="Times New Roman" w:eastAsia="Times New Roman" w:cs="Times New Roman"/>
          <w:spacing w:val="1"/>
          <w:sz w:val="24"/>
          <w:szCs w:val="24"/>
        </w:rPr>
        <w:t>.</w:t>
      </w:r>
    </w:p>
    <w:p w:rsidR="004839DB" w:rsidP="002A5D53" w:rsidRDefault="004839DB" w14:paraId="323D8357" w14:textId="25B15B02">
      <w:pPr>
        <w:spacing w:after="0" w:line="240" w:lineRule="auto"/>
        <w:ind w:right="29"/>
        <w:rPr>
          <w:rFonts w:ascii="Times New Roman" w:hAnsi="Times New Roman" w:eastAsia="Times New Roman" w:cs="Times New Roman"/>
          <w:spacing w:val="1"/>
          <w:sz w:val="24"/>
          <w:szCs w:val="24"/>
        </w:rPr>
      </w:pPr>
    </w:p>
    <w:p w:rsidRPr="00B3077A" w:rsidR="004839DB" w:rsidP="002A5D53" w:rsidRDefault="004839DB" w14:paraId="1FFD3139" w14:textId="04473E46">
      <w:pPr>
        <w:spacing w:after="0" w:line="240" w:lineRule="auto"/>
        <w:ind w:right="29"/>
        <w:rPr>
          <w:rFonts w:ascii="Times New Roman" w:hAnsi="Times New Roman" w:eastAsia="Times New Roman" w:cs="Times New Roman"/>
          <w:spacing w:val="1"/>
          <w:sz w:val="24"/>
          <w:szCs w:val="24"/>
        </w:rPr>
      </w:pPr>
      <w:r w:rsidRPr="004839DB">
        <w:rPr>
          <w:rFonts w:ascii="Times New Roman" w:hAnsi="Times New Roman" w:eastAsia="Times New Roman" w:cs="Times New Roman"/>
          <w:spacing w:val="1"/>
          <w:sz w:val="24"/>
          <w:szCs w:val="24"/>
        </w:rPr>
        <w:t xml:space="preserve">We suggest that QHP issuers explain to the policy holder in layperson terms on the separate bill for coverage non-Hyde abortion services, or otherwise communicate to enrollees through enrollee outreach and education, that non-payment of any premium due (including non-payment of the portion of the policy holder’s premium attributable to coverage of non-Hyde abortion services) would continue to be subject to state and federal rules regarding grace periods (unless the QHP issuer will operate pursuant to the </w:t>
      </w:r>
      <w:r w:rsidRPr="00233742">
        <w:rPr>
          <w:rFonts w:ascii="Times New Roman" w:hAnsi="Times New Roman" w:eastAsia="Times New Roman" w:cs="Times New Roman"/>
          <w:spacing w:val="1"/>
          <w:sz w:val="24"/>
          <w:szCs w:val="24"/>
        </w:rPr>
        <w:t>enforcement discretion</w:t>
      </w:r>
      <w:r w:rsidRPr="004839DB">
        <w:rPr>
          <w:rFonts w:ascii="Times New Roman" w:hAnsi="Times New Roman" w:eastAsia="Times New Roman" w:cs="Times New Roman"/>
          <w:spacing w:val="1"/>
          <w:sz w:val="24"/>
          <w:szCs w:val="24"/>
        </w:rPr>
        <w:t xml:space="preserve"> we outline later in this section), clarifying for policy holders that failure to pay the portion of the premium attributable to coverage of non-Hyde abortion services could ultimately result in termination of coverage.</w:t>
      </w:r>
    </w:p>
    <w:p w:rsidRPr="002A5D53" w:rsidR="002133FF" w:rsidP="002A5D53" w:rsidRDefault="002133FF" w14:paraId="6C9A5795"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p>
    <w:p w:rsidRPr="002A5D53" w:rsidR="00D72BC8" w:rsidP="002A5D53" w:rsidRDefault="00D72BC8" w14:paraId="6CE2ECA8" w14:textId="77777777">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Cs/>
          <w:sz w:val="24"/>
          <w:szCs w:val="24"/>
          <w:u w:val="single"/>
        </w:rPr>
        <w:t>4.</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Duplication of Efforts</w:t>
      </w:r>
    </w:p>
    <w:p w:rsidRPr="008F589E" w:rsidR="00D72BC8" w:rsidP="002A5D53" w:rsidRDefault="00D72BC8" w14:paraId="589DDE98" w14:textId="77777777">
      <w:pPr>
        <w:spacing w:before="9" w:after="0" w:line="240" w:lineRule="auto"/>
        <w:rPr>
          <w:rFonts w:ascii="Times New Roman" w:hAnsi="Times New Roman" w:cs="Times New Roman"/>
          <w:sz w:val="24"/>
          <w:szCs w:val="24"/>
        </w:rPr>
      </w:pPr>
    </w:p>
    <w:p w:rsidRPr="000E3069" w:rsidR="004B3D50" w:rsidP="002A5D53" w:rsidRDefault="004B3D50" w14:paraId="75A24225" w14:textId="6070C6DF">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Segregation Plan</w:t>
      </w:r>
    </w:p>
    <w:p w:rsidR="004B3D50" w:rsidP="002A5D53" w:rsidRDefault="004B3D50" w14:paraId="656BE1DC" w14:textId="6192B70D">
      <w:pPr>
        <w:spacing w:after="0" w:line="240" w:lineRule="auto"/>
        <w:ind w:right="29"/>
        <w:rPr>
          <w:rFonts w:ascii="Times New Roman" w:hAnsi="Times New Roman" w:eastAsia="Times New Roman" w:cs="Times New Roman"/>
          <w:sz w:val="24"/>
          <w:szCs w:val="24"/>
        </w:rPr>
      </w:pPr>
      <w:r w:rsidRPr="004B3D50">
        <w:rPr>
          <w:rFonts w:ascii="Times New Roman" w:hAnsi="Times New Roman" w:eastAsia="Times New Roman" w:cs="Times New Roman"/>
          <w:sz w:val="24"/>
          <w:szCs w:val="24"/>
        </w:rPr>
        <w:t>This information collection does not duplicate any other Federal effort.</w:t>
      </w:r>
    </w:p>
    <w:p w:rsidR="004B3D50" w:rsidP="002A5D53" w:rsidRDefault="004B3D50" w14:paraId="548560BD" w14:textId="77777777">
      <w:pPr>
        <w:spacing w:after="0" w:line="240" w:lineRule="auto"/>
        <w:ind w:right="29"/>
        <w:rPr>
          <w:rFonts w:ascii="Times New Roman" w:hAnsi="Times New Roman" w:eastAsia="Times New Roman" w:cs="Times New Roman"/>
          <w:sz w:val="24"/>
          <w:szCs w:val="24"/>
        </w:rPr>
      </w:pPr>
    </w:p>
    <w:p w:rsidRPr="000E3069" w:rsidR="004B3D50" w:rsidP="002A5D53" w:rsidRDefault="004B3D50" w14:paraId="1CCAAB8E" w14:textId="6F5D4598">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Separate Billing</w:t>
      </w:r>
    </w:p>
    <w:p w:rsidR="006E4BF5" w:rsidP="002A5D53" w:rsidRDefault="008D6EDD" w14:paraId="44135307" w14:textId="6C9A4A6F">
      <w:pPr>
        <w:spacing w:after="0" w:line="240" w:lineRule="auto"/>
        <w:ind w:right="29"/>
        <w:rPr>
          <w:rFonts w:ascii="Times New Roman" w:hAnsi="Times New Roman" w:eastAsia="Times New Roman" w:cs="Times New Roman"/>
          <w:sz w:val="24"/>
          <w:szCs w:val="24"/>
        </w:rPr>
      </w:pPr>
      <w:r w:rsidRPr="008D6EDD">
        <w:rPr>
          <w:rFonts w:ascii="Times New Roman" w:hAnsi="Times New Roman" w:eastAsia="Times New Roman" w:cs="Times New Roman"/>
          <w:sz w:val="24"/>
          <w:szCs w:val="24"/>
        </w:rPr>
        <w:t>HHS</w:t>
      </w:r>
      <w:r>
        <w:rPr>
          <w:rFonts w:ascii="Times New Roman" w:hAnsi="Times New Roman" w:eastAsia="Times New Roman" w:cs="Times New Roman"/>
          <w:sz w:val="24"/>
          <w:szCs w:val="24"/>
        </w:rPr>
        <w:t xml:space="preserve"> acknowledges that</w:t>
      </w:r>
      <w:r w:rsidR="005D2008">
        <w:rPr>
          <w:rFonts w:ascii="Times New Roman" w:hAnsi="Times New Roman" w:eastAsia="Times New Roman" w:cs="Times New Roman"/>
          <w:sz w:val="24"/>
          <w:szCs w:val="24"/>
        </w:rPr>
        <w:t xml:space="preserve"> QHP</w:t>
      </w:r>
      <w:r>
        <w:rPr>
          <w:rFonts w:ascii="Times New Roman" w:hAnsi="Times New Roman" w:eastAsia="Times New Roman" w:cs="Times New Roman"/>
          <w:sz w:val="24"/>
          <w:szCs w:val="24"/>
        </w:rPr>
        <w:t xml:space="preserve"> issuers that offer </w:t>
      </w:r>
      <w:r w:rsidR="004839DB">
        <w:rPr>
          <w:rFonts w:ascii="Times New Roman" w:hAnsi="Times New Roman" w:eastAsia="Times New Roman" w:cs="Times New Roman"/>
          <w:sz w:val="24"/>
          <w:szCs w:val="24"/>
        </w:rPr>
        <w:t xml:space="preserve">coverage of </w:t>
      </w:r>
      <w:r>
        <w:rPr>
          <w:rFonts w:ascii="Times New Roman" w:hAnsi="Times New Roman" w:eastAsia="Times New Roman" w:cs="Times New Roman"/>
          <w:sz w:val="24"/>
          <w:szCs w:val="24"/>
        </w:rPr>
        <w:t xml:space="preserve">non-Hyde abortion </w:t>
      </w:r>
      <w:r w:rsidR="004839DB">
        <w:rPr>
          <w:rFonts w:ascii="Times New Roman" w:hAnsi="Times New Roman" w:eastAsia="Times New Roman" w:cs="Times New Roman"/>
          <w:sz w:val="24"/>
          <w:szCs w:val="24"/>
        </w:rPr>
        <w:t xml:space="preserve">services </w:t>
      </w:r>
      <w:r>
        <w:rPr>
          <w:rFonts w:ascii="Times New Roman" w:hAnsi="Times New Roman" w:eastAsia="Times New Roman" w:cs="Times New Roman"/>
          <w:sz w:val="24"/>
          <w:szCs w:val="24"/>
        </w:rPr>
        <w:t>in their individual market plans</w:t>
      </w:r>
      <w:r w:rsidR="006E4BF5">
        <w:rPr>
          <w:rFonts w:ascii="Times New Roman" w:hAnsi="Times New Roman" w:eastAsia="Times New Roman" w:cs="Times New Roman"/>
          <w:sz w:val="24"/>
          <w:szCs w:val="24"/>
        </w:rPr>
        <w:t xml:space="preserve"> should</w:t>
      </w:r>
      <w:r>
        <w:rPr>
          <w:rFonts w:ascii="Times New Roman" w:hAnsi="Times New Roman" w:eastAsia="Times New Roman" w:cs="Times New Roman"/>
          <w:sz w:val="24"/>
          <w:szCs w:val="24"/>
        </w:rPr>
        <w:t xml:space="preserve"> already </w:t>
      </w:r>
      <w:r w:rsidR="006E4BF5">
        <w:rPr>
          <w:rFonts w:ascii="Times New Roman" w:hAnsi="Times New Roman" w:eastAsia="Times New Roman" w:cs="Times New Roman"/>
          <w:sz w:val="24"/>
          <w:szCs w:val="24"/>
        </w:rPr>
        <w:t xml:space="preserve">be </w:t>
      </w:r>
      <w:r>
        <w:rPr>
          <w:rFonts w:ascii="Times New Roman" w:hAnsi="Times New Roman" w:eastAsia="Times New Roman" w:cs="Times New Roman"/>
          <w:sz w:val="24"/>
          <w:szCs w:val="24"/>
        </w:rPr>
        <w:t>collecting separate payments from consumers for the portion of their premium attributable to non-Hyde abortion coverage</w:t>
      </w:r>
      <w:r w:rsidR="006E4BF5">
        <w:rPr>
          <w:rFonts w:ascii="Times New Roman" w:hAnsi="Times New Roman" w:eastAsia="Times New Roman" w:cs="Times New Roman"/>
          <w:sz w:val="24"/>
          <w:szCs w:val="24"/>
        </w:rPr>
        <w:t>, in accordance with the acceptable methods outlined in the 2016 Payment Notice</w:t>
      </w:r>
      <w:r>
        <w:rPr>
          <w:rFonts w:ascii="Times New Roman" w:hAnsi="Times New Roman" w:eastAsia="Times New Roman" w:cs="Times New Roman"/>
          <w:sz w:val="24"/>
          <w:szCs w:val="24"/>
        </w:rPr>
        <w:t>.</w:t>
      </w:r>
      <w:r w:rsidR="00901ED3">
        <w:rPr>
          <w:rFonts w:ascii="Times New Roman" w:hAnsi="Times New Roman" w:eastAsia="Times New Roman" w:cs="Times New Roman"/>
          <w:sz w:val="24"/>
          <w:szCs w:val="24"/>
        </w:rPr>
        <w:t xml:space="preserve"> As such, the </w:t>
      </w:r>
      <w:r w:rsidR="0049379A">
        <w:rPr>
          <w:rFonts w:ascii="Times New Roman" w:hAnsi="Times New Roman" w:eastAsia="Times New Roman" w:cs="Times New Roman"/>
          <w:sz w:val="24"/>
          <w:szCs w:val="24"/>
        </w:rPr>
        <w:t xml:space="preserve">finalized policies </w:t>
      </w:r>
      <w:r w:rsidR="00901ED3">
        <w:rPr>
          <w:rFonts w:ascii="Times New Roman" w:hAnsi="Times New Roman" w:eastAsia="Times New Roman" w:cs="Times New Roman"/>
          <w:sz w:val="24"/>
          <w:szCs w:val="24"/>
        </w:rPr>
        <w:t xml:space="preserve">at </w:t>
      </w:r>
      <w:r w:rsidR="00901ED3">
        <w:rPr>
          <w:rFonts w:ascii="Times New Roman" w:hAnsi="Times New Roman"/>
          <w:sz w:val="24"/>
          <w:szCs w:val="24"/>
        </w:rPr>
        <w:t>§156.280(e)(2)</w:t>
      </w:r>
      <w:r w:rsidR="009B4B83">
        <w:rPr>
          <w:rFonts w:ascii="Times New Roman" w:hAnsi="Times New Roman"/>
          <w:sz w:val="24"/>
          <w:szCs w:val="24"/>
        </w:rPr>
        <w:t>(ii)</w:t>
      </w:r>
      <w:r w:rsidR="00901ED3">
        <w:rPr>
          <w:rFonts w:ascii="Times New Roman" w:hAnsi="Times New Roman"/>
          <w:sz w:val="24"/>
          <w:szCs w:val="24"/>
        </w:rPr>
        <w:t xml:space="preserve"> may seem duplicative</w:t>
      </w:r>
      <w:r w:rsidR="00901ED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However, </w:t>
      </w:r>
      <w:r w:rsidRPr="00E063D5" w:rsidR="00E063D5">
        <w:rPr>
          <w:rFonts w:ascii="Times New Roman" w:hAnsi="Times New Roman" w:eastAsia="Times New Roman" w:cs="Times New Roman"/>
          <w:sz w:val="24"/>
          <w:szCs w:val="24"/>
        </w:rPr>
        <w:t>HHS now believes that some of the methods for billing and collection of the separate payment for non-Hyde abortion services noted as permissible in the 2016 Payment Notice do not adequately reflect what we see as Congressional intent that the</w:t>
      </w:r>
      <w:r w:rsidR="00650D54">
        <w:rPr>
          <w:rFonts w:ascii="Times New Roman" w:hAnsi="Times New Roman" w:eastAsia="Times New Roman" w:cs="Times New Roman"/>
          <w:sz w:val="24"/>
          <w:szCs w:val="24"/>
        </w:rPr>
        <w:t xml:space="preserve"> QHP</w:t>
      </w:r>
      <w:r w:rsidRPr="00E063D5" w:rsidR="00E063D5">
        <w:rPr>
          <w:rFonts w:ascii="Times New Roman" w:hAnsi="Times New Roman" w:eastAsia="Times New Roman" w:cs="Times New Roman"/>
          <w:sz w:val="24"/>
          <w:szCs w:val="24"/>
        </w:rPr>
        <w:t xml:space="preserve"> issuer bill separately for two distin</w:t>
      </w:r>
      <w:r w:rsidR="00E063D5">
        <w:rPr>
          <w:rFonts w:ascii="Times New Roman" w:hAnsi="Times New Roman" w:eastAsia="Times New Roman" w:cs="Times New Roman"/>
          <w:sz w:val="24"/>
          <w:szCs w:val="24"/>
        </w:rPr>
        <w:t xml:space="preserve">ct (i.e., “separate”) payments. HHS instead </w:t>
      </w:r>
      <w:r w:rsidRPr="00E063D5" w:rsidR="00E063D5">
        <w:rPr>
          <w:rFonts w:ascii="Times New Roman" w:hAnsi="Times New Roman" w:eastAsia="Times New Roman" w:cs="Times New Roman"/>
          <w:sz w:val="24"/>
          <w:szCs w:val="24"/>
        </w:rPr>
        <w:t>believes that requiring</w:t>
      </w:r>
      <w:r w:rsidR="005D2008">
        <w:rPr>
          <w:rFonts w:ascii="Times New Roman" w:hAnsi="Times New Roman" w:eastAsia="Times New Roman" w:cs="Times New Roman"/>
          <w:sz w:val="24"/>
          <w:szCs w:val="24"/>
        </w:rPr>
        <w:t xml:space="preserve"> QHP</w:t>
      </w:r>
      <w:r w:rsidRPr="00E063D5" w:rsidR="00E063D5">
        <w:rPr>
          <w:rFonts w:ascii="Times New Roman" w:hAnsi="Times New Roman" w:eastAsia="Times New Roman" w:cs="Times New Roman"/>
          <w:sz w:val="24"/>
          <w:szCs w:val="24"/>
        </w:rPr>
        <w:t xml:space="preserve"> issuers to separately bill the portion of the </w:t>
      </w:r>
      <w:r w:rsidR="005D2008">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 xml:space="preserve">holder’s </w:t>
      </w:r>
      <w:r w:rsidRPr="00E063D5" w:rsidR="00E063D5">
        <w:rPr>
          <w:rFonts w:ascii="Times New Roman" w:hAnsi="Times New Roman" w:eastAsia="Times New Roman" w:cs="Times New Roman"/>
          <w:sz w:val="24"/>
          <w:szCs w:val="24"/>
        </w:rPr>
        <w:t xml:space="preserve">premium attributable to non-Hyde abortion services and instruct </w:t>
      </w:r>
      <w:r w:rsidR="005D2008">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 xml:space="preserve">holders </w:t>
      </w:r>
      <w:r w:rsidRPr="00E063D5" w:rsidR="00E063D5">
        <w:rPr>
          <w:rFonts w:ascii="Times New Roman" w:hAnsi="Times New Roman" w:eastAsia="Times New Roman" w:cs="Times New Roman"/>
          <w:sz w:val="24"/>
          <w:szCs w:val="24"/>
        </w:rPr>
        <w:t xml:space="preserve">to make a separate payment for this amount </w:t>
      </w:r>
      <w:r w:rsidRPr="004839DB" w:rsidR="004839DB">
        <w:rPr>
          <w:rFonts w:ascii="Times New Roman" w:hAnsi="Times New Roman" w:eastAsia="Times New Roman" w:cs="Times New Roman"/>
          <w:sz w:val="24"/>
          <w:szCs w:val="24"/>
        </w:rPr>
        <w:t>is important to achieving better alignment of the regulatory requirements for QHP issuer billing of enrollee premiums with the separate payment requirement in section 1303 of the PPACA</w:t>
      </w:r>
      <w:r w:rsidRPr="00E063D5" w:rsidR="00E063D5">
        <w:rPr>
          <w:rFonts w:ascii="Times New Roman" w:hAnsi="Times New Roman" w:eastAsia="Times New Roman" w:cs="Times New Roman"/>
          <w:sz w:val="24"/>
          <w:szCs w:val="24"/>
        </w:rPr>
        <w:t xml:space="preserve">. </w:t>
      </w:r>
      <w:r w:rsidRPr="008D6EDD">
        <w:rPr>
          <w:rFonts w:ascii="Times New Roman" w:hAnsi="Times New Roman" w:eastAsia="Times New Roman" w:cs="Times New Roman"/>
          <w:sz w:val="24"/>
          <w:szCs w:val="24"/>
        </w:rPr>
        <w:t xml:space="preserve"> </w:t>
      </w:r>
    </w:p>
    <w:p w:rsidR="006E4BF5" w:rsidP="002A5D53" w:rsidRDefault="006E4BF5" w14:paraId="1BDF4909" w14:textId="77777777">
      <w:pPr>
        <w:spacing w:after="0" w:line="240" w:lineRule="auto"/>
        <w:ind w:right="29"/>
        <w:rPr>
          <w:rFonts w:ascii="Times New Roman" w:hAnsi="Times New Roman" w:eastAsia="Times New Roman" w:cs="Times New Roman"/>
          <w:sz w:val="24"/>
          <w:szCs w:val="24"/>
        </w:rPr>
      </w:pPr>
    </w:p>
    <w:p w:rsidRPr="00B3077A" w:rsidR="00D72BC8" w:rsidP="002A5D53" w:rsidRDefault="006E4BF5" w14:paraId="03BA1C62" w14:textId="63457543">
      <w:pPr>
        <w:spacing w:after="0" w:line="240" w:lineRule="auto"/>
        <w:ind w:right="29"/>
        <w:rPr>
          <w:rFonts w:ascii="Times New Roman" w:hAnsi="Times New Roman" w:eastAsia="Times New Roman" w:cs="Times New Roman"/>
          <w:sz w:val="24"/>
          <w:szCs w:val="24"/>
        </w:rPr>
      </w:pPr>
      <w:r w:rsidRPr="00B3077A">
        <w:rPr>
          <w:rFonts w:ascii="Times New Roman" w:hAnsi="Times New Roman" w:eastAsia="Times New Roman" w:cs="Times New Roman"/>
          <w:sz w:val="24"/>
          <w:szCs w:val="24"/>
        </w:rPr>
        <w:t>However, there will be no duplication of efforts</w:t>
      </w:r>
      <w:r w:rsidR="00EB4A58">
        <w:rPr>
          <w:rFonts w:ascii="Times New Roman" w:hAnsi="Times New Roman" w:eastAsia="Times New Roman" w:cs="Times New Roman"/>
          <w:sz w:val="24"/>
          <w:szCs w:val="24"/>
        </w:rPr>
        <w:t xml:space="preserve"> under the policy as finalized</w:t>
      </w:r>
      <w:r w:rsidRPr="00B3077A">
        <w:rPr>
          <w:rFonts w:ascii="Times New Roman" w:hAnsi="Times New Roman" w:eastAsia="Times New Roman" w:cs="Times New Roman"/>
          <w:sz w:val="24"/>
          <w:szCs w:val="24"/>
        </w:rPr>
        <w:t>, as</w:t>
      </w:r>
      <w:r w:rsidRPr="00B3077A" w:rsidR="005D2008">
        <w:rPr>
          <w:rFonts w:ascii="Times New Roman" w:hAnsi="Times New Roman" w:eastAsia="Times New Roman" w:cs="Times New Roman"/>
          <w:sz w:val="24"/>
          <w:szCs w:val="24"/>
        </w:rPr>
        <w:t xml:space="preserve"> QHP</w:t>
      </w:r>
      <w:r w:rsidRPr="00B3077A">
        <w:rPr>
          <w:rFonts w:ascii="Times New Roman" w:hAnsi="Times New Roman" w:eastAsia="Times New Roman" w:cs="Times New Roman"/>
          <w:sz w:val="24"/>
          <w:szCs w:val="24"/>
        </w:rPr>
        <w:t xml:space="preserve"> issuers </w:t>
      </w:r>
      <w:r w:rsidR="00A90BBB">
        <w:rPr>
          <w:rFonts w:ascii="Times New Roman" w:hAnsi="Times New Roman" w:eastAsia="Times New Roman" w:cs="Times New Roman"/>
          <w:sz w:val="24"/>
          <w:szCs w:val="24"/>
        </w:rPr>
        <w:t xml:space="preserve">will </w:t>
      </w:r>
      <w:r w:rsidRPr="00B3077A" w:rsidR="007A146A">
        <w:rPr>
          <w:rFonts w:ascii="Times New Roman" w:hAnsi="Times New Roman" w:eastAsia="Times New Roman" w:cs="Times New Roman"/>
          <w:sz w:val="24"/>
          <w:szCs w:val="24"/>
        </w:rPr>
        <w:t xml:space="preserve">no longer be permitted to </w:t>
      </w:r>
      <w:r w:rsidRPr="00B3077A">
        <w:rPr>
          <w:rFonts w:ascii="Times New Roman" w:hAnsi="Times New Roman" w:eastAsia="Times New Roman" w:cs="Times New Roman"/>
          <w:sz w:val="24"/>
          <w:szCs w:val="24"/>
        </w:rPr>
        <w:t xml:space="preserve">send the </w:t>
      </w:r>
      <w:r w:rsidRPr="00B3077A" w:rsidR="005D2008">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 xml:space="preserve">holder </w:t>
      </w:r>
      <w:r w:rsidRPr="00B3077A">
        <w:rPr>
          <w:rFonts w:ascii="Times New Roman" w:hAnsi="Times New Roman" w:eastAsia="Times New Roman" w:cs="Times New Roman"/>
          <w:sz w:val="24"/>
          <w:szCs w:val="24"/>
        </w:rPr>
        <w:t xml:space="preserve">a single monthly invoice or bill that separately itemizes the premium amount for non-Hyde abortion services, or send the </w:t>
      </w:r>
      <w:r w:rsidRPr="00B3077A" w:rsidR="005D2008">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 xml:space="preserve">holder </w:t>
      </w:r>
      <w:r w:rsidRPr="00B3077A">
        <w:rPr>
          <w:rFonts w:ascii="Times New Roman" w:hAnsi="Times New Roman" w:eastAsia="Times New Roman" w:cs="Times New Roman"/>
          <w:sz w:val="24"/>
          <w:szCs w:val="24"/>
        </w:rPr>
        <w:t xml:space="preserve">a notice at or soon after </w:t>
      </w:r>
      <w:r w:rsidRPr="00B3077A">
        <w:rPr>
          <w:rFonts w:ascii="Times New Roman" w:hAnsi="Times New Roman" w:eastAsia="Times New Roman" w:cs="Times New Roman"/>
          <w:sz w:val="24"/>
          <w:szCs w:val="24"/>
        </w:rPr>
        <w:lastRenderedPageBreak/>
        <w:t>the time of enrollment that the monthly invoice or bill will include a separate charge for such services and specify the charge in order to meet the separate payment requirement. Rather,</w:t>
      </w:r>
      <w:r w:rsidRPr="00B3077A" w:rsidR="005D2008">
        <w:rPr>
          <w:rFonts w:ascii="Times New Roman" w:hAnsi="Times New Roman" w:eastAsia="Times New Roman" w:cs="Times New Roman"/>
          <w:sz w:val="24"/>
          <w:szCs w:val="24"/>
        </w:rPr>
        <w:t xml:space="preserve"> QHP</w:t>
      </w:r>
      <w:r w:rsidRPr="00B3077A">
        <w:rPr>
          <w:rFonts w:ascii="Times New Roman" w:hAnsi="Times New Roman" w:eastAsia="Times New Roman" w:cs="Times New Roman"/>
          <w:sz w:val="24"/>
          <w:szCs w:val="24"/>
        </w:rPr>
        <w:t xml:space="preserve"> issuers </w:t>
      </w:r>
      <w:r w:rsidR="00EB4A58">
        <w:rPr>
          <w:rFonts w:ascii="Times New Roman" w:hAnsi="Times New Roman" w:eastAsia="Times New Roman" w:cs="Times New Roman"/>
          <w:sz w:val="24"/>
          <w:szCs w:val="24"/>
        </w:rPr>
        <w:t>are only</w:t>
      </w:r>
      <w:r w:rsidRPr="00B3077A" w:rsidR="00D75BCE">
        <w:rPr>
          <w:rFonts w:ascii="Times New Roman" w:hAnsi="Times New Roman" w:eastAsia="Times New Roman" w:cs="Times New Roman"/>
          <w:sz w:val="24"/>
          <w:szCs w:val="24"/>
        </w:rPr>
        <w:t xml:space="preserve"> permitted to </w:t>
      </w:r>
      <w:r w:rsidR="00EB4A58">
        <w:rPr>
          <w:rFonts w:ascii="Times New Roman" w:hAnsi="Times New Roman" w:eastAsia="Times New Roman" w:cs="Times New Roman"/>
          <w:sz w:val="24"/>
          <w:szCs w:val="24"/>
        </w:rPr>
        <w:t xml:space="preserve">separately </w:t>
      </w:r>
      <w:r w:rsidRPr="00B3077A">
        <w:rPr>
          <w:rFonts w:ascii="Times New Roman" w:hAnsi="Times New Roman" w:eastAsia="Times New Roman" w:cs="Times New Roman"/>
          <w:sz w:val="24"/>
          <w:szCs w:val="24"/>
        </w:rPr>
        <w:t xml:space="preserve">bill for and collect this </w:t>
      </w:r>
      <w:r w:rsidRPr="00B3077A" w:rsidR="00C749F0">
        <w:rPr>
          <w:rFonts w:ascii="Times New Roman" w:hAnsi="Times New Roman" w:eastAsia="Times New Roman" w:cs="Times New Roman"/>
          <w:sz w:val="24"/>
          <w:szCs w:val="24"/>
        </w:rPr>
        <w:t xml:space="preserve">separate </w:t>
      </w:r>
      <w:r w:rsidRPr="00B3077A">
        <w:rPr>
          <w:rFonts w:ascii="Times New Roman" w:hAnsi="Times New Roman" w:eastAsia="Times New Roman" w:cs="Times New Roman"/>
          <w:sz w:val="24"/>
          <w:szCs w:val="24"/>
        </w:rPr>
        <w:t xml:space="preserve">payment in the manner </w:t>
      </w:r>
      <w:r w:rsidR="00160E20">
        <w:rPr>
          <w:rFonts w:ascii="Times New Roman" w:hAnsi="Times New Roman" w:eastAsia="Times New Roman" w:cs="Times New Roman"/>
          <w:sz w:val="24"/>
          <w:szCs w:val="24"/>
        </w:rPr>
        <w:t xml:space="preserve">finalized </w:t>
      </w:r>
      <w:r w:rsidRPr="00B3077A">
        <w:rPr>
          <w:rFonts w:ascii="Times New Roman" w:hAnsi="Times New Roman" w:eastAsia="Times New Roman" w:cs="Times New Roman"/>
          <w:sz w:val="24"/>
          <w:szCs w:val="24"/>
        </w:rPr>
        <w:t xml:space="preserve">at </w:t>
      </w:r>
      <w:r w:rsidRPr="00B3077A">
        <w:rPr>
          <w:rFonts w:ascii="Times New Roman" w:hAnsi="Times New Roman"/>
          <w:sz w:val="24"/>
          <w:szCs w:val="24"/>
        </w:rPr>
        <w:t>§156.280(e)(2)</w:t>
      </w:r>
      <w:r w:rsidR="009B4B83">
        <w:rPr>
          <w:rFonts w:ascii="Times New Roman" w:hAnsi="Times New Roman"/>
          <w:sz w:val="24"/>
          <w:szCs w:val="24"/>
        </w:rPr>
        <w:t>(ii)</w:t>
      </w:r>
      <w:r w:rsidRPr="00B3077A">
        <w:rPr>
          <w:rFonts w:ascii="Times New Roman" w:hAnsi="Times New Roman" w:eastAsia="Times New Roman" w:cs="Times New Roman"/>
          <w:sz w:val="24"/>
          <w:szCs w:val="24"/>
        </w:rPr>
        <w:t>.</w:t>
      </w:r>
    </w:p>
    <w:p w:rsidRPr="008F589E" w:rsidR="008D6EDD" w:rsidP="002A5D53" w:rsidRDefault="008D6EDD" w14:paraId="4630C910" w14:textId="77777777">
      <w:pPr>
        <w:spacing w:before="15" w:after="0" w:line="240" w:lineRule="auto"/>
        <w:rPr>
          <w:rFonts w:ascii="Times New Roman" w:hAnsi="Times New Roman" w:cs="Times New Roman"/>
          <w:sz w:val="24"/>
          <w:szCs w:val="24"/>
        </w:rPr>
      </w:pPr>
    </w:p>
    <w:p w:rsidRPr="002A5D53" w:rsidR="00D72BC8" w:rsidP="002A5D53" w:rsidRDefault="00D72BC8" w14:paraId="15DF96DF"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5.</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Small Businesses</w:t>
      </w:r>
    </w:p>
    <w:p w:rsidRPr="008F589E" w:rsidR="00D72BC8" w:rsidP="002A5D53" w:rsidRDefault="00D72BC8" w14:paraId="3DABB67D" w14:textId="77777777">
      <w:pPr>
        <w:spacing w:before="6" w:after="0" w:line="240" w:lineRule="auto"/>
        <w:rPr>
          <w:rFonts w:ascii="Times New Roman" w:hAnsi="Times New Roman" w:cs="Times New Roman"/>
          <w:sz w:val="24"/>
          <w:szCs w:val="24"/>
        </w:rPr>
      </w:pPr>
    </w:p>
    <w:p w:rsidR="007516C4" w:rsidP="002A5D53" w:rsidRDefault="007516C4" w14:paraId="75AB3A3E" w14:textId="77777777">
      <w:pPr>
        <w:spacing w:before="6" w:after="0" w:line="240" w:lineRule="auto"/>
        <w:rPr>
          <w:rFonts w:ascii="Times New Roman" w:hAnsi="Times New Roman" w:eastAsia="Times New Roman" w:cs="Times New Roman"/>
          <w:spacing w:val="1"/>
          <w:sz w:val="24"/>
          <w:szCs w:val="24"/>
        </w:rPr>
      </w:pPr>
      <w:r w:rsidRPr="007516C4">
        <w:rPr>
          <w:rFonts w:ascii="Times New Roman" w:hAnsi="Times New Roman" w:eastAsia="Times New Roman" w:cs="Times New Roman"/>
          <w:spacing w:val="1"/>
          <w:sz w:val="24"/>
          <w:szCs w:val="24"/>
        </w:rPr>
        <w:t>This information collection will not have a significant impact on small businesses.</w:t>
      </w:r>
    </w:p>
    <w:p w:rsidRPr="008F589E" w:rsidR="00D72BC8" w:rsidP="002A5D53" w:rsidRDefault="00D72BC8" w14:paraId="1FCF3C15" w14:textId="77777777">
      <w:pPr>
        <w:spacing w:before="6" w:after="0" w:line="240" w:lineRule="auto"/>
        <w:rPr>
          <w:rFonts w:ascii="Times New Roman" w:hAnsi="Times New Roman" w:cs="Times New Roman"/>
          <w:sz w:val="24"/>
          <w:szCs w:val="24"/>
        </w:rPr>
      </w:pPr>
    </w:p>
    <w:p w:rsidRPr="002A5D53" w:rsidR="00D72BC8" w:rsidP="002A5D53" w:rsidRDefault="00D72BC8" w14:paraId="6C40A866" w14:textId="77777777">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Cs/>
          <w:sz w:val="24"/>
          <w:szCs w:val="24"/>
          <w:u w:val="single"/>
        </w:rPr>
        <w:t>6.</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Less Frequent Collection</w:t>
      </w:r>
    </w:p>
    <w:p w:rsidRPr="008F589E" w:rsidR="00D72BC8" w:rsidP="002A5D53" w:rsidRDefault="00D72BC8" w14:paraId="078948CB" w14:textId="77777777">
      <w:pPr>
        <w:spacing w:before="6" w:after="0" w:line="240" w:lineRule="auto"/>
        <w:rPr>
          <w:rFonts w:ascii="Times New Roman" w:hAnsi="Times New Roman" w:cs="Times New Roman"/>
          <w:sz w:val="24"/>
          <w:szCs w:val="24"/>
        </w:rPr>
      </w:pPr>
    </w:p>
    <w:p w:rsidRPr="000E3069" w:rsidR="00260C5C" w:rsidP="002A5D53" w:rsidRDefault="00260C5C" w14:paraId="6EA232FE" w14:textId="12D10DE8">
      <w:pPr>
        <w:spacing w:after="0" w:line="240" w:lineRule="auto"/>
        <w:ind w:right="29"/>
        <w:rPr>
          <w:rFonts w:ascii="Times New Roman" w:hAnsi="Times New Roman" w:eastAsia="Times New Roman" w:cs="Times New Roman"/>
          <w:b/>
          <w:spacing w:val="1"/>
          <w:sz w:val="24"/>
          <w:szCs w:val="24"/>
        </w:rPr>
      </w:pPr>
      <w:r>
        <w:rPr>
          <w:rFonts w:ascii="Times New Roman" w:hAnsi="Times New Roman" w:eastAsia="Times New Roman" w:cs="Times New Roman"/>
          <w:b/>
          <w:spacing w:val="1"/>
          <w:sz w:val="24"/>
          <w:szCs w:val="24"/>
        </w:rPr>
        <w:t>Segregation Plan</w:t>
      </w:r>
    </w:p>
    <w:p w:rsidR="00260C5C" w:rsidP="002A5D53" w:rsidRDefault="00260C5C" w14:paraId="1BF3E627" w14:textId="74C4C87E">
      <w:pPr>
        <w:spacing w:after="0" w:line="240" w:lineRule="auto"/>
        <w:ind w:right="29"/>
        <w:rPr>
          <w:rFonts w:ascii="Times New Roman" w:hAnsi="Times New Roman" w:eastAsia="Times New Roman" w:cs="Times New Roman"/>
          <w:spacing w:val="1"/>
          <w:sz w:val="24"/>
          <w:szCs w:val="24"/>
        </w:rPr>
      </w:pPr>
      <w:r w:rsidRPr="00260C5C">
        <w:rPr>
          <w:rFonts w:ascii="Times New Roman" w:hAnsi="Times New Roman" w:eastAsia="Times New Roman" w:cs="Times New Roman"/>
          <w:spacing w:val="1"/>
          <w:sz w:val="24"/>
          <w:szCs w:val="24"/>
        </w:rPr>
        <w:t>Due to the nature of QHP certification and the regulatory requirements, it is necessary to collect information according to the indicated frequencies. If the information is collected less frequently, the result could mean non-compliance with the regulation.</w:t>
      </w:r>
    </w:p>
    <w:p w:rsidR="00260C5C" w:rsidP="002A5D53" w:rsidRDefault="00260C5C" w14:paraId="733262A0" w14:textId="77777777">
      <w:pPr>
        <w:spacing w:after="0" w:line="240" w:lineRule="auto"/>
        <w:ind w:right="29"/>
        <w:rPr>
          <w:rFonts w:ascii="Times New Roman" w:hAnsi="Times New Roman" w:eastAsia="Times New Roman" w:cs="Times New Roman"/>
          <w:spacing w:val="1"/>
          <w:sz w:val="24"/>
          <w:szCs w:val="24"/>
        </w:rPr>
      </w:pPr>
    </w:p>
    <w:p w:rsidRPr="00FD24F7" w:rsidR="00260C5C" w:rsidP="002A5D53" w:rsidRDefault="008076E0" w14:paraId="530AEB19" w14:textId="4E940B46">
      <w:pPr>
        <w:spacing w:after="0" w:line="240" w:lineRule="auto"/>
        <w:ind w:right="29"/>
        <w:rPr>
          <w:rFonts w:ascii="Times New Roman" w:hAnsi="Times New Roman" w:eastAsia="Times New Roman" w:cs="Times New Roman"/>
          <w:b/>
          <w:spacing w:val="1"/>
          <w:sz w:val="24"/>
          <w:szCs w:val="24"/>
        </w:rPr>
      </w:pPr>
      <w:r>
        <w:rPr>
          <w:rFonts w:ascii="Times New Roman" w:hAnsi="Times New Roman" w:eastAsia="Times New Roman" w:cs="Times New Roman"/>
          <w:b/>
          <w:spacing w:val="1"/>
          <w:sz w:val="24"/>
          <w:szCs w:val="24"/>
        </w:rPr>
        <w:t>Separate Billing</w:t>
      </w:r>
    </w:p>
    <w:p w:rsidRPr="008F589E" w:rsidR="00D72BC8" w:rsidP="002A5D53" w:rsidRDefault="00D72BC8" w14:paraId="38BA516A" w14:textId="0CAF28D7">
      <w:pPr>
        <w:spacing w:after="0" w:line="240" w:lineRule="auto"/>
        <w:ind w:right="29"/>
        <w:rPr>
          <w:rFonts w:ascii="Times New Roman" w:hAnsi="Times New Roman" w:eastAsia="Times New Roman" w:cs="Times New Roman"/>
          <w:sz w:val="24"/>
          <w:szCs w:val="24"/>
        </w:rPr>
      </w:pPr>
      <w:r w:rsidRPr="008F589E">
        <w:rPr>
          <w:rFonts w:ascii="Times New Roman" w:hAnsi="Times New Roman" w:eastAsia="Times New Roman" w:cs="Times New Roman"/>
          <w:spacing w:val="1"/>
          <w:sz w:val="24"/>
          <w:szCs w:val="24"/>
        </w:rPr>
        <w:t>W</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a</w:t>
      </w:r>
      <w:r w:rsidRPr="008F589E">
        <w:rPr>
          <w:rFonts w:ascii="Times New Roman" w:hAnsi="Times New Roman" w:eastAsia="Times New Roman" w:cs="Times New Roman"/>
          <w:sz w:val="24"/>
          <w:szCs w:val="24"/>
        </w:rPr>
        <w:t>nt</w:t>
      </w:r>
      <w:r w:rsidRPr="008F589E">
        <w:rPr>
          <w:rFonts w:ascii="Times New Roman" w:hAnsi="Times New Roman" w:eastAsia="Times New Roman" w:cs="Times New Roman"/>
          <w:spacing w:val="-2"/>
          <w:sz w:val="24"/>
          <w:szCs w:val="24"/>
        </w:rPr>
        <w:t>i</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ip</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z w:val="24"/>
          <w:szCs w:val="24"/>
        </w:rPr>
        <w:t>te</w:t>
      </w:r>
      <w:r w:rsidRPr="008F589E">
        <w:rPr>
          <w:rFonts w:ascii="Times New Roman" w:hAnsi="Times New Roman" w:eastAsia="Times New Roman" w:cs="Times New Roman"/>
          <w:spacing w:val="-1"/>
          <w:sz w:val="24"/>
          <w:szCs w:val="24"/>
        </w:rPr>
        <w:t xml:space="preserve"> </w:t>
      </w:r>
      <w:r w:rsidRPr="008F589E">
        <w:rPr>
          <w:rFonts w:ascii="Times New Roman" w:hAnsi="Times New Roman" w:eastAsia="Times New Roman" w:cs="Times New Roman"/>
          <w:sz w:val="24"/>
          <w:szCs w:val="24"/>
        </w:rPr>
        <w:t>th</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z w:val="24"/>
          <w:szCs w:val="24"/>
        </w:rPr>
        <w:t>t</w:t>
      </w:r>
      <w:r w:rsidR="00E6008A">
        <w:rPr>
          <w:rFonts w:ascii="Times New Roman" w:hAnsi="Times New Roman" w:eastAsia="Times New Roman" w:cs="Times New Roman"/>
          <w:sz w:val="24"/>
          <w:szCs w:val="24"/>
        </w:rPr>
        <w:t xml:space="preserve"> QHP</w:t>
      </w:r>
      <w:r w:rsidRPr="008F589E">
        <w:rPr>
          <w:rFonts w:ascii="Times New Roman" w:hAnsi="Times New Roman" w:eastAsia="Times New Roman" w:cs="Times New Roman"/>
          <w:spacing w:val="-2"/>
          <w:sz w:val="24"/>
          <w:szCs w:val="24"/>
        </w:rPr>
        <w:t xml:space="preserve"> </w:t>
      </w:r>
      <w:r w:rsidR="00901ED3">
        <w:rPr>
          <w:rFonts w:ascii="Times New Roman" w:hAnsi="Times New Roman" w:eastAsia="Times New Roman" w:cs="Times New Roman"/>
          <w:sz w:val="24"/>
          <w:szCs w:val="24"/>
        </w:rPr>
        <w:t xml:space="preserve">issuers </w:t>
      </w:r>
      <w:r w:rsidR="00FD24F7">
        <w:rPr>
          <w:rFonts w:ascii="Times New Roman" w:hAnsi="Times New Roman" w:eastAsia="Times New Roman" w:cs="Times New Roman"/>
          <w:sz w:val="24"/>
          <w:szCs w:val="24"/>
        </w:rPr>
        <w:t xml:space="preserve">offering coverage of non-Hyde abortion services </w:t>
      </w:r>
      <w:r w:rsidR="00901ED3">
        <w:rPr>
          <w:rFonts w:ascii="Times New Roman" w:hAnsi="Times New Roman" w:eastAsia="Times New Roman" w:cs="Times New Roman"/>
          <w:sz w:val="24"/>
          <w:szCs w:val="24"/>
        </w:rPr>
        <w:t>will collect payment</w:t>
      </w:r>
      <w:r w:rsidR="008D1AF1">
        <w:rPr>
          <w:rFonts w:ascii="Times New Roman" w:hAnsi="Times New Roman" w:eastAsia="Times New Roman" w:cs="Times New Roman"/>
          <w:sz w:val="24"/>
          <w:szCs w:val="24"/>
        </w:rPr>
        <w:t xml:space="preserve"> monthly</w:t>
      </w:r>
      <w:r w:rsidR="00901ED3">
        <w:rPr>
          <w:rFonts w:ascii="Times New Roman" w:hAnsi="Times New Roman" w:eastAsia="Times New Roman" w:cs="Times New Roman"/>
          <w:sz w:val="24"/>
          <w:szCs w:val="24"/>
        </w:rPr>
        <w:t xml:space="preserve"> from </w:t>
      </w:r>
      <w:r w:rsidR="00E6008A">
        <w:rPr>
          <w:rFonts w:ascii="Times New Roman" w:hAnsi="Times New Roman" w:eastAsia="Times New Roman" w:cs="Times New Roman"/>
          <w:sz w:val="24"/>
          <w:szCs w:val="24"/>
        </w:rPr>
        <w:t xml:space="preserve">policy </w:t>
      </w:r>
      <w:r w:rsidR="00551838">
        <w:rPr>
          <w:rFonts w:ascii="Times New Roman" w:hAnsi="Times New Roman" w:eastAsia="Times New Roman" w:cs="Times New Roman"/>
          <w:sz w:val="24"/>
          <w:szCs w:val="24"/>
        </w:rPr>
        <w:t xml:space="preserve">holders </w:t>
      </w:r>
      <w:r w:rsidR="00901ED3">
        <w:rPr>
          <w:rFonts w:ascii="Times New Roman" w:hAnsi="Times New Roman" w:eastAsia="Times New Roman" w:cs="Times New Roman"/>
          <w:sz w:val="24"/>
          <w:szCs w:val="24"/>
        </w:rPr>
        <w:t>for the portion of their premium attributable to non-Hyde abortion coverage</w:t>
      </w:r>
      <w:r w:rsidR="00754758">
        <w:rPr>
          <w:rFonts w:ascii="Times New Roman" w:hAnsi="Times New Roman" w:eastAsia="Times New Roman" w:cs="Times New Roman"/>
          <w:sz w:val="24"/>
          <w:szCs w:val="24"/>
        </w:rPr>
        <w:t xml:space="preserve">, as </w:t>
      </w:r>
      <w:r w:rsidR="00087A57">
        <w:rPr>
          <w:rFonts w:ascii="Times New Roman" w:hAnsi="Times New Roman" w:eastAsia="Times New Roman" w:cs="Times New Roman"/>
          <w:sz w:val="24"/>
          <w:szCs w:val="24"/>
        </w:rPr>
        <w:t xml:space="preserve">health insurance </w:t>
      </w:r>
      <w:r w:rsidR="00754758">
        <w:rPr>
          <w:rFonts w:ascii="Times New Roman" w:hAnsi="Times New Roman" w:eastAsia="Times New Roman" w:cs="Times New Roman"/>
          <w:sz w:val="24"/>
          <w:szCs w:val="24"/>
        </w:rPr>
        <w:t>premiums are usually billed on a monthly basis</w:t>
      </w:r>
      <w:r w:rsidR="00901ED3">
        <w:rPr>
          <w:rFonts w:ascii="Times New Roman" w:hAnsi="Times New Roman" w:eastAsia="Times New Roman" w:cs="Times New Roman"/>
          <w:sz w:val="24"/>
          <w:szCs w:val="24"/>
        </w:rPr>
        <w:t xml:space="preserve">. </w:t>
      </w:r>
    </w:p>
    <w:p w:rsidRPr="008F589E" w:rsidR="00D72BC8" w:rsidP="002A5D53" w:rsidRDefault="00D72BC8" w14:paraId="5ED215CA" w14:textId="77777777">
      <w:pPr>
        <w:spacing w:before="6" w:after="0" w:line="240" w:lineRule="auto"/>
        <w:rPr>
          <w:rFonts w:ascii="Times New Roman" w:hAnsi="Times New Roman" w:cs="Times New Roman"/>
          <w:sz w:val="24"/>
          <w:szCs w:val="24"/>
        </w:rPr>
      </w:pPr>
    </w:p>
    <w:p w:rsidRPr="002A5D53" w:rsidR="00D72BC8" w:rsidP="002A5D53" w:rsidRDefault="00D72BC8" w14:paraId="3C9ACEC2"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7.</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Special Circumstances</w:t>
      </w:r>
    </w:p>
    <w:p w:rsidRPr="008F589E" w:rsidR="00D72BC8" w:rsidP="002A5D53" w:rsidRDefault="00D72BC8" w14:paraId="19FAC34B" w14:textId="132BB3BC">
      <w:pPr>
        <w:spacing w:before="4" w:after="0" w:line="240" w:lineRule="auto"/>
        <w:rPr>
          <w:rFonts w:ascii="Times New Roman" w:hAnsi="Times New Roman" w:cs="Times New Roman"/>
          <w:sz w:val="24"/>
          <w:szCs w:val="24"/>
        </w:rPr>
      </w:pPr>
    </w:p>
    <w:p w:rsidR="00D72BC8" w:rsidRDefault="00D72BC8" w14:paraId="4422CD6B" w14:textId="7360D382">
      <w:pPr>
        <w:spacing w:after="0" w:line="240" w:lineRule="auto"/>
        <w:ind w:right="-20"/>
        <w:rPr>
          <w:rFonts w:ascii="Times New Roman" w:hAnsi="Times New Roman" w:eastAsia="Times New Roman" w:cs="Times New Roman"/>
          <w:sz w:val="24"/>
          <w:szCs w:val="24"/>
        </w:rPr>
      </w:pPr>
      <w:r w:rsidRPr="008F589E">
        <w:rPr>
          <w:rFonts w:ascii="Times New Roman" w:hAnsi="Times New Roman" w:eastAsia="Times New Roman" w:cs="Times New Roman"/>
          <w:sz w:val="24"/>
          <w:szCs w:val="24"/>
        </w:rPr>
        <w:t>Th</w:t>
      </w:r>
      <w:r w:rsidRPr="008F589E">
        <w:rPr>
          <w:rFonts w:ascii="Times New Roman" w:hAnsi="Times New Roman" w:eastAsia="Times New Roman" w:cs="Times New Roman"/>
          <w:spacing w:val="-1"/>
          <w:sz w:val="24"/>
          <w:szCs w:val="24"/>
        </w:rPr>
        <w:t>er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ar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w:t>
      </w:r>
      <w:r w:rsidRPr="008F589E">
        <w:rPr>
          <w:rFonts w:ascii="Times New Roman" w:hAnsi="Times New Roman" w:eastAsia="Times New Roman" w:cs="Times New Roman"/>
          <w:sz w:val="24"/>
          <w:szCs w:val="24"/>
        </w:rPr>
        <w:t>no s</w:t>
      </w:r>
      <w:r w:rsidRPr="008F589E">
        <w:rPr>
          <w:rFonts w:ascii="Times New Roman" w:hAnsi="Times New Roman" w:eastAsia="Times New Roman" w:cs="Times New Roman"/>
          <w:spacing w:val="2"/>
          <w:sz w:val="24"/>
          <w:szCs w:val="24"/>
        </w:rPr>
        <w:t>p</w:t>
      </w:r>
      <w:r w:rsidRPr="008F589E">
        <w:rPr>
          <w:rFonts w:ascii="Times New Roman" w:hAnsi="Times New Roman" w:eastAsia="Times New Roman" w:cs="Times New Roman"/>
          <w:spacing w:val="-1"/>
          <w:sz w:val="24"/>
          <w:szCs w:val="24"/>
        </w:rPr>
        <w:t>ec</w:t>
      </w:r>
      <w:r w:rsidRPr="008F589E">
        <w:rPr>
          <w:rFonts w:ascii="Times New Roman" w:hAnsi="Times New Roman" w:eastAsia="Times New Roman" w:cs="Times New Roman"/>
          <w:sz w:val="24"/>
          <w:szCs w:val="24"/>
        </w:rPr>
        <w:t>i</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z w:val="24"/>
          <w:szCs w:val="24"/>
        </w:rPr>
        <w:t xml:space="preserve">l </w:t>
      </w:r>
      <w:r w:rsidRPr="00AE7E08">
        <w:rPr>
          <w:rFonts w:ascii="Times New Roman" w:hAnsi="Times New Roman" w:eastAsia="Times New Roman" w:cs="Times New Roman"/>
          <w:spacing w:val="-1"/>
          <w:sz w:val="24"/>
          <w:szCs w:val="24"/>
        </w:rPr>
        <w:t>c</w:t>
      </w:r>
      <w:r w:rsidRPr="00AE7E08">
        <w:rPr>
          <w:rFonts w:ascii="Times New Roman" w:hAnsi="Times New Roman" w:eastAsia="Times New Roman" w:cs="Times New Roman"/>
          <w:sz w:val="24"/>
          <w:szCs w:val="24"/>
        </w:rPr>
        <w:t>i</w:t>
      </w:r>
      <w:r w:rsidRPr="00AE7E08">
        <w:rPr>
          <w:rFonts w:ascii="Times New Roman" w:hAnsi="Times New Roman" w:eastAsia="Times New Roman" w:cs="Times New Roman"/>
          <w:spacing w:val="2"/>
          <w:sz w:val="24"/>
          <w:szCs w:val="24"/>
        </w:rPr>
        <w:t>r</w:t>
      </w:r>
      <w:r w:rsidRPr="00AE7E08">
        <w:rPr>
          <w:rFonts w:ascii="Times New Roman" w:hAnsi="Times New Roman" w:eastAsia="Times New Roman" w:cs="Times New Roman"/>
          <w:spacing w:val="1"/>
          <w:sz w:val="24"/>
          <w:szCs w:val="24"/>
        </w:rPr>
        <w:t>c</w:t>
      </w:r>
      <w:r w:rsidRPr="00AE7E08">
        <w:rPr>
          <w:rFonts w:ascii="Times New Roman" w:hAnsi="Times New Roman" w:eastAsia="Times New Roman" w:cs="Times New Roman"/>
          <w:sz w:val="24"/>
          <w:szCs w:val="24"/>
        </w:rPr>
        <w:t>umst</w:t>
      </w:r>
      <w:r w:rsidRPr="00AE7E08">
        <w:rPr>
          <w:rFonts w:ascii="Times New Roman" w:hAnsi="Times New Roman" w:eastAsia="Times New Roman" w:cs="Times New Roman"/>
          <w:spacing w:val="-1"/>
          <w:sz w:val="24"/>
          <w:szCs w:val="24"/>
        </w:rPr>
        <w:t>a</w:t>
      </w:r>
      <w:r w:rsidRPr="00AE7E08">
        <w:rPr>
          <w:rFonts w:ascii="Times New Roman" w:hAnsi="Times New Roman" w:eastAsia="Times New Roman" w:cs="Times New Roman"/>
          <w:sz w:val="24"/>
          <w:szCs w:val="24"/>
        </w:rPr>
        <w:t>n</w:t>
      </w:r>
      <w:r w:rsidRPr="00AE7E08">
        <w:rPr>
          <w:rFonts w:ascii="Times New Roman" w:hAnsi="Times New Roman" w:eastAsia="Times New Roman" w:cs="Times New Roman"/>
          <w:spacing w:val="-1"/>
          <w:sz w:val="24"/>
          <w:szCs w:val="24"/>
        </w:rPr>
        <w:t>ce</w:t>
      </w:r>
      <w:r w:rsidRPr="00AE7E08">
        <w:rPr>
          <w:rFonts w:ascii="Times New Roman" w:hAnsi="Times New Roman" w:eastAsia="Times New Roman" w:cs="Times New Roman"/>
          <w:sz w:val="24"/>
          <w:szCs w:val="24"/>
        </w:rPr>
        <w:t>s.</w:t>
      </w:r>
    </w:p>
    <w:p w:rsidRPr="00AE7E08" w:rsidR="00D72BC8" w:rsidP="002A5D53" w:rsidRDefault="00D72BC8" w14:paraId="062F4C0E" w14:textId="77777777">
      <w:pPr>
        <w:spacing w:before="8" w:after="0" w:line="240" w:lineRule="auto"/>
        <w:rPr>
          <w:rFonts w:ascii="Times New Roman" w:hAnsi="Times New Roman" w:cs="Times New Roman"/>
          <w:sz w:val="24"/>
          <w:szCs w:val="24"/>
        </w:rPr>
      </w:pPr>
    </w:p>
    <w:p w:rsidRPr="002A5D53" w:rsidR="00D72BC8" w:rsidP="002A5D53" w:rsidRDefault="00D72BC8" w14:paraId="5F8561D1"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8.</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Federal Register/Outside Consultation</w:t>
      </w:r>
    </w:p>
    <w:p w:rsidRPr="00AE7E08" w:rsidR="00D72BC8" w:rsidP="002A5D53" w:rsidRDefault="00D72BC8" w14:paraId="1B0679A0" w14:textId="77777777">
      <w:pPr>
        <w:spacing w:before="11" w:after="0" w:line="240" w:lineRule="auto"/>
        <w:rPr>
          <w:rFonts w:ascii="Times New Roman" w:hAnsi="Times New Roman" w:cs="Times New Roman"/>
          <w:sz w:val="24"/>
          <w:szCs w:val="24"/>
        </w:rPr>
      </w:pPr>
    </w:p>
    <w:p w:rsidRPr="008F589E" w:rsidR="00D72BC8" w:rsidP="002A5D53" w:rsidRDefault="008C0D9E" w14:paraId="4A951D0D" w14:textId="5B980982">
      <w:pPr>
        <w:spacing w:after="0" w:line="240" w:lineRule="auto"/>
        <w:ind w:right="29"/>
        <w:rPr>
          <w:rFonts w:ascii="Times New Roman" w:hAnsi="Times New Roman" w:eastAsia="Times New Roman" w:cs="Times New Roman"/>
          <w:sz w:val="24"/>
          <w:szCs w:val="24"/>
        </w:rPr>
      </w:pPr>
      <w:r w:rsidRPr="00AE7E08">
        <w:rPr>
          <w:rFonts w:ascii="Times New Roman" w:hAnsi="Times New Roman" w:eastAsia="Times New Roman" w:cs="Times New Roman"/>
          <w:sz w:val="24"/>
          <w:szCs w:val="24"/>
        </w:rPr>
        <w:t xml:space="preserve">This notice </w:t>
      </w:r>
      <w:r w:rsidR="00260C5C">
        <w:rPr>
          <w:rFonts w:ascii="Times New Roman" w:hAnsi="Times New Roman" w:eastAsia="Times New Roman" w:cs="Times New Roman"/>
          <w:sz w:val="24"/>
          <w:szCs w:val="24"/>
        </w:rPr>
        <w:t>serves to finalize the</w:t>
      </w:r>
      <w:r w:rsidRPr="00AE7E08" w:rsidR="00260C5C">
        <w:rPr>
          <w:rFonts w:ascii="Times New Roman" w:hAnsi="Times New Roman" w:eastAsia="Times New Roman" w:cs="Times New Roman"/>
          <w:sz w:val="24"/>
          <w:szCs w:val="24"/>
        </w:rPr>
        <w:t xml:space="preserve"> </w:t>
      </w:r>
      <w:r w:rsidRPr="00AE7E08" w:rsidR="00E07965">
        <w:rPr>
          <w:rFonts w:ascii="Times New Roman" w:hAnsi="Times New Roman" w:eastAsia="Times New Roman" w:cs="Times New Roman"/>
          <w:sz w:val="24"/>
          <w:szCs w:val="24"/>
        </w:rPr>
        <w:t>new</w:t>
      </w:r>
      <w:r w:rsidRPr="00AE7E08" w:rsidR="00D72BC8">
        <w:rPr>
          <w:rFonts w:ascii="Times New Roman" w:hAnsi="Times New Roman" w:eastAsia="Times New Roman" w:cs="Times New Roman"/>
          <w:spacing w:val="-1"/>
          <w:sz w:val="24"/>
          <w:szCs w:val="24"/>
        </w:rPr>
        <w:t xml:space="preserve"> </w:t>
      </w:r>
      <w:r w:rsidR="00D51872">
        <w:rPr>
          <w:rFonts w:ascii="Times New Roman" w:hAnsi="Times New Roman" w:eastAsia="Times New Roman" w:cs="Times New Roman"/>
          <w:sz w:val="24"/>
          <w:szCs w:val="24"/>
        </w:rPr>
        <w:t>ICRs</w:t>
      </w:r>
      <w:r w:rsidRPr="00AE7E08" w:rsidR="00E7579D">
        <w:rPr>
          <w:rFonts w:ascii="Times New Roman" w:hAnsi="Times New Roman" w:eastAsia="Times New Roman" w:cs="Times New Roman"/>
          <w:sz w:val="24"/>
          <w:szCs w:val="24"/>
        </w:rPr>
        <w:t xml:space="preserve"> </w:t>
      </w:r>
      <w:r w:rsidRPr="00AE7E08" w:rsidR="00E07965">
        <w:rPr>
          <w:rFonts w:ascii="Times New Roman" w:hAnsi="Times New Roman" w:eastAsia="Times New Roman" w:cs="Times New Roman"/>
          <w:sz w:val="24"/>
          <w:szCs w:val="24"/>
        </w:rPr>
        <w:t xml:space="preserve">to reflect the </w:t>
      </w:r>
      <w:r w:rsidR="00260C5C">
        <w:rPr>
          <w:rFonts w:ascii="Times New Roman" w:hAnsi="Times New Roman" w:eastAsia="Times New Roman" w:cs="Times New Roman"/>
          <w:sz w:val="24"/>
          <w:szCs w:val="24"/>
        </w:rPr>
        <w:t>finalized</w:t>
      </w:r>
      <w:r w:rsidRPr="00AE7E08" w:rsidR="00260C5C">
        <w:rPr>
          <w:rFonts w:ascii="Times New Roman" w:hAnsi="Times New Roman" w:eastAsia="Times New Roman" w:cs="Times New Roman"/>
          <w:sz w:val="24"/>
          <w:szCs w:val="24"/>
        </w:rPr>
        <w:t xml:space="preserve"> </w:t>
      </w:r>
      <w:r w:rsidRPr="00AE7E08" w:rsidR="00E07965">
        <w:rPr>
          <w:rFonts w:ascii="Times New Roman" w:hAnsi="Times New Roman" w:eastAsia="Times New Roman" w:cs="Times New Roman"/>
          <w:sz w:val="24"/>
          <w:szCs w:val="24"/>
        </w:rPr>
        <w:t>policy at §156.280(e)(2)</w:t>
      </w:r>
      <w:r w:rsidR="009B4B83">
        <w:rPr>
          <w:rFonts w:ascii="Times New Roman" w:hAnsi="Times New Roman" w:eastAsia="Times New Roman" w:cs="Times New Roman"/>
          <w:sz w:val="24"/>
          <w:szCs w:val="24"/>
        </w:rPr>
        <w:t>(ii)</w:t>
      </w:r>
      <w:r w:rsidR="00AF4A2E">
        <w:rPr>
          <w:rFonts w:ascii="Times New Roman" w:hAnsi="Times New Roman" w:eastAsia="Times New Roman" w:cs="Times New Roman"/>
          <w:sz w:val="24"/>
          <w:szCs w:val="24"/>
        </w:rPr>
        <w:t xml:space="preserve">. </w:t>
      </w:r>
      <w:r w:rsidR="0072281B">
        <w:rPr>
          <w:rFonts w:ascii="Times New Roman" w:hAnsi="Times New Roman" w:eastAsia="Times New Roman" w:cs="Times New Roman"/>
          <w:sz w:val="24"/>
          <w:szCs w:val="24"/>
        </w:rPr>
        <w:t xml:space="preserve">All comments received on this </w:t>
      </w:r>
      <w:r w:rsidR="00D51872">
        <w:rPr>
          <w:rFonts w:ascii="Times New Roman" w:hAnsi="Times New Roman" w:eastAsia="Times New Roman" w:cs="Times New Roman"/>
          <w:sz w:val="24"/>
          <w:szCs w:val="24"/>
        </w:rPr>
        <w:t>ICR</w:t>
      </w:r>
      <w:r w:rsidR="0072281B">
        <w:rPr>
          <w:rFonts w:ascii="Times New Roman" w:hAnsi="Times New Roman" w:eastAsia="Times New Roman" w:cs="Times New Roman"/>
          <w:sz w:val="24"/>
          <w:szCs w:val="24"/>
        </w:rPr>
        <w:t xml:space="preserve"> are </w:t>
      </w:r>
      <w:r w:rsidR="00D51872">
        <w:rPr>
          <w:rFonts w:ascii="Times New Roman" w:hAnsi="Times New Roman" w:eastAsia="Times New Roman" w:cs="Times New Roman"/>
          <w:sz w:val="24"/>
          <w:szCs w:val="24"/>
        </w:rPr>
        <w:t xml:space="preserve">summarized and </w:t>
      </w:r>
      <w:r w:rsidR="0072281B">
        <w:rPr>
          <w:rFonts w:ascii="Times New Roman" w:hAnsi="Times New Roman" w:eastAsia="Times New Roman" w:cs="Times New Roman"/>
          <w:sz w:val="24"/>
          <w:szCs w:val="24"/>
        </w:rPr>
        <w:t>addressed in the Program Integrity Rule</w:t>
      </w:r>
      <w:r w:rsidR="00704168">
        <w:rPr>
          <w:rFonts w:ascii="Times New Roman" w:hAnsi="Times New Roman" w:eastAsia="Times New Roman" w:cs="Times New Roman"/>
          <w:sz w:val="24"/>
          <w:szCs w:val="24"/>
        </w:rPr>
        <w:t xml:space="preserve"> (</w:t>
      </w:r>
      <w:r w:rsidR="002B0836">
        <w:rPr>
          <w:rFonts w:ascii="Times New Roman" w:hAnsi="Times New Roman" w:eastAsia="Times New Roman" w:cs="Times New Roman"/>
          <w:sz w:val="24"/>
          <w:szCs w:val="24"/>
        </w:rPr>
        <w:t>December 27</w:t>
      </w:r>
      <w:bookmarkStart w:name="_GoBack" w:id="0"/>
      <w:bookmarkEnd w:id="0"/>
      <w:r w:rsidR="002B0836">
        <w:rPr>
          <w:rFonts w:ascii="Times New Roman" w:hAnsi="Times New Roman" w:eastAsia="Times New Roman" w:cs="Times New Roman"/>
          <w:sz w:val="24"/>
          <w:szCs w:val="24"/>
        </w:rPr>
        <w:t>, 2019 (84 FR 71674</w:t>
      </w:r>
      <w:r w:rsidR="00704168">
        <w:rPr>
          <w:rFonts w:ascii="Times New Roman" w:hAnsi="Times New Roman" w:eastAsia="Times New Roman" w:cs="Times New Roman"/>
          <w:sz w:val="24"/>
          <w:szCs w:val="24"/>
        </w:rPr>
        <w:t>)</w:t>
      </w:r>
      <w:r w:rsidR="0072281B">
        <w:rPr>
          <w:rFonts w:ascii="Times New Roman" w:hAnsi="Times New Roman" w:eastAsia="Times New Roman" w:cs="Times New Roman"/>
          <w:sz w:val="24"/>
          <w:szCs w:val="24"/>
        </w:rPr>
        <w:t xml:space="preserve">. </w:t>
      </w:r>
    </w:p>
    <w:p w:rsidRPr="008F589E" w:rsidR="00D72BC8" w:rsidRDefault="00D72BC8" w14:paraId="55886A17" w14:textId="77777777">
      <w:pPr>
        <w:spacing w:before="6" w:after="0" w:line="240" w:lineRule="auto"/>
        <w:rPr>
          <w:rFonts w:ascii="Times New Roman" w:hAnsi="Times New Roman" w:cs="Times New Roman"/>
          <w:sz w:val="24"/>
          <w:szCs w:val="24"/>
        </w:rPr>
      </w:pPr>
    </w:p>
    <w:p w:rsidRPr="002A5D53" w:rsidR="00D72BC8" w:rsidP="002A5D53" w:rsidRDefault="00D72BC8" w14:paraId="6D5AE38C"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9.</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Payments/Gifts to Respondents</w:t>
      </w:r>
    </w:p>
    <w:p w:rsidRPr="008F589E" w:rsidR="00D72BC8" w:rsidP="002A5D53" w:rsidRDefault="00D72BC8" w14:paraId="52D860FA" w14:textId="77777777">
      <w:pPr>
        <w:spacing w:before="6" w:after="0" w:line="240" w:lineRule="auto"/>
        <w:rPr>
          <w:rFonts w:ascii="Times New Roman" w:hAnsi="Times New Roman" w:cs="Times New Roman"/>
          <w:sz w:val="24"/>
          <w:szCs w:val="24"/>
        </w:rPr>
      </w:pPr>
    </w:p>
    <w:p w:rsidR="00D72BC8" w:rsidP="002A5D53" w:rsidRDefault="00D72BC8" w14:paraId="520D3F0B" w14:textId="2750BD1E">
      <w:pPr>
        <w:spacing w:after="0" w:line="240" w:lineRule="auto"/>
        <w:ind w:right="29"/>
        <w:rPr>
          <w:rFonts w:ascii="Times New Roman" w:hAnsi="Times New Roman" w:eastAsia="Times New Roman" w:cs="Times New Roman"/>
          <w:sz w:val="24"/>
          <w:szCs w:val="24"/>
        </w:rPr>
      </w:pPr>
      <w:r w:rsidRPr="008F589E">
        <w:rPr>
          <w:rFonts w:ascii="Times New Roman" w:hAnsi="Times New Roman" w:eastAsia="Times New Roman" w:cs="Times New Roman"/>
          <w:sz w:val="24"/>
          <w:szCs w:val="24"/>
        </w:rPr>
        <w:t>No</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z w:val="24"/>
          <w:szCs w:val="24"/>
        </w:rPr>
        <w:t>p</w:t>
      </w:r>
      <w:r w:rsidRPr="008F589E">
        <w:rPr>
          <w:rFonts w:ascii="Times New Roman" w:hAnsi="Times New Roman" w:eastAsia="Times New Roman" w:cs="Times New Roman"/>
          <w:spacing w:val="4"/>
          <w:sz w:val="24"/>
          <w:szCs w:val="24"/>
        </w:rPr>
        <w:t>a</w:t>
      </w:r>
      <w:r w:rsidRPr="008F589E">
        <w:rPr>
          <w:rFonts w:ascii="Times New Roman" w:hAnsi="Times New Roman" w:eastAsia="Times New Roman" w:cs="Times New Roman"/>
          <w:spacing w:val="-12"/>
          <w:sz w:val="24"/>
          <w:szCs w:val="24"/>
        </w:rPr>
        <w:t>y</w:t>
      </w:r>
      <w:r w:rsidRPr="008F589E">
        <w:rPr>
          <w:rFonts w:ascii="Times New Roman" w:hAnsi="Times New Roman" w:eastAsia="Times New Roman" w:cs="Times New Roman"/>
          <w:spacing w:val="3"/>
          <w:sz w:val="24"/>
          <w:szCs w:val="24"/>
        </w:rPr>
        <w:t>m</w:t>
      </w:r>
      <w:r w:rsidRPr="008F589E">
        <w:rPr>
          <w:rFonts w:ascii="Times New Roman" w:hAnsi="Times New Roman" w:eastAsia="Times New Roman" w:cs="Times New Roman"/>
          <w:spacing w:val="-1"/>
          <w:sz w:val="24"/>
          <w:szCs w:val="24"/>
        </w:rPr>
        <w:t>e</w:t>
      </w:r>
      <w:r w:rsidRPr="008F589E">
        <w:rPr>
          <w:rFonts w:ascii="Times New Roman" w:hAnsi="Times New Roman" w:eastAsia="Times New Roman" w:cs="Times New Roman"/>
          <w:sz w:val="24"/>
          <w:szCs w:val="24"/>
        </w:rPr>
        <w:t>n</w:t>
      </w:r>
      <w:r w:rsidRPr="008F589E">
        <w:rPr>
          <w:rFonts w:ascii="Times New Roman" w:hAnsi="Times New Roman" w:eastAsia="Times New Roman" w:cs="Times New Roman"/>
          <w:spacing w:val="-2"/>
          <w:sz w:val="24"/>
          <w:szCs w:val="24"/>
        </w:rPr>
        <w:t>t</w:t>
      </w:r>
      <w:r w:rsidRPr="008F589E">
        <w:rPr>
          <w:rFonts w:ascii="Times New Roman" w:hAnsi="Times New Roman" w:eastAsia="Times New Roman" w:cs="Times New Roman"/>
          <w:sz w:val="24"/>
          <w:szCs w:val="24"/>
        </w:rPr>
        <w:t>s</w:t>
      </w:r>
      <w:r w:rsidRPr="008F589E">
        <w:rPr>
          <w:rFonts w:ascii="Times New Roman" w:hAnsi="Times New Roman" w:eastAsia="Times New Roman" w:cs="Times New Roman"/>
          <w:spacing w:val="-2"/>
          <w:sz w:val="24"/>
          <w:szCs w:val="24"/>
        </w:rPr>
        <w:t xml:space="preserve"> </w:t>
      </w:r>
      <w:r w:rsidR="00233742">
        <w:rPr>
          <w:rFonts w:ascii="Times New Roman" w:hAnsi="Times New Roman" w:eastAsia="Times New Roman" w:cs="Times New Roman"/>
          <w:spacing w:val="-2"/>
          <w:sz w:val="24"/>
          <w:szCs w:val="24"/>
        </w:rPr>
        <w:t>and/</w:t>
      </w:r>
      <w:r w:rsidRPr="008F589E">
        <w:rPr>
          <w:rFonts w:ascii="Times New Roman" w:hAnsi="Times New Roman" w:eastAsia="Times New Roman" w:cs="Times New Roman"/>
          <w:spacing w:val="2"/>
          <w:sz w:val="24"/>
          <w:szCs w:val="24"/>
        </w:rPr>
        <w:t>o</w:t>
      </w:r>
      <w:r w:rsidRPr="008F589E">
        <w:rPr>
          <w:rFonts w:ascii="Times New Roman" w:hAnsi="Times New Roman" w:eastAsia="Times New Roman" w:cs="Times New Roman"/>
          <w:sz w:val="24"/>
          <w:szCs w:val="24"/>
        </w:rPr>
        <w:t>r</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5"/>
          <w:sz w:val="24"/>
          <w:szCs w:val="24"/>
        </w:rPr>
        <w:t>g</w:t>
      </w:r>
      <w:r w:rsidRPr="008F589E">
        <w:rPr>
          <w:rFonts w:ascii="Times New Roman" w:hAnsi="Times New Roman" w:eastAsia="Times New Roman" w:cs="Times New Roman"/>
          <w:sz w:val="24"/>
          <w:szCs w:val="24"/>
        </w:rPr>
        <w:t>i</w:t>
      </w:r>
      <w:r w:rsidRPr="008F589E">
        <w:rPr>
          <w:rFonts w:ascii="Times New Roman" w:hAnsi="Times New Roman" w:eastAsia="Times New Roman" w:cs="Times New Roman"/>
          <w:spacing w:val="-1"/>
          <w:sz w:val="24"/>
          <w:szCs w:val="24"/>
        </w:rPr>
        <w:t>f</w:t>
      </w:r>
      <w:r w:rsidRPr="008F589E">
        <w:rPr>
          <w:rFonts w:ascii="Times New Roman" w:hAnsi="Times New Roman" w:eastAsia="Times New Roman" w:cs="Times New Roman"/>
          <w:sz w:val="24"/>
          <w:szCs w:val="24"/>
        </w:rPr>
        <w:t xml:space="preserve">ts </w:t>
      </w:r>
      <w:r w:rsidR="003559D0">
        <w:rPr>
          <w:rFonts w:ascii="Times New Roman" w:hAnsi="Times New Roman" w:eastAsia="Times New Roman" w:cs="Times New Roman"/>
          <w:sz w:val="24"/>
          <w:szCs w:val="24"/>
        </w:rPr>
        <w:t xml:space="preserve">will be provided to respondents. </w:t>
      </w:r>
    </w:p>
    <w:p w:rsidRPr="008F589E" w:rsidR="00D72BC8" w:rsidP="002A5D53" w:rsidRDefault="00D72BC8" w14:paraId="61387C3C" w14:textId="77777777">
      <w:pPr>
        <w:spacing w:before="6" w:after="0" w:line="240" w:lineRule="auto"/>
        <w:rPr>
          <w:rFonts w:ascii="Times New Roman" w:hAnsi="Times New Roman" w:cs="Times New Roman"/>
          <w:sz w:val="24"/>
          <w:szCs w:val="24"/>
        </w:rPr>
      </w:pPr>
    </w:p>
    <w:p w:rsidRPr="002A5D53" w:rsidR="00D72BC8" w:rsidP="002A5D53" w:rsidRDefault="00D72BC8" w14:paraId="4F02F192" w14:textId="77777777">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2A5D53">
        <w:rPr>
          <w:rFonts w:ascii="Times New Roman" w:hAnsi="Times New Roman" w:eastAsia="Times New Roman" w:cs="Times New Roman"/>
          <w:bCs/>
          <w:sz w:val="24"/>
          <w:szCs w:val="24"/>
          <w:u w:val="single"/>
        </w:rPr>
        <w:t>10.</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Confidentiality</w:t>
      </w:r>
    </w:p>
    <w:p w:rsidRPr="008F589E" w:rsidR="00D72BC8" w:rsidP="002A5D53" w:rsidRDefault="00D72BC8" w14:paraId="3EFA5DD5" w14:textId="77777777">
      <w:pPr>
        <w:spacing w:before="6" w:after="0" w:line="240" w:lineRule="auto"/>
        <w:rPr>
          <w:rFonts w:ascii="Times New Roman" w:hAnsi="Times New Roman" w:cs="Times New Roman"/>
          <w:sz w:val="24"/>
          <w:szCs w:val="24"/>
        </w:rPr>
      </w:pPr>
    </w:p>
    <w:p w:rsidR="00F96307" w:rsidP="002A5D53" w:rsidRDefault="0072281B" w14:paraId="407D4353" w14:textId="695A055E">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Segregation Plan</w:t>
      </w:r>
    </w:p>
    <w:p w:rsidRPr="0072281B" w:rsidR="00F96307" w:rsidP="002A5D53" w:rsidRDefault="00F96307" w14:paraId="0258B40B" w14:textId="40E63046">
      <w:pPr>
        <w:spacing w:after="0" w:line="240" w:lineRule="auto"/>
        <w:ind w:right="29"/>
        <w:rPr>
          <w:rFonts w:ascii="Times New Roman" w:hAnsi="Times New Roman" w:eastAsia="Times New Roman" w:cs="Times New Roman"/>
          <w:sz w:val="24"/>
          <w:szCs w:val="24"/>
        </w:rPr>
      </w:pPr>
      <w:r w:rsidRPr="0072281B">
        <w:rPr>
          <w:rFonts w:ascii="Times New Roman" w:hAnsi="Times New Roman" w:eastAsia="Times New Roman" w:cs="Times New Roman"/>
          <w:sz w:val="24"/>
          <w:szCs w:val="24"/>
        </w:rPr>
        <w:t>To the extent of the applicable law and HHS policies, we maintain respondent privacy with respect to the information collected.</w:t>
      </w:r>
    </w:p>
    <w:p w:rsidR="00F96307" w:rsidP="002A5D53" w:rsidRDefault="00F96307" w14:paraId="466B8B85" w14:textId="08FA3041">
      <w:pPr>
        <w:spacing w:after="0" w:line="240" w:lineRule="auto"/>
        <w:ind w:right="29"/>
        <w:rPr>
          <w:rFonts w:ascii="Times New Roman" w:hAnsi="Times New Roman" w:eastAsia="Times New Roman" w:cs="Times New Roman"/>
          <w:b/>
          <w:sz w:val="24"/>
          <w:szCs w:val="24"/>
        </w:rPr>
      </w:pPr>
    </w:p>
    <w:p w:rsidRPr="0072281B" w:rsidR="00F96307" w:rsidP="002A5D53" w:rsidRDefault="00F96307" w14:paraId="04FD0C6A" w14:textId="527B3C29">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Separate Billing</w:t>
      </w:r>
    </w:p>
    <w:p w:rsidR="00530256" w:rsidP="002A5D53" w:rsidRDefault="00FA73C2" w14:paraId="7D2B33E1" w14:textId="2E155F7D">
      <w:pPr>
        <w:spacing w:after="0" w:line="240" w:lineRule="auto"/>
        <w:ind w:right="29"/>
        <w:rPr>
          <w:rFonts w:ascii="Times New Roman" w:hAnsi="Times New Roman" w:eastAsia="Times New Roman" w:cs="Times New Roman"/>
          <w:sz w:val="24"/>
          <w:szCs w:val="24"/>
        </w:rPr>
      </w:pPr>
      <w:r>
        <w:rPr>
          <w:rFonts w:ascii="Times New Roman" w:hAnsi="Times New Roman" w:eastAsia="Times New Roman" w:cs="Times New Roman"/>
          <w:sz w:val="24"/>
          <w:szCs w:val="24"/>
        </w:rPr>
        <w:t>Confidentiality would not apply to this data collection.</w:t>
      </w:r>
    </w:p>
    <w:p w:rsidRPr="008F589E" w:rsidR="00D72BC8" w:rsidP="002A5D53" w:rsidRDefault="00D72BC8" w14:paraId="4BDE4B7F" w14:textId="77777777">
      <w:pPr>
        <w:spacing w:before="6" w:after="0" w:line="240" w:lineRule="auto"/>
        <w:rPr>
          <w:rFonts w:ascii="Times New Roman" w:hAnsi="Times New Roman" w:cs="Times New Roman"/>
          <w:sz w:val="24"/>
          <w:szCs w:val="24"/>
        </w:rPr>
      </w:pPr>
    </w:p>
    <w:p w:rsidRPr="002A5D53" w:rsidR="00D72BC8" w:rsidP="002A5D53" w:rsidRDefault="00D72BC8" w14:paraId="2A033668"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11.</w:t>
      </w:r>
      <w:r w:rsidRPr="002A5D53">
        <w:rPr>
          <w:rFonts w:ascii="Times New Roman" w:hAnsi="Times New Roman" w:eastAsia="Times New Roman" w:cs="Times New Roman"/>
          <w:bCs/>
          <w:sz w:val="24"/>
          <w:szCs w:val="24"/>
        </w:rPr>
        <w:tab/>
      </w:r>
      <w:r w:rsidRPr="002A5D53">
        <w:rPr>
          <w:rFonts w:ascii="Times New Roman" w:hAnsi="Times New Roman" w:eastAsia="Times New Roman" w:cs="Times New Roman"/>
          <w:bCs/>
          <w:sz w:val="24"/>
          <w:szCs w:val="24"/>
          <w:u w:val="single"/>
        </w:rPr>
        <w:t>Sensitive Questions</w:t>
      </w:r>
    </w:p>
    <w:p w:rsidRPr="008F589E" w:rsidR="00D72BC8" w:rsidP="002A5D53" w:rsidRDefault="00D72BC8" w14:paraId="584B0381" w14:textId="77777777">
      <w:pPr>
        <w:spacing w:before="6" w:after="0" w:line="240" w:lineRule="auto"/>
        <w:rPr>
          <w:rFonts w:ascii="Times New Roman" w:hAnsi="Times New Roman" w:cs="Times New Roman"/>
          <w:sz w:val="24"/>
          <w:szCs w:val="24"/>
        </w:rPr>
      </w:pPr>
    </w:p>
    <w:p w:rsidR="00D974C1" w:rsidP="002A5D53" w:rsidRDefault="00D974C1" w14:paraId="02A85831" w14:textId="77777777">
      <w:pPr>
        <w:spacing w:before="6" w:after="0" w:line="240" w:lineRule="auto"/>
        <w:rPr>
          <w:rFonts w:ascii="Times New Roman" w:hAnsi="Times New Roman" w:eastAsia="Times New Roman" w:cs="Times New Roman"/>
          <w:sz w:val="24"/>
          <w:szCs w:val="24"/>
        </w:rPr>
      </w:pPr>
      <w:r w:rsidRPr="00D974C1">
        <w:rPr>
          <w:rFonts w:ascii="Times New Roman" w:hAnsi="Times New Roman" w:eastAsia="Times New Roman" w:cs="Times New Roman"/>
          <w:sz w:val="24"/>
          <w:szCs w:val="24"/>
        </w:rPr>
        <w:lastRenderedPageBreak/>
        <w:t>There are no sensitive questions included in this information collection effort.</w:t>
      </w:r>
    </w:p>
    <w:p w:rsidRPr="008F589E" w:rsidR="00D72BC8" w:rsidP="002A5D53" w:rsidRDefault="00D72BC8" w14:paraId="2F4FCA7A" w14:textId="77777777">
      <w:pPr>
        <w:spacing w:before="6" w:after="0" w:line="240" w:lineRule="auto"/>
        <w:rPr>
          <w:rFonts w:ascii="Times New Roman" w:hAnsi="Times New Roman" w:cs="Times New Roman"/>
          <w:sz w:val="24"/>
          <w:szCs w:val="24"/>
        </w:rPr>
      </w:pPr>
    </w:p>
    <w:p w:rsidRPr="002A5D53" w:rsidR="00CF5EA7" w:rsidP="002A5D53" w:rsidRDefault="00D72BC8" w14:paraId="6AD4E3D1" w14:textId="57722CC8">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2A5D53">
        <w:rPr>
          <w:rFonts w:ascii="Times New Roman" w:hAnsi="Times New Roman" w:eastAsia="Times New Roman" w:cs="Times New Roman"/>
          <w:bCs/>
          <w:sz w:val="24"/>
          <w:szCs w:val="24"/>
          <w:u w:val="single"/>
        </w:rPr>
        <w:t>12.</w:t>
      </w:r>
      <w:r w:rsidR="00AF4A2E">
        <w:rPr>
          <w:rFonts w:ascii="Times New Roman" w:hAnsi="Times New Roman" w:eastAsia="Times New Roman" w:cs="Times New Roman"/>
          <w:bCs/>
          <w:sz w:val="24"/>
          <w:szCs w:val="24"/>
        </w:rPr>
        <w:tab/>
      </w:r>
      <w:r w:rsidRPr="002A5D53">
        <w:rPr>
          <w:rFonts w:ascii="Times New Roman" w:hAnsi="Times New Roman" w:eastAsia="Times New Roman" w:cs="Times New Roman"/>
          <w:bCs/>
          <w:spacing w:val="1"/>
          <w:sz w:val="24"/>
          <w:szCs w:val="24"/>
          <w:u w:val="single"/>
        </w:rPr>
        <w:t>Bu</w:t>
      </w:r>
      <w:r w:rsidRPr="002A5D53">
        <w:rPr>
          <w:rFonts w:ascii="Times New Roman" w:hAnsi="Times New Roman" w:eastAsia="Times New Roman" w:cs="Times New Roman"/>
          <w:bCs/>
          <w:spacing w:val="-1"/>
          <w:sz w:val="24"/>
          <w:szCs w:val="24"/>
          <w:u w:val="single"/>
        </w:rPr>
        <w:t>r</w:t>
      </w:r>
      <w:r w:rsidRPr="002A5D53">
        <w:rPr>
          <w:rFonts w:ascii="Times New Roman" w:hAnsi="Times New Roman" w:eastAsia="Times New Roman" w:cs="Times New Roman"/>
          <w:bCs/>
          <w:spacing w:val="1"/>
          <w:sz w:val="24"/>
          <w:szCs w:val="24"/>
          <w:u w:val="single"/>
        </w:rPr>
        <w:t>d</w:t>
      </w:r>
      <w:r w:rsidRPr="002A5D53">
        <w:rPr>
          <w:rFonts w:ascii="Times New Roman" w:hAnsi="Times New Roman" w:eastAsia="Times New Roman" w:cs="Times New Roman"/>
          <w:bCs/>
          <w:spacing w:val="-3"/>
          <w:sz w:val="24"/>
          <w:szCs w:val="24"/>
          <w:u w:val="single"/>
        </w:rPr>
        <w:t>e</w:t>
      </w:r>
      <w:r w:rsidRPr="002A5D53">
        <w:rPr>
          <w:rFonts w:ascii="Times New Roman" w:hAnsi="Times New Roman" w:eastAsia="Times New Roman" w:cs="Times New Roman"/>
          <w:bCs/>
          <w:sz w:val="24"/>
          <w:szCs w:val="24"/>
          <w:u w:val="single"/>
        </w:rPr>
        <w:t>n</w:t>
      </w:r>
      <w:r w:rsidRPr="002A5D53">
        <w:rPr>
          <w:rFonts w:ascii="Times New Roman" w:hAnsi="Times New Roman" w:eastAsia="Times New Roman" w:cs="Times New Roman"/>
          <w:bCs/>
          <w:spacing w:val="1"/>
          <w:sz w:val="24"/>
          <w:szCs w:val="24"/>
          <w:u w:val="single"/>
        </w:rPr>
        <w:t xml:space="preserve"> E</w:t>
      </w:r>
      <w:r w:rsidRPr="002A5D53">
        <w:rPr>
          <w:rFonts w:ascii="Times New Roman" w:hAnsi="Times New Roman" w:eastAsia="Times New Roman" w:cs="Times New Roman"/>
          <w:bCs/>
          <w:sz w:val="24"/>
          <w:szCs w:val="24"/>
          <w:u w:val="single"/>
        </w:rPr>
        <w:t>s</w:t>
      </w:r>
      <w:r w:rsidRPr="002A5D53">
        <w:rPr>
          <w:rFonts w:ascii="Times New Roman" w:hAnsi="Times New Roman" w:eastAsia="Times New Roman" w:cs="Times New Roman"/>
          <w:bCs/>
          <w:spacing w:val="-1"/>
          <w:sz w:val="24"/>
          <w:szCs w:val="24"/>
          <w:u w:val="single"/>
        </w:rPr>
        <w:t>t</w:t>
      </w:r>
      <w:r w:rsidRPr="002A5D53">
        <w:rPr>
          <w:rFonts w:ascii="Times New Roman" w:hAnsi="Times New Roman" w:eastAsia="Times New Roman" w:cs="Times New Roman"/>
          <w:bCs/>
          <w:sz w:val="24"/>
          <w:szCs w:val="24"/>
          <w:u w:val="single"/>
        </w:rPr>
        <w:t>i</w:t>
      </w:r>
      <w:r w:rsidRPr="002A5D53">
        <w:rPr>
          <w:rFonts w:ascii="Times New Roman" w:hAnsi="Times New Roman" w:eastAsia="Times New Roman" w:cs="Times New Roman"/>
          <w:bCs/>
          <w:spacing w:val="-6"/>
          <w:sz w:val="24"/>
          <w:szCs w:val="24"/>
          <w:u w:val="single"/>
        </w:rPr>
        <w:t>m</w:t>
      </w:r>
      <w:r w:rsidRPr="002A5D53">
        <w:rPr>
          <w:rFonts w:ascii="Times New Roman" w:hAnsi="Times New Roman" w:eastAsia="Times New Roman" w:cs="Times New Roman"/>
          <w:bCs/>
          <w:spacing w:val="-2"/>
          <w:sz w:val="24"/>
          <w:szCs w:val="24"/>
          <w:u w:val="single"/>
        </w:rPr>
        <w:t>a</w:t>
      </w:r>
      <w:r w:rsidRPr="002A5D53">
        <w:rPr>
          <w:rFonts w:ascii="Times New Roman" w:hAnsi="Times New Roman" w:eastAsia="Times New Roman" w:cs="Times New Roman"/>
          <w:bCs/>
          <w:spacing w:val="-1"/>
          <w:sz w:val="24"/>
          <w:szCs w:val="24"/>
          <w:u w:val="single"/>
        </w:rPr>
        <w:t>te</w:t>
      </w:r>
      <w:r w:rsidRPr="002A5D53">
        <w:rPr>
          <w:rFonts w:ascii="Times New Roman" w:hAnsi="Times New Roman" w:eastAsia="Times New Roman" w:cs="Times New Roman"/>
          <w:bCs/>
          <w:sz w:val="24"/>
          <w:szCs w:val="24"/>
          <w:u w:val="single"/>
        </w:rPr>
        <w:t>s</w:t>
      </w:r>
      <w:r w:rsidRPr="002A5D53">
        <w:rPr>
          <w:rFonts w:ascii="Times New Roman" w:hAnsi="Times New Roman" w:eastAsia="Times New Roman" w:cs="Times New Roman"/>
          <w:bCs/>
          <w:spacing w:val="3"/>
          <w:sz w:val="24"/>
          <w:szCs w:val="24"/>
          <w:u w:val="single"/>
        </w:rPr>
        <w:t xml:space="preserve"> </w:t>
      </w:r>
      <w:r w:rsidRPr="002A5D53">
        <w:rPr>
          <w:rFonts w:ascii="Times New Roman" w:hAnsi="Times New Roman" w:eastAsia="Times New Roman" w:cs="Times New Roman"/>
          <w:bCs/>
          <w:spacing w:val="-1"/>
          <w:sz w:val="24"/>
          <w:szCs w:val="24"/>
          <w:u w:val="single"/>
        </w:rPr>
        <w:t>(</w:t>
      </w:r>
      <w:r w:rsidRPr="002A5D53">
        <w:rPr>
          <w:rFonts w:ascii="Times New Roman" w:hAnsi="Times New Roman" w:eastAsia="Times New Roman" w:cs="Times New Roman"/>
          <w:bCs/>
          <w:sz w:val="24"/>
          <w:szCs w:val="24"/>
          <w:u w:val="single"/>
        </w:rPr>
        <w:t>Ho</w:t>
      </w:r>
      <w:r w:rsidRPr="002A5D53">
        <w:rPr>
          <w:rFonts w:ascii="Times New Roman" w:hAnsi="Times New Roman" w:eastAsia="Times New Roman" w:cs="Times New Roman"/>
          <w:bCs/>
          <w:spacing w:val="1"/>
          <w:sz w:val="24"/>
          <w:szCs w:val="24"/>
          <w:u w:val="single"/>
        </w:rPr>
        <w:t>u</w:t>
      </w:r>
      <w:r w:rsidRPr="002A5D53">
        <w:rPr>
          <w:rFonts w:ascii="Times New Roman" w:hAnsi="Times New Roman" w:eastAsia="Times New Roman" w:cs="Times New Roman"/>
          <w:bCs/>
          <w:spacing w:val="-3"/>
          <w:sz w:val="24"/>
          <w:szCs w:val="24"/>
          <w:u w:val="single"/>
        </w:rPr>
        <w:t>r</w:t>
      </w:r>
      <w:r w:rsidRPr="002A5D53">
        <w:rPr>
          <w:rFonts w:ascii="Times New Roman" w:hAnsi="Times New Roman" w:eastAsia="Times New Roman" w:cs="Times New Roman"/>
          <w:bCs/>
          <w:sz w:val="24"/>
          <w:szCs w:val="24"/>
          <w:u w:val="single"/>
        </w:rPr>
        <w:t>s &amp;</w:t>
      </w:r>
      <w:r w:rsidRPr="002A5D53">
        <w:rPr>
          <w:rFonts w:ascii="Times New Roman" w:hAnsi="Times New Roman" w:eastAsia="Times New Roman" w:cs="Times New Roman"/>
          <w:bCs/>
          <w:spacing w:val="-1"/>
          <w:sz w:val="24"/>
          <w:szCs w:val="24"/>
          <w:u w:val="single"/>
        </w:rPr>
        <w:t xml:space="preserve"> </w:t>
      </w:r>
      <w:r w:rsidRPr="002A5D53">
        <w:rPr>
          <w:rFonts w:ascii="Times New Roman" w:hAnsi="Times New Roman" w:eastAsia="Times New Roman" w:cs="Times New Roman"/>
          <w:bCs/>
          <w:sz w:val="24"/>
          <w:szCs w:val="24"/>
          <w:u w:val="single"/>
        </w:rPr>
        <w:t>Wag</w:t>
      </w:r>
      <w:r w:rsidRPr="002A5D53">
        <w:rPr>
          <w:rFonts w:ascii="Times New Roman" w:hAnsi="Times New Roman" w:eastAsia="Times New Roman" w:cs="Times New Roman"/>
          <w:bCs/>
          <w:spacing w:val="-1"/>
          <w:sz w:val="24"/>
          <w:szCs w:val="24"/>
          <w:u w:val="single"/>
        </w:rPr>
        <w:t>e</w:t>
      </w:r>
      <w:r w:rsidRPr="002A5D53">
        <w:rPr>
          <w:rFonts w:ascii="Times New Roman" w:hAnsi="Times New Roman" w:eastAsia="Times New Roman" w:cs="Times New Roman"/>
          <w:bCs/>
          <w:sz w:val="24"/>
          <w:szCs w:val="24"/>
          <w:u w:val="single"/>
        </w:rPr>
        <w:t>s)</w:t>
      </w:r>
    </w:p>
    <w:p w:rsidR="00242A4D" w:rsidRDefault="00242A4D" w14:paraId="77EA19AE" w14:textId="0079ED9B">
      <w:pPr>
        <w:tabs>
          <w:tab w:val="left" w:pos="1180"/>
        </w:tabs>
        <w:spacing w:after="0" w:line="240" w:lineRule="auto"/>
        <w:ind w:left="119" w:right="-20"/>
        <w:rPr>
          <w:rFonts w:ascii="Times New Roman" w:hAnsi="Times New Roman" w:eastAsia="Times New Roman" w:cs="Times New Roman"/>
          <w:b/>
          <w:bCs/>
          <w:sz w:val="24"/>
          <w:szCs w:val="24"/>
        </w:rPr>
      </w:pPr>
    </w:p>
    <w:p w:rsidR="00242A4D" w:rsidP="002A5D53" w:rsidRDefault="00242A4D" w14:paraId="59E6617B" w14:textId="4ED70066">
      <w:pPr>
        <w:tabs>
          <w:tab w:val="left" w:pos="1180"/>
        </w:tabs>
        <w:spacing w:after="0" w:line="240" w:lineRule="auto"/>
        <w:ind w:right="29"/>
        <w:rPr>
          <w:rFonts w:ascii="Times New Roman" w:hAnsi="Times New Roman" w:eastAsia="Times New Roman" w:cs="Times New Roman"/>
          <w:sz w:val="24"/>
          <w:szCs w:val="24"/>
        </w:rPr>
      </w:pPr>
      <w:r w:rsidRPr="00242A4D">
        <w:rPr>
          <w:rFonts w:ascii="Times New Roman" w:hAnsi="Times New Roman" w:eastAsia="Times New Roman" w:cs="Times New Roman"/>
          <w:sz w:val="24"/>
          <w:szCs w:val="24"/>
        </w:rPr>
        <w:t>Average labor costs (including 100 percent fringe benefits) used to estimate the costs are calculated using data available from the May 2018 National Industry-Specific Occupational Employment and Wage Estimates (B</w:t>
      </w:r>
      <w:r w:rsidR="00D667C1">
        <w:rPr>
          <w:rFonts w:ascii="Times New Roman" w:hAnsi="Times New Roman" w:eastAsia="Times New Roman" w:cs="Times New Roman"/>
          <w:sz w:val="24"/>
          <w:szCs w:val="24"/>
        </w:rPr>
        <w:t xml:space="preserve">ureau of Labor Statistics (BLS) </w:t>
      </w:r>
      <w:r w:rsidRPr="00242A4D">
        <w:rPr>
          <w:rFonts w:ascii="Times New Roman" w:hAnsi="Times New Roman" w:eastAsia="Times New Roman" w:cs="Times New Roman"/>
          <w:sz w:val="24"/>
          <w:szCs w:val="24"/>
        </w:rPr>
        <w:t>(</w:t>
      </w:r>
      <w:hyperlink w:anchor="11-0000" r:id="rId13">
        <w:r w:rsidRPr="00242A4D">
          <w:rPr>
            <w:rStyle w:val="Hyperlink"/>
            <w:rFonts w:ascii="Times New Roman" w:hAnsi="Times New Roman" w:eastAsia="Times New Roman" w:cs="Times New Roman"/>
            <w:sz w:val="24"/>
            <w:szCs w:val="24"/>
          </w:rPr>
          <w:t>https://www.bls.gov/oes/current/naics4_999200.htm#11-0000</w:t>
        </w:r>
      </w:hyperlink>
      <w:r w:rsidRPr="00242A4D">
        <w:rPr>
          <w:rFonts w:ascii="Times New Roman" w:hAnsi="Times New Roman" w:eastAsia="Times New Roman" w:cs="Times New Roman"/>
          <w:sz w:val="24"/>
          <w:szCs w:val="24"/>
        </w:rPr>
        <w:t>).</w:t>
      </w:r>
    </w:p>
    <w:p w:rsidR="00242A4D" w:rsidP="00242A4D" w:rsidRDefault="00242A4D" w14:paraId="05886689" w14:textId="4A4DC95B">
      <w:pPr>
        <w:tabs>
          <w:tab w:val="left" w:pos="1180"/>
        </w:tabs>
        <w:spacing w:after="0" w:line="240" w:lineRule="auto"/>
        <w:ind w:left="119" w:right="-20"/>
        <w:rPr>
          <w:rFonts w:ascii="Times New Roman" w:hAnsi="Times New Roman" w:eastAsia="Times New Roman" w:cs="Times New Roman"/>
          <w:sz w:val="24"/>
          <w:szCs w:val="24"/>
        </w:rPr>
      </w:pPr>
    </w:p>
    <w:p w:rsidRPr="00242A4D" w:rsidR="00242A4D" w:rsidP="002A5D53" w:rsidRDefault="00242A4D" w14:paraId="2FE50C3B" w14:textId="77777777">
      <w:pPr>
        <w:widowControl w:val="0"/>
        <w:spacing w:after="0" w:line="240" w:lineRule="auto"/>
        <w:ind w:right="130"/>
        <w:rPr>
          <w:rFonts w:ascii="Times New Roman" w:hAnsi="Times New Roman" w:eastAsia="Times New Roman" w:cs="Times New Roman"/>
          <w:b/>
          <w:sz w:val="24"/>
          <w:szCs w:val="24"/>
        </w:rPr>
      </w:pPr>
      <w:r w:rsidRPr="00242A4D">
        <w:rPr>
          <w:rFonts w:ascii="Times New Roman" w:hAnsi="Times New Roman" w:eastAsia="Times New Roman" w:cs="Times New Roman"/>
          <w:b/>
          <w:sz w:val="24"/>
          <w:szCs w:val="24"/>
        </w:rPr>
        <w:t>Table 1: Adjusted Hourly Wages Used in Burden Estimates</w:t>
      </w:r>
    </w:p>
    <w:p w:rsidRPr="00242A4D" w:rsidR="00242A4D" w:rsidP="00242A4D" w:rsidRDefault="00242A4D" w14:paraId="01130FA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hAnsi="Times New Roman" w:eastAsia="Times New Roman" w:cs="Times New Roman"/>
          <w:b/>
          <w:bCs/>
          <w:iCs/>
          <w:sz w:val="24"/>
          <w:szCs w:val="24"/>
          <w:lang w:val="x-none"/>
        </w:rPr>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702"/>
        <w:gridCol w:w="1702"/>
        <w:gridCol w:w="1285"/>
        <w:gridCol w:w="1369"/>
        <w:gridCol w:w="1292"/>
      </w:tblGrid>
      <w:tr w:rsidRPr="00242A4D" w:rsidR="00242A4D" w:rsidTr="00A5403D" w14:paraId="4A0A280C" w14:textId="77777777">
        <w:trPr>
          <w:tblHeader/>
          <w:jc w:val="center"/>
        </w:trPr>
        <w:tc>
          <w:tcPr>
            <w:tcW w:w="3702" w:type="dxa"/>
          </w:tcPr>
          <w:p w:rsidRPr="00242A4D" w:rsidR="00242A4D" w:rsidP="00A5403D" w:rsidRDefault="00242A4D" w14:paraId="534D03F6" w14:textId="77777777">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eastAsia="Times New Roman" w:cs="Times New Roman"/>
                <w:sz w:val="24"/>
                <w:szCs w:val="24"/>
              </w:rPr>
            </w:pPr>
            <w:r w:rsidRPr="00242A4D">
              <w:rPr>
                <w:rFonts w:ascii="Times New Roman" w:hAnsi="Times New Roman" w:eastAsia="Times New Roman" w:cs="Times New Roman"/>
              </w:rPr>
              <w:t>OES Designation</w:t>
            </w:r>
          </w:p>
        </w:tc>
        <w:tc>
          <w:tcPr>
            <w:tcW w:w="1702" w:type="dxa"/>
          </w:tcPr>
          <w:p w:rsidRPr="00242A4D" w:rsidR="00242A4D" w:rsidP="00A5403D" w:rsidRDefault="00242A4D" w14:paraId="4C9DE356"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42A4D">
              <w:rPr>
                <w:rFonts w:ascii="Times New Roman" w:hAnsi="Times New Roman" w:eastAsia="Times New Roman" w:cs="Times New Roman"/>
                <w:sz w:val="24"/>
                <w:szCs w:val="24"/>
              </w:rPr>
              <w:t>Occupational Code</w:t>
            </w:r>
          </w:p>
        </w:tc>
        <w:tc>
          <w:tcPr>
            <w:tcW w:w="1285" w:type="dxa"/>
          </w:tcPr>
          <w:p w:rsidRPr="00242A4D" w:rsidR="00242A4D" w:rsidP="00A5403D" w:rsidRDefault="00242A4D" w14:paraId="60273FEB"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42A4D">
              <w:rPr>
                <w:rFonts w:ascii="Times New Roman" w:hAnsi="Times New Roman" w:eastAsia="Times New Roman" w:cs="Times New Roman"/>
                <w:sz w:val="24"/>
                <w:szCs w:val="24"/>
              </w:rPr>
              <w:t>Mean Hourly Wage ($/hour)</w:t>
            </w:r>
          </w:p>
        </w:tc>
        <w:tc>
          <w:tcPr>
            <w:tcW w:w="1369" w:type="dxa"/>
          </w:tcPr>
          <w:p w:rsidRPr="00242A4D" w:rsidR="00242A4D" w:rsidP="00A5403D" w:rsidRDefault="00242A4D" w14:paraId="5CCC06DE"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42A4D">
              <w:rPr>
                <w:rFonts w:ascii="Times New Roman" w:hAnsi="Times New Roman" w:eastAsia="Times New Roman" w:cs="Times New Roman"/>
                <w:sz w:val="24"/>
                <w:szCs w:val="24"/>
              </w:rPr>
              <w:t>Fringe Benefits and Overhead ($/hour)</w:t>
            </w:r>
          </w:p>
        </w:tc>
        <w:tc>
          <w:tcPr>
            <w:tcW w:w="1292" w:type="dxa"/>
          </w:tcPr>
          <w:p w:rsidRPr="00242A4D" w:rsidR="00242A4D" w:rsidP="00A5403D" w:rsidRDefault="00242A4D" w14:paraId="1A304D1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242A4D">
              <w:rPr>
                <w:rFonts w:ascii="Times New Roman" w:hAnsi="Times New Roman" w:eastAsia="Times New Roman" w:cs="Times New Roman"/>
                <w:sz w:val="24"/>
                <w:szCs w:val="24"/>
              </w:rPr>
              <w:t>Adjusted Hourly Wage ($/hour)</w:t>
            </w:r>
          </w:p>
        </w:tc>
      </w:tr>
      <w:tr w:rsidRPr="00242A4D" w:rsidR="00311F08" w:rsidTr="002A5D53" w14:paraId="41EF6A7A" w14:textId="77777777">
        <w:trPr>
          <w:jc w:val="center"/>
        </w:trPr>
        <w:tc>
          <w:tcPr>
            <w:tcW w:w="370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A5403D" w:rsidRDefault="00090E39" w14:paraId="02AF3326" w14:textId="555012AE">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eastAsia="Times New Roman" w:cs="Times New Roman"/>
                <w:sz w:val="24"/>
                <w:szCs w:val="24"/>
              </w:rPr>
            </w:pPr>
            <w:r>
              <w:rPr>
                <w:rFonts w:ascii="Times New Roman" w:hAnsi="Times New Roman" w:cs="Times New Roman"/>
                <w:sz w:val="24"/>
                <w:szCs w:val="24"/>
              </w:rPr>
              <w:t xml:space="preserve">Computer </w:t>
            </w:r>
            <w:r w:rsidRPr="00004DC0" w:rsidR="00311F08">
              <w:rPr>
                <w:rFonts w:ascii="Times New Roman" w:hAnsi="Times New Roman" w:cs="Times New Roman"/>
                <w:sz w:val="24"/>
                <w:szCs w:val="24"/>
              </w:rPr>
              <w:t>System Analyst</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090E39" w14:paraId="1649E3AB" w14:textId="0E8E31F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90E39">
              <w:rPr>
                <w:rFonts w:ascii="Times New Roman" w:hAnsi="Times New Roman" w:eastAsia="Times New Roman" w:cs="Times New Roman"/>
                <w:sz w:val="24"/>
                <w:szCs w:val="24"/>
              </w:rPr>
              <w:t>15-1121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2BAFC6B4" w14:textId="5A796F1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$45.01</w:t>
            </w:r>
          </w:p>
        </w:tc>
        <w:tc>
          <w:tcPr>
            <w:tcW w:w="1369"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1166BEFC" w14:textId="1D98E32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$45.01</w:t>
            </w:r>
          </w:p>
        </w:tc>
        <w:tc>
          <w:tcPr>
            <w:tcW w:w="129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311F08" w:rsidRDefault="00311F08" w14:paraId="2DB989FD" w14:textId="0F040E6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04DC0">
              <w:rPr>
                <w:rFonts w:ascii="Times New Roman" w:hAnsi="Times New Roman" w:cs="Times New Roman"/>
                <w:sz w:val="24"/>
                <w:szCs w:val="24"/>
              </w:rPr>
              <w:t>$90.02</w:t>
            </w:r>
          </w:p>
        </w:tc>
      </w:tr>
      <w:tr w:rsidRPr="00242A4D" w:rsidR="00311F08" w:rsidTr="002A5D53" w14:paraId="0A542499" w14:textId="77777777">
        <w:trPr>
          <w:jc w:val="center"/>
        </w:trPr>
        <w:tc>
          <w:tcPr>
            <w:tcW w:w="370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A5403D" w:rsidRDefault="00311F08" w14:paraId="18D4B3AC" w14:textId="5437E58A">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eastAsia="Times New Roman" w:cs="Times New Roman"/>
                <w:sz w:val="24"/>
                <w:szCs w:val="24"/>
              </w:rPr>
            </w:pPr>
            <w:r w:rsidRPr="00004DC0">
              <w:rPr>
                <w:rFonts w:ascii="Times New Roman" w:hAnsi="Times New Roman" w:cs="Times New Roman"/>
                <w:sz w:val="24"/>
                <w:szCs w:val="24"/>
              </w:rPr>
              <w:t>Financial Analyst</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CA45FE" w14:paraId="32FD8FCC" w14:textId="47FECC0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CA45FE">
              <w:rPr>
                <w:rFonts w:ascii="Times New Roman" w:hAnsi="Times New Roman" w:eastAsia="Times New Roman" w:cs="Times New Roman"/>
                <w:sz w:val="24"/>
                <w:szCs w:val="24"/>
              </w:rPr>
              <w:t>13-2051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4482556F" w14:textId="6C14EBA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$48.55</w:t>
            </w:r>
          </w:p>
        </w:tc>
        <w:tc>
          <w:tcPr>
            <w:tcW w:w="1369"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5714525F" w14:textId="0D4E4F3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$48.55</w:t>
            </w:r>
          </w:p>
        </w:tc>
        <w:tc>
          <w:tcPr>
            <w:tcW w:w="129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311F08" w:rsidRDefault="00311F08" w14:paraId="41A8F88E" w14:textId="29A8FA8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04DC0">
              <w:rPr>
                <w:rFonts w:ascii="Times New Roman" w:hAnsi="Times New Roman" w:cs="Times New Roman"/>
                <w:sz w:val="24"/>
                <w:szCs w:val="24"/>
              </w:rPr>
              <w:t>$97.10</w:t>
            </w:r>
          </w:p>
        </w:tc>
      </w:tr>
      <w:tr w:rsidRPr="00242A4D" w:rsidR="00311F08" w:rsidTr="002A5D53" w14:paraId="25CD88F4" w14:textId="77777777">
        <w:trPr>
          <w:jc w:val="center"/>
        </w:trPr>
        <w:tc>
          <w:tcPr>
            <w:tcW w:w="370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A5403D" w:rsidRDefault="00311F08" w14:paraId="590CC039" w14:textId="7F6DD0A5">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eastAsia="Times New Roman" w:cs="Times New Roman"/>
                <w:sz w:val="24"/>
                <w:szCs w:val="24"/>
              </w:rPr>
            </w:pPr>
            <w:r w:rsidRPr="00004DC0">
              <w:rPr>
                <w:rFonts w:ascii="Times New Roman" w:hAnsi="Times New Roman" w:cs="Times New Roman"/>
                <w:sz w:val="24"/>
                <w:szCs w:val="24"/>
              </w:rPr>
              <w:t>Private Actuaries</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CA45FE" w14:paraId="59371EDA" w14:textId="69CDDD1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CA45FE">
              <w:rPr>
                <w:rFonts w:ascii="Times New Roman" w:hAnsi="Times New Roman" w:eastAsia="Times New Roman" w:cs="Times New Roman"/>
                <w:sz w:val="24"/>
                <w:szCs w:val="24"/>
              </w:rPr>
              <w:t>15-2011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32A76A5C" w14:textId="5D249BD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$55.89</w:t>
            </w:r>
          </w:p>
        </w:tc>
        <w:tc>
          <w:tcPr>
            <w:tcW w:w="1369"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5BA82B1B" w14:textId="1040DB5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$55.89</w:t>
            </w:r>
          </w:p>
        </w:tc>
        <w:tc>
          <w:tcPr>
            <w:tcW w:w="129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311F08" w:rsidRDefault="00311F08" w14:paraId="5D8A82EC" w14:textId="52A0E67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04DC0">
              <w:rPr>
                <w:rFonts w:ascii="Times New Roman" w:hAnsi="Times New Roman" w:cs="Times New Roman"/>
                <w:sz w:val="24"/>
                <w:szCs w:val="24"/>
              </w:rPr>
              <w:t>$111.78</w:t>
            </w:r>
          </w:p>
        </w:tc>
      </w:tr>
      <w:tr w:rsidRPr="00242A4D" w:rsidR="00311F08" w:rsidTr="002A5D53" w14:paraId="6FD3BFF0" w14:textId="77777777">
        <w:trPr>
          <w:jc w:val="center"/>
        </w:trPr>
        <w:tc>
          <w:tcPr>
            <w:tcW w:w="370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A5403D" w:rsidRDefault="00311F08" w14:paraId="590BBDB9" w14:textId="32EA5143">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eastAsia="Times New Roman" w:cs="Times New Roman"/>
                <w:sz w:val="24"/>
                <w:szCs w:val="24"/>
              </w:rPr>
            </w:pPr>
            <w:r w:rsidRPr="00DD7C98">
              <w:rPr>
                <w:rFonts w:ascii="Times New Roman" w:hAnsi="Times New Roman" w:cs="Times New Roman"/>
                <w:sz w:val="24"/>
                <w:szCs w:val="24"/>
              </w:rPr>
              <w:t>Senior Executive</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DD7C98" w14:paraId="327A4E2E" w14:textId="704266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DD7C98">
              <w:rPr>
                <w:rFonts w:ascii="Times New Roman" w:hAnsi="Times New Roman" w:eastAsia="Times New Roman" w:cs="Times New Roman"/>
                <w:sz w:val="24"/>
                <w:szCs w:val="24"/>
              </w:rPr>
              <w:t>11-1000</w:t>
            </w:r>
          </w:p>
        </w:tc>
        <w:tc>
          <w:tcPr>
            <w:tcW w:w="1285"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19160ABD" w14:textId="5CACFAA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$61.66</w:t>
            </w:r>
          </w:p>
        </w:tc>
        <w:tc>
          <w:tcPr>
            <w:tcW w:w="1369" w:type="dxa"/>
            <w:tcBorders>
              <w:top w:val="single" w:color="auto" w:sz="4" w:space="0"/>
              <w:left w:val="nil"/>
              <w:bottom w:val="single" w:color="auto" w:sz="4" w:space="0"/>
              <w:right w:val="single" w:color="auto" w:sz="4" w:space="0"/>
            </w:tcBorders>
            <w:shd w:val="clear" w:color="auto" w:fill="auto"/>
            <w:vAlign w:val="center"/>
          </w:tcPr>
          <w:p w:rsidRPr="00242A4D" w:rsidR="00311F08" w:rsidP="00311F08" w:rsidRDefault="00311F08" w14:paraId="7DA6A7D5" w14:textId="232BC94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$61.66</w:t>
            </w:r>
          </w:p>
        </w:tc>
        <w:tc>
          <w:tcPr>
            <w:tcW w:w="1292" w:type="dxa"/>
            <w:tcBorders>
              <w:top w:val="single" w:color="000000" w:sz="4" w:space="0"/>
              <w:left w:val="single" w:color="000000" w:sz="4" w:space="0"/>
              <w:bottom w:val="single" w:color="000000" w:sz="4" w:space="0"/>
              <w:right w:val="single" w:color="000000" w:sz="4" w:space="0"/>
            </w:tcBorders>
            <w:shd w:val="clear" w:color="auto" w:fill="auto"/>
          </w:tcPr>
          <w:p w:rsidRPr="00242A4D" w:rsidR="00311F08" w:rsidP="00311F08" w:rsidRDefault="00311F08" w14:paraId="7D8198E7" w14:textId="01B624A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04DC0">
              <w:rPr>
                <w:rFonts w:ascii="Times New Roman" w:hAnsi="Times New Roman" w:cs="Times New Roman"/>
                <w:sz w:val="24"/>
                <w:szCs w:val="24"/>
              </w:rPr>
              <w:t>$123.32</w:t>
            </w:r>
          </w:p>
        </w:tc>
      </w:tr>
      <w:tr w:rsidRPr="00242A4D" w:rsidR="00090E39" w:rsidTr="002A5D53" w14:paraId="368647FE" w14:textId="77777777">
        <w:trPr>
          <w:jc w:val="center"/>
        </w:trPr>
        <w:tc>
          <w:tcPr>
            <w:tcW w:w="3702" w:type="dxa"/>
            <w:tcBorders>
              <w:top w:val="nil"/>
              <w:left w:val="single" w:color="auto" w:sz="4" w:space="0"/>
              <w:bottom w:val="single" w:color="auto" w:sz="4" w:space="0"/>
              <w:right w:val="single" w:color="auto" w:sz="4" w:space="0"/>
            </w:tcBorders>
            <w:shd w:val="clear" w:color="auto" w:fill="auto"/>
            <w:vAlign w:val="bottom"/>
          </w:tcPr>
          <w:p w:rsidRPr="00004DC0" w:rsidR="00090E39" w:rsidP="00A5403D" w:rsidRDefault="00090E39" w14:paraId="5E27A625" w14:textId="339BC186">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General and Operations Manager</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090E39" w:rsidP="00090E39" w:rsidRDefault="00090E39" w14:paraId="321DC5DD" w14:textId="1F692F2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90E39">
              <w:rPr>
                <w:rFonts w:ascii="Times New Roman" w:hAnsi="Times New Roman" w:eastAsia="Times New Roman" w:cs="Times New Roman"/>
                <w:sz w:val="24"/>
                <w:szCs w:val="24"/>
              </w:rPr>
              <w:t>11-1021</w:t>
            </w:r>
          </w:p>
        </w:tc>
        <w:tc>
          <w:tcPr>
            <w:tcW w:w="1285"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3B3C82C2" w14:textId="7460F1B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$59.56</w:t>
            </w:r>
          </w:p>
        </w:tc>
        <w:tc>
          <w:tcPr>
            <w:tcW w:w="1369"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1B710D4B" w14:textId="4626E9B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$59.56</w:t>
            </w:r>
          </w:p>
        </w:tc>
        <w:tc>
          <w:tcPr>
            <w:tcW w:w="1292" w:type="dxa"/>
            <w:tcBorders>
              <w:top w:val="nil"/>
              <w:left w:val="nil"/>
              <w:bottom w:val="single" w:color="auto" w:sz="4" w:space="0"/>
              <w:right w:val="single" w:color="auto" w:sz="4" w:space="0"/>
            </w:tcBorders>
            <w:shd w:val="clear" w:color="auto" w:fill="auto"/>
            <w:vAlign w:val="bottom"/>
          </w:tcPr>
          <w:p w:rsidRPr="00004DC0" w:rsidR="00090E39" w:rsidP="00090E39" w:rsidRDefault="00090E39" w14:paraId="5B17AE4B" w14:textId="0B8F7F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119.12</w:t>
            </w:r>
            <w:r w:rsidRPr="008105A6">
              <w:rPr>
                <w:rFonts w:ascii="Times New Roman" w:hAnsi="Times New Roman" w:eastAsia="Times New Roman" w:cs="Times New Roman"/>
                <w:color w:val="000000"/>
                <w:sz w:val="24"/>
                <w:szCs w:val="24"/>
              </w:rPr>
              <w:t xml:space="preserve"> </w:t>
            </w:r>
          </w:p>
        </w:tc>
      </w:tr>
      <w:tr w:rsidRPr="00242A4D" w:rsidR="00090E39" w:rsidTr="002A5D53" w14:paraId="5292DF1D" w14:textId="77777777">
        <w:trPr>
          <w:jc w:val="center"/>
        </w:trPr>
        <w:tc>
          <w:tcPr>
            <w:tcW w:w="3702" w:type="dxa"/>
            <w:tcBorders>
              <w:top w:val="nil"/>
              <w:left w:val="single" w:color="auto" w:sz="4" w:space="0"/>
              <w:bottom w:val="single" w:color="auto" w:sz="4" w:space="0"/>
              <w:right w:val="single" w:color="auto" w:sz="4" w:space="0"/>
            </w:tcBorders>
            <w:shd w:val="clear" w:color="auto" w:fill="auto"/>
            <w:vAlign w:val="bottom"/>
          </w:tcPr>
          <w:p w:rsidRPr="00004DC0" w:rsidR="00090E39" w:rsidP="00A5403D" w:rsidRDefault="00090E39" w14:paraId="706938E6" w14:textId="795C0E83">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Computer and Information Systems Manager</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090E39" w:rsidP="00090E39" w:rsidRDefault="00090E39" w14:paraId="0FB8B2B0" w14:textId="2600A5F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090E39">
              <w:rPr>
                <w:rFonts w:ascii="Times New Roman" w:hAnsi="Times New Roman" w:eastAsia="Times New Roman" w:cs="Times New Roman"/>
                <w:sz w:val="24"/>
                <w:szCs w:val="24"/>
              </w:rPr>
              <w:t>11-3021</w:t>
            </w:r>
          </w:p>
        </w:tc>
        <w:tc>
          <w:tcPr>
            <w:tcW w:w="1285"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3BABC967" w14:textId="499A006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$73.49</w:t>
            </w:r>
          </w:p>
        </w:tc>
        <w:tc>
          <w:tcPr>
            <w:tcW w:w="1369"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485A487D" w14:textId="39CE479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$73.49</w:t>
            </w:r>
          </w:p>
        </w:tc>
        <w:tc>
          <w:tcPr>
            <w:tcW w:w="1292" w:type="dxa"/>
            <w:tcBorders>
              <w:top w:val="nil"/>
              <w:left w:val="nil"/>
              <w:bottom w:val="single" w:color="auto" w:sz="4" w:space="0"/>
              <w:right w:val="single" w:color="auto" w:sz="4" w:space="0"/>
            </w:tcBorders>
            <w:shd w:val="clear" w:color="auto" w:fill="auto"/>
            <w:vAlign w:val="center"/>
          </w:tcPr>
          <w:p w:rsidRPr="00004DC0" w:rsidR="00090E39" w:rsidP="00090E39" w:rsidRDefault="00090E39" w14:paraId="4A9BB59B" w14:textId="1BEE983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146.98</w:t>
            </w:r>
            <w:r w:rsidRPr="008105A6">
              <w:rPr>
                <w:rFonts w:ascii="Times New Roman" w:hAnsi="Times New Roman" w:eastAsia="Times New Roman" w:cs="Times New Roman"/>
                <w:color w:val="000000"/>
                <w:sz w:val="24"/>
                <w:szCs w:val="24"/>
              </w:rPr>
              <w:t xml:space="preserve"> </w:t>
            </w:r>
          </w:p>
        </w:tc>
      </w:tr>
      <w:tr w:rsidRPr="00242A4D" w:rsidR="00090E39" w:rsidTr="002A5D53" w14:paraId="3EF14564" w14:textId="77777777">
        <w:trPr>
          <w:jc w:val="center"/>
        </w:trPr>
        <w:tc>
          <w:tcPr>
            <w:tcW w:w="3702" w:type="dxa"/>
            <w:tcBorders>
              <w:top w:val="nil"/>
              <w:left w:val="single" w:color="auto" w:sz="4" w:space="0"/>
              <w:bottom w:val="single" w:color="auto" w:sz="4" w:space="0"/>
              <w:right w:val="single" w:color="auto" w:sz="4" w:space="0"/>
            </w:tcBorders>
            <w:shd w:val="clear" w:color="auto" w:fill="auto"/>
            <w:vAlign w:val="bottom"/>
          </w:tcPr>
          <w:p w:rsidRPr="00004DC0" w:rsidR="00090E39" w:rsidP="00A5403D" w:rsidRDefault="00090E39" w14:paraId="095CFA6C" w14:textId="5BA5B9D0">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Computer Programmer</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090E39" w:rsidP="00090E39" w:rsidRDefault="00090E39" w14:paraId="4EFFA6EC" w14:textId="2DC9AC0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69306A">
              <w:rPr>
                <w:rFonts w:ascii="Times New Roman" w:hAnsi="Times New Roman" w:eastAsia="Times New Roman" w:cs="Times New Roman"/>
                <w:sz w:val="24"/>
                <w:szCs w:val="24"/>
              </w:rPr>
              <w:t>15-1131</w:t>
            </w:r>
          </w:p>
        </w:tc>
        <w:tc>
          <w:tcPr>
            <w:tcW w:w="1285"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40B39396" w14:textId="6940FF76">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$43.07</w:t>
            </w:r>
          </w:p>
        </w:tc>
        <w:tc>
          <w:tcPr>
            <w:tcW w:w="1369"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090E39" w14:paraId="4431B1E4" w14:textId="57031D3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$43.07</w:t>
            </w:r>
          </w:p>
        </w:tc>
        <w:tc>
          <w:tcPr>
            <w:tcW w:w="1292" w:type="dxa"/>
            <w:tcBorders>
              <w:top w:val="nil"/>
              <w:left w:val="nil"/>
              <w:bottom w:val="single" w:color="auto" w:sz="4" w:space="0"/>
              <w:right w:val="single" w:color="auto" w:sz="4" w:space="0"/>
            </w:tcBorders>
            <w:shd w:val="clear" w:color="auto" w:fill="auto"/>
            <w:vAlign w:val="bottom"/>
          </w:tcPr>
          <w:p w:rsidRPr="00004DC0" w:rsidR="00090E39" w:rsidRDefault="00090E39" w14:paraId="41824DD9" w14:textId="6FB985A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$8</w:t>
            </w:r>
            <w:r>
              <w:rPr>
                <w:rFonts w:ascii="Times New Roman" w:hAnsi="Times New Roman" w:eastAsia="Times New Roman" w:cs="Times New Roman"/>
                <w:color w:val="000000"/>
                <w:sz w:val="24"/>
                <w:szCs w:val="24"/>
              </w:rPr>
              <w:t>6</w:t>
            </w: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14</w:t>
            </w:r>
            <w:r w:rsidRPr="008105A6">
              <w:rPr>
                <w:rFonts w:ascii="Times New Roman" w:hAnsi="Times New Roman" w:eastAsia="Times New Roman" w:cs="Times New Roman"/>
                <w:color w:val="000000"/>
                <w:sz w:val="24"/>
                <w:szCs w:val="24"/>
              </w:rPr>
              <w:t xml:space="preserve"> </w:t>
            </w:r>
          </w:p>
        </w:tc>
      </w:tr>
      <w:tr w:rsidRPr="00242A4D" w:rsidR="00090E39" w:rsidTr="002A5D53" w14:paraId="6B859F53" w14:textId="77777777">
        <w:trPr>
          <w:jc w:val="center"/>
        </w:trPr>
        <w:tc>
          <w:tcPr>
            <w:tcW w:w="3702" w:type="dxa"/>
            <w:tcBorders>
              <w:top w:val="nil"/>
              <w:left w:val="single" w:color="auto" w:sz="4" w:space="0"/>
              <w:bottom w:val="single" w:color="auto" w:sz="4" w:space="0"/>
              <w:right w:val="single" w:color="auto" w:sz="4" w:space="0"/>
            </w:tcBorders>
            <w:shd w:val="clear" w:color="auto" w:fill="auto"/>
            <w:vAlign w:val="bottom"/>
          </w:tcPr>
          <w:p w:rsidRPr="00004DC0" w:rsidR="00090E39" w:rsidP="00A5403D" w:rsidRDefault="00090E39" w14:paraId="7442EBDA" w14:textId="5C8AA50C">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Business Operations Specialist</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090E39" w:rsidP="00090E39" w:rsidRDefault="005A0EF2" w14:paraId="465EFC03" w14:textId="09B2779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5A0EF2">
              <w:rPr>
                <w:rFonts w:ascii="Times New Roman" w:hAnsi="Times New Roman" w:eastAsia="Times New Roman" w:cs="Times New Roman"/>
                <w:sz w:val="24"/>
                <w:szCs w:val="24"/>
              </w:rPr>
              <w:t>13-1199</w:t>
            </w:r>
          </w:p>
        </w:tc>
        <w:tc>
          <w:tcPr>
            <w:tcW w:w="1285"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5A0EF2" w14:paraId="44F6D5A2" w14:textId="6B6E276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$37.00</w:t>
            </w:r>
          </w:p>
        </w:tc>
        <w:tc>
          <w:tcPr>
            <w:tcW w:w="1369"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5A0EF2" w14:paraId="4C6E79D3" w14:textId="3F33F6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$37.00</w:t>
            </w:r>
          </w:p>
        </w:tc>
        <w:tc>
          <w:tcPr>
            <w:tcW w:w="1292" w:type="dxa"/>
            <w:tcBorders>
              <w:top w:val="nil"/>
              <w:left w:val="nil"/>
              <w:bottom w:val="single" w:color="auto" w:sz="4" w:space="0"/>
              <w:right w:val="single" w:color="auto" w:sz="4" w:space="0"/>
            </w:tcBorders>
            <w:shd w:val="clear" w:color="auto" w:fill="auto"/>
            <w:vAlign w:val="bottom"/>
          </w:tcPr>
          <w:p w:rsidRPr="00004DC0" w:rsidR="00090E39" w:rsidP="00090E39" w:rsidRDefault="00090E39" w14:paraId="4544628D" w14:textId="1AEE56D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74.00</w:t>
            </w:r>
            <w:r w:rsidRPr="008105A6">
              <w:rPr>
                <w:rFonts w:ascii="Times New Roman" w:hAnsi="Times New Roman" w:eastAsia="Times New Roman" w:cs="Times New Roman"/>
                <w:color w:val="000000"/>
                <w:sz w:val="24"/>
                <w:szCs w:val="24"/>
              </w:rPr>
              <w:t xml:space="preserve"> </w:t>
            </w:r>
          </w:p>
        </w:tc>
      </w:tr>
      <w:tr w:rsidRPr="00242A4D" w:rsidR="00090E39" w:rsidTr="002A5D53" w14:paraId="5651953D" w14:textId="77777777">
        <w:trPr>
          <w:jc w:val="center"/>
        </w:trPr>
        <w:tc>
          <w:tcPr>
            <w:tcW w:w="3702" w:type="dxa"/>
            <w:tcBorders>
              <w:top w:val="nil"/>
              <w:left w:val="single" w:color="auto" w:sz="4" w:space="0"/>
              <w:bottom w:val="single" w:color="auto" w:sz="4" w:space="0"/>
              <w:right w:val="single" w:color="auto" w:sz="4" w:space="0"/>
            </w:tcBorders>
            <w:shd w:val="clear" w:color="auto" w:fill="auto"/>
            <w:vAlign w:val="bottom"/>
          </w:tcPr>
          <w:p w:rsidRPr="00004DC0" w:rsidR="00090E39" w:rsidP="00A5403D" w:rsidRDefault="00090E39" w14:paraId="3314262D" w14:textId="6E523B35">
            <w:pPr>
              <w:widowControl w:val="0"/>
              <w:tabs>
                <w:tab w:val="left" w:pos="17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Secretaries and Administrative Assistants</w:t>
            </w:r>
          </w:p>
        </w:tc>
        <w:tc>
          <w:tcPr>
            <w:tcW w:w="1702" w:type="dxa"/>
            <w:tcBorders>
              <w:top w:val="single" w:color="auto" w:sz="4" w:space="0"/>
              <w:left w:val="nil"/>
              <w:bottom w:val="single" w:color="auto" w:sz="4" w:space="0"/>
              <w:right w:val="single" w:color="auto" w:sz="4" w:space="0"/>
            </w:tcBorders>
            <w:shd w:val="clear" w:color="auto" w:fill="auto"/>
            <w:vAlign w:val="center"/>
          </w:tcPr>
          <w:p w:rsidRPr="00242A4D" w:rsidR="00090E39" w:rsidP="00090E39" w:rsidRDefault="005A0EF2" w14:paraId="270956D4" w14:textId="4B64A83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sidRPr="005A0EF2">
              <w:rPr>
                <w:rFonts w:ascii="Times New Roman" w:hAnsi="Times New Roman" w:eastAsia="Times New Roman" w:cs="Times New Roman"/>
                <w:sz w:val="24"/>
                <w:szCs w:val="24"/>
              </w:rPr>
              <w:t>43-6014</w:t>
            </w:r>
          </w:p>
        </w:tc>
        <w:tc>
          <w:tcPr>
            <w:tcW w:w="1285"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5A0EF2" w14:paraId="2C54CB9F" w14:textId="2CFEC7D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$18.28</w:t>
            </w:r>
          </w:p>
        </w:tc>
        <w:tc>
          <w:tcPr>
            <w:tcW w:w="1369" w:type="dxa"/>
            <w:tcBorders>
              <w:top w:val="single" w:color="auto" w:sz="4" w:space="0"/>
              <w:left w:val="nil"/>
              <w:bottom w:val="single" w:color="auto" w:sz="4" w:space="0"/>
              <w:right w:val="single" w:color="auto" w:sz="4" w:space="0"/>
            </w:tcBorders>
            <w:shd w:val="clear" w:color="auto" w:fill="auto"/>
            <w:vAlign w:val="center"/>
          </w:tcPr>
          <w:p w:rsidR="00090E39" w:rsidP="00090E39" w:rsidRDefault="005A0EF2" w14:paraId="4C146CFA" w14:textId="28B24FB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$18.28</w:t>
            </w:r>
          </w:p>
        </w:tc>
        <w:tc>
          <w:tcPr>
            <w:tcW w:w="1292" w:type="dxa"/>
            <w:tcBorders>
              <w:top w:val="single" w:color="000000" w:sz="4" w:space="0"/>
              <w:left w:val="single" w:color="000000" w:sz="4" w:space="0"/>
              <w:bottom w:val="single" w:color="000000" w:sz="4" w:space="0"/>
              <w:right w:val="single" w:color="000000" w:sz="4" w:space="0"/>
            </w:tcBorders>
            <w:vAlign w:val="center"/>
          </w:tcPr>
          <w:p w:rsidRPr="00004DC0" w:rsidR="00090E39" w:rsidP="00090E39" w:rsidRDefault="00090E39" w14:paraId="46A580F8" w14:textId="74097B5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cs="Times New Roman"/>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36.56</w:t>
            </w:r>
          </w:p>
        </w:tc>
      </w:tr>
    </w:tbl>
    <w:p w:rsidRPr="00242A4D" w:rsidR="00242A4D" w:rsidP="002A5D53" w:rsidRDefault="00242A4D" w14:paraId="253289B1" w14:textId="77777777">
      <w:pPr>
        <w:tabs>
          <w:tab w:val="left" w:pos="1180"/>
        </w:tabs>
        <w:spacing w:after="0" w:line="240" w:lineRule="auto"/>
        <w:ind w:right="-20"/>
        <w:rPr>
          <w:rFonts w:ascii="Times New Roman" w:hAnsi="Times New Roman" w:eastAsia="Times New Roman" w:cs="Times New Roman"/>
          <w:sz w:val="24"/>
          <w:szCs w:val="24"/>
        </w:rPr>
      </w:pPr>
    </w:p>
    <w:p w:rsidR="00CF5EA7" w:rsidP="002A5D53" w:rsidRDefault="00CF5EA7" w14:paraId="720228BD" w14:textId="0A6D0FC4">
      <w:pPr>
        <w:tabs>
          <w:tab w:val="left" w:pos="1180"/>
        </w:tabs>
        <w:spacing w:after="0" w:line="240" w:lineRule="auto"/>
        <w:ind w:right="-20"/>
        <w:rPr>
          <w:rFonts w:ascii="Times New Roman" w:hAnsi="Times New Roman" w:eastAsia="Times New Roman" w:cs="Times New Roman"/>
          <w:sz w:val="24"/>
          <w:szCs w:val="24"/>
        </w:rPr>
      </w:pPr>
    </w:p>
    <w:p w:rsidRPr="00004DC0" w:rsidR="00F96307" w:rsidP="002A5D53" w:rsidRDefault="00F96307" w14:paraId="4C765D42" w14:textId="6F712878">
      <w:pPr>
        <w:tabs>
          <w:tab w:val="left" w:pos="1180"/>
        </w:tabs>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Segregation Plan</w:t>
      </w:r>
    </w:p>
    <w:p w:rsidR="00004DC0" w:rsidP="002A5D53" w:rsidRDefault="00004DC0" w14:paraId="7809A474" w14:textId="77777777">
      <w:pPr>
        <w:pStyle w:val="BodyText"/>
        <w:ind w:right="29"/>
      </w:pPr>
      <w:r>
        <w:t xml:space="preserve">We note that the estimate of the paperwork burden generally reflects the burden on the QHP issuer after the initial costs have been incurred and that the associated burden after the first year are significantly lower because many of the standards in the regulation can be fulfilled through automated processes. We generally used data from the Bureau of Labor Statistics, specifically, the </w:t>
      </w:r>
    </w:p>
    <w:p w:rsidR="00F96307" w:rsidP="002A5D53" w:rsidRDefault="00004DC0" w14:paraId="5C2099E4" w14:textId="4A1EB767">
      <w:pPr>
        <w:pStyle w:val="BodyText"/>
        <w:ind w:right="29"/>
      </w:pPr>
      <w:r>
        <w:t>May 2018 National Occupational Employment and Wage Estimates, to derive average labor costs (including a 100 percent increase for fringe benefits and overhead) for estimating the burden associated with the ICRs (</w:t>
      </w:r>
      <w:hyperlink w:history="1" r:id="rId14">
        <w:r w:rsidRPr="00385F34">
          <w:rPr>
            <w:rStyle w:val="Hyperlink"/>
          </w:rPr>
          <w:t>http://www.bls.gov/oes/current/oes_nat.htm</w:t>
        </w:r>
      </w:hyperlink>
      <w:r>
        <w:t>).</w:t>
      </w:r>
    </w:p>
    <w:p w:rsidRPr="00BB3139" w:rsidR="00004DC0" w:rsidP="002A5D53" w:rsidRDefault="00004DC0" w14:paraId="715F6097" w14:textId="77777777">
      <w:pPr>
        <w:pStyle w:val="BodyText"/>
        <w:ind w:right="29"/>
      </w:pPr>
    </w:p>
    <w:p w:rsidRPr="00004DC0" w:rsidR="00F96307" w:rsidP="002A5D53" w:rsidRDefault="00F96307" w14:paraId="074859CB" w14:textId="448B85A6">
      <w:pPr>
        <w:pStyle w:val="BodyText"/>
        <w:ind w:right="29"/>
        <w:rPr>
          <w:b/>
          <w:i/>
        </w:rPr>
      </w:pPr>
      <w:bookmarkStart w:name="Qualified_Health_Plan_Minimum_Certificat" w:id="1"/>
      <w:bookmarkStart w:name="Section_156.280(e)(5)(ii)_requires_each_" w:id="2"/>
      <w:bookmarkEnd w:id="1"/>
      <w:bookmarkEnd w:id="2"/>
      <w:r w:rsidRPr="00004DC0">
        <w:rPr>
          <w:b/>
          <w:i/>
        </w:rPr>
        <w:t>Submission of Segregation Plan</w:t>
      </w:r>
    </w:p>
    <w:p w:rsidR="00004DC0" w:rsidP="002A5D53" w:rsidRDefault="00004DC0" w14:paraId="70E78888" w14:textId="22CA918E">
      <w:pPr>
        <w:pStyle w:val="BodyText"/>
        <w:ind w:right="29"/>
      </w:pPr>
      <w:r>
        <w:t xml:space="preserve">Section 156.280(e)(5)(ii) requires each QHP issuer offering coverage of non-Hyde abortion services on the Exchange to submit to the State Insurance Commissioner a segregation plan describing how the issuer will establish and maintain a separate payment account for any QHP that covers non-excepted abortion services. This plan will be used to verify that the QHP’s financial and other systems fully conform to the segregation requirements, as required by section 1303 of the PPACA. The burden estimate associated with this requirement includes the time for QHP issuers offering coverage of non-Hyde abortion services to report on the operational and financial systems that will segregate funds. </w:t>
      </w:r>
    </w:p>
    <w:p w:rsidR="00004DC0" w:rsidP="002A5D53" w:rsidRDefault="00004DC0" w14:paraId="7D6DB3BA" w14:textId="77777777">
      <w:pPr>
        <w:pStyle w:val="BodyText"/>
        <w:ind w:right="29"/>
      </w:pPr>
      <w:r>
        <w:lastRenderedPageBreak/>
        <w:t xml:space="preserve"> </w:t>
      </w:r>
    </w:p>
    <w:p w:rsidR="00F96307" w:rsidP="002A5D53" w:rsidRDefault="00004DC0" w14:paraId="0A0CBFC2" w14:textId="056B6B1A">
      <w:pPr>
        <w:pStyle w:val="BodyText"/>
        <w:ind w:right="29"/>
      </w:pPr>
      <w:r>
        <w:t>The burden associated with developing the segregation plan is a one-time cost for issuers offering coverage of non-excepted abortion coverage. We estimate that approximately 10 QHP issuers will newly offer non-excepted abortion services each year, and will therefore need to develop segregation plans. We assume that QHP issuers that previously offered this coverage will have already completed a segregation plan. We estimate that it will initially take each issuer approximately 13 hours (with an equivalent cost of $1,302.40) annually for the time and effort to develop and provide the segregation plan to the State Insurance Commissioner, for a total annual burden of approximately 130 hours for the estimated 10 QHP issuers with an equivalent annual cost of $13,024.00.</w:t>
      </w:r>
    </w:p>
    <w:p w:rsidRPr="00F96307" w:rsidR="00004DC0" w:rsidP="00004DC0" w:rsidRDefault="00004DC0" w14:paraId="06F487EE" w14:textId="77777777">
      <w:pPr>
        <w:pStyle w:val="BodyText"/>
      </w:pPr>
    </w:p>
    <w:p w:rsidR="00F96307" w:rsidP="002A5D53" w:rsidRDefault="00F96307" w14:paraId="7BA39EAB" w14:textId="5A65DBF0">
      <w:pPr>
        <w:pStyle w:val="Heading1"/>
        <w:ind w:left="0" w:right="130" w:firstLine="0"/>
      </w:pPr>
      <w:r w:rsidRPr="002A5D53">
        <w:t xml:space="preserve">Table </w:t>
      </w:r>
      <w:r w:rsidRPr="002A5D53" w:rsidR="00F67360">
        <w:t>2</w:t>
      </w:r>
      <w:r w:rsidRPr="002A5D53">
        <w:t>: Burden for QHP Issue</w:t>
      </w:r>
      <w:r w:rsidRPr="002A5D53" w:rsidR="00E02110">
        <w:t>rs Developing Segregation Plans</w:t>
      </w:r>
    </w:p>
    <w:p w:rsidRPr="002A5D53" w:rsidR="00A12EE8" w:rsidP="002A5D53" w:rsidRDefault="00A12EE8" w14:paraId="0696E638" w14:textId="77777777">
      <w:pPr>
        <w:pStyle w:val="Heading1"/>
        <w:ind w:left="0" w:right="30" w:firstLine="0"/>
        <w:rPr>
          <w:b w:val="0"/>
        </w:rPr>
      </w:pPr>
    </w:p>
    <w:tbl>
      <w:tblPr>
        <w:tblW w:w="9269" w:type="dxa"/>
        <w:jc w:val="center"/>
        <w:tblLayout w:type="fixed"/>
        <w:tblCellMar>
          <w:left w:w="0" w:type="dxa"/>
          <w:right w:w="0" w:type="dxa"/>
        </w:tblCellMar>
        <w:tblLook w:val="01E0" w:firstRow="1" w:lastRow="1" w:firstColumn="1" w:lastColumn="1" w:noHBand="0" w:noVBand="0"/>
      </w:tblPr>
      <w:tblGrid>
        <w:gridCol w:w="2515"/>
        <w:gridCol w:w="1260"/>
        <w:gridCol w:w="1620"/>
        <w:gridCol w:w="825"/>
        <w:gridCol w:w="1430"/>
        <w:gridCol w:w="1619"/>
      </w:tblGrid>
      <w:tr w:rsidRPr="00F96307" w:rsidR="00F96307" w:rsidTr="008637F3" w14:paraId="586AF726" w14:textId="77777777">
        <w:trPr>
          <w:trHeight w:val="1198"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F0B129C" w14:textId="77777777">
            <w:pPr>
              <w:keepNext/>
              <w:ind w:left="85" w:right="-20"/>
              <w:rPr>
                <w:rFonts w:ascii="Times New Roman" w:hAnsi="Times New Roman" w:cs="Times New Roman"/>
                <w:sz w:val="24"/>
                <w:szCs w:val="24"/>
              </w:rPr>
            </w:pPr>
            <w:r w:rsidRPr="00004DC0">
              <w:rPr>
                <w:rFonts w:ascii="Times New Roman" w:hAnsi="Times New Roman" w:cs="Times New Roman"/>
                <w:sz w:val="24"/>
                <w:szCs w:val="24"/>
              </w:rPr>
              <w:t>Labor Cate</w:t>
            </w:r>
            <w:r w:rsidRPr="00004DC0">
              <w:rPr>
                <w:rFonts w:ascii="Times New Roman" w:hAnsi="Times New Roman" w:cs="Times New Roman"/>
                <w:spacing w:val="-1"/>
                <w:sz w:val="24"/>
                <w:szCs w:val="24"/>
              </w:rPr>
              <w:t>g</w:t>
            </w:r>
            <w:r w:rsidRPr="00004DC0">
              <w:rPr>
                <w:rFonts w:ascii="Times New Roman" w:hAnsi="Times New Roman" w:cs="Times New Roman"/>
                <w:sz w:val="24"/>
                <w:szCs w:val="24"/>
              </w:rPr>
              <w:t>ory</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053380FC" w14:textId="011C5E60">
            <w:pPr>
              <w:keepNext/>
              <w:spacing w:after="0" w:line="240" w:lineRule="auto"/>
              <w:jc w:val="center"/>
              <w:rPr>
                <w:rFonts w:ascii="Times New Roman" w:hAnsi="Times New Roman" w:cs="Times New Roman"/>
                <w:sz w:val="24"/>
                <w:szCs w:val="24"/>
              </w:rPr>
            </w:pPr>
            <w:r w:rsidRPr="00004DC0">
              <w:rPr>
                <w:rFonts w:ascii="Times New Roman" w:hAnsi="Times New Roman" w:cs="Times New Roman"/>
                <w:sz w:val="24"/>
                <w:szCs w:val="24"/>
              </w:rPr>
              <w:t>N</w:t>
            </w:r>
            <w:r w:rsidRPr="00004DC0">
              <w:rPr>
                <w:rFonts w:ascii="Times New Roman" w:hAnsi="Times New Roman" w:cs="Times New Roman"/>
                <w:spacing w:val="1"/>
                <w:sz w:val="24"/>
                <w:szCs w:val="24"/>
              </w:rPr>
              <w:t>u</w:t>
            </w:r>
            <w:r w:rsidRPr="00004DC0">
              <w:rPr>
                <w:rFonts w:ascii="Times New Roman" w:hAnsi="Times New Roman" w:cs="Times New Roman"/>
                <w:spacing w:val="-2"/>
                <w:sz w:val="24"/>
                <w:szCs w:val="24"/>
              </w:rPr>
              <w:t>m</w:t>
            </w:r>
            <w:r w:rsidRPr="00004DC0">
              <w:rPr>
                <w:rFonts w:ascii="Times New Roman" w:hAnsi="Times New Roman" w:cs="Times New Roman"/>
                <w:sz w:val="24"/>
                <w:szCs w:val="24"/>
              </w:rPr>
              <w:t>ber of</w:t>
            </w:r>
            <w:r w:rsidR="007A11A2">
              <w:rPr>
                <w:rFonts w:ascii="Times New Roman" w:hAnsi="Times New Roman" w:cs="Times New Roman"/>
                <w:spacing w:val="1"/>
                <w:sz w:val="24"/>
                <w:szCs w:val="24"/>
              </w:rPr>
              <w:t xml:space="preserve"> </w:t>
            </w:r>
            <w:r w:rsidRPr="00004DC0">
              <w:rPr>
                <w:rFonts w:ascii="Times New Roman" w:hAnsi="Times New Roman" w:cs="Times New Roman"/>
                <w:spacing w:val="1"/>
                <w:sz w:val="24"/>
                <w:szCs w:val="24"/>
              </w:rPr>
              <w:t>Respondent</w:t>
            </w:r>
            <w:r w:rsidRPr="00004DC0">
              <w:rPr>
                <w:rFonts w:ascii="Times New Roman" w:hAnsi="Times New Roman" w:cs="Times New Roman"/>
                <w:sz w:val="24"/>
                <w:szCs w:val="24"/>
              </w:rPr>
              <w:t>s</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23E7FE84" w14:textId="77777777">
            <w:pPr>
              <w:keepNext/>
              <w:spacing w:after="0" w:line="240" w:lineRule="auto"/>
              <w:ind w:right="75"/>
              <w:jc w:val="center"/>
              <w:rPr>
                <w:rFonts w:ascii="Times New Roman" w:hAnsi="Times New Roman" w:cs="Times New Roman"/>
                <w:sz w:val="24"/>
                <w:szCs w:val="24"/>
              </w:rPr>
            </w:pPr>
            <w:r w:rsidRPr="00004DC0">
              <w:rPr>
                <w:rFonts w:ascii="Times New Roman" w:hAnsi="Times New Roman" w:cs="Times New Roman"/>
                <w:sz w:val="24"/>
                <w:szCs w:val="24"/>
              </w:rPr>
              <w:t>Hourly Labor Costs (Hourly r</w:t>
            </w:r>
            <w:r w:rsidRPr="00004DC0">
              <w:rPr>
                <w:rFonts w:ascii="Times New Roman" w:hAnsi="Times New Roman" w:cs="Times New Roman"/>
                <w:spacing w:val="-1"/>
                <w:sz w:val="24"/>
                <w:szCs w:val="24"/>
              </w:rPr>
              <w:t>a</w:t>
            </w:r>
            <w:r w:rsidRPr="00004DC0">
              <w:rPr>
                <w:rFonts w:ascii="Times New Roman" w:hAnsi="Times New Roman" w:cs="Times New Roman"/>
                <w:sz w:val="24"/>
                <w:szCs w:val="24"/>
              </w:rPr>
              <w:t>te +</w:t>
            </w:r>
            <w:r w:rsidRPr="00004DC0">
              <w:rPr>
                <w:rFonts w:ascii="Times New Roman" w:hAnsi="Times New Roman" w:cs="Times New Roman"/>
                <w:spacing w:val="-1"/>
                <w:sz w:val="24"/>
                <w:szCs w:val="24"/>
              </w:rPr>
              <w:t xml:space="preserve"> </w:t>
            </w:r>
            <w:r w:rsidRPr="00004DC0">
              <w:rPr>
                <w:rFonts w:ascii="Times New Roman" w:hAnsi="Times New Roman" w:cs="Times New Roman"/>
                <w:spacing w:val="2"/>
                <w:sz w:val="24"/>
                <w:szCs w:val="24"/>
              </w:rPr>
              <w:t>100</w:t>
            </w:r>
            <w:r w:rsidRPr="00004DC0">
              <w:rPr>
                <w:rFonts w:ascii="Times New Roman" w:hAnsi="Times New Roman" w:cs="Times New Roman"/>
                <w:sz w:val="24"/>
                <w:szCs w:val="24"/>
              </w:rPr>
              <w:t xml:space="preserve">% </w:t>
            </w:r>
            <w:r w:rsidRPr="00004DC0">
              <w:rPr>
                <w:rFonts w:ascii="Times New Roman" w:hAnsi="Times New Roman" w:cs="Times New Roman"/>
                <w:spacing w:val="-1"/>
                <w:sz w:val="24"/>
                <w:szCs w:val="24"/>
              </w:rPr>
              <w:t>Fr</w:t>
            </w:r>
            <w:r w:rsidRPr="00004DC0">
              <w:rPr>
                <w:rFonts w:ascii="Times New Roman" w:hAnsi="Times New Roman" w:cs="Times New Roman"/>
                <w:sz w:val="24"/>
                <w:szCs w:val="24"/>
              </w:rPr>
              <w:t>in</w:t>
            </w:r>
            <w:r w:rsidRPr="00004DC0">
              <w:rPr>
                <w:rFonts w:ascii="Times New Roman" w:hAnsi="Times New Roman" w:cs="Times New Roman"/>
                <w:spacing w:val="-2"/>
                <w:sz w:val="24"/>
                <w:szCs w:val="24"/>
              </w:rPr>
              <w:t xml:space="preserve">ge </w:t>
            </w:r>
            <w:r w:rsidRPr="00004DC0">
              <w:rPr>
                <w:rFonts w:ascii="Times New Roman" w:hAnsi="Times New Roman" w:cs="Times New Roman"/>
                <w:sz w:val="24"/>
                <w:szCs w:val="24"/>
              </w:rPr>
              <w:t>b</w:t>
            </w:r>
            <w:r w:rsidRPr="00004DC0">
              <w:rPr>
                <w:rFonts w:ascii="Times New Roman" w:hAnsi="Times New Roman" w:cs="Times New Roman"/>
                <w:spacing w:val="-1"/>
                <w:sz w:val="24"/>
                <w:szCs w:val="24"/>
              </w:rPr>
              <w:t>e</w:t>
            </w:r>
            <w:r w:rsidRPr="00004DC0">
              <w:rPr>
                <w:rFonts w:ascii="Times New Roman" w:hAnsi="Times New Roman" w:cs="Times New Roman"/>
                <w:sz w:val="24"/>
                <w:szCs w:val="24"/>
              </w:rPr>
              <w:t>n</w:t>
            </w:r>
            <w:r w:rsidRPr="00004DC0">
              <w:rPr>
                <w:rFonts w:ascii="Times New Roman" w:hAnsi="Times New Roman" w:cs="Times New Roman"/>
                <w:spacing w:val="-1"/>
                <w:sz w:val="24"/>
                <w:szCs w:val="24"/>
              </w:rPr>
              <w:t>ef</w:t>
            </w:r>
            <w:r w:rsidRPr="00004DC0">
              <w:rPr>
                <w:rFonts w:ascii="Times New Roman" w:hAnsi="Times New Roman" w:cs="Times New Roman"/>
                <w:sz w:val="24"/>
                <w:szCs w:val="24"/>
              </w:rPr>
              <w:t>its)</w:t>
            </w: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47504BA7" w14:textId="40A3FD3B">
            <w:pPr>
              <w:keepNext/>
              <w:spacing w:after="0" w:line="240" w:lineRule="auto"/>
              <w:ind w:right="-20"/>
              <w:jc w:val="center"/>
              <w:rPr>
                <w:rFonts w:ascii="Times New Roman" w:hAnsi="Times New Roman" w:cs="Times New Roman"/>
                <w:sz w:val="24"/>
                <w:szCs w:val="24"/>
              </w:rPr>
            </w:pPr>
            <w:r w:rsidRPr="00004DC0">
              <w:rPr>
                <w:rFonts w:ascii="Times New Roman" w:hAnsi="Times New Roman" w:cs="Times New Roman"/>
                <w:sz w:val="24"/>
                <w:szCs w:val="24"/>
              </w:rPr>
              <w:t>Burden</w:t>
            </w:r>
            <w:r w:rsidR="0088692B">
              <w:rPr>
                <w:rFonts w:ascii="Times New Roman" w:hAnsi="Times New Roman" w:cs="Times New Roman"/>
                <w:sz w:val="24"/>
                <w:szCs w:val="24"/>
              </w:rPr>
              <w:t xml:space="preserve"> H</w:t>
            </w:r>
            <w:r w:rsidRPr="00004DC0">
              <w:rPr>
                <w:rFonts w:ascii="Times New Roman" w:hAnsi="Times New Roman" w:cs="Times New Roman"/>
                <w:sz w:val="24"/>
                <w:szCs w:val="24"/>
              </w:rPr>
              <w:t>ours</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4FAC857F" w14:textId="6085BAA5">
            <w:pPr>
              <w:keepNext/>
              <w:spacing w:after="0" w:line="240" w:lineRule="auto"/>
              <w:jc w:val="center"/>
              <w:rPr>
                <w:rFonts w:ascii="Times New Roman" w:hAnsi="Times New Roman" w:cs="Times New Roman"/>
                <w:sz w:val="24"/>
                <w:szCs w:val="24"/>
              </w:rPr>
            </w:pPr>
            <w:r w:rsidRPr="00004DC0">
              <w:rPr>
                <w:rFonts w:ascii="Times New Roman" w:hAnsi="Times New Roman" w:cs="Times New Roman"/>
                <w:sz w:val="24"/>
                <w:szCs w:val="24"/>
              </w:rPr>
              <w:t>Total Burden Costs (Per</w:t>
            </w:r>
            <w:r w:rsidR="007A11A2">
              <w:rPr>
                <w:rFonts w:ascii="Times New Roman" w:hAnsi="Times New Roman" w:cs="Times New Roman"/>
                <w:sz w:val="24"/>
                <w:szCs w:val="24"/>
              </w:rPr>
              <w:t xml:space="preserve"> </w:t>
            </w:r>
            <w:r w:rsidRPr="00004DC0">
              <w:rPr>
                <w:rFonts w:ascii="Times New Roman" w:hAnsi="Times New Roman" w:cs="Times New Roman"/>
                <w:sz w:val="24"/>
                <w:szCs w:val="24"/>
              </w:rPr>
              <w:t>Respondent)</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288A3048" w14:textId="77777777">
            <w:pPr>
              <w:keepNext/>
              <w:spacing w:after="0" w:line="240" w:lineRule="auto"/>
              <w:ind w:right="102"/>
              <w:jc w:val="center"/>
              <w:rPr>
                <w:rFonts w:ascii="Times New Roman" w:hAnsi="Times New Roman" w:cs="Times New Roman"/>
                <w:sz w:val="24"/>
                <w:szCs w:val="24"/>
              </w:rPr>
            </w:pPr>
            <w:r w:rsidRPr="00004DC0">
              <w:rPr>
                <w:rFonts w:ascii="Times New Roman" w:hAnsi="Times New Roman" w:cs="Times New Roman"/>
                <w:sz w:val="24"/>
                <w:szCs w:val="24"/>
              </w:rPr>
              <w:t>Total Burd</w:t>
            </w:r>
            <w:r w:rsidRPr="00004DC0">
              <w:rPr>
                <w:rFonts w:ascii="Times New Roman" w:hAnsi="Times New Roman" w:cs="Times New Roman"/>
                <w:spacing w:val="-1"/>
                <w:sz w:val="24"/>
                <w:szCs w:val="24"/>
              </w:rPr>
              <w:t>e</w:t>
            </w:r>
            <w:r w:rsidRPr="00004DC0">
              <w:rPr>
                <w:rFonts w:ascii="Times New Roman" w:hAnsi="Times New Roman" w:cs="Times New Roman"/>
                <w:sz w:val="24"/>
                <w:szCs w:val="24"/>
              </w:rPr>
              <w:t>n Costs (All Respondent</w:t>
            </w:r>
            <w:r w:rsidRPr="00004DC0">
              <w:rPr>
                <w:rFonts w:ascii="Times New Roman" w:hAnsi="Times New Roman" w:cs="Times New Roman"/>
                <w:spacing w:val="-1"/>
                <w:sz w:val="24"/>
                <w:szCs w:val="24"/>
              </w:rPr>
              <w:t>s</w:t>
            </w:r>
            <w:r w:rsidRPr="00004DC0">
              <w:rPr>
                <w:rFonts w:ascii="Times New Roman" w:hAnsi="Times New Roman" w:cs="Times New Roman"/>
                <w:sz w:val="24"/>
                <w:szCs w:val="24"/>
              </w:rPr>
              <w:t>)</w:t>
            </w:r>
          </w:p>
        </w:tc>
      </w:tr>
      <w:tr w:rsidRPr="00F96307" w:rsidR="00F96307" w:rsidTr="008637F3" w14:paraId="19D172EF" w14:textId="77777777">
        <w:trPr>
          <w:trHeight w:val="634"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7A11A2" w14:paraId="1A98411A" w14:textId="00D4C85C">
            <w:pPr>
              <w:ind w:left="85" w:right="-20"/>
              <w:rPr>
                <w:rFonts w:ascii="Times New Roman" w:hAnsi="Times New Roman" w:cs="Times New Roman"/>
                <w:sz w:val="24"/>
                <w:szCs w:val="24"/>
              </w:rPr>
            </w:pPr>
            <w:r>
              <w:rPr>
                <w:rFonts w:ascii="Times New Roman" w:hAnsi="Times New Roman" w:cs="Times New Roman"/>
                <w:sz w:val="24"/>
                <w:szCs w:val="24"/>
              </w:rPr>
              <w:t xml:space="preserve">Computer </w:t>
            </w:r>
            <w:r w:rsidRPr="00004DC0" w:rsidR="00F96307">
              <w:rPr>
                <w:rFonts w:ascii="Times New Roman" w:hAnsi="Times New Roman" w:cs="Times New Roman"/>
                <w:sz w:val="24"/>
                <w:szCs w:val="24"/>
              </w:rPr>
              <w:t>System Analyst</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5E06432F" w14:textId="77777777">
            <w:pPr>
              <w:jc w:val="center"/>
              <w:rPr>
                <w:rFonts w:ascii="Times New Roman" w:hAnsi="Times New Roman" w:cs="Times New Roman"/>
                <w:sz w:val="24"/>
                <w:szCs w:val="24"/>
              </w:rPr>
            </w:pPr>
            <w:r w:rsidRPr="00004DC0">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14C3984" w14:textId="77777777">
            <w:pPr>
              <w:jc w:val="center"/>
              <w:rPr>
                <w:rFonts w:ascii="Times New Roman" w:hAnsi="Times New Roman" w:cs="Times New Roman"/>
                <w:sz w:val="24"/>
                <w:szCs w:val="24"/>
              </w:rPr>
            </w:pPr>
            <w:r w:rsidRPr="00004DC0">
              <w:rPr>
                <w:rFonts w:ascii="Times New Roman" w:hAnsi="Times New Roman" w:cs="Times New Roman"/>
                <w:sz w:val="24"/>
                <w:szCs w:val="24"/>
              </w:rPr>
              <w:t>$90.02</w:t>
            </w: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544755D1" w14:textId="7A5669D6">
            <w:pPr>
              <w:ind w:right="10"/>
              <w:jc w:val="center"/>
              <w:rPr>
                <w:rFonts w:ascii="Times New Roman" w:hAnsi="Times New Roman" w:cs="Times New Roman"/>
                <w:sz w:val="24"/>
                <w:szCs w:val="24"/>
              </w:rPr>
            </w:pPr>
            <w:r w:rsidRPr="00004DC0">
              <w:rPr>
                <w:rFonts w:ascii="Times New Roman" w:hAnsi="Times New Roman" w:cs="Times New Roman"/>
                <w:sz w:val="24"/>
                <w:szCs w:val="24"/>
              </w:rPr>
              <w:t>5</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FB41D19"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$450.10</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BCD30AE" w14:textId="77777777">
            <w:pPr>
              <w:jc w:val="center"/>
              <w:rPr>
                <w:rFonts w:ascii="Times New Roman" w:hAnsi="Times New Roman" w:cs="Times New Roman"/>
                <w:sz w:val="24"/>
                <w:szCs w:val="24"/>
              </w:rPr>
            </w:pPr>
          </w:p>
        </w:tc>
      </w:tr>
      <w:tr w:rsidRPr="00F96307" w:rsidR="00F96307" w:rsidTr="008637F3" w14:paraId="3B7B79E9" w14:textId="77777777">
        <w:trPr>
          <w:trHeight w:val="634"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332E7A2" w14:textId="77777777">
            <w:pPr>
              <w:ind w:left="85" w:right="-20"/>
              <w:rPr>
                <w:rFonts w:ascii="Times New Roman" w:hAnsi="Times New Roman" w:cs="Times New Roman"/>
                <w:sz w:val="24"/>
                <w:szCs w:val="24"/>
              </w:rPr>
            </w:pPr>
            <w:r w:rsidRPr="00004DC0">
              <w:rPr>
                <w:rFonts w:ascii="Times New Roman" w:hAnsi="Times New Roman" w:cs="Times New Roman"/>
                <w:sz w:val="24"/>
                <w:szCs w:val="24"/>
              </w:rPr>
              <w:t>Financial Analyst</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2ECFD28" w14:textId="77777777">
            <w:pPr>
              <w:jc w:val="center"/>
              <w:rPr>
                <w:rFonts w:ascii="Times New Roman" w:hAnsi="Times New Roman" w:cs="Times New Roman"/>
                <w:sz w:val="24"/>
                <w:szCs w:val="24"/>
              </w:rPr>
            </w:pPr>
            <w:r w:rsidRPr="00004DC0">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78B8B00F" w14:textId="77777777">
            <w:pPr>
              <w:jc w:val="center"/>
              <w:rPr>
                <w:rFonts w:ascii="Times New Roman" w:hAnsi="Times New Roman" w:cs="Times New Roman"/>
                <w:sz w:val="24"/>
                <w:szCs w:val="24"/>
              </w:rPr>
            </w:pPr>
            <w:r w:rsidRPr="00004DC0">
              <w:rPr>
                <w:rFonts w:ascii="Times New Roman" w:hAnsi="Times New Roman" w:cs="Times New Roman"/>
                <w:sz w:val="24"/>
                <w:szCs w:val="24"/>
              </w:rPr>
              <w:t>$97.10</w:t>
            </w: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6047290E" w14:textId="60272D21">
            <w:pPr>
              <w:jc w:val="center"/>
              <w:rPr>
                <w:rFonts w:ascii="Times New Roman" w:hAnsi="Times New Roman" w:cs="Times New Roman"/>
                <w:sz w:val="24"/>
                <w:szCs w:val="24"/>
              </w:rPr>
            </w:pPr>
            <w:r w:rsidRPr="00004DC0">
              <w:rPr>
                <w:rFonts w:ascii="Times New Roman" w:hAnsi="Times New Roman" w:cs="Times New Roman"/>
                <w:sz w:val="24"/>
                <w:szCs w:val="24"/>
              </w:rPr>
              <w:t>4</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4FEF6CC"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$388.40</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644EBB7C" w14:textId="77777777">
            <w:pPr>
              <w:jc w:val="center"/>
              <w:rPr>
                <w:rFonts w:ascii="Times New Roman" w:hAnsi="Times New Roman" w:cs="Times New Roman"/>
                <w:sz w:val="24"/>
                <w:szCs w:val="24"/>
              </w:rPr>
            </w:pPr>
          </w:p>
        </w:tc>
      </w:tr>
      <w:tr w:rsidRPr="00F96307" w:rsidR="00F96307" w:rsidTr="008637F3" w14:paraId="426E8F45" w14:textId="77777777">
        <w:trPr>
          <w:trHeight w:val="634"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0B00AEC6" w14:textId="77777777">
            <w:pPr>
              <w:ind w:left="85" w:right="-20"/>
              <w:rPr>
                <w:rFonts w:ascii="Times New Roman" w:hAnsi="Times New Roman" w:cs="Times New Roman"/>
                <w:sz w:val="24"/>
                <w:szCs w:val="24"/>
              </w:rPr>
            </w:pPr>
            <w:r w:rsidRPr="00004DC0">
              <w:rPr>
                <w:rFonts w:ascii="Times New Roman" w:hAnsi="Times New Roman" w:cs="Times New Roman"/>
                <w:sz w:val="24"/>
                <w:szCs w:val="24"/>
              </w:rPr>
              <w:t>Private Actuaries</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43D8E37" w14:textId="77777777">
            <w:pPr>
              <w:jc w:val="center"/>
              <w:rPr>
                <w:rFonts w:ascii="Times New Roman" w:hAnsi="Times New Roman" w:cs="Times New Roman"/>
                <w:sz w:val="24"/>
                <w:szCs w:val="24"/>
              </w:rPr>
            </w:pPr>
            <w:r w:rsidRPr="00004DC0">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88594DF" w14:textId="77777777">
            <w:pPr>
              <w:jc w:val="center"/>
              <w:rPr>
                <w:rFonts w:ascii="Times New Roman" w:hAnsi="Times New Roman" w:cs="Times New Roman"/>
                <w:sz w:val="24"/>
                <w:szCs w:val="24"/>
              </w:rPr>
            </w:pPr>
            <w:r w:rsidRPr="00004DC0">
              <w:rPr>
                <w:rFonts w:ascii="Times New Roman" w:hAnsi="Times New Roman" w:cs="Times New Roman"/>
                <w:sz w:val="24"/>
                <w:szCs w:val="24"/>
              </w:rPr>
              <w:t>$111.78</w:t>
            </w: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77ACEE06" w14:textId="59FB2487">
            <w:pPr>
              <w:ind w:right="10"/>
              <w:jc w:val="center"/>
              <w:rPr>
                <w:rFonts w:ascii="Times New Roman" w:hAnsi="Times New Roman" w:cs="Times New Roman"/>
                <w:sz w:val="24"/>
                <w:szCs w:val="24"/>
              </w:rPr>
            </w:pPr>
            <w:r w:rsidRPr="00004DC0">
              <w:rPr>
                <w:rFonts w:ascii="Times New Roman" w:hAnsi="Times New Roman" w:cs="Times New Roman"/>
                <w:sz w:val="24"/>
                <w:szCs w:val="24"/>
              </w:rPr>
              <w:t>2</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034532B"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$223.56</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2675D2E" w14:textId="77777777">
            <w:pPr>
              <w:jc w:val="center"/>
              <w:rPr>
                <w:rFonts w:ascii="Times New Roman" w:hAnsi="Times New Roman" w:cs="Times New Roman"/>
                <w:sz w:val="24"/>
                <w:szCs w:val="24"/>
              </w:rPr>
            </w:pPr>
          </w:p>
        </w:tc>
      </w:tr>
      <w:tr w:rsidRPr="00F96307" w:rsidR="00F96307" w:rsidTr="008637F3" w14:paraId="77A741EB" w14:textId="77777777">
        <w:trPr>
          <w:trHeight w:val="634"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67B1093" w14:textId="77777777">
            <w:pPr>
              <w:ind w:left="85" w:right="-20"/>
              <w:rPr>
                <w:rFonts w:ascii="Times New Roman" w:hAnsi="Times New Roman" w:cs="Times New Roman"/>
                <w:sz w:val="24"/>
                <w:szCs w:val="24"/>
              </w:rPr>
            </w:pPr>
            <w:r w:rsidRPr="00DD7C98">
              <w:rPr>
                <w:rFonts w:ascii="Times New Roman" w:hAnsi="Times New Roman" w:cs="Times New Roman"/>
                <w:sz w:val="24"/>
                <w:szCs w:val="24"/>
              </w:rPr>
              <w:t>Senior Executive</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5A37AE51" w14:textId="77777777">
            <w:pPr>
              <w:jc w:val="center"/>
              <w:rPr>
                <w:rFonts w:ascii="Times New Roman" w:hAnsi="Times New Roman" w:cs="Times New Roman"/>
                <w:sz w:val="24"/>
                <w:szCs w:val="24"/>
              </w:rPr>
            </w:pPr>
            <w:r w:rsidRPr="00004DC0">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5274E3E" w14:textId="77777777">
            <w:pPr>
              <w:jc w:val="center"/>
              <w:rPr>
                <w:rFonts w:ascii="Times New Roman" w:hAnsi="Times New Roman" w:cs="Times New Roman"/>
                <w:sz w:val="24"/>
                <w:szCs w:val="24"/>
              </w:rPr>
            </w:pPr>
            <w:r w:rsidRPr="00004DC0">
              <w:rPr>
                <w:rFonts w:ascii="Times New Roman" w:hAnsi="Times New Roman" w:cs="Times New Roman"/>
                <w:sz w:val="24"/>
                <w:szCs w:val="24"/>
              </w:rPr>
              <w:t>$123.32</w:t>
            </w:r>
          </w:p>
        </w:tc>
        <w:tc>
          <w:tcPr>
            <w:tcW w:w="825" w:type="dxa"/>
            <w:tcBorders>
              <w:top w:val="single" w:color="000000" w:sz="4" w:space="0"/>
              <w:left w:val="single" w:color="000000" w:sz="4" w:space="0"/>
              <w:bottom w:val="single" w:color="000000" w:sz="4" w:space="0"/>
              <w:right w:val="single" w:color="000000" w:sz="4" w:space="0"/>
            </w:tcBorders>
            <w:vAlign w:val="center"/>
          </w:tcPr>
          <w:p w:rsidRPr="00004DC0" w:rsidR="00F96307" w:rsidP="0088692B" w:rsidRDefault="002A5D53" w14:paraId="6FF15AD1" w14:textId="0C9EEECA">
            <w:pPr>
              <w:ind w:right="10"/>
              <w:jc w:val="center"/>
              <w:rPr>
                <w:rFonts w:ascii="Times New Roman" w:hAnsi="Times New Roman" w:cs="Times New Roman"/>
                <w:sz w:val="24"/>
                <w:szCs w:val="24"/>
              </w:rPr>
            </w:pPr>
            <w:r w:rsidRPr="002A5D53">
              <w:rPr>
                <w:rFonts w:ascii="Times New Roman" w:hAnsi="Times New Roman" w:cs="Times New Roman"/>
                <w:sz w:val="24"/>
                <w:szCs w:val="24"/>
              </w:rPr>
              <w:t>0.5</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935E9E8"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$61.66</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45B2500" w14:textId="77777777">
            <w:pPr>
              <w:jc w:val="center"/>
              <w:rPr>
                <w:rFonts w:ascii="Times New Roman" w:hAnsi="Times New Roman" w:cs="Times New Roman"/>
                <w:sz w:val="24"/>
                <w:szCs w:val="24"/>
              </w:rPr>
            </w:pPr>
          </w:p>
        </w:tc>
      </w:tr>
      <w:tr w:rsidRPr="00F96307" w:rsidR="00F96307" w:rsidTr="008637F3" w14:paraId="095E8B1A" w14:textId="77777777">
        <w:trPr>
          <w:trHeight w:val="634"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P="00485799" w:rsidRDefault="001D5822" w14:paraId="6698DB2A" w14:textId="2EA509E1">
            <w:pPr>
              <w:ind w:left="85" w:right="-20"/>
              <w:rPr>
                <w:rFonts w:ascii="Times New Roman" w:hAnsi="Times New Roman" w:cs="Times New Roman"/>
                <w:sz w:val="24"/>
                <w:szCs w:val="24"/>
              </w:rPr>
            </w:pPr>
            <w:r w:rsidRPr="001D5822">
              <w:rPr>
                <w:rFonts w:ascii="Times New Roman" w:hAnsi="Times New Roman" w:cs="Times New Roman"/>
                <w:sz w:val="24"/>
                <w:szCs w:val="24"/>
              </w:rPr>
              <w:t>General and Operations Manager</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11CD1C6" w14:textId="77777777">
            <w:pPr>
              <w:jc w:val="center"/>
              <w:rPr>
                <w:rFonts w:ascii="Times New Roman" w:hAnsi="Times New Roman" w:cs="Times New Roman"/>
                <w:sz w:val="24"/>
                <w:szCs w:val="24"/>
              </w:rPr>
            </w:pPr>
            <w:r w:rsidRPr="00004DC0">
              <w:rPr>
                <w:rFonts w:ascii="Times New Roman" w:hAnsi="Times New Roman" w:cs="Times New Roman"/>
                <w:sz w:val="24"/>
                <w:szCs w:val="24"/>
              </w:rPr>
              <w:t>10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9A8418B" w14:textId="77777777">
            <w:pPr>
              <w:jc w:val="center"/>
              <w:rPr>
                <w:rFonts w:ascii="Times New Roman" w:hAnsi="Times New Roman" w:cs="Times New Roman"/>
                <w:sz w:val="24"/>
                <w:szCs w:val="24"/>
              </w:rPr>
            </w:pPr>
            <w:r w:rsidRPr="00004DC0">
              <w:rPr>
                <w:rFonts w:ascii="Times New Roman" w:hAnsi="Times New Roman" w:cs="Times New Roman"/>
                <w:sz w:val="24"/>
                <w:szCs w:val="24"/>
              </w:rPr>
              <w:t>$119.12</w:t>
            </w: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66E73634" w14:textId="02DC1908">
            <w:pPr>
              <w:jc w:val="center"/>
              <w:rPr>
                <w:rFonts w:ascii="Times New Roman" w:hAnsi="Times New Roman" w:cs="Times New Roman"/>
                <w:sz w:val="24"/>
                <w:szCs w:val="24"/>
              </w:rPr>
            </w:pPr>
            <w:r w:rsidRPr="00004DC0">
              <w:rPr>
                <w:rFonts w:ascii="Times New Roman" w:hAnsi="Times New Roman" w:cs="Times New Roman"/>
                <w:sz w:val="24"/>
                <w:szCs w:val="24"/>
              </w:rPr>
              <w:t>1.5</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F175862"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$178.68</w:t>
            </w: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DA68C3B" w14:textId="77777777">
            <w:pPr>
              <w:jc w:val="center"/>
              <w:rPr>
                <w:rFonts w:ascii="Times New Roman" w:hAnsi="Times New Roman" w:cs="Times New Roman"/>
                <w:sz w:val="24"/>
                <w:szCs w:val="24"/>
              </w:rPr>
            </w:pPr>
          </w:p>
        </w:tc>
      </w:tr>
      <w:tr w:rsidRPr="00F96307" w:rsidR="00F96307" w:rsidTr="008637F3" w14:paraId="5CCB0F33" w14:textId="77777777">
        <w:trPr>
          <w:trHeight w:val="625" w:hRule="exact"/>
          <w:jc w:val="center"/>
        </w:trPr>
        <w:tc>
          <w:tcPr>
            <w:tcW w:w="2515" w:type="dxa"/>
            <w:tcBorders>
              <w:top w:val="single" w:color="000000" w:sz="4" w:space="0"/>
              <w:left w:val="single" w:color="000000" w:sz="4" w:space="0"/>
              <w:bottom w:val="single" w:color="000000" w:sz="4" w:space="0"/>
              <w:right w:val="single" w:color="000000" w:sz="4" w:space="0"/>
            </w:tcBorders>
          </w:tcPr>
          <w:p w:rsidRPr="00004DC0" w:rsidR="00F96307" w:rsidRDefault="00D53A24" w14:paraId="469E2801" w14:textId="655D96D7">
            <w:pPr>
              <w:ind w:right="-20"/>
              <w:rPr>
                <w:rFonts w:ascii="Times New Roman" w:hAnsi="Times New Roman" w:cs="Times New Roman"/>
                <w:sz w:val="24"/>
                <w:szCs w:val="24"/>
              </w:rPr>
            </w:pPr>
            <w:r>
              <w:rPr>
                <w:rFonts w:ascii="Times New Roman" w:hAnsi="Times New Roman" w:cs="Times New Roman"/>
                <w:sz w:val="24"/>
                <w:szCs w:val="24"/>
              </w:rPr>
              <w:t xml:space="preserve"> </w:t>
            </w:r>
            <w:r w:rsidRPr="00004DC0" w:rsidR="00F96307">
              <w:rPr>
                <w:rFonts w:ascii="Times New Roman" w:hAnsi="Times New Roman" w:cs="Times New Roman"/>
                <w:sz w:val="24"/>
                <w:szCs w:val="24"/>
              </w:rPr>
              <w:t>Total - Annu</w:t>
            </w:r>
            <w:r w:rsidRPr="00004DC0" w:rsidR="00F96307">
              <w:rPr>
                <w:rFonts w:ascii="Times New Roman" w:hAnsi="Times New Roman" w:cs="Times New Roman"/>
                <w:spacing w:val="-1"/>
                <w:sz w:val="24"/>
                <w:szCs w:val="24"/>
              </w:rPr>
              <w:t>a</w:t>
            </w:r>
            <w:r w:rsidRPr="00004DC0" w:rsidR="00F96307">
              <w:rPr>
                <w:rFonts w:ascii="Times New Roman" w:hAnsi="Times New Roman" w:cs="Times New Roman"/>
                <w:sz w:val="24"/>
                <w:szCs w:val="24"/>
              </w:rPr>
              <w:t>l</w:t>
            </w:r>
          </w:p>
        </w:tc>
        <w:tc>
          <w:tcPr>
            <w:tcW w:w="126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C719816" w14:textId="77777777">
            <w:pPr>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6CE46925" w14:textId="77777777">
            <w:pPr>
              <w:jc w:val="center"/>
              <w:rPr>
                <w:rFonts w:ascii="Times New Roman" w:hAnsi="Times New Roman" w:cs="Times New Roman"/>
                <w:sz w:val="24"/>
                <w:szCs w:val="24"/>
              </w:rPr>
            </w:pPr>
          </w:p>
        </w:tc>
        <w:tc>
          <w:tcPr>
            <w:tcW w:w="825"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11A29287" w14:textId="77777777">
            <w:pPr>
              <w:jc w:val="center"/>
              <w:rPr>
                <w:rFonts w:ascii="Times New Roman" w:hAnsi="Times New Roman" w:cs="Times New Roman"/>
                <w:sz w:val="24"/>
                <w:szCs w:val="24"/>
              </w:rPr>
            </w:pPr>
            <w:r w:rsidRPr="00004DC0">
              <w:rPr>
                <w:rFonts w:ascii="Times New Roman" w:hAnsi="Times New Roman" w:cs="Times New Roman"/>
                <w:sz w:val="24"/>
                <w:szCs w:val="24"/>
              </w:rPr>
              <w:t>130</w:t>
            </w:r>
          </w:p>
        </w:tc>
        <w:tc>
          <w:tcPr>
            <w:tcW w:w="1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4DBEFAE" w14:textId="77777777">
            <w:pPr>
              <w:jc w:val="center"/>
              <w:rPr>
                <w:rFonts w:ascii="Times New Roman" w:hAnsi="Times New Roman" w:cs="Times New Roman"/>
                <w:sz w:val="24"/>
                <w:szCs w:val="24"/>
              </w:rPr>
            </w:pPr>
          </w:p>
        </w:tc>
        <w:tc>
          <w:tcPr>
            <w:tcW w:w="1619"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486A740"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$13,024.00</w:t>
            </w:r>
          </w:p>
        </w:tc>
      </w:tr>
    </w:tbl>
    <w:p w:rsidR="00F96307" w:rsidP="00F96307" w:rsidRDefault="00F96307" w14:paraId="27168C17" w14:textId="6A255F5F">
      <w:pPr>
        <w:pStyle w:val="BodyText"/>
      </w:pPr>
    </w:p>
    <w:p w:rsidRPr="00F96307" w:rsidR="00D667C1" w:rsidP="00F96307" w:rsidRDefault="00D667C1" w14:paraId="36C8A7D0" w14:textId="77777777">
      <w:pPr>
        <w:pStyle w:val="BodyText"/>
      </w:pPr>
    </w:p>
    <w:p w:rsidRPr="00004DC0" w:rsidR="00F96307" w:rsidP="002A5D53" w:rsidRDefault="00F96307" w14:paraId="2277F8F2" w14:textId="77777777">
      <w:pPr>
        <w:pStyle w:val="BodyText"/>
        <w:ind w:right="29"/>
        <w:rPr>
          <w:b/>
          <w:i/>
        </w:rPr>
      </w:pPr>
      <w:r w:rsidRPr="00004DC0">
        <w:rPr>
          <w:b/>
          <w:i/>
        </w:rPr>
        <w:t>Attestation</w:t>
      </w:r>
    </w:p>
    <w:p w:rsidRPr="00004DC0" w:rsidR="00004DC0" w:rsidP="002A5D53" w:rsidRDefault="00004DC0" w14:paraId="172A8388" w14:textId="7EC78881">
      <w:pPr>
        <w:spacing w:line="240" w:lineRule="auto"/>
        <w:ind w:right="29"/>
        <w:rPr>
          <w:rFonts w:ascii="Times New Roman" w:hAnsi="Times New Roman" w:eastAsia="Times New Roman" w:cs="Times New Roman"/>
          <w:sz w:val="24"/>
          <w:szCs w:val="24"/>
        </w:rPr>
      </w:pPr>
      <w:r w:rsidRPr="00004DC0">
        <w:rPr>
          <w:rFonts w:ascii="Times New Roman" w:hAnsi="Times New Roman" w:eastAsia="Times New Roman" w:cs="Times New Roman"/>
          <w:sz w:val="24"/>
          <w:szCs w:val="24"/>
        </w:rPr>
        <w:t>Pursuant to §156.280(e)(5)(iii), each QHP issuer must also annually attest to compliance with PPACA section 1303 and applicable regulations. The burden estimate associated with this requirement includes the time for all QHP issuers on the Exchange to provide an annual attestation to the State Insurance Commissioner that the QHP issuer remains in compliance with section 1303 of the PPAC</w:t>
      </w:r>
      <w:r w:rsidR="00D51872">
        <w:rPr>
          <w:rFonts w:ascii="Times New Roman" w:hAnsi="Times New Roman" w:eastAsia="Times New Roman" w:cs="Times New Roman"/>
          <w:sz w:val="24"/>
          <w:szCs w:val="24"/>
        </w:rPr>
        <w:t xml:space="preserve">A and applicable regulations.  </w:t>
      </w:r>
    </w:p>
    <w:p w:rsidRPr="00004DC0" w:rsidR="00F96307" w:rsidP="002A5D53" w:rsidRDefault="00004DC0" w14:paraId="5AB16515" w14:textId="5504C8E1">
      <w:pPr>
        <w:spacing w:line="240" w:lineRule="auto"/>
        <w:ind w:right="29"/>
        <w:rPr>
          <w:rFonts w:ascii="Times New Roman" w:hAnsi="Times New Roman" w:cs="Times New Roman"/>
          <w:sz w:val="24"/>
          <w:szCs w:val="24"/>
        </w:rPr>
      </w:pPr>
      <w:r w:rsidRPr="00004DC0">
        <w:rPr>
          <w:rFonts w:ascii="Times New Roman" w:hAnsi="Times New Roman" w:eastAsia="Times New Roman" w:cs="Times New Roman"/>
          <w:sz w:val="24"/>
          <w:szCs w:val="24"/>
        </w:rPr>
        <w:t xml:space="preserve">The burden associated with requiring individual market QHP issuers (not including SADP issuers) participating in the Exchange to submit an attestation to the State Insurance Commissioner is annual. We estimate there are 200 QHP issuers participating on the Exchange. Therefore, we estimate it will take approximately 2.25 hours (with an equivalent cost of $247.05) annually per QHP issuer to provide an attestation to the State Insurance Commissioner, for a total of 450 annual hours across all 200 QHP issuers, with an equivalent annual cost of $49,410.  </w:t>
      </w:r>
    </w:p>
    <w:p w:rsidR="00F96307" w:rsidP="008637F3" w:rsidRDefault="00F96307" w14:paraId="59EF02C1" w14:textId="75E14AC2">
      <w:pPr>
        <w:pStyle w:val="Heading1"/>
        <w:ind w:left="0" w:right="30" w:firstLine="0"/>
      </w:pPr>
      <w:r w:rsidRPr="002A5D53">
        <w:lastRenderedPageBreak/>
        <w:t xml:space="preserve">Table </w:t>
      </w:r>
      <w:r w:rsidRPr="002A5D53" w:rsidR="00F67360">
        <w:t>3</w:t>
      </w:r>
      <w:r w:rsidRPr="002A5D53">
        <w:t xml:space="preserve">: Burden for QHP </w:t>
      </w:r>
      <w:r w:rsidRPr="002A5D53" w:rsidR="00004DC0">
        <w:t>Issuers Submitting Attestations</w:t>
      </w:r>
    </w:p>
    <w:p w:rsidRPr="008637F3" w:rsidR="00A12EE8" w:rsidP="008637F3" w:rsidRDefault="00A12EE8" w14:paraId="6F49EB4C" w14:textId="77777777">
      <w:pPr>
        <w:pStyle w:val="Heading1"/>
        <w:ind w:left="0" w:right="30" w:firstLine="0"/>
        <w:rPr>
          <w:b w:val="0"/>
        </w:rPr>
      </w:pPr>
    </w:p>
    <w:tbl>
      <w:tblPr>
        <w:tblW w:w="9544" w:type="dxa"/>
        <w:jc w:val="center"/>
        <w:tblLayout w:type="fixed"/>
        <w:tblCellMar>
          <w:left w:w="0" w:type="dxa"/>
          <w:right w:w="0" w:type="dxa"/>
        </w:tblCellMar>
        <w:tblLook w:val="01E0" w:firstRow="1" w:lastRow="1" w:firstColumn="1" w:lastColumn="1" w:noHBand="0" w:noVBand="0"/>
      </w:tblPr>
      <w:tblGrid>
        <w:gridCol w:w="2430"/>
        <w:gridCol w:w="1350"/>
        <w:gridCol w:w="1620"/>
        <w:gridCol w:w="1095"/>
        <w:gridCol w:w="1425"/>
        <w:gridCol w:w="1624"/>
      </w:tblGrid>
      <w:tr w:rsidRPr="00F96307" w:rsidR="00F96307" w:rsidTr="0088692B" w14:paraId="1BDE2647" w14:textId="77777777">
        <w:trPr>
          <w:trHeight w:val="1198" w:hRule="exact"/>
          <w:jc w:val="center"/>
        </w:trPr>
        <w:tc>
          <w:tcPr>
            <w:tcW w:w="2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1497EAE" w14:textId="77777777">
            <w:pPr>
              <w:keepNext/>
              <w:ind w:left="85" w:right="-20"/>
              <w:rPr>
                <w:rFonts w:ascii="Times New Roman" w:hAnsi="Times New Roman" w:cs="Times New Roman"/>
                <w:sz w:val="24"/>
                <w:szCs w:val="24"/>
              </w:rPr>
            </w:pPr>
            <w:r w:rsidRPr="00004DC0">
              <w:rPr>
                <w:rFonts w:ascii="Times New Roman" w:hAnsi="Times New Roman" w:cs="Times New Roman"/>
                <w:sz w:val="24"/>
                <w:szCs w:val="24"/>
              </w:rPr>
              <w:t>Labor Cate</w:t>
            </w:r>
            <w:r w:rsidRPr="00004DC0">
              <w:rPr>
                <w:rFonts w:ascii="Times New Roman" w:hAnsi="Times New Roman" w:cs="Times New Roman"/>
                <w:spacing w:val="-1"/>
                <w:sz w:val="24"/>
                <w:szCs w:val="24"/>
              </w:rPr>
              <w:t>g</w:t>
            </w:r>
            <w:r w:rsidRPr="00004DC0">
              <w:rPr>
                <w:rFonts w:ascii="Times New Roman" w:hAnsi="Times New Roman" w:cs="Times New Roman"/>
                <w:sz w:val="24"/>
                <w:szCs w:val="24"/>
              </w:rPr>
              <w:t>ory</w:t>
            </w:r>
          </w:p>
        </w:tc>
        <w:tc>
          <w:tcPr>
            <w:tcW w:w="1350"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44601F50" w14:textId="568D286F">
            <w:pPr>
              <w:keepNext/>
              <w:spacing w:after="0" w:line="240" w:lineRule="auto"/>
              <w:jc w:val="center"/>
              <w:rPr>
                <w:rFonts w:ascii="Times New Roman" w:hAnsi="Times New Roman" w:cs="Times New Roman"/>
                <w:sz w:val="24"/>
                <w:szCs w:val="24"/>
              </w:rPr>
            </w:pPr>
            <w:r w:rsidRPr="00004DC0">
              <w:rPr>
                <w:rFonts w:ascii="Times New Roman" w:hAnsi="Times New Roman" w:cs="Times New Roman"/>
                <w:sz w:val="24"/>
                <w:szCs w:val="24"/>
              </w:rPr>
              <w:t>N</w:t>
            </w:r>
            <w:r w:rsidRPr="00004DC0">
              <w:rPr>
                <w:rFonts w:ascii="Times New Roman" w:hAnsi="Times New Roman" w:cs="Times New Roman"/>
                <w:spacing w:val="1"/>
                <w:sz w:val="24"/>
                <w:szCs w:val="24"/>
              </w:rPr>
              <w:t>u</w:t>
            </w:r>
            <w:r w:rsidRPr="00004DC0">
              <w:rPr>
                <w:rFonts w:ascii="Times New Roman" w:hAnsi="Times New Roman" w:cs="Times New Roman"/>
                <w:spacing w:val="-2"/>
                <w:sz w:val="24"/>
                <w:szCs w:val="24"/>
              </w:rPr>
              <w:t>m</w:t>
            </w:r>
            <w:r w:rsidRPr="00004DC0">
              <w:rPr>
                <w:rFonts w:ascii="Times New Roman" w:hAnsi="Times New Roman" w:cs="Times New Roman"/>
                <w:sz w:val="24"/>
                <w:szCs w:val="24"/>
              </w:rPr>
              <w:t>ber of</w:t>
            </w:r>
            <w:r w:rsidR="00A12EE8">
              <w:rPr>
                <w:rFonts w:ascii="Times New Roman" w:hAnsi="Times New Roman" w:cs="Times New Roman"/>
                <w:spacing w:val="1"/>
                <w:sz w:val="24"/>
                <w:szCs w:val="24"/>
              </w:rPr>
              <w:t xml:space="preserve"> </w:t>
            </w:r>
            <w:r w:rsidRPr="00004DC0">
              <w:rPr>
                <w:rFonts w:ascii="Times New Roman" w:hAnsi="Times New Roman" w:cs="Times New Roman"/>
                <w:spacing w:val="1"/>
                <w:sz w:val="24"/>
                <w:szCs w:val="24"/>
              </w:rPr>
              <w:t>Respondent</w:t>
            </w:r>
            <w:r w:rsidRPr="00004DC0">
              <w:rPr>
                <w:rFonts w:ascii="Times New Roman" w:hAnsi="Times New Roman" w:cs="Times New Roman"/>
                <w:sz w:val="24"/>
                <w:szCs w:val="24"/>
              </w:rPr>
              <w:t>s</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369E07EB" w14:textId="77777777">
            <w:pPr>
              <w:keepNext/>
              <w:spacing w:after="0" w:line="240" w:lineRule="auto"/>
              <w:ind w:right="75"/>
              <w:jc w:val="center"/>
              <w:rPr>
                <w:rFonts w:ascii="Times New Roman" w:hAnsi="Times New Roman" w:cs="Times New Roman"/>
                <w:sz w:val="24"/>
                <w:szCs w:val="24"/>
              </w:rPr>
            </w:pPr>
            <w:r w:rsidRPr="00004DC0">
              <w:rPr>
                <w:rFonts w:ascii="Times New Roman" w:hAnsi="Times New Roman" w:cs="Times New Roman"/>
                <w:sz w:val="24"/>
                <w:szCs w:val="24"/>
              </w:rPr>
              <w:t>Hourly Labor Costs (Hourly r</w:t>
            </w:r>
            <w:r w:rsidRPr="00004DC0">
              <w:rPr>
                <w:rFonts w:ascii="Times New Roman" w:hAnsi="Times New Roman" w:cs="Times New Roman"/>
                <w:spacing w:val="-1"/>
                <w:sz w:val="24"/>
                <w:szCs w:val="24"/>
              </w:rPr>
              <w:t>a</w:t>
            </w:r>
            <w:r w:rsidRPr="00004DC0">
              <w:rPr>
                <w:rFonts w:ascii="Times New Roman" w:hAnsi="Times New Roman" w:cs="Times New Roman"/>
                <w:sz w:val="24"/>
                <w:szCs w:val="24"/>
              </w:rPr>
              <w:t>te +</w:t>
            </w:r>
            <w:r w:rsidRPr="00004DC0">
              <w:rPr>
                <w:rFonts w:ascii="Times New Roman" w:hAnsi="Times New Roman" w:cs="Times New Roman"/>
                <w:spacing w:val="-1"/>
                <w:sz w:val="24"/>
                <w:szCs w:val="24"/>
              </w:rPr>
              <w:t xml:space="preserve"> </w:t>
            </w:r>
            <w:r w:rsidRPr="00004DC0">
              <w:rPr>
                <w:rFonts w:ascii="Times New Roman" w:hAnsi="Times New Roman" w:cs="Times New Roman"/>
                <w:spacing w:val="2"/>
                <w:sz w:val="24"/>
                <w:szCs w:val="24"/>
              </w:rPr>
              <w:t>100</w:t>
            </w:r>
            <w:r w:rsidRPr="00004DC0">
              <w:rPr>
                <w:rFonts w:ascii="Times New Roman" w:hAnsi="Times New Roman" w:cs="Times New Roman"/>
                <w:sz w:val="24"/>
                <w:szCs w:val="24"/>
              </w:rPr>
              <w:t xml:space="preserve">% </w:t>
            </w:r>
            <w:r w:rsidRPr="00004DC0">
              <w:rPr>
                <w:rFonts w:ascii="Times New Roman" w:hAnsi="Times New Roman" w:cs="Times New Roman"/>
                <w:spacing w:val="-1"/>
                <w:sz w:val="24"/>
                <w:szCs w:val="24"/>
              </w:rPr>
              <w:t>Fr</w:t>
            </w:r>
            <w:r w:rsidRPr="00004DC0">
              <w:rPr>
                <w:rFonts w:ascii="Times New Roman" w:hAnsi="Times New Roman" w:cs="Times New Roman"/>
                <w:sz w:val="24"/>
                <w:szCs w:val="24"/>
              </w:rPr>
              <w:t>in</w:t>
            </w:r>
            <w:r w:rsidRPr="00004DC0">
              <w:rPr>
                <w:rFonts w:ascii="Times New Roman" w:hAnsi="Times New Roman" w:cs="Times New Roman"/>
                <w:spacing w:val="-2"/>
                <w:sz w:val="24"/>
                <w:szCs w:val="24"/>
              </w:rPr>
              <w:t xml:space="preserve">ge </w:t>
            </w:r>
            <w:r w:rsidRPr="00004DC0">
              <w:rPr>
                <w:rFonts w:ascii="Times New Roman" w:hAnsi="Times New Roman" w:cs="Times New Roman"/>
                <w:sz w:val="24"/>
                <w:szCs w:val="24"/>
              </w:rPr>
              <w:t>b</w:t>
            </w:r>
            <w:r w:rsidRPr="00004DC0">
              <w:rPr>
                <w:rFonts w:ascii="Times New Roman" w:hAnsi="Times New Roman" w:cs="Times New Roman"/>
                <w:spacing w:val="-1"/>
                <w:sz w:val="24"/>
                <w:szCs w:val="24"/>
              </w:rPr>
              <w:t>e</w:t>
            </w:r>
            <w:r w:rsidRPr="00004DC0">
              <w:rPr>
                <w:rFonts w:ascii="Times New Roman" w:hAnsi="Times New Roman" w:cs="Times New Roman"/>
                <w:sz w:val="24"/>
                <w:szCs w:val="24"/>
              </w:rPr>
              <w:t>n</w:t>
            </w:r>
            <w:r w:rsidRPr="00004DC0">
              <w:rPr>
                <w:rFonts w:ascii="Times New Roman" w:hAnsi="Times New Roman" w:cs="Times New Roman"/>
                <w:spacing w:val="-1"/>
                <w:sz w:val="24"/>
                <w:szCs w:val="24"/>
              </w:rPr>
              <w:t>ef</w:t>
            </w:r>
            <w:r w:rsidRPr="00004DC0">
              <w:rPr>
                <w:rFonts w:ascii="Times New Roman" w:hAnsi="Times New Roman" w:cs="Times New Roman"/>
                <w:sz w:val="24"/>
                <w:szCs w:val="24"/>
              </w:rPr>
              <w:t>its)</w:t>
            </w:r>
          </w:p>
        </w:tc>
        <w:tc>
          <w:tcPr>
            <w:tcW w:w="1095"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656C287C" w14:textId="615CA789">
            <w:pPr>
              <w:keepNext/>
              <w:spacing w:after="0" w:line="240" w:lineRule="auto"/>
              <w:ind w:right="-20"/>
              <w:jc w:val="center"/>
              <w:rPr>
                <w:rFonts w:ascii="Times New Roman" w:hAnsi="Times New Roman" w:cs="Times New Roman"/>
                <w:sz w:val="24"/>
                <w:szCs w:val="24"/>
              </w:rPr>
            </w:pPr>
            <w:r w:rsidRPr="00004DC0">
              <w:rPr>
                <w:rFonts w:ascii="Times New Roman" w:hAnsi="Times New Roman" w:cs="Times New Roman"/>
                <w:sz w:val="24"/>
                <w:szCs w:val="24"/>
              </w:rPr>
              <w:t>Burden</w:t>
            </w:r>
            <w:r w:rsidR="00A12EE8">
              <w:rPr>
                <w:rFonts w:ascii="Times New Roman" w:hAnsi="Times New Roman" w:cs="Times New Roman"/>
                <w:sz w:val="24"/>
                <w:szCs w:val="24"/>
              </w:rPr>
              <w:t xml:space="preserve"> </w:t>
            </w:r>
            <w:r w:rsidRPr="00004DC0">
              <w:rPr>
                <w:rFonts w:ascii="Times New Roman" w:hAnsi="Times New Roman" w:cs="Times New Roman"/>
                <w:sz w:val="24"/>
                <w:szCs w:val="24"/>
              </w:rPr>
              <w:t>Hours</w:t>
            </w:r>
          </w:p>
        </w:tc>
        <w:tc>
          <w:tcPr>
            <w:tcW w:w="1425"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75697CBA" w14:textId="01E5AC70">
            <w:pPr>
              <w:keepNext/>
              <w:spacing w:after="0" w:line="240" w:lineRule="auto"/>
              <w:jc w:val="center"/>
              <w:rPr>
                <w:rFonts w:ascii="Times New Roman" w:hAnsi="Times New Roman" w:cs="Times New Roman"/>
                <w:sz w:val="24"/>
                <w:szCs w:val="24"/>
              </w:rPr>
            </w:pPr>
            <w:r w:rsidRPr="00004DC0">
              <w:rPr>
                <w:rFonts w:ascii="Times New Roman" w:hAnsi="Times New Roman" w:cs="Times New Roman"/>
                <w:sz w:val="24"/>
                <w:szCs w:val="24"/>
              </w:rPr>
              <w:t>Total Burden Costs (Per</w:t>
            </w:r>
            <w:r w:rsidR="00A12EE8">
              <w:rPr>
                <w:rFonts w:ascii="Times New Roman" w:hAnsi="Times New Roman" w:cs="Times New Roman"/>
                <w:sz w:val="24"/>
                <w:szCs w:val="24"/>
              </w:rPr>
              <w:t xml:space="preserve"> </w:t>
            </w:r>
            <w:r w:rsidRPr="00004DC0">
              <w:rPr>
                <w:rFonts w:ascii="Times New Roman" w:hAnsi="Times New Roman" w:cs="Times New Roman"/>
                <w:sz w:val="24"/>
                <w:szCs w:val="24"/>
              </w:rPr>
              <w:t>Respondent)</w:t>
            </w:r>
          </w:p>
        </w:tc>
        <w:tc>
          <w:tcPr>
            <w:tcW w:w="1624" w:type="dxa"/>
            <w:tcBorders>
              <w:top w:val="single" w:color="000000" w:sz="4" w:space="0"/>
              <w:left w:val="single" w:color="000000" w:sz="4" w:space="0"/>
              <w:bottom w:val="single" w:color="000000" w:sz="4" w:space="0"/>
              <w:right w:val="single" w:color="000000" w:sz="4" w:space="0"/>
            </w:tcBorders>
          </w:tcPr>
          <w:p w:rsidRPr="00004DC0" w:rsidR="00F96307" w:rsidP="008637F3" w:rsidRDefault="00F96307" w14:paraId="6AE2DA50" w14:textId="77777777">
            <w:pPr>
              <w:keepNext/>
              <w:spacing w:after="0" w:line="240" w:lineRule="auto"/>
              <w:ind w:left="119" w:right="102"/>
              <w:jc w:val="center"/>
              <w:rPr>
                <w:rFonts w:ascii="Times New Roman" w:hAnsi="Times New Roman" w:cs="Times New Roman"/>
                <w:sz w:val="24"/>
                <w:szCs w:val="24"/>
              </w:rPr>
            </w:pPr>
            <w:r w:rsidRPr="00004DC0">
              <w:rPr>
                <w:rFonts w:ascii="Times New Roman" w:hAnsi="Times New Roman" w:cs="Times New Roman"/>
                <w:sz w:val="24"/>
                <w:szCs w:val="24"/>
              </w:rPr>
              <w:t>Total Burd</w:t>
            </w:r>
            <w:r w:rsidRPr="00004DC0">
              <w:rPr>
                <w:rFonts w:ascii="Times New Roman" w:hAnsi="Times New Roman" w:cs="Times New Roman"/>
                <w:spacing w:val="-1"/>
                <w:sz w:val="24"/>
                <w:szCs w:val="24"/>
              </w:rPr>
              <w:t>e</w:t>
            </w:r>
            <w:r w:rsidRPr="00004DC0">
              <w:rPr>
                <w:rFonts w:ascii="Times New Roman" w:hAnsi="Times New Roman" w:cs="Times New Roman"/>
                <w:sz w:val="24"/>
                <w:szCs w:val="24"/>
              </w:rPr>
              <w:t>n Costs (All Respondent</w:t>
            </w:r>
            <w:r w:rsidRPr="00004DC0">
              <w:rPr>
                <w:rFonts w:ascii="Times New Roman" w:hAnsi="Times New Roman" w:cs="Times New Roman"/>
                <w:spacing w:val="-1"/>
                <w:sz w:val="24"/>
                <w:szCs w:val="24"/>
              </w:rPr>
              <w:t>s</w:t>
            </w:r>
            <w:r w:rsidRPr="00004DC0">
              <w:rPr>
                <w:rFonts w:ascii="Times New Roman" w:hAnsi="Times New Roman" w:cs="Times New Roman"/>
                <w:sz w:val="24"/>
                <w:szCs w:val="24"/>
              </w:rPr>
              <w:t>)</w:t>
            </w:r>
          </w:p>
        </w:tc>
      </w:tr>
      <w:tr w:rsidRPr="00F96307" w:rsidR="00F96307" w:rsidTr="0088692B" w14:paraId="057BBB5F" w14:textId="77777777">
        <w:trPr>
          <w:trHeight w:val="634" w:hRule="exact"/>
          <w:jc w:val="center"/>
        </w:trPr>
        <w:tc>
          <w:tcPr>
            <w:tcW w:w="2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46F24F8" w14:textId="77777777">
            <w:pPr>
              <w:ind w:left="85" w:right="-20"/>
              <w:rPr>
                <w:rFonts w:ascii="Times New Roman" w:hAnsi="Times New Roman" w:cs="Times New Roman"/>
                <w:sz w:val="24"/>
                <w:szCs w:val="24"/>
              </w:rPr>
            </w:pPr>
            <w:r w:rsidRPr="00004DC0">
              <w:rPr>
                <w:rFonts w:ascii="Times New Roman" w:hAnsi="Times New Roman" w:cs="Times New Roman"/>
                <w:sz w:val="24"/>
                <w:szCs w:val="24"/>
              </w:rPr>
              <w:t>Financial Analyst</w:t>
            </w:r>
          </w:p>
        </w:tc>
        <w:tc>
          <w:tcPr>
            <w:tcW w:w="135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6EA1A42" w14:textId="77777777">
            <w:pPr>
              <w:jc w:val="center"/>
              <w:rPr>
                <w:rFonts w:ascii="Times New Roman" w:hAnsi="Times New Roman" w:cs="Times New Roman"/>
                <w:sz w:val="24"/>
                <w:szCs w:val="24"/>
              </w:rPr>
            </w:pPr>
            <w:r w:rsidRPr="00004DC0">
              <w:rPr>
                <w:rFonts w:ascii="Times New Roman" w:hAnsi="Times New Roman" w:cs="Times New Roman"/>
                <w:sz w:val="24"/>
                <w:szCs w:val="24"/>
              </w:rPr>
              <w:t>200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7DFE197C" w14:textId="77777777">
            <w:pPr>
              <w:jc w:val="center"/>
              <w:rPr>
                <w:rFonts w:ascii="Times New Roman" w:hAnsi="Times New Roman" w:cs="Times New Roman"/>
                <w:sz w:val="24"/>
                <w:szCs w:val="24"/>
              </w:rPr>
            </w:pPr>
            <w:r w:rsidRPr="00004DC0">
              <w:rPr>
                <w:rFonts w:ascii="Times New Roman" w:hAnsi="Times New Roman" w:cs="Times New Roman"/>
                <w:sz w:val="24"/>
                <w:szCs w:val="24"/>
              </w:rPr>
              <w:t>$97.10</w:t>
            </w:r>
          </w:p>
        </w:tc>
        <w:tc>
          <w:tcPr>
            <w:tcW w:w="109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8249D24" w14:textId="77777777">
            <w:pPr>
              <w:ind w:right="417"/>
              <w:jc w:val="center"/>
              <w:rPr>
                <w:rFonts w:ascii="Times New Roman" w:hAnsi="Times New Roman" w:cs="Times New Roman"/>
                <w:sz w:val="24"/>
                <w:szCs w:val="24"/>
              </w:rPr>
            </w:pPr>
            <w:r w:rsidRPr="00004DC0">
              <w:rPr>
                <w:rFonts w:ascii="Times New Roman" w:hAnsi="Times New Roman" w:cs="Times New Roman"/>
                <w:sz w:val="24"/>
                <w:szCs w:val="24"/>
              </w:rPr>
              <w:t xml:space="preserve">      1</w:t>
            </w:r>
          </w:p>
        </w:tc>
        <w:tc>
          <w:tcPr>
            <w:tcW w:w="142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FAD218E"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$97.10</w:t>
            </w:r>
          </w:p>
        </w:tc>
        <w:tc>
          <w:tcPr>
            <w:tcW w:w="1624"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FED1642" w14:textId="77777777">
            <w:pPr>
              <w:jc w:val="center"/>
              <w:rPr>
                <w:rFonts w:ascii="Times New Roman" w:hAnsi="Times New Roman" w:cs="Times New Roman"/>
                <w:sz w:val="24"/>
                <w:szCs w:val="24"/>
              </w:rPr>
            </w:pPr>
          </w:p>
        </w:tc>
      </w:tr>
      <w:tr w:rsidRPr="00F96307" w:rsidR="00F96307" w:rsidTr="0088692B" w14:paraId="21CEDE62" w14:textId="77777777">
        <w:trPr>
          <w:trHeight w:val="634" w:hRule="exact"/>
          <w:jc w:val="center"/>
        </w:trPr>
        <w:tc>
          <w:tcPr>
            <w:tcW w:w="2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1D5822" w14:paraId="76CFD35F" w14:textId="3B1FF846">
            <w:pPr>
              <w:ind w:left="85" w:right="-20"/>
              <w:rPr>
                <w:rFonts w:ascii="Times New Roman" w:hAnsi="Times New Roman" w:cs="Times New Roman"/>
                <w:sz w:val="24"/>
                <w:szCs w:val="24"/>
              </w:rPr>
            </w:pPr>
            <w:r w:rsidRPr="001D5822">
              <w:rPr>
                <w:rFonts w:ascii="Times New Roman" w:hAnsi="Times New Roman" w:cs="Times New Roman"/>
                <w:sz w:val="24"/>
                <w:szCs w:val="24"/>
              </w:rPr>
              <w:t>General and Operations Manager</w:t>
            </w:r>
          </w:p>
        </w:tc>
        <w:tc>
          <w:tcPr>
            <w:tcW w:w="135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DECD5A1" w14:textId="77777777">
            <w:pPr>
              <w:jc w:val="center"/>
              <w:rPr>
                <w:rFonts w:ascii="Times New Roman" w:hAnsi="Times New Roman" w:cs="Times New Roman"/>
                <w:sz w:val="24"/>
                <w:szCs w:val="24"/>
              </w:rPr>
            </w:pPr>
            <w:r w:rsidRPr="00004DC0">
              <w:rPr>
                <w:rFonts w:ascii="Times New Roman" w:hAnsi="Times New Roman" w:cs="Times New Roman"/>
                <w:sz w:val="24"/>
                <w:szCs w:val="24"/>
              </w:rPr>
              <w:t>200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21CC4D8B" w14:textId="77777777">
            <w:pPr>
              <w:jc w:val="center"/>
              <w:rPr>
                <w:rFonts w:ascii="Times New Roman" w:hAnsi="Times New Roman" w:cs="Times New Roman"/>
                <w:sz w:val="24"/>
                <w:szCs w:val="24"/>
              </w:rPr>
            </w:pPr>
            <w:r w:rsidRPr="00004DC0">
              <w:rPr>
                <w:rFonts w:ascii="Times New Roman" w:hAnsi="Times New Roman" w:cs="Times New Roman"/>
                <w:sz w:val="24"/>
                <w:szCs w:val="24"/>
              </w:rPr>
              <w:t>$119.12</w:t>
            </w:r>
          </w:p>
        </w:tc>
        <w:tc>
          <w:tcPr>
            <w:tcW w:w="109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5C78EFC" w14:textId="77777777">
            <w:pPr>
              <w:ind w:right="417"/>
              <w:jc w:val="center"/>
              <w:rPr>
                <w:rFonts w:ascii="Times New Roman" w:hAnsi="Times New Roman" w:cs="Times New Roman"/>
                <w:sz w:val="24"/>
                <w:szCs w:val="24"/>
              </w:rPr>
            </w:pPr>
            <w:r w:rsidRPr="00004DC0">
              <w:rPr>
                <w:rFonts w:ascii="Times New Roman" w:hAnsi="Times New Roman" w:cs="Times New Roman"/>
                <w:sz w:val="24"/>
                <w:szCs w:val="24"/>
              </w:rPr>
              <w:t xml:space="preserve">      1</w:t>
            </w:r>
          </w:p>
        </w:tc>
        <w:tc>
          <w:tcPr>
            <w:tcW w:w="142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3C529F2"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$119.12</w:t>
            </w:r>
          </w:p>
        </w:tc>
        <w:tc>
          <w:tcPr>
            <w:tcW w:w="1624"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7DE6FEEE" w14:textId="77777777">
            <w:pPr>
              <w:jc w:val="center"/>
              <w:rPr>
                <w:rFonts w:ascii="Times New Roman" w:hAnsi="Times New Roman" w:cs="Times New Roman"/>
                <w:sz w:val="24"/>
                <w:szCs w:val="24"/>
              </w:rPr>
            </w:pPr>
          </w:p>
        </w:tc>
      </w:tr>
      <w:tr w:rsidRPr="00F96307" w:rsidR="00F96307" w:rsidTr="0088692B" w14:paraId="7E9EA078" w14:textId="77777777">
        <w:trPr>
          <w:trHeight w:val="634" w:hRule="exact"/>
          <w:jc w:val="center"/>
        </w:trPr>
        <w:tc>
          <w:tcPr>
            <w:tcW w:w="243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8361B10" w14:textId="77777777">
            <w:pPr>
              <w:ind w:left="85" w:right="-20"/>
              <w:rPr>
                <w:rFonts w:ascii="Times New Roman" w:hAnsi="Times New Roman" w:cs="Times New Roman"/>
                <w:sz w:val="24"/>
                <w:szCs w:val="24"/>
              </w:rPr>
            </w:pPr>
            <w:r w:rsidRPr="00004DC0">
              <w:rPr>
                <w:rFonts w:ascii="Times New Roman" w:hAnsi="Times New Roman" w:cs="Times New Roman"/>
                <w:sz w:val="24"/>
                <w:szCs w:val="24"/>
              </w:rPr>
              <w:t>Senior Executive</w:t>
            </w:r>
          </w:p>
        </w:tc>
        <w:tc>
          <w:tcPr>
            <w:tcW w:w="135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6EB8F6E6" w14:textId="77777777">
            <w:pPr>
              <w:jc w:val="center"/>
              <w:rPr>
                <w:rFonts w:ascii="Times New Roman" w:hAnsi="Times New Roman" w:cs="Times New Roman"/>
                <w:sz w:val="24"/>
                <w:szCs w:val="24"/>
              </w:rPr>
            </w:pPr>
            <w:r w:rsidRPr="00004DC0">
              <w:rPr>
                <w:rFonts w:ascii="Times New Roman" w:hAnsi="Times New Roman" w:cs="Times New Roman"/>
                <w:sz w:val="24"/>
                <w:szCs w:val="24"/>
              </w:rPr>
              <w:t>200</w:t>
            </w: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8E4B756" w14:textId="77777777">
            <w:pPr>
              <w:jc w:val="center"/>
              <w:rPr>
                <w:rFonts w:ascii="Times New Roman" w:hAnsi="Times New Roman" w:cs="Times New Roman"/>
                <w:sz w:val="24"/>
                <w:szCs w:val="24"/>
              </w:rPr>
            </w:pPr>
            <w:r w:rsidRPr="00004DC0">
              <w:rPr>
                <w:rFonts w:ascii="Times New Roman" w:hAnsi="Times New Roman" w:cs="Times New Roman"/>
                <w:sz w:val="24"/>
                <w:szCs w:val="24"/>
              </w:rPr>
              <w:t>$123.32</w:t>
            </w:r>
          </w:p>
        </w:tc>
        <w:tc>
          <w:tcPr>
            <w:tcW w:w="1095" w:type="dxa"/>
            <w:tcBorders>
              <w:top w:val="single" w:color="000000" w:sz="4" w:space="0"/>
              <w:left w:val="single" w:color="000000" w:sz="4" w:space="0"/>
              <w:bottom w:val="single" w:color="000000" w:sz="4" w:space="0"/>
              <w:right w:val="single" w:color="000000" w:sz="4" w:space="0"/>
            </w:tcBorders>
            <w:vAlign w:val="center"/>
          </w:tcPr>
          <w:p w:rsidRPr="00004DC0" w:rsidR="00F96307" w:rsidP="0088692B" w:rsidRDefault="0088692B" w14:paraId="095A39BC" w14:textId="1E7A1B59">
            <w:pPr>
              <w:ind w:right="20"/>
              <w:jc w:val="center"/>
              <w:rPr>
                <w:rFonts w:ascii="Times New Roman" w:hAnsi="Times New Roman" w:cs="Times New Roman"/>
                <w:sz w:val="24"/>
                <w:szCs w:val="24"/>
              </w:rPr>
            </w:pPr>
            <w:r>
              <w:rPr>
                <w:rFonts w:ascii="Times New Roman" w:hAnsi="Times New Roman" w:cs="Times New Roman"/>
                <w:sz w:val="24"/>
                <w:szCs w:val="24"/>
              </w:rPr>
              <w:t>0</w:t>
            </w:r>
            <w:r w:rsidRPr="00004DC0" w:rsidR="00F96307">
              <w:rPr>
                <w:rFonts w:ascii="Times New Roman" w:hAnsi="Times New Roman" w:cs="Times New Roman"/>
                <w:sz w:val="24"/>
                <w:szCs w:val="24"/>
              </w:rPr>
              <w:t>.25</w:t>
            </w:r>
          </w:p>
        </w:tc>
        <w:tc>
          <w:tcPr>
            <w:tcW w:w="142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65658C74"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$30.83</w:t>
            </w:r>
          </w:p>
        </w:tc>
        <w:tc>
          <w:tcPr>
            <w:tcW w:w="1624"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03CA2FF6" w14:textId="77777777">
            <w:pPr>
              <w:jc w:val="center"/>
              <w:rPr>
                <w:rFonts w:ascii="Times New Roman" w:hAnsi="Times New Roman" w:cs="Times New Roman"/>
                <w:sz w:val="24"/>
                <w:szCs w:val="24"/>
              </w:rPr>
            </w:pPr>
          </w:p>
        </w:tc>
      </w:tr>
      <w:tr w:rsidRPr="00F96307" w:rsidR="00F96307" w:rsidTr="0088692B" w14:paraId="3AE66A85" w14:textId="77777777">
        <w:trPr>
          <w:trHeight w:val="625" w:hRule="exact"/>
          <w:jc w:val="center"/>
        </w:trPr>
        <w:tc>
          <w:tcPr>
            <w:tcW w:w="2430" w:type="dxa"/>
            <w:tcBorders>
              <w:top w:val="single" w:color="000000" w:sz="4" w:space="0"/>
              <w:left w:val="single" w:color="000000" w:sz="4" w:space="0"/>
              <w:bottom w:val="single" w:color="000000" w:sz="4" w:space="0"/>
              <w:right w:val="single" w:color="000000" w:sz="4" w:space="0"/>
            </w:tcBorders>
          </w:tcPr>
          <w:p w:rsidRPr="00004DC0" w:rsidR="00F96307" w:rsidP="0088692B" w:rsidRDefault="00F96307" w14:paraId="73210C76" w14:textId="62C1C5CD">
            <w:pPr>
              <w:ind w:left="80" w:right="-20"/>
              <w:rPr>
                <w:rFonts w:ascii="Times New Roman" w:hAnsi="Times New Roman" w:cs="Times New Roman"/>
                <w:sz w:val="24"/>
                <w:szCs w:val="24"/>
              </w:rPr>
            </w:pPr>
            <w:r w:rsidRPr="00004DC0">
              <w:rPr>
                <w:rFonts w:ascii="Times New Roman" w:hAnsi="Times New Roman" w:cs="Times New Roman"/>
                <w:sz w:val="24"/>
                <w:szCs w:val="24"/>
              </w:rPr>
              <w:t>Total - Annu</w:t>
            </w:r>
            <w:r w:rsidRPr="00004DC0">
              <w:rPr>
                <w:rFonts w:ascii="Times New Roman" w:hAnsi="Times New Roman" w:cs="Times New Roman"/>
                <w:spacing w:val="-1"/>
                <w:sz w:val="24"/>
                <w:szCs w:val="24"/>
              </w:rPr>
              <w:t>a</w:t>
            </w:r>
            <w:r w:rsidRPr="00004DC0">
              <w:rPr>
                <w:rFonts w:ascii="Times New Roman" w:hAnsi="Times New Roman" w:cs="Times New Roman"/>
                <w:sz w:val="24"/>
                <w:szCs w:val="24"/>
              </w:rPr>
              <w:t>l</w:t>
            </w:r>
          </w:p>
        </w:tc>
        <w:tc>
          <w:tcPr>
            <w:tcW w:w="135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55E7F590" w14:textId="77777777">
            <w:pPr>
              <w:jc w:val="center"/>
              <w:rPr>
                <w:rFonts w:ascii="Times New Roman" w:hAnsi="Times New Roman" w:cs="Times New Roman"/>
                <w:sz w:val="24"/>
                <w:szCs w:val="24"/>
              </w:rPr>
            </w:pPr>
          </w:p>
        </w:tc>
        <w:tc>
          <w:tcPr>
            <w:tcW w:w="1620"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3EC48854" w14:textId="77777777">
            <w:pPr>
              <w:jc w:val="center"/>
              <w:rPr>
                <w:rFonts w:ascii="Times New Roman" w:hAnsi="Times New Roman" w:cs="Times New Roman"/>
                <w:sz w:val="24"/>
                <w:szCs w:val="24"/>
              </w:rPr>
            </w:pPr>
          </w:p>
        </w:tc>
        <w:tc>
          <w:tcPr>
            <w:tcW w:w="109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4AED164" w14:textId="77777777">
            <w:pPr>
              <w:jc w:val="center"/>
              <w:rPr>
                <w:rFonts w:ascii="Times New Roman" w:hAnsi="Times New Roman" w:cs="Times New Roman"/>
                <w:sz w:val="24"/>
                <w:szCs w:val="24"/>
              </w:rPr>
            </w:pPr>
            <w:r w:rsidRPr="00004DC0">
              <w:rPr>
                <w:rFonts w:ascii="Times New Roman" w:hAnsi="Times New Roman" w:cs="Times New Roman"/>
                <w:sz w:val="24"/>
                <w:szCs w:val="24"/>
              </w:rPr>
              <w:t>450</w:t>
            </w:r>
          </w:p>
        </w:tc>
        <w:tc>
          <w:tcPr>
            <w:tcW w:w="1425"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11A398C3" w14:textId="77777777">
            <w:pPr>
              <w:jc w:val="center"/>
              <w:rPr>
                <w:rFonts w:ascii="Times New Roman" w:hAnsi="Times New Roman" w:cs="Times New Roman"/>
                <w:sz w:val="24"/>
                <w:szCs w:val="24"/>
              </w:rPr>
            </w:pPr>
          </w:p>
        </w:tc>
        <w:tc>
          <w:tcPr>
            <w:tcW w:w="1624" w:type="dxa"/>
            <w:tcBorders>
              <w:top w:val="single" w:color="000000" w:sz="4" w:space="0"/>
              <w:left w:val="single" w:color="000000" w:sz="4" w:space="0"/>
              <w:bottom w:val="single" w:color="000000" w:sz="4" w:space="0"/>
              <w:right w:val="single" w:color="000000" w:sz="4" w:space="0"/>
            </w:tcBorders>
          </w:tcPr>
          <w:p w:rsidRPr="00004DC0" w:rsidR="00F96307" w:rsidP="00485799" w:rsidRDefault="00F96307" w14:paraId="4C28237E" w14:textId="77777777">
            <w:pPr>
              <w:ind w:right="-20"/>
              <w:jc w:val="center"/>
              <w:rPr>
                <w:rFonts w:ascii="Times New Roman" w:hAnsi="Times New Roman" w:cs="Times New Roman"/>
                <w:sz w:val="24"/>
                <w:szCs w:val="24"/>
              </w:rPr>
            </w:pPr>
            <w:r w:rsidRPr="00004DC0">
              <w:rPr>
                <w:rFonts w:ascii="Times New Roman" w:hAnsi="Times New Roman" w:cs="Times New Roman"/>
                <w:sz w:val="24"/>
                <w:szCs w:val="24"/>
              </w:rPr>
              <w:t>$49,410</w:t>
            </w:r>
          </w:p>
        </w:tc>
      </w:tr>
    </w:tbl>
    <w:p w:rsidRPr="00F96307" w:rsidR="00F96307" w:rsidP="00CF5EA7" w:rsidRDefault="00F96307" w14:paraId="139A7101" w14:textId="77777777">
      <w:pPr>
        <w:tabs>
          <w:tab w:val="left" w:pos="1180"/>
        </w:tabs>
        <w:spacing w:after="0" w:line="240" w:lineRule="auto"/>
        <w:ind w:left="119" w:right="-20"/>
        <w:rPr>
          <w:rFonts w:ascii="Times New Roman" w:hAnsi="Times New Roman" w:eastAsia="Times New Roman" w:cs="Times New Roman"/>
          <w:sz w:val="24"/>
          <w:szCs w:val="24"/>
        </w:rPr>
      </w:pPr>
    </w:p>
    <w:p w:rsidRPr="00F46DBA" w:rsidR="00F96307" w:rsidP="00DD5D1C" w:rsidRDefault="00F96307" w14:paraId="34C3FFBA" w14:textId="77777777">
      <w:pPr>
        <w:tabs>
          <w:tab w:val="left" w:pos="1180"/>
        </w:tabs>
        <w:spacing w:after="0" w:line="240" w:lineRule="auto"/>
        <w:ind w:right="-20"/>
        <w:rPr>
          <w:rFonts w:ascii="Times New Roman" w:hAnsi="Times New Roman" w:eastAsia="Times New Roman" w:cs="Times New Roman"/>
          <w:sz w:val="24"/>
          <w:szCs w:val="24"/>
        </w:rPr>
      </w:pPr>
    </w:p>
    <w:p w:rsidRPr="000E3069" w:rsidR="00F96307" w:rsidP="008637F3" w:rsidRDefault="00F96307" w14:paraId="78A8C3CF" w14:textId="7C490062">
      <w:pPr>
        <w:tabs>
          <w:tab w:val="left" w:pos="1180"/>
        </w:tabs>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Separate Billing</w:t>
      </w:r>
    </w:p>
    <w:p w:rsidR="00D239CA" w:rsidP="008637F3" w:rsidRDefault="00D72BC8" w14:paraId="2EDA35D8" w14:textId="280937CE">
      <w:pPr>
        <w:tabs>
          <w:tab w:val="left" w:pos="1180"/>
        </w:tabs>
        <w:spacing w:after="0" w:line="240" w:lineRule="auto"/>
        <w:ind w:right="29"/>
        <w:rPr>
          <w:rFonts w:ascii="Times New Roman" w:hAnsi="Times New Roman" w:eastAsia="Times New Roman" w:cs="Times New Roman"/>
          <w:sz w:val="24"/>
          <w:szCs w:val="24"/>
        </w:rPr>
      </w:pPr>
      <w:r w:rsidRPr="00CF5EA7">
        <w:rPr>
          <w:rFonts w:ascii="Times New Roman" w:hAnsi="Times New Roman" w:eastAsia="Times New Roman" w:cs="Times New Roman"/>
          <w:sz w:val="24"/>
          <w:szCs w:val="24"/>
        </w:rPr>
        <w:t>The</w:t>
      </w:r>
      <w:r w:rsidRPr="00CF5EA7">
        <w:rPr>
          <w:rFonts w:ascii="Times New Roman" w:hAnsi="Times New Roman" w:eastAsia="Times New Roman" w:cs="Times New Roman"/>
          <w:spacing w:val="-1"/>
          <w:sz w:val="24"/>
          <w:szCs w:val="24"/>
        </w:rPr>
        <w:t xml:space="preserve"> f</w:t>
      </w:r>
      <w:r w:rsidRPr="00CF5EA7">
        <w:rPr>
          <w:rFonts w:ascii="Times New Roman" w:hAnsi="Times New Roman" w:eastAsia="Times New Roman" w:cs="Times New Roman"/>
          <w:sz w:val="24"/>
          <w:szCs w:val="24"/>
        </w:rPr>
        <w:t>ollowing</w:t>
      </w:r>
      <w:r w:rsidRPr="00CF5EA7">
        <w:rPr>
          <w:rFonts w:ascii="Times New Roman" w:hAnsi="Times New Roman" w:eastAsia="Times New Roman" w:cs="Times New Roman"/>
          <w:spacing w:val="-5"/>
          <w:sz w:val="24"/>
          <w:szCs w:val="24"/>
        </w:rPr>
        <w:t xml:space="preserve"> </w:t>
      </w:r>
      <w:r w:rsidRPr="00CF5EA7">
        <w:rPr>
          <w:rFonts w:ascii="Times New Roman" w:hAnsi="Times New Roman" w:eastAsia="Times New Roman" w:cs="Times New Roman"/>
          <w:spacing w:val="3"/>
          <w:sz w:val="24"/>
          <w:szCs w:val="24"/>
        </w:rPr>
        <w:t>s</w:t>
      </w:r>
      <w:r w:rsidRPr="00CF5EA7">
        <w:rPr>
          <w:rFonts w:ascii="Times New Roman" w:hAnsi="Times New Roman" w:eastAsia="Times New Roman" w:cs="Times New Roman"/>
          <w:spacing w:val="-1"/>
          <w:sz w:val="24"/>
          <w:szCs w:val="24"/>
        </w:rPr>
        <w:t>ec</w:t>
      </w:r>
      <w:r w:rsidRPr="00CF5EA7">
        <w:rPr>
          <w:rFonts w:ascii="Times New Roman" w:hAnsi="Times New Roman" w:eastAsia="Times New Roman" w:cs="Times New Roman"/>
          <w:sz w:val="24"/>
          <w:szCs w:val="24"/>
        </w:rPr>
        <w:t xml:space="preserve">tions </w:t>
      </w:r>
      <w:r w:rsidRPr="00CF5EA7">
        <w:rPr>
          <w:rFonts w:ascii="Times New Roman" w:hAnsi="Times New Roman" w:eastAsia="Times New Roman" w:cs="Times New Roman"/>
          <w:spacing w:val="2"/>
          <w:sz w:val="24"/>
          <w:szCs w:val="24"/>
        </w:rPr>
        <w:t>o</w:t>
      </w:r>
      <w:r w:rsidRPr="00CF5EA7">
        <w:rPr>
          <w:rFonts w:ascii="Times New Roman" w:hAnsi="Times New Roman" w:eastAsia="Times New Roman" w:cs="Times New Roman"/>
          <w:sz w:val="24"/>
          <w:szCs w:val="24"/>
        </w:rPr>
        <w:t>f</w:t>
      </w:r>
      <w:r w:rsidRPr="00CF5EA7">
        <w:rPr>
          <w:rFonts w:ascii="Times New Roman" w:hAnsi="Times New Roman" w:eastAsia="Times New Roman" w:cs="Times New Roman"/>
          <w:spacing w:val="-1"/>
          <w:sz w:val="24"/>
          <w:szCs w:val="24"/>
        </w:rPr>
        <w:t xml:space="preserve"> </w:t>
      </w:r>
      <w:r w:rsidRPr="00CF5EA7">
        <w:rPr>
          <w:rFonts w:ascii="Times New Roman" w:hAnsi="Times New Roman" w:eastAsia="Times New Roman" w:cs="Times New Roman"/>
          <w:sz w:val="24"/>
          <w:szCs w:val="24"/>
        </w:rPr>
        <w:t>this do</w:t>
      </w:r>
      <w:r w:rsidRPr="00CF5EA7">
        <w:rPr>
          <w:rFonts w:ascii="Times New Roman" w:hAnsi="Times New Roman" w:eastAsia="Times New Roman" w:cs="Times New Roman"/>
          <w:spacing w:val="-1"/>
          <w:sz w:val="24"/>
          <w:szCs w:val="24"/>
        </w:rPr>
        <w:t>c</w:t>
      </w:r>
      <w:r w:rsidRPr="00CF5EA7">
        <w:rPr>
          <w:rFonts w:ascii="Times New Roman" w:hAnsi="Times New Roman" w:eastAsia="Times New Roman" w:cs="Times New Roman"/>
          <w:sz w:val="24"/>
          <w:szCs w:val="24"/>
        </w:rPr>
        <w:t>um</w:t>
      </w:r>
      <w:r w:rsidRPr="00CF5EA7">
        <w:rPr>
          <w:rFonts w:ascii="Times New Roman" w:hAnsi="Times New Roman" w:eastAsia="Times New Roman" w:cs="Times New Roman"/>
          <w:spacing w:val="-1"/>
          <w:sz w:val="24"/>
          <w:szCs w:val="24"/>
        </w:rPr>
        <w:t>e</w:t>
      </w:r>
      <w:r w:rsidRPr="00CF5EA7">
        <w:rPr>
          <w:rFonts w:ascii="Times New Roman" w:hAnsi="Times New Roman" w:eastAsia="Times New Roman" w:cs="Times New Roman"/>
          <w:sz w:val="24"/>
          <w:szCs w:val="24"/>
        </w:rPr>
        <w:t xml:space="preserve">nt </w:t>
      </w:r>
      <w:r w:rsidRPr="00CF5EA7">
        <w:rPr>
          <w:rFonts w:ascii="Times New Roman" w:hAnsi="Times New Roman" w:eastAsia="Times New Roman" w:cs="Times New Roman"/>
          <w:spacing w:val="-1"/>
          <w:sz w:val="24"/>
          <w:szCs w:val="24"/>
        </w:rPr>
        <w:t>c</w:t>
      </w:r>
      <w:r w:rsidRPr="00CF5EA7">
        <w:rPr>
          <w:rFonts w:ascii="Times New Roman" w:hAnsi="Times New Roman" w:eastAsia="Times New Roman" w:cs="Times New Roman"/>
          <w:sz w:val="24"/>
          <w:szCs w:val="24"/>
        </w:rPr>
        <w:t>ont</w:t>
      </w:r>
      <w:r w:rsidRPr="00CF5EA7">
        <w:rPr>
          <w:rFonts w:ascii="Times New Roman" w:hAnsi="Times New Roman" w:eastAsia="Times New Roman" w:cs="Times New Roman"/>
          <w:spacing w:val="-3"/>
          <w:sz w:val="24"/>
          <w:szCs w:val="24"/>
        </w:rPr>
        <w:t>a</w:t>
      </w:r>
      <w:r w:rsidRPr="00CF5EA7">
        <w:rPr>
          <w:rFonts w:ascii="Times New Roman" w:hAnsi="Times New Roman" w:eastAsia="Times New Roman" w:cs="Times New Roman"/>
          <w:sz w:val="24"/>
          <w:szCs w:val="24"/>
        </w:rPr>
        <w:t xml:space="preserve">in </w:t>
      </w:r>
      <w:r w:rsidRPr="00CF5EA7">
        <w:rPr>
          <w:rFonts w:ascii="Times New Roman" w:hAnsi="Times New Roman" w:eastAsia="Times New Roman" w:cs="Times New Roman"/>
          <w:spacing w:val="-1"/>
          <w:sz w:val="24"/>
          <w:szCs w:val="24"/>
        </w:rPr>
        <w:t>e</w:t>
      </w:r>
      <w:r w:rsidRPr="00CF5EA7">
        <w:rPr>
          <w:rFonts w:ascii="Times New Roman" w:hAnsi="Times New Roman" w:eastAsia="Times New Roman" w:cs="Times New Roman"/>
          <w:sz w:val="24"/>
          <w:szCs w:val="24"/>
        </w:rPr>
        <w:t>stim</w:t>
      </w:r>
      <w:r w:rsidRPr="00CF5EA7">
        <w:rPr>
          <w:rFonts w:ascii="Times New Roman" w:hAnsi="Times New Roman" w:eastAsia="Times New Roman" w:cs="Times New Roman"/>
          <w:spacing w:val="-1"/>
          <w:sz w:val="24"/>
          <w:szCs w:val="24"/>
        </w:rPr>
        <w:t>a</w:t>
      </w:r>
      <w:r w:rsidRPr="00CF5EA7">
        <w:rPr>
          <w:rFonts w:ascii="Times New Roman" w:hAnsi="Times New Roman" w:eastAsia="Times New Roman" w:cs="Times New Roman"/>
          <w:sz w:val="24"/>
          <w:szCs w:val="24"/>
        </w:rPr>
        <w:t>t</w:t>
      </w:r>
      <w:r w:rsidRPr="00CF5EA7">
        <w:rPr>
          <w:rFonts w:ascii="Times New Roman" w:hAnsi="Times New Roman" w:eastAsia="Times New Roman" w:cs="Times New Roman"/>
          <w:spacing w:val="-1"/>
          <w:sz w:val="24"/>
          <w:szCs w:val="24"/>
        </w:rPr>
        <w:t>e</w:t>
      </w:r>
      <w:r w:rsidRPr="00CF5EA7">
        <w:rPr>
          <w:rFonts w:ascii="Times New Roman" w:hAnsi="Times New Roman" w:eastAsia="Times New Roman" w:cs="Times New Roman"/>
          <w:sz w:val="24"/>
          <w:szCs w:val="24"/>
        </w:rPr>
        <w:t>s of</w:t>
      </w:r>
      <w:r w:rsidRPr="00CF5EA7">
        <w:rPr>
          <w:rFonts w:ascii="Times New Roman" w:hAnsi="Times New Roman" w:eastAsia="Times New Roman" w:cs="Times New Roman"/>
          <w:spacing w:val="-1"/>
          <w:sz w:val="24"/>
          <w:szCs w:val="24"/>
        </w:rPr>
        <w:t xml:space="preserve"> </w:t>
      </w:r>
      <w:r w:rsidRPr="00CF5EA7">
        <w:rPr>
          <w:rFonts w:ascii="Times New Roman" w:hAnsi="Times New Roman" w:eastAsia="Times New Roman" w:cs="Times New Roman"/>
          <w:sz w:val="24"/>
          <w:szCs w:val="24"/>
        </w:rPr>
        <w:t>the</w:t>
      </w:r>
      <w:r w:rsidRPr="00CF5EA7">
        <w:rPr>
          <w:rFonts w:ascii="Times New Roman" w:hAnsi="Times New Roman" w:eastAsia="Times New Roman" w:cs="Times New Roman"/>
          <w:spacing w:val="-1"/>
          <w:sz w:val="24"/>
          <w:szCs w:val="24"/>
        </w:rPr>
        <w:t xml:space="preserve"> </w:t>
      </w:r>
      <w:r w:rsidRPr="00CF5EA7">
        <w:rPr>
          <w:rFonts w:ascii="Times New Roman" w:hAnsi="Times New Roman" w:eastAsia="Times New Roman" w:cs="Times New Roman"/>
          <w:sz w:val="24"/>
          <w:szCs w:val="24"/>
        </w:rPr>
        <w:t>b</w:t>
      </w:r>
      <w:r w:rsidRPr="00CF5EA7">
        <w:rPr>
          <w:rFonts w:ascii="Times New Roman" w:hAnsi="Times New Roman" w:eastAsia="Times New Roman" w:cs="Times New Roman"/>
          <w:spacing w:val="-2"/>
          <w:sz w:val="24"/>
          <w:szCs w:val="24"/>
        </w:rPr>
        <w:t>u</w:t>
      </w:r>
      <w:r w:rsidRPr="00CF5EA7">
        <w:rPr>
          <w:rFonts w:ascii="Times New Roman" w:hAnsi="Times New Roman" w:eastAsia="Times New Roman" w:cs="Times New Roman"/>
          <w:spacing w:val="-1"/>
          <w:sz w:val="24"/>
          <w:szCs w:val="24"/>
        </w:rPr>
        <w:t>r</w:t>
      </w:r>
      <w:r w:rsidRPr="00CF5EA7">
        <w:rPr>
          <w:rFonts w:ascii="Times New Roman" w:hAnsi="Times New Roman" w:eastAsia="Times New Roman" w:cs="Times New Roman"/>
          <w:sz w:val="24"/>
          <w:szCs w:val="24"/>
        </w:rPr>
        <w:t>d</w:t>
      </w:r>
      <w:r w:rsidRPr="00CF5EA7">
        <w:rPr>
          <w:rFonts w:ascii="Times New Roman" w:hAnsi="Times New Roman" w:eastAsia="Times New Roman" w:cs="Times New Roman"/>
          <w:spacing w:val="-1"/>
          <w:sz w:val="24"/>
          <w:szCs w:val="24"/>
        </w:rPr>
        <w:t>e</w:t>
      </w:r>
      <w:r w:rsidRPr="00CF5EA7">
        <w:rPr>
          <w:rFonts w:ascii="Times New Roman" w:hAnsi="Times New Roman" w:eastAsia="Times New Roman" w:cs="Times New Roman"/>
          <w:sz w:val="24"/>
          <w:szCs w:val="24"/>
        </w:rPr>
        <w:t>n impos</w:t>
      </w:r>
      <w:r w:rsidRPr="00CF5EA7">
        <w:rPr>
          <w:rFonts w:ascii="Times New Roman" w:hAnsi="Times New Roman" w:eastAsia="Times New Roman" w:cs="Times New Roman"/>
          <w:spacing w:val="-1"/>
          <w:sz w:val="24"/>
          <w:szCs w:val="24"/>
        </w:rPr>
        <w:t>e</w:t>
      </w:r>
      <w:r w:rsidRPr="00CF5EA7">
        <w:rPr>
          <w:rFonts w:ascii="Times New Roman" w:hAnsi="Times New Roman" w:eastAsia="Times New Roman" w:cs="Times New Roman"/>
          <w:sz w:val="24"/>
          <w:szCs w:val="24"/>
        </w:rPr>
        <w:t xml:space="preserve">d </w:t>
      </w:r>
      <w:r w:rsidRPr="00CF5EA7">
        <w:rPr>
          <w:rFonts w:ascii="Times New Roman" w:hAnsi="Times New Roman" w:eastAsia="Times New Roman" w:cs="Times New Roman"/>
          <w:spacing w:val="5"/>
          <w:sz w:val="24"/>
          <w:szCs w:val="24"/>
        </w:rPr>
        <w:t>b</w:t>
      </w:r>
      <w:r w:rsidRPr="00CF5EA7">
        <w:rPr>
          <w:rFonts w:ascii="Times New Roman" w:hAnsi="Times New Roman" w:eastAsia="Times New Roman" w:cs="Times New Roman"/>
          <w:sz w:val="24"/>
          <w:szCs w:val="24"/>
        </w:rPr>
        <w:t>y</w:t>
      </w:r>
      <w:r w:rsidRPr="00CF5EA7">
        <w:rPr>
          <w:rFonts w:ascii="Times New Roman" w:hAnsi="Times New Roman" w:eastAsia="Times New Roman" w:cs="Times New Roman"/>
          <w:spacing w:val="-10"/>
          <w:sz w:val="24"/>
          <w:szCs w:val="24"/>
        </w:rPr>
        <w:t xml:space="preserve"> </w:t>
      </w:r>
      <w:r w:rsidRPr="00CF5EA7">
        <w:rPr>
          <w:rFonts w:ascii="Times New Roman" w:hAnsi="Times New Roman" w:eastAsia="Times New Roman" w:cs="Times New Roman"/>
          <w:sz w:val="24"/>
          <w:szCs w:val="24"/>
        </w:rPr>
        <w:t>t</w:t>
      </w:r>
      <w:r w:rsidRPr="00CF5EA7">
        <w:rPr>
          <w:rFonts w:ascii="Times New Roman" w:hAnsi="Times New Roman" w:eastAsia="Times New Roman" w:cs="Times New Roman"/>
          <w:spacing w:val="2"/>
          <w:sz w:val="24"/>
          <w:szCs w:val="24"/>
        </w:rPr>
        <w:t>h</w:t>
      </w:r>
      <w:r w:rsidRPr="00CF5EA7">
        <w:rPr>
          <w:rFonts w:ascii="Times New Roman" w:hAnsi="Times New Roman" w:eastAsia="Times New Roman" w:cs="Times New Roman"/>
          <w:sz w:val="24"/>
          <w:szCs w:val="24"/>
        </w:rPr>
        <w:t>e</w:t>
      </w:r>
      <w:r w:rsidRPr="00CF5EA7">
        <w:rPr>
          <w:rFonts w:ascii="Times New Roman" w:hAnsi="Times New Roman" w:eastAsia="Times New Roman" w:cs="Times New Roman"/>
          <w:spacing w:val="-1"/>
          <w:sz w:val="24"/>
          <w:szCs w:val="24"/>
        </w:rPr>
        <w:t xml:space="preserve"> a</w:t>
      </w:r>
      <w:r w:rsidRPr="00CF5EA7">
        <w:rPr>
          <w:rFonts w:ascii="Times New Roman" w:hAnsi="Times New Roman" w:eastAsia="Times New Roman" w:cs="Times New Roman"/>
          <w:sz w:val="24"/>
          <w:szCs w:val="24"/>
        </w:rPr>
        <w:t>sso</w:t>
      </w:r>
      <w:r w:rsidRPr="00CF5EA7">
        <w:rPr>
          <w:rFonts w:ascii="Times New Roman" w:hAnsi="Times New Roman" w:eastAsia="Times New Roman" w:cs="Times New Roman"/>
          <w:spacing w:val="-1"/>
          <w:sz w:val="24"/>
          <w:szCs w:val="24"/>
        </w:rPr>
        <w:t>c</w:t>
      </w:r>
      <w:r w:rsidRPr="00CF5EA7">
        <w:rPr>
          <w:rFonts w:ascii="Times New Roman" w:hAnsi="Times New Roman" w:eastAsia="Times New Roman" w:cs="Times New Roman"/>
          <w:sz w:val="24"/>
          <w:szCs w:val="24"/>
        </w:rPr>
        <w:t>i</w:t>
      </w:r>
      <w:r w:rsidRPr="00CF5EA7">
        <w:rPr>
          <w:rFonts w:ascii="Times New Roman" w:hAnsi="Times New Roman" w:eastAsia="Times New Roman" w:cs="Times New Roman"/>
          <w:spacing w:val="-1"/>
          <w:sz w:val="24"/>
          <w:szCs w:val="24"/>
        </w:rPr>
        <w:t>a</w:t>
      </w:r>
      <w:r w:rsidRPr="00CF5EA7">
        <w:rPr>
          <w:rFonts w:ascii="Times New Roman" w:hAnsi="Times New Roman" w:eastAsia="Times New Roman" w:cs="Times New Roman"/>
          <w:sz w:val="24"/>
          <w:szCs w:val="24"/>
        </w:rPr>
        <w:t>t</w:t>
      </w:r>
      <w:r w:rsidRPr="00CF5EA7">
        <w:rPr>
          <w:rFonts w:ascii="Times New Roman" w:hAnsi="Times New Roman" w:eastAsia="Times New Roman" w:cs="Times New Roman"/>
          <w:spacing w:val="-1"/>
          <w:sz w:val="24"/>
          <w:szCs w:val="24"/>
        </w:rPr>
        <w:t>e</w:t>
      </w:r>
      <w:r w:rsidR="00E02110">
        <w:rPr>
          <w:rFonts w:ascii="Times New Roman" w:hAnsi="Times New Roman" w:eastAsia="Times New Roman" w:cs="Times New Roman"/>
          <w:sz w:val="24"/>
          <w:szCs w:val="24"/>
        </w:rPr>
        <w:t xml:space="preserve">d </w:t>
      </w:r>
      <w:r w:rsidRPr="00BB3C13">
        <w:rPr>
          <w:rFonts w:ascii="Times New Roman" w:hAnsi="Times New Roman" w:eastAsia="Times New Roman" w:cs="Times New Roman"/>
          <w:spacing w:val="-8"/>
          <w:sz w:val="24"/>
          <w:szCs w:val="24"/>
        </w:rPr>
        <w:t>I</w:t>
      </w:r>
      <w:r w:rsidRPr="00BB3C13">
        <w:rPr>
          <w:rFonts w:ascii="Times New Roman" w:hAnsi="Times New Roman" w:eastAsia="Times New Roman" w:cs="Times New Roman"/>
          <w:spacing w:val="3"/>
          <w:sz w:val="24"/>
          <w:szCs w:val="24"/>
        </w:rPr>
        <w:t>C</w:t>
      </w:r>
      <w:r w:rsidRPr="00BB3C13">
        <w:rPr>
          <w:rFonts w:ascii="Times New Roman" w:hAnsi="Times New Roman" w:eastAsia="Times New Roman" w:cs="Times New Roman"/>
          <w:spacing w:val="1"/>
          <w:sz w:val="24"/>
          <w:szCs w:val="24"/>
        </w:rPr>
        <w:t>R</w:t>
      </w:r>
      <w:r w:rsidRPr="00BB3C13">
        <w:rPr>
          <w:rFonts w:ascii="Times New Roman" w:hAnsi="Times New Roman" w:eastAsia="Times New Roman" w:cs="Times New Roman"/>
          <w:sz w:val="24"/>
          <w:szCs w:val="24"/>
        </w:rPr>
        <w:t>s</w:t>
      </w:r>
      <w:r w:rsidRPr="00BB3C13" w:rsidR="00A23A4C">
        <w:rPr>
          <w:rFonts w:ascii="Times New Roman" w:hAnsi="Times New Roman" w:eastAsia="Times New Roman" w:cs="Times New Roman"/>
          <w:sz w:val="24"/>
          <w:szCs w:val="24"/>
        </w:rPr>
        <w:t xml:space="preserve">. </w:t>
      </w:r>
      <w:r w:rsidRPr="00BB3C13" w:rsidR="00070AD6">
        <w:rPr>
          <w:rFonts w:ascii="Times New Roman" w:hAnsi="Times New Roman"/>
          <w:sz w:val="24"/>
          <w:szCs w:val="24"/>
        </w:rPr>
        <w:t xml:space="preserve">Salaries for the positions cited below were taken from the </w:t>
      </w:r>
      <w:r w:rsidRPr="006C72E8" w:rsidR="00276C4D">
        <w:rPr>
          <w:rFonts w:ascii="Times New Roman" w:hAnsi="Times New Roman" w:eastAsia="Times New Roman" w:cs="Times New Roman"/>
          <w:kern w:val="36"/>
          <w:sz w:val="24"/>
          <w:szCs w:val="24"/>
        </w:rPr>
        <w:t xml:space="preserve">May </w:t>
      </w:r>
      <w:r w:rsidR="00971896">
        <w:rPr>
          <w:rFonts w:ascii="Times New Roman" w:hAnsi="Times New Roman" w:eastAsia="Times New Roman" w:cs="Times New Roman"/>
          <w:kern w:val="36"/>
          <w:sz w:val="24"/>
          <w:szCs w:val="24"/>
        </w:rPr>
        <w:t>2018</w:t>
      </w:r>
      <w:r w:rsidRPr="006C72E8" w:rsidR="00971896">
        <w:rPr>
          <w:rFonts w:ascii="Times New Roman" w:hAnsi="Times New Roman" w:eastAsia="Times New Roman" w:cs="Times New Roman"/>
          <w:kern w:val="36"/>
          <w:sz w:val="24"/>
          <w:szCs w:val="24"/>
        </w:rPr>
        <w:t xml:space="preserve"> </w:t>
      </w:r>
      <w:r w:rsidRPr="006C72E8" w:rsidR="00276C4D">
        <w:rPr>
          <w:rFonts w:ascii="Times New Roman" w:hAnsi="Times New Roman" w:eastAsia="Times New Roman" w:cs="Times New Roman"/>
          <w:kern w:val="36"/>
          <w:sz w:val="24"/>
          <w:szCs w:val="24"/>
        </w:rPr>
        <w:t>National Occupational Employment and Wage Estimates United States</w:t>
      </w:r>
      <w:r w:rsidRPr="00BB3C13" w:rsidR="00276C4D">
        <w:rPr>
          <w:rFonts w:ascii="Times New Roman" w:hAnsi="Times New Roman"/>
          <w:sz w:val="24"/>
          <w:szCs w:val="24"/>
        </w:rPr>
        <w:t xml:space="preserve"> </w:t>
      </w:r>
      <w:r w:rsidRPr="00BB3C13" w:rsidR="00070AD6">
        <w:rPr>
          <w:rFonts w:ascii="Times New Roman" w:hAnsi="Times New Roman"/>
          <w:sz w:val="24"/>
          <w:szCs w:val="24"/>
        </w:rPr>
        <w:t>Department of Labor’s Bureau of Labor Statistics (BLS</w:t>
      </w:r>
      <w:r w:rsidRPr="00CF5EA7" w:rsidR="00070AD6">
        <w:rPr>
          <w:rFonts w:ascii="Times New Roman" w:hAnsi="Times New Roman"/>
          <w:sz w:val="24"/>
          <w:szCs w:val="24"/>
        </w:rPr>
        <w:t>) (</w:t>
      </w:r>
      <w:r w:rsidRPr="00883D60" w:rsidR="00971896">
        <w:rPr>
          <w:rFonts w:ascii="Times New Roman" w:hAnsi="Times New Roman" w:cs="Times New Roman"/>
          <w:sz w:val="24"/>
          <w:szCs w:val="24"/>
        </w:rPr>
        <w:t>https://www.bls.gov/oes/current/oes_stru</w:t>
      </w:r>
      <w:r w:rsidR="00971896">
        <w:rPr>
          <w:rFonts w:ascii="Times New Roman" w:hAnsi="Times New Roman" w:cs="Times New Roman"/>
          <w:sz w:val="24"/>
          <w:szCs w:val="24"/>
        </w:rPr>
        <w:t>.</w:t>
      </w:r>
      <w:r w:rsidRPr="00883D60" w:rsidR="00971896">
        <w:rPr>
          <w:rFonts w:ascii="Times New Roman" w:hAnsi="Times New Roman" w:cs="Times New Roman"/>
          <w:sz w:val="24"/>
          <w:szCs w:val="24"/>
        </w:rPr>
        <w:t>htm</w:t>
      </w:r>
      <w:r w:rsidRPr="00CF5EA7" w:rsidR="00070AD6">
        <w:rPr>
          <w:rFonts w:ascii="Times New Roman" w:hAnsi="Times New Roman"/>
          <w:sz w:val="24"/>
          <w:szCs w:val="24"/>
        </w:rPr>
        <w:t xml:space="preserve">) based on the listed national </w:t>
      </w:r>
      <w:r w:rsidR="00D53A24">
        <w:rPr>
          <w:rFonts w:ascii="Times New Roman" w:hAnsi="Times New Roman"/>
          <w:sz w:val="24"/>
          <w:szCs w:val="24"/>
        </w:rPr>
        <w:t>mean</w:t>
      </w:r>
      <w:r w:rsidRPr="00CF5EA7" w:rsidR="00D53A24">
        <w:rPr>
          <w:rFonts w:ascii="Times New Roman" w:hAnsi="Times New Roman"/>
          <w:sz w:val="24"/>
          <w:szCs w:val="24"/>
        </w:rPr>
        <w:t xml:space="preserve"> </w:t>
      </w:r>
      <w:r w:rsidRPr="00CF5EA7" w:rsidR="00070AD6">
        <w:rPr>
          <w:rFonts w:ascii="Times New Roman" w:hAnsi="Times New Roman"/>
          <w:sz w:val="24"/>
          <w:szCs w:val="24"/>
        </w:rPr>
        <w:t>hourly wage</w:t>
      </w:r>
      <w:r w:rsidR="00971896">
        <w:rPr>
          <w:rFonts w:ascii="Times New Roman" w:hAnsi="Times New Roman"/>
          <w:sz w:val="24"/>
          <w:szCs w:val="24"/>
        </w:rPr>
        <w:t xml:space="preserve"> for the 25</w:t>
      </w:r>
      <w:r w:rsidRPr="00C20635" w:rsidR="00971896">
        <w:rPr>
          <w:rFonts w:ascii="Times New Roman" w:hAnsi="Times New Roman"/>
          <w:sz w:val="24"/>
          <w:szCs w:val="24"/>
          <w:vertAlign w:val="superscript"/>
        </w:rPr>
        <w:t>th</w:t>
      </w:r>
      <w:r w:rsidR="00971896">
        <w:rPr>
          <w:rFonts w:ascii="Times New Roman" w:hAnsi="Times New Roman"/>
          <w:sz w:val="24"/>
          <w:szCs w:val="24"/>
        </w:rPr>
        <w:t xml:space="preserve"> percentile</w:t>
      </w:r>
      <w:r w:rsidRPr="00CF5EA7" w:rsidR="00070AD6">
        <w:rPr>
          <w:rFonts w:ascii="Times New Roman" w:hAnsi="Times New Roman"/>
          <w:sz w:val="24"/>
          <w:szCs w:val="24"/>
        </w:rPr>
        <w:t>.</w:t>
      </w:r>
      <w:r w:rsidR="00971896">
        <w:rPr>
          <w:rStyle w:val="FootnoteReference"/>
          <w:rFonts w:ascii="Times New Roman" w:hAnsi="Times New Roman"/>
          <w:sz w:val="24"/>
          <w:szCs w:val="24"/>
        </w:rPr>
        <w:footnoteReference w:id="3"/>
      </w:r>
      <w:r w:rsidRPr="00CF5EA7" w:rsidR="00070AD6">
        <w:rPr>
          <w:rFonts w:ascii="Times New Roman" w:hAnsi="Times New Roman"/>
          <w:sz w:val="24"/>
          <w:szCs w:val="24"/>
        </w:rPr>
        <w:t xml:space="preserve"> All wages on the following pages are inflated by 100% to account for the cost of fringe benefits</w:t>
      </w:r>
      <w:r w:rsidRPr="00CF5EA7" w:rsidR="00276C4D">
        <w:rPr>
          <w:rFonts w:ascii="Times New Roman" w:hAnsi="Times New Roman"/>
          <w:sz w:val="24"/>
          <w:szCs w:val="24"/>
        </w:rPr>
        <w:t xml:space="preserve"> and overhead costs</w:t>
      </w:r>
      <w:r w:rsidRPr="00CF5EA7" w:rsidR="00070AD6">
        <w:rPr>
          <w:rFonts w:ascii="Times New Roman" w:hAnsi="Times New Roman"/>
          <w:sz w:val="24"/>
          <w:szCs w:val="24"/>
        </w:rPr>
        <w:t>.</w:t>
      </w:r>
      <w:r w:rsidR="000E3069">
        <w:rPr>
          <w:rFonts w:ascii="Times New Roman" w:hAnsi="Times New Roman" w:eastAsia="Times New Roman" w:cs="Times New Roman"/>
          <w:sz w:val="24"/>
          <w:szCs w:val="24"/>
        </w:rPr>
        <w:t xml:space="preserve"> </w:t>
      </w:r>
    </w:p>
    <w:p w:rsidRPr="000E3069" w:rsidR="000E3069" w:rsidP="008637F3" w:rsidRDefault="000E3069" w14:paraId="478EBBCD" w14:textId="77777777">
      <w:pPr>
        <w:tabs>
          <w:tab w:val="left" w:pos="1180"/>
        </w:tabs>
        <w:spacing w:after="0" w:line="240" w:lineRule="auto"/>
        <w:ind w:right="29"/>
        <w:rPr>
          <w:rFonts w:ascii="Times New Roman" w:hAnsi="Times New Roman" w:eastAsia="Times New Roman" w:cs="Times New Roman"/>
          <w:sz w:val="24"/>
          <w:szCs w:val="24"/>
        </w:rPr>
      </w:pPr>
    </w:p>
    <w:p w:rsidR="008076E0" w:rsidP="008637F3" w:rsidRDefault="004F1025" w14:paraId="447BB5E6" w14:textId="18B9FDB5">
      <w:pPr>
        <w:widowControl w:val="0"/>
        <w:spacing w:after="0" w:line="240" w:lineRule="auto"/>
        <w:ind w:right="29"/>
        <w:rPr>
          <w:rFonts w:ascii="Times New Roman" w:hAnsi="Times New Roman" w:eastAsia="Times New Roman" w:cs="Times New Roman"/>
          <w:snapToGrid w:val="0"/>
          <w:sz w:val="24"/>
          <w:szCs w:val="24"/>
        </w:rPr>
      </w:pPr>
      <w:r w:rsidRPr="004F1025">
        <w:rPr>
          <w:rFonts w:ascii="Times New Roman" w:hAnsi="Times New Roman" w:eastAsia="Times New Roman" w:cs="Times New Roman"/>
          <w:snapToGrid w:val="0"/>
          <w:sz w:val="24"/>
          <w:szCs w:val="24"/>
        </w:rPr>
        <w:t xml:space="preserve">In §156.280(e)(2), we are finalizing that QHP issuers must send an entirely separate monthly bill to the policy holder covering only the portion of premium attributable to coverage of non-Hyde abortion, and instruct the policy holder to pay the portion of their premium attributable to coverage of non-Hyde abortion services in a separate transaction from any payment the policy holder makes for the portion of their premium not attributable to coverage of non-Hyde abortion services. </w:t>
      </w:r>
      <w:r w:rsidRPr="00385C00" w:rsidR="00385C00">
        <w:rPr>
          <w:rFonts w:ascii="Times New Roman" w:hAnsi="Times New Roman" w:eastAsia="Times New Roman" w:cs="Times New Roman"/>
          <w:snapToGrid w:val="0"/>
          <w:sz w:val="24"/>
          <w:szCs w:val="24"/>
        </w:rPr>
        <w:t>Based on 2020 QHP certification data in the FFEs and SBE FPs, we estimate that 23 QHP issuers will offer a total of</w:t>
      </w:r>
      <w:r w:rsidR="00385C00">
        <w:rPr>
          <w:rFonts w:ascii="Times New Roman" w:hAnsi="Times New Roman" w:eastAsia="Times New Roman" w:cs="Times New Roman"/>
          <w:snapToGrid w:val="0"/>
          <w:sz w:val="24"/>
          <w:szCs w:val="24"/>
        </w:rPr>
        <w:t xml:space="preserve"> 338 plans with coverage of non-</w:t>
      </w:r>
      <w:r w:rsidRPr="00385C00" w:rsidR="00385C00">
        <w:rPr>
          <w:rFonts w:ascii="Times New Roman" w:hAnsi="Times New Roman" w:eastAsia="Times New Roman" w:cs="Times New Roman"/>
          <w:snapToGrid w:val="0"/>
          <w:sz w:val="24"/>
          <w:szCs w:val="24"/>
        </w:rPr>
        <w:t>Hyde abortion services in 9 FFE and SBE-FP states</w:t>
      </w:r>
      <w:r w:rsidR="00AF4A2E">
        <w:rPr>
          <w:rFonts w:ascii="Times New Roman" w:hAnsi="Times New Roman" w:eastAsia="Times New Roman" w:cs="Times New Roman"/>
          <w:snapToGrid w:val="0"/>
          <w:sz w:val="24"/>
          <w:szCs w:val="24"/>
        </w:rPr>
        <w:t xml:space="preserve">. </w:t>
      </w:r>
      <w:r w:rsidRPr="00385C00" w:rsidR="00385C00">
        <w:rPr>
          <w:rFonts w:ascii="Times New Roman" w:hAnsi="Times New Roman" w:eastAsia="Times New Roman" w:cs="Times New Roman"/>
          <w:snapToGrid w:val="0"/>
          <w:sz w:val="24"/>
          <w:szCs w:val="24"/>
        </w:rPr>
        <w:t>For the 12 State Exchanges that will operate their own technology platforms in 2020 and have QHPs that offer coverage of non-Hyde abortion services, we have updated our methodology fo</w:t>
      </w:r>
      <w:r w:rsidR="00385C00">
        <w:rPr>
          <w:rFonts w:ascii="Times New Roman" w:hAnsi="Times New Roman" w:eastAsia="Times New Roman" w:cs="Times New Roman"/>
          <w:snapToGrid w:val="0"/>
          <w:sz w:val="24"/>
          <w:szCs w:val="24"/>
        </w:rPr>
        <w:t xml:space="preserve">r identifying issuers with </w:t>
      </w:r>
      <w:r w:rsidRPr="00385C00" w:rsidR="00385C00">
        <w:rPr>
          <w:rFonts w:ascii="Times New Roman" w:hAnsi="Times New Roman" w:eastAsia="Times New Roman" w:cs="Times New Roman"/>
          <w:snapToGrid w:val="0"/>
          <w:sz w:val="24"/>
          <w:szCs w:val="24"/>
        </w:rPr>
        <w:t>QHPs that offer coverage of non-Hyde abortion services, and now estimate that 71 QHP issuers will offer a total of approximately 1,129 plans that include coverage for non-Hyde abortions services</w:t>
      </w:r>
      <w:r w:rsidR="00AF4A2E">
        <w:rPr>
          <w:rFonts w:ascii="Times New Roman" w:hAnsi="Times New Roman" w:eastAsia="Times New Roman" w:cs="Times New Roman"/>
          <w:snapToGrid w:val="0"/>
          <w:sz w:val="24"/>
          <w:szCs w:val="24"/>
        </w:rPr>
        <w:t xml:space="preserve">. </w:t>
      </w:r>
      <w:r w:rsidRPr="00385C00" w:rsidR="00385C00">
        <w:rPr>
          <w:rFonts w:ascii="Times New Roman" w:hAnsi="Times New Roman" w:eastAsia="Times New Roman" w:cs="Times New Roman"/>
          <w:snapToGrid w:val="0"/>
          <w:sz w:val="24"/>
          <w:szCs w:val="24"/>
        </w:rPr>
        <w:t xml:space="preserve">Three of those State Exchanges perform premium billing and payment processing, while the other </w:t>
      </w:r>
      <w:r w:rsidR="00D53A24">
        <w:rPr>
          <w:rFonts w:ascii="Times New Roman" w:hAnsi="Times New Roman" w:eastAsia="Times New Roman" w:cs="Times New Roman"/>
          <w:snapToGrid w:val="0"/>
          <w:sz w:val="24"/>
          <w:szCs w:val="24"/>
        </w:rPr>
        <w:t>nine</w:t>
      </w:r>
      <w:r w:rsidRPr="00385C00" w:rsidR="00385C00">
        <w:rPr>
          <w:rFonts w:ascii="Times New Roman" w:hAnsi="Times New Roman" w:eastAsia="Times New Roman" w:cs="Times New Roman"/>
          <w:snapToGrid w:val="0"/>
          <w:sz w:val="24"/>
          <w:szCs w:val="24"/>
        </w:rPr>
        <w:t xml:space="preserve"> have their issuers perform premium billing and payment processing</w:t>
      </w:r>
      <w:r w:rsidR="00AF4A2E">
        <w:rPr>
          <w:rFonts w:ascii="Times New Roman" w:hAnsi="Times New Roman" w:eastAsia="Times New Roman" w:cs="Times New Roman"/>
          <w:snapToGrid w:val="0"/>
          <w:sz w:val="24"/>
          <w:szCs w:val="24"/>
        </w:rPr>
        <w:t xml:space="preserve">. </w:t>
      </w:r>
      <w:r w:rsidRPr="00385C00" w:rsidR="00385C00">
        <w:rPr>
          <w:rFonts w:ascii="Times New Roman" w:hAnsi="Times New Roman" w:eastAsia="Times New Roman" w:cs="Times New Roman"/>
          <w:snapToGrid w:val="0"/>
          <w:sz w:val="24"/>
          <w:szCs w:val="24"/>
        </w:rPr>
        <w:t xml:space="preserve">In total, we now estimate that </w:t>
      </w:r>
      <w:r w:rsidR="00D53A24">
        <w:rPr>
          <w:rFonts w:ascii="Times New Roman" w:hAnsi="Times New Roman" w:eastAsia="Times New Roman" w:cs="Times New Roman"/>
          <w:snapToGrid w:val="0"/>
          <w:sz w:val="24"/>
          <w:szCs w:val="24"/>
        </w:rPr>
        <w:t xml:space="preserve">there </w:t>
      </w:r>
      <w:r w:rsidRPr="00385C00" w:rsidR="00385C00">
        <w:rPr>
          <w:rFonts w:ascii="Times New Roman" w:hAnsi="Times New Roman" w:eastAsia="Times New Roman" w:cs="Times New Roman"/>
          <w:snapToGrid w:val="0"/>
          <w:sz w:val="24"/>
          <w:szCs w:val="24"/>
        </w:rPr>
        <w:t xml:space="preserve">will be 94 QHP issuers offering a total of 1,467 plans (representing approximately 32 percent of individual market, on-Exchange plans) covering non-Hyde abortion services across 21 states in plan year 2020. </w:t>
      </w:r>
      <w:r w:rsidR="006F05C6">
        <w:rPr>
          <w:rFonts w:ascii="Times New Roman" w:hAnsi="Times New Roman" w:eastAsia="Times New Roman" w:cs="Times New Roman"/>
          <w:snapToGrid w:val="0"/>
          <w:sz w:val="24"/>
          <w:szCs w:val="24"/>
        </w:rPr>
        <w:br/>
      </w:r>
    </w:p>
    <w:p w:rsidRPr="004F1025" w:rsidR="004F1025" w:rsidP="008637F3" w:rsidRDefault="004F1025" w14:paraId="13D4AE2D" w14:textId="3DD8B894">
      <w:pPr>
        <w:widowControl w:val="0"/>
        <w:spacing w:after="0" w:line="240" w:lineRule="auto"/>
        <w:ind w:right="29"/>
        <w:rPr>
          <w:rFonts w:ascii="Times New Roman" w:hAnsi="Times New Roman" w:eastAsia="Times New Roman" w:cs="Times New Roman"/>
          <w:snapToGrid w:val="0"/>
          <w:sz w:val="24"/>
          <w:szCs w:val="24"/>
        </w:rPr>
      </w:pPr>
      <w:r w:rsidRPr="004F1025">
        <w:rPr>
          <w:rFonts w:ascii="Times New Roman" w:hAnsi="Times New Roman" w:eastAsia="Times New Roman" w:cs="Times New Roman"/>
          <w:snapToGrid w:val="0"/>
          <w:sz w:val="24"/>
          <w:szCs w:val="24"/>
        </w:rPr>
        <w:t xml:space="preserve">Issuers will incur burden to complete the one-time technical build to implement the necessary changes, which will involve activities such as planning, assessment, budgeting, contracting, building and testing </w:t>
      </w:r>
      <w:r w:rsidRPr="004F1025">
        <w:rPr>
          <w:rFonts w:ascii="Times New Roman" w:hAnsi="Times New Roman" w:eastAsia="Times New Roman" w:cs="Times New Roman"/>
          <w:snapToGrid w:val="0"/>
          <w:sz w:val="24"/>
          <w:szCs w:val="24"/>
        </w:rPr>
        <w:lastRenderedPageBreak/>
        <w:t>their systems; as well as one-time changes such as billing-related outreach and call center training</w:t>
      </w:r>
      <w:r w:rsidR="00AF4A2E">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We assume that this one-time burden will be incurred primarily in 2020</w:t>
      </w:r>
      <w:r w:rsidR="00AF4A2E">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We estimate that for each issuer, on average, it will take business operations specialists 2,500 hours (at $</w:t>
      </w:r>
      <w:r w:rsidR="00D340B3">
        <w:rPr>
          <w:rFonts w:ascii="Times New Roman" w:hAnsi="Times New Roman" w:eastAsia="Times New Roman" w:cs="Times New Roman"/>
          <w:snapToGrid w:val="0"/>
          <w:sz w:val="24"/>
          <w:szCs w:val="24"/>
        </w:rPr>
        <w:t>74</w:t>
      </w:r>
      <w:r w:rsidR="00D53A24">
        <w:rPr>
          <w:rFonts w:ascii="Times New Roman" w:hAnsi="Times New Roman" w:eastAsia="Times New Roman" w:cs="Times New Roman"/>
          <w:snapToGrid w:val="0"/>
          <w:sz w:val="24"/>
          <w:szCs w:val="24"/>
        </w:rPr>
        <w:t>.00</w:t>
      </w:r>
      <w:r w:rsidRPr="004F1025">
        <w:rPr>
          <w:rFonts w:ascii="Times New Roman" w:hAnsi="Times New Roman" w:eastAsia="Times New Roman" w:cs="Times New Roman"/>
          <w:snapToGrid w:val="0"/>
          <w:sz w:val="24"/>
          <w:szCs w:val="24"/>
        </w:rPr>
        <w:t xml:space="preserve"> per hour), computer system analysts 6,500 hours (at $</w:t>
      </w:r>
      <w:r w:rsidR="00D340B3">
        <w:rPr>
          <w:rFonts w:ascii="Times New Roman" w:hAnsi="Times New Roman" w:eastAsia="Times New Roman" w:cs="Times New Roman"/>
          <w:snapToGrid w:val="0"/>
          <w:sz w:val="24"/>
          <w:szCs w:val="24"/>
        </w:rPr>
        <w:t>90.02</w:t>
      </w:r>
      <w:r w:rsidRPr="004F1025">
        <w:rPr>
          <w:rFonts w:ascii="Times New Roman" w:hAnsi="Times New Roman" w:eastAsia="Times New Roman" w:cs="Times New Roman"/>
          <w:snapToGrid w:val="0"/>
          <w:sz w:val="24"/>
          <w:szCs w:val="24"/>
        </w:rPr>
        <w:t xml:space="preserve"> per hour), computer programmers 22,000 hours (at $</w:t>
      </w:r>
      <w:r w:rsidRPr="00DD7C98" w:rsidR="005A0EF2">
        <w:rPr>
          <w:rFonts w:ascii="Times New Roman" w:hAnsi="Times New Roman" w:eastAsia="Times New Roman" w:cs="Times New Roman"/>
          <w:snapToGrid w:val="0"/>
          <w:sz w:val="24"/>
          <w:szCs w:val="24"/>
        </w:rPr>
        <w:t>8</w:t>
      </w:r>
      <w:r w:rsidRPr="008637F3" w:rsidR="005A0EF2">
        <w:rPr>
          <w:rFonts w:ascii="Times New Roman" w:hAnsi="Times New Roman" w:eastAsia="Times New Roman" w:cs="Times New Roman"/>
          <w:snapToGrid w:val="0"/>
          <w:sz w:val="24"/>
          <w:szCs w:val="24"/>
        </w:rPr>
        <w:t>6</w:t>
      </w:r>
      <w:r w:rsidRPr="00DD7C98">
        <w:rPr>
          <w:rFonts w:ascii="Times New Roman" w:hAnsi="Times New Roman" w:eastAsia="Times New Roman" w:cs="Times New Roman"/>
          <w:snapToGrid w:val="0"/>
          <w:sz w:val="24"/>
          <w:szCs w:val="24"/>
        </w:rPr>
        <w:t>.</w:t>
      </w:r>
      <w:r w:rsidRPr="00DD7C98" w:rsidR="00D340B3">
        <w:rPr>
          <w:rFonts w:ascii="Times New Roman" w:hAnsi="Times New Roman" w:eastAsia="Times New Roman" w:cs="Times New Roman"/>
          <w:snapToGrid w:val="0"/>
          <w:sz w:val="24"/>
          <w:szCs w:val="24"/>
        </w:rPr>
        <w:t>14</w:t>
      </w:r>
      <w:r w:rsidRPr="004F1025" w:rsidR="00D340B3">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per hour), computer and information systems managers 200 hours (at $</w:t>
      </w:r>
      <w:r w:rsidR="00D340B3">
        <w:rPr>
          <w:rFonts w:ascii="Times New Roman" w:hAnsi="Times New Roman" w:eastAsia="Times New Roman" w:cs="Times New Roman"/>
          <w:snapToGrid w:val="0"/>
          <w:sz w:val="24"/>
          <w:szCs w:val="24"/>
        </w:rPr>
        <w:t xml:space="preserve">146.98 </w:t>
      </w:r>
      <w:r w:rsidRPr="004F1025">
        <w:rPr>
          <w:rFonts w:ascii="Times New Roman" w:hAnsi="Times New Roman" w:eastAsia="Times New Roman" w:cs="Times New Roman"/>
          <w:snapToGrid w:val="0"/>
          <w:sz w:val="24"/>
          <w:szCs w:val="24"/>
        </w:rPr>
        <w:t xml:space="preserve">per hour) and </w:t>
      </w:r>
      <w:r w:rsidR="00F803D6">
        <w:rPr>
          <w:rFonts w:ascii="Times New Roman" w:hAnsi="Times New Roman" w:eastAsia="Times New Roman" w:cs="Times New Roman"/>
          <w:snapToGrid w:val="0"/>
          <w:sz w:val="24"/>
          <w:szCs w:val="24"/>
        </w:rPr>
        <w:t xml:space="preserve">general and </w:t>
      </w:r>
      <w:r w:rsidRPr="004F1025">
        <w:rPr>
          <w:rFonts w:ascii="Times New Roman" w:hAnsi="Times New Roman" w:eastAsia="Times New Roman" w:cs="Times New Roman"/>
          <w:snapToGrid w:val="0"/>
          <w:sz w:val="24"/>
          <w:szCs w:val="24"/>
        </w:rPr>
        <w:t>operations managers 300 hours (at $</w:t>
      </w:r>
      <w:r w:rsidR="00D340B3">
        <w:rPr>
          <w:rFonts w:ascii="Times New Roman" w:hAnsi="Times New Roman" w:eastAsia="Times New Roman" w:cs="Times New Roman"/>
          <w:snapToGrid w:val="0"/>
          <w:sz w:val="24"/>
          <w:szCs w:val="24"/>
        </w:rPr>
        <w:t>119.</w:t>
      </w:r>
      <w:r w:rsidR="00F803D6">
        <w:rPr>
          <w:rFonts w:ascii="Times New Roman" w:hAnsi="Times New Roman" w:eastAsia="Times New Roman" w:cs="Times New Roman"/>
          <w:snapToGrid w:val="0"/>
          <w:sz w:val="24"/>
          <w:szCs w:val="24"/>
        </w:rPr>
        <w:t>1</w:t>
      </w:r>
      <w:r w:rsidR="00D340B3">
        <w:rPr>
          <w:rFonts w:ascii="Times New Roman" w:hAnsi="Times New Roman" w:eastAsia="Times New Roman" w:cs="Times New Roman"/>
          <w:snapToGrid w:val="0"/>
          <w:sz w:val="24"/>
          <w:szCs w:val="24"/>
        </w:rPr>
        <w:t>2</w:t>
      </w:r>
      <w:r w:rsidRPr="004F1025">
        <w:rPr>
          <w:rFonts w:ascii="Times New Roman" w:hAnsi="Times New Roman" w:eastAsia="Times New Roman" w:cs="Times New Roman"/>
          <w:snapToGrid w:val="0"/>
          <w:sz w:val="24"/>
          <w:szCs w:val="24"/>
        </w:rPr>
        <w:t xml:space="preserve"> per hour) to complete this task</w:t>
      </w:r>
      <w:r w:rsidR="00AF4A2E">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The total burden for an issuer will be approximately 31,500 hours on average, with an equivalent cost of approximately $2.</w:t>
      </w:r>
      <w:r w:rsidR="00D340B3">
        <w:rPr>
          <w:rFonts w:ascii="Times New Roman" w:hAnsi="Times New Roman" w:eastAsia="Times New Roman" w:cs="Times New Roman"/>
          <w:snapToGrid w:val="0"/>
          <w:sz w:val="24"/>
          <w:szCs w:val="24"/>
        </w:rPr>
        <w:t>7</w:t>
      </w:r>
      <w:r w:rsidRPr="004F1025">
        <w:rPr>
          <w:rFonts w:ascii="Times New Roman" w:hAnsi="Times New Roman" w:eastAsia="Times New Roman" w:cs="Times New Roman"/>
          <w:snapToGrid w:val="0"/>
          <w:sz w:val="24"/>
          <w:szCs w:val="24"/>
        </w:rPr>
        <w:t xml:space="preserve"> million</w:t>
      </w:r>
      <w:r w:rsidR="00AF4A2E">
        <w:rPr>
          <w:rFonts w:ascii="Times New Roman" w:hAnsi="Times New Roman" w:eastAsia="Times New Roman" w:cs="Times New Roman"/>
          <w:snapToGrid w:val="0"/>
          <w:sz w:val="24"/>
          <w:szCs w:val="24"/>
        </w:rPr>
        <w:t xml:space="preserve">. </w:t>
      </w:r>
      <w:r w:rsidRPr="00593DAD" w:rsidR="009F31D4">
        <w:rPr>
          <w:rFonts w:ascii="Times New Roman" w:hAnsi="Times New Roman" w:eastAsia="Times New Roman" w:cs="Times New Roman"/>
          <w:snapToGrid w:val="0"/>
          <w:sz w:val="24"/>
          <w:szCs w:val="24"/>
        </w:rPr>
        <w:t xml:space="preserve">We anticipate that implementing these changes within </w:t>
      </w:r>
      <w:r w:rsidR="009F31D4">
        <w:rPr>
          <w:rFonts w:ascii="Times New Roman" w:hAnsi="Times New Roman" w:eastAsia="Times New Roman" w:cs="Times New Roman"/>
          <w:snapToGrid w:val="0"/>
          <w:sz w:val="24"/>
          <w:szCs w:val="24"/>
        </w:rPr>
        <w:t>6</w:t>
      </w:r>
      <w:r w:rsidRPr="00593DAD" w:rsidR="009F31D4">
        <w:rPr>
          <w:rFonts w:ascii="Times New Roman" w:hAnsi="Times New Roman" w:eastAsia="Times New Roman" w:cs="Times New Roman"/>
          <w:snapToGrid w:val="0"/>
          <w:sz w:val="24"/>
          <w:szCs w:val="24"/>
        </w:rPr>
        <w:t xml:space="preserve"> months would result in issuers incurring additional costs such as higher contracting costs, overtime payments, which will </w:t>
      </w:r>
      <w:r w:rsidR="009F31D4">
        <w:rPr>
          <w:rFonts w:ascii="Times New Roman" w:hAnsi="Times New Roman" w:eastAsia="Times New Roman" w:cs="Times New Roman"/>
          <w:snapToGrid w:val="0"/>
          <w:sz w:val="24"/>
          <w:szCs w:val="24"/>
        </w:rPr>
        <w:t>increase</w:t>
      </w:r>
      <w:r w:rsidRPr="00593DAD" w:rsidR="009F31D4">
        <w:rPr>
          <w:rFonts w:ascii="Times New Roman" w:hAnsi="Times New Roman" w:eastAsia="Times New Roman" w:cs="Times New Roman"/>
          <w:snapToGrid w:val="0"/>
          <w:sz w:val="24"/>
          <w:szCs w:val="24"/>
        </w:rPr>
        <w:t xml:space="preserve"> the </w:t>
      </w:r>
      <w:r w:rsidR="009F31D4">
        <w:rPr>
          <w:rFonts w:ascii="Times New Roman" w:hAnsi="Times New Roman" w:eastAsia="Times New Roman" w:cs="Times New Roman"/>
          <w:snapToGrid w:val="0"/>
          <w:sz w:val="24"/>
          <w:szCs w:val="24"/>
        </w:rPr>
        <w:t xml:space="preserve">total </w:t>
      </w:r>
      <w:r w:rsidRPr="00593DAD" w:rsidR="009F31D4">
        <w:rPr>
          <w:rFonts w:ascii="Times New Roman" w:hAnsi="Times New Roman" w:eastAsia="Times New Roman" w:cs="Times New Roman"/>
          <w:snapToGrid w:val="0"/>
          <w:sz w:val="24"/>
          <w:szCs w:val="24"/>
        </w:rPr>
        <w:t xml:space="preserve">cost for each issuer </w:t>
      </w:r>
      <w:r w:rsidR="009F31D4">
        <w:rPr>
          <w:rFonts w:ascii="Times New Roman" w:hAnsi="Times New Roman" w:eastAsia="Times New Roman" w:cs="Times New Roman"/>
          <w:snapToGrid w:val="0"/>
          <w:sz w:val="24"/>
          <w:szCs w:val="24"/>
        </w:rPr>
        <w:t>by 50 percent</w:t>
      </w:r>
      <w:r w:rsidR="005D3CE2">
        <w:rPr>
          <w:rFonts w:ascii="Times New Roman" w:hAnsi="Times New Roman" w:eastAsia="Times New Roman" w:cs="Times New Roman"/>
          <w:snapToGrid w:val="0"/>
          <w:sz w:val="24"/>
          <w:szCs w:val="24"/>
        </w:rPr>
        <w:t>,</w:t>
      </w:r>
      <w:r w:rsidR="009F31D4">
        <w:rPr>
          <w:rFonts w:ascii="Times New Roman" w:hAnsi="Times New Roman" w:eastAsia="Times New Roman" w:cs="Times New Roman"/>
          <w:snapToGrid w:val="0"/>
          <w:sz w:val="24"/>
          <w:szCs w:val="24"/>
        </w:rPr>
        <w:t xml:space="preserve"> to</w:t>
      </w:r>
      <w:r w:rsidRPr="00593DAD" w:rsidR="009F31D4">
        <w:rPr>
          <w:rFonts w:ascii="Times New Roman" w:hAnsi="Times New Roman" w:eastAsia="Times New Roman" w:cs="Times New Roman"/>
          <w:snapToGrid w:val="0"/>
          <w:sz w:val="24"/>
          <w:szCs w:val="24"/>
        </w:rPr>
        <w:t xml:space="preserve"> approximately $</w:t>
      </w:r>
      <w:r w:rsidR="009F31D4">
        <w:rPr>
          <w:rFonts w:ascii="Times New Roman" w:hAnsi="Times New Roman" w:eastAsia="Times New Roman" w:cs="Times New Roman"/>
          <w:snapToGrid w:val="0"/>
          <w:sz w:val="24"/>
          <w:szCs w:val="24"/>
        </w:rPr>
        <w:t>4.1</w:t>
      </w:r>
      <w:r w:rsidRPr="00593DAD" w:rsidR="009F31D4">
        <w:rPr>
          <w:rFonts w:ascii="Times New Roman" w:hAnsi="Times New Roman" w:eastAsia="Times New Roman" w:cs="Times New Roman"/>
          <w:snapToGrid w:val="0"/>
          <w:sz w:val="24"/>
          <w:szCs w:val="24"/>
        </w:rPr>
        <w:t xml:space="preserve"> million. </w:t>
      </w:r>
      <w:r w:rsidRPr="004F1025">
        <w:rPr>
          <w:rFonts w:ascii="Times New Roman" w:hAnsi="Times New Roman" w:eastAsia="Times New Roman" w:cs="Times New Roman"/>
          <w:snapToGrid w:val="0"/>
          <w:sz w:val="24"/>
          <w:szCs w:val="24"/>
        </w:rPr>
        <w:t>For all</w:t>
      </w:r>
      <w:r w:rsidR="00F803D6">
        <w:rPr>
          <w:rFonts w:ascii="Times New Roman" w:hAnsi="Times New Roman" w:eastAsia="Times New Roman" w:cs="Times New Roman"/>
          <w:snapToGrid w:val="0"/>
          <w:sz w:val="24"/>
          <w:szCs w:val="24"/>
        </w:rPr>
        <w:t xml:space="preserve"> </w:t>
      </w:r>
      <w:r w:rsidR="00AE3580">
        <w:rPr>
          <w:rFonts w:ascii="Times New Roman" w:hAnsi="Times New Roman" w:eastAsia="Times New Roman" w:cs="Times New Roman"/>
          <w:snapToGrid w:val="0"/>
          <w:sz w:val="24"/>
          <w:szCs w:val="24"/>
        </w:rPr>
        <w:t>94</w:t>
      </w:r>
      <w:r w:rsidRPr="004F1025">
        <w:rPr>
          <w:rFonts w:ascii="Times New Roman" w:hAnsi="Times New Roman" w:eastAsia="Times New Roman" w:cs="Times New Roman"/>
          <w:snapToGrid w:val="0"/>
          <w:sz w:val="24"/>
          <w:szCs w:val="24"/>
        </w:rPr>
        <w:t xml:space="preserve"> issuers, the total one-time burden will be </w:t>
      </w:r>
      <w:r w:rsidRPr="00385C00" w:rsidR="00385C00">
        <w:rPr>
          <w:rFonts w:ascii="Times New Roman" w:hAnsi="Times New Roman" w:eastAsia="Times New Roman" w:cs="Times New Roman"/>
          <w:snapToGrid w:val="0"/>
          <w:sz w:val="24"/>
          <w:szCs w:val="24"/>
        </w:rPr>
        <w:t>2,961,000</w:t>
      </w:r>
      <w:r w:rsidR="00385C00">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hours for a total cost of approximately $</w:t>
      </w:r>
      <w:r w:rsidR="00385C00">
        <w:rPr>
          <w:rFonts w:ascii="Times New Roman" w:hAnsi="Times New Roman" w:eastAsia="Times New Roman" w:cs="Times New Roman"/>
          <w:snapToGrid w:val="0"/>
          <w:sz w:val="24"/>
          <w:szCs w:val="24"/>
        </w:rPr>
        <w:t>385</w:t>
      </w:r>
      <w:r w:rsidR="009F31D4">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million.</w:t>
      </w:r>
    </w:p>
    <w:p w:rsidR="008076E0" w:rsidP="008637F3" w:rsidRDefault="008076E0" w14:paraId="3E910804" w14:textId="77777777">
      <w:pPr>
        <w:widowControl w:val="0"/>
        <w:spacing w:after="0" w:line="240" w:lineRule="auto"/>
        <w:ind w:right="29"/>
        <w:rPr>
          <w:rFonts w:ascii="Times New Roman" w:hAnsi="Times New Roman" w:eastAsia="Times New Roman" w:cs="Times New Roman"/>
          <w:snapToGrid w:val="0"/>
          <w:sz w:val="24"/>
          <w:szCs w:val="24"/>
        </w:rPr>
      </w:pPr>
    </w:p>
    <w:p w:rsidR="004F1025" w:rsidP="008637F3" w:rsidRDefault="004F1025" w14:paraId="7C070FCE" w14:textId="5806DCF1">
      <w:pPr>
        <w:widowControl w:val="0"/>
        <w:spacing w:after="0" w:line="240" w:lineRule="auto"/>
        <w:ind w:right="29"/>
        <w:rPr>
          <w:rFonts w:ascii="Times New Roman" w:hAnsi="Times New Roman" w:eastAsia="Times New Roman" w:cs="Times New Roman"/>
          <w:snapToGrid w:val="0"/>
          <w:sz w:val="24"/>
          <w:szCs w:val="24"/>
          <w:u w:val="single"/>
        </w:rPr>
      </w:pPr>
      <w:r w:rsidRPr="004F1025">
        <w:rPr>
          <w:rFonts w:ascii="Times New Roman" w:hAnsi="Times New Roman" w:eastAsia="Times New Roman" w:cs="Times New Roman"/>
          <w:snapToGrid w:val="0"/>
          <w:sz w:val="24"/>
          <w:szCs w:val="24"/>
        </w:rPr>
        <w:t>We anticipate that the burden incurred by State Exchanges that perform premium billing and payment processing themselves and have QHP issuers that offer coverage for non-Hyde abortion services within their State Exchange will be similar to the burden incurred by QHP issuers offering coverage for non-Hyde abortion services. Therefore</w:t>
      </w:r>
      <w:r w:rsidR="0063779D">
        <w:rPr>
          <w:rFonts w:ascii="Times New Roman" w:hAnsi="Times New Roman" w:eastAsia="Times New Roman" w:cs="Times New Roman"/>
          <w:snapToGrid w:val="0"/>
          <w:sz w:val="24"/>
          <w:szCs w:val="24"/>
        </w:rPr>
        <w:t>,</w:t>
      </w:r>
      <w:r w:rsidRPr="004F1025">
        <w:rPr>
          <w:rFonts w:ascii="Times New Roman" w:hAnsi="Times New Roman" w:eastAsia="Times New Roman" w:cs="Times New Roman"/>
          <w:snapToGrid w:val="0"/>
          <w:sz w:val="24"/>
          <w:szCs w:val="24"/>
        </w:rPr>
        <w:t xml:space="preserve"> the total burden for a State Exchange that performs premium billing and payment processing will be approximately 31,500 hours on average, with </w:t>
      </w:r>
      <w:r w:rsidR="00D44234">
        <w:rPr>
          <w:rFonts w:ascii="Times New Roman" w:hAnsi="Times New Roman" w:eastAsia="Times New Roman" w:cs="Times New Roman"/>
          <w:snapToGrid w:val="0"/>
          <w:sz w:val="24"/>
          <w:szCs w:val="24"/>
        </w:rPr>
        <w:t>equivalent total</w:t>
      </w:r>
      <w:r w:rsidRPr="004F1025">
        <w:rPr>
          <w:rFonts w:ascii="Times New Roman" w:hAnsi="Times New Roman" w:eastAsia="Times New Roman" w:cs="Times New Roman"/>
          <w:snapToGrid w:val="0"/>
          <w:sz w:val="24"/>
          <w:szCs w:val="24"/>
        </w:rPr>
        <w:t xml:space="preserve"> cost of approximately $</w:t>
      </w:r>
      <w:r w:rsidR="00D44234">
        <w:rPr>
          <w:rFonts w:ascii="Times New Roman" w:hAnsi="Times New Roman" w:eastAsia="Times New Roman" w:cs="Times New Roman"/>
          <w:snapToGrid w:val="0"/>
          <w:sz w:val="24"/>
          <w:szCs w:val="24"/>
        </w:rPr>
        <w:t>4.1</w:t>
      </w:r>
      <w:r w:rsidRPr="004F1025" w:rsidR="0062557D">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 xml:space="preserve">million. For all </w:t>
      </w:r>
      <w:r w:rsidR="00F12049">
        <w:rPr>
          <w:rFonts w:ascii="Times New Roman" w:hAnsi="Times New Roman" w:eastAsia="Times New Roman" w:cs="Times New Roman"/>
          <w:snapToGrid w:val="0"/>
          <w:sz w:val="24"/>
          <w:szCs w:val="24"/>
        </w:rPr>
        <w:t>three</w:t>
      </w:r>
      <w:r w:rsidRPr="004F1025" w:rsidR="00F12049">
        <w:rPr>
          <w:rFonts w:ascii="Times New Roman" w:hAnsi="Times New Roman" w:eastAsia="Times New Roman" w:cs="Times New Roman"/>
          <w:snapToGrid w:val="0"/>
          <w:sz w:val="24"/>
          <w:szCs w:val="24"/>
        </w:rPr>
        <w:t xml:space="preserve"> </w:t>
      </w:r>
      <w:r w:rsidRPr="004F1025">
        <w:rPr>
          <w:rFonts w:ascii="Times New Roman" w:hAnsi="Times New Roman" w:eastAsia="Times New Roman" w:cs="Times New Roman"/>
          <w:snapToGrid w:val="0"/>
          <w:sz w:val="24"/>
          <w:szCs w:val="24"/>
        </w:rPr>
        <w:t>State Exchanges that perform premium billing and payment processing, the total one-time burden will be 94,500 hours for a total cost of approximately $</w:t>
      </w:r>
      <w:r w:rsidR="00D44234">
        <w:rPr>
          <w:rFonts w:ascii="Times New Roman" w:hAnsi="Times New Roman" w:eastAsia="Times New Roman" w:cs="Times New Roman"/>
          <w:snapToGrid w:val="0"/>
          <w:sz w:val="24"/>
          <w:szCs w:val="24"/>
        </w:rPr>
        <w:t>12.3</w:t>
      </w:r>
      <w:r w:rsidRPr="004F1025">
        <w:rPr>
          <w:rFonts w:ascii="Times New Roman" w:hAnsi="Times New Roman" w:eastAsia="Times New Roman" w:cs="Times New Roman"/>
          <w:snapToGrid w:val="0"/>
          <w:sz w:val="24"/>
          <w:szCs w:val="24"/>
        </w:rPr>
        <w:t xml:space="preserve"> million.</w:t>
      </w:r>
      <w:r w:rsidRPr="004F1025">
        <w:rPr>
          <w:rFonts w:ascii="Times New Roman" w:hAnsi="Times New Roman" w:eastAsia="Times New Roman" w:cs="Times New Roman"/>
          <w:snapToGrid w:val="0"/>
          <w:sz w:val="24"/>
          <w:szCs w:val="24"/>
          <w:u w:val="single"/>
        </w:rPr>
        <w:t xml:space="preserve"> </w:t>
      </w:r>
    </w:p>
    <w:p w:rsidR="000C5AF7" w:rsidP="000C5AF7" w:rsidRDefault="000C5AF7" w14:paraId="23537197" w14:textId="77777777">
      <w:pPr>
        <w:widowControl w:val="0"/>
        <w:spacing w:after="0" w:line="240" w:lineRule="auto"/>
        <w:ind w:firstLine="720"/>
        <w:rPr>
          <w:rFonts w:ascii="Times New Roman" w:hAnsi="Times New Roman" w:eastAsia="Times New Roman" w:cs="Times New Roman"/>
          <w:snapToGrid w:val="0"/>
          <w:sz w:val="24"/>
          <w:szCs w:val="24"/>
          <w:u w:val="single"/>
        </w:rPr>
      </w:pPr>
    </w:p>
    <w:p w:rsidRPr="008637F3" w:rsidR="00D239CA" w:rsidP="008637F3" w:rsidRDefault="00D239CA" w14:paraId="518CD935" w14:textId="5B565DA1">
      <w:pPr>
        <w:pStyle w:val="BodyText"/>
        <w:ind w:right="30"/>
        <w:rPr>
          <w:b/>
        </w:rPr>
      </w:pPr>
      <w:r w:rsidRPr="008637F3">
        <w:rPr>
          <w:b/>
        </w:rPr>
        <w:t xml:space="preserve">Table </w:t>
      </w:r>
      <w:r w:rsidR="00A20208">
        <w:rPr>
          <w:b/>
        </w:rPr>
        <w:t>4</w:t>
      </w:r>
      <w:r w:rsidRPr="008637F3" w:rsidR="00F67360">
        <w:rPr>
          <w:b/>
        </w:rPr>
        <w:t>A</w:t>
      </w:r>
      <w:r w:rsidRPr="008637F3">
        <w:rPr>
          <w:b/>
        </w:rPr>
        <w:t>. Estimated One-time Burden per Issuer</w:t>
      </w:r>
      <w:r w:rsidRPr="008637F3" w:rsidR="004F1025">
        <w:rPr>
          <w:b/>
        </w:rPr>
        <w:t xml:space="preserve"> </w:t>
      </w:r>
      <w:r w:rsidRPr="008637F3" w:rsidR="005C47DC">
        <w:rPr>
          <w:b/>
        </w:rPr>
        <w:t>or State Exchange</w:t>
      </w:r>
      <w:r w:rsidRPr="008637F3" w:rsidR="004F1025">
        <w:rPr>
          <w:b/>
        </w:rPr>
        <w:t xml:space="preserve"> performing premium billing and payment processing</w:t>
      </w:r>
    </w:p>
    <w:p w:rsidRPr="008105A6" w:rsidR="00E02110" w:rsidP="00E02110" w:rsidRDefault="00E02110" w14:paraId="3203FE7A" w14:textId="77777777">
      <w:pPr>
        <w:widowControl w:val="0"/>
        <w:spacing w:after="0" w:line="240" w:lineRule="auto"/>
        <w:rPr>
          <w:rFonts w:ascii="Times New Roman" w:hAnsi="Times New Roman" w:eastAsia="Times New Roman" w:cs="Times New Roman"/>
          <w:snapToGrid w:val="0"/>
          <w:sz w:val="24"/>
          <w:szCs w:val="24"/>
          <w:u w:val="single"/>
        </w:rPr>
      </w:pPr>
    </w:p>
    <w:tbl>
      <w:tblPr>
        <w:tblW w:w="9464" w:type="dxa"/>
        <w:jc w:val="center"/>
        <w:tblLayout w:type="fixed"/>
        <w:tblLook w:val="04A0" w:firstRow="1" w:lastRow="0" w:firstColumn="1" w:lastColumn="0" w:noHBand="0" w:noVBand="1"/>
      </w:tblPr>
      <w:tblGrid>
        <w:gridCol w:w="1795"/>
        <w:gridCol w:w="1440"/>
        <w:gridCol w:w="1710"/>
        <w:gridCol w:w="1260"/>
        <w:gridCol w:w="1530"/>
        <w:gridCol w:w="1729"/>
      </w:tblGrid>
      <w:tr w:rsidRPr="008105A6" w:rsidR="008637F3" w:rsidTr="00D667C1" w14:paraId="758D44AA" w14:textId="77777777">
        <w:trPr>
          <w:trHeight w:val="300"/>
          <w:jc w:val="center"/>
        </w:trPr>
        <w:tc>
          <w:tcPr>
            <w:tcW w:w="17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8637F3" w:rsidP="00D667C1" w:rsidRDefault="008637F3" w14:paraId="3E8A7307" w14:textId="63B1D2B8">
            <w:pPr>
              <w:spacing w:after="0" w:line="240" w:lineRule="auto"/>
              <w:jc w:val="center"/>
              <w:rPr>
                <w:rFonts w:ascii="Times New Roman" w:hAnsi="Times New Roman" w:eastAsia="Times New Roman" w:cs="Times New Roman"/>
                <w:color w:val="000000"/>
                <w:sz w:val="24"/>
                <w:szCs w:val="24"/>
              </w:rPr>
            </w:pPr>
          </w:p>
          <w:p w:rsidRPr="008105A6" w:rsidR="008637F3" w:rsidP="00D667C1" w:rsidRDefault="008637F3" w14:paraId="23759DEC" w14:textId="0987EC8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Labor Category</w:t>
            </w:r>
          </w:p>
        </w:tc>
        <w:tc>
          <w:tcPr>
            <w:tcW w:w="1440" w:type="dxa"/>
            <w:tcBorders>
              <w:top w:val="single" w:color="auto" w:sz="4" w:space="0"/>
              <w:left w:val="nil"/>
              <w:bottom w:val="single" w:color="auto" w:sz="4" w:space="0"/>
              <w:right w:val="single" w:color="auto" w:sz="4" w:space="0"/>
            </w:tcBorders>
            <w:vAlign w:val="bottom"/>
          </w:tcPr>
          <w:p w:rsidRPr="008105A6" w:rsidR="008637F3" w:rsidP="00D667C1" w:rsidRDefault="008637F3" w14:paraId="730F0F35" w14:textId="0947A0AF">
            <w:pPr>
              <w:spacing w:after="0" w:line="240" w:lineRule="auto"/>
              <w:ind w:left="-110" w:right="-80"/>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Number of Respondents</w:t>
            </w:r>
          </w:p>
        </w:tc>
        <w:tc>
          <w:tcPr>
            <w:tcW w:w="1710" w:type="dxa"/>
            <w:tcBorders>
              <w:top w:val="single" w:color="auto" w:sz="4" w:space="0"/>
              <w:left w:val="nil"/>
              <w:bottom w:val="single" w:color="auto" w:sz="4" w:space="0"/>
              <w:right w:val="single" w:color="auto" w:sz="4" w:space="0"/>
            </w:tcBorders>
            <w:vAlign w:val="bottom"/>
          </w:tcPr>
          <w:p w:rsidRPr="008105A6" w:rsidR="008637F3" w:rsidP="00D667C1" w:rsidRDefault="008637F3" w14:paraId="23C75852" w14:textId="08C9BC9E">
            <w:pPr>
              <w:spacing w:after="0" w:line="240" w:lineRule="auto"/>
              <w:ind w:left="-110" w:right="-90"/>
              <w:jc w:val="center"/>
              <w:rPr>
                <w:rFonts w:ascii="Times New Roman" w:hAnsi="Times New Roman" w:eastAsia="Times New Roman" w:cs="Times New Roman"/>
                <w:color w:val="000000"/>
                <w:sz w:val="24"/>
                <w:szCs w:val="24"/>
              </w:rPr>
            </w:pPr>
            <w:r w:rsidRPr="00004DC0">
              <w:rPr>
                <w:rFonts w:ascii="Times New Roman" w:hAnsi="Times New Roman" w:cs="Times New Roman"/>
                <w:sz w:val="24"/>
                <w:szCs w:val="24"/>
              </w:rPr>
              <w:t>Hourly Labor Costs (Hourly r</w:t>
            </w:r>
            <w:r w:rsidRPr="00004DC0">
              <w:rPr>
                <w:rFonts w:ascii="Times New Roman" w:hAnsi="Times New Roman" w:cs="Times New Roman"/>
                <w:spacing w:val="-1"/>
                <w:sz w:val="24"/>
                <w:szCs w:val="24"/>
              </w:rPr>
              <w:t>a</w:t>
            </w:r>
            <w:r w:rsidRPr="00004DC0">
              <w:rPr>
                <w:rFonts w:ascii="Times New Roman" w:hAnsi="Times New Roman" w:cs="Times New Roman"/>
                <w:sz w:val="24"/>
                <w:szCs w:val="24"/>
              </w:rPr>
              <w:t>te +</w:t>
            </w:r>
            <w:r w:rsidRPr="00004DC0">
              <w:rPr>
                <w:rFonts w:ascii="Times New Roman" w:hAnsi="Times New Roman" w:cs="Times New Roman"/>
                <w:spacing w:val="-1"/>
                <w:sz w:val="24"/>
                <w:szCs w:val="24"/>
              </w:rPr>
              <w:t xml:space="preserve"> </w:t>
            </w:r>
            <w:r w:rsidRPr="00004DC0">
              <w:rPr>
                <w:rFonts w:ascii="Times New Roman" w:hAnsi="Times New Roman" w:cs="Times New Roman"/>
                <w:spacing w:val="2"/>
                <w:sz w:val="24"/>
                <w:szCs w:val="24"/>
              </w:rPr>
              <w:t>100</w:t>
            </w:r>
            <w:r w:rsidRPr="00004DC0">
              <w:rPr>
                <w:rFonts w:ascii="Times New Roman" w:hAnsi="Times New Roman" w:cs="Times New Roman"/>
                <w:sz w:val="24"/>
                <w:szCs w:val="24"/>
              </w:rPr>
              <w:t xml:space="preserve">% </w:t>
            </w:r>
            <w:r w:rsidRPr="00004DC0">
              <w:rPr>
                <w:rFonts w:ascii="Times New Roman" w:hAnsi="Times New Roman" w:cs="Times New Roman"/>
                <w:spacing w:val="-1"/>
                <w:sz w:val="24"/>
                <w:szCs w:val="24"/>
              </w:rPr>
              <w:t>Fr</w:t>
            </w:r>
            <w:r w:rsidRPr="00004DC0">
              <w:rPr>
                <w:rFonts w:ascii="Times New Roman" w:hAnsi="Times New Roman" w:cs="Times New Roman"/>
                <w:sz w:val="24"/>
                <w:szCs w:val="24"/>
              </w:rPr>
              <w:t>in</w:t>
            </w:r>
            <w:r w:rsidRPr="00004DC0">
              <w:rPr>
                <w:rFonts w:ascii="Times New Roman" w:hAnsi="Times New Roman" w:cs="Times New Roman"/>
                <w:spacing w:val="-2"/>
                <w:sz w:val="24"/>
                <w:szCs w:val="24"/>
              </w:rPr>
              <w:t xml:space="preserve">ge </w:t>
            </w:r>
            <w:r w:rsidRPr="00004DC0">
              <w:rPr>
                <w:rFonts w:ascii="Times New Roman" w:hAnsi="Times New Roman" w:cs="Times New Roman"/>
                <w:sz w:val="24"/>
                <w:szCs w:val="24"/>
              </w:rPr>
              <w:t>b</w:t>
            </w:r>
            <w:r w:rsidRPr="00004DC0">
              <w:rPr>
                <w:rFonts w:ascii="Times New Roman" w:hAnsi="Times New Roman" w:cs="Times New Roman"/>
                <w:spacing w:val="-1"/>
                <w:sz w:val="24"/>
                <w:szCs w:val="24"/>
              </w:rPr>
              <w:t>e</w:t>
            </w:r>
            <w:r w:rsidRPr="00004DC0">
              <w:rPr>
                <w:rFonts w:ascii="Times New Roman" w:hAnsi="Times New Roman" w:cs="Times New Roman"/>
                <w:sz w:val="24"/>
                <w:szCs w:val="24"/>
              </w:rPr>
              <w:t>n</w:t>
            </w:r>
            <w:r w:rsidRPr="00004DC0">
              <w:rPr>
                <w:rFonts w:ascii="Times New Roman" w:hAnsi="Times New Roman" w:cs="Times New Roman"/>
                <w:spacing w:val="-1"/>
                <w:sz w:val="24"/>
                <w:szCs w:val="24"/>
              </w:rPr>
              <w:t>ef</w:t>
            </w:r>
            <w:r w:rsidRPr="00004DC0">
              <w:rPr>
                <w:rFonts w:ascii="Times New Roman" w:hAnsi="Times New Roman" w:cs="Times New Roman"/>
                <w:sz w:val="24"/>
                <w:szCs w:val="24"/>
              </w:rPr>
              <w:t>its)</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8105A6" w:rsidR="008637F3" w:rsidP="00D667C1" w:rsidRDefault="008637F3" w14:paraId="72382E23" w14:textId="583F147C">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Burden Hours</w:t>
            </w:r>
          </w:p>
        </w:tc>
        <w:tc>
          <w:tcPr>
            <w:tcW w:w="1530" w:type="dxa"/>
            <w:tcBorders>
              <w:top w:val="single" w:color="auto" w:sz="4" w:space="0"/>
              <w:left w:val="nil"/>
              <w:bottom w:val="single" w:color="auto" w:sz="4" w:space="0"/>
              <w:right w:val="single" w:color="auto" w:sz="4" w:space="0"/>
            </w:tcBorders>
            <w:vAlign w:val="bottom"/>
          </w:tcPr>
          <w:p w:rsidRPr="008105A6" w:rsidR="008637F3" w:rsidDel="0092154D" w:rsidP="00D667C1" w:rsidRDefault="008637F3" w14:paraId="4412AE72" w14:textId="39AD2F00">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 xml:space="preserve">Total </w:t>
            </w:r>
            <w:r>
              <w:rPr>
                <w:rFonts w:ascii="Times New Roman" w:hAnsi="Times New Roman" w:eastAsia="Times New Roman" w:cs="Times New Roman"/>
                <w:color w:val="000000"/>
                <w:sz w:val="24"/>
                <w:szCs w:val="24"/>
              </w:rPr>
              <w:t>Burden Cost (P</w:t>
            </w:r>
            <w:r w:rsidRPr="008105A6">
              <w:rPr>
                <w:rFonts w:ascii="Times New Roman" w:hAnsi="Times New Roman" w:eastAsia="Times New Roman" w:cs="Times New Roman"/>
                <w:color w:val="000000"/>
                <w:sz w:val="24"/>
                <w:szCs w:val="24"/>
              </w:rPr>
              <w:t>er Respondent</w:t>
            </w:r>
            <w:r>
              <w:rPr>
                <w:rFonts w:ascii="Times New Roman" w:hAnsi="Times New Roman" w:eastAsia="Times New Roman" w:cs="Times New Roman"/>
                <w:color w:val="000000"/>
                <w:sz w:val="24"/>
                <w:szCs w:val="24"/>
              </w:rPr>
              <w:t>)</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105A6" w:rsidR="008637F3" w:rsidP="00D667C1" w:rsidRDefault="008637F3" w14:paraId="20AF0631" w14:textId="39263FEF">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 xml:space="preserve">Total </w:t>
            </w:r>
            <w:r>
              <w:rPr>
                <w:rFonts w:ascii="Times New Roman" w:hAnsi="Times New Roman" w:eastAsia="Times New Roman" w:cs="Times New Roman"/>
                <w:color w:val="000000"/>
                <w:sz w:val="24"/>
                <w:szCs w:val="24"/>
              </w:rPr>
              <w:t>Burden Costs (All Respondents)</w:t>
            </w:r>
          </w:p>
        </w:tc>
      </w:tr>
      <w:tr w:rsidRPr="008105A6" w:rsidR="008637F3" w:rsidTr="00D667C1" w14:paraId="5FC239BC" w14:textId="77777777">
        <w:trPr>
          <w:trHeight w:val="737"/>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479016CF"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General and Operations Manager</w:t>
            </w:r>
          </w:p>
        </w:tc>
        <w:tc>
          <w:tcPr>
            <w:tcW w:w="1440" w:type="dxa"/>
            <w:tcBorders>
              <w:top w:val="nil"/>
              <w:left w:val="nil"/>
              <w:bottom w:val="single" w:color="auto" w:sz="4" w:space="0"/>
              <w:right w:val="single" w:color="auto" w:sz="4" w:space="0"/>
            </w:tcBorders>
            <w:vAlign w:val="bottom"/>
          </w:tcPr>
          <w:p w:rsidRPr="008105A6" w:rsidR="008637F3" w:rsidP="008637F3" w:rsidRDefault="008637F3" w14:paraId="222C6BA5" w14:textId="702A6154">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97</w:t>
            </w:r>
          </w:p>
        </w:tc>
        <w:tc>
          <w:tcPr>
            <w:tcW w:w="1710" w:type="dxa"/>
            <w:tcBorders>
              <w:top w:val="nil"/>
              <w:left w:val="nil"/>
              <w:bottom w:val="single" w:color="auto" w:sz="4" w:space="0"/>
              <w:right w:val="single" w:color="auto" w:sz="4" w:space="0"/>
            </w:tcBorders>
            <w:vAlign w:val="bottom"/>
          </w:tcPr>
          <w:p w:rsidRPr="008105A6" w:rsidR="008637F3" w:rsidP="008637F3" w:rsidRDefault="008637F3" w14:paraId="1D2A6200" w14:textId="0747B6E8">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119.12</w:t>
            </w:r>
            <w:r w:rsidRPr="008105A6">
              <w:rPr>
                <w:rFonts w:ascii="Times New Roman" w:hAnsi="Times New Roman" w:eastAsia="Times New Roman" w:cs="Times New Roman"/>
                <w:color w:val="000000"/>
                <w:sz w:val="24"/>
                <w:szCs w:val="24"/>
              </w:rPr>
              <w:t xml:space="preserve"> </w:t>
            </w: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7DC7D026" w14:textId="164BAB53">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300</w:t>
            </w:r>
          </w:p>
        </w:tc>
        <w:tc>
          <w:tcPr>
            <w:tcW w:w="1530" w:type="dxa"/>
            <w:tcBorders>
              <w:top w:val="single" w:color="auto" w:sz="4" w:space="0"/>
              <w:left w:val="nil"/>
              <w:bottom w:val="single" w:color="auto" w:sz="4" w:space="0"/>
              <w:right w:val="single" w:color="auto" w:sz="4" w:space="0"/>
            </w:tcBorders>
            <w:vAlign w:val="bottom"/>
          </w:tcPr>
          <w:p w:rsidRPr="008105A6" w:rsidR="008637F3" w:rsidDel="0092154D" w:rsidP="008637F3" w:rsidRDefault="008637F3" w14:paraId="766B7674" w14:textId="5496024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35,736</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214FA9" w14:paraId="2B1856AF" w14:textId="2ED07C31">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$3,466,392</w:t>
            </w:r>
          </w:p>
        </w:tc>
      </w:tr>
      <w:tr w:rsidRPr="008105A6" w:rsidR="008637F3" w:rsidTr="00D667C1" w14:paraId="19DC95B4" w14:textId="77777777">
        <w:trPr>
          <w:trHeight w:val="600"/>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392DCA0C"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Computer and Information Systems Manager</w:t>
            </w:r>
          </w:p>
        </w:tc>
        <w:tc>
          <w:tcPr>
            <w:tcW w:w="1440" w:type="dxa"/>
            <w:tcBorders>
              <w:top w:val="nil"/>
              <w:left w:val="nil"/>
              <w:bottom w:val="single" w:color="auto" w:sz="4" w:space="0"/>
              <w:right w:val="single" w:color="auto" w:sz="4" w:space="0"/>
            </w:tcBorders>
            <w:vAlign w:val="bottom"/>
          </w:tcPr>
          <w:p w:rsidRPr="008105A6" w:rsidR="008637F3" w:rsidP="008637F3" w:rsidRDefault="008637F3" w14:paraId="3470E932" w14:textId="6938DF7A">
            <w:pPr>
              <w:spacing w:after="0" w:line="240" w:lineRule="auto"/>
              <w:jc w:val="center"/>
              <w:rPr>
                <w:rFonts w:ascii="Times New Roman" w:hAnsi="Times New Roman" w:eastAsia="Times New Roman" w:cs="Times New Roman"/>
                <w:color w:val="000000"/>
                <w:sz w:val="24"/>
                <w:szCs w:val="24"/>
              </w:rPr>
            </w:pPr>
            <w:r w:rsidRPr="000B1517">
              <w:rPr>
                <w:rFonts w:ascii="Times New Roman" w:hAnsi="Times New Roman" w:eastAsia="Times New Roman" w:cs="Times New Roman"/>
                <w:color w:val="000000"/>
                <w:sz w:val="24"/>
                <w:szCs w:val="24"/>
              </w:rPr>
              <w:t>97</w:t>
            </w:r>
          </w:p>
        </w:tc>
        <w:tc>
          <w:tcPr>
            <w:tcW w:w="1710" w:type="dxa"/>
            <w:tcBorders>
              <w:top w:val="nil"/>
              <w:left w:val="nil"/>
              <w:bottom w:val="single" w:color="auto" w:sz="4" w:space="0"/>
              <w:right w:val="single" w:color="auto" w:sz="4" w:space="0"/>
            </w:tcBorders>
            <w:vAlign w:val="bottom"/>
          </w:tcPr>
          <w:p w:rsidRPr="008105A6" w:rsidR="008637F3" w:rsidP="008637F3" w:rsidRDefault="008637F3" w14:paraId="6AAEF702" w14:textId="6B2E0451">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146.98</w:t>
            </w: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2CAD05A7" w14:textId="2081AC66">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200</w:t>
            </w:r>
          </w:p>
        </w:tc>
        <w:tc>
          <w:tcPr>
            <w:tcW w:w="1530" w:type="dxa"/>
            <w:tcBorders>
              <w:top w:val="single" w:color="auto" w:sz="4" w:space="0"/>
              <w:left w:val="nil"/>
              <w:bottom w:val="single" w:color="auto" w:sz="4" w:space="0"/>
              <w:right w:val="single" w:color="auto" w:sz="4" w:space="0"/>
            </w:tcBorders>
            <w:vAlign w:val="bottom"/>
          </w:tcPr>
          <w:p w:rsidRPr="008105A6" w:rsidR="008637F3" w:rsidDel="0092154D" w:rsidP="008637F3" w:rsidRDefault="008637F3" w14:paraId="512A8D5B" w14:textId="188DFBBB">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29,396</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214FA9" w14:paraId="207093A3" w14:textId="4841C4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$2,851,412</w:t>
            </w:r>
          </w:p>
        </w:tc>
      </w:tr>
      <w:tr w:rsidRPr="008105A6" w:rsidR="008637F3" w:rsidTr="00D667C1" w14:paraId="502C6F5F"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3E67EACA"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Computer Programmer</w:t>
            </w:r>
          </w:p>
        </w:tc>
        <w:tc>
          <w:tcPr>
            <w:tcW w:w="1440" w:type="dxa"/>
            <w:tcBorders>
              <w:top w:val="nil"/>
              <w:left w:val="nil"/>
              <w:bottom w:val="single" w:color="auto" w:sz="4" w:space="0"/>
              <w:right w:val="single" w:color="auto" w:sz="4" w:space="0"/>
            </w:tcBorders>
            <w:vAlign w:val="bottom"/>
          </w:tcPr>
          <w:p w:rsidRPr="008105A6" w:rsidR="008637F3" w:rsidP="008637F3" w:rsidRDefault="008637F3" w14:paraId="4758F5FF" w14:textId="630715C1">
            <w:pPr>
              <w:spacing w:after="0" w:line="240" w:lineRule="auto"/>
              <w:jc w:val="center"/>
              <w:rPr>
                <w:rFonts w:ascii="Times New Roman" w:hAnsi="Times New Roman" w:eastAsia="Times New Roman" w:cs="Times New Roman"/>
                <w:color w:val="000000"/>
                <w:sz w:val="24"/>
                <w:szCs w:val="24"/>
              </w:rPr>
            </w:pPr>
            <w:r w:rsidRPr="000B1517">
              <w:rPr>
                <w:rFonts w:ascii="Times New Roman" w:hAnsi="Times New Roman" w:eastAsia="Times New Roman" w:cs="Times New Roman"/>
                <w:color w:val="000000"/>
                <w:sz w:val="24"/>
                <w:szCs w:val="24"/>
              </w:rPr>
              <w:t>97</w:t>
            </w:r>
          </w:p>
        </w:tc>
        <w:tc>
          <w:tcPr>
            <w:tcW w:w="1710" w:type="dxa"/>
            <w:tcBorders>
              <w:top w:val="nil"/>
              <w:left w:val="nil"/>
              <w:bottom w:val="single" w:color="auto" w:sz="4" w:space="0"/>
              <w:right w:val="single" w:color="auto" w:sz="4" w:space="0"/>
            </w:tcBorders>
            <w:vAlign w:val="bottom"/>
          </w:tcPr>
          <w:p w:rsidRPr="008105A6" w:rsidR="008637F3" w:rsidP="008637F3" w:rsidRDefault="008637F3" w14:paraId="3AE2026A" w14:textId="5F68838C">
            <w:pPr>
              <w:spacing w:after="0" w:line="240" w:lineRule="auto"/>
              <w:jc w:val="center"/>
              <w:rPr>
                <w:rFonts w:ascii="Times New Roman" w:hAnsi="Times New Roman" w:eastAsia="Times New Roman" w:cs="Times New Roman"/>
                <w:color w:val="000000"/>
                <w:sz w:val="24"/>
                <w:szCs w:val="24"/>
              </w:rPr>
            </w:pPr>
            <w:r w:rsidRPr="00DD7C98">
              <w:rPr>
                <w:rFonts w:ascii="Times New Roman" w:hAnsi="Times New Roman" w:eastAsia="Times New Roman" w:cs="Times New Roman"/>
                <w:color w:val="000000"/>
                <w:sz w:val="24"/>
                <w:szCs w:val="24"/>
              </w:rPr>
              <w:t>$8</w:t>
            </w:r>
            <w:r w:rsidRPr="004D1926">
              <w:rPr>
                <w:rFonts w:ascii="Times New Roman" w:hAnsi="Times New Roman" w:eastAsia="Times New Roman" w:cs="Times New Roman"/>
                <w:color w:val="000000"/>
                <w:sz w:val="24"/>
                <w:szCs w:val="24"/>
              </w:rPr>
              <w:t>6</w:t>
            </w:r>
            <w:r w:rsidRPr="00DD7C98">
              <w:rPr>
                <w:rFonts w:ascii="Times New Roman" w:hAnsi="Times New Roman" w:eastAsia="Times New Roman" w:cs="Times New Roman"/>
                <w:color w:val="000000"/>
                <w:sz w:val="24"/>
                <w:szCs w:val="24"/>
              </w:rPr>
              <w:t>.14</w:t>
            </w: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33A71D67" w14:textId="1CC0D869">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22,000</w:t>
            </w:r>
          </w:p>
        </w:tc>
        <w:tc>
          <w:tcPr>
            <w:tcW w:w="1530" w:type="dxa"/>
            <w:tcBorders>
              <w:top w:val="single" w:color="auto" w:sz="4" w:space="0"/>
              <w:left w:val="nil"/>
              <w:bottom w:val="single" w:color="auto" w:sz="4" w:space="0"/>
              <w:right w:val="single" w:color="auto" w:sz="4" w:space="0"/>
            </w:tcBorders>
            <w:vAlign w:val="bottom"/>
          </w:tcPr>
          <w:p w:rsidRPr="00DD7C98" w:rsidR="008637F3" w:rsidDel="0092154D" w:rsidP="008637F3" w:rsidRDefault="008637F3" w14:paraId="38C974F6" w14:textId="19FEF0F4">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1,895,080</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214FA9" w14:paraId="36149F34" w14:textId="764CA56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$183,822,760</w:t>
            </w:r>
          </w:p>
        </w:tc>
      </w:tr>
      <w:tr w:rsidRPr="008105A6" w:rsidR="008637F3" w:rsidTr="00D667C1" w14:paraId="077DF996"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53B9756A"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Computer System Analyst</w:t>
            </w:r>
          </w:p>
        </w:tc>
        <w:tc>
          <w:tcPr>
            <w:tcW w:w="1440" w:type="dxa"/>
            <w:tcBorders>
              <w:top w:val="nil"/>
              <w:left w:val="nil"/>
              <w:bottom w:val="single" w:color="auto" w:sz="4" w:space="0"/>
              <w:right w:val="single" w:color="auto" w:sz="4" w:space="0"/>
            </w:tcBorders>
            <w:vAlign w:val="bottom"/>
          </w:tcPr>
          <w:p w:rsidRPr="008105A6" w:rsidR="008637F3" w:rsidP="008637F3" w:rsidRDefault="008637F3" w14:paraId="4FE39021" w14:textId="1C9B6347">
            <w:pPr>
              <w:spacing w:after="0" w:line="240" w:lineRule="auto"/>
              <w:jc w:val="center"/>
              <w:rPr>
                <w:rFonts w:ascii="Times New Roman" w:hAnsi="Times New Roman" w:eastAsia="Times New Roman" w:cs="Times New Roman"/>
                <w:color w:val="000000"/>
                <w:sz w:val="24"/>
                <w:szCs w:val="24"/>
              </w:rPr>
            </w:pPr>
            <w:r w:rsidRPr="000B1517">
              <w:rPr>
                <w:rFonts w:ascii="Times New Roman" w:hAnsi="Times New Roman" w:eastAsia="Times New Roman" w:cs="Times New Roman"/>
                <w:color w:val="000000"/>
                <w:sz w:val="24"/>
                <w:szCs w:val="24"/>
              </w:rPr>
              <w:t>97</w:t>
            </w:r>
          </w:p>
        </w:tc>
        <w:tc>
          <w:tcPr>
            <w:tcW w:w="1710" w:type="dxa"/>
            <w:tcBorders>
              <w:top w:val="nil"/>
              <w:left w:val="nil"/>
              <w:bottom w:val="single" w:color="auto" w:sz="4" w:space="0"/>
              <w:right w:val="single" w:color="auto" w:sz="4" w:space="0"/>
            </w:tcBorders>
            <w:vAlign w:val="bottom"/>
          </w:tcPr>
          <w:p w:rsidRPr="008105A6" w:rsidR="008637F3" w:rsidP="008637F3" w:rsidRDefault="008637F3" w14:paraId="681D32C1" w14:textId="478B6FE5">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90.02</w:t>
            </w: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0CDA3E8D" w14:textId="4EF833A4">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6,500</w:t>
            </w:r>
          </w:p>
        </w:tc>
        <w:tc>
          <w:tcPr>
            <w:tcW w:w="1530" w:type="dxa"/>
            <w:tcBorders>
              <w:top w:val="single" w:color="auto" w:sz="4" w:space="0"/>
              <w:left w:val="nil"/>
              <w:bottom w:val="single" w:color="auto" w:sz="4" w:space="0"/>
              <w:right w:val="single" w:color="auto" w:sz="4" w:space="0"/>
            </w:tcBorders>
            <w:vAlign w:val="bottom"/>
          </w:tcPr>
          <w:p w:rsidRPr="008105A6" w:rsidR="008637F3" w:rsidDel="0092154D" w:rsidP="008637F3" w:rsidRDefault="008637F3" w14:paraId="39917843" w14:textId="646E8712">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585,130</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214FA9" w14:paraId="73470B00" w14:textId="4C76503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$56,757,610</w:t>
            </w:r>
          </w:p>
        </w:tc>
      </w:tr>
      <w:tr w:rsidRPr="008105A6" w:rsidR="008637F3" w:rsidTr="00D667C1" w14:paraId="47CDCE29"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06DCA944"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Business Operations Specialist</w:t>
            </w:r>
          </w:p>
        </w:tc>
        <w:tc>
          <w:tcPr>
            <w:tcW w:w="1440" w:type="dxa"/>
            <w:tcBorders>
              <w:top w:val="nil"/>
              <w:left w:val="nil"/>
              <w:bottom w:val="single" w:color="auto" w:sz="4" w:space="0"/>
              <w:right w:val="single" w:color="auto" w:sz="4" w:space="0"/>
            </w:tcBorders>
            <w:vAlign w:val="bottom"/>
          </w:tcPr>
          <w:p w:rsidRPr="008105A6" w:rsidR="008637F3" w:rsidP="008637F3" w:rsidRDefault="008637F3" w14:paraId="070BC1B1" w14:textId="1CA0FBC2">
            <w:pPr>
              <w:spacing w:after="0" w:line="240" w:lineRule="auto"/>
              <w:jc w:val="center"/>
              <w:rPr>
                <w:rFonts w:ascii="Times New Roman" w:hAnsi="Times New Roman" w:eastAsia="Times New Roman" w:cs="Times New Roman"/>
                <w:color w:val="000000"/>
                <w:sz w:val="24"/>
                <w:szCs w:val="24"/>
              </w:rPr>
            </w:pPr>
            <w:r w:rsidRPr="000B1517">
              <w:rPr>
                <w:rFonts w:ascii="Times New Roman" w:hAnsi="Times New Roman" w:eastAsia="Times New Roman" w:cs="Times New Roman"/>
                <w:color w:val="000000"/>
                <w:sz w:val="24"/>
                <w:szCs w:val="24"/>
              </w:rPr>
              <w:t>97</w:t>
            </w:r>
          </w:p>
        </w:tc>
        <w:tc>
          <w:tcPr>
            <w:tcW w:w="1710" w:type="dxa"/>
            <w:tcBorders>
              <w:top w:val="nil"/>
              <w:left w:val="nil"/>
              <w:bottom w:val="single" w:color="auto" w:sz="4" w:space="0"/>
              <w:right w:val="single" w:color="auto" w:sz="4" w:space="0"/>
            </w:tcBorders>
            <w:vAlign w:val="bottom"/>
          </w:tcPr>
          <w:p w:rsidRPr="008105A6" w:rsidR="008637F3" w:rsidP="008637F3" w:rsidRDefault="008637F3" w14:paraId="691261B7" w14:textId="4B507C75">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74.00</w:t>
            </w: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5A564AE7" w14:textId="49917CDF">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2,500</w:t>
            </w:r>
          </w:p>
        </w:tc>
        <w:tc>
          <w:tcPr>
            <w:tcW w:w="1530" w:type="dxa"/>
            <w:tcBorders>
              <w:top w:val="single" w:color="auto" w:sz="4" w:space="0"/>
              <w:left w:val="nil"/>
              <w:bottom w:val="single" w:color="auto" w:sz="4" w:space="0"/>
              <w:right w:val="single" w:color="auto" w:sz="4" w:space="0"/>
            </w:tcBorders>
            <w:vAlign w:val="bottom"/>
          </w:tcPr>
          <w:p w:rsidRPr="008105A6" w:rsidR="008637F3" w:rsidDel="0092154D" w:rsidP="008637F3" w:rsidRDefault="008637F3" w14:paraId="7A7E91B2" w14:textId="0D150658">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185,000</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F74D54" w14:paraId="5F407B7A" w14:textId="56630DFD">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$17,945,000</w:t>
            </w:r>
          </w:p>
        </w:tc>
      </w:tr>
      <w:tr w:rsidRPr="008105A6" w:rsidR="008637F3" w:rsidTr="00D667C1" w14:paraId="5D1C1FC4"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tcPr>
          <w:p w:rsidRPr="008105A6" w:rsidR="008637F3" w:rsidP="0092154D" w:rsidRDefault="008637F3" w14:paraId="6102C18D" w14:textId="47FE912A">
            <w:pPr>
              <w:spacing w:after="0" w:line="24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Total Burden and Labor Cost per respondent</w:t>
            </w:r>
          </w:p>
        </w:tc>
        <w:tc>
          <w:tcPr>
            <w:tcW w:w="1440" w:type="dxa"/>
            <w:tcBorders>
              <w:top w:val="nil"/>
              <w:left w:val="nil"/>
              <w:bottom w:val="single" w:color="auto" w:sz="4" w:space="0"/>
              <w:right w:val="single" w:color="auto" w:sz="4" w:space="0"/>
            </w:tcBorders>
          </w:tcPr>
          <w:p w:rsidR="008637F3" w:rsidP="008637F3" w:rsidRDefault="008637F3" w14:paraId="7552177F" w14:textId="77777777">
            <w:pPr>
              <w:spacing w:after="0" w:line="240" w:lineRule="auto"/>
              <w:jc w:val="center"/>
              <w:rPr>
                <w:rFonts w:ascii="Times New Roman" w:hAnsi="Times New Roman" w:cs="Times New Roman"/>
                <w:color w:val="000000"/>
                <w:sz w:val="24"/>
                <w:szCs w:val="24"/>
              </w:rPr>
            </w:pPr>
          </w:p>
        </w:tc>
        <w:tc>
          <w:tcPr>
            <w:tcW w:w="1710" w:type="dxa"/>
            <w:tcBorders>
              <w:top w:val="nil"/>
              <w:left w:val="nil"/>
              <w:bottom w:val="single" w:color="auto" w:sz="4" w:space="0"/>
              <w:right w:val="single" w:color="auto" w:sz="4" w:space="0"/>
            </w:tcBorders>
          </w:tcPr>
          <w:p w:rsidR="008637F3" w:rsidP="008637F3" w:rsidRDefault="008637F3" w14:paraId="695C63F0" w14:textId="77777777">
            <w:pPr>
              <w:spacing w:after="0" w:line="240" w:lineRule="auto"/>
              <w:jc w:val="center"/>
              <w:rPr>
                <w:rFonts w:ascii="Times New Roman" w:hAnsi="Times New Roman" w:cs="Times New Roman"/>
                <w:color w:val="000000"/>
                <w:sz w:val="24"/>
                <w:szCs w:val="24"/>
              </w:rPr>
            </w:pPr>
          </w:p>
        </w:tc>
        <w:tc>
          <w:tcPr>
            <w:tcW w:w="1260" w:type="dxa"/>
            <w:tcBorders>
              <w:top w:val="nil"/>
              <w:left w:val="nil"/>
              <w:bottom w:val="single" w:color="auto" w:sz="4" w:space="0"/>
              <w:right w:val="single" w:color="auto" w:sz="4" w:space="0"/>
            </w:tcBorders>
            <w:shd w:val="clear" w:color="auto" w:fill="auto"/>
            <w:noWrap/>
            <w:vAlign w:val="bottom"/>
          </w:tcPr>
          <w:p w:rsidRPr="008105A6" w:rsidR="008637F3" w:rsidP="008637F3" w:rsidRDefault="008637F3" w14:paraId="41C83A01" w14:textId="64ECFE28">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31,500</w:t>
            </w:r>
          </w:p>
        </w:tc>
        <w:tc>
          <w:tcPr>
            <w:tcW w:w="1530" w:type="dxa"/>
            <w:tcBorders>
              <w:top w:val="single" w:color="auto" w:sz="4" w:space="0"/>
              <w:left w:val="nil"/>
              <w:bottom w:val="single" w:color="auto" w:sz="4" w:space="0"/>
              <w:right w:val="single" w:color="auto" w:sz="4" w:space="0"/>
            </w:tcBorders>
            <w:vAlign w:val="bottom"/>
          </w:tcPr>
          <w:p w:rsidRPr="008105A6" w:rsidR="008637F3" w:rsidP="008637F3" w:rsidRDefault="008637F3" w14:paraId="2A4D02CF" w14:textId="6DA89D8B">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w:t>
            </w:r>
            <w:r w:rsidRPr="00E22A37">
              <w:rPr>
                <w:rFonts w:ascii="Times New Roman" w:hAnsi="Times New Roman" w:cs="Times New Roman"/>
                <w:color w:val="000000"/>
                <w:sz w:val="24"/>
                <w:szCs w:val="24"/>
              </w:rPr>
              <w:t>2</w:t>
            </w:r>
            <w:r>
              <w:rPr>
                <w:rFonts w:ascii="Times New Roman" w:hAnsi="Times New Roman" w:cs="Times New Roman"/>
                <w:color w:val="000000"/>
                <w:sz w:val="24"/>
                <w:szCs w:val="24"/>
              </w:rPr>
              <w:t>,730,342</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8637F3" w14:paraId="1C3CA1E9" w14:textId="0F7C1AD7">
            <w:pPr>
              <w:spacing w:after="0" w:line="240" w:lineRule="auto"/>
              <w:jc w:val="center"/>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w:t>
            </w:r>
            <w:r w:rsidRPr="00E22A37">
              <w:rPr>
                <w:rFonts w:ascii="Times New Roman" w:hAnsi="Times New Roman" w:cs="Times New Roman"/>
                <w:color w:val="000000"/>
                <w:sz w:val="24"/>
                <w:szCs w:val="24"/>
              </w:rPr>
              <w:t>26</w:t>
            </w:r>
            <w:r>
              <w:rPr>
                <w:rFonts w:ascii="Times New Roman" w:hAnsi="Times New Roman" w:cs="Times New Roman"/>
                <w:color w:val="000000"/>
                <w:sz w:val="24"/>
                <w:szCs w:val="24"/>
              </w:rPr>
              <w:t>4,843,174</w:t>
            </w:r>
          </w:p>
        </w:tc>
      </w:tr>
      <w:tr w:rsidRPr="008105A6" w:rsidR="008637F3" w:rsidTr="00D667C1" w14:paraId="25FE5290"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tcPr>
          <w:p w:rsidRPr="008105A6" w:rsidR="008637F3" w:rsidP="0092154D" w:rsidRDefault="008637F3" w14:paraId="5662A137" w14:textId="57F908B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Additional Costs due to Expedited Implementation</w:t>
            </w:r>
          </w:p>
        </w:tc>
        <w:tc>
          <w:tcPr>
            <w:tcW w:w="1440" w:type="dxa"/>
            <w:tcBorders>
              <w:top w:val="nil"/>
              <w:left w:val="nil"/>
              <w:bottom w:val="single" w:color="auto" w:sz="4" w:space="0"/>
              <w:right w:val="single" w:color="auto" w:sz="4" w:space="0"/>
            </w:tcBorders>
          </w:tcPr>
          <w:p w:rsidR="008637F3" w:rsidP="008637F3" w:rsidRDefault="008637F3" w14:paraId="476C74E1" w14:textId="77777777">
            <w:pPr>
              <w:spacing w:after="0" w:line="240" w:lineRule="auto"/>
              <w:jc w:val="center"/>
              <w:rPr>
                <w:rFonts w:ascii="Times New Roman" w:hAnsi="Times New Roman" w:eastAsia="Times New Roman" w:cs="Times New Roman"/>
                <w:color w:val="000000"/>
                <w:sz w:val="24"/>
                <w:szCs w:val="24"/>
              </w:rPr>
            </w:pPr>
          </w:p>
        </w:tc>
        <w:tc>
          <w:tcPr>
            <w:tcW w:w="1710" w:type="dxa"/>
            <w:tcBorders>
              <w:top w:val="nil"/>
              <w:left w:val="nil"/>
              <w:bottom w:val="single" w:color="auto" w:sz="4" w:space="0"/>
              <w:right w:val="single" w:color="auto" w:sz="4" w:space="0"/>
            </w:tcBorders>
          </w:tcPr>
          <w:p w:rsidR="008637F3" w:rsidP="008637F3" w:rsidRDefault="008637F3" w14:paraId="26CCBF2C" w14:textId="77777777">
            <w:pPr>
              <w:spacing w:after="0" w:line="240" w:lineRule="auto"/>
              <w:jc w:val="center"/>
              <w:rPr>
                <w:rFonts w:ascii="Times New Roman" w:hAnsi="Times New Roman" w:eastAsia="Times New Roman" w:cs="Times New Roman"/>
                <w:color w:val="000000"/>
                <w:sz w:val="24"/>
                <w:szCs w:val="24"/>
              </w:rPr>
            </w:pPr>
          </w:p>
        </w:tc>
        <w:tc>
          <w:tcPr>
            <w:tcW w:w="1260" w:type="dxa"/>
            <w:tcBorders>
              <w:top w:val="nil"/>
              <w:left w:val="nil"/>
              <w:bottom w:val="single" w:color="auto" w:sz="4" w:space="0"/>
              <w:right w:val="single" w:color="auto" w:sz="4" w:space="0"/>
            </w:tcBorders>
            <w:shd w:val="clear" w:color="auto" w:fill="auto"/>
            <w:noWrap/>
            <w:vAlign w:val="bottom"/>
          </w:tcPr>
          <w:p w:rsidRPr="008105A6" w:rsidR="008637F3" w:rsidP="008637F3" w:rsidRDefault="008637F3" w14:paraId="20CFAC0D" w14:textId="07D4F62F">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530" w:type="dxa"/>
            <w:tcBorders>
              <w:top w:val="single" w:color="auto" w:sz="4" w:space="0"/>
              <w:left w:val="nil"/>
              <w:bottom w:val="single" w:color="auto" w:sz="4" w:space="0"/>
              <w:right w:val="single" w:color="auto" w:sz="4" w:space="0"/>
            </w:tcBorders>
            <w:vAlign w:val="bottom"/>
          </w:tcPr>
          <w:p w:rsidRPr="008105A6" w:rsidR="008637F3" w:rsidP="008637F3" w:rsidRDefault="008637F3" w14:paraId="072C3E4E" w14:textId="763233A2">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$1,365,171</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F74D54" w14:paraId="05A1A9DE" w14:textId="4502AABE">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$132,421,587</w:t>
            </w:r>
          </w:p>
        </w:tc>
      </w:tr>
      <w:tr w:rsidRPr="008105A6" w:rsidR="008637F3" w:rsidTr="00D667C1" w14:paraId="3F643FB4" w14:textId="77777777">
        <w:trPr>
          <w:trHeight w:val="300"/>
          <w:jc w:val="center"/>
        </w:trPr>
        <w:tc>
          <w:tcPr>
            <w:tcW w:w="1795" w:type="dxa"/>
            <w:tcBorders>
              <w:top w:val="nil"/>
              <w:left w:val="single" w:color="auto" w:sz="4" w:space="0"/>
              <w:bottom w:val="single" w:color="auto" w:sz="4" w:space="0"/>
              <w:right w:val="single" w:color="auto" w:sz="4" w:space="0"/>
            </w:tcBorders>
            <w:shd w:val="clear" w:color="auto" w:fill="auto"/>
            <w:vAlign w:val="bottom"/>
            <w:hideMark/>
          </w:tcPr>
          <w:p w:rsidRPr="008105A6" w:rsidR="008637F3" w:rsidP="0092154D" w:rsidRDefault="008637F3" w14:paraId="3D6AE8BD" w14:textId="77777777">
            <w:pPr>
              <w:spacing w:after="0" w:line="240" w:lineRule="auto"/>
              <w:rPr>
                <w:rFonts w:ascii="Times New Roman" w:hAnsi="Times New Roman" w:eastAsia="Times New Roman" w:cs="Times New Roman"/>
                <w:bCs/>
                <w:color w:val="000000"/>
                <w:sz w:val="24"/>
                <w:szCs w:val="24"/>
              </w:rPr>
            </w:pPr>
            <w:r w:rsidRPr="008105A6">
              <w:rPr>
                <w:rFonts w:ascii="Times New Roman" w:hAnsi="Times New Roman" w:eastAsia="Times New Roman" w:cs="Times New Roman"/>
                <w:bCs/>
                <w:color w:val="000000"/>
                <w:sz w:val="24"/>
                <w:szCs w:val="24"/>
              </w:rPr>
              <w:t>Total per respondent</w:t>
            </w:r>
          </w:p>
        </w:tc>
        <w:tc>
          <w:tcPr>
            <w:tcW w:w="1440" w:type="dxa"/>
            <w:tcBorders>
              <w:top w:val="nil"/>
              <w:left w:val="nil"/>
              <w:bottom w:val="single" w:color="auto" w:sz="4" w:space="0"/>
              <w:right w:val="single" w:color="auto" w:sz="4" w:space="0"/>
            </w:tcBorders>
          </w:tcPr>
          <w:p w:rsidRPr="008105A6" w:rsidR="008637F3" w:rsidP="008637F3" w:rsidRDefault="008637F3" w14:paraId="576EC7C2" w14:textId="77777777">
            <w:pPr>
              <w:spacing w:after="0" w:line="240" w:lineRule="auto"/>
              <w:jc w:val="center"/>
              <w:rPr>
                <w:rFonts w:ascii="Times New Roman" w:hAnsi="Times New Roman" w:eastAsia="Times New Roman" w:cs="Times New Roman"/>
                <w:bCs/>
                <w:color w:val="000000"/>
                <w:sz w:val="24"/>
                <w:szCs w:val="24"/>
              </w:rPr>
            </w:pPr>
          </w:p>
        </w:tc>
        <w:tc>
          <w:tcPr>
            <w:tcW w:w="1710" w:type="dxa"/>
            <w:tcBorders>
              <w:top w:val="nil"/>
              <w:left w:val="nil"/>
              <w:bottom w:val="single" w:color="auto" w:sz="4" w:space="0"/>
              <w:right w:val="single" w:color="auto" w:sz="4" w:space="0"/>
            </w:tcBorders>
          </w:tcPr>
          <w:p w:rsidRPr="008105A6" w:rsidR="008637F3" w:rsidP="008637F3" w:rsidRDefault="008637F3" w14:paraId="4FF2330B" w14:textId="77777777">
            <w:pPr>
              <w:spacing w:after="0" w:line="240" w:lineRule="auto"/>
              <w:jc w:val="center"/>
              <w:rPr>
                <w:rFonts w:ascii="Times New Roman" w:hAnsi="Times New Roman" w:eastAsia="Times New Roman" w:cs="Times New Roman"/>
                <w:bCs/>
                <w:color w:val="000000"/>
                <w:sz w:val="24"/>
                <w:szCs w:val="24"/>
              </w:rPr>
            </w:pPr>
          </w:p>
        </w:tc>
        <w:tc>
          <w:tcPr>
            <w:tcW w:w="1260" w:type="dxa"/>
            <w:tcBorders>
              <w:top w:val="nil"/>
              <w:left w:val="nil"/>
              <w:bottom w:val="single" w:color="auto" w:sz="4" w:space="0"/>
              <w:right w:val="single" w:color="auto" w:sz="4" w:space="0"/>
            </w:tcBorders>
            <w:shd w:val="clear" w:color="auto" w:fill="auto"/>
            <w:noWrap/>
            <w:vAlign w:val="bottom"/>
            <w:hideMark/>
          </w:tcPr>
          <w:p w:rsidRPr="008105A6" w:rsidR="008637F3" w:rsidP="008637F3" w:rsidRDefault="008637F3" w14:paraId="496F7F70" w14:textId="6F3E5414">
            <w:pPr>
              <w:spacing w:after="0" w:line="240" w:lineRule="auto"/>
              <w:jc w:val="center"/>
              <w:rPr>
                <w:rFonts w:ascii="Times New Roman" w:hAnsi="Times New Roman" w:eastAsia="Times New Roman" w:cs="Times New Roman"/>
                <w:bCs/>
                <w:color w:val="000000"/>
                <w:sz w:val="24"/>
                <w:szCs w:val="24"/>
              </w:rPr>
            </w:pPr>
            <w:r w:rsidRPr="008105A6">
              <w:rPr>
                <w:rFonts w:ascii="Times New Roman" w:hAnsi="Times New Roman" w:eastAsia="Times New Roman" w:cs="Times New Roman"/>
                <w:bCs/>
                <w:color w:val="000000"/>
                <w:sz w:val="24"/>
                <w:szCs w:val="24"/>
              </w:rPr>
              <w:t>31,500</w:t>
            </w:r>
          </w:p>
        </w:tc>
        <w:tc>
          <w:tcPr>
            <w:tcW w:w="1530" w:type="dxa"/>
            <w:tcBorders>
              <w:top w:val="single" w:color="auto" w:sz="4" w:space="0"/>
              <w:left w:val="nil"/>
              <w:bottom w:val="single" w:color="auto" w:sz="4" w:space="0"/>
              <w:right w:val="single" w:color="auto" w:sz="4" w:space="0"/>
            </w:tcBorders>
            <w:vAlign w:val="bottom"/>
          </w:tcPr>
          <w:p w:rsidRPr="008105A6" w:rsidR="008637F3" w:rsidP="00DD5D1C" w:rsidRDefault="008637F3" w14:paraId="221F6100" w14:textId="117796B1">
            <w:pPr>
              <w:spacing w:after="0" w:line="240" w:lineRule="auto"/>
              <w:jc w:val="center"/>
              <w:rPr>
                <w:rFonts w:ascii="Times New Roman" w:hAnsi="Times New Roman" w:eastAsia="Times New Roman" w:cs="Times New Roman"/>
                <w:bCs/>
                <w:color w:val="000000"/>
                <w:sz w:val="24"/>
                <w:szCs w:val="24"/>
              </w:rPr>
            </w:pPr>
            <w:r w:rsidRPr="008105A6">
              <w:rPr>
                <w:rFonts w:ascii="Times New Roman" w:hAnsi="Times New Roman" w:eastAsia="Times New Roman" w:cs="Times New Roman"/>
                <w:bCs/>
                <w:color w:val="000000"/>
                <w:sz w:val="24"/>
                <w:szCs w:val="24"/>
              </w:rPr>
              <w:t>$</w:t>
            </w:r>
            <w:r>
              <w:rPr>
                <w:rFonts w:ascii="Times New Roman" w:hAnsi="Times New Roman" w:eastAsia="Times New Roman" w:cs="Times New Roman"/>
                <w:bCs/>
                <w:color w:val="000000"/>
                <w:sz w:val="24"/>
                <w:szCs w:val="24"/>
              </w:rPr>
              <w:t>4,095,513</w:t>
            </w:r>
          </w:p>
        </w:tc>
        <w:tc>
          <w:tcPr>
            <w:tcW w:w="17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105A6" w:rsidR="008637F3" w:rsidP="008637F3" w:rsidRDefault="008637F3" w14:paraId="1701E96A" w14:textId="794E836C">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$397,264,761</w:t>
            </w:r>
          </w:p>
        </w:tc>
      </w:tr>
    </w:tbl>
    <w:p w:rsidR="00AA2CB5" w:rsidP="00DD5D1C" w:rsidRDefault="00AA2CB5" w14:paraId="0722A6E5" w14:textId="239E981D">
      <w:pPr>
        <w:widowControl w:val="0"/>
        <w:spacing w:after="0" w:line="240" w:lineRule="auto"/>
        <w:ind w:firstLine="720"/>
        <w:rPr>
          <w:rFonts w:ascii="Times New Roman" w:hAnsi="Times New Roman" w:eastAsia="Times New Roman" w:cs="Times New Roman"/>
          <w:snapToGrid w:val="0"/>
          <w:sz w:val="24"/>
          <w:szCs w:val="24"/>
        </w:rPr>
      </w:pPr>
    </w:p>
    <w:p w:rsidRPr="008105A6" w:rsidR="00AA2CB5" w:rsidP="00DD5D1C" w:rsidRDefault="00AA2CB5" w14:paraId="163E442A" w14:textId="77777777">
      <w:pPr>
        <w:widowControl w:val="0"/>
        <w:spacing w:after="0" w:line="240" w:lineRule="auto"/>
        <w:ind w:firstLine="720"/>
        <w:rPr>
          <w:rFonts w:ascii="Times New Roman" w:hAnsi="Times New Roman" w:eastAsia="Times New Roman" w:cs="Times New Roman"/>
          <w:snapToGrid w:val="0"/>
          <w:sz w:val="24"/>
          <w:szCs w:val="24"/>
        </w:rPr>
      </w:pPr>
    </w:p>
    <w:p w:rsidRPr="00DD5D1C" w:rsidR="00D239CA" w:rsidP="00DD5D1C" w:rsidRDefault="00D239CA" w14:paraId="2C6AF7D9" w14:textId="3C82EC5E">
      <w:pPr>
        <w:pStyle w:val="BodyText"/>
        <w:ind w:right="30"/>
        <w:rPr>
          <w:b/>
        </w:rPr>
      </w:pPr>
      <w:r w:rsidRPr="00DD5D1C">
        <w:rPr>
          <w:b/>
        </w:rPr>
        <w:t xml:space="preserve">Table </w:t>
      </w:r>
      <w:r w:rsidR="00A20208">
        <w:rPr>
          <w:b/>
        </w:rPr>
        <w:t>4</w:t>
      </w:r>
      <w:r w:rsidRPr="00DD5D1C" w:rsidR="00F67360">
        <w:rPr>
          <w:b/>
        </w:rPr>
        <w:t>B</w:t>
      </w:r>
      <w:r w:rsidRPr="00DD5D1C">
        <w:rPr>
          <w:b/>
        </w:rPr>
        <w:t>. Estimated One-time Burden for All Issuers</w:t>
      </w:r>
      <w:r w:rsidRPr="00DD5D1C" w:rsidR="004F1025">
        <w:rPr>
          <w:b/>
        </w:rPr>
        <w:t xml:space="preserve"> </w:t>
      </w:r>
      <w:r w:rsidRPr="00DD5D1C" w:rsidR="005C47DC">
        <w:rPr>
          <w:b/>
        </w:rPr>
        <w:t>or State Exchange</w:t>
      </w:r>
      <w:r w:rsidRPr="00DD5D1C" w:rsidR="004F1025">
        <w:rPr>
          <w:b/>
        </w:rPr>
        <w:t xml:space="preserve"> performing premium billing and payment processing</w:t>
      </w:r>
    </w:p>
    <w:p w:rsidRPr="008105A6" w:rsidR="00E02110" w:rsidP="00E02110" w:rsidRDefault="00E02110" w14:paraId="6532032A" w14:textId="77777777">
      <w:pPr>
        <w:widowControl w:val="0"/>
        <w:spacing w:after="0" w:line="240" w:lineRule="auto"/>
        <w:rPr>
          <w:rFonts w:ascii="Times New Roman" w:hAnsi="Times New Roman" w:eastAsia="Times New Roman" w:cs="Times New Roman"/>
          <w:snapToGrid w:val="0"/>
          <w:sz w:val="24"/>
          <w:szCs w:val="24"/>
          <w:u w:val="single"/>
        </w:rPr>
      </w:pPr>
    </w:p>
    <w:tbl>
      <w:tblPr>
        <w:tblStyle w:val="TableGrid"/>
        <w:tblW w:w="9605" w:type="dxa"/>
        <w:jc w:val="center"/>
        <w:tblLayout w:type="fixed"/>
        <w:tblLook w:val="04A0" w:firstRow="1" w:lastRow="0" w:firstColumn="1" w:lastColumn="0" w:noHBand="0" w:noVBand="1"/>
      </w:tblPr>
      <w:tblGrid>
        <w:gridCol w:w="1710"/>
        <w:gridCol w:w="1530"/>
        <w:gridCol w:w="1265"/>
        <w:gridCol w:w="1710"/>
        <w:gridCol w:w="1695"/>
        <w:gridCol w:w="1695"/>
      </w:tblGrid>
      <w:tr w:rsidRPr="008105A6" w:rsidR="00F74D54" w:rsidTr="00D667C1" w14:paraId="3AAB0F51" w14:textId="37989931">
        <w:trPr>
          <w:jc w:val="center"/>
        </w:trPr>
        <w:tc>
          <w:tcPr>
            <w:tcW w:w="1710" w:type="dxa"/>
            <w:vAlign w:val="bottom"/>
          </w:tcPr>
          <w:p w:rsidRPr="008105A6" w:rsidR="00F74D54" w:rsidP="00D667C1" w:rsidRDefault="00F74D54" w14:paraId="163E9217" w14:textId="77777777">
            <w:pPr>
              <w:widowControl w:val="0"/>
              <w:rPr>
                <w:rFonts w:eastAsia="Times New Roman" w:cs="Times New Roman"/>
                <w:snapToGrid w:val="0"/>
                <w:szCs w:val="24"/>
              </w:rPr>
            </w:pPr>
            <w:r>
              <w:rPr>
                <w:rFonts w:eastAsia="Times New Roman" w:cs="Times New Roman"/>
                <w:snapToGrid w:val="0"/>
                <w:szCs w:val="24"/>
              </w:rPr>
              <w:t>Type of Respondent</w:t>
            </w:r>
          </w:p>
        </w:tc>
        <w:tc>
          <w:tcPr>
            <w:tcW w:w="1530" w:type="dxa"/>
            <w:vAlign w:val="bottom"/>
          </w:tcPr>
          <w:p w:rsidRPr="008105A6" w:rsidR="00F74D54" w:rsidP="00D667C1" w:rsidRDefault="00F74D54" w14:paraId="79774C00" w14:textId="77777777">
            <w:pPr>
              <w:widowControl w:val="0"/>
              <w:jc w:val="center"/>
              <w:rPr>
                <w:rFonts w:eastAsia="Times New Roman" w:cs="Times New Roman"/>
                <w:snapToGrid w:val="0"/>
                <w:szCs w:val="24"/>
              </w:rPr>
            </w:pPr>
            <w:r w:rsidRPr="008105A6">
              <w:rPr>
                <w:rFonts w:eastAsia="Times New Roman" w:cs="Times New Roman"/>
                <w:snapToGrid w:val="0"/>
                <w:szCs w:val="24"/>
              </w:rPr>
              <w:t>Number of Respondents</w:t>
            </w:r>
          </w:p>
        </w:tc>
        <w:tc>
          <w:tcPr>
            <w:tcW w:w="1265" w:type="dxa"/>
            <w:vAlign w:val="bottom"/>
          </w:tcPr>
          <w:p w:rsidRPr="008105A6" w:rsidR="00F74D54" w:rsidP="00D667C1" w:rsidRDefault="00F74D54" w14:paraId="27E04D6C" w14:textId="21CCCE0E">
            <w:pPr>
              <w:widowControl w:val="0"/>
              <w:jc w:val="center"/>
              <w:rPr>
                <w:rFonts w:eastAsia="Times New Roman" w:cs="Times New Roman"/>
                <w:snapToGrid w:val="0"/>
                <w:szCs w:val="24"/>
              </w:rPr>
            </w:pPr>
            <w:r>
              <w:rPr>
                <w:rFonts w:eastAsia="Times New Roman" w:cs="Times New Roman"/>
                <w:snapToGrid w:val="0"/>
                <w:szCs w:val="24"/>
              </w:rPr>
              <w:t>Burden Hours</w:t>
            </w:r>
          </w:p>
        </w:tc>
        <w:tc>
          <w:tcPr>
            <w:tcW w:w="1710" w:type="dxa"/>
            <w:vAlign w:val="bottom"/>
          </w:tcPr>
          <w:p w:rsidRPr="008105A6" w:rsidR="00F74D54" w:rsidP="00D667C1" w:rsidRDefault="00F74D54" w14:paraId="138A1ED2" w14:textId="0C11F492">
            <w:pPr>
              <w:widowControl w:val="0"/>
              <w:jc w:val="center"/>
              <w:rPr>
                <w:rFonts w:eastAsia="Times New Roman" w:cs="Times New Roman"/>
                <w:snapToGrid w:val="0"/>
                <w:szCs w:val="24"/>
              </w:rPr>
            </w:pPr>
            <w:r w:rsidRPr="008105A6">
              <w:rPr>
                <w:rFonts w:eastAsia="Times New Roman" w:cs="Times New Roman"/>
                <w:snapToGrid w:val="0"/>
                <w:szCs w:val="24"/>
              </w:rPr>
              <w:t>Total Burden Hours</w:t>
            </w:r>
          </w:p>
        </w:tc>
        <w:tc>
          <w:tcPr>
            <w:tcW w:w="1695" w:type="dxa"/>
            <w:vAlign w:val="bottom"/>
          </w:tcPr>
          <w:p w:rsidRPr="008105A6" w:rsidR="00F74D54" w:rsidP="00D667C1" w:rsidRDefault="00F74D54" w14:paraId="34CD14FD" w14:textId="040AD511">
            <w:pPr>
              <w:widowControl w:val="0"/>
              <w:jc w:val="center"/>
              <w:rPr>
                <w:rFonts w:eastAsia="Times New Roman" w:cs="Times New Roman"/>
                <w:snapToGrid w:val="0"/>
                <w:szCs w:val="24"/>
              </w:rPr>
            </w:pPr>
            <w:r w:rsidRPr="008105A6">
              <w:rPr>
                <w:rFonts w:eastAsia="Times New Roman" w:cs="Times New Roman"/>
                <w:color w:val="000000"/>
                <w:szCs w:val="24"/>
              </w:rPr>
              <w:t xml:space="preserve">Total </w:t>
            </w:r>
            <w:r>
              <w:rPr>
                <w:rFonts w:eastAsia="Times New Roman" w:cs="Times New Roman"/>
                <w:color w:val="000000"/>
                <w:szCs w:val="24"/>
              </w:rPr>
              <w:t>Burden Cost (P</w:t>
            </w:r>
            <w:r w:rsidRPr="008105A6">
              <w:rPr>
                <w:rFonts w:eastAsia="Times New Roman" w:cs="Times New Roman"/>
                <w:color w:val="000000"/>
                <w:szCs w:val="24"/>
              </w:rPr>
              <w:t>er Respondent</w:t>
            </w:r>
            <w:r>
              <w:rPr>
                <w:rFonts w:eastAsia="Times New Roman" w:cs="Times New Roman"/>
                <w:color w:val="000000"/>
                <w:szCs w:val="24"/>
              </w:rPr>
              <w:t>)</w:t>
            </w:r>
          </w:p>
        </w:tc>
        <w:tc>
          <w:tcPr>
            <w:tcW w:w="1695" w:type="dxa"/>
            <w:vAlign w:val="bottom"/>
          </w:tcPr>
          <w:p w:rsidRPr="008105A6" w:rsidR="00F74D54" w:rsidP="00D667C1" w:rsidRDefault="00F74D54" w14:paraId="7439B58E" w14:textId="02054622">
            <w:pPr>
              <w:widowControl w:val="0"/>
              <w:jc w:val="center"/>
              <w:rPr>
                <w:rFonts w:eastAsia="Times New Roman" w:cs="Times New Roman"/>
                <w:color w:val="000000"/>
                <w:szCs w:val="24"/>
              </w:rPr>
            </w:pPr>
            <w:r>
              <w:rPr>
                <w:rFonts w:eastAsia="Times New Roman" w:cs="Times New Roman"/>
                <w:color w:val="000000"/>
                <w:szCs w:val="24"/>
              </w:rPr>
              <w:t>Total Burden Costs (All Respondents)</w:t>
            </w:r>
          </w:p>
        </w:tc>
      </w:tr>
      <w:tr w:rsidRPr="008105A6" w:rsidR="00F74D54" w:rsidTr="00F74D54" w14:paraId="2E8B4964" w14:textId="64F6F0BC">
        <w:trPr>
          <w:jc w:val="center"/>
        </w:trPr>
        <w:tc>
          <w:tcPr>
            <w:tcW w:w="1710" w:type="dxa"/>
          </w:tcPr>
          <w:p w:rsidRPr="008105A6" w:rsidR="00F74D54" w:rsidP="00A12DB1" w:rsidRDefault="00F74D54" w14:paraId="4F77755C" w14:textId="77777777">
            <w:pPr>
              <w:widowControl w:val="0"/>
              <w:rPr>
                <w:rFonts w:eastAsia="Times New Roman" w:cs="Times New Roman"/>
                <w:snapToGrid w:val="0"/>
                <w:szCs w:val="24"/>
              </w:rPr>
            </w:pPr>
            <w:r>
              <w:rPr>
                <w:rFonts w:eastAsia="Times New Roman" w:cs="Times New Roman"/>
                <w:snapToGrid w:val="0"/>
                <w:szCs w:val="24"/>
              </w:rPr>
              <w:t>Issuer</w:t>
            </w:r>
          </w:p>
        </w:tc>
        <w:tc>
          <w:tcPr>
            <w:tcW w:w="1530" w:type="dxa"/>
          </w:tcPr>
          <w:p w:rsidRPr="008105A6" w:rsidR="00F74D54" w:rsidP="00AA2CB5" w:rsidRDefault="00F74D54" w14:paraId="34DE2995" w14:textId="49F74E10">
            <w:pPr>
              <w:widowControl w:val="0"/>
              <w:jc w:val="center"/>
              <w:rPr>
                <w:rFonts w:eastAsia="Times New Roman" w:cs="Times New Roman"/>
                <w:snapToGrid w:val="0"/>
                <w:szCs w:val="24"/>
              </w:rPr>
            </w:pPr>
            <w:r>
              <w:rPr>
                <w:rFonts w:eastAsia="Times New Roman" w:cs="Times New Roman"/>
                <w:snapToGrid w:val="0"/>
                <w:szCs w:val="24"/>
              </w:rPr>
              <w:t>94</w:t>
            </w:r>
          </w:p>
        </w:tc>
        <w:tc>
          <w:tcPr>
            <w:tcW w:w="1265" w:type="dxa"/>
          </w:tcPr>
          <w:p w:rsidRPr="00385C00" w:rsidR="00F74D54" w:rsidP="00AA2CB5" w:rsidRDefault="00F74D54" w14:paraId="1BD3C803" w14:textId="4844FF0F">
            <w:pPr>
              <w:widowControl w:val="0"/>
              <w:jc w:val="center"/>
              <w:rPr>
                <w:rFonts w:eastAsia="Times New Roman" w:cs="Times New Roman"/>
                <w:snapToGrid w:val="0"/>
                <w:szCs w:val="24"/>
              </w:rPr>
            </w:pPr>
            <w:r>
              <w:rPr>
                <w:rFonts w:eastAsia="Times New Roman" w:cs="Times New Roman"/>
                <w:snapToGrid w:val="0"/>
                <w:szCs w:val="24"/>
              </w:rPr>
              <w:t>31,500</w:t>
            </w:r>
          </w:p>
        </w:tc>
        <w:tc>
          <w:tcPr>
            <w:tcW w:w="1710" w:type="dxa"/>
          </w:tcPr>
          <w:p w:rsidRPr="008105A6" w:rsidR="00F74D54" w:rsidP="00AA2CB5" w:rsidRDefault="00F74D54" w14:paraId="5C3B874E" w14:textId="19B938B5">
            <w:pPr>
              <w:widowControl w:val="0"/>
              <w:jc w:val="center"/>
              <w:rPr>
                <w:rFonts w:eastAsia="Times New Roman" w:cs="Times New Roman"/>
                <w:snapToGrid w:val="0"/>
                <w:szCs w:val="24"/>
              </w:rPr>
            </w:pPr>
            <w:r w:rsidRPr="00385C00">
              <w:rPr>
                <w:rFonts w:eastAsia="Times New Roman" w:cs="Times New Roman"/>
                <w:snapToGrid w:val="0"/>
                <w:szCs w:val="24"/>
              </w:rPr>
              <w:t>2,961,000</w:t>
            </w:r>
          </w:p>
        </w:tc>
        <w:tc>
          <w:tcPr>
            <w:tcW w:w="1695" w:type="dxa"/>
          </w:tcPr>
          <w:p w:rsidRPr="008105A6" w:rsidR="00F74D54" w:rsidP="00AA2CB5" w:rsidRDefault="00F74D54" w14:paraId="72C29998" w14:textId="50092B85">
            <w:pPr>
              <w:widowControl w:val="0"/>
              <w:jc w:val="center"/>
              <w:rPr>
                <w:rFonts w:eastAsia="Times New Roman" w:cs="Times New Roman"/>
                <w:snapToGrid w:val="0"/>
                <w:szCs w:val="24"/>
              </w:rPr>
            </w:pPr>
            <w:r w:rsidRPr="008105A6">
              <w:rPr>
                <w:rFonts w:eastAsia="Times New Roman" w:cs="Times New Roman"/>
                <w:bCs/>
                <w:color w:val="000000"/>
                <w:szCs w:val="24"/>
              </w:rPr>
              <w:t>$</w:t>
            </w:r>
            <w:r>
              <w:rPr>
                <w:rFonts w:eastAsia="Times New Roman" w:cs="Times New Roman"/>
                <w:bCs/>
                <w:color w:val="000000"/>
                <w:szCs w:val="24"/>
              </w:rPr>
              <w:t>4,095,513</w:t>
            </w:r>
          </w:p>
        </w:tc>
        <w:tc>
          <w:tcPr>
            <w:tcW w:w="1695" w:type="dxa"/>
          </w:tcPr>
          <w:p w:rsidR="00F74D54" w:rsidRDefault="00F74D54" w14:paraId="707E48B7" w14:textId="40980DB2">
            <w:pPr>
              <w:widowControl w:val="0"/>
              <w:jc w:val="center"/>
              <w:rPr>
                <w:rFonts w:eastAsia="Times New Roman" w:cs="Times New Roman"/>
                <w:snapToGrid w:val="0"/>
                <w:szCs w:val="24"/>
              </w:rPr>
            </w:pPr>
            <w:r>
              <w:rPr>
                <w:rFonts w:eastAsia="Times New Roman" w:cs="Times New Roman"/>
                <w:snapToGrid w:val="0"/>
                <w:szCs w:val="24"/>
              </w:rPr>
              <w:t>$384,978,222</w:t>
            </w:r>
          </w:p>
        </w:tc>
      </w:tr>
      <w:tr w:rsidRPr="008105A6" w:rsidR="00F74D54" w:rsidTr="00F74D54" w14:paraId="33B79428" w14:textId="37B88E51">
        <w:trPr>
          <w:jc w:val="center"/>
        </w:trPr>
        <w:tc>
          <w:tcPr>
            <w:tcW w:w="1710" w:type="dxa"/>
          </w:tcPr>
          <w:p w:rsidRPr="008105A6" w:rsidR="00F74D54" w:rsidP="00A12DB1" w:rsidRDefault="00F74D54" w14:paraId="308B4DD5" w14:textId="77777777">
            <w:pPr>
              <w:widowControl w:val="0"/>
              <w:rPr>
                <w:rFonts w:eastAsia="Times New Roman" w:cs="Times New Roman"/>
                <w:snapToGrid w:val="0"/>
                <w:szCs w:val="24"/>
              </w:rPr>
            </w:pPr>
            <w:r>
              <w:rPr>
                <w:rFonts w:eastAsia="Times New Roman" w:cs="Times New Roman"/>
                <w:snapToGrid w:val="0"/>
                <w:szCs w:val="24"/>
              </w:rPr>
              <w:t>State Exchange</w:t>
            </w:r>
          </w:p>
        </w:tc>
        <w:tc>
          <w:tcPr>
            <w:tcW w:w="1530" w:type="dxa"/>
          </w:tcPr>
          <w:p w:rsidRPr="008105A6" w:rsidR="00F74D54" w:rsidP="00AA2CB5" w:rsidRDefault="00F74D54" w14:paraId="6B35A950" w14:textId="77777777">
            <w:pPr>
              <w:widowControl w:val="0"/>
              <w:jc w:val="center"/>
              <w:rPr>
                <w:rFonts w:eastAsia="Times New Roman" w:cs="Times New Roman"/>
                <w:snapToGrid w:val="0"/>
                <w:szCs w:val="24"/>
              </w:rPr>
            </w:pPr>
            <w:r>
              <w:rPr>
                <w:rFonts w:eastAsia="Times New Roman" w:cs="Times New Roman"/>
                <w:snapToGrid w:val="0"/>
                <w:szCs w:val="24"/>
              </w:rPr>
              <w:t>3</w:t>
            </w:r>
          </w:p>
        </w:tc>
        <w:tc>
          <w:tcPr>
            <w:tcW w:w="1265" w:type="dxa"/>
          </w:tcPr>
          <w:p w:rsidR="00F74D54" w:rsidP="00AA2CB5" w:rsidRDefault="00F74D54" w14:paraId="50EA466A" w14:textId="284AF577">
            <w:pPr>
              <w:widowControl w:val="0"/>
              <w:jc w:val="center"/>
              <w:rPr>
                <w:rFonts w:eastAsia="Times New Roman" w:cs="Times New Roman"/>
                <w:snapToGrid w:val="0"/>
                <w:szCs w:val="24"/>
              </w:rPr>
            </w:pPr>
            <w:r>
              <w:rPr>
                <w:rFonts w:eastAsia="Times New Roman" w:cs="Times New Roman"/>
                <w:snapToGrid w:val="0"/>
                <w:szCs w:val="24"/>
              </w:rPr>
              <w:t>31,500</w:t>
            </w:r>
          </w:p>
        </w:tc>
        <w:tc>
          <w:tcPr>
            <w:tcW w:w="1710" w:type="dxa"/>
          </w:tcPr>
          <w:p w:rsidRPr="008105A6" w:rsidR="00F74D54" w:rsidP="00AA2CB5" w:rsidRDefault="00F74D54" w14:paraId="3AD529FE" w14:textId="26ACDEC1">
            <w:pPr>
              <w:widowControl w:val="0"/>
              <w:jc w:val="center"/>
              <w:rPr>
                <w:rFonts w:eastAsia="Times New Roman" w:cs="Times New Roman"/>
                <w:snapToGrid w:val="0"/>
                <w:szCs w:val="24"/>
              </w:rPr>
            </w:pPr>
            <w:r>
              <w:rPr>
                <w:rFonts w:eastAsia="Times New Roman" w:cs="Times New Roman"/>
                <w:snapToGrid w:val="0"/>
                <w:szCs w:val="24"/>
              </w:rPr>
              <w:t>94,500</w:t>
            </w:r>
          </w:p>
        </w:tc>
        <w:tc>
          <w:tcPr>
            <w:tcW w:w="1695" w:type="dxa"/>
          </w:tcPr>
          <w:p w:rsidRPr="008105A6" w:rsidR="00F74D54" w:rsidP="00AA2CB5" w:rsidRDefault="00F74D54" w14:paraId="1EB8D45C" w14:textId="499A7B60">
            <w:pPr>
              <w:widowControl w:val="0"/>
              <w:jc w:val="center"/>
              <w:rPr>
                <w:rFonts w:eastAsia="Times New Roman" w:cs="Times New Roman"/>
                <w:snapToGrid w:val="0"/>
                <w:szCs w:val="24"/>
              </w:rPr>
            </w:pPr>
            <w:r w:rsidRPr="008105A6">
              <w:rPr>
                <w:rFonts w:eastAsia="Times New Roman" w:cs="Times New Roman"/>
                <w:bCs/>
                <w:color w:val="000000"/>
                <w:szCs w:val="24"/>
              </w:rPr>
              <w:t>$</w:t>
            </w:r>
            <w:r>
              <w:rPr>
                <w:rFonts w:eastAsia="Times New Roman" w:cs="Times New Roman"/>
                <w:bCs/>
                <w:color w:val="000000"/>
                <w:szCs w:val="24"/>
              </w:rPr>
              <w:t>4,095,513</w:t>
            </w:r>
          </w:p>
        </w:tc>
        <w:tc>
          <w:tcPr>
            <w:tcW w:w="1695" w:type="dxa"/>
          </w:tcPr>
          <w:p w:rsidR="00F74D54" w:rsidRDefault="00F74D54" w14:paraId="3E387A64" w14:textId="29E14C88">
            <w:pPr>
              <w:widowControl w:val="0"/>
              <w:jc w:val="center"/>
              <w:rPr>
                <w:rFonts w:eastAsia="Times New Roman" w:cs="Times New Roman"/>
                <w:snapToGrid w:val="0"/>
                <w:szCs w:val="24"/>
              </w:rPr>
            </w:pPr>
            <w:r>
              <w:rPr>
                <w:rFonts w:eastAsia="Times New Roman" w:cs="Times New Roman"/>
                <w:snapToGrid w:val="0"/>
                <w:szCs w:val="24"/>
              </w:rPr>
              <w:t xml:space="preserve">$12,286,539 </w:t>
            </w:r>
          </w:p>
        </w:tc>
      </w:tr>
      <w:tr w:rsidRPr="008105A6" w:rsidR="00F74D54" w:rsidTr="00F74D54" w14:paraId="5C843361" w14:textId="17BC1450">
        <w:trPr>
          <w:trHeight w:val="60"/>
          <w:jc w:val="center"/>
        </w:trPr>
        <w:tc>
          <w:tcPr>
            <w:tcW w:w="1710" w:type="dxa"/>
          </w:tcPr>
          <w:p w:rsidR="00F74D54" w:rsidP="00A12DB1" w:rsidRDefault="00F74D54" w14:paraId="24BB87FE" w14:textId="77777777">
            <w:pPr>
              <w:widowControl w:val="0"/>
              <w:rPr>
                <w:rFonts w:eastAsia="Times New Roman" w:cs="Times New Roman"/>
                <w:snapToGrid w:val="0"/>
                <w:szCs w:val="24"/>
              </w:rPr>
            </w:pPr>
            <w:r>
              <w:rPr>
                <w:rFonts w:eastAsia="Times New Roman" w:cs="Times New Roman"/>
                <w:snapToGrid w:val="0"/>
                <w:szCs w:val="24"/>
              </w:rPr>
              <w:t>Total</w:t>
            </w:r>
          </w:p>
        </w:tc>
        <w:tc>
          <w:tcPr>
            <w:tcW w:w="1530" w:type="dxa"/>
          </w:tcPr>
          <w:p w:rsidR="00F74D54" w:rsidP="00AA2CB5" w:rsidRDefault="00F74D54" w14:paraId="495CDD5C" w14:textId="7F8B237F">
            <w:pPr>
              <w:widowControl w:val="0"/>
              <w:jc w:val="center"/>
              <w:rPr>
                <w:rFonts w:eastAsia="Times New Roman" w:cs="Times New Roman"/>
                <w:snapToGrid w:val="0"/>
                <w:szCs w:val="24"/>
              </w:rPr>
            </w:pPr>
            <w:r>
              <w:rPr>
                <w:rFonts w:eastAsia="Times New Roman" w:cs="Times New Roman"/>
                <w:snapToGrid w:val="0"/>
                <w:szCs w:val="24"/>
              </w:rPr>
              <w:t>97</w:t>
            </w:r>
          </w:p>
        </w:tc>
        <w:tc>
          <w:tcPr>
            <w:tcW w:w="1265" w:type="dxa"/>
          </w:tcPr>
          <w:p w:rsidRPr="00385C00" w:rsidR="00F74D54" w:rsidP="00AA2CB5" w:rsidRDefault="00F74D54" w14:paraId="6ED5383A" w14:textId="5D343778">
            <w:pPr>
              <w:widowControl w:val="0"/>
              <w:jc w:val="center"/>
              <w:rPr>
                <w:rFonts w:eastAsia="Times New Roman" w:cs="Times New Roman"/>
                <w:snapToGrid w:val="0"/>
                <w:szCs w:val="24"/>
              </w:rPr>
            </w:pPr>
            <w:r>
              <w:rPr>
                <w:rFonts w:eastAsia="Times New Roman" w:cs="Times New Roman"/>
                <w:snapToGrid w:val="0"/>
                <w:szCs w:val="24"/>
              </w:rPr>
              <w:t>31,500</w:t>
            </w:r>
          </w:p>
        </w:tc>
        <w:tc>
          <w:tcPr>
            <w:tcW w:w="1710" w:type="dxa"/>
          </w:tcPr>
          <w:p w:rsidR="00F74D54" w:rsidP="00AA2CB5" w:rsidRDefault="00F74D54" w14:paraId="31E45CE4" w14:textId="35959D89">
            <w:pPr>
              <w:widowControl w:val="0"/>
              <w:jc w:val="center"/>
              <w:rPr>
                <w:rFonts w:eastAsia="Times New Roman" w:cs="Times New Roman"/>
                <w:snapToGrid w:val="0"/>
                <w:szCs w:val="24"/>
              </w:rPr>
            </w:pPr>
            <w:r w:rsidRPr="00385C00">
              <w:rPr>
                <w:rFonts w:eastAsia="Times New Roman" w:cs="Times New Roman"/>
                <w:snapToGrid w:val="0"/>
                <w:szCs w:val="24"/>
              </w:rPr>
              <w:t>3,055,500</w:t>
            </w:r>
          </w:p>
        </w:tc>
        <w:tc>
          <w:tcPr>
            <w:tcW w:w="1695" w:type="dxa"/>
          </w:tcPr>
          <w:p w:rsidR="00F74D54" w:rsidP="00AA2CB5" w:rsidRDefault="00F74D54" w14:paraId="20CC667B" w14:textId="61433322">
            <w:pPr>
              <w:widowControl w:val="0"/>
              <w:jc w:val="center"/>
              <w:rPr>
                <w:rFonts w:eastAsia="Times New Roman" w:cs="Times New Roman"/>
                <w:snapToGrid w:val="0"/>
                <w:szCs w:val="24"/>
              </w:rPr>
            </w:pPr>
          </w:p>
        </w:tc>
        <w:tc>
          <w:tcPr>
            <w:tcW w:w="1695" w:type="dxa"/>
          </w:tcPr>
          <w:p w:rsidR="00F74D54" w:rsidP="00AA2CB5" w:rsidRDefault="00F74D54" w14:paraId="25640D91" w14:textId="1F98C1FE">
            <w:pPr>
              <w:widowControl w:val="0"/>
              <w:jc w:val="center"/>
              <w:rPr>
                <w:rFonts w:eastAsia="Times New Roman" w:cs="Times New Roman"/>
                <w:snapToGrid w:val="0"/>
                <w:szCs w:val="24"/>
              </w:rPr>
            </w:pPr>
            <w:r>
              <w:rPr>
                <w:rFonts w:eastAsia="Times New Roman" w:cs="Times New Roman"/>
                <w:bCs/>
                <w:color w:val="000000"/>
                <w:szCs w:val="24"/>
              </w:rPr>
              <w:t>$397,264,761</w:t>
            </w:r>
          </w:p>
        </w:tc>
      </w:tr>
    </w:tbl>
    <w:p w:rsidR="008076E0" w:rsidRDefault="008076E0" w14:paraId="3E641F48" w14:textId="28356145">
      <w:pPr>
        <w:widowControl w:val="0"/>
        <w:spacing w:after="0" w:line="240" w:lineRule="auto"/>
        <w:rPr>
          <w:rFonts w:ascii="Times New Roman" w:hAnsi="Times New Roman" w:eastAsia="Times New Roman" w:cs="Times New Roman"/>
          <w:snapToGrid w:val="0"/>
          <w:sz w:val="24"/>
          <w:szCs w:val="24"/>
        </w:rPr>
      </w:pPr>
    </w:p>
    <w:p w:rsidR="00DD5D1C" w:rsidRDefault="00DD5D1C" w14:paraId="22E15A80" w14:textId="77777777">
      <w:pPr>
        <w:widowControl w:val="0"/>
        <w:spacing w:after="0" w:line="240" w:lineRule="auto"/>
        <w:rPr>
          <w:rFonts w:ascii="Times New Roman" w:hAnsi="Times New Roman" w:eastAsia="Times New Roman" w:cs="Times New Roman"/>
          <w:snapToGrid w:val="0"/>
          <w:sz w:val="24"/>
          <w:szCs w:val="24"/>
        </w:rPr>
      </w:pPr>
    </w:p>
    <w:p w:rsidR="00C302D7" w:rsidP="00DD5D1C" w:rsidRDefault="00C302D7" w14:paraId="42AD0B75" w14:textId="0BACC998">
      <w:pPr>
        <w:widowControl w:val="0"/>
        <w:spacing w:after="0" w:line="240" w:lineRule="auto"/>
        <w:ind w:right="29"/>
        <w:rPr>
          <w:rFonts w:ascii="Times New Roman" w:hAnsi="Times New Roman" w:eastAsia="Times New Roman" w:cs="Times New Roman"/>
          <w:snapToGrid w:val="0"/>
          <w:sz w:val="24"/>
          <w:szCs w:val="24"/>
        </w:rPr>
      </w:pPr>
      <w:r w:rsidRPr="00C302D7">
        <w:rPr>
          <w:rFonts w:ascii="Times New Roman" w:hAnsi="Times New Roman" w:eastAsia="Times New Roman" w:cs="Times New Roman"/>
          <w:snapToGrid w:val="0"/>
          <w:sz w:val="24"/>
          <w:szCs w:val="24"/>
        </w:rPr>
        <w:t>I</w:t>
      </w:r>
      <w:r w:rsidR="008F1CEB">
        <w:rPr>
          <w:rFonts w:ascii="Times New Roman" w:hAnsi="Times New Roman" w:eastAsia="Times New Roman" w:cs="Times New Roman"/>
          <w:snapToGrid w:val="0"/>
          <w:sz w:val="24"/>
          <w:szCs w:val="24"/>
        </w:rPr>
        <w:t>n addition to the one-time cost estimates</w:t>
      </w:r>
      <w:r w:rsidRPr="00C302D7">
        <w:rPr>
          <w:rFonts w:ascii="Times New Roman" w:hAnsi="Times New Roman" w:eastAsia="Times New Roman" w:cs="Times New Roman"/>
          <w:snapToGrid w:val="0"/>
          <w:sz w:val="24"/>
          <w:szCs w:val="24"/>
        </w:rPr>
        <w:t>, issuers will incur ongoing annual costs such as those related to identifying impacted enrollees, ensuring billing accuracy, reconciliation, quality assurance, printing, record keeping, and document retention</w:t>
      </w:r>
      <w:r w:rsidR="00AF4A2E">
        <w:rPr>
          <w:rFonts w:ascii="Times New Roman" w:hAnsi="Times New Roman" w:eastAsia="Times New Roman" w:cs="Times New Roman"/>
          <w:snapToGrid w:val="0"/>
          <w:sz w:val="24"/>
          <w:szCs w:val="24"/>
        </w:rPr>
        <w:t xml:space="preserve">. </w:t>
      </w:r>
      <w:r w:rsidRPr="00C302D7">
        <w:rPr>
          <w:rFonts w:ascii="Times New Roman" w:hAnsi="Times New Roman" w:eastAsia="Times New Roman" w:cs="Times New Roman"/>
          <w:snapToGrid w:val="0"/>
          <w:sz w:val="24"/>
          <w:szCs w:val="24"/>
        </w:rPr>
        <w:t>We estimate that for each issuer, on average, it will take administrative assistants 20,000 hours (at $</w:t>
      </w:r>
      <w:r w:rsidR="0090740C">
        <w:rPr>
          <w:rFonts w:ascii="Times New Roman" w:hAnsi="Times New Roman" w:eastAsia="Times New Roman" w:cs="Times New Roman"/>
          <w:snapToGrid w:val="0"/>
          <w:sz w:val="24"/>
          <w:szCs w:val="24"/>
        </w:rPr>
        <w:t>36.56</w:t>
      </w:r>
      <w:r w:rsidRPr="00C302D7">
        <w:rPr>
          <w:rFonts w:ascii="Times New Roman" w:hAnsi="Times New Roman" w:eastAsia="Times New Roman" w:cs="Times New Roman"/>
          <w:snapToGrid w:val="0"/>
          <w:sz w:val="24"/>
          <w:szCs w:val="24"/>
        </w:rPr>
        <w:t xml:space="preserve"> per hour), business operations specialists 2,000 hours (at $</w:t>
      </w:r>
      <w:r w:rsidR="0090740C">
        <w:rPr>
          <w:rFonts w:ascii="Times New Roman" w:hAnsi="Times New Roman" w:eastAsia="Times New Roman" w:cs="Times New Roman"/>
          <w:snapToGrid w:val="0"/>
          <w:sz w:val="24"/>
          <w:szCs w:val="24"/>
        </w:rPr>
        <w:t>74</w:t>
      </w:r>
      <w:r w:rsidR="0064399D">
        <w:rPr>
          <w:rFonts w:ascii="Times New Roman" w:hAnsi="Times New Roman" w:eastAsia="Times New Roman" w:cs="Times New Roman"/>
          <w:snapToGrid w:val="0"/>
          <w:sz w:val="24"/>
          <w:szCs w:val="24"/>
        </w:rPr>
        <w:t>.00</w:t>
      </w:r>
      <w:r w:rsidRPr="00C302D7">
        <w:rPr>
          <w:rFonts w:ascii="Times New Roman" w:hAnsi="Times New Roman" w:eastAsia="Times New Roman" w:cs="Times New Roman"/>
          <w:snapToGrid w:val="0"/>
          <w:sz w:val="24"/>
          <w:szCs w:val="24"/>
        </w:rPr>
        <w:t xml:space="preserve"> per hour), computer programmers 2,000 hours (at $</w:t>
      </w:r>
      <w:r w:rsidR="0090740C">
        <w:rPr>
          <w:rFonts w:ascii="Times New Roman" w:hAnsi="Times New Roman" w:eastAsia="Times New Roman" w:cs="Times New Roman"/>
          <w:snapToGrid w:val="0"/>
          <w:sz w:val="24"/>
          <w:szCs w:val="24"/>
        </w:rPr>
        <w:t>86.14</w:t>
      </w:r>
      <w:r w:rsidRPr="00C302D7">
        <w:rPr>
          <w:rFonts w:ascii="Times New Roman" w:hAnsi="Times New Roman" w:eastAsia="Times New Roman" w:cs="Times New Roman"/>
          <w:snapToGrid w:val="0"/>
          <w:sz w:val="24"/>
          <w:szCs w:val="24"/>
        </w:rPr>
        <w:t xml:space="preserve"> per hour), and </w:t>
      </w:r>
      <w:r w:rsidR="0064399D">
        <w:rPr>
          <w:rFonts w:ascii="Times New Roman" w:hAnsi="Times New Roman" w:eastAsia="Times New Roman" w:cs="Times New Roman"/>
          <w:snapToGrid w:val="0"/>
          <w:sz w:val="24"/>
          <w:szCs w:val="24"/>
        </w:rPr>
        <w:t xml:space="preserve">general and </w:t>
      </w:r>
      <w:r w:rsidRPr="00C302D7">
        <w:rPr>
          <w:rFonts w:ascii="Times New Roman" w:hAnsi="Times New Roman" w:eastAsia="Times New Roman" w:cs="Times New Roman"/>
          <w:snapToGrid w:val="0"/>
          <w:sz w:val="24"/>
          <w:szCs w:val="24"/>
        </w:rPr>
        <w:t>operations managers 120 hours (at $</w:t>
      </w:r>
      <w:r w:rsidR="0090740C">
        <w:rPr>
          <w:rFonts w:ascii="Times New Roman" w:hAnsi="Times New Roman" w:eastAsia="Times New Roman" w:cs="Times New Roman"/>
          <w:snapToGrid w:val="0"/>
          <w:sz w:val="24"/>
          <w:szCs w:val="24"/>
        </w:rPr>
        <w:t>119.</w:t>
      </w:r>
      <w:r w:rsidR="002A2231">
        <w:rPr>
          <w:rFonts w:ascii="Times New Roman" w:hAnsi="Times New Roman" w:eastAsia="Times New Roman" w:cs="Times New Roman"/>
          <w:snapToGrid w:val="0"/>
          <w:sz w:val="24"/>
          <w:szCs w:val="24"/>
        </w:rPr>
        <w:t>12</w:t>
      </w:r>
      <w:r w:rsidRPr="00C302D7" w:rsidR="002A2231">
        <w:rPr>
          <w:rFonts w:ascii="Times New Roman" w:hAnsi="Times New Roman" w:eastAsia="Times New Roman" w:cs="Times New Roman"/>
          <w:snapToGrid w:val="0"/>
          <w:sz w:val="24"/>
          <w:szCs w:val="24"/>
        </w:rPr>
        <w:t xml:space="preserve"> </w:t>
      </w:r>
      <w:r w:rsidRPr="00C302D7">
        <w:rPr>
          <w:rFonts w:ascii="Times New Roman" w:hAnsi="Times New Roman" w:eastAsia="Times New Roman" w:cs="Times New Roman"/>
          <w:snapToGrid w:val="0"/>
          <w:sz w:val="24"/>
          <w:szCs w:val="24"/>
        </w:rPr>
        <w:t>per hour) each year to perform these tasks</w:t>
      </w:r>
      <w:r w:rsidR="00AF4A2E">
        <w:rPr>
          <w:rFonts w:ascii="Times New Roman" w:hAnsi="Times New Roman" w:eastAsia="Times New Roman" w:cs="Times New Roman"/>
          <w:snapToGrid w:val="0"/>
          <w:sz w:val="24"/>
          <w:szCs w:val="24"/>
        </w:rPr>
        <w:t xml:space="preserve">. </w:t>
      </w:r>
      <w:r w:rsidRPr="00C302D7">
        <w:rPr>
          <w:rFonts w:ascii="Times New Roman" w:hAnsi="Times New Roman" w:eastAsia="Times New Roman" w:cs="Times New Roman"/>
          <w:snapToGrid w:val="0"/>
          <w:sz w:val="24"/>
          <w:szCs w:val="24"/>
        </w:rPr>
        <w:t>The total annual burden for each issuer will be 24,120 hours, with an equivalent cost of approximately $</w:t>
      </w:r>
      <w:r w:rsidR="0090740C">
        <w:rPr>
          <w:rFonts w:ascii="Times New Roman" w:hAnsi="Times New Roman" w:eastAsia="Times New Roman" w:cs="Times New Roman"/>
          <w:snapToGrid w:val="0"/>
          <w:sz w:val="24"/>
          <w:szCs w:val="24"/>
        </w:rPr>
        <w:t>1.07</w:t>
      </w:r>
      <w:r w:rsidRPr="00C302D7">
        <w:rPr>
          <w:rFonts w:ascii="Times New Roman" w:hAnsi="Times New Roman" w:eastAsia="Times New Roman" w:cs="Times New Roman"/>
          <w:snapToGrid w:val="0"/>
          <w:sz w:val="24"/>
          <w:szCs w:val="24"/>
        </w:rPr>
        <w:t xml:space="preserve"> million</w:t>
      </w:r>
      <w:r w:rsidR="00AF4A2E">
        <w:rPr>
          <w:rFonts w:ascii="Times New Roman" w:hAnsi="Times New Roman" w:eastAsia="Times New Roman" w:cs="Times New Roman"/>
          <w:snapToGrid w:val="0"/>
          <w:sz w:val="24"/>
          <w:szCs w:val="24"/>
        </w:rPr>
        <w:t xml:space="preserve">. </w:t>
      </w:r>
      <w:r w:rsidRPr="0055339E" w:rsidR="0055339E">
        <w:rPr>
          <w:rFonts w:ascii="Times New Roman" w:hAnsi="Times New Roman" w:eastAsia="Times New Roman" w:cs="Times New Roman"/>
          <w:snapToGrid w:val="0"/>
          <w:sz w:val="24"/>
          <w:szCs w:val="24"/>
        </w:rPr>
        <w:t xml:space="preserve">Assuming that issuers will start sending separate bills in July, 2020, the total burden for all </w:t>
      </w:r>
      <w:r w:rsidR="00385C00">
        <w:rPr>
          <w:rFonts w:ascii="Times New Roman" w:hAnsi="Times New Roman" w:eastAsia="Times New Roman" w:cs="Times New Roman"/>
          <w:snapToGrid w:val="0"/>
          <w:sz w:val="24"/>
          <w:szCs w:val="24"/>
        </w:rPr>
        <w:t>94</w:t>
      </w:r>
      <w:r w:rsidRPr="0055339E" w:rsidR="00385C00">
        <w:rPr>
          <w:rFonts w:ascii="Times New Roman" w:hAnsi="Times New Roman" w:eastAsia="Times New Roman" w:cs="Times New Roman"/>
          <w:snapToGrid w:val="0"/>
          <w:sz w:val="24"/>
          <w:szCs w:val="24"/>
        </w:rPr>
        <w:t xml:space="preserve"> </w:t>
      </w:r>
      <w:r w:rsidRPr="0055339E" w:rsidR="0055339E">
        <w:rPr>
          <w:rFonts w:ascii="Times New Roman" w:hAnsi="Times New Roman" w:eastAsia="Times New Roman" w:cs="Times New Roman"/>
          <w:snapToGrid w:val="0"/>
          <w:sz w:val="24"/>
          <w:szCs w:val="24"/>
        </w:rPr>
        <w:t xml:space="preserve">issuers for the 6 months in </w:t>
      </w:r>
      <w:r w:rsidR="00584DB2">
        <w:rPr>
          <w:rFonts w:ascii="Times New Roman" w:hAnsi="Times New Roman" w:eastAsia="Times New Roman" w:cs="Times New Roman"/>
          <w:snapToGrid w:val="0"/>
          <w:sz w:val="24"/>
          <w:szCs w:val="24"/>
        </w:rPr>
        <w:t>2020</w:t>
      </w:r>
      <w:r w:rsidRPr="0055339E" w:rsidR="0055339E">
        <w:rPr>
          <w:rFonts w:ascii="Times New Roman" w:hAnsi="Times New Roman" w:eastAsia="Times New Roman" w:cs="Times New Roman"/>
          <w:snapToGrid w:val="0"/>
          <w:sz w:val="24"/>
          <w:szCs w:val="24"/>
        </w:rPr>
        <w:t xml:space="preserve"> is estimated to be </w:t>
      </w:r>
      <w:r w:rsidRPr="00385C00" w:rsidR="00385C00">
        <w:rPr>
          <w:rFonts w:ascii="Times New Roman" w:hAnsi="Times New Roman" w:eastAsia="Times New Roman" w:cs="Times New Roman"/>
          <w:snapToGrid w:val="0"/>
          <w:sz w:val="24"/>
          <w:szCs w:val="24"/>
        </w:rPr>
        <w:t>1,133,640</w:t>
      </w:r>
      <w:r w:rsidR="00385C00">
        <w:rPr>
          <w:rFonts w:ascii="Times New Roman" w:hAnsi="Times New Roman" w:eastAsia="Times New Roman" w:cs="Times New Roman"/>
          <w:snapToGrid w:val="0"/>
          <w:sz w:val="24"/>
          <w:szCs w:val="24"/>
        </w:rPr>
        <w:t xml:space="preserve"> </w:t>
      </w:r>
      <w:r w:rsidRPr="0055339E" w:rsidR="0055339E">
        <w:rPr>
          <w:rFonts w:ascii="Times New Roman" w:hAnsi="Times New Roman" w:eastAsia="Times New Roman" w:cs="Times New Roman"/>
          <w:snapToGrid w:val="0"/>
          <w:sz w:val="24"/>
          <w:szCs w:val="24"/>
        </w:rPr>
        <w:t>hours with an equivalent cost of approximately $</w:t>
      </w:r>
      <w:r w:rsidR="00385C00">
        <w:rPr>
          <w:rFonts w:ascii="Times New Roman" w:hAnsi="Times New Roman" w:eastAsia="Times New Roman" w:cs="Times New Roman"/>
          <w:snapToGrid w:val="0"/>
          <w:sz w:val="24"/>
          <w:szCs w:val="24"/>
        </w:rPr>
        <w:t>50</w:t>
      </w:r>
      <w:r w:rsidRPr="0055339E" w:rsidR="0055339E">
        <w:rPr>
          <w:rFonts w:ascii="Times New Roman" w:hAnsi="Times New Roman" w:eastAsia="Times New Roman" w:cs="Times New Roman"/>
          <w:snapToGrid w:val="0"/>
          <w:sz w:val="24"/>
          <w:szCs w:val="24"/>
        </w:rPr>
        <w:t>.1 million</w:t>
      </w:r>
      <w:r w:rsidR="00AF4A2E">
        <w:rPr>
          <w:rFonts w:ascii="Times New Roman" w:hAnsi="Times New Roman" w:eastAsia="Times New Roman" w:cs="Times New Roman"/>
          <w:snapToGrid w:val="0"/>
          <w:sz w:val="24"/>
          <w:szCs w:val="24"/>
        </w:rPr>
        <w:t>.</w:t>
      </w:r>
      <w:r w:rsidRPr="00C302D7">
        <w:rPr>
          <w:rFonts w:ascii="Times New Roman" w:hAnsi="Times New Roman" w:eastAsia="Times New Roman" w:cs="Times New Roman"/>
          <w:snapToGrid w:val="0"/>
          <w:sz w:val="24"/>
          <w:szCs w:val="24"/>
        </w:rPr>
        <w:t xml:space="preserve">. </w:t>
      </w:r>
      <w:r w:rsidR="0055339E">
        <w:rPr>
          <w:rFonts w:ascii="Times New Roman" w:hAnsi="Times New Roman" w:eastAsia="Times New Roman" w:cs="Times New Roman"/>
          <w:snapToGrid w:val="0"/>
          <w:sz w:val="24"/>
          <w:szCs w:val="24"/>
        </w:rPr>
        <w:t xml:space="preserve"> </w:t>
      </w:r>
    </w:p>
    <w:p w:rsidR="008076E0" w:rsidP="00DD5D1C" w:rsidRDefault="008076E0" w14:paraId="6766A1C9" w14:textId="77777777">
      <w:pPr>
        <w:widowControl w:val="0"/>
        <w:spacing w:after="0" w:line="240" w:lineRule="auto"/>
        <w:ind w:right="29"/>
        <w:rPr>
          <w:rFonts w:ascii="Times New Roman" w:hAnsi="Times New Roman" w:eastAsia="Times New Roman" w:cs="Times New Roman"/>
          <w:snapToGrid w:val="0"/>
          <w:sz w:val="24"/>
          <w:szCs w:val="24"/>
        </w:rPr>
      </w:pPr>
    </w:p>
    <w:p w:rsidR="00D239CA" w:rsidP="00DD5D1C" w:rsidRDefault="00C302D7" w14:paraId="607090DE" w14:textId="239A1C03">
      <w:pPr>
        <w:widowControl w:val="0"/>
        <w:spacing w:after="0" w:line="240" w:lineRule="auto"/>
        <w:ind w:right="29"/>
        <w:rPr>
          <w:rFonts w:ascii="Times New Roman" w:hAnsi="Times New Roman" w:eastAsia="Times New Roman" w:cs="Times New Roman"/>
          <w:snapToGrid w:val="0"/>
          <w:sz w:val="24"/>
          <w:szCs w:val="24"/>
        </w:rPr>
      </w:pPr>
      <w:r w:rsidRPr="00C302D7">
        <w:rPr>
          <w:rFonts w:ascii="Times New Roman" w:hAnsi="Times New Roman" w:eastAsia="Times New Roman" w:cs="Times New Roman"/>
          <w:snapToGrid w:val="0"/>
          <w:sz w:val="24"/>
          <w:szCs w:val="24"/>
        </w:rPr>
        <w:t xml:space="preserve">We anticipate that State Exchanges performing premium billing and payment processing and which have QHP issuers that offer coverage for non-Hyde abortion services will incur costs similar to QHP issuers offering coverage of non-Hyde abortion services. Therefore, we estimate that for all </w:t>
      </w:r>
      <w:r w:rsidR="00AF4A2E">
        <w:rPr>
          <w:rFonts w:ascii="Times New Roman" w:hAnsi="Times New Roman" w:eastAsia="Times New Roman" w:cs="Times New Roman"/>
          <w:snapToGrid w:val="0"/>
          <w:sz w:val="24"/>
          <w:szCs w:val="24"/>
        </w:rPr>
        <w:t>three</w:t>
      </w:r>
      <w:r w:rsidRPr="00C302D7" w:rsidR="00AF4A2E">
        <w:rPr>
          <w:rFonts w:ascii="Times New Roman" w:hAnsi="Times New Roman" w:eastAsia="Times New Roman" w:cs="Times New Roman"/>
          <w:snapToGrid w:val="0"/>
          <w:sz w:val="24"/>
          <w:szCs w:val="24"/>
        </w:rPr>
        <w:t xml:space="preserve"> </w:t>
      </w:r>
      <w:r w:rsidRPr="00C302D7">
        <w:rPr>
          <w:rFonts w:ascii="Times New Roman" w:hAnsi="Times New Roman" w:eastAsia="Times New Roman" w:cs="Times New Roman"/>
          <w:snapToGrid w:val="0"/>
          <w:sz w:val="24"/>
          <w:szCs w:val="24"/>
        </w:rPr>
        <w:t xml:space="preserve">State Exchanges performing premium billing and payment processing the total annual burden </w:t>
      </w:r>
      <w:r w:rsidRPr="003F3A87" w:rsidR="0017450A">
        <w:rPr>
          <w:rFonts w:ascii="Times New Roman" w:hAnsi="Times New Roman" w:eastAsia="Times New Roman" w:cs="Times New Roman"/>
          <w:snapToGrid w:val="0"/>
          <w:sz w:val="24"/>
          <w:szCs w:val="24"/>
        </w:rPr>
        <w:t xml:space="preserve">will be approximately </w:t>
      </w:r>
      <w:r w:rsidR="007475CC">
        <w:rPr>
          <w:rFonts w:ascii="Times New Roman" w:hAnsi="Times New Roman" w:eastAsia="Times New Roman" w:cs="Times New Roman"/>
          <w:snapToGrid w:val="0"/>
          <w:sz w:val="24"/>
          <w:szCs w:val="24"/>
        </w:rPr>
        <w:t>36,180 hours.</w:t>
      </w:r>
    </w:p>
    <w:p w:rsidRPr="008105A6" w:rsidR="000C5AF7" w:rsidP="000C5AF7" w:rsidRDefault="000C5AF7" w14:paraId="4D7CA90C" w14:textId="77777777">
      <w:pPr>
        <w:widowControl w:val="0"/>
        <w:spacing w:after="0" w:line="240" w:lineRule="auto"/>
        <w:ind w:firstLine="720"/>
        <w:rPr>
          <w:rFonts w:ascii="Times New Roman" w:hAnsi="Times New Roman" w:eastAsia="Times New Roman" w:cs="Times New Roman"/>
          <w:snapToGrid w:val="0"/>
          <w:sz w:val="24"/>
          <w:szCs w:val="24"/>
        </w:rPr>
      </w:pPr>
    </w:p>
    <w:p w:rsidRPr="00DD5D1C" w:rsidR="00D239CA" w:rsidP="00DD5D1C" w:rsidRDefault="00D239CA" w14:paraId="59727887" w14:textId="23305977">
      <w:pPr>
        <w:pStyle w:val="BodyText"/>
        <w:ind w:right="29"/>
        <w:rPr>
          <w:b/>
        </w:rPr>
      </w:pPr>
      <w:r w:rsidRPr="00DD5D1C">
        <w:rPr>
          <w:b/>
        </w:rPr>
        <w:t xml:space="preserve">Table </w:t>
      </w:r>
      <w:r w:rsidR="00A20208">
        <w:rPr>
          <w:b/>
        </w:rPr>
        <w:t>5</w:t>
      </w:r>
      <w:r w:rsidRPr="00DD5D1C" w:rsidR="00F67360">
        <w:rPr>
          <w:b/>
        </w:rPr>
        <w:t>A</w:t>
      </w:r>
      <w:r w:rsidRPr="00DD5D1C">
        <w:rPr>
          <w:b/>
        </w:rPr>
        <w:t>. Estimated Annual Burden per Issuer</w:t>
      </w:r>
      <w:r w:rsidRPr="00DD5D1C" w:rsidR="00C302D7">
        <w:rPr>
          <w:b/>
        </w:rPr>
        <w:t xml:space="preserve"> </w:t>
      </w:r>
      <w:r w:rsidRPr="00DD5D1C" w:rsidR="005033EA">
        <w:rPr>
          <w:b/>
        </w:rPr>
        <w:t>or State Exchange</w:t>
      </w:r>
      <w:r w:rsidRPr="00DD5D1C" w:rsidR="00C302D7">
        <w:rPr>
          <w:b/>
        </w:rPr>
        <w:t xml:space="preserve"> performing premium billing and payment processing</w:t>
      </w:r>
    </w:p>
    <w:p w:rsidRPr="008105A6" w:rsidR="00D239CA" w:rsidP="00D239CA" w:rsidRDefault="00D239CA" w14:paraId="1786C024" w14:textId="77777777">
      <w:pPr>
        <w:spacing w:after="0"/>
        <w:rPr>
          <w:rFonts w:ascii="Times New Roman" w:hAnsi="Times New Roman" w:cs="Times New Roman"/>
          <w:sz w:val="24"/>
          <w:szCs w:val="24"/>
        </w:rPr>
      </w:pPr>
    </w:p>
    <w:tbl>
      <w:tblPr>
        <w:tblW w:w="8285" w:type="dxa"/>
        <w:jc w:val="center"/>
        <w:tblLook w:val="04A0" w:firstRow="1" w:lastRow="0" w:firstColumn="1" w:lastColumn="0" w:noHBand="0" w:noVBand="1"/>
      </w:tblPr>
      <w:tblGrid>
        <w:gridCol w:w="3250"/>
        <w:gridCol w:w="1350"/>
        <w:gridCol w:w="1705"/>
        <w:gridCol w:w="1980"/>
      </w:tblGrid>
      <w:tr w:rsidRPr="008105A6" w:rsidR="00233742" w:rsidTr="00D667C1" w14:paraId="1E452530" w14:textId="64B09D76">
        <w:trPr>
          <w:trHeight w:val="300"/>
          <w:jc w:val="center"/>
        </w:trPr>
        <w:tc>
          <w:tcPr>
            <w:tcW w:w="32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105A6" w:rsidR="00233742" w:rsidP="00D667C1" w:rsidRDefault="00233742" w14:paraId="2785EA8A" w14:textId="61E48B8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Labor Category</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8105A6" w:rsidR="00233742" w:rsidP="00D667C1" w:rsidRDefault="00233742" w14:paraId="57837238" w14:textId="3FD25BE0">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Burden Hours</w:t>
            </w:r>
          </w:p>
        </w:tc>
        <w:tc>
          <w:tcPr>
            <w:tcW w:w="1705" w:type="dxa"/>
            <w:tcBorders>
              <w:top w:val="single" w:color="auto" w:sz="4" w:space="0"/>
              <w:left w:val="nil"/>
              <w:bottom w:val="single" w:color="auto" w:sz="4" w:space="0"/>
              <w:right w:val="single" w:color="auto" w:sz="4" w:space="0"/>
            </w:tcBorders>
            <w:shd w:val="clear" w:color="auto" w:fill="auto"/>
            <w:noWrap/>
            <w:vAlign w:val="bottom"/>
            <w:hideMark/>
          </w:tcPr>
          <w:p w:rsidRPr="0088692B" w:rsidR="00233742" w:rsidP="00D667C1" w:rsidRDefault="00233742" w14:paraId="0284FD3B" w14:textId="55115CBB">
            <w:pPr>
              <w:spacing w:after="0" w:line="259" w:lineRule="auto"/>
              <w:ind w:right="-80"/>
              <w:jc w:val="center"/>
              <w:rPr>
                <w:rFonts w:ascii="Times New Roman" w:hAnsi="Times New Roman" w:eastAsia="Times New Roman" w:cs="Times New Roman"/>
                <w:color w:val="000000"/>
                <w:sz w:val="24"/>
                <w:szCs w:val="24"/>
              </w:rPr>
            </w:pPr>
            <w:r w:rsidRPr="0088692B">
              <w:rPr>
                <w:rFonts w:ascii="Times New Roman" w:hAnsi="Times New Roman" w:eastAsia="Times New Roman" w:cs="Times New Roman"/>
                <w:color w:val="000000"/>
                <w:sz w:val="24"/>
                <w:szCs w:val="24"/>
              </w:rPr>
              <w:t>Hourly Labor</w:t>
            </w:r>
          </w:p>
          <w:p w:rsidRPr="008105A6" w:rsidR="00233742" w:rsidP="00D667C1" w:rsidRDefault="00233742" w14:paraId="68C1B01F" w14:textId="1E567B67">
            <w:pPr>
              <w:spacing w:after="0" w:line="238" w:lineRule="auto"/>
              <w:ind w:right="-80" w:hanging="88"/>
              <w:jc w:val="center"/>
              <w:rPr>
                <w:rFonts w:ascii="Times New Roman" w:hAnsi="Times New Roman" w:eastAsia="Times New Roman" w:cs="Times New Roman"/>
                <w:color w:val="000000"/>
                <w:sz w:val="24"/>
                <w:szCs w:val="24"/>
              </w:rPr>
            </w:pPr>
            <w:r w:rsidRPr="0088692B">
              <w:rPr>
                <w:rFonts w:ascii="Times New Roman" w:hAnsi="Times New Roman" w:eastAsia="Times New Roman" w:cs="Times New Roman"/>
                <w:color w:val="000000"/>
                <w:sz w:val="24"/>
                <w:szCs w:val="24"/>
              </w:rPr>
              <w:t>Costs (Hourly rate + 100%</w:t>
            </w:r>
            <w:r>
              <w:rPr>
                <w:rFonts w:ascii="Times New Roman" w:hAnsi="Times New Roman" w:eastAsia="Times New Roman" w:cs="Times New Roman"/>
                <w:color w:val="000000"/>
                <w:sz w:val="24"/>
                <w:szCs w:val="24"/>
              </w:rPr>
              <w:t xml:space="preserve"> </w:t>
            </w:r>
            <w:r w:rsidRPr="0088692B">
              <w:rPr>
                <w:rFonts w:ascii="Times New Roman" w:hAnsi="Times New Roman" w:eastAsia="Times New Roman" w:cs="Times New Roman"/>
                <w:color w:val="000000"/>
                <w:sz w:val="24"/>
                <w:szCs w:val="24"/>
              </w:rPr>
              <w:t>Fringe benefits)</w:t>
            </w:r>
          </w:p>
        </w:tc>
        <w:tc>
          <w:tcPr>
            <w:tcW w:w="1980" w:type="dxa"/>
            <w:tcBorders>
              <w:top w:val="single" w:color="auto" w:sz="4" w:space="0"/>
              <w:left w:val="nil"/>
              <w:bottom w:val="single" w:color="auto" w:sz="4" w:space="0"/>
              <w:right w:val="single" w:color="auto" w:sz="4" w:space="0"/>
            </w:tcBorders>
            <w:shd w:val="clear" w:color="auto" w:fill="auto"/>
            <w:noWrap/>
            <w:vAlign w:val="bottom"/>
            <w:hideMark/>
          </w:tcPr>
          <w:p w:rsidRPr="008105A6" w:rsidR="00233742" w:rsidP="00D667C1" w:rsidRDefault="00233742" w14:paraId="698E9709" w14:textId="46379330">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 xml:space="preserve">Total </w:t>
            </w:r>
            <w:r>
              <w:rPr>
                <w:rFonts w:ascii="Times New Roman" w:hAnsi="Times New Roman" w:eastAsia="Times New Roman" w:cs="Times New Roman"/>
                <w:color w:val="000000"/>
                <w:sz w:val="24"/>
                <w:szCs w:val="24"/>
              </w:rPr>
              <w:t xml:space="preserve">Burden </w:t>
            </w:r>
            <w:r w:rsidRPr="008105A6">
              <w:rPr>
                <w:rFonts w:ascii="Times New Roman" w:hAnsi="Times New Roman" w:eastAsia="Times New Roman" w:cs="Times New Roman"/>
                <w:color w:val="000000"/>
                <w:sz w:val="24"/>
                <w:szCs w:val="24"/>
              </w:rPr>
              <w:t xml:space="preserve">Cost </w:t>
            </w:r>
            <w:r>
              <w:rPr>
                <w:rFonts w:ascii="Times New Roman" w:hAnsi="Times New Roman" w:eastAsia="Times New Roman" w:cs="Times New Roman"/>
                <w:color w:val="000000"/>
                <w:sz w:val="24"/>
                <w:szCs w:val="24"/>
              </w:rPr>
              <w:t>(P</w:t>
            </w:r>
            <w:r w:rsidRPr="008105A6">
              <w:rPr>
                <w:rFonts w:ascii="Times New Roman" w:hAnsi="Times New Roman" w:eastAsia="Times New Roman" w:cs="Times New Roman"/>
                <w:color w:val="000000"/>
                <w:sz w:val="24"/>
                <w:szCs w:val="24"/>
              </w:rPr>
              <w:t>er Respondent</w:t>
            </w:r>
            <w:r>
              <w:rPr>
                <w:rFonts w:ascii="Times New Roman" w:hAnsi="Times New Roman" w:eastAsia="Times New Roman" w:cs="Times New Roman"/>
                <w:color w:val="000000"/>
                <w:sz w:val="24"/>
                <w:szCs w:val="24"/>
              </w:rPr>
              <w:t>)</w:t>
            </w:r>
          </w:p>
        </w:tc>
      </w:tr>
      <w:tr w:rsidRPr="008105A6" w:rsidR="00233742" w:rsidTr="00233742" w14:paraId="67B7141C" w14:textId="12F81EF2">
        <w:trPr>
          <w:trHeight w:val="600"/>
          <w:jc w:val="center"/>
        </w:trPr>
        <w:tc>
          <w:tcPr>
            <w:tcW w:w="3250" w:type="dxa"/>
            <w:tcBorders>
              <w:top w:val="nil"/>
              <w:left w:val="single" w:color="auto" w:sz="4" w:space="0"/>
              <w:bottom w:val="single" w:color="auto" w:sz="4" w:space="0"/>
              <w:right w:val="single" w:color="auto" w:sz="4" w:space="0"/>
            </w:tcBorders>
            <w:shd w:val="clear" w:color="auto" w:fill="auto"/>
            <w:vAlign w:val="bottom"/>
            <w:hideMark/>
          </w:tcPr>
          <w:p w:rsidRPr="008105A6" w:rsidR="00233742" w:rsidP="00485799" w:rsidRDefault="00233742" w14:paraId="5DB07203"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Secretaries and Administrative Assistants</w:t>
            </w:r>
          </w:p>
        </w:tc>
        <w:tc>
          <w:tcPr>
            <w:tcW w:w="135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5512B32E" w14:textId="7777777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20,000</w:t>
            </w:r>
          </w:p>
        </w:tc>
        <w:tc>
          <w:tcPr>
            <w:tcW w:w="1705"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4970E099" w14:textId="169DB0C1">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36.56</w:t>
            </w:r>
          </w:p>
        </w:tc>
        <w:tc>
          <w:tcPr>
            <w:tcW w:w="198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0A653536" w14:textId="3A92973B">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731,200</w:t>
            </w:r>
          </w:p>
        </w:tc>
      </w:tr>
      <w:tr w:rsidRPr="008105A6" w:rsidR="00233742" w:rsidTr="00233742" w14:paraId="61C49E15" w14:textId="37EC3B53">
        <w:trPr>
          <w:trHeight w:val="300"/>
          <w:jc w:val="center"/>
        </w:trPr>
        <w:tc>
          <w:tcPr>
            <w:tcW w:w="3250" w:type="dxa"/>
            <w:tcBorders>
              <w:top w:val="nil"/>
              <w:left w:val="single" w:color="auto" w:sz="4" w:space="0"/>
              <w:bottom w:val="single" w:color="auto" w:sz="4" w:space="0"/>
              <w:right w:val="single" w:color="auto" w:sz="4" w:space="0"/>
            </w:tcBorders>
            <w:shd w:val="clear" w:color="auto" w:fill="auto"/>
            <w:vAlign w:val="bottom"/>
            <w:hideMark/>
          </w:tcPr>
          <w:p w:rsidRPr="008105A6" w:rsidR="00233742" w:rsidP="00485799" w:rsidRDefault="00233742" w14:paraId="758B588D"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lastRenderedPageBreak/>
              <w:t>General and Operations Manager</w:t>
            </w:r>
          </w:p>
        </w:tc>
        <w:tc>
          <w:tcPr>
            <w:tcW w:w="135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7DD10604" w14:textId="7777777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120</w:t>
            </w:r>
          </w:p>
        </w:tc>
        <w:tc>
          <w:tcPr>
            <w:tcW w:w="1705"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56E0BDC4" w14:textId="33ADD233">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119.12</w:t>
            </w:r>
            <w:r w:rsidRPr="008105A6">
              <w:rPr>
                <w:rFonts w:ascii="Times New Roman" w:hAnsi="Times New Roman" w:eastAsia="Times New Roman" w:cs="Times New Roman"/>
                <w:color w:val="000000"/>
                <w:sz w:val="24"/>
                <w:szCs w:val="24"/>
              </w:rPr>
              <w:t xml:space="preserve"> </w:t>
            </w:r>
          </w:p>
        </w:tc>
        <w:tc>
          <w:tcPr>
            <w:tcW w:w="198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06DCDADA" w14:textId="5EF50FBE">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14,294</w:t>
            </w:r>
          </w:p>
        </w:tc>
      </w:tr>
      <w:tr w:rsidRPr="008105A6" w:rsidR="00233742" w:rsidTr="00233742" w14:paraId="5AFCFCA4" w14:textId="0941B9F3">
        <w:trPr>
          <w:trHeight w:val="300"/>
          <w:jc w:val="center"/>
        </w:trPr>
        <w:tc>
          <w:tcPr>
            <w:tcW w:w="3250" w:type="dxa"/>
            <w:tcBorders>
              <w:top w:val="nil"/>
              <w:left w:val="single" w:color="auto" w:sz="4" w:space="0"/>
              <w:bottom w:val="single" w:color="auto" w:sz="4" w:space="0"/>
              <w:right w:val="single" w:color="auto" w:sz="4" w:space="0"/>
            </w:tcBorders>
            <w:shd w:val="clear" w:color="auto" w:fill="auto"/>
            <w:vAlign w:val="bottom"/>
            <w:hideMark/>
          </w:tcPr>
          <w:p w:rsidRPr="008105A6" w:rsidR="00233742" w:rsidP="00485799" w:rsidRDefault="00233742" w14:paraId="4EF17102"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Business Operations Specialist</w:t>
            </w:r>
          </w:p>
        </w:tc>
        <w:tc>
          <w:tcPr>
            <w:tcW w:w="135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1F892A5A" w14:textId="7777777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2,000</w:t>
            </w:r>
          </w:p>
        </w:tc>
        <w:tc>
          <w:tcPr>
            <w:tcW w:w="1705"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6C2A8341" w14:textId="0BA0F649">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74.00</w:t>
            </w:r>
          </w:p>
        </w:tc>
        <w:tc>
          <w:tcPr>
            <w:tcW w:w="198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35FA362C" w14:textId="3914F63B">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148,000</w:t>
            </w:r>
          </w:p>
        </w:tc>
      </w:tr>
      <w:tr w:rsidRPr="008105A6" w:rsidR="00233742" w:rsidTr="00233742" w14:paraId="5F69A75E" w14:textId="1773084E">
        <w:trPr>
          <w:trHeight w:val="300"/>
          <w:jc w:val="center"/>
        </w:trPr>
        <w:tc>
          <w:tcPr>
            <w:tcW w:w="3250" w:type="dxa"/>
            <w:tcBorders>
              <w:top w:val="nil"/>
              <w:left w:val="single" w:color="auto" w:sz="4" w:space="0"/>
              <w:bottom w:val="single" w:color="auto" w:sz="4" w:space="0"/>
              <w:right w:val="single" w:color="auto" w:sz="4" w:space="0"/>
            </w:tcBorders>
            <w:shd w:val="clear" w:color="auto" w:fill="auto"/>
            <w:vAlign w:val="bottom"/>
            <w:hideMark/>
          </w:tcPr>
          <w:p w:rsidRPr="008105A6" w:rsidR="00233742" w:rsidP="00485799" w:rsidRDefault="00233742" w14:paraId="3675046F"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Computer Programmer</w:t>
            </w:r>
          </w:p>
        </w:tc>
        <w:tc>
          <w:tcPr>
            <w:tcW w:w="135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4237DC88" w14:textId="7777777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2,000</w:t>
            </w:r>
          </w:p>
        </w:tc>
        <w:tc>
          <w:tcPr>
            <w:tcW w:w="1705"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74142ECF" w14:textId="7437199C">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86.14</w:t>
            </w:r>
          </w:p>
        </w:tc>
        <w:tc>
          <w:tcPr>
            <w:tcW w:w="1980" w:type="dxa"/>
            <w:tcBorders>
              <w:top w:val="nil"/>
              <w:left w:val="nil"/>
              <w:bottom w:val="single" w:color="auto" w:sz="4" w:space="0"/>
              <w:right w:val="single" w:color="auto" w:sz="4" w:space="0"/>
            </w:tcBorders>
            <w:shd w:val="clear" w:color="auto" w:fill="auto"/>
            <w:noWrap/>
            <w:vAlign w:val="bottom"/>
            <w:hideMark/>
          </w:tcPr>
          <w:p w:rsidRPr="008105A6" w:rsidR="00233742" w:rsidP="00A12DB1" w:rsidRDefault="00233742" w14:paraId="4554C07F" w14:textId="00DE7042">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172,280</w:t>
            </w:r>
          </w:p>
        </w:tc>
      </w:tr>
      <w:tr w:rsidRPr="008105A6" w:rsidR="00233742" w:rsidTr="00233742" w14:paraId="22129C7A" w14:textId="625A608F">
        <w:trPr>
          <w:trHeight w:val="300"/>
          <w:jc w:val="center"/>
        </w:trPr>
        <w:tc>
          <w:tcPr>
            <w:tcW w:w="3250" w:type="dxa"/>
            <w:tcBorders>
              <w:top w:val="nil"/>
              <w:left w:val="single" w:color="auto" w:sz="4" w:space="0"/>
              <w:bottom w:val="single" w:color="auto" w:sz="4" w:space="0"/>
              <w:right w:val="single" w:color="auto" w:sz="4" w:space="0"/>
            </w:tcBorders>
            <w:shd w:val="clear" w:color="auto" w:fill="auto"/>
            <w:vAlign w:val="bottom"/>
          </w:tcPr>
          <w:p w:rsidRPr="008105A6" w:rsidR="00233742" w:rsidP="00485799" w:rsidRDefault="00233742" w14:paraId="7346BC2E" w14:textId="77777777">
            <w:pPr>
              <w:spacing w:after="0" w:line="240" w:lineRule="auto"/>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Total per Respondent</w:t>
            </w:r>
          </w:p>
        </w:tc>
        <w:tc>
          <w:tcPr>
            <w:tcW w:w="1350" w:type="dxa"/>
            <w:tcBorders>
              <w:top w:val="nil"/>
              <w:left w:val="nil"/>
              <w:bottom w:val="single" w:color="auto" w:sz="4" w:space="0"/>
              <w:right w:val="single" w:color="auto" w:sz="4" w:space="0"/>
            </w:tcBorders>
            <w:shd w:val="clear" w:color="auto" w:fill="auto"/>
            <w:noWrap/>
            <w:vAlign w:val="bottom"/>
          </w:tcPr>
          <w:p w:rsidRPr="008105A6" w:rsidR="00233742" w:rsidP="00A12DB1" w:rsidRDefault="00233742" w14:paraId="7BAE144A" w14:textId="77777777">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24,120</w:t>
            </w:r>
          </w:p>
        </w:tc>
        <w:tc>
          <w:tcPr>
            <w:tcW w:w="1705" w:type="dxa"/>
            <w:tcBorders>
              <w:top w:val="nil"/>
              <w:left w:val="nil"/>
              <w:bottom w:val="single" w:color="auto" w:sz="4" w:space="0"/>
              <w:right w:val="single" w:color="auto" w:sz="4" w:space="0"/>
            </w:tcBorders>
            <w:shd w:val="clear" w:color="auto" w:fill="auto"/>
            <w:noWrap/>
            <w:vAlign w:val="bottom"/>
          </w:tcPr>
          <w:p w:rsidRPr="008105A6" w:rsidR="00233742" w:rsidP="00A12DB1" w:rsidRDefault="00233742" w14:paraId="604D4428" w14:textId="77777777">
            <w:pPr>
              <w:spacing w:after="0" w:line="240" w:lineRule="auto"/>
              <w:jc w:val="center"/>
              <w:rPr>
                <w:rFonts w:ascii="Times New Roman" w:hAnsi="Times New Roman" w:eastAsia="Times New Roman" w:cs="Times New Roman"/>
                <w:color w:val="000000"/>
                <w:sz w:val="24"/>
                <w:szCs w:val="24"/>
              </w:rPr>
            </w:pPr>
          </w:p>
        </w:tc>
        <w:tc>
          <w:tcPr>
            <w:tcW w:w="1980" w:type="dxa"/>
            <w:tcBorders>
              <w:top w:val="nil"/>
              <w:left w:val="nil"/>
              <w:bottom w:val="single" w:color="auto" w:sz="4" w:space="0"/>
              <w:right w:val="single" w:color="auto" w:sz="4" w:space="0"/>
            </w:tcBorders>
            <w:shd w:val="clear" w:color="auto" w:fill="auto"/>
            <w:noWrap/>
            <w:vAlign w:val="bottom"/>
          </w:tcPr>
          <w:p w:rsidRPr="008105A6" w:rsidR="00233742" w:rsidP="00A12DB1" w:rsidRDefault="00233742" w14:paraId="0F3C9451" w14:textId="1678455A">
            <w:pPr>
              <w:spacing w:after="0" w:line="240" w:lineRule="auto"/>
              <w:jc w:val="center"/>
              <w:rPr>
                <w:rFonts w:ascii="Times New Roman" w:hAnsi="Times New Roman" w:eastAsia="Times New Roman" w:cs="Times New Roman"/>
                <w:color w:val="000000"/>
                <w:sz w:val="24"/>
                <w:szCs w:val="24"/>
              </w:rPr>
            </w:pPr>
            <w:r w:rsidRPr="008105A6">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1,065,774</w:t>
            </w:r>
          </w:p>
        </w:tc>
      </w:tr>
    </w:tbl>
    <w:p w:rsidR="00D239CA" w:rsidP="00D239CA" w:rsidRDefault="00D239CA" w14:paraId="3F09BEE0" w14:textId="1E84847A">
      <w:pPr>
        <w:spacing w:after="0"/>
        <w:rPr>
          <w:rFonts w:ascii="Times New Roman" w:hAnsi="Times New Roman" w:cs="Times New Roman"/>
          <w:sz w:val="24"/>
          <w:szCs w:val="24"/>
        </w:rPr>
      </w:pPr>
    </w:p>
    <w:p w:rsidRPr="00DD5D1C" w:rsidR="00D239CA" w:rsidP="00DD5D1C" w:rsidRDefault="00D239CA" w14:paraId="4F364E5F" w14:textId="5D27152E">
      <w:pPr>
        <w:pStyle w:val="BodyText"/>
        <w:ind w:right="30"/>
        <w:rPr>
          <w:b/>
        </w:rPr>
      </w:pPr>
      <w:r w:rsidRPr="00DD5D1C">
        <w:rPr>
          <w:b/>
        </w:rPr>
        <w:t xml:space="preserve">Table </w:t>
      </w:r>
      <w:r w:rsidR="00A20208">
        <w:rPr>
          <w:b/>
        </w:rPr>
        <w:t>5</w:t>
      </w:r>
      <w:r w:rsidRPr="00DD5D1C" w:rsidR="00F67360">
        <w:rPr>
          <w:b/>
        </w:rPr>
        <w:t>B</w:t>
      </w:r>
      <w:r w:rsidRPr="00DD5D1C">
        <w:rPr>
          <w:b/>
        </w:rPr>
        <w:t>. Estimated Annual Burden for All Issuers</w:t>
      </w:r>
      <w:r w:rsidRPr="00DD5D1C" w:rsidR="00C302D7">
        <w:rPr>
          <w:b/>
        </w:rPr>
        <w:t xml:space="preserve"> </w:t>
      </w:r>
      <w:r w:rsidRPr="00DD5D1C" w:rsidR="00563B98">
        <w:rPr>
          <w:b/>
        </w:rPr>
        <w:t>or State Exchange</w:t>
      </w:r>
      <w:r w:rsidRPr="00DD5D1C" w:rsidR="00C302D7">
        <w:rPr>
          <w:b/>
        </w:rPr>
        <w:t xml:space="preserve"> performing premium billing and payment processing</w:t>
      </w:r>
      <w:r w:rsidRPr="00DD5D1C" w:rsidR="003B0791">
        <w:rPr>
          <w:b/>
        </w:rPr>
        <w:t xml:space="preserve"> </w:t>
      </w:r>
    </w:p>
    <w:p w:rsidRPr="000A159E" w:rsidR="00385C00" w:rsidP="00242A4D" w:rsidRDefault="00385C00" w14:paraId="6A109A9B" w14:textId="297212DC"/>
    <w:tbl>
      <w:tblPr>
        <w:tblStyle w:val="TableGrid"/>
        <w:tblW w:w="7570" w:type="dxa"/>
        <w:jc w:val="center"/>
        <w:tblLayout w:type="fixed"/>
        <w:tblLook w:val="04A0" w:firstRow="1" w:lastRow="0" w:firstColumn="1" w:lastColumn="0" w:noHBand="0" w:noVBand="1"/>
      </w:tblPr>
      <w:tblGrid>
        <w:gridCol w:w="1535"/>
        <w:gridCol w:w="1530"/>
        <w:gridCol w:w="1350"/>
        <w:gridCol w:w="1548"/>
        <w:gridCol w:w="1607"/>
      </w:tblGrid>
      <w:tr w:rsidRPr="00385C00" w:rsidR="007475CC" w:rsidTr="007475CC" w14:paraId="2DD8ECA1" w14:textId="77777777">
        <w:trPr>
          <w:jc w:val="center"/>
        </w:trPr>
        <w:tc>
          <w:tcPr>
            <w:tcW w:w="1535" w:type="dxa"/>
            <w:vAlign w:val="bottom"/>
          </w:tcPr>
          <w:p w:rsidRPr="00385C00" w:rsidR="007475CC" w:rsidP="00D1596B" w:rsidRDefault="007475CC" w14:paraId="1A081BE1" w14:textId="77777777">
            <w:pPr>
              <w:jc w:val="center"/>
              <w:rPr>
                <w:rFonts w:cs="Times New Roman"/>
                <w:szCs w:val="24"/>
              </w:rPr>
            </w:pPr>
          </w:p>
        </w:tc>
        <w:tc>
          <w:tcPr>
            <w:tcW w:w="1530" w:type="dxa"/>
            <w:vAlign w:val="bottom"/>
          </w:tcPr>
          <w:p w:rsidRPr="00385C00" w:rsidR="007475CC" w:rsidP="00D1596B" w:rsidRDefault="007475CC" w14:paraId="72C96300" w14:textId="77777777">
            <w:pPr>
              <w:jc w:val="center"/>
              <w:rPr>
                <w:rFonts w:cs="Times New Roman"/>
                <w:szCs w:val="24"/>
              </w:rPr>
            </w:pPr>
            <w:r w:rsidRPr="00385C00">
              <w:rPr>
                <w:rFonts w:cs="Times New Roman"/>
                <w:szCs w:val="24"/>
              </w:rPr>
              <w:t>Number of Respondents</w:t>
            </w:r>
          </w:p>
        </w:tc>
        <w:tc>
          <w:tcPr>
            <w:tcW w:w="1350" w:type="dxa"/>
            <w:vAlign w:val="bottom"/>
          </w:tcPr>
          <w:p w:rsidRPr="00385C00" w:rsidR="007475CC" w:rsidP="00D1596B" w:rsidRDefault="007475CC" w14:paraId="054E96E2" w14:textId="50F57CF5">
            <w:pPr>
              <w:jc w:val="center"/>
              <w:rPr>
                <w:rFonts w:cs="Times New Roman"/>
                <w:szCs w:val="24"/>
              </w:rPr>
            </w:pPr>
            <w:r w:rsidRPr="00385C00">
              <w:rPr>
                <w:rFonts w:cs="Times New Roman"/>
                <w:szCs w:val="24"/>
              </w:rPr>
              <w:t>Burden Hours</w:t>
            </w:r>
          </w:p>
        </w:tc>
        <w:tc>
          <w:tcPr>
            <w:tcW w:w="1548" w:type="dxa"/>
            <w:vAlign w:val="bottom"/>
          </w:tcPr>
          <w:p w:rsidRPr="00385C00" w:rsidR="007475CC" w:rsidP="00D1596B" w:rsidRDefault="007475CC" w14:paraId="32FF18CB" w14:textId="77777777">
            <w:pPr>
              <w:jc w:val="center"/>
              <w:rPr>
                <w:rFonts w:cs="Times New Roman"/>
                <w:szCs w:val="24"/>
              </w:rPr>
            </w:pPr>
            <w:r w:rsidRPr="00385C00">
              <w:rPr>
                <w:rFonts w:cs="Times New Roman"/>
                <w:szCs w:val="24"/>
              </w:rPr>
              <w:t>Total Burden Hours Per Year</w:t>
            </w:r>
          </w:p>
        </w:tc>
        <w:tc>
          <w:tcPr>
            <w:tcW w:w="1607" w:type="dxa"/>
            <w:vAlign w:val="bottom"/>
          </w:tcPr>
          <w:p w:rsidRPr="00385C00" w:rsidR="007475CC" w:rsidP="00D1596B" w:rsidRDefault="007475CC" w14:paraId="7F670287" w14:textId="6F00FCA6">
            <w:pPr>
              <w:jc w:val="center"/>
              <w:rPr>
                <w:rFonts w:cs="Times New Roman"/>
                <w:szCs w:val="24"/>
              </w:rPr>
            </w:pPr>
            <w:r w:rsidRPr="00385C00">
              <w:rPr>
                <w:rFonts w:cs="Times New Roman"/>
                <w:szCs w:val="24"/>
              </w:rPr>
              <w:t xml:space="preserve">Total </w:t>
            </w:r>
            <w:r>
              <w:rPr>
                <w:rFonts w:cs="Times New Roman"/>
                <w:szCs w:val="24"/>
              </w:rPr>
              <w:t>Burden</w:t>
            </w:r>
            <w:r w:rsidRPr="00385C00">
              <w:rPr>
                <w:rFonts w:cs="Times New Roman"/>
                <w:szCs w:val="24"/>
              </w:rPr>
              <w:t xml:space="preserve"> Cost Per Year</w:t>
            </w:r>
          </w:p>
        </w:tc>
      </w:tr>
      <w:tr w:rsidRPr="00385C00" w:rsidR="007475CC" w:rsidTr="007475CC" w14:paraId="5562741B" w14:textId="77777777">
        <w:trPr>
          <w:jc w:val="center"/>
        </w:trPr>
        <w:tc>
          <w:tcPr>
            <w:tcW w:w="1535" w:type="dxa"/>
            <w:vAlign w:val="bottom"/>
          </w:tcPr>
          <w:p w:rsidRPr="00385C00" w:rsidR="007475CC" w:rsidP="00D1596B" w:rsidRDefault="007475CC" w14:paraId="75FAB26E" w14:textId="77777777">
            <w:pPr>
              <w:rPr>
                <w:rFonts w:cs="Times New Roman"/>
                <w:szCs w:val="24"/>
              </w:rPr>
            </w:pPr>
            <w:r w:rsidRPr="00385C00">
              <w:rPr>
                <w:rFonts w:cs="Times New Roman"/>
                <w:szCs w:val="24"/>
              </w:rPr>
              <w:t>Issuer</w:t>
            </w:r>
          </w:p>
        </w:tc>
        <w:tc>
          <w:tcPr>
            <w:tcW w:w="1530" w:type="dxa"/>
            <w:vAlign w:val="bottom"/>
          </w:tcPr>
          <w:p w:rsidRPr="00660749" w:rsidR="007475CC" w:rsidP="00D1596B" w:rsidRDefault="007475CC" w14:paraId="56A836A9" w14:textId="33C227A5">
            <w:pPr>
              <w:jc w:val="center"/>
              <w:rPr>
                <w:rFonts w:cs="Times New Roman"/>
                <w:szCs w:val="24"/>
              </w:rPr>
            </w:pPr>
            <w:r w:rsidRPr="00660749">
              <w:rPr>
                <w:rFonts w:cs="Times New Roman"/>
                <w:szCs w:val="24"/>
              </w:rPr>
              <w:t>94</w:t>
            </w:r>
          </w:p>
        </w:tc>
        <w:tc>
          <w:tcPr>
            <w:tcW w:w="1350" w:type="dxa"/>
            <w:vAlign w:val="bottom"/>
          </w:tcPr>
          <w:p w:rsidRPr="00385C00" w:rsidR="007475CC" w:rsidP="00D1596B" w:rsidRDefault="007475CC" w14:paraId="29C009DF" w14:textId="77777777">
            <w:pPr>
              <w:jc w:val="center"/>
              <w:rPr>
                <w:rFonts w:eastAsia="Times New Roman" w:cs="Times New Roman"/>
                <w:color w:val="000000"/>
                <w:szCs w:val="24"/>
              </w:rPr>
            </w:pPr>
            <w:r w:rsidRPr="00385C00">
              <w:rPr>
                <w:rFonts w:eastAsia="Times New Roman" w:cs="Times New Roman"/>
                <w:color w:val="000000"/>
                <w:szCs w:val="24"/>
              </w:rPr>
              <w:t>12,060</w:t>
            </w:r>
          </w:p>
        </w:tc>
        <w:tc>
          <w:tcPr>
            <w:tcW w:w="1548" w:type="dxa"/>
            <w:vAlign w:val="bottom"/>
          </w:tcPr>
          <w:p w:rsidRPr="00385C00" w:rsidR="007475CC" w:rsidP="00D1596B" w:rsidRDefault="007475CC" w14:paraId="47477A0A" w14:textId="788DF1CF">
            <w:pPr>
              <w:jc w:val="center"/>
              <w:rPr>
                <w:rFonts w:cs="Times New Roman"/>
                <w:szCs w:val="24"/>
              </w:rPr>
            </w:pPr>
            <w:r w:rsidRPr="00385C00">
              <w:rPr>
                <w:rFonts w:cs="Times New Roman"/>
                <w:szCs w:val="24"/>
              </w:rPr>
              <w:t>1,133,640</w:t>
            </w:r>
          </w:p>
        </w:tc>
        <w:tc>
          <w:tcPr>
            <w:tcW w:w="1607" w:type="dxa"/>
            <w:vAlign w:val="bottom"/>
          </w:tcPr>
          <w:p w:rsidR="007475CC" w:rsidP="00D1596B" w:rsidRDefault="007475CC" w14:paraId="57A9B8C5" w14:textId="6B972EC1">
            <w:pPr>
              <w:jc w:val="center"/>
              <w:rPr>
                <w:rFonts w:cs="Times New Roman"/>
                <w:szCs w:val="24"/>
              </w:rPr>
            </w:pPr>
          </w:p>
          <w:p w:rsidRPr="00385C00" w:rsidR="007475CC" w:rsidP="00D1596B" w:rsidRDefault="007475CC" w14:paraId="1C21BD28" w14:textId="20BE6E7D">
            <w:pPr>
              <w:jc w:val="center"/>
              <w:rPr>
                <w:rFonts w:cs="Times New Roman"/>
                <w:szCs w:val="24"/>
              </w:rPr>
            </w:pPr>
            <w:r>
              <w:rPr>
                <w:rFonts w:cs="Times New Roman"/>
                <w:szCs w:val="24"/>
              </w:rPr>
              <w:t>$50,091,397</w:t>
            </w:r>
          </w:p>
        </w:tc>
      </w:tr>
      <w:tr w:rsidRPr="00385C00" w:rsidR="007475CC" w:rsidTr="007475CC" w14:paraId="60F266F4" w14:textId="77777777">
        <w:trPr>
          <w:jc w:val="center"/>
        </w:trPr>
        <w:tc>
          <w:tcPr>
            <w:tcW w:w="1535" w:type="dxa"/>
            <w:vAlign w:val="bottom"/>
          </w:tcPr>
          <w:p w:rsidRPr="00385C00" w:rsidR="007475CC" w:rsidP="00D1596B" w:rsidRDefault="007475CC" w14:paraId="3D0D2213" w14:textId="77777777">
            <w:pPr>
              <w:rPr>
                <w:rFonts w:cs="Times New Roman"/>
                <w:szCs w:val="24"/>
              </w:rPr>
            </w:pPr>
            <w:r w:rsidRPr="00385C00">
              <w:rPr>
                <w:rFonts w:cs="Times New Roman"/>
                <w:szCs w:val="24"/>
              </w:rPr>
              <w:t>State Exchange</w:t>
            </w:r>
          </w:p>
        </w:tc>
        <w:tc>
          <w:tcPr>
            <w:tcW w:w="1530" w:type="dxa"/>
            <w:vAlign w:val="bottom"/>
          </w:tcPr>
          <w:p w:rsidRPr="00660749" w:rsidR="007475CC" w:rsidP="00D1596B" w:rsidRDefault="007475CC" w14:paraId="43B58691" w14:textId="77777777">
            <w:pPr>
              <w:jc w:val="center"/>
              <w:rPr>
                <w:rFonts w:cs="Times New Roman"/>
                <w:szCs w:val="24"/>
              </w:rPr>
            </w:pPr>
            <w:r w:rsidRPr="00660749">
              <w:rPr>
                <w:rFonts w:cs="Times New Roman"/>
                <w:szCs w:val="24"/>
              </w:rPr>
              <w:t>3</w:t>
            </w:r>
          </w:p>
        </w:tc>
        <w:tc>
          <w:tcPr>
            <w:tcW w:w="1350" w:type="dxa"/>
            <w:vAlign w:val="bottom"/>
          </w:tcPr>
          <w:p w:rsidRPr="00385C00" w:rsidR="007475CC" w:rsidP="00D1596B" w:rsidRDefault="007475CC" w14:paraId="3F6D3B84" w14:textId="77777777">
            <w:pPr>
              <w:jc w:val="center"/>
              <w:rPr>
                <w:rFonts w:eastAsia="Times New Roman" w:cs="Times New Roman"/>
                <w:color w:val="000000"/>
                <w:szCs w:val="24"/>
              </w:rPr>
            </w:pPr>
            <w:r w:rsidRPr="00385C00">
              <w:rPr>
                <w:rFonts w:eastAsia="Times New Roman" w:cs="Times New Roman"/>
                <w:color w:val="000000"/>
                <w:szCs w:val="24"/>
              </w:rPr>
              <w:t>12,060</w:t>
            </w:r>
          </w:p>
        </w:tc>
        <w:tc>
          <w:tcPr>
            <w:tcW w:w="1548" w:type="dxa"/>
            <w:vAlign w:val="bottom"/>
          </w:tcPr>
          <w:p w:rsidRPr="00385C00" w:rsidR="007475CC" w:rsidP="00D1596B" w:rsidRDefault="007475CC" w14:paraId="5C90FF2F" w14:textId="77777777">
            <w:pPr>
              <w:jc w:val="center"/>
              <w:rPr>
                <w:rFonts w:cs="Times New Roman"/>
                <w:szCs w:val="24"/>
              </w:rPr>
            </w:pPr>
            <w:r w:rsidRPr="00385C00">
              <w:rPr>
                <w:rFonts w:cs="Times New Roman"/>
                <w:szCs w:val="24"/>
              </w:rPr>
              <w:t>36,180</w:t>
            </w:r>
          </w:p>
        </w:tc>
        <w:tc>
          <w:tcPr>
            <w:tcW w:w="1607" w:type="dxa"/>
            <w:vAlign w:val="bottom"/>
          </w:tcPr>
          <w:p w:rsidR="007475CC" w:rsidP="00D1596B" w:rsidRDefault="007475CC" w14:paraId="18AA595D" w14:textId="07B2D9A9">
            <w:pPr>
              <w:jc w:val="center"/>
              <w:rPr>
                <w:rFonts w:cs="Times New Roman"/>
                <w:szCs w:val="24"/>
              </w:rPr>
            </w:pPr>
          </w:p>
          <w:p w:rsidRPr="00385C00" w:rsidR="007475CC" w:rsidP="00D1596B" w:rsidRDefault="007475CC" w14:paraId="419A8BCF" w14:textId="7AD3540F">
            <w:pPr>
              <w:jc w:val="center"/>
              <w:rPr>
                <w:rFonts w:cs="Times New Roman"/>
                <w:szCs w:val="24"/>
              </w:rPr>
            </w:pPr>
            <w:r>
              <w:rPr>
                <w:rFonts w:cs="Times New Roman"/>
                <w:szCs w:val="24"/>
              </w:rPr>
              <w:t>$1,598,662</w:t>
            </w:r>
          </w:p>
        </w:tc>
      </w:tr>
      <w:tr w:rsidRPr="00385C00" w:rsidR="007475CC" w:rsidTr="007475CC" w14:paraId="14FD58E8" w14:textId="77777777">
        <w:trPr>
          <w:jc w:val="center"/>
        </w:trPr>
        <w:tc>
          <w:tcPr>
            <w:tcW w:w="1535" w:type="dxa"/>
            <w:vAlign w:val="bottom"/>
          </w:tcPr>
          <w:p w:rsidRPr="00385C00" w:rsidR="007475CC" w:rsidP="00D1596B" w:rsidRDefault="007475CC" w14:paraId="4E6487EA" w14:textId="77777777">
            <w:pPr>
              <w:rPr>
                <w:rFonts w:cs="Times New Roman"/>
                <w:szCs w:val="24"/>
              </w:rPr>
            </w:pPr>
            <w:r w:rsidRPr="00385C00">
              <w:rPr>
                <w:rFonts w:cs="Times New Roman"/>
                <w:szCs w:val="24"/>
              </w:rPr>
              <w:t>Total</w:t>
            </w:r>
          </w:p>
        </w:tc>
        <w:tc>
          <w:tcPr>
            <w:tcW w:w="1530" w:type="dxa"/>
            <w:vAlign w:val="bottom"/>
          </w:tcPr>
          <w:p w:rsidRPr="00660749" w:rsidR="007475CC" w:rsidP="00D1596B" w:rsidRDefault="007475CC" w14:paraId="171829ED" w14:textId="04E72B47">
            <w:pPr>
              <w:jc w:val="center"/>
              <w:rPr>
                <w:rFonts w:cs="Times New Roman"/>
                <w:szCs w:val="24"/>
              </w:rPr>
            </w:pPr>
            <w:r w:rsidRPr="00660749">
              <w:rPr>
                <w:rFonts w:cs="Times New Roman"/>
                <w:szCs w:val="24"/>
              </w:rPr>
              <w:t>97</w:t>
            </w:r>
          </w:p>
        </w:tc>
        <w:tc>
          <w:tcPr>
            <w:tcW w:w="1350" w:type="dxa"/>
            <w:vAlign w:val="bottom"/>
          </w:tcPr>
          <w:p w:rsidRPr="00385C00" w:rsidR="007475CC" w:rsidP="00D1596B" w:rsidRDefault="007475CC" w14:paraId="37218D22" w14:textId="77777777">
            <w:pPr>
              <w:jc w:val="center"/>
              <w:rPr>
                <w:rFonts w:eastAsia="Times New Roman" w:cs="Times New Roman"/>
                <w:color w:val="000000"/>
                <w:szCs w:val="24"/>
              </w:rPr>
            </w:pPr>
            <w:r w:rsidRPr="00385C00">
              <w:rPr>
                <w:rFonts w:eastAsia="Times New Roman" w:cs="Times New Roman"/>
                <w:color w:val="000000"/>
                <w:szCs w:val="24"/>
              </w:rPr>
              <w:t>12,060</w:t>
            </w:r>
          </w:p>
        </w:tc>
        <w:tc>
          <w:tcPr>
            <w:tcW w:w="1548" w:type="dxa"/>
            <w:vAlign w:val="bottom"/>
          </w:tcPr>
          <w:p w:rsidRPr="00385C00" w:rsidR="007475CC" w:rsidP="00D1596B" w:rsidRDefault="007475CC" w14:paraId="1D3021E7" w14:textId="4C95DBBC">
            <w:pPr>
              <w:jc w:val="center"/>
              <w:rPr>
                <w:rFonts w:cs="Times New Roman"/>
                <w:szCs w:val="24"/>
              </w:rPr>
            </w:pPr>
            <w:r w:rsidRPr="00385C00">
              <w:rPr>
                <w:rFonts w:cs="Times New Roman"/>
                <w:szCs w:val="24"/>
              </w:rPr>
              <w:t xml:space="preserve">1,169,820 </w:t>
            </w:r>
          </w:p>
        </w:tc>
        <w:tc>
          <w:tcPr>
            <w:tcW w:w="1607" w:type="dxa"/>
            <w:vAlign w:val="bottom"/>
          </w:tcPr>
          <w:p w:rsidR="007475CC" w:rsidP="00D1596B" w:rsidRDefault="007475CC" w14:paraId="2535725F" w14:textId="6F25185F">
            <w:pPr>
              <w:jc w:val="center"/>
              <w:rPr>
                <w:rFonts w:cs="Times New Roman"/>
                <w:szCs w:val="24"/>
              </w:rPr>
            </w:pPr>
          </w:p>
          <w:p w:rsidRPr="00385C00" w:rsidR="007475CC" w:rsidP="00D1596B" w:rsidRDefault="007475CC" w14:paraId="5A915882" w14:textId="3CEB0279">
            <w:pPr>
              <w:jc w:val="center"/>
              <w:rPr>
                <w:rFonts w:cs="Times New Roman"/>
                <w:szCs w:val="24"/>
              </w:rPr>
            </w:pPr>
            <w:r>
              <w:rPr>
                <w:rFonts w:cs="Times New Roman"/>
                <w:szCs w:val="24"/>
              </w:rPr>
              <w:t>$51,690,058</w:t>
            </w:r>
          </w:p>
        </w:tc>
      </w:tr>
    </w:tbl>
    <w:p w:rsidRPr="00385C00" w:rsidR="00A53DA8" w:rsidP="0088692B" w:rsidRDefault="00385C00" w14:paraId="5CE445C7" w14:textId="48C137C2">
      <w:pPr>
        <w:spacing w:line="240" w:lineRule="auto"/>
      </w:pPr>
      <w:r w:rsidRPr="008105A6">
        <w:rPr>
          <w:rFonts w:ascii="Times New Roman" w:hAnsi="Times New Roman" w:cs="Times New Roman"/>
          <w:sz w:val="24"/>
          <w:szCs w:val="24"/>
        </w:rPr>
        <w:tab/>
      </w:r>
    </w:p>
    <w:p w:rsidR="00F6257C" w:rsidP="0088692B" w:rsidRDefault="00385B6E" w14:paraId="5B7BDD95" w14:textId="08C39F48">
      <w:pPr>
        <w:spacing w:after="0" w:line="240" w:lineRule="auto"/>
        <w:ind w:right="29"/>
        <w:rPr>
          <w:rFonts w:ascii="Times New Roman" w:hAnsi="Times New Roman" w:cs="Times New Roman"/>
          <w:sz w:val="24"/>
          <w:szCs w:val="24"/>
        </w:rPr>
      </w:pPr>
      <w:r w:rsidRPr="00385B6E">
        <w:rPr>
          <w:rFonts w:ascii="Times New Roman" w:hAnsi="Times New Roman" w:cs="Times New Roman"/>
          <w:sz w:val="24"/>
          <w:szCs w:val="24"/>
        </w:rPr>
        <w:t xml:space="preserve">Based on </w:t>
      </w:r>
      <w:r w:rsidR="00660749">
        <w:rPr>
          <w:rFonts w:ascii="Times New Roman" w:hAnsi="Times New Roman" w:cs="Times New Roman"/>
          <w:sz w:val="24"/>
          <w:szCs w:val="24"/>
        </w:rPr>
        <w:t>2019</w:t>
      </w:r>
      <w:r w:rsidRPr="00385B6E" w:rsidR="00660749">
        <w:rPr>
          <w:rFonts w:ascii="Times New Roman" w:hAnsi="Times New Roman" w:cs="Times New Roman"/>
          <w:sz w:val="24"/>
          <w:szCs w:val="24"/>
        </w:rPr>
        <w:t xml:space="preserve"> </w:t>
      </w:r>
      <w:r w:rsidRPr="00385B6E">
        <w:rPr>
          <w:rFonts w:ascii="Times New Roman" w:hAnsi="Times New Roman" w:cs="Times New Roman"/>
          <w:sz w:val="24"/>
          <w:szCs w:val="24"/>
        </w:rPr>
        <w:t xml:space="preserve">QHP Certification Data in the FFEs and SBE-FPs, we now estimate that there are approximately </w:t>
      </w:r>
      <w:r w:rsidRPr="00660749" w:rsidR="00660749">
        <w:rPr>
          <w:rFonts w:ascii="Times New Roman" w:hAnsi="Times New Roman" w:cs="Times New Roman"/>
          <w:sz w:val="24"/>
          <w:szCs w:val="24"/>
        </w:rPr>
        <w:t xml:space="preserve">442,400 </w:t>
      </w:r>
      <w:r w:rsidRPr="00385B6E">
        <w:rPr>
          <w:rFonts w:ascii="Times New Roman" w:hAnsi="Times New Roman" w:cs="Times New Roman"/>
          <w:sz w:val="24"/>
          <w:szCs w:val="24"/>
        </w:rPr>
        <w:t xml:space="preserve">enrollees </w:t>
      </w:r>
      <w:r w:rsidR="00660749">
        <w:rPr>
          <w:rFonts w:ascii="Times New Roman" w:hAnsi="Times New Roman" w:cs="Times New Roman"/>
          <w:sz w:val="24"/>
          <w:szCs w:val="24"/>
        </w:rPr>
        <w:t>in</w:t>
      </w:r>
      <w:r w:rsidRPr="00385B6E">
        <w:rPr>
          <w:rFonts w:ascii="Times New Roman" w:hAnsi="Times New Roman" w:cs="Times New Roman"/>
          <w:sz w:val="24"/>
          <w:szCs w:val="24"/>
        </w:rPr>
        <w:t xml:space="preserve"> QHPs covering non-Hyde abortion services</w:t>
      </w:r>
      <w:r w:rsidR="00AF4A2E">
        <w:rPr>
          <w:rFonts w:ascii="Times New Roman" w:hAnsi="Times New Roman" w:cs="Times New Roman"/>
          <w:sz w:val="24"/>
          <w:szCs w:val="24"/>
        </w:rPr>
        <w:t xml:space="preserve">. </w:t>
      </w:r>
      <w:r w:rsidRPr="00385B6E">
        <w:rPr>
          <w:rFonts w:ascii="Times New Roman" w:hAnsi="Times New Roman" w:cs="Times New Roman"/>
          <w:sz w:val="24"/>
          <w:szCs w:val="24"/>
        </w:rPr>
        <w:t xml:space="preserve">In </w:t>
      </w:r>
      <w:r w:rsidR="00660749">
        <w:rPr>
          <w:rFonts w:ascii="Times New Roman" w:hAnsi="Times New Roman" w:cs="Times New Roman"/>
          <w:sz w:val="24"/>
          <w:szCs w:val="24"/>
        </w:rPr>
        <w:t xml:space="preserve">the 11 </w:t>
      </w:r>
      <w:r w:rsidRPr="00385B6E">
        <w:rPr>
          <w:rFonts w:ascii="Times New Roman" w:hAnsi="Times New Roman" w:cs="Times New Roman"/>
          <w:sz w:val="24"/>
          <w:szCs w:val="24"/>
        </w:rPr>
        <w:t>State Exchanges</w:t>
      </w:r>
      <w:r w:rsidRPr="00660749" w:rsidR="00660749">
        <w:t xml:space="preserve"> </w:t>
      </w:r>
      <w:r w:rsidRPr="00660749" w:rsidR="00660749">
        <w:rPr>
          <w:rFonts w:ascii="Times New Roman" w:hAnsi="Times New Roman" w:cs="Times New Roman"/>
          <w:sz w:val="24"/>
          <w:szCs w:val="24"/>
        </w:rPr>
        <w:t>that operated their own technology platform and had issuers that offered coverage of non-Hyde abortion services in 2019</w:t>
      </w:r>
      <w:r w:rsidRPr="00385B6E">
        <w:rPr>
          <w:rFonts w:ascii="Times New Roman" w:hAnsi="Times New Roman" w:cs="Times New Roman"/>
          <w:sz w:val="24"/>
          <w:szCs w:val="24"/>
        </w:rPr>
        <w:t xml:space="preserve">, we estimate that there are approximately </w:t>
      </w:r>
      <w:r w:rsidRPr="00660749" w:rsidR="00660749">
        <w:rPr>
          <w:rFonts w:ascii="Times New Roman" w:hAnsi="Times New Roman" w:cs="Times New Roman"/>
          <w:sz w:val="24"/>
          <w:szCs w:val="24"/>
        </w:rPr>
        <w:t xml:space="preserve">2,597,700 </w:t>
      </w:r>
      <w:r w:rsidRPr="00385B6E">
        <w:rPr>
          <w:rFonts w:ascii="Times New Roman" w:hAnsi="Times New Roman" w:cs="Times New Roman"/>
          <w:sz w:val="24"/>
          <w:szCs w:val="24"/>
        </w:rPr>
        <w:t xml:space="preserve">enrollees </w:t>
      </w:r>
      <w:r w:rsidR="00660749">
        <w:rPr>
          <w:rFonts w:ascii="Times New Roman" w:hAnsi="Times New Roman" w:cs="Times New Roman"/>
          <w:sz w:val="24"/>
          <w:szCs w:val="24"/>
        </w:rPr>
        <w:t>in</w:t>
      </w:r>
      <w:r w:rsidRPr="00385B6E">
        <w:rPr>
          <w:rFonts w:ascii="Times New Roman" w:hAnsi="Times New Roman" w:cs="Times New Roman"/>
          <w:sz w:val="24"/>
          <w:szCs w:val="24"/>
        </w:rPr>
        <w:t xml:space="preserve"> QHPs covering non-Hyde abortion services</w:t>
      </w:r>
      <w:r w:rsidR="00AF4A2E">
        <w:rPr>
          <w:rFonts w:ascii="Times New Roman" w:hAnsi="Times New Roman" w:cs="Times New Roman"/>
          <w:sz w:val="24"/>
          <w:szCs w:val="24"/>
        </w:rPr>
        <w:t xml:space="preserve">. </w:t>
      </w:r>
      <w:r w:rsidRPr="00660749" w:rsidR="00660749">
        <w:rPr>
          <w:rFonts w:ascii="Times New Roman" w:hAnsi="Times New Roman" w:cs="Times New Roman"/>
          <w:sz w:val="24"/>
          <w:szCs w:val="24"/>
        </w:rPr>
        <w:t>The total number of enrollees in QHPs covering non-Hyde abortion services is approximately 3.04 million in 2019</w:t>
      </w:r>
      <w:r w:rsidR="00660749">
        <w:rPr>
          <w:rFonts w:ascii="Times New Roman" w:hAnsi="Times New Roman" w:cs="Times New Roman"/>
          <w:sz w:val="24"/>
          <w:szCs w:val="24"/>
        </w:rPr>
        <w:t xml:space="preserve">. The number of QHPs covering </w:t>
      </w:r>
      <w:r w:rsidRPr="00660749" w:rsidR="00660749">
        <w:rPr>
          <w:rFonts w:ascii="Times New Roman" w:hAnsi="Times New Roman" w:cs="Times New Roman"/>
          <w:sz w:val="24"/>
          <w:szCs w:val="24"/>
        </w:rPr>
        <w:t>non-Hyde abortion services will be hi</w:t>
      </w:r>
      <w:r w:rsidR="00660749">
        <w:rPr>
          <w:rFonts w:ascii="Times New Roman" w:hAnsi="Times New Roman" w:cs="Times New Roman"/>
          <w:sz w:val="24"/>
          <w:szCs w:val="24"/>
        </w:rPr>
        <w:t xml:space="preserve">gher in 2020 compared to 2019. </w:t>
      </w:r>
      <w:r w:rsidRPr="00660749" w:rsidR="00660749">
        <w:rPr>
          <w:rFonts w:ascii="Times New Roman" w:hAnsi="Times New Roman" w:cs="Times New Roman"/>
          <w:sz w:val="24"/>
          <w:szCs w:val="24"/>
        </w:rPr>
        <w:t>Therefore, we are using the number of enrollees in such QHPs in 2019 as a lower bound for the number of enrollees who will experience an increase in bu</w:t>
      </w:r>
      <w:r w:rsidR="005D3CE2">
        <w:rPr>
          <w:rFonts w:ascii="Times New Roman" w:hAnsi="Times New Roman" w:cs="Times New Roman"/>
          <w:sz w:val="24"/>
          <w:szCs w:val="24"/>
        </w:rPr>
        <w:t>r</w:t>
      </w:r>
      <w:r w:rsidRPr="00660749" w:rsidR="00660749">
        <w:rPr>
          <w:rFonts w:ascii="Times New Roman" w:hAnsi="Times New Roman" w:cs="Times New Roman"/>
          <w:sz w:val="24"/>
          <w:szCs w:val="24"/>
        </w:rPr>
        <w:t>den as a result of the finalized policies.</w:t>
      </w:r>
    </w:p>
    <w:p w:rsidRPr="000E3069" w:rsidR="000E3069" w:rsidP="0088692B" w:rsidRDefault="000E3069" w14:paraId="33DFA39E" w14:textId="77777777">
      <w:pPr>
        <w:spacing w:after="0" w:line="240" w:lineRule="auto"/>
        <w:ind w:right="29"/>
        <w:rPr>
          <w:rFonts w:ascii="Times New Roman" w:hAnsi="Times New Roman" w:cs="Times New Roman"/>
          <w:sz w:val="24"/>
          <w:szCs w:val="24"/>
        </w:rPr>
      </w:pPr>
    </w:p>
    <w:p w:rsidR="00D72BC8" w:rsidP="0088692B" w:rsidRDefault="00D72BC8" w14:paraId="3F3FD8D9" w14:textId="047D0E45">
      <w:pPr>
        <w:spacing w:line="240" w:lineRule="auto"/>
        <w:ind w:right="29"/>
        <w:rPr>
          <w:rFonts w:ascii="Times New Roman" w:hAnsi="Times New Roman" w:cs="Times New Roman"/>
          <w:sz w:val="24"/>
          <w:szCs w:val="24"/>
        </w:rPr>
      </w:pPr>
    </w:p>
    <w:p w:rsidR="00D72BC8" w:rsidP="00A12DB1" w:rsidRDefault="00D72BC8" w14:paraId="6B4B3731" w14:textId="6C36E6A0">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A12DB1">
        <w:rPr>
          <w:rFonts w:ascii="Times New Roman" w:hAnsi="Times New Roman" w:eastAsia="Times New Roman" w:cs="Times New Roman"/>
          <w:bCs/>
          <w:sz w:val="24"/>
          <w:szCs w:val="24"/>
          <w:u w:val="single"/>
        </w:rPr>
        <w:t>13.</w:t>
      </w:r>
      <w:r w:rsidRPr="00A12DB1">
        <w:rPr>
          <w:rFonts w:ascii="Times New Roman" w:hAnsi="Times New Roman" w:eastAsia="Times New Roman" w:cs="Times New Roman"/>
          <w:bCs/>
          <w:sz w:val="24"/>
          <w:szCs w:val="24"/>
        </w:rPr>
        <w:tab/>
      </w:r>
      <w:r w:rsidRPr="00A12DB1">
        <w:rPr>
          <w:rFonts w:ascii="Times New Roman" w:hAnsi="Times New Roman" w:eastAsia="Times New Roman" w:cs="Times New Roman"/>
          <w:bCs/>
          <w:sz w:val="24"/>
          <w:szCs w:val="24"/>
          <w:u w:val="single"/>
        </w:rPr>
        <w:t>Capital Costs</w:t>
      </w:r>
    </w:p>
    <w:p w:rsidRPr="00A12DB1" w:rsidR="006A4AF7" w:rsidP="00A12DB1" w:rsidRDefault="006A4AF7" w14:paraId="113A80EA"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p>
    <w:p w:rsidRPr="000C5AF7" w:rsidR="00FC001B" w:rsidP="00A12DB1" w:rsidRDefault="00FC001B" w14:paraId="3F1AC6B1" w14:textId="4D31024D">
      <w:pPr>
        <w:tabs>
          <w:tab w:val="left" w:pos="1180"/>
        </w:tabs>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Segregation Plan</w:t>
      </w:r>
    </w:p>
    <w:p w:rsidR="00D72BC8" w:rsidP="00A12DB1" w:rsidRDefault="00D72BC8" w14:paraId="3F91351B" w14:textId="49626F5A">
      <w:pPr>
        <w:spacing w:after="0" w:line="240" w:lineRule="auto"/>
        <w:ind w:right="29"/>
        <w:rPr>
          <w:rFonts w:ascii="Times New Roman" w:hAnsi="Times New Roman" w:eastAsia="Times New Roman" w:cs="Times New Roman"/>
          <w:sz w:val="24"/>
          <w:szCs w:val="24"/>
        </w:rPr>
      </w:pPr>
      <w:r w:rsidRPr="008F589E">
        <w:rPr>
          <w:rFonts w:ascii="Times New Roman" w:hAnsi="Times New Roman" w:eastAsia="Times New Roman" w:cs="Times New Roman"/>
          <w:sz w:val="24"/>
          <w:szCs w:val="24"/>
        </w:rPr>
        <w:t>Th</w:t>
      </w:r>
      <w:r w:rsidRPr="008F589E">
        <w:rPr>
          <w:rFonts w:ascii="Times New Roman" w:hAnsi="Times New Roman" w:eastAsia="Times New Roman" w:cs="Times New Roman"/>
          <w:spacing w:val="-1"/>
          <w:sz w:val="24"/>
          <w:szCs w:val="24"/>
        </w:rPr>
        <w:t>er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a</w:t>
      </w:r>
      <w:r w:rsidRPr="008F589E">
        <w:rPr>
          <w:rFonts w:ascii="Times New Roman" w:hAnsi="Times New Roman" w:eastAsia="Times New Roman" w:cs="Times New Roman"/>
          <w:spacing w:val="-3"/>
          <w:sz w:val="24"/>
          <w:szCs w:val="24"/>
        </w:rPr>
        <w:t>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w:t>
      </w:r>
      <w:r w:rsidRPr="008F589E">
        <w:rPr>
          <w:rFonts w:ascii="Times New Roman" w:hAnsi="Times New Roman" w:eastAsia="Times New Roman" w:cs="Times New Roman"/>
          <w:spacing w:val="-2"/>
          <w:sz w:val="24"/>
          <w:szCs w:val="24"/>
        </w:rPr>
        <w:t>n</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z w:val="24"/>
          <w:szCs w:val="24"/>
        </w:rPr>
        <w:t>nti</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ip</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pacing w:val="-2"/>
          <w:sz w:val="24"/>
          <w:szCs w:val="24"/>
        </w:rPr>
        <w:t>t</w:t>
      </w:r>
      <w:r w:rsidRPr="008F589E">
        <w:rPr>
          <w:rFonts w:ascii="Times New Roman" w:hAnsi="Times New Roman" w:eastAsia="Times New Roman" w:cs="Times New Roman"/>
          <w:spacing w:val="-1"/>
          <w:sz w:val="24"/>
          <w:szCs w:val="24"/>
        </w:rPr>
        <w:t>e</w:t>
      </w:r>
      <w:r w:rsidRPr="008F589E">
        <w:rPr>
          <w:rFonts w:ascii="Times New Roman" w:hAnsi="Times New Roman" w:eastAsia="Times New Roman" w:cs="Times New Roman"/>
          <w:sz w:val="24"/>
          <w:szCs w:val="24"/>
        </w:rPr>
        <w:t>d</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pacing w:val="-3"/>
          <w:sz w:val="24"/>
          <w:szCs w:val="24"/>
        </w:rPr>
        <w:t>a</w:t>
      </w:r>
      <w:r w:rsidRPr="008F589E">
        <w:rPr>
          <w:rFonts w:ascii="Times New Roman" w:hAnsi="Times New Roman" w:eastAsia="Times New Roman" w:cs="Times New Roman"/>
          <w:sz w:val="24"/>
          <w:szCs w:val="24"/>
        </w:rPr>
        <w:t>pit</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z w:val="24"/>
          <w:szCs w:val="24"/>
        </w:rPr>
        <w:t xml:space="preserve">l </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2"/>
          <w:sz w:val="24"/>
          <w:szCs w:val="24"/>
        </w:rPr>
        <w:t>s</w:t>
      </w:r>
      <w:r w:rsidRPr="008F589E">
        <w:rPr>
          <w:rFonts w:ascii="Times New Roman" w:hAnsi="Times New Roman" w:eastAsia="Times New Roman" w:cs="Times New Roman"/>
          <w:sz w:val="24"/>
          <w:szCs w:val="24"/>
        </w:rPr>
        <w:t xml:space="preserve">ts </w:t>
      </w:r>
      <w:r w:rsidRPr="008F589E">
        <w:rPr>
          <w:rFonts w:ascii="Times New Roman" w:hAnsi="Times New Roman" w:eastAsia="Times New Roman" w:cs="Times New Roman"/>
          <w:spacing w:val="-1"/>
          <w:sz w:val="24"/>
          <w:szCs w:val="24"/>
        </w:rPr>
        <w:t>a</w:t>
      </w:r>
      <w:r w:rsidRPr="008F589E">
        <w:rPr>
          <w:rFonts w:ascii="Times New Roman" w:hAnsi="Times New Roman" w:eastAsia="Times New Roman" w:cs="Times New Roman"/>
          <w:spacing w:val="-2"/>
          <w:sz w:val="24"/>
          <w:szCs w:val="24"/>
        </w:rPr>
        <w:t>s</w:t>
      </w:r>
      <w:r w:rsidRPr="008F589E">
        <w:rPr>
          <w:rFonts w:ascii="Times New Roman" w:hAnsi="Times New Roman" w:eastAsia="Times New Roman" w:cs="Times New Roman"/>
          <w:spacing w:val="3"/>
          <w:sz w:val="24"/>
          <w:szCs w:val="24"/>
        </w:rPr>
        <w:t>s</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i</w:t>
      </w:r>
      <w:r w:rsidRPr="008F589E">
        <w:rPr>
          <w:rFonts w:ascii="Times New Roman" w:hAnsi="Times New Roman" w:eastAsia="Times New Roman" w:cs="Times New Roman"/>
          <w:spacing w:val="-3"/>
          <w:sz w:val="24"/>
          <w:szCs w:val="24"/>
        </w:rPr>
        <w:t>a</w:t>
      </w:r>
      <w:r w:rsidRPr="008F589E">
        <w:rPr>
          <w:rFonts w:ascii="Times New Roman" w:hAnsi="Times New Roman" w:eastAsia="Times New Roman" w:cs="Times New Roman"/>
          <w:spacing w:val="3"/>
          <w:sz w:val="24"/>
          <w:szCs w:val="24"/>
        </w:rPr>
        <w:t>t</w:t>
      </w:r>
      <w:r w:rsidRPr="008F589E">
        <w:rPr>
          <w:rFonts w:ascii="Times New Roman" w:hAnsi="Times New Roman" w:eastAsia="Times New Roman" w:cs="Times New Roman"/>
          <w:spacing w:val="-1"/>
          <w:sz w:val="24"/>
          <w:szCs w:val="24"/>
        </w:rPr>
        <w:t>e</w:t>
      </w:r>
      <w:r w:rsidRPr="008F589E">
        <w:rPr>
          <w:rFonts w:ascii="Times New Roman" w:hAnsi="Times New Roman" w:eastAsia="Times New Roman" w:cs="Times New Roman"/>
          <w:sz w:val="24"/>
          <w:szCs w:val="24"/>
        </w:rPr>
        <w:t>d</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2"/>
          <w:sz w:val="24"/>
          <w:szCs w:val="24"/>
        </w:rPr>
        <w:t>w</w:t>
      </w:r>
      <w:r w:rsidRPr="008F589E">
        <w:rPr>
          <w:rFonts w:ascii="Times New Roman" w:hAnsi="Times New Roman" w:eastAsia="Times New Roman" w:cs="Times New Roman"/>
          <w:sz w:val="24"/>
          <w:szCs w:val="24"/>
        </w:rPr>
        <w:t>ith</w:t>
      </w:r>
      <w:r w:rsidRPr="008F589E">
        <w:rPr>
          <w:rFonts w:ascii="Times New Roman" w:hAnsi="Times New Roman" w:eastAsia="Times New Roman" w:cs="Times New Roman"/>
          <w:spacing w:val="-2"/>
          <w:sz w:val="24"/>
          <w:szCs w:val="24"/>
        </w:rPr>
        <w:t xml:space="preserve"> </w:t>
      </w:r>
      <w:r w:rsidR="000C5AF7">
        <w:rPr>
          <w:rFonts w:ascii="Times New Roman" w:hAnsi="Times New Roman" w:eastAsia="Times New Roman" w:cs="Times New Roman"/>
          <w:sz w:val="24"/>
          <w:szCs w:val="24"/>
        </w:rPr>
        <w:t>these</w:t>
      </w:r>
      <w:r w:rsidRPr="008F589E">
        <w:rPr>
          <w:rFonts w:ascii="Times New Roman" w:hAnsi="Times New Roman" w:eastAsia="Times New Roman" w:cs="Times New Roman"/>
          <w:sz w:val="24"/>
          <w:szCs w:val="24"/>
        </w:rPr>
        <w:t xml:space="preserve"> </w:t>
      </w:r>
      <w:r w:rsidR="000C5AF7">
        <w:rPr>
          <w:rFonts w:ascii="Times New Roman" w:hAnsi="Times New Roman" w:eastAsia="Times New Roman" w:cs="Times New Roman"/>
          <w:sz w:val="24"/>
          <w:szCs w:val="24"/>
        </w:rPr>
        <w:t xml:space="preserve">information </w:t>
      </w:r>
      <w:r w:rsidRPr="008F589E">
        <w:rPr>
          <w:rFonts w:ascii="Times New Roman" w:hAnsi="Times New Roman" w:eastAsia="Times New Roman" w:cs="Times New Roman"/>
          <w:spacing w:val="-3"/>
          <w:sz w:val="24"/>
          <w:szCs w:val="24"/>
        </w:rPr>
        <w:t>c</w:t>
      </w:r>
      <w:r w:rsidRPr="008F589E">
        <w:rPr>
          <w:rFonts w:ascii="Times New Roman" w:hAnsi="Times New Roman" w:eastAsia="Times New Roman" w:cs="Times New Roman"/>
          <w:sz w:val="24"/>
          <w:szCs w:val="24"/>
        </w:rPr>
        <w:t>oll</w:t>
      </w:r>
      <w:r w:rsidRPr="008F589E">
        <w:rPr>
          <w:rFonts w:ascii="Times New Roman" w:hAnsi="Times New Roman" w:eastAsia="Times New Roman" w:cs="Times New Roman"/>
          <w:spacing w:val="-3"/>
          <w:sz w:val="24"/>
          <w:szCs w:val="24"/>
        </w:rPr>
        <w:t>e</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tion</w:t>
      </w:r>
      <w:r w:rsidR="000C5AF7">
        <w:rPr>
          <w:rFonts w:ascii="Times New Roman" w:hAnsi="Times New Roman" w:eastAsia="Times New Roman" w:cs="Times New Roman"/>
          <w:sz w:val="24"/>
          <w:szCs w:val="24"/>
        </w:rPr>
        <w:t>s</w:t>
      </w:r>
      <w:r w:rsidRPr="008F589E">
        <w:rPr>
          <w:rFonts w:ascii="Times New Roman" w:hAnsi="Times New Roman" w:eastAsia="Times New Roman" w:cs="Times New Roman"/>
          <w:sz w:val="24"/>
          <w:szCs w:val="24"/>
        </w:rPr>
        <w:t>.</w:t>
      </w:r>
    </w:p>
    <w:p w:rsidR="00FC001B" w:rsidP="00A12DB1" w:rsidRDefault="00FC001B" w14:paraId="464225FC" w14:textId="509FEDF2">
      <w:pPr>
        <w:spacing w:after="0" w:line="240" w:lineRule="auto"/>
        <w:ind w:right="29"/>
        <w:rPr>
          <w:rFonts w:ascii="Times New Roman" w:hAnsi="Times New Roman" w:eastAsia="Times New Roman" w:cs="Times New Roman"/>
          <w:sz w:val="24"/>
          <w:szCs w:val="24"/>
        </w:rPr>
      </w:pPr>
    </w:p>
    <w:p w:rsidRPr="000C5AF7" w:rsidR="00FC001B" w:rsidP="00A12DB1" w:rsidRDefault="00FC001B" w14:paraId="2278449E" w14:textId="75F259D7">
      <w:pPr>
        <w:spacing w:after="0" w:line="240" w:lineRule="auto"/>
        <w:ind w:right="29"/>
        <w:rPr>
          <w:rFonts w:ascii="Times New Roman" w:hAnsi="Times New Roman" w:eastAsia="Times New Roman" w:cs="Times New Roman"/>
          <w:b/>
          <w:sz w:val="24"/>
          <w:szCs w:val="24"/>
        </w:rPr>
      </w:pPr>
      <w:r>
        <w:rPr>
          <w:rFonts w:ascii="Times New Roman" w:hAnsi="Times New Roman" w:eastAsia="Times New Roman" w:cs="Times New Roman"/>
          <w:b/>
          <w:sz w:val="24"/>
          <w:szCs w:val="24"/>
        </w:rPr>
        <w:t>Separate Billing</w:t>
      </w:r>
    </w:p>
    <w:p w:rsidR="00D72BC8" w:rsidP="00A12DB1" w:rsidRDefault="008F1CEB" w14:paraId="40AF32A3" w14:textId="4DF4B7F9">
      <w:pPr>
        <w:spacing w:before="6" w:after="0" w:line="240" w:lineRule="auto"/>
        <w:ind w:right="29"/>
        <w:rPr>
          <w:rFonts w:ascii="Times New Roman" w:hAnsi="Times New Roman" w:cs="Times New Roman"/>
          <w:sz w:val="24"/>
          <w:szCs w:val="24"/>
        </w:rPr>
      </w:pPr>
      <w:r>
        <w:rPr>
          <w:rFonts w:ascii="Times New Roman" w:hAnsi="Times New Roman" w:cs="Times New Roman"/>
          <w:sz w:val="24"/>
          <w:szCs w:val="24"/>
        </w:rPr>
        <w:t>QHP i</w:t>
      </w:r>
      <w:r w:rsidR="000C5AF7">
        <w:rPr>
          <w:rFonts w:ascii="Times New Roman" w:hAnsi="Times New Roman" w:cs="Times New Roman"/>
          <w:sz w:val="24"/>
          <w:szCs w:val="24"/>
        </w:rPr>
        <w:t>ssuers</w:t>
      </w:r>
      <w:r w:rsidRPr="000C5AF7" w:rsidR="000C5AF7">
        <w:rPr>
          <w:rFonts w:ascii="Times New Roman" w:hAnsi="Times New Roman" w:cs="Times New Roman"/>
          <w:sz w:val="24"/>
          <w:szCs w:val="24"/>
        </w:rPr>
        <w:t xml:space="preserve"> and State Exchanges performing premium billing and payment processing will need to print and send approximately 1.8</w:t>
      </w:r>
      <w:r w:rsidR="00AB6503">
        <w:rPr>
          <w:rFonts w:ascii="Times New Roman" w:hAnsi="Times New Roman" w:cs="Times New Roman"/>
          <w:sz w:val="24"/>
          <w:szCs w:val="24"/>
        </w:rPr>
        <w:t>2</w:t>
      </w:r>
      <w:r w:rsidRPr="000C5AF7" w:rsidR="000C5AF7">
        <w:rPr>
          <w:rFonts w:ascii="Times New Roman" w:hAnsi="Times New Roman" w:cs="Times New Roman"/>
          <w:sz w:val="24"/>
          <w:szCs w:val="24"/>
        </w:rPr>
        <w:t xml:space="preserve"> million separate paper bills per month</w:t>
      </w:r>
      <w:r w:rsidR="00AF4A2E">
        <w:rPr>
          <w:rFonts w:ascii="Times New Roman" w:hAnsi="Times New Roman" w:cs="Times New Roman"/>
          <w:sz w:val="24"/>
          <w:szCs w:val="24"/>
        </w:rPr>
        <w:t xml:space="preserve">. </w:t>
      </w:r>
      <w:r w:rsidRPr="000C5AF7" w:rsidR="000C5AF7">
        <w:rPr>
          <w:rFonts w:ascii="Times New Roman" w:hAnsi="Times New Roman" w:cs="Times New Roman"/>
          <w:sz w:val="24"/>
          <w:szCs w:val="24"/>
        </w:rPr>
        <w:t>Assuming materials and printing cost of $0.05 per page, issuers will incur additional monthly costs of approximately $</w:t>
      </w:r>
      <w:r w:rsidRPr="00AB6503" w:rsidR="00AB6503">
        <w:rPr>
          <w:rFonts w:ascii="Times New Roman" w:hAnsi="Times New Roman" w:cs="Times New Roman"/>
          <w:sz w:val="24"/>
          <w:szCs w:val="24"/>
        </w:rPr>
        <w:t>91,200</w:t>
      </w:r>
      <w:r w:rsidR="00AB6503">
        <w:rPr>
          <w:rFonts w:ascii="Times New Roman" w:hAnsi="Times New Roman" w:cs="Times New Roman"/>
          <w:sz w:val="24"/>
          <w:szCs w:val="24"/>
        </w:rPr>
        <w:t xml:space="preserve"> </w:t>
      </w:r>
      <w:r w:rsidRPr="000C5AF7" w:rsidR="000C5AF7">
        <w:rPr>
          <w:rFonts w:ascii="Times New Roman" w:hAnsi="Times New Roman" w:cs="Times New Roman"/>
          <w:sz w:val="24"/>
          <w:szCs w:val="24"/>
        </w:rPr>
        <w:t>to print separate bill</w:t>
      </w:r>
      <w:r w:rsidR="000C5AF7">
        <w:rPr>
          <w:rFonts w:ascii="Times New Roman" w:hAnsi="Times New Roman" w:cs="Times New Roman"/>
          <w:sz w:val="24"/>
          <w:szCs w:val="24"/>
        </w:rPr>
        <w:t>s for impacted policy holders</w:t>
      </w:r>
      <w:r w:rsidR="003777E6">
        <w:rPr>
          <w:rFonts w:ascii="Times New Roman" w:hAnsi="Times New Roman" w:cs="Times New Roman"/>
          <w:sz w:val="24"/>
          <w:szCs w:val="24"/>
        </w:rPr>
        <w:t xml:space="preserve"> in 2020</w:t>
      </w:r>
      <w:r w:rsidR="000C5AF7">
        <w:rPr>
          <w:rFonts w:ascii="Times New Roman" w:hAnsi="Times New Roman" w:cs="Times New Roman"/>
          <w:sz w:val="24"/>
          <w:szCs w:val="24"/>
        </w:rPr>
        <w:t xml:space="preserve">. </w:t>
      </w:r>
      <w:r w:rsidRPr="00A53DA8" w:rsidR="00584DB2">
        <w:rPr>
          <w:rFonts w:ascii="Times New Roman" w:hAnsi="Times New Roman" w:cs="Times New Roman"/>
          <w:sz w:val="24"/>
          <w:szCs w:val="24"/>
        </w:rPr>
        <w:t>Assuming that issuers start sending separate bills in July 2020, for the 6 months in 2020,</w:t>
      </w:r>
      <w:r w:rsidR="00584DB2">
        <w:rPr>
          <w:rFonts w:ascii="Times New Roman" w:hAnsi="Times New Roman" w:cs="Times New Roman"/>
          <w:sz w:val="24"/>
          <w:szCs w:val="24"/>
        </w:rPr>
        <w:t xml:space="preserve"> the</w:t>
      </w:r>
      <w:r w:rsidRPr="00A53DA8" w:rsidR="00584DB2">
        <w:rPr>
          <w:rFonts w:ascii="Times New Roman" w:hAnsi="Times New Roman" w:cs="Times New Roman"/>
          <w:sz w:val="24"/>
          <w:szCs w:val="24"/>
        </w:rPr>
        <w:t xml:space="preserve"> total cost for all issuers is estimated to be approximately $</w:t>
      </w:r>
      <w:r w:rsidRPr="00AB6503" w:rsidR="00AB6503">
        <w:rPr>
          <w:rFonts w:ascii="Times New Roman" w:hAnsi="Times New Roman" w:cs="Times New Roman"/>
          <w:sz w:val="24"/>
          <w:szCs w:val="24"/>
        </w:rPr>
        <w:t>547,225</w:t>
      </w:r>
      <w:r w:rsidR="00AF4A2E">
        <w:rPr>
          <w:rFonts w:ascii="Times New Roman" w:hAnsi="Times New Roman" w:cs="Times New Roman"/>
          <w:sz w:val="24"/>
          <w:szCs w:val="24"/>
        </w:rPr>
        <w:t xml:space="preserve">. </w:t>
      </w:r>
      <w:r w:rsidRPr="00A53DA8" w:rsidR="00584DB2">
        <w:rPr>
          <w:rFonts w:ascii="Times New Roman" w:hAnsi="Times New Roman" w:cs="Times New Roman"/>
          <w:sz w:val="24"/>
          <w:szCs w:val="24"/>
        </w:rPr>
        <w:t xml:space="preserve">Assuming that more consumers </w:t>
      </w:r>
      <w:r w:rsidR="00AB6503">
        <w:rPr>
          <w:rFonts w:ascii="Times New Roman" w:hAnsi="Times New Roman" w:cs="Times New Roman"/>
          <w:sz w:val="24"/>
          <w:szCs w:val="24"/>
        </w:rPr>
        <w:t xml:space="preserve">will </w:t>
      </w:r>
      <w:r w:rsidRPr="00A53DA8" w:rsidR="00584DB2">
        <w:rPr>
          <w:rFonts w:ascii="Times New Roman" w:hAnsi="Times New Roman" w:cs="Times New Roman"/>
          <w:sz w:val="24"/>
          <w:szCs w:val="24"/>
        </w:rPr>
        <w:t xml:space="preserve">opt to receive electronic bills over time, we estimate that approximately 88 percent of policyholders will receive paper bills in 2021, and the </w:t>
      </w:r>
      <w:r w:rsidRPr="00A53DA8" w:rsidR="00584DB2">
        <w:rPr>
          <w:rFonts w:ascii="Times New Roman" w:hAnsi="Times New Roman" w:cs="Times New Roman"/>
          <w:sz w:val="24"/>
          <w:szCs w:val="24"/>
        </w:rPr>
        <w:lastRenderedPageBreak/>
        <w:t>annual cost for all issuers to send separate paper bills will be approximately $</w:t>
      </w:r>
      <w:r w:rsidRPr="00AB6503" w:rsidR="00AB6503">
        <w:rPr>
          <w:rFonts w:ascii="Times New Roman" w:hAnsi="Times New Roman" w:cs="Times New Roman"/>
          <w:sz w:val="24"/>
          <w:szCs w:val="24"/>
        </w:rPr>
        <w:t>1,070,129</w:t>
      </w:r>
      <w:r w:rsidR="00AF4A2E">
        <w:rPr>
          <w:rFonts w:ascii="Times New Roman" w:hAnsi="Times New Roman" w:cs="Times New Roman"/>
          <w:sz w:val="24"/>
          <w:szCs w:val="24"/>
        </w:rPr>
        <w:t xml:space="preserve">. </w:t>
      </w:r>
      <w:r w:rsidRPr="00A53DA8" w:rsidR="00584DB2">
        <w:rPr>
          <w:rFonts w:ascii="Times New Roman" w:hAnsi="Times New Roman" w:cs="Times New Roman"/>
          <w:sz w:val="24"/>
          <w:szCs w:val="24"/>
        </w:rPr>
        <w:t>We assume that in 2022</w:t>
      </w:r>
      <w:r w:rsidR="00584DB2">
        <w:rPr>
          <w:rFonts w:ascii="Times New Roman" w:hAnsi="Times New Roman" w:cs="Times New Roman"/>
          <w:sz w:val="24"/>
          <w:szCs w:val="24"/>
        </w:rPr>
        <w:t>,</w:t>
      </w:r>
      <w:r w:rsidRPr="00A53DA8" w:rsidR="00584DB2">
        <w:rPr>
          <w:rFonts w:ascii="Times New Roman" w:hAnsi="Times New Roman" w:cs="Times New Roman"/>
          <w:sz w:val="24"/>
          <w:szCs w:val="24"/>
        </w:rPr>
        <w:t xml:space="preserve"> approximately 86 percent of policyholders will receive paper bills, and the annual cost for all issuers to send separate paper bills will be approximately $</w:t>
      </w:r>
      <w:r w:rsidRPr="00750FA1" w:rsidR="00750FA1">
        <w:rPr>
          <w:rFonts w:ascii="Times New Roman" w:hAnsi="Times New Roman" w:cs="Times New Roman"/>
          <w:sz w:val="24"/>
          <w:szCs w:val="24"/>
        </w:rPr>
        <w:t>1,045,808</w:t>
      </w:r>
      <w:r w:rsidR="00AF4A2E">
        <w:rPr>
          <w:rFonts w:ascii="Times New Roman" w:hAnsi="Times New Roman" w:cs="Times New Roman"/>
          <w:sz w:val="24"/>
          <w:szCs w:val="24"/>
        </w:rPr>
        <w:t xml:space="preserve">. </w:t>
      </w:r>
      <w:r w:rsidRPr="00A53DA8" w:rsidR="00584DB2">
        <w:rPr>
          <w:rFonts w:ascii="Times New Roman" w:hAnsi="Times New Roman" w:cs="Times New Roman"/>
          <w:sz w:val="24"/>
          <w:szCs w:val="24"/>
        </w:rPr>
        <w:t>The average annual materials and printing cost over 3 years (2020 to 2022) w</w:t>
      </w:r>
      <w:r w:rsidR="00584DB2">
        <w:rPr>
          <w:rFonts w:ascii="Times New Roman" w:hAnsi="Times New Roman" w:cs="Times New Roman"/>
          <w:sz w:val="24"/>
          <w:szCs w:val="24"/>
        </w:rPr>
        <w:t>ill be approximately $</w:t>
      </w:r>
      <w:r w:rsidRPr="00750FA1" w:rsidR="00750FA1">
        <w:rPr>
          <w:rFonts w:ascii="Times New Roman" w:hAnsi="Times New Roman" w:cs="Times New Roman"/>
          <w:sz w:val="24"/>
          <w:szCs w:val="24"/>
        </w:rPr>
        <w:t>887,721</w:t>
      </w:r>
      <w:r w:rsidR="00584DB2">
        <w:rPr>
          <w:rFonts w:ascii="Times New Roman" w:hAnsi="Times New Roman" w:cs="Times New Roman"/>
          <w:sz w:val="24"/>
          <w:szCs w:val="24"/>
        </w:rPr>
        <w:t xml:space="preserve">. </w:t>
      </w:r>
      <w:r w:rsidRPr="000C5AF7" w:rsidR="000C5AF7">
        <w:rPr>
          <w:rFonts w:ascii="Times New Roman" w:hAnsi="Times New Roman" w:cs="Times New Roman"/>
          <w:sz w:val="24"/>
          <w:szCs w:val="24"/>
        </w:rPr>
        <w:t>Since issuers and State Exchanges performing premium billing and payment processing will be permitted to send both bills together when sending bills in a physical mailing, they will not incur any additional mailing c</w:t>
      </w:r>
      <w:r w:rsidR="000C5AF7">
        <w:rPr>
          <w:rFonts w:ascii="Times New Roman" w:hAnsi="Times New Roman" w:cs="Times New Roman"/>
          <w:sz w:val="24"/>
          <w:szCs w:val="24"/>
        </w:rPr>
        <w:t xml:space="preserve">osts. </w:t>
      </w:r>
      <w:r w:rsidRPr="000C5AF7" w:rsidR="000C5AF7">
        <w:rPr>
          <w:rFonts w:ascii="Times New Roman" w:hAnsi="Times New Roman" w:cs="Times New Roman"/>
          <w:sz w:val="24"/>
          <w:szCs w:val="24"/>
        </w:rPr>
        <w:t>We assume that bills sent electronically can be sent at minimal cost</w:t>
      </w:r>
      <w:r w:rsidR="00750FA1">
        <w:rPr>
          <w:rFonts w:ascii="Times New Roman" w:hAnsi="Times New Roman" w:cs="Times New Roman"/>
          <w:sz w:val="24"/>
          <w:szCs w:val="24"/>
        </w:rPr>
        <w:t xml:space="preserve"> </w:t>
      </w:r>
      <w:r w:rsidRPr="00750FA1" w:rsidR="00750FA1">
        <w:rPr>
          <w:rFonts w:ascii="Times New Roman" w:hAnsi="Times New Roman" w:cs="Times New Roman"/>
          <w:sz w:val="24"/>
          <w:szCs w:val="24"/>
        </w:rPr>
        <w:t>and note that we have incorporated any associated IT changes to accommodate electronic bil</w:t>
      </w:r>
      <w:r w:rsidR="00750FA1">
        <w:rPr>
          <w:rFonts w:ascii="Times New Roman" w:hAnsi="Times New Roman" w:cs="Times New Roman"/>
          <w:sz w:val="24"/>
          <w:szCs w:val="24"/>
        </w:rPr>
        <w:t xml:space="preserve">ling changes based on this policy </w:t>
      </w:r>
      <w:r w:rsidRPr="00750FA1" w:rsidR="00750FA1">
        <w:rPr>
          <w:rFonts w:ascii="Times New Roman" w:hAnsi="Times New Roman" w:cs="Times New Roman"/>
          <w:sz w:val="24"/>
          <w:szCs w:val="24"/>
        </w:rPr>
        <w:t>above, where we discussed premium billing and payment processing costs to issuers and State Exchanges</w:t>
      </w:r>
      <w:r w:rsidRPr="000C5AF7" w:rsidR="000C5AF7">
        <w:rPr>
          <w:rFonts w:ascii="Times New Roman" w:hAnsi="Times New Roman" w:cs="Times New Roman"/>
          <w:sz w:val="24"/>
          <w:szCs w:val="24"/>
        </w:rPr>
        <w:t>.</w:t>
      </w:r>
    </w:p>
    <w:p w:rsidRPr="008F589E" w:rsidR="000C5AF7" w:rsidP="00D72BC8" w:rsidRDefault="000C5AF7" w14:paraId="4B19CF81" w14:textId="77777777">
      <w:pPr>
        <w:spacing w:before="6" w:after="0" w:line="280" w:lineRule="exact"/>
        <w:rPr>
          <w:rFonts w:ascii="Times New Roman" w:hAnsi="Times New Roman" w:cs="Times New Roman"/>
          <w:sz w:val="24"/>
          <w:szCs w:val="24"/>
        </w:rPr>
      </w:pPr>
    </w:p>
    <w:p w:rsidRPr="00A12DB1" w:rsidR="00D72BC8" w:rsidP="00A12DB1" w:rsidRDefault="00D72BC8" w14:paraId="1C366B49" w14:textId="77777777">
      <w:pPr>
        <w:widowControl w:val="0"/>
        <w:tabs>
          <w:tab w:val="left" w:pos="940"/>
        </w:tabs>
        <w:spacing w:after="0" w:line="240" w:lineRule="auto"/>
        <w:ind w:left="720" w:right="29" w:hanging="720"/>
        <w:rPr>
          <w:rFonts w:ascii="Times New Roman" w:hAnsi="Times New Roman" w:eastAsia="Times New Roman" w:cs="Times New Roman"/>
          <w:sz w:val="24"/>
          <w:szCs w:val="24"/>
          <w:u w:val="single"/>
        </w:rPr>
      </w:pPr>
      <w:r w:rsidRPr="00A12DB1">
        <w:rPr>
          <w:rFonts w:ascii="Times New Roman" w:hAnsi="Times New Roman" w:eastAsia="Times New Roman" w:cs="Times New Roman"/>
          <w:bCs/>
          <w:sz w:val="24"/>
          <w:szCs w:val="24"/>
          <w:u w:val="single"/>
        </w:rPr>
        <w:t>14.</w:t>
      </w:r>
      <w:r w:rsidRPr="00A12DB1">
        <w:rPr>
          <w:rFonts w:ascii="Times New Roman" w:hAnsi="Times New Roman" w:eastAsia="Times New Roman" w:cs="Times New Roman"/>
          <w:bCs/>
          <w:sz w:val="24"/>
          <w:szCs w:val="24"/>
        </w:rPr>
        <w:tab/>
      </w:r>
      <w:r w:rsidRPr="00A12DB1">
        <w:rPr>
          <w:rFonts w:ascii="Times New Roman" w:hAnsi="Times New Roman" w:eastAsia="Times New Roman" w:cs="Times New Roman"/>
          <w:bCs/>
          <w:sz w:val="24"/>
          <w:szCs w:val="24"/>
          <w:u w:val="single"/>
        </w:rPr>
        <w:t>Cost to Federal Government</w:t>
      </w:r>
    </w:p>
    <w:p w:rsidRPr="008F589E" w:rsidR="00D72BC8" w:rsidP="00D72BC8" w:rsidRDefault="00D72BC8" w14:paraId="6EBEA1B7" w14:textId="77777777">
      <w:pPr>
        <w:spacing w:before="6" w:after="0" w:line="260" w:lineRule="exact"/>
        <w:rPr>
          <w:rFonts w:ascii="Times New Roman" w:hAnsi="Times New Roman" w:cs="Times New Roman"/>
          <w:sz w:val="24"/>
          <w:szCs w:val="24"/>
        </w:rPr>
      </w:pPr>
    </w:p>
    <w:p w:rsidR="00D72BC8" w:rsidP="00A12DB1" w:rsidRDefault="00D72BC8" w14:paraId="224ECD49" w14:textId="3E93A3A1">
      <w:pPr>
        <w:spacing w:after="0" w:line="240" w:lineRule="auto"/>
        <w:ind w:right="29"/>
        <w:rPr>
          <w:rFonts w:ascii="Times New Roman" w:hAnsi="Times New Roman" w:eastAsia="Times New Roman" w:cs="Times New Roman"/>
          <w:sz w:val="24"/>
          <w:szCs w:val="24"/>
        </w:rPr>
      </w:pPr>
      <w:r w:rsidRPr="008F589E">
        <w:rPr>
          <w:rFonts w:ascii="Times New Roman" w:hAnsi="Times New Roman" w:eastAsia="Times New Roman" w:cs="Times New Roman"/>
          <w:sz w:val="24"/>
          <w:szCs w:val="24"/>
        </w:rPr>
        <w:t>Th</w:t>
      </w:r>
      <w:r w:rsidRPr="008F589E">
        <w:rPr>
          <w:rFonts w:ascii="Times New Roman" w:hAnsi="Times New Roman" w:eastAsia="Times New Roman" w:cs="Times New Roman"/>
          <w:spacing w:val="-1"/>
          <w:sz w:val="24"/>
          <w:szCs w:val="24"/>
        </w:rPr>
        <w:t>er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a</w:t>
      </w:r>
      <w:r w:rsidRPr="008F589E">
        <w:rPr>
          <w:rFonts w:ascii="Times New Roman" w:hAnsi="Times New Roman" w:eastAsia="Times New Roman" w:cs="Times New Roman"/>
          <w:spacing w:val="-3"/>
          <w:sz w:val="24"/>
          <w:szCs w:val="24"/>
        </w:rPr>
        <w:t>r</w:t>
      </w:r>
      <w:r w:rsidRPr="008F589E">
        <w:rPr>
          <w:rFonts w:ascii="Times New Roman" w:hAnsi="Times New Roman" w:eastAsia="Times New Roman" w:cs="Times New Roman"/>
          <w:sz w:val="24"/>
          <w:szCs w:val="24"/>
        </w:rPr>
        <w:t>e</w:t>
      </w:r>
      <w:r w:rsidRPr="008F589E">
        <w:rPr>
          <w:rFonts w:ascii="Times New Roman" w:hAnsi="Times New Roman" w:eastAsia="Times New Roman" w:cs="Times New Roman"/>
          <w:spacing w:val="-1"/>
          <w:sz w:val="24"/>
          <w:szCs w:val="24"/>
        </w:rPr>
        <w:t xml:space="preserve"> </w:t>
      </w:r>
      <w:r w:rsidRPr="008F589E">
        <w:rPr>
          <w:rFonts w:ascii="Times New Roman" w:hAnsi="Times New Roman" w:eastAsia="Times New Roman" w:cs="Times New Roman"/>
          <w:spacing w:val="-2"/>
          <w:sz w:val="24"/>
          <w:szCs w:val="24"/>
        </w:rPr>
        <w:t>n</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1"/>
          <w:sz w:val="24"/>
          <w:szCs w:val="24"/>
        </w:rPr>
        <w:t>c</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2"/>
          <w:sz w:val="24"/>
          <w:szCs w:val="24"/>
        </w:rPr>
        <w:t>s</w:t>
      </w:r>
      <w:r w:rsidRPr="008F589E">
        <w:rPr>
          <w:rFonts w:ascii="Times New Roman" w:hAnsi="Times New Roman" w:eastAsia="Times New Roman" w:cs="Times New Roman"/>
          <w:sz w:val="24"/>
          <w:szCs w:val="24"/>
        </w:rPr>
        <w:t xml:space="preserve">ts </w:t>
      </w:r>
      <w:r w:rsidRPr="008F589E">
        <w:rPr>
          <w:rFonts w:ascii="Times New Roman" w:hAnsi="Times New Roman" w:eastAsia="Times New Roman" w:cs="Times New Roman"/>
          <w:spacing w:val="-2"/>
          <w:sz w:val="24"/>
          <w:szCs w:val="24"/>
        </w:rPr>
        <w:t>t</w:t>
      </w:r>
      <w:r w:rsidRPr="008F589E">
        <w:rPr>
          <w:rFonts w:ascii="Times New Roman" w:hAnsi="Times New Roman" w:eastAsia="Times New Roman" w:cs="Times New Roman"/>
          <w:sz w:val="24"/>
          <w:szCs w:val="24"/>
        </w:rPr>
        <w:t>o</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z w:val="24"/>
          <w:szCs w:val="24"/>
        </w:rPr>
        <w:t>the</w:t>
      </w:r>
      <w:r w:rsidRPr="008F589E">
        <w:rPr>
          <w:rFonts w:ascii="Times New Roman" w:hAnsi="Times New Roman" w:eastAsia="Times New Roman" w:cs="Times New Roman"/>
          <w:spacing w:val="-1"/>
          <w:sz w:val="24"/>
          <w:szCs w:val="24"/>
        </w:rPr>
        <w:t xml:space="preserve"> Fe</w:t>
      </w:r>
      <w:r w:rsidRPr="008F589E">
        <w:rPr>
          <w:rFonts w:ascii="Times New Roman" w:hAnsi="Times New Roman" w:eastAsia="Times New Roman" w:cs="Times New Roman"/>
          <w:sz w:val="24"/>
          <w:szCs w:val="24"/>
        </w:rPr>
        <w:t>d</w:t>
      </w:r>
      <w:r w:rsidRPr="008F589E">
        <w:rPr>
          <w:rFonts w:ascii="Times New Roman" w:hAnsi="Times New Roman" w:eastAsia="Times New Roman" w:cs="Times New Roman"/>
          <w:spacing w:val="-1"/>
          <w:sz w:val="24"/>
          <w:szCs w:val="24"/>
        </w:rPr>
        <w:t>era</w:t>
      </w:r>
      <w:r w:rsidRPr="008F589E">
        <w:rPr>
          <w:rFonts w:ascii="Times New Roman" w:hAnsi="Times New Roman" w:eastAsia="Times New Roman" w:cs="Times New Roman"/>
          <w:sz w:val="24"/>
          <w:szCs w:val="24"/>
        </w:rPr>
        <w:t>l</w:t>
      </w:r>
      <w:r w:rsidRPr="008F589E">
        <w:rPr>
          <w:rFonts w:ascii="Times New Roman" w:hAnsi="Times New Roman" w:eastAsia="Times New Roman" w:cs="Times New Roman"/>
          <w:spacing w:val="-2"/>
          <w:sz w:val="24"/>
          <w:szCs w:val="24"/>
        </w:rPr>
        <w:t xml:space="preserve"> </w:t>
      </w:r>
      <w:r w:rsidRPr="008F589E">
        <w:rPr>
          <w:rFonts w:ascii="Times New Roman" w:hAnsi="Times New Roman" w:eastAsia="Times New Roman" w:cs="Times New Roman"/>
          <w:spacing w:val="-5"/>
          <w:sz w:val="24"/>
          <w:szCs w:val="24"/>
        </w:rPr>
        <w:t>g</w:t>
      </w:r>
      <w:r w:rsidRPr="008F589E">
        <w:rPr>
          <w:rFonts w:ascii="Times New Roman" w:hAnsi="Times New Roman" w:eastAsia="Times New Roman" w:cs="Times New Roman"/>
          <w:sz w:val="24"/>
          <w:szCs w:val="24"/>
        </w:rPr>
        <w:t>ov</w:t>
      </w:r>
      <w:r w:rsidRPr="008F589E">
        <w:rPr>
          <w:rFonts w:ascii="Times New Roman" w:hAnsi="Times New Roman" w:eastAsia="Times New Roman" w:cs="Times New Roman"/>
          <w:spacing w:val="-1"/>
          <w:sz w:val="24"/>
          <w:szCs w:val="24"/>
        </w:rPr>
        <w:t>e</w:t>
      </w:r>
      <w:r w:rsidRPr="008F589E">
        <w:rPr>
          <w:rFonts w:ascii="Times New Roman" w:hAnsi="Times New Roman" w:eastAsia="Times New Roman" w:cs="Times New Roman"/>
          <w:spacing w:val="4"/>
          <w:sz w:val="24"/>
          <w:szCs w:val="24"/>
        </w:rPr>
        <w:t>r</w:t>
      </w:r>
      <w:r w:rsidRPr="008F589E">
        <w:rPr>
          <w:rFonts w:ascii="Times New Roman" w:hAnsi="Times New Roman" w:eastAsia="Times New Roman" w:cs="Times New Roman"/>
          <w:spacing w:val="-2"/>
          <w:sz w:val="24"/>
          <w:szCs w:val="24"/>
        </w:rPr>
        <w:t>n</w:t>
      </w:r>
      <w:r w:rsidRPr="008F589E">
        <w:rPr>
          <w:rFonts w:ascii="Times New Roman" w:hAnsi="Times New Roman" w:eastAsia="Times New Roman" w:cs="Times New Roman"/>
          <w:sz w:val="24"/>
          <w:szCs w:val="24"/>
        </w:rPr>
        <w:t>m</w:t>
      </w:r>
      <w:r w:rsidRPr="008F589E">
        <w:rPr>
          <w:rFonts w:ascii="Times New Roman" w:hAnsi="Times New Roman" w:eastAsia="Times New Roman" w:cs="Times New Roman"/>
          <w:spacing w:val="-3"/>
          <w:sz w:val="24"/>
          <w:szCs w:val="24"/>
        </w:rPr>
        <w:t>e</w:t>
      </w:r>
      <w:r w:rsidRPr="008F589E">
        <w:rPr>
          <w:rFonts w:ascii="Times New Roman" w:hAnsi="Times New Roman" w:eastAsia="Times New Roman" w:cs="Times New Roman"/>
          <w:sz w:val="24"/>
          <w:szCs w:val="24"/>
        </w:rPr>
        <w:t>nt.</w:t>
      </w:r>
    </w:p>
    <w:p w:rsidRPr="00585A8F" w:rsidR="00D72BC8" w:rsidP="00D72BC8" w:rsidRDefault="00D72BC8" w14:paraId="44264143" w14:textId="77777777">
      <w:pPr>
        <w:spacing w:before="6" w:after="0" w:line="280" w:lineRule="exact"/>
        <w:rPr>
          <w:rFonts w:ascii="Times New Roman" w:hAnsi="Times New Roman" w:cs="Times New Roman"/>
          <w:color w:val="FF0000"/>
          <w:sz w:val="24"/>
          <w:szCs w:val="24"/>
        </w:rPr>
      </w:pPr>
    </w:p>
    <w:p w:rsidRPr="00A12DB1" w:rsidR="00D72BC8" w:rsidP="00A12DB1" w:rsidRDefault="00D72BC8" w14:paraId="0AA275B8" w14:textId="076776BA">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A12DB1">
        <w:rPr>
          <w:rFonts w:ascii="Times New Roman" w:hAnsi="Times New Roman" w:eastAsia="Times New Roman" w:cs="Times New Roman"/>
          <w:bCs/>
          <w:sz w:val="24"/>
          <w:szCs w:val="24"/>
          <w:u w:val="single"/>
        </w:rPr>
        <w:t>15.</w:t>
      </w:r>
      <w:r w:rsidRPr="00A12DB1">
        <w:rPr>
          <w:rFonts w:ascii="Times New Roman" w:hAnsi="Times New Roman" w:eastAsia="Times New Roman" w:cs="Times New Roman"/>
          <w:bCs/>
          <w:sz w:val="24"/>
          <w:szCs w:val="24"/>
        </w:rPr>
        <w:tab/>
      </w:r>
      <w:r w:rsidR="00324691">
        <w:rPr>
          <w:rFonts w:ascii="Times New Roman" w:hAnsi="Times New Roman" w:eastAsia="Times New Roman" w:cs="Times New Roman"/>
          <w:bCs/>
          <w:sz w:val="24"/>
          <w:szCs w:val="24"/>
          <w:u w:val="single"/>
        </w:rPr>
        <w:t>Changes to Burden</w:t>
      </w:r>
    </w:p>
    <w:p w:rsidR="00056BEB" w:rsidP="00D72BC8" w:rsidRDefault="00056BEB" w14:paraId="0B7075CD" w14:textId="35A3629F">
      <w:pPr>
        <w:spacing w:before="6" w:after="0" w:line="260" w:lineRule="exact"/>
        <w:rPr>
          <w:rFonts w:ascii="Times New Roman" w:hAnsi="Times New Roman" w:cs="Times New Roman"/>
          <w:sz w:val="24"/>
          <w:szCs w:val="24"/>
        </w:rPr>
      </w:pPr>
    </w:p>
    <w:p w:rsidR="00704168" w:rsidP="00704168" w:rsidRDefault="00704168" w14:paraId="59F40381" w14:textId="0D3FAFE4">
      <w:pPr>
        <w:spacing w:after="0" w:line="240" w:lineRule="auto"/>
        <w:ind w:right="40"/>
        <w:rPr>
          <w:rFonts w:ascii="Times New Roman" w:hAnsi="Times New Roman" w:eastAsia="Times New Roman" w:cs="Times New Roman"/>
          <w:sz w:val="24"/>
          <w:szCs w:val="24"/>
        </w:rPr>
      </w:pPr>
      <w:r w:rsidRPr="00FC001B">
        <w:rPr>
          <w:rFonts w:ascii="Times New Roman" w:hAnsi="Times New Roman" w:eastAsia="Times New Roman" w:cs="Times New Roman"/>
          <w:sz w:val="24"/>
          <w:szCs w:val="24"/>
        </w:rPr>
        <w:t xml:space="preserve">We believe that the original burden estimate in the proposed rule would not accurately reflect the actual costs issuers would have incurred if we finalized the provisions as proposed. </w:t>
      </w:r>
      <w:r>
        <w:rPr>
          <w:rFonts w:ascii="Times New Roman" w:hAnsi="Times New Roman" w:eastAsia="Times New Roman" w:cs="Times New Roman"/>
          <w:sz w:val="24"/>
          <w:szCs w:val="24"/>
        </w:rPr>
        <w:t>We</w:t>
      </w:r>
      <w:r w:rsidRPr="00DB45D6">
        <w:rPr>
          <w:rFonts w:ascii="Times New Roman" w:hAnsi="Times New Roman" w:eastAsia="Times New Roman" w:cs="Times New Roman"/>
          <w:sz w:val="24"/>
          <w:szCs w:val="24"/>
        </w:rPr>
        <w:t xml:space="preserve"> have updated the </w:t>
      </w:r>
      <w:r>
        <w:rPr>
          <w:rFonts w:ascii="Times New Roman" w:hAnsi="Times New Roman" w:eastAsia="Times New Roman" w:cs="Times New Roman"/>
          <w:sz w:val="24"/>
          <w:szCs w:val="24"/>
        </w:rPr>
        <w:t>estimates</w:t>
      </w:r>
      <w:r w:rsidRPr="00DB45D6">
        <w:rPr>
          <w:rFonts w:ascii="Times New Roman" w:hAnsi="Times New Roman" w:eastAsia="Times New Roman" w:cs="Times New Roman"/>
          <w:sz w:val="24"/>
          <w:szCs w:val="24"/>
        </w:rPr>
        <w:t xml:space="preserve"> to reflect an increase in burden and costs for issuers</w:t>
      </w:r>
      <w:r>
        <w:rPr>
          <w:rFonts w:ascii="Times New Roman" w:hAnsi="Times New Roman" w:eastAsia="Times New Roman" w:cs="Times New Roman"/>
          <w:sz w:val="24"/>
          <w:szCs w:val="24"/>
        </w:rPr>
        <w:t xml:space="preserve"> and states performing premium billing and payment processing</w:t>
      </w:r>
      <w:r w:rsidRPr="00DB45D6">
        <w:rPr>
          <w:rFonts w:ascii="Times New Roman" w:hAnsi="Times New Roman" w:eastAsia="Times New Roman" w:cs="Times New Roman"/>
          <w:sz w:val="24"/>
          <w:szCs w:val="24"/>
        </w:rPr>
        <w:t>.</w:t>
      </w:r>
      <w:r w:rsidR="00583507">
        <w:rPr>
          <w:rFonts w:ascii="Times New Roman" w:hAnsi="Times New Roman" w:eastAsia="Times New Roman" w:cs="Times New Roman"/>
          <w:sz w:val="24"/>
          <w:szCs w:val="24"/>
        </w:rPr>
        <w:t xml:space="preserve"> Therefore, from the proposed to final rule, the </w:t>
      </w:r>
      <w:r w:rsidR="00A20208">
        <w:rPr>
          <w:rFonts w:ascii="Times New Roman" w:hAnsi="Times New Roman" w:eastAsia="Times New Roman" w:cs="Times New Roman"/>
          <w:sz w:val="24"/>
          <w:szCs w:val="24"/>
        </w:rPr>
        <w:t xml:space="preserve">total </w:t>
      </w:r>
      <w:r w:rsidR="00583507">
        <w:rPr>
          <w:rFonts w:ascii="Times New Roman" w:hAnsi="Times New Roman" w:eastAsia="Times New Roman" w:cs="Times New Roman"/>
          <w:sz w:val="24"/>
          <w:szCs w:val="24"/>
        </w:rPr>
        <w:t>number of burden has increased from a one-time burden to issuers of 750 hours</w:t>
      </w:r>
      <w:r w:rsidR="00A20208">
        <w:rPr>
          <w:rFonts w:ascii="Times New Roman" w:hAnsi="Times New Roman" w:eastAsia="Times New Roman" w:cs="Times New Roman"/>
          <w:sz w:val="24"/>
          <w:szCs w:val="24"/>
        </w:rPr>
        <w:t xml:space="preserve"> to </w:t>
      </w:r>
      <w:r w:rsidRPr="00A20208" w:rsidR="00A20208">
        <w:rPr>
          <w:rFonts w:ascii="Times New Roman" w:hAnsi="Times New Roman" w:eastAsia="Times New Roman" w:cs="Times New Roman"/>
          <w:sz w:val="24"/>
          <w:szCs w:val="24"/>
        </w:rPr>
        <w:t>2,961,000</w:t>
      </w:r>
      <w:r w:rsidR="00A20208">
        <w:rPr>
          <w:rFonts w:ascii="Times New Roman" w:hAnsi="Times New Roman" w:eastAsia="Times New Roman" w:cs="Times New Roman"/>
          <w:sz w:val="24"/>
          <w:szCs w:val="24"/>
        </w:rPr>
        <w:t xml:space="preserve"> hours,</w:t>
      </w:r>
      <w:r w:rsidR="00583507">
        <w:rPr>
          <w:rFonts w:ascii="Times New Roman" w:hAnsi="Times New Roman" w:eastAsia="Times New Roman" w:cs="Times New Roman"/>
          <w:sz w:val="24"/>
          <w:szCs w:val="24"/>
        </w:rPr>
        <w:t xml:space="preserve"> as well as an annual burden</w:t>
      </w:r>
      <w:r w:rsidR="00A20208">
        <w:rPr>
          <w:rFonts w:ascii="Times New Roman" w:hAnsi="Times New Roman" w:eastAsia="Times New Roman" w:cs="Times New Roman"/>
          <w:sz w:val="24"/>
          <w:szCs w:val="24"/>
        </w:rPr>
        <w:t xml:space="preserve"> to issuers</w:t>
      </w:r>
      <w:r w:rsidR="00583507">
        <w:rPr>
          <w:rFonts w:ascii="Times New Roman" w:hAnsi="Times New Roman" w:eastAsia="Times New Roman" w:cs="Times New Roman"/>
          <w:sz w:val="24"/>
          <w:szCs w:val="24"/>
        </w:rPr>
        <w:t xml:space="preserve"> of 53,328 hours</w:t>
      </w:r>
      <w:r w:rsidR="00A20208">
        <w:rPr>
          <w:rFonts w:ascii="Times New Roman" w:hAnsi="Times New Roman" w:eastAsia="Times New Roman" w:cs="Times New Roman"/>
          <w:sz w:val="24"/>
          <w:szCs w:val="24"/>
        </w:rPr>
        <w:t xml:space="preserve"> to an average of 1,</w:t>
      </w:r>
      <w:r w:rsidR="009D57F3">
        <w:rPr>
          <w:rFonts w:ascii="Times New Roman" w:hAnsi="Times New Roman" w:eastAsia="Times New Roman" w:cs="Times New Roman"/>
          <w:sz w:val="24"/>
          <w:szCs w:val="24"/>
        </w:rPr>
        <w:t>169,820</w:t>
      </w:r>
      <w:r w:rsidR="00A20208">
        <w:rPr>
          <w:rFonts w:ascii="Times New Roman" w:hAnsi="Times New Roman" w:eastAsia="Times New Roman" w:cs="Times New Roman"/>
          <w:sz w:val="24"/>
          <w:szCs w:val="24"/>
        </w:rPr>
        <w:t xml:space="preserve"> hours</w:t>
      </w:r>
      <w:r w:rsidR="00583507">
        <w:rPr>
          <w:rFonts w:ascii="Times New Roman" w:hAnsi="Times New Roman" w:eastAsia="Times New Roman" w:cs="Times New Roman"/>
          <w:sz w:val="24"/>
          <w:szCs w:val="24"/>
        </w:rPr>
        <w:t>.</w:t>
      </w:r>
    </w:p>
    <w:p w:rsidR="009D57F3" w:rsidP="00704168" w:rsidRDefault="009D57F3" w14:paraId="5A7FC684" w14:textId="0041ADDE">
      <w:pPr>
        <w:spacing w:after="0" w:line="240" w:lineRule="auto"/>
        <w:ind w:right="40"/>
        <w:rPr>
          <w:rFonts w:ascii="Times New Roman" w:hAnsi="Times New Roman" w:eastAsia="Times New Roman" w:cs="Times New Roman"/>
          <w:sz w:val="24"/>
          <w:szCs w:val="24"/>
        </w:rPr>
      </w:pPr>
    </w:p>
    <w:p w:rsidR="009D57F3" w:rsidP="009D57F3" w:rsidRDefault="009D57F3" w14:paraId="58087114" w14:textId="77777777">
      <w:pPr>
        <w:spacing w:after="0" w:line="240" w:lineRule="auto"/>
        <w:ind w:right="2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CMS is merging the ICR </w:t>
      </w:r>
      <w:r w:rsidRPr="00276DFE">
        <w:rPr>
          <w:rFonts w:ascii="Times New Roman" w:hAnsi="Times New Roman" w:eastAsia="Times New Roman" w:cs="Times New Roman"/>
          <w:sz w:val="24"/>
          <w:szCs w:val="24"/>
        </w:rPr>
        <w:t xml:space="preserve">associated with the segregation plan requirements under 45 </w:t>
      </w:r>
      <w:r>
        <w:rPr>
          <w:rFonts w:ascii="Times New Roman" w:hAnsi="Times New Roman" w:eastAsia="Times New Roman" w:cs="Times New Roman"/>
          <w:sz w:val="24"/>
          <w:szCs w:val="24"/>
        </w:rPr>
        <w:t>CFR</w:t>
      </w:r>
      <w:r w:rsidRPr="00276DFE">
        <w:rPr>
          <w:rFonts w:ascii="Times New Roman" w:hAnsi="Times New Roman" w:eastAsia="Times New Roman" w:cs="Times New Roman"/>
          <w:sz w:val="24"/>
          <w:szCs w:val="24"/>
        </w:rPr>
        <w:t xml:space="preserve"> §156.280(e)(5)(ii) with the ICR for the separate billing policy CMS-10681/OMB control number: 0938-NEW finalized in the Patient Protection and Affordable Care Act; Exchange Program Integrity (Program Integrity Rule) (CMS-9922-F), at § 156.280(e)(2)(ii)</w:t>
      </w:r>
      <w:r>
        <w:rPr>
          <w:rFonts w:ascii="Times New Roman" w:hAnsi="Times New Roman" w:eastAsia="Times New Roman" w:cs="Times New Roman"/>
          <w:sz w:val="24"/>
          <w:szCs w:val="24"/>
        </w:rPr>
        <w:t xml:space="preserve">. </w:t>
      </w:r>
      <w:r w:rsidRPr="00276DFE">
        <w:rPr>
          <w:rFonts w:ascii="Times New Roman" w:hAnsi="Times New Roman" w:eastAsia="Times New Roman" w:cs="Times New Roman"/>
          <w:sz w:val="24"/>
          <w:szCs w:val="24"/>
        </w:rPr>
        <w:t>Upon approval of the ICR, CMS will request to discontinue the segregation plan ICR CMS-10400/OMB control number: 0938-1156</w:t>
      </w:r>
      <w:r>
        <w:rPr>
          <w:rFonts w:ascii="Times New Roman" w:hAnsi="Times New Roman" w:eastAsia="Times New Roman" w:cs="Times New Roman"/>
          <w:sz w:val="24"/>
          <w:szCs w:val="24"/>
        </w:rPr>
        <w:t xml:space="preserve">. No substantive changes were made to the collection other than merging the packages. </w:t>
      </w:r>
    </w:p>
    <w:p w:rsidR="009D57F3" w:rsidP="009D57F3" w:rsidRDefault="009D57F3" w14:paraId="56E6E1AF" w14:textId="77777777">
      <w:pPr>
        <w:spacing w:after="0" w:line="240" w:lineRule="auto"/>
        <w:ind w:right="29"/>
        <w:rPr>
          <w:rFonts w:ascii="Times New Roman" w:hAnsi="Times New Roman" w:eastAsia="Times New Roman" w:cs="Times New Roman"/>
          <w:sz w:val="24"/>
          <w:szCs w:val="24"/>
        </w:rPr>
      </w:pPr>
    </w:p>
    <w:p w:rsidRPr="00A12DB1" w:rsidR="00087A57" w:rsidP="00A12DB1" w:rsidRDefault="00087A57" w14:paraId="718B1FF3" w14:textId="6BDCFABA">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A12DB1">
        <w:rPr>
          <w:rFonts w:ascii="Times New Roman" w:hAnsi="Times New Roman" w:eastAsia="Times New Roman" w:cs="Times New Roman"/>
          <w:bCs/>
          <w:sz w:val="24"/>
          <w:szCs w:val="24"/>
          <w:u w:val="single"/>
        </w:rPr>
        <w:t>16.</w:t>
      </w:r>
      <w:r w:rsidRPr="0092154D" w:rsidR="000371E8">
        <w:rPr>
          <w:rFonts w:ascii="Times New Roman" w:hAnsi="Times New Roman" w:eastAsia="Times New Roman" w:cs="Times New Roman"/>
          <w:bCs/>
          <w:sz w:val="24"/>
          <w:szCs w:val="24"/>
        </w:rPr>
        <w:tab/>
      </w:r>
      <w:r w:rsidRPr="00A12DB1">
        <w:rPr>
          <w:rFonts w:ascii="Times New Roman" w:hAnsi="Times New Roman" w:eastAsia="Times New Roman" w:cs="Times New Roman"/>
          <w:bCs/>
          <w:sz w:val="24"/>
          <w:szCs w:val="24"/>
          <w:u w:val="single"/>
        </w:rPr>
        <w:t>Publication/Tabulation Dates</w:t>
      </w:r>
    </w:p>
    <w:p w:rsidR="00087A57" w:rsidP="00D72BC8" w:rsidRDefault="00087A57" w14:paraId="18FA98B9" w14:textId="77777777">
      <w:pPr>
        <w:spacing w:after="0" w:line="240" w:lineRule="auto"/>
        <w:ind w:left="119" w:right="40"/>
        <w:rPr>
          <w:rFonts w:ascii="Times New Roman" w:hAnsi="Times New Roman" w:eastAsia="Times New Roman" w:cs="Times New Roman"/>
          <w:sz w:val="24"/>
          <w:szCs w:val="24"/>
        </w:rPr>
      </w:pPr>
    </w:p>
    <w:p w:rsidR="00693178" w:rsidP="00D72BC8" w:rsidRDefault="00693178" w14:paraId="5CC96E9E" w14:textId="77777777">
      <w:pPr>
        <w:spacing w:before="1" w:after="0" w:line="280" w:lineRule="exact"/>
        <w:rPr>
          <w:rFonts w:ascii="Times New Roman" w:hAnsi="Times New Roman" w:cs="Times New Roman"/>
          <w:sz w:val="24"/>
          <w:szCs w:val="24"/>
        </w:rPr>
      </w:pPr>
      <w:r w:rsidRPr="00693178">
        <w:rPr>
          <w:rFonts w:ascii="Times New Roman" w:hAnsi="Times New Roman" w:cs="Times New Roman"/>
          <w:sz w:val="24"/>
          <w:szCs w:val="24"/>
        </w:rPr>
        <w:t>Results of the collection will not be made public.</w:t>
      </w:r>
    </w:p>
    <w:p w:rsidRPr="008F589E" w:rsidR="003559D0" w:rsidP="00D72BC8" w:rsidRDefault="003559D0" w14:paraId="623AB84D" w14:textId="77777777">
      <w:pPr>
        <w:spacing w:before="1" w:after="0" w:line="280" w:lineRule="exact"/>
        <w:rPr>
          <w:rFonts w:ascii="Times New Roman" w:hAnsi="Times New Roman" w:cs="Times New Roman"/>
          <w:sz w:val="24"/>
          <w:szCs w:val="24"/>
        </w:rPr>
      </w:pPr>
    </w:p>
    <w:p w:rsidRPr="00A12DB1" w:rsidR="00D72BC8" w:rsidP="00A12DB1" w:rsidRDefault="00D72BC8" w14:paraId="47988FCC" w14:textId="77777777">
      <w:pPr>
        <w:widowControl w:val="0"/>
        <w:tabs>
          <w:tab w:val="left" w:pos="940"/>
        </w:tabs>
        <w:spacing w:after="0" w:line="240" w:lineRule="auto"/>
        <w:ind w:left="720" w:right="29" w:hanging="720"/>
        <w:rPr>
          <w:rFonts w:ascii="Times New Roman" w:hAnsi="Times New Roman" w:eastAsia="Times New Roman" w:cs="Times New Roman"/>
          <w:bCs/>
          <w:sz w:val="24"/>
          <w:szCs w:val="24"/>
          <w:u w:val="single"/>
        </w:rPr>
      </w:pPr>
      <w:r w:rsidRPr="00A12DB1">
        <w:rPr>
          <w:rFonts w:ascii="Times New Roman" w:hAnsi="Times New Roman" w:eastAsia="Times New Roman" w:cs="Times New Roman"/>
          <w:bCs/>
          <w:sz w:val="24"/>
          <w:szCs w:val="24"/>
          <w:u w:val="single"/>
        </w:rPr>
        <w:t>17.</w:t>
      </w:r>
      <w:r w:rsidRPr="00A12DB1">
        <w:rPr>
          <w:rFonts w:ascii="Times New Roman" w:hAnsi="Times New Roman" w:eastAsia="Times New Roman" w:cs="Times New Roman"/>
          <w:bCs/>
          <w:sz w:val="24"/>
          <w:szCs w:val="24"/>
        </w:rPr>
        <w:tab/>
      </w:r>
      <w:r w:rsidRPr="00A12DB1">
        <w:rPr>
          <w:rFonts w:ascii="Times New Roman" w:hAnsi="Times New Roman" w:eastAsia="Times New Roman" w:cs="Times New Roman"/>
          <w:bCs/>
          <w:sz w:val="24"/>
          <w:szCs w:val="24"/>
          <w:u w:val="single"/>
        </w:rPr>
        <w:t>Expiration Date</w:t>
      </w:r>
    </w:p>
    <w:p w:rsidRPr="00C35263" w:rsidR="00FC001B" w:rsidP="00FC001B" w:rsidRDefault="00FC001B" w14:paraId="2B66223F" w14:textId="6BB34194">
      <w:pPr>
        <w:tabs>
          <w:tab w:val="left" w:pos="1180"/>
        </w:tabs>
        <w:spacing w:after="0" w:line="240" w:lineRule="auto"/>
        <w:ind w:right="-20"/>
        <w:rPr>
          <w:rFonts w:ascii="Times New Roman" w:hAnsi="Times New Roman" w:eastAsia="Times New Roman" w:cs="Times New Roman"/>
          <w:b/>
          <w:sz w:val="24"/>
          <w:szCs w:val="24"/>
        </w:rPr>
      </w:pPr>
    </w:p>
    <w:p w:rsidRPr="008F589E" w:rsidR="00FC001B" w:rsidP="00FC001B" w:rsidRDefault="00693178" w14:paraId="016BFC75" w14:textId="641F2C91">
      <w:pPr>
        <w:spacing w:after="0" w:line="240" w:lineRule="auto"/>
        <w:ind w:right="-20"/>
        <w:rPr>
          <w:rFonts w:ascii="Times New Roman" w:hAnsi="Times New Roman" w:eastAsia="Calibri" w:cs="Times New Roman"/>
          <w:sz w:val="24"/>
          <w:szCs w:val="24"/>
        </w:rPr>
      </w:pPr>
      <w:r w:rsidRPr="00693178">
        <w:rPr>
          <w:rFonts w:ascii="Times New Roman" w:hAnsi="Times New Roman" w:eastAsia="Times New Roman" w:cs="Times New Roman"/>
          <w:spacing w:val="1"/>
          <w:sz w:val="24"/>
          <w:szCs w:val="24"/>
        </w:rPr>
        <w:t>There are no instruments associated with this data collection.</w:t>
      </w:r>
    </w:p>
    <w:sectPr w:rsidRPr="008F589E" w:rsidR="00FC001B" w:rsidSect="00582F85">
      <w:footerReference w:type="default" r:id="rId15"/>
      <w:pgSz w:w="12240" w:h="15840"/>
      <w:pgMar w:top="1267" w:right="1166" w:bottom="1296" w:left="1094"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7CB4" w14:textId="77777777" w:rsidR="006809B0" w:rsidRDefault="006809B0" w:rsidP="00085AB1">
      <w:pPr>
        <w:spacing w:after="0" w:line="240" w:lineRule="auto"/>
      </w:pPr>
      <w:r>
        <w:separator/>
      </w:r>
    </w:p>
  </w:endnote>
  <w:endnote w:type="continuationSeparator" w:id="0">
    <w:p w14:paraId="225C7200" w14:textId="77777777" w:rsidR="006809B0" w:rsidRDefault="006809B0" w:rsidP="0008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935038"/>
      <w:docPartObj>
        <w:docPartGallery w:val="Page Numbers (Bottom of Page)"/>
        <w:docPartUnique/>
      </w:docPartObj>
    </w:sdtPr>
    <w:sdtEndPr>
      <w:rPr>
        <w:noProof/>
      </w:rPr>
    </w:sdtEndPr>
    <w:sdtContent>
      <w:p w14:paraId="23292CE8" w14:textId="2891DE7A" w:rsidR="0034118E" w:rsidRDefault="0034118E">
        <w:pPr>
          <w:pStyle w:val="Footer"/>
          <w:jc w:val="center"/>
        </w:pPr>
        <w:r>
          <w:fldChar w:fldCharType="begin"/>
        </w:r>
        <w:r>
          <w:instrText xml:space="preserve"> PAGE   \* MERGEFORMAT </w:instrText>
        </w:r>
        <w:r>
          <w:fldChar w:fldCharType="separate"/>
        </w:r>
        <w:r w:rsidR="002B0836">
          <w:rPr>
            <w:noProof/>
          </w:rPr>
          <w:t>6</w:t>
        </w:r>
        <w:r>
          <w:rPr>
            <w:noProof/>
          </w:rPr>
          <w:fldChar w:fldCharType="end"/>
        </w:r>
      </w:p>
    </w:sdtContent>
  </w:sdt>
  <w:p w14:paraId="5D3AF01D" w14:textId="32452F02" w:rsidR="0034118E" w:rsidRDefault="0034118E">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96C10" w14:textId="77777777" w:rsidR="006809B0" w:rsidRDefault="006809B0" w:rsidP="00085AB1">
      <w:pPr>
        <w:spacing w:after="0" w:line="240" w:lineRule="auto"/>
      </w:pPr>
      <w:r>
        <w:separator/>
      </w:r>
    </w:p>
  </w:footnote>
  <w:footnote w:type="continuationSeparator" w:id="0">
    <w:p w14:paraId="08738978" w14:textId="77777777" w:rsidR="006809B0" w:rsidRDefault="006809B0" w:rsidP="00085AB1">
      <w:pPr>
        <w:spacing w:after="0" w:line="240" w:lineRule="auto"/>
      </w:pPr>
      <w:r>
        <w:continuationSeparator/>
      </w:r>
    </w:p>
  </w:footnote>
  <w:footnote w:id="1">
    <w:p w14:paraId="59410107" w14:textId="77777777" w:rsidR="0034118E" w:rsidRPr="006C72E8" w:rsidRDefault="0034118E">
      <w:pPr>
        <w:pStyle w:val="FootnoteText"/>
        <w:rPr>
          <w:rFonts w:ascii="Times New Roman" w:hAnsi="Times New Roman"/>
        </w:rPr>
      </w:pPr>
      <w:r w:rsidRPr="006C72E8">
        <w:rPr>
          <w:rStyle w:val="FootnoteReference"/>
          <w:rFonts w:ascii="Times New Roman" w:hAnsi="Times New Roman"/>
        </w:rPr>
        <w:footnoteRef/>
      </w:r>
      <w:r w:rsidRPr="006C72E8">
        <w:rPr>
          <w:rFonts w:ascii="Times New Roman" w:hAnsi="Times New Roman"/>
        </w:rPr>
        <w:t xml:space="preserve"> Section 1303 also specifies how such actuarial value is to be calculated.</w:t>
      </w:r>
    </w:p>
  </w:footnote>
  <w:footnote w:id="2">
    <w:p w14:paraId="223B17CD" w14:textId="77777777" w:rsidR="0034118E" w:rsidRPr="00AA0D78" w:rsidRDefault="0034118E" w:rsidP="001E2D63">
      <w:pPr>
        <w:pStyle w:val="FootnoteText"/>
        <w:rPr>
          <w:rFonts w:ascii="Times New Roman" w:hAnsi="Times New Roman"/>
        </w:rPr>
      </w:pPr>
      <w:r w:rsidRPr="00AA0D78">
        <w:rPr>
          <w:rStyle w:val="FootnoteReference"/>
          <w:rFonts w:ascii="Times New Roman" w:hAnsi="Times New Roman"/>
        </w:rPr>
        <w:footnoteRef/>
      </w:r>
      <w:r w:rsidRPr="00AA0D78">
        <w:rPr>
          <w:rFonts w:ascii="Times New Roman" w:hAnsi="Times New Roman"/>
        </w:rPr>
        <w:t xml:space="preserve"> CMS Bulletin Addressing Enforcement of Section 1303 of the Patient Protection and Affordable Care Act (October 6, 2017), </w:t>
      </w:r>
      <w:r w:rsidRPr="00AA0D78">
        <w:rPr>
          <w:rFonts w:ascii="Times New Roman" w:hAnsi="Times New Roman"/>
          <w:i/>
        </w:rPr>
        <w:t xml:space="preserve">available at </w:t>
      </w:r>
      <w:hyperlink r:id="rId1" w:history="1">
        <w:r w:rsidRPr="00AA0D78">
          <w:rPr>
            <w:rStyle w:val="Hyperlink"/>
            <w:rFonts w:ascii="Times New Roman" w:hAnsi="Times New Roman"/>
          </w:rPr>
          <w:t>https://www.cms.gov/CCIIO/Resources/Regulations-and-Guidance/Downloads/Section-1303-Bulletin-10-6-2017-FINAL-508.pdf</w:t>
        </w:r>
      </w:hyperlink>
      <w:r w:rsidRPr="00AA0D78">
        <w:rPr>
          <w:rFonts w:ascii="Times New Roman" w:hAnsi="Times New Roman"/>
        </w:rPr>
        <w:t>.</w:t>
      </w:r>
      <w:r w:rsidRPr="00AA0D78">
        <w:rPr>
          <w:rFonts w:ascii="Times New Roman" w:hAnsi="Times New Roman"/>
          <w:i/>
        </w:rPr>
        <w:t xml:space="preserve"> </w:t>
      </w:r>
    </w:p>
  </w:footnote>
  <w:footnote w:id="3">
    <w:p w14:paraId="004448F1" w14:textId="135612CD" w:rsidR="0034118E" w:rsidRPr="00C20635" w:rsidRDefault="0034118E">
      <w:pPr>
        <w:pStyle w:val="FootnoteText"/>
        <w:rPr>
          <w:rFonts w:ascii="Times New Roman" w:hAnsi="Times New Roman" w:cs="Times New Roman"/>
        </w:rPr>
      </w:pPr>
      <w:r w:rsidRPr="00C20635">
        <w:rPr>
          <w:rStyle w:val="FootnoteReference"/>
          <w:rFonts w:ascii="Times New Roman" w:hAnsi="Times New Roman" w:cs="Times New Roman"/>
        </w:rPr>
        <w:footnoteRef/>
      </w:r>
      <w:r w:rsidRPr="00C20635">
        <w:rPr>
          <w:rFonts w:ascii="Times New Roman" w:hAnsi="Times New Roman" w:cs="Times New Roman"/>
        </w:rPr>
        <w:t xml:space="preserve"> The 25th percentile mean hourly wage most closely resembles the group of enrollees likely to be affected by this p</w:t>
      </w:r>
      <w:r>
        <w:rPr>
          <w:rFonts w:ascii="Times New Roman" w:hAnsi="Times New Roman" w:cs="Times New Roman"/>
        </w:rPr>
        <w:t>olicy</w:t>
      </w:r>
      <w:r w:rsidRPr="00C20635">
        <w:rPr>
          <w:rFonts w:ascii="Times New Roman" w:hAnsi="Times New Roman" w:cs="Times New Roman"/>
        </w:rPr>
        <w:t xml:space="preserve"> as most enrollees enrolled in QHPs on the Exchange are between 100 percent and 400 percent of the federal poverty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20F31"/>
    <w:multiLevelType w:val="hybridMultilevel"/>
    <w:tmpl w:val="55506E36"/>
    <w:lvl w:ilvl="0" w:tplc="7FFEA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C3A71"/>
    <w:multiLevelType w:val="hybridMultilevel"/>
    <w:tmpl w:val="3CA29FA4"/>
    <w:lvl w:ilvl="0" w:tplc="53CACE48">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F0"/>
    <w:rsid w:val="00000C05"/>
    <w:rsid w:val="00004DC0"/>
    <w:rsid w:val="00032563"/>
    <w:rsid w:val="000371E8"/>
    <w:rsid w:val="00045E43"/>
    <w:rsid w:val="00055305"/>
    <w:rsid w:val="00056BEB"/>
    <w:rsid w:val="00070AD6"/>
    <w:rsid w:val="000719DB"/>
    <w:rsid w:val="00077AD2"/>
    <w:rsid w:val="00080F3A"/>
    <w:rsid w:val="00085AB1"/>
    <w:rsid w:val="00087A57"/>
    <w:rsid w:val="00090E39"/>
    <w:rsid w:val="000945F9"/>
    <w:rsid w:val="00094705"/>
    <w:rsid w:val="000A07E1"/>
    <w:rsid w:val="000A7A85"/>
    <w:rsid w:val="000B08B6"/>
    <w:rsid w:val="000B125A"/>
    <w:rsid w:val="000B672A"/>
    <w:rsid w:val="000B7D57"/>
    <w:rsid w:val="000C36A3"/>
    <w:rsid w:val="000C5AF7"/>
    <w:rsid w:val="000D28EC"/>
    <w:rsid w:val="000E3069"/>
    <w:rsid w:val="000F332C"/>
    <w:rsid w:val="00104DD9"/>
    <w:rsid w:val="001063B5"/>
    <w:rsid w:val="00115B4A"/>
    <w:rsid w:val="001214A7"/>
    <w:rsid w:val="0013273D"/>
    <w:rsid w:val="00151523"/>
    <w:rsid w:val="001553F4"/>
    <w:rsid w:val="00160E20"/>
    <w:rsid w:val="001661DC"/>
    <w:rsid w:val="00170C71"/>
    <w:rsid w:val="00171EF9"/>
    <w:rsid w:val="0017450A"/>
    <w:rsid w:val="00175088"/>
    <w:rsid w:val="0018395A"/>
    <w:rsid w:val="00190BC2"/>
    <w:rsid w:val="00194A50"/>
    <w:rsid w:val="001A22E3"/>
    <w:rsid w:val="001B18D6"/>
    <w:rsid w:val="001C0C16"/>
    <w:rsid w:val="001C219A"/>
    <w:rsid w:val="001C43F0"/>
    <w:rsid w:val="001C6AF3"/>
    <w:rsid w:val="001D5822"/>
    <w:rsid w:val="001D5FC3"/>
    <w:rsid w:val="001E180A"/>
    <w:rsid w:val="001E27F9"/>
    <w:rsid w:val="001E2D63"/>
    <w:rsid w:val="001E3490"/>
    <w:rsid w:val="001F19E9"/>
    <w:rsid w:val="001F275E"/>
    <w:rsid w:val="002070E5"/>
    <w:rsid w:val="00210CD9"/>
    <w:rsid w:val="00211D80"/>
    <w:rsid w:val="002133FF"/>
    <w:rsid w:val="00214FA9"/>
    <w:rsid w:val="00217D70"/>
    <w:rsid w:val="00233742"/>
    <w:rsid w:val="00242A4D"/>
    <w:rsid w:val="002446E6"/>
    <w:rsid w:val="0024660D"/>
    <w:rsid w:val="0025255A"/>
    <w:rsid w:val="00252883"/>
    <w:rsid w:val="00260C5C"/>
    <w:rsid w:val="00272AE8"/>
    <w:rsid w:val="00276C4D"/>
    <w:rsid w:val="00276DFE"/>
    <w:rsid w:val="00285C89"/>
    <w:rsid w:val="002912E8"/>
    <w:rsid w:val="0029683D"/>
    <w:rsid w:val="002A2231"/>
    <w:rsid w:val="002A3689"/>
    <w:rsid w:val="002A5D53"/>
    <w:rsid w:val="002B0836"/>
    <w:rsid w:val="002C5E4E"/>
    <w:rsid w:val="002E0367"/>
    <w:rsid w:val="002E324A"/>
    <w:rsid w:val="002F00E4"/>
    <w:rsid w:val="00311F08"/>
    <w:rsid w:val="00312AB5"/>
    <w:rsid w:val="00315EF4"/>
    <w:rsid w:val="00322A30"/>
    <w:rsid w:val="00324691"/>
    <w:rsid w:val="003405A8"/>
    <w:rsid w:val="0034118E"/>
    <w:rsid w:val="00342A40"/>
    <w:rsid w:val="00353E2C"/>
    <w:rsid w:val="003559D0"/>
    <w:rsid w:val="00372689"/>
    <w:rsid w:val="003777E6"/>
    <w:rsid w:val="00381188"/>
    <w:rsid w:val="003819F6"/>
    <w:rsid w:val="003849F0"/>
    <w:rsid w:val="00385B6E"/>
    <w:rsid w:val="00385C00"/>
    <w:rsid w:val="003906B7"/>
    <w:rsid w:val="00394402"/>
    <w:rsid w:val="003B0791"/>
    <w:rsid w:val="003B46AB"/>
    <w:rsid w:val="003B7B36"/>
    <w:rsid w:val="003C3362"/>
    <w:rsid w:val="003C77BF"/>
    <w:rsid w:val="003D2566"/>
    <w:rsid w:val="003D5A57"/>
    <w:rsid w:val="003E66EA"/>
    <w:rsid w:val="003F05F2"/>
    <w:rsid w:val="003F1DF5"/>
    <w:rsid w:val="003F5A12"/>
    <w:rsid w:val="003F7FB8"/>
    <w:rsid w:val="00405E3D"/>
    <w:rsid w:val="00406588"/>
    <w:rsid w:val="004133B9"/>
    <w:rsid w:val="0042052C"/>
    <w:rsid w:val="0042421C"/>
    <w:rsid w:val="00437D4B"/>
    <w:rsid w:val="00443842"/>
    <w:rsid w:val="0045533B"/>
    <w:rsid w:val="00461E78"/>
    <w:rsid w:val="004839DB"/>
    <w:rsid w:val="00485799"/>
    <w:rsid w:val="0049379A"/>
    <w:rsid w:val="004A2F8F"/>
    <w:rsid w:val="004B3D50"/>
    <w:rsid w:val="004B49ED"/>
    <w:rsid w:val="004B6CB1"/>
    <w:rsid w:val="004D54CE"/>
    <w:rsid w:val="004F1025"/>
    <w:rsid w:val="00502381"/>
    <w:rsid w:val="005033EA"/>
    <w:rsid w:val="00507F2B"/>
    <w:rsid w:val="0051228F"/>
    <w:rsid w:val="00530256"/>
    <w:rsid w:val="00533237"/>
    <w:rsid w:val="00541BFC"/>
    <w:rsid w:val="00543981"/>
    <w:rsid w:val="00551838"/>
    <w:rsid w:val="00553166"/>
    <w:rsid w:val="0055339E"/>
    <w:rsid w:val="005558A4"/>
    <w:rsid w:val="00563B98"/>
    <w:rsid w:val="0056677F"/>
    <w:rsid w:val="005719A8"/>
    <w:rsid w:val="00574E6E"/>
    <w:rsid w:val="005829C6"/>
    <w:rsid w:val="00582F85"/>
    <w:rsid w:val="00583507"/>
    <w:rsid w:val="00584DB2"/>
    <w:rsid w:val="00585A8F"/>
    <w:rsid w:val="005937F5"/>
    <w:rsid w:val="005A0EF2"/>
    <w:rsid w:val="005B3EEC"/>
    <w:rsid w:val="005B42D6"/>
    <w:rsid w:val="005B4423"/>
    <w:rsid w:val="005C1CDB"/>
    <w:rsid w:val="005C47DC"/>
    <w:rsid w:val="005D2008"/>
    <w:rsid w:val="005D3CE2"/>
    <w:rsid w:val="005D768C"/>
    <w:rsid w:val="005E018C"/>
    <w:rsid w:val="005E2DEC"/>
    <w:rsid w:val="005E2EDD"/>
    <w:rsid w:val="005E5711"/>
    <w:rsid w:val="005F18D6"/>
    <w:rsid w:val="00604562"/>
    <w:rsid w:val="0060679C"/>
    <w:rsid w:val="0060752B"/>
    <w:rsid w:val="006105B2"/>
    <w:rsid w:val="00616067"/>
    <w:rsid w:val="006169E9"/>
    <w:rsid w:val="00617C1A"/>
    <w:rsid w:val="00624F04"/>
    <w:rsid w:val="0062557D"/>
    <w:rsid w:val="0063779D"/>
    <w:rsid w:val="00642543"/>
    <w:rsid w:val="0064399D"/>
    <w:rsid w:val="00645003"/>
    <w:rsid w:val="00650D54"/>
    <w:rsid w:val="00656C6F"/>
    <w:rsid w:val="00660157"/>
    <w:rsid w:val="00660749"/>
    <w:rsid w:val="0066340E"/>
    <w:rsid w:val="0067455D"/>
    <w:rsid w:val="00677059"/>
    <w:rsid w:val="006809B0"/>
    <w:rsid w:val="0068147B"/>
    <w:rsid w:val="0068227B"/>
    <w:rsid w:val="00685A6F"/>
    <w:rsid w:val="0069306A"/>
    <w:rsid w:val="00693178"/>
    <w:rsid w:val="006961BA"/>
    <w:rsid w:val="006A40AF"/>
    <w:rsid w:val="006A4273"/>
    <w:rsid w:val="006A4AF7"/>
    <w:rsid w:val="006A500A"/>
    <w:rsid w:val="006A524D"/>
    <w:rsid w:val="006B0287"/>
    <w:rsid w:val="006B30B5"/>
    <w:rsid w:val="006B4198"/>
    <w:rsid w:val="006B739F"/>
    <w:rsid w:val="006C72E8"/>
    <w:rsid w:val="006D52A0"/>
    <w:rsid w:val="006E1EC9"/>
    <w:rsid w:val="006E4BF5"/>
    <w:rsid w:val="006F05C6"/>
    <w:rsid w:val="006F0DDA"/>
    <w:rsid w:val="00704027"/>
    <w:rsid w:val="00704168"/>
    <w:rsid w:val="0070652E"/>
    <w:rsid w:val="00713E14"/>
    <w:rsid w:val="0072203B"/>
    <w:rsid w:val="0072281B"/>
    <w:rsid w:val="00726E2A"/>
    <w:rsid w:val="00736B2B"/>
    <w:rsid w:val="00741C68"/>
    <w:rsid w:val="00746CDC"/>
    <w:rsid w:val="007475CC"/>
    <w:rsid w:val="00750FA1"/>
    <w:rsid w:val="007516C4"/>
    <w:rsid w:val="00754758"/>
    <w:rsid w:val="0075587C"/>
    <w:rsid w:val="00770EB2"/>
    <w:rsid w:val="00772421"/>
    <w:rsid w:val="007730B3"/>
    <w:rsid w:val="00792A4E"/>
    <w:rsid w:val="00795F28"/>
    <w:rsid w:val="007A11A2"/>
    <w:rsid w:val="007A146A"/>
    <w:rsid w:val="007A78D8"/>
    <w:rsid w:val="007B0299"/>
    <w:rsid w:val="007B5914"/>
    <w:rsid w:val="007B701B"/>
    <w:rsid w:val="007B7337"/>
    <w:rsid w:val="007B7BEA"/>
    <w:rsid w:val="007D3C41"/>
    <w:rsid w:val="007E193C"/>
    <w:rsid w:val="007E59F1"/>
    <w:rsid w:val="007F224D"/>
    <w:rsid w:val="008076E0"/>
    <w:rsid w:val="0083134D"/>
    <w:rsid w:val="008322AA"/>
    <w:rsid w:val="008337D8"/>
    <w:rsid w:val="008346DD"/>
    <w:rsid w:val="00834E4B"/>
    <w:rsid w:val="008351DA"/>
    <w:rsid w:val="00851DE1"/>
    <w:rsid w:val="008555A2"/>
    <w:rsid w:val="008637F3"/>
    <w:rsid w:val="008640E6"/>
    <w:rsid w:val="00871DCB"/>
    <w:rsid w:val="00875A33"/>
    <w:rsid w:val="00883E5A"/>
    <w:rsid w:val="00883FFD"/>
    <w:rsid w:val="0088692B"/>
    <w:rsid w:val="008938DF"/>
    <w:rsid w:val="008C0D9E"/>
    <w:rsid w:val="008C1DBF"/>
    <w:rsid w:val="008C464C"/>
    <w:rsid w:val="008D1AF1"/>
    <w:rsid w:val="008D51B0"/>
    <w:rsid w:val="008D6EDD"/>
    <w:rsid w:val="008E1603"/>
    <w:rsid w:val="008E4A73"/>
    <w:rsid w:val="008E68D6"/>
    <w:rsid w:val="008F1CEB"/>
    <w:rsid w:val="008F589E"/>
    <w:rsid w:val="00901ED3"/>
    <w:rsid w:val="00903B2B"/>
    <w:rsid w:val="00905DC8"/>
    <w:rsid w:val="0090740C"/>
    <w:rsid w:val="00914C9D"/>
    <w:rsid w:val="00915A19"/>
    <w:rsid w:val="009173A8"/>
    <w:rsid w:val="00917F32"/>
    <w:rsid w:val="0092154D"/>
    <w:rsid w:val="0092225B"/>
    <w:rsid w:val="009227EB"/>
    <w:rsid w:val="0093049A"/>
    <w:rsid w:val="009444F7"/>
    <w:rsid w:val="009501BB"/>
    <w:rsid w:val="00950C5A"/>
    <w:rsid w:val="00971896"/>
    <w:rsid w:val="00974041"/>
    <w:rsid w:val="009754C4"/>
    <w:rsid w:val="00975D05"/>
    <w:rsid w:val="0098076A"/>
    <w:rsid w:val="00985904"/>
    <w:rsid w:val="00994CC2"/>
    <w:rsid w:val="0099611F"/>
    <w:rsid w:val="009A6B36"/>
    <w:rsid w:val="009B4B83"/>
    <w:rsid w:val="009C4F92"/>
    <w:rsid w:val="009C5AC7"/>
    <w:rsid w:val="009D57F3"/>
    <w:rsid w:val="009E2945"/>
    <w:rsid w:val="009F31D4"/>
    <w:rsid w:val="00A07F18"/>
    <w:rsid w:val="00A10B17"/>
    <w:rsid w:val="00A12DB1"/>
    <w:rsid w:val="00A12EE8"/>
    <w:rsid w:val="00A20208"/>
    <w:rsid w:val="00A23A4C"/>
    <w:rsid w:val="00A37C11"/>
    <w:rsid w:val="00A46D48"/>
    <w:rsid w:val="00A53DA8"/>
    <w:rsid w:val="00A5403D"/>
    <w:rsid w:val="00A62C59"/>
    <w:rsid w:val="00A64A94"/>
    <w:rsid w:val="00A742CC"/>
    <w:rsid w:val="00A8748F"/>
    <w:rsid w:val="00A90BBB"/>
    <w:rsid w:val="00AA2CB5"/>
    <w:rsid w:val="00AB2A3E"/>
    <w:rsid w:val="00AB616D"/>
    <w:rsid w:val="00AB6503"/>
    <w:rsid w:val="00AB6634"/>
    <w:rsid w:val="00AB6998"/>
    <w:rsid w:val="00AC5074"/>
    <w:rsid w:val="00AE22F0"/>
    <w:rsid w:val="00AE3580"/>
    <w:rsid w:val="00AE7E08"/>
    <w:rsid w:val="00AF4A2E"/>
    <w:rsid w:val="00AF735C"/>
    <w:rsid w:val="00B3077A"/>
    <w:rsid w:val="00B341A6"/>
    <w:rsid w:val="00B418F2"/>
    <w:rsid w:val="00B43872"/>
    <w:rsid w:val="00B5560C"/>
    <w:rsid w:val="00B644B8"/>
    <w:rsid w:val="00B663E2"/>
    <w:rsid w:val="00B664C4"/>
    <w:rsid w:val="00B7296F"/>
    <w:rsid w:val="00B72F6F"/>
    <w:rsid w:val="00B75DBF"/>
    <w:rsid w:val="00B8070A"/>
    <w:rsid w:val="00B93FCD"/>
    <w:rsid w:val="00B96A77"/>
    <w:rsid w:val="00BA149C"/>
    <w:rsid w:val="00BA658B"/>
    <w:rsid w:val="00BA7B2E"/>
    <w:rsid w:val="00BB3C13"/>
    <w:rsid w:val="00BB5B9E"/>
    <w:rsid w:val="00BC0620"/>
    <w:rsid w:val="00BC7A77"/>
    <w:rsid w:val="00BD54C8"/>
    <w:rsid w:val="00BE2017"/>
    <w:rsid w:val="00BE42CF"/>
    <w:rsid w:val="00BE56FA"/>
    <w:rsid w:val="00BF3388"/>
    <w:rsid w:val="00BF42DD"/>
    <w:rsid w:val="00BF6278"/>
    <w:rsid w:val="00C10E79"/>
    <w:rsid w:val="00C20635"/>
    <w:rsid w:val="00C22AD7"/>
    <w:rsid w:val="00C302D7"/>
    <w:rsid w:val="00C30CC4"/>
    <w:rsid w:val="00C3757E"/>
    <w:rsid w:val="00C37583"/>
    <w:rsid w:val="00C40C81"/>
    <w:rsid w:val="00C50DFA"/>
    <w:rsid w:val="00C53395"/>
    <w:rsid w:val="00C5556E"/>
    <w:rsid w:val="00C61286"/>
    <w:rsid w:val="00C73173"/>
    <w:rsid w:val="00C749F0"/>
    <w:rsid w:val="00C95BFF"/>
    <w:rsid w:val="00CA327A"/>
    <w:rsid w:val="00CA3B69"/>
    <w:rsid w:val="00CA45FE"/>
    <w:rsid w:val="00CB034E"/>
    <w:rsid w:val="00CB2F3C"/>
    <w:rsid w:val="00CB3065"/>
    <w:rsid w:val="00CB470C"/>
    <w:rsid w:val="00CD3058"/>
    <w:rsid w:val="00CE7691"/>
    <w:rsid w:val="00CF5EA7"/>
    <w:rsid w:val="00D05AED"/>
    <w:rsid w:val="00D117C7"/>
    <w:rsid w:val="00D1596B"/>
    <w:rsid w:val="00D22CE9"/>
    <w:rsid w:val="00D239CA"/>
    <w:rsid w:val="00D340B3"/>
    <w:rsid w:val="00D34A14"/>
    <w:rsid w:val="00D40A45"/>
    <w:rsid w:val="00D435A5"/>
    <w:rsid w:val="00D4401F"/>
    <w:rsid w:val="00D44234"/>
    <w:rsid w:val="00D47CC3"/>
    <w:rsid w:val="00D51872"/>
    <w:rsid w:val="00D52544"/>
    <w:rsid w:val="00D53A24"/>
    <w:rsid w:val="00D61DCE"/>
    <w:rsid w:val="00D63C37"/>
    <w:rsid w:val="00D667C1"/>
    <w:rsid w:val="00D72BC8"/>
    <w:rsid w:val="00D75BCE"/>
    <w:rsid w:val="00D81307"/>
    <w:rsid w:val="00D863F3"/>
    <w:rsid w:val="00D96CA5"/>
    <w:rsid w:val="00D974C1"/>
    <w:rsid w:val="00DA35D1"/>
    <w:rsid w:val="00DA40A3"/>
    <w:rsid w:val="00DA4D10"/>
    <w:rsid w:val="00DB18A8"/>
    <w:rsid w:val="00DB45D6"/>
    <w:rsid w:val="00DB504B"/>
    <w:rsid w:val="00DD2DD1"/>
    <w:rsid w:val="00DD5D1C"/>
    <w:rsid w:val="00DD7C98"/>
    <w:rsid w:val="00DF3975"/>
    <w:rsid w:val="00E01496"/>
    <w:rsid w:val="00E02110"/>
    <w:rsid w:val="00E044E4"/>
    <w:rsid w:val="00E063D5"/>
    <w:rsid w:val="00E07965"/>
    <w:rsid w:val="00E17078"/>
    <w:rsid w:val="00E17853"/>
    <w:rsid w:val="00E21555"/>
    <w:rsid w:val="00E226CF"/>
    <w:rsid w:val="00E22A37"/>
    <w:rsid w:val="00E25F28"/>
    <w:rsid w:val="00E2643F"/>
    <w:rsid w:val="00E33564"/>
    <w:rsid w:val="00E34CC9"/>
    <w:rsid w:val="00E44B31"/>
    <w:rsid w:val="00E6008A"/>
    <w:rsid w:val="00E65216"/>
    <w:rsid w:val="00E7579D"/>
    <w:rsid w:val="00E84520"/>
    <w:rsid w:val="00E87A33"/>
    <w:rsid w:val="00EA09BF"/>
    <w:rsid w:val="00EA77BB"/>
    <w:rsid w:val="00EB4A58"/>
    <w:rsid w:val="00EB51B1"/>
    <w:rsid w:val="00EB68D8"/>
    <w:rsid w:val="00EC31A8"/>
    <w:rsid w:val="00EC52C3"/>
    <w:rsid w:val="00ED5431"/>
    <w:rsid w:val="00ED708F"/>
    <w:rsid w:val="00EE56D2"/>
    <w:rsid w:val="00EF2C82"/>
    <w:rsid w:val="00F03BFB"/>
    <w:rsid w:val="00F07042"/>
    <w:rsid w:val="00F12049"/>
    <w:rsid w:val="00F2106E"/>
    <w:rsid w:val="00F3510E"/>
    <w:rsid w:val="00F44876"/>
    <w:rsid w:val="00F46DBA"/>
    <w:rsid w:val="00F4792E"/>
    <w:rsid w:val="00F52905"/>
    <w:rsid w:val="00F536DC"/>
    <w:rsid w:val="00F60CC4"/>
    <w:rsid w:val="00F6102B"/>
    <w:rsid w:val="00F620F9"/>
    <w:rsid w:val="00F6257C"/>
    <w:rsid w:val="00F644E2"/>
    <w:rsid w:val="00F65954"/>
    <w:rsid w:val="00F67360"/>
    <w:rsid w:val="00F74D54"/>
    <w:rsid w:val="00F75564"/>
    <w:rsid w:val="00F803D6"/>
    <w:rsid w:val="00F84EF4"/>
    <w:rsid w:val="00F855A6"/>
    <w:rsid w:val="00F85ACD"/>
    <w:rsid w:val="00F946C0"/>
    <w:rsid w:val="00F96307"/>
    <w:rsid w:val="00FA73C2"/>
    <w:rsid w:val="00FC001B"/>
    <w:rsid w:val="00FC5B58"/>
    <w:rsid w:val="00FD19D2"/>
    <w:rsid w:val="00FD24F7"/>
    <w:rsid w:val="00FE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D705D"/>
  <w15:docId w15:val="{BB1440C0-E176-4E65-A8E6-C29C9319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12EE8"/>
    <w:pPr>
      <w:widowControl w:val="0"/>
      <w:autoSpaceDE w:val="0"/>
      <w:autoSpaceDN w:val="0"/>
      <w:spacing w:after="0" w:line="240" w:lineRule="auto"/>
      <w:ind w:left="1180" w:hanging="94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unhideWhenUsed/>
    <w:rsid w:val="001C43F0"/>
  </w:style>
  <w:style w:type="paragraph" w:styleId="FootnoteText">
    <w:name w:val="footnote text"/>
    <w:basedOn w:val="Normal"/>
    <w:link w:val="FootnoteTextChar"/>
    <w:unhideWhenUsed/>
    <w:qFormat/>
    <w:rsid w:val="00085AB1"/>
    <w:pPr>
      <w:spacing w:after="0" w:line="240" w:lineRule="auto"/>
    </w:pPr>
    <w:rPr>
      <w:sz w:val="20"/>
      <w:szCs w:val="20"/>
    </w:rPr>
  </w:style>
  <w:style w:type="character" w:customStyle="1" w:styleId="FootnoteTextChar">
    <w:name w:val="Footnote Text Char"/>
    <w:basedOn w:val="DefaultParagraphFont"/>
    <w:link w:val="FootnoteText"/>
    <w:rsid w:val="00085AB1"/>
    <w:rPr>
      <w:sz w:val="20"/>
      <w:szCs w:val="20"/>
    </w:rPr>
  </w:style>
  <w:style w:type="character" w:styleId="FootnoteReference">
    <w:name w:val="footnote reference"/>
    <w:basedOn w:val="DefaultParagraphFont"/>
    <w:unhideWhenUsed/>
    <w:rsid w:val="00085AB1"/>
    <w:rPr>
      <w:vertAlign w:val="superscript"/>
    </w:rPr>
  </w:style>
  <w:style w:type="character" w:styleId="CommentReference">
    <w:name w:val="annotation reference"/>
    <w:basedOn w:val="DefaultParagraphFont"/>
    <w:uiPriority w:val="99"/>
    <w:unhideWhenUsed/>
    <w:rsid w:val="00085AB1"/>
    <w:rPr>
      <w:sz w:val="16"/>
      <w:szCs w:val="16"/>
    </w:rPr>
  </w:style>
  <w:style w:type="paragraph" w:styleId="CommentText">
    <w:name w:val="annotation text"/>
    <w:basedOn w:val="Normal"/>
    <w:link w:val="CommentTextChar"/>
    <w:uiPriority w:val="99"/>
    <w:unhideWhenUsed/>
    <w:qFormat/>
    <w:rsid w:val="00085AB1"/>
    <w:pPr>
      <w:spacing w:line="240" w:lineRule="auto"/>
    </w:pPr>
    <w:rPr>
      <w:sz w:val="20"/>
      <w:szCs w:val="20"/>
    </w:rPr>
  </w:style>
  <w:style w:type="character" w:customStyle="1" w:styleId="CommentTextChar">
    <w:name w:val="Comment Text Char"/>
    <w:basedOn w:val="DefaultParagraphFont"/>
    <w:link w:val="CommentText"/>
    <w:uiPriority w:val="99"/>
    <w:rsid w:val="00085AB1"/>
    <w:rPr>
      <w:sz w:val="20"/>
      <w:szCs w:val="20"/>
    </w:rPr>
  </w:style>
  <w:style w:type="paragraph" w:styleId="CommentSubject">
    <w:name w:val="annotation subject"/>
    <w:basedOn w:val="CommentText"/>
    <w:next w:val="CommentText"/>
    <w:link w:val="CommentSubjectChar"/>
    <w:uiPriority w:val="99"/>
    <w:semiHidden/>
    <w:unhideWhenUsed/>
    <w:rsid w:val="00085AB1"/>
    <w:rPr>
      <w:b/>
      <w:bCs/>
    </w:rPr>
  </w:style>
  <w:style w:type="character" w:customStyle="1" w:styleId="CommentSubjectChar">
    <w:name w:val="Comment Subject Char"/>
    <w:basedOn w:val="CommentTextChar"/>
    <w:link w:val="CommentSubject"/>
    <w:uiPriority w:val="99"/>
    <w:semiHidden/>
    <w:rsid w:val="00085AB1"/>
    <w:rPr>
      <w:b/>
      <w:bCs/>
      <w:sz w:val="20"/>
      <w:szCs w:val="20"/>
    </w:rPr>
  </w:style>
  <w:style w:type="paragraph" w:styleId="BalloonText">
    <w:name w:val="Balloon Text"/>
    <w:basedOn w:val="Normal"/>
    <w:link w:val="BalloonTextChar"/>
    <w:uiPriority w:val="99"/>
    <w:semiHidden/>
    <w:unhideWhenUsed/>
    <w:rsid w:val="0008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B1"/>
    <w:rPr>
      <w:rFonts w:ascii="Tahoma" w:hAnsi="Tahoma" w:cs="Tahoma"/>
      <w:sz w:val="16"/>
      <w:szCs w:val="16"/>
    </w:rPr>
  </w:style>
  <w:style w:type="character" w:styleId="Hyperlink">
    <w:name w:val="Hyperlink"/>
    <w:basedOn w:val="DefaultParagraphFont"/>
    <w:unhideWhenUsed/>
    <w:rsid w:val="00C22AD7"/>
    <w:rPr>
      <w:color w:val="0000FF" w:themeColor="hyperlink"/>
      <w:u w:val="single"/>
    </w:rPr>
  </w:style>
  <w:style w:type="paragraph" w:styleId="ListParagraph">
    <w:name w:val="List Paragraph"/>
    <w:basedOn w:val="Normal"/>
    <w:uiPriority w:val="1"/>
    <w:qFormat/>
    <w:rsid w:val="003849F0"/>
    <w:pPr>
      <w:ind w:left="720"/>
      <w:contextualSpacing/>
    </w:pPr>
  </w:style>
  <w:style w:type="character" w:styleId="FollowedHyperlink">
    <w:name w:val="FollowedHyperlink"/>
    <w:basedOn w:val="DefaultParagraphFont"/>
    <w:uiPriority w:val="99"/>
    <w:semiHidden/>
    <w:unhideWhenUsed/>
    <w:rsid w:val="00543981"/>
    <w:rPr>
      <w:color w:val="800080" w:themeColor="followedHyperlink"/>
      <w:u w:val="single"/>
    </w:rPr>
  </w:style>
  <w:style w:type="paragraph" w:styleId="BodyText">
    <w:name w:val="Body Text"/>
    <w:basedOn w:val="Normal"/>
    <w:link w:val="BodyTextChar"/>
    <w:uiPriority w:val="1"/>
    <w:qFormat/>
    <w:rsid w:val="00F963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6307"/>
    <w:rPr>
      <w:rFonts w:ascii="Times New Roman" w:eastAsia="Times New Roman" w:hAnsi="Times New Roman" w:cs="Times New Roman"/>
      <w:sz w:val="24"/>
      <w:szCs w:val="24"/>
    </w:rPr>
  </w:style>
  <w:style w:type="table" w:styleId="TableGrid">
    <w:name w:val="Table Grid"/>
    <w:basedOn w:val="TableNormal"/>
    <w:uiPriority w:val="39"/>
    <w:rsid w:val="00D239C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00"/>
  </w:style>
  <w:style w:type="paragraph" w:styleId="Footer">
    <w:name w:val="footer"/>
    <w:basedOn w:val="Normal"/>
    <w:link w:val="FooterChar"/>
    <w:uiPriority w:val="99"/>
    <w:unhideWhenUsed/>
    <w:rsid w:val="0038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00"/>
  </w:style>
  <w:style w:type="paragraph" w:customStyle="1" w:styleId="Body">
    <w:name w:val="Body"/>
    <w:basedOn w:val="Normal"/>
    <w:link w:val="BodyChar"/>
    <w:qFormat/>
    <w:rsid w:val="00DD7C98"/>
    <w:rPr>
      <w:rFonts w:ascii="Times New Roman" w:eastAsia="Times New Roman" w:hAnsi="Times New Roman" w:cs="Times New Roman"/>
      <w:sz w:val="24"/>
      <w:szCs w:val="24"/>
    </w:rPr>
  </w:style>
  <w:style w:type="character" w:customStyle="1" w:styleId="BodyChar">
    <w:name w:val="Body Char"/>
    <w:link w:val="Body"/>
    <w:rsid w:val="00DD7C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12EE8"/>
    <w:rPr>
      <w:rFonts w:ascii="Times New Roman" w:eastAsia="Times New Roman" w:hAnsi="Times New Roman" w:cs="Times New Roman"/>
      <w:b/>
      <w:bCs/>
      <w:sz w:val="24"/>
      <w:szCs w:val="24"/>
    </w:rPr>
  </w:style>
  <w:style w:type="paragraph" w:styleId="Revision">
    <w:name w:val="Revision"/>
    <w:hidden/>
    <w:uiPriority w:val="99"/>
    <w:semiHidden/>
    <w:rsid w:val="002A5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84849">
      <w:bodyDiv w:val="1"/>
      <w:marLeft w:val="0"/>
      <w:marRight w:val="0"/>
      <w:marTop w:val="0"/>
      <w:marBottom w:val="0"/>
      <w:divBdr>
        <w:top w:val="none" w:sz="0" w:space="0" w:color="auto"/>
        <w:left w:val="none" w:sz="0" w:space="0" w:color="auto"/>
        <w:bottom w:val="none" w:sz="0" w:space="0" w:color="auto"/>
        <w:right w:val="none" w:sz="0" w:space="0" w:color="auto"/>
      </w:divBdr>
      <w:divsChild>
        <w:div w:id="1093015798">
          <w:marLeft w:val="0"/>
          <w:marRight w:val="0"/>
          <w:marTop w:val="0"/>
          <w:marBottom w:val="0"/>
          <w:divBdr>
            <w:top w:val="none" w:sz="0" w:space="0" w:color="auto"/>
            <w:left w:val="none" w:sz="0" w:space="0" w:color="auto"/>
            <w:bottom w:val="none" w:sz="0" w:space="0" w:color="auto"/>
            <w:right w:val="none" w:sz="0" w:space="0" w:color="auto"/>
          </w:divBdr>
          <w:divsChild>
            <w:div w:id="2066636021">
              <w:marLeft w:val="0"/>
              <w:marRight w:val="0"/>
              <w:marTop w:val="0"/>
              <w:marBottom w:val="0"/>
              <w:divBdr>
                <w:top w:val="none" w:sz="0" w:space="0" w:color="auto"/>
                <w:left w:val="single" w:sz="6" w:space="0" w:color="E2E2E2"/>
                <w:bottom w:val="none" w:sz="0" w:space="0" w:color="auto"/>
                <w:right w:val="single" w:sz="6" w:space="0" w:color="E2E2E2"/>
              </w:divBdr>
              <w:divsChild>
                <w:div w:id="948395261">
                  <w:marLeft w:val="0"/>
                  <w:marRight w:val="0"/>
                  <w:marTop w:val="0"/>
                  <w:marBottom w:val="0"/>
                  <w:divBdr>
                    <w:top w:val="none" w:sz="0" w:space="0" w:color="auto"/>
                    <w:left w:val="none" w:sz="0" w:space="0" w:color="auto"/>
                    <w:bottom w:val="none" w:sz="0" w:space="0" w:color="auto"/>
                    <w:right w:val="none" w:sz="0" w:space="0" w:color="auto"/>
                  </w:divBdr>
                  <w:divsChild>
                    <w:div w:id="8588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815">
      <w:bodyDiv w:val="1"/>
      <w:marLeft w:val="0"/>
      <w:marRight w:val="0"/>
      <w:marTop w:val="0"/>
      <w:marBottom w:val="0"/>
      <w:divBdr>
        <w:top w:val="none" w:sz="0" w:space="0" w:color="auto"/>
        <w:left w:val="none" w:sz="0" w:space="0" w:color="auto"/>
        <w:bottom w:val="none" w:sz="0" w:space="0" w:color="auto"/>
        <w:right w:val="none" w:sz="0" w:space="0" w:color="auto"/>
      </w:divBdr>
    </w:div>
    <w:div w:id="20581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naics4_999200.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CCIIO/Resources/Regulations-and-Guidance/Downloads/Section-1303-Bulletin-10-6-2017-FINAL-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 xmlns="db51e440-08e2-474b-b940-cf1db659f82a" xsi:nil="true"/>
    <_dlc_DocId xmlns="43853452-9e67-45dc-9886-71352b2fd01a">QSXZK4DW25JC-1146626974-836</_dlc_DocId>
    <_dlc_DocIdUrl xmlns="43853452-9e67-45dc-9886-71352b2fd01a">
      <Url>https://share.cms.gov/center/cciio/MPMG/_layouts/15/DocIdRedir.aspx?ID=QSXZK4DW25JC-1146626974-836</Url>
      <Description>QSXZK4DW25JC-1146626974-836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5FC27B0ED77545992A3C5070BA4731" ma:contentTypeVersion="9" ma:contentTypeDescription="Create a new document." ma:contentTypeScope="" ma:versionID="a50ca4ca6111b70141d75b4179e2412e">
  <xsd:schema xmlns:xsd="http://www.w3.org/2001/XMLSchema" xmlns:xs="http://www.w3.org/2001/XMLSchema" xmlns:p="http://schemas.microsoft.com/office/2006/metadata/properties" xmlns:ns2="db51e440-08e2-474b-b940-cf1db659f82a" xmlns:ns3="43853452-9e67-45dc-9886-71352b2fd01a" targetNamespace="http://schemas.microsoft.com/office/2006/metadata/properties" ma:root="true" ma:fieldsID="d283f2ef82d11eec8566f14abb8afb80" ns2:_="" ns3:_="">
    <xsd:import namespace="db51e440-08e2-474b-b940-cf1db659f82a"/>
    <xsd:import namespace="43853452-9e67-45dc-9886-71352b2fd01a"/>
    <xsd:element name="properties">
      <xsd:complexType>
        <xsd:sequence>
          <xsd:element name="documentManagement">
            <xsd:complexType>
              <xsd:all>
                <xsd:element ref="ns2: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1e440-08e2-474b-b940-cf1db659f82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2019 Payment Notice PM"/>
          <xsd:enumeration value="2019 Letter to Issuers"/>
          <xsd:enumeration value="PM HSA Work"/>
          <xsd:enumeration value="PM - OTHER"/>
          <xsd:enumeration value="PN Comment"/>
        </xsd:restrictio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0071-403D-4B40-B5DF-C2391448E020}">
  <ds:schemaRefs>
    <ds:schemaRef ds:uri="http://schemas.microsoft.com/sharepoint/v3/contenttype/forms"/>
  </ds:schemaRefs>
</ds:datastoreItem>
</file>

<file path=customXml/itemProps2.xml><?xml version="1.0" encoding="utf-8"?>
<ds:datastoreItem xmlns:ds="http://schemas.openxmlformats.org/officeDocument/2006/customXml" ds:itemID="{484B40A1-EB4A-410D-A86F-784B87BEA028}">
  <ds:schemaRefs>
    <ds:schemaRef ds:uri="Microsoft.SharePoint.Taxonomy.ContentTypeSync"/>
  </ds:schemaRefs>
</ds:datastoreItem>
</file>

<file path=customXml/itemProps3.xml><?xml version="1.0" encoding="utf-8"?>
<ds:datastoreItem xmlns:ds="http://schemas.openxmlformats.org/officeDocument/2006/customXml" ds:itemID="{7839796B-D6A8-4D97-A404-A66F95DAA4E8}">
  <ds:schemaRefs>
    <ds:schemaRef ds:uri="http://schemas.microsoft.com/office/2006/metadata/properties"/>
    <ds:schemaRef ds:uri="http://schemas.microsoft.com/office/infopath/2007/PartnerControls"/>
    <ds:schemaRef ds:uri="db51e440-08e2-474b-b940-cf1db659f82a"/>
    <ds:schemaRef ds:uri="43853452-9e67-45dc-9886-71352b2fd01a"/>
  </ds:schemaRefs>
</ds:datastoreItem>
</file>

<file path=customXml/itemProps4.xml><?xml version="1.0" encoding="utf-8"?>
<ds:datastoreItem xmlns:ds="http://schemas.openxmlformats.org/officeDocument/2006/customXml" ds:itemID="{AC4C0BB9-67E6-4871-90D2-9A92D65B8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1e440-08e2-474b-b940-cf1db659f82a"/>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F34BA-AD58-481B-9565-A01E65898DF5}">
  <ds:schemaRefs>
    <ds:schemaRef ds:uri="http://schemas.microsoft.com/sharepoint/events"/>
  </ds:schemaRefs>
</ds:datastoreItem>
</file>

<file path=customXml/itemProps6.xml><?xml version="1.0" encoding="utf-8"?>
<ds:datastoreItem xmlns:ds="http://schemas.openxmlformats.org/officeDocument/2006/customXml" ds:itemID="{6567CF92-F4C8-4F23-BE78-D6EE09D3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5243</Words>
  <Characters>29888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Draft Supporting Statement_30 day_Final PI Rule_clean</vt:lpstr>
    </vt:vector>
  </TitlesOfParts>
  <Company>CMS</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Statement_30 day_Final PI Rule_clean</dc:title>
  <dc:creator>DANIELLE CHESTANG</dc:creator>
  <cp:lastModifiedBy>JAMAA HILL</cp:lastModifiedBy>
  <cp:revision>2</cp:revision>
  <cp:lastPrinted>2019-12-17T13:58:00Z</cp:lastPrinted>
  <dcterms:created xsi:type="dcterms:W3CDTF">2020-04-06T19:36:00Z</dcterms:created>
  <dcterms:modified xsi:type="dcterms:W3CDTF">2020-04-06T19:36:00Z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0x010100965FC27B0ED77545992A3C5070BA4731</vt:lpwstr>
  </property>
  <property fmtid="{D5CDD505-2E9C-101B-9397-08002B2CF9AE}" pid="4" name="_dlc_DocIdItemGuid">
    <vt:lpwstr>b4866aa3-95a3-495b-8a12-f4ed58b80ac8</vt:lpwstr>
  </property>
</Properties>
</file>