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3D" w:rsidP="009B633D" w:rsidRDefault="00456179">
      <w:pPr>
        <w:jc w:val="center"/>
        <w:rPr>
          <w:b/>
          <w:sz w:val="28"/>
          <w:szCs w:val="28"/>
        </w:rPr>
      </w:pPr>
      <w:r w:rsidRPr="00456179">
        <w:rPr>
          <w:b/>
          <w:sz w:val="28"/>
          <w:szCs w:val="28"/>
        </w:rPr>
        <w:t>SUPPORTING STATEMENT</w:t>
      </w:r>
    </w:p>
    <w:p w:rsidR="00635119" w:rsidP="009B633D" w:rsidRDefault="00635119">
      <w:pPr>
        <w:jc w:val="center"/>
        <w:rPr>
          <w:b/>
          <w:sz w:val="28"/>
          <w:szCs w:val="28"/>
        </w:rPr>
      </w:pPr>
    </w:p>
    <w:p w:rsidR="009B633D" w:rsidP="009B633D" w:rsidRDefault="00456179">
      <w:pPr>
        <w:jc w:val="center"/>
        <w:rPr>
          <w:sz w:val="28"/>
          <w:szCs w:val="28"/>
        </w:rPr>
      </w:pPr>
      <w:r>
        <w:rPr>
          <w:b/>
          <w:sz w:val="28"/>
          <w:szCs w:val="28"/>
        </w:rPr>
        <w:t>Part A</w:t>
      </w: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Pr="000A7A9A" w:rsidR="00AE34DA" w:rsidP="009B633D" w:rsidRDefault="000A7A9A">
      <w:pPr>
        <w:jc w:val="center"/>
        <w:rPr>
          <w:b/>
          <w:sz w:val="28"/>
          <w:szCs w:val="28"/>
        </w:rPr>
      </w:pPr>
      <w:bookmarkStart w:name="OLE_LINK2" w:id="0"/>
      <w:bookmarkStart w:name="OLE_LINK3" w:id="1"/>
      <w:r>
        <w:rPr>
          <w:b/>
          <w:sz w:val="28"/>
          <w:szCs w:val="28"/>
        </w:rPr>
        <w:t>Evaluation of the SHARE Approach Model</w:t>
      </w:r>
    </w:p>
    <w:p w:rsidR="00AE34DA" w:rsidP="009B633D" w:rsidRDefault="00AE34DA">
      <w:pPr>
        <w:jc w:val="center"/>
        <w:rPr>
          <w:sz w:val="28"/>
          <w:szCs w:val="28"/>
        </w:rPr>
      </w:pPr>
    </w:p>
    <w:p w:rsidRPr="00082047" w:rsidR="009B633D" w:rsidP="009B633D" w:rsidRDefault="009B633D">
      <w:pPr>
        <w:jc w:val="center"/>
        <w:rPr>
          <w:i/>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Pr="00C4006D" w:rsidR="009B633D" w:rsidP="009B633D" w:rsidRDefault="00BB1C2F">
      <w:pPr>
        <w:jc w:val="center"/>
        <w:rPr>
          <w:i/>
          <w:sz w:val="28"/>
          <w:szCs w:val="28"/>
        </w:rPr>
      </w:pPr>
      <w:r>
        <w:rPr>
          <w:b/>
          <w:sz w:val="28"/>
          <w:szCs w:val="28"/>
        </w:rPr>
        <w:t>Version</w:t>
      </w:r>
      <w:r w:rsidR="00F349E7">
        <w:rPr>
          <w:b/>
          <w:sz w:val="28"/>
          <w:szCs w:val="28"/>
        </w:rPr>
        <w:t xml:space="preserve"> Date</w:t>
      </w:r>
      <w:r w:rsidR="00AE34DA">
        <w:rPr>
          <w:b/>
          <w:sz w:val="28"/>
          <w:szCs w:val="28"/>
        </w:rPr>
        <w:t>:</w:t>
      </w:r>
      <w:bookmarkEnd w:id="0"/>
      <w:bookmarkEnd w:id="1"/>
      <w:r w:rsidR="00F349E7">
        <w:rPr>
          <w:b/>
          <w:sz w:val="28"/>
          <w:szCs w:val="28"/>
        </w:rPr>
        <w:t xml:space="preserve"> </w:t>
      </w:r>
      <w:r w:rsidRPr="00542160" w:rsidR="00F349E7">
        <w:rPr>
          <w:sz w:val="28"/>
          <w:szCs w:val="28"/>
        </w:rPr>
        <w:t>0</w:t>
      </w:r>
      <w:r w:rsidR="000E33C7">
        <w:rPr>
          <w:sz w:val="28"/>
          <w:szCs w:val="28"/>
        </w:rPr>
        <w:t>4</w:t>
      </w:r>
      <w:r w:rsidRPr="00542160" w:rsidR="00F349E7">
        <w:rPr>
          <w:sz w:val="28"/>
          <w:szCs w:val="28"/>
        </w:rPr>
        <w:t>/</w:t>
      </w:r>
      <w:r w:rsidR="000E33C7">
        <w:rPr>
          <w:sz w:val="28"/>
          <w:szCs w:val="28"/>
        </w:rPr>
        <w:t>06</w:t>
      </w:r>
      <w:r w:rsidRPr="00542160" w:rsidR="00F349E7">
        <w:rPr>
          <w:sz w:val="28"/>
          <w:szCs w:val="28"/>
        </w:rPr>
        <w:t>/2020</w:t>
      </w:r>
    </w:p>
    <w:p w:rsidR="009B633D" w:rsidP="009B633D" w:rsidRDefault="009B633D">
      <w:pPr>
        <w:jc w:val="center"/>
        <w:rPr>
          <w:i/>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r w:rsidRPr="00677A0B">
        <w:rPr>
          <w:sz w:val="28"/>
          <w:szCs w:val="28"/>
        </w:rPr>
        <w:t>Agency of Healthcare Research and Quality (AHRQ)</w:t>
      </w:r>
    </w:p>
    <w:p w:rsidR="009B633D" w:rsidRDefault="009B633D">
      <w:pPr>
        <w:rPr>
          <w:sz w:val="28"/>
          <w:szCs w:val="28"/>
        </w:rPr>
      </w:pPr>
    </w:p>
    <w:p w:rsidR="00AE7D70" w:rsidRDefault="00AE7D70">
      <w:pPr>
        <w:rPr>
          <w:sz w:val="28"/>
          <w:szCs w:val="28"/>
        </w:rPr>
        <w:sectPr w:rsidR="00AE7D70" w:rsidSect="00AE7D70">
          <w:footerReference w:type="even" r:id="rId8"/>
          <w:footerReference w:type="default" r:id="rId9"/>
          <w:footerReference w:type="first" r:id="rId10"/>
          <w:endnotePr>
            <w:numFmt w:val="decimal"/>
          </w:endnotePr>
          <w:pgSz w:w="12240" w:h="15840"/>
          <w:pgMar w:top="1440" w:right="1800" w:bottom="1260" w:left="1800" w:header="720" w:footer="720" w:gutter="0"/>
          <w:pgNumType w:fmt="lowerRoman" w:start="1"/>
          <w:cols w:space="720"/>
          <w:titlePg/>
          <w:docGrid w:linePitch="360"/>
        </w:sectPr>
      </w:pPr>
    </w:p>
    <w:p w:rsidR="009B633D" w:rsidP="008C580E" w:rsidRDefault="009B633D">
      <w:pPr>
        <w:rPr>
          <w:b/>
        </w:rPr>
      </w:pPr>
      <w:r w:rsidRPr="001D0454">
        <w:rPr>
          <w:b/>
        </w:rPr>
        <w:lastRenderedPageBreak/>
        <w:t xml:space="preserve">Table of </w:t>
      </w:r>
      <w:r w:rsidR="00AE7D70">
        <w:rPr>
          <w:b/>
        </w:rPr>
        <w:t>C</w:t>
      </w:r>
      <w:r w:rsidRPr="001D0454">
        <w:rPr>
          <w:b/>
        </w:rPr>
        <w:t>ontents</w:t>
      </w:r>
    </w:p>
    <w:p w:rsidR="00EB58F3" w:rsidP="009B633D" w:rsidRDefault="00EB58F3">
      <w:pPr>
        <w:jc w:val="center"/>
        <w:rPr>
          <w:b/>
        </w:rPr>
      </w:pPr>
    </w:p>
    <w:p w:rsidRPr="006910E5" w:rsidR="004D348D" w:rsidRDefault="00AE7D70">
      <w:pPr>
        <w:pStyle w:val="TOC1"/>
        <w:tabs>
          <w:tab w:val="right" w:leader="dot" w:pos="8630"/>
        </w:tabs>
        <w:rPr>
          <w:rFonts w:ascii="Calibri" w:hAnsi="Calibri"/>
          <w:noProof/>
          <w:sz w:val="22"/>
          <w:szCs w:val="22"/>
        </w:rPr>
      </w:pPr>
      <w:r>
        <w:fldChar w:fldCharType="begin"/>
      </w:r>
      <w:r>
        <w:instrText xml:space="preserve"> TOC \o "1-3" \h \z \u </w:instrText>
      </w:r>
      <w:r>
        <w:fldChar w:fldCharType="separate"/>
      </w:r>
      <w:hyperlink w:history="1" w:anchor="_Toc32301334">
        <w:r w:rsidRPr="002A701B" w:rsidR="004D348D">
          <w:rPr>
            <w:rStyle w:val="Hyperlink"/>
            <w:noProof/>
          </w:rPr>
          <w:t>A. Justification</w:t>
        </w:r>
        <w:r w:rsidR="004D348D">
          <w:rPr>
            <w:noProof/>
            <w:webHidden/>
          </w:rPr>
          <w:tab/>
        </w:r>
        <w:r w:rsidR="004D348D">
          <w:rPr>
            <w:noProof/>
            <w:webHidden/>
          </w:rPr>
          <w:fldChar w:fldCharType="begin"/>
        </w:r>
        <w:r w:rsidR="004D348D">
          <w:rPr>
            <w:noProof/>
            <w:webHidden/>
          </w:rPr>
          <w:instrText xml:space="preserve"> PAGEREF _Toc32301334 \h </w:instrText>
        </w:r>
        <w:r w:rsidR="004D348D">
          <w:rPr>
            <w:noProof/>
            <w:webHidden/>
          </w:rPr>
        </w:r>
        <w:r w:rsidR="004D348D">
          <w:rPr>
            <w:noProof/>
            <w:webHidden/>
          </w:rPr>
          <w:fldChar w:fldCharType="separate"/>
        </w:r>
        <w:r w:rsidR="004D348D">
          <w:rPr>
            <w:noProof/>
            <w:webHidden/>
          </w:rPr>
          <w:t>- 1 -</w:t>
        </w:r>
        <w:r w:rsidR="004D348D">
          <w:rPr>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35">
        <w:r w:rsidRPr="002A701B" w:rsidR="004D348D">
          <w:rPr>
            <w:rStyle w:val="Hyperlink"/>
            <w:noProof/>
          </w:rPr>
          <w:t>1. Circumstances that make the collection of information necessary</w:t>
        </w:r>
        <w:r w:rsidR="004D348D">
          <w:rPr>
            <w:noProof/>
            <w:webHidden/>
          </w:rPr>
          <w:tab/>
        </w:r>
        <w:r w:rsidR="004D348D">
          <w:rPr>
            <w:noProof/>
            <w:webHidden/>
          </w:rPr>
          <w:fldChar w:fldCharType="begin"/>
        </w:r>
        <w:r w:rsidR="004D348D">
          <w:rPr>
            <w:noProof/>
            <w:webHidden/>
          </w:rPr>
          <w:instrText xml:space="preserve"> PAGEREF _Toc32301335 \h </w:instrText>
        </w:r>
        <w:r w:rsidR="004D348D">
          <w:rPr>
            <w:noProof/>
            <w:webHidden/>
          </w:rPr>
        </w:r>
        <w:r w:rsidR="004D348D">
          <w:rPr>
            <w:noProof/>
            <w:webHidden/>
          </w:rPr>
          <w:fldChar w:fldCharType="separate"/>
        </w:r>
        <w:r w:rsidR="004D348D">
          <w:rPr>
            <w:noProof/>
            <w:webHidden/>
          </w:rPr>
          <w:t>- 1 -</w:t>
        </w:r>
        <w:r w:rsidR="004D348D">
          <w:rPr>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36">
        <w:r w:rsidRPr="002A701B" w:rsidR="004D348D">
          <w:rPr>
            <w:rStyle w:val="Hyperlink"/>
            <w:noProof/>
          </w:rPr>
          <w:t>2. Purpose and Use of Information</w:t>
        </w:r>
        <w:r w:rsidR="004D348D">
          <w:rPr>
            <w:noProof/>
            <w:webHidden/>
          </w:rPr>
          <w:tab/>
        </w:r>
        <w:r w:rsidR="004D348D">
          <w:rPr>
            <w:noProof/>
            <w:webHidden/>
          </w:rPr>
          <w:fldChar w:fldCharType="begin"/>
        </w:r>
        <w:r w:rsidR="004D348D">
          <w:rPr>
            <w:noProof/>
            <w:webHidden/>
          </w:rPr>
          <w:instrText xml:space="preserve"> PAGEREF _Toc32301336 \h </w:instrText>
        </w:r>
        <w:r w:rsidR="004D348D">
          <w:rPr>
            <w:noProof/>
            <w:webHidden/>
          </w:rPr>
        </w:r>
        <w:r w:rsidR="004D348D">
          <w:rPr>
            <w:noProof/>
            <w:webHidden/>
          </w:rPr>
          <w:fldChar w:fldCharType="separate"/>
        </w:r>
        <w:r w:rsidR="004D348D">
          <w:rPr>
            <w:noProof/>
            <w:webHidden/>
          </w:rPr>
          <w:t>- 3 -</w:t>
        </w:r>
        <w:r w:rsidR="004D348D">
          <w:rPr>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37">
        <w:r w:rsidRPr="002A701B" w:rsidR="004D348D">
          <w:rPr>
            <w:rStyle w:val="Hyperlink"/>
            <w:noProof/>
          </w:rPr>
          <w:t>3. Use of Improved Information Technology</w:t>
        </w:r>
        <w:r w:rsidR="004D348D">
          <w:rPr>
            <w:noProof/>
            <w:webHidden/>
          </w:rPr>
          <w:tab/>
        </w:r>
        <w:r w:rsidR="004D348D">
          <w:rPr>
            <w:noProof/>
            <w:webHidden/>
          </w:rPr>
          <w:fldChar w:fldCharType="begin"/>
        </w:r>
        <w:r w:rsidR="004D348D">
          <w:rPr>
            <w:noProof/>
            <w:webHidden/>
          </w:rPr>
          <w:instrText xml:space="preserve"> PAGEREF _Toc32301337 \h </w:instrText>
        </w:r>
        <w:r w:rsidR="004D348D">
          <w:rPr>
            <w:noProof/>
            <w:webHidden/>
          </w:rPr>
        </w:r>
        <w:r w:rsidR="004D348D">
          <w:rPr>
            <w:noProof/>
            <w:webHidden/>
          </w:rPr>
          <w:fldChar w:fldCharType="separate"/>
        </w:r>
        <w:r w:rsidR="004D348D">
          <w:rPr>
            <w:noProof/>
            <w:webHidden/>
          </w:rPr>
          <w:t>- 4 -</w:t>
        </w:r>
        <w:r w:rsidR="004D348D">
          <w:rPr>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38">
        <w:r w:rsidRPr="002A701B" w:rsidR="004D348D">
          <w:rPr>
            <w:rStyle w:val="Hyperlink"/>
            <w:noProof/>
          </w:rPr>
          <w:t>4. Efforts to Identify Duplication</w:t>
        </w:r>
        <w:r w:rsidR="004D348D">
          <w:rPr>
            <w:noProof/>
            <w:webHidden/>
          </w:rPr>
          <w:tab/>
        </w:r>
        <w:r w:rsidR="004D348D">
          <w:rPr>
            <w:noProof/>
            <w:webHidden/>
          </w:rPr>
          <w:fldChar w:fldCharType="begin"/>
        </w:r>
        <w:r w:rsidR="004D348D">
          <w:rPr>
            <w:noProof/>
            <w:webHidden/>
          </w:rPr>
          <w:instrText xml:space="preserve"> PAGEREF _Toc32301338 \h </w:instrText>
        </w:r>
        <w:r w:rsidR="004D348D">
          <w:rPr>
            <w:noProof/>
            <w:webHidden/>
          </w:rPr>
        </w:r>
        <w:r w:rsidR="004D348D">
          <w:rPr>
            <w:noProof/>
            <w:webHidden/>
          </w:rPr>
          <w:fldChar w:fldCharType="separate"/>
        </w:r>
        <w:r w:rsidR="004D348D">
          <w:rPr>
            <w:noProof/>
            <w:webHidden/>
          </w:rPr>
          <w:t>- 4 -</w:t>
        </w:r>
        <w:r w:rsidR="004D348D">
          <w:rPr>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39">
        <w:r w:rsidRPr="002A701B" w:rsidR="004D348D">
          <w:rPr>
            <w:rStyle w:val="Hyperlink"/>
            <w:noProof/>
          </w:rPr>
          <w:t>5. Involvement of Small Entities</w:t>
        </w:r>
        <w:r w:rsidR="004D348D">
          <w:rPr>
            <w:noProof/>
            <w:webHidden/>
          </w:rPr>
          <w:tab/>
        </w:r>
        <w:r w:rsidR="004D348D">
          <w:rPr>
            <w:noProof/>
            <w:webHidden/>
          </w:rPr>
          <w:fldChar w:fldCharType="begin"/>
        </w:r>
        <w:r w:rsidR="004D348D">
          <w:rPr>
            <w:noProof/>
            <w:webHidden/>
          </w:rPr>
          <w:instrText xml:space="preserve"> PAGEREF _Toc32301339 \h </w:instrText>
        </w:r>
        <w:r w:rsidR="004D348D">
          <w:rPr>
            <w:noProof/>
            <w:webHidden/>
          </w:rPr>
        </w:r>
        <w:r w:rsidR="004D348D">
          <w:rPr>
            <w:noProof/>
            <w:webHidden/>
          </w:rPr>
          <w:fldChar w:fldCharType="separate"/>
        </w:r>
        <w:r w:rsidR="004D348D">
          <w:rPr>
            <w:noProof/>
            <w:webHidden/>
          </w:rPr>
          <w:t>- 4 -</w:t>
        </w:r>
        <w:r w:rsidR="004D348D">
          <w:rPr>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40">
        <w:r w:rsidRPr="002A701B" w:rsidR="004D348D">
          <w:rPr>
            <w:rStyle w:val="Hyperlink"/>
            <w:noProof/>
          </w:rPr>
          <w:t>6. Consequences if Information Collected Less Frequently</w:t>
        </w:r>
        <w:r w:rsidR="004D348D">
          <w:rPr>
            <w:noProof/>
            <w:webHidden/>
          </w:rPr>
          <w:tab/>
        </w:r>
        <w:r w:rsidR="004D348D">
          <w:rPr>
            <w:noProof/>
            <w:webHidden/>
          </w:rPr>
          <w:fldChar w:fldCharType="begin"/>
        </w:r>
        <w:r w:rsidR="004D348D">
          <w:rPr>
            <w:noProof/>
            <w:webHidden/>
          </w:rPr>
          <w:instrText xml:space="preserve"> PAGEREF _Toc32301340 \h </w:instrText>
        </w:r>
        <w:r w:rsidR="004D348D">
          <w:rPr>
            <w:noProof/>
            <w:webHidden/>
          </w:rPr>
        </w:r>
        <w:r w:rsidR="004D348D">
          <w:rPr>
            <w:noProof/>
            <w:webHidden/>
          </w:rPr>
          <w:fldChar w:fldCharType="separate"/>
        </w:r>
        <w:r w:rsidR="004D348D">
          <w:rPr>
            <w:noProof/>
            <w:webHidden/>
          </w:rPr>
          <w:t>- 4 -</w:t>
        </w:r>
        <w:r w:rsidR="004D348D">
          <w:rPr>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41">
        <w:r w:rsidRPr="002A701B" w:rsidR="004D348D">
          <w:rPr>
            <w:rStyle w:val="Hyperlink"/>
            <w:noProof/>
          </w:rPr>
          <w:t>7. Special Circumstances</w:t>
        </w:r>
        <w:r w:rsidR="004D348D">
          <w:rPr>
            <w:noProof/>
            <w:webHidden/>
          </w:rPr>
          <w:tab/>
        </w:r>
        <w:r w:rsidR="004D348D">
          <w:rPr>
            <w:noProof/>
            <w:webHidden/>
          </w:rPr>
          <w:fldChar w:fldCharType="begin"/>
        </w:r>
        <w:r w:rsidR="004D348D">
          <w:rPr>
            <w:noProof/>
            <w:webHidden/>
          </w:rPr>
          <w:instrText xml:space="preserve"> PAGEREF _Toc32301341 \h </w:instrText>
        </w:r>
        <w:r w:rsidR="004D348D">
          <w:rPr>
            <w:noProof/>
            <w:webHidden/>
          </w:rPr>
        </w:r>
        <w:r w:rsidR="004D348D">
          <w:rPr>
            <w:noProof/>
            <w:webHidden/>
          </w:rPr>
          <w:fldChar w:fldCharType="separate"/>
        </w:r>
        <w:r w:rsidR="004D348D">
          <w:rPr>
            <w:noProof/>
            <w:webHidden/>
          </w:rPr>
          <w:t>- 5 -</w:t>
        </w:r>
        <w:r w:rsidR="004D348D">
          <w:rPr>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42">
        <w:r w:rsidRPr="002A701B" w:rsidR="004D348D">
          <w:rPr>
            <w:rStyle w:val="Hyperlink"/>
            <w:noProof/>
          </w:rPr>
          <w:t>8. Federal Register Notice and Outside Consultations</w:t>
        </w:r>
        <w:r w:rsidR="004D348D">
          <w:rPr>
            <w:noProof/>
            <w:webHidden/>
          </w:rPr>
          <w:tab/>
        </w:r>
        <w:r w:rsidR="004D348D">
          <w:rPr>
            <w:noProof/>
            <w:webHidden/>
          </w:rPr>
          <w:fldChar w:fldCharType="begin"/>
        </w:r>
        <w:r w:rsidR="004D348D">
          <w:rPr>
            <w:noProof/>
            <w:webHidden/>
          </w:rPr>
          <w:instrText xml:space="preserve"> PAGEREF _Toc32301342 \h </w:instrText>
        </w:r>
        <w:r w:rsidR="004D348D">
          <w:rPr>
            <w:noProof/>
            <w:webHidden/>
          </w:rPr>
        </w:r>
        <w:r w:rsidR="004D348D">
          <w:rPr>
            <w:noProof/>
            <w:webHidden/>
          </w:rPr>
          <w:fldChar w:fldCharType="separate"/>
        </w:r>
        <w:r w:rsidR="004D348D">
          <w:rPr>
            <w:noProof/>
            <w:webHidden/>
          </w:rPr>
          <w:t>- 5 -</w:t>
        </w:r>
        <w:r w:rsidR="004D348D">
          <w:rPr>
            <w:noProof/>
            <w:webHidden/>
          </w:rPr>
          <w:fldChar w:fldCharType="end"/>
        </w:r>
      </w:hyperlink>
    </w:p>
    <w:p w:rsidRPr="006910E5" w:rsidR="004D348D" w:rsidRDefault="00AA137D">
      <w:pPr>
        <w:pStyle w:val="TOC3"/>
        <w:tabs>
          <w:tab w:val="right" w:leader="dot" w:pos="8630"/>
        </w:tabs>
        <w:rPr>
          <w:rFonts w:ascii="Calibri" w:hAnsi="Calibri"/>
          <w:noProof/>
          <w:sz w:val="22"/>
          <w:szCs w:val="22"/>
        </w:rPr>
      </w:pPr>
      <w:hyperlink w:history="1" w:anchor="_Toc32301343">
        <w:r w:rsidRPr="002A701B" w:rsidR="004D348D">
          <w:rPr>
            <w:rStyle w:val="Hyperlink"/>
            <w:noProof/>
          </w:rPr>
          <w:t>8.a. Federal Register Notice</w:t>
        </w:r>
        <w:r w:rsidR="004D348D">
          <w:rPr>
            <w:noProof/>
            <w:webHidden/>
          </w:rPr>
          <w:tab/>
        </w:r>
        <w:r w:rsidR="004D348D">
          <w:rPr>
            <w:noProof/>
            <w:webHidden/>
          </w:rPr>
          <w:fldChar w:fldCharType="begin"/>
        </w:r>
        <w:r w:rsidR="004D348D">
          <w:rPr>
            <w:noProof/>
            <w:webHidden/>
          </w:rPr>
          <w:instrText xml:space="preserve"> PAGEREF _Toc32301343 \h </w:instrText>
        </w:r>
        <w:r w:rsidR="004D348D">
          <w:rPr>
            <w:noProof/>
            <w:webHidden/>
          </w:rPr>
        </w:r>
        <w:r w:rsidR="004D348D">
          <w:rPr>
            <w:noProof/>
            <w:webHidden/>
          </w:rPr>
          <w:fldChar w:fldCharType="separate"/>
        </w:r>
        <w:r w:rsidR="004D348D">
          <w:rPr>
            <w:noProof/>
            <w:webHidden/>
          </w:rPr>
          <w:t>- 5 -</w:t>
        </w:r>
        <w:r w:rsidR="004D348D">
          <w:rPr>
            <w:noProof/>
            <w:webHidden/>
          </w:rPr>
          <w:fldChar w:fldCharType="end"/>
        </w:r>
      </w:hyperlink>
    </w:p>
    <w:p w:rsidR="004D348D" w:rsidRDefault="00AA137D">
      <w:pPr>
        <w:pStyle w:val="TOC3"/>
        <w:tabs>
          <w:tab w:val="right" w:leader="dot" w:pos="8630"/>
        </w:tabs>
        <w:rPr>
          <w:noProof/>
        </w:rPr>
      </w:pPr>
      <w:hyperlink w:history="1" w:anchor="_Toc32301344">
        <w:r w:rsidRPr="002A701B" w:rsidR="004D348D">
          <w:rPr>
            <w:rStyle w:val="Hyperlink"/>
            <w:noProof/>
          </w:rPr>
          <w:t>8.b.  Outside Consultations</w:t>
        </w:r>
        <w:r w:rsidR="004D348D">
          <w:rPr>
            <w:noProof/>
            <w:webHidden/>
          </w:rPr>
          <w:tab/>
        </w:r>
        <w:r w:rsidR="004D348D">
          <w:rPr>
            <w:noProof/>
            <w:webHidden/>
          </w:rPr>
          <w:fldChar w:fldCharType="begin"/>
        </w:r>
        <w:r w:rsidR="004D348D">
          <w:rPr>
            <w:noProof/>
            <w:webHidden/>
          </w:rPr>
          <w:instrText xml:space="preserve"> PAGEREF _Toc32301344 \h </w:instrText>
        </w:r>
        <w:r w:rsidR="004D348D">
          <w:rPr>
            <w:noProof/>
            <w:webHidden/>
          </w:rPr>
        </w:r>
        <w:r w:rsidR="004D348D">
          <w:rPr>
            <w:noProof/>
            <w:webHidden/>
          </w:rPr>
          <w:fldChar w:fldCharType="separate"/>
        </w:r>
        <w:r w:rsidR="004D348D">
          <w:rPr>
            <w:noProof/>
            <w:webHidden/>
          </w:rPr>
          <w:t>- 5 -</w:t>
        </w:r>
        <w:r w:rsidR="004D348D">
          <w:rPr>
            <w:noProof/>
            <w:webHidden/>
          </w:rPr>
          <w:fldChar w:fldCharType="end"/>
        </w:r>
      </w:hyperlink>
    </w:p>
    <w:p w:rsidRPr="006910E5" w:rsidR="0011781A" w:rsidP="0011781A" w:rsidRDefault="0011781A">
      <w:pPr>
        <w:pStyle w:val="TOC2"/>
        <w:tabs>
          <w:tab w:val="right" w:leader="dot" w:pos="8630"/>
        </w:tabs>
        <w:rPr>
          <w:rFonts w:ascii="Calibri" w:hAnsi="Calibri"/>
          <w:noProof/>
          <w:sz w:val="22"/>
          <w:szCs w:val="22"/>
        </w:rPr>
      </w:pPr>
      <w:hyperlink w:history="1" w:anchor="_Toc32301345">
        <w:r w:rsidRPr="0011781A">
          <w:rPr>
            <w:rStyle w:val="Hyperlink"/>
            <w:noProof/>
          </w:rPr>
          <w:t>9. Payments/Gifts to Respondents</w:t>
        </w:r>
        <w:r>
          <w:rPr>
            <w:noProof/>
            <w:webHidden/>
          </w:rPr>
          <w:tab/>
        </w:r>
        <w:r>
          <w:rPr>
            <w:noProof/>
            <w:webHidden/>
          </w:rPr>
          <w:fldChar w:fldCharType="begin"/>
        </w:r>
        <w:r>
          <w:rPr>
            <w:noProof/>
            <w:webHidden/>
          </w:rPr>
          <w:instrText xml:space="preserve"> PAGEREF _Toc32301345 \h </w:instrText>
        </w:r>
        <w:r>
          <w:rPr>
            <w:noProof/>
            <w:webHidden/>
          </w:rPr>
        </w:r>
        <w:r>
          <w:rPr>
            <w:noProof/>
            <w:webHidden/>
          </w:rPr>
          <w:fldChar w:fldCharType="separate"/>
        </w:r>
        <w:r>
          <w:rPr>
            <w:noProof/>
            <w:webHidden/>
          </w:rPr>
          <w:t>- 5 -</w:t>
        </w:r>
        <w:r>
          <w:rPr>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45">
        <w:r w:rsidRPr="002A701B" w:rsidR="004D348D">
          <w:rPr>
            <w:rStyle w:val="Hyperlink"/>
            <w:noProof/>
          </w:rPr>
          <w:t>10. Assurance of Confidentiality</w:t>
        </w:r>
        <w:r w:rsidR="004D348D">
          <w:rPr>
            <w:noProof/>
            <w:webHidden/>
          </w:rPr>
          <w:tab/>
        </w:r>
        <w:r w:rsidR="004D348D">
          <w:rPr>
            <w:noProof/>
            <w:webHidden/>
          </w:rPr>
          <w:fldChar w:fldCharType="begin"/>
        </w:r>
        <w:r w:rsidR="004D348D">
          <w:rPr>
            <w:noProof/>
            <w:webHidden/>
          </w:rPr>
          <w:instrText xml:space="preserve"> PAGEREF _Toc32301345 \h </w:instrText>
        </w:r>
        <w:r w:rsidR="004D348D">
          <w:rPr>
            <w:noProof/>
            <w:webHidden/>
          </w:rPr>
        </w:r>
        <w:r w:rsidR="004D348D">
          <w:rPr>
            <w:noProof/>
            <w:webHidden/>
          </w:rPr>
          <w:fldChar w:fldCharType="separate"/>
        </w:r>
        <w:r w:rsidR="004D348D">
          <w:rPr>
            <w:noProof/>
            <w:webHidden/>
          </w:rPr>
          <w:t xml:space="preserve">- </w:t>
        </w:r>
        <w:r w:rsidR="0011781A">
          <w:rPr>
            <w:noProof/>
            <w:webHidden/>
          </w:rPr>
          <w:t>6</w:t>
        </w:r>
        <w:r w:rsidR="004D348D">
          <w:rPr>
            <w:noProof/>
            <w:webHidden/>
          </w:rPr>
          <w:t xml:space="preserve"> -</w:t>
        </w:r>
        <w:r w:rsidR="004D348D">
          <w:rPr>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46">
        <w:r w:rsidRPr="00AA137D" w:rsidR="004D348D">
          <w:rPr>
            <w:rStyle w:val="Hyperlink"/>
            <w:noProof/>
          </w:rPr>
          <w:t>11. Questions of a Sensitive Nature</w:t>
        </w:r>
        <w:r w:rsidRPr="00AA137D" w:rsidR="004D348D">
          <w:rPr>
            <w:rStyle w:val="Hyperlink"/>
            <w:noProof/>
            <w:webHidden/>
          </w:rPr>
          <w:tab/>
        </w:r>
        <w:r w:rsidRPr="00AA137D">
          <w:rPr>
            <w:rStyle w:val="Hyperlink"/>
            <w:noProof/>
            <w:webHidden/>
          </w:rPr>
          <w:t xml:space="preserve">- </w:t>
        </w:r>
        <w:r>
          <w:rPr>
            <w:rStyle w:val="Hyperlink"/>
            <w:noProof/>
            <w:webHidden/>
          </w:rPr>
          <w:t>7</w:t>
        </w:r>
        <w:r w:rsidRPr="00AA137D">
          <w:rPr>
            <w:rStyle w:val="Hyperlink"/>
            <w:noProof/>
            <w:webHidden/>
          </w:rPr>
          <w:t xml:space="preserve"> </w:t>
        </w:r>
        <w:r w:rsidRPr="00AA137D" w:rsidR="004D348D">
          <w:rPr>
            <w:rStyle w:val="Hyperlink"/>
            <w:noProof/>
            <w:webHidden/>
          </w:rPr>
          <w:fldChar w:fldCharType="begin"/>
        </w:r>
        <w:r w:rsidRPr="00AA137D" w:rsidR="004D348D">
          <w:rPr>
            <w:rStyle w:val="Hyperlink"/>
            <w:noProof/>
            <w:webHidden/>
          </w:rPr>
          <w:instrText xml:space="preserve"> PAGEREF _Toc32301346 \h </w:instrText>
        </w:r>
        <w:r w:rsidRPr="00AA137D" w:rsidR="004D348D">
          <w:rPr>
            <w:rStyle w:val="Hyperlink"/>
            <w:noProof/>
            <w:webHidden/>
          </w:rPr>
        </w:r>
        <w:r w:rsidRPr="00AA137D" w:rsidR="004D348D">
          <w:rPr>
            <w:rStyle w:val="Hyperlink"/>
            <w:noProof/>
            <w:webHidden/>
          </w:rPr>
          <w:fldChar w:fldCharType="separate"/>
        </w:r>
        <w:r w:rsidRPr="00AA137D" w:rsidR="004D348D">
          <w:rPr>
            <w:rStyle w:val="Hyperlink"/>
            <w:noProof/>
            <w:webHidden/>
          </w:rPr>
          <w:t>-</w:t>
        </w:r>
        <w:r w:rsidRPr="00AA137D" w:rsidR="004D348D">
          <w:rPr>
            <w:rStyle w:val="Hyperlink"/>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47">
        <w:r w:rsidRPr="002A701B" w:rsidR="004D348D">
          <w:rPr>
            <w:rStyle w:val="Hyperlink"/>
            <w:noProof/>
          </w:rPr>
          <w:t>12. Estimates of Burden Hours and Costs Over 3 Years</w:t>
        </w:r>
        <w:r w:rsidR="004D348D">
          <w:rPr>
            <w:noProof/>
            <w:webHidden/>
          </w:rPr>
          <w:tab/>
        </w:r>
        <w:r w:rsidR="004D348D">
          <w:rPr>
            <w:noProof/>
            <w:webHidden/>
          </w:rPr>
          <w:fldChar w:fldCharType="begin"/>
        </w:r>
        <w:r w:rsidR="004D348D">
          <w:rPr>
            <w:noProof/>
            <w:webHidden/>
          </w:rPr>
          <w:instrText xml:space="preserve"> PAGEREF _Toc32301347 \h </w:instrText>
        </w:r>
        <w:r w:rsidR="004D348D">
          <w:rPr>
            <w:noProof/>
            <w:webHidden/>
          </w:rPr>
        </w:r>
        <w:r w:rsidR="004D348D">
          <w:rPr>
            <w:noProof/>
            <w:webHidden/>
          </w:rPr>
          <w:fldChar w:fldCharType="separate"/>
        </w:r>
        <w:r w:rsidR="004D348D">
          <w:rPr>
            <w:noProof/>
            <w:webHidden/>
          </w:rPr>
          <w:t>- 7 -</w:t>
        </w:r>
        <w:r w:rsidR="004D348D">
          <w:rPr>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48">
        <w:r w:rsidRPr="002A701B" w:rsidR="004D348D">
          <w:rPr>
            <w:rStyle w:val="Hyperlink"/>
            <w:noProof/>
          </w:rPr>
          <w:t>13. Estimates of Annualized Respondent Capital and Maintenance Costs</w:t>
        </w:r>
        <w:r w:rsidR="004D348D">
          <w:rPr>
            <w:noProof/>
            <w:webHidden/>
          </w:rPr>
          <w:tab/>
        </w:r>
        <w:r w:rsidR="004D348D">
          <w:rPr>
            <w:noProof/>
            <w:webHidden/>
          </w:rPr>
          <w:fldChar w:fldCharType="begin"/>
        </w:r>
        <w:r w:rsidR="004D348D">
          <w:rPr>
            <w:noProof/>
            <w:webHidden/>
          </w:rPr>
          <w:instrText xml:space="preserve"> PAGEREF _Toc32301348 \h </w:instrText>
        </w:r>
        <w:r w:rsidR="004D348D">
          <w:rPr>
            <w:noProof/>
            <w:webHidden/>
          </w:rPr>
        </w:r>
        <w:r w:rsidR="004D348D">
          <w:rPr>
            <w:noProof/>
            <w:webHidden/>
          </w:rPr>
          <w:fldChar w:fldCharType="separate"/>
        </w:r>
        <w:r w:rsidR="004D348D">
          <w:rPr>
            <w:noProof/>
            <w:webHidden/>
          </w:rPr>
          <w:t xml:space="preserve">- </w:t>
        </w:r>
        <w:r>
          <w:rPr>
            <w:noProof/>
            <w:webHidden/>
          </w:rPr>
          <w:t>8</w:t>
        </w:r>
        <w:r w:rsidR="004D348D">
          <w:rPr>
            <w:noProof/>
            <w:webHidden/>
          </w:rPr>
          <w:t xml:space="preserve"> -</w:t>
        </w:r>
        <w:r w:rsidR="004D348D">
          <w:rPr>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49">
        <w:r w:rsidRPr="002A701B" w:rsidR="004D348D">
          <w:rPr>
            <w:rStyle w:val="Hyperlink"/>
            <w:noProof/>
          </w:rPr>
          <w:t>14. Estimates of Annualized Cost to the Government</w:t>
        </w:r>
        <w:r w:rsidR="004D348D">
          <w:rPr>
            <w:noProof/>
            <w:webHidden/>
          </w:rPr>
          <w:tab/>
        </w:r>
        <w:r w:rsidR="004D348D">
          <w:rPr>
            <w:noProof/>
            <w:webHidden/>
          </w:rPr>
          <w:fldChar w:fldCharType="begin"/>
        </w:r>
        <w:r w:rsidR="004D348D">
          <w:rPr>
            <w:noProof/>
            <w:webHidden/>
          </w:rPr>
          <w:instrText xml:space="preserve"> PAGEREF _Toc32301349 \h </w:instrText>
        </w:r>
        <w:r w:rsidR="004D348D">
          <w:rPr>
            <w:noProof/>
            <w:webHidden/>
          </w:rPr>
        </w:r>
        <w:r w:rsidR="004D348D">
          <w:rPr>
            <w:noProof/>
            <w:webHidden/>
          </w:rPr>
          <w:fldChar w:fldCharType="separate"/>
        </w:r>
        <w:r w:rsidR="004D348D">
          <w:rPr>
            <w:noProof/>
            <w:webHidden/>
          </w:rPr>
          <w:t>- 8 -</w:t>
        </w:r>
        <w:r w:rsidR="004D348D">
          <w:rPr>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50">
        <w:r w:rsidRPr="002A701B" w:rsidR="004D348D">
          <w:rPr>
            <w:rStyle w:val="Hyperlink"/>
            <w:noProof/>
          </w:rPr>
          <w:t>15. Changes in Hour Burden</w:t>
        </w:r>
        <w:r w:rsidR="004D348D">
          <w:rPr>
            <w:noProof/>
            <w:webHidden/>
          </w:rPr>
          <w:tab/>
        </w:r>
        <w:r w:rsidR="004D348D">
          <w:rPr>
            <w:noProof/>
            <w:webHidden/>
          </w:rPr>
          <w:fldChar w:fldCharType="begin"/>
        </w:r>
        <w:r w:rsidR="004D348D">
          <w:rPr>
            <w:noProof/>
            <w:webHidden/>
          </w:rPr>
          <w:instrText xml:space="preserve"> PAGEREF _Toc32301350 \h </w:instrText>
        </w:r>
        <w:r w:rsidR="004D348D">
          <w:rPr>
            <w:noProof/>
            <w:webHidden/>
          </w:rPr>
        </w:r>
        <w:r w:rsidR="004D348D">
          <w:rPr>
            <w:noProof/>
            <w:webHidden/>
          </w:rPr>
          <w:fldChar w:fldCharType="separate"/>
        </w:r>
        <w:r w:rsidR="004D348D">
          <w:rPr>
            <w:noProof/>
            <w:webHidden/>
          </w:rPr>
          <w:t xml:space="preserve">- </w:t>
        </w:r>
        <w:r>
          <w:rPr>
            <w:noProof/>
            <w:webHidden/>
          </w:rPr>
          <w:t>9</w:t>
        </w:r>
        <w:r w:rsidR="004D348D">
          <w:rPr>
            <w:noProof/>
            <w:webHidden/>
          </w:rPr>
          <w:t xml:space="preserve"> -</w:t>
        </w:r>
        <w:r w:rsidR="004D348D">
          <w:rPr>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51">
        <w:r w:rsidRPr="002A701B" w:rsidR="004D348D">
          <w:rPr>
            <w:rStyle w:val="Hyperlink"/>
            <w:noProof/>
          </w:rPr>
          <w:t>16. Time Schedule, Publication and Analysis Plans</w:t>
        </w:r>
        <w:r w:rsidR="004D348D">
          <w:rPr>
            <w:noProof/>
            <w:webHidden/>
          </w:rPr>
          <w:tab/>
        </w:r>
        <w:r w:rsidR="004D348D">
          <w:rPr>
            <w:noProof/>
            <w:webHidden/>
          </w:rPr>
          <w:fldChar w:fldCharType="begin"/>
        </w:r>
        <w:r w:rsidR="004D348D">
          <w:rPr>
            <w:noProof/>
            <w:webHidden/>
          </w:rPr>
          <w:instrText xml:space="preserve"> PAGEREF _Toc32301351 \h </w:instrText>
        </w:r>
        <w:r w:rsidR="004D348D">
          <w:rPr>
            <w:noProof/>
            <w:webHidden/>
          </w:rPr>
        </w:r>
        <w:r w:rsidR="004D348D">
          <w:rPr>
            <w:noProof/>
            <w:webHidden/>
          </w:rPr>
          <w:fldChar w:fldCharType="separate"/>
        </w:r>
        <w:r>
          <w:rPr>
            <w:noProof/>
            <w:webHidden/>
          </w:rPr>
          <w:t>- 9</w:t>
        </w:r>
        <w:r w:rsidR="004D348D">
          <w:rPr>
            <w:noProof/>
            <w:webHidden/>
          </w:rPr>
          <w:t xml:space="preserve"> -</w:t>
        </w:r>
        <w:r w:rsidR="004D348D">
          <w:rPr>
            <w:noProof/>
            <w:webHidden/>
          </w:rPr>
          <w:fldChar w:fldCharType="end"/>
        </w:r>
      </w:hyperlink>
    </w:p>
    <w:p w:rsidRPr="006910E5" w:rsidR="004D348D" w:rsidRDefault="00AA137D">
      <w:pPr>
        <w:pStyle w:val="TOC3"/>
        <w:tabs>
          <w:tab w:val="left" w:pos="1320"/>
          <w:tab w:val="right" w:leader="dot" w:pos="8630"/>
        </w:tabs>
        <w:rPr>
          <w:rFonts w:ascii="Calibri" w:hAnsi="Calibri"/>
          <w:noProof/>
          <w:sz w:val="22"/>
          <w:szCs w:val="22"/>
        </w:rPr>
      </w:pPr>
      <w:hyperlink w:history="1" w:anchor="_Toc32301352">
        <w:r w:rsidRPr="002A701B" w:rsidR="004D348D">
          <w:rPr>
            <w:rStyle w:val="Hyperlink"/>
            <w:noProof/>
          </w:rPr>
          <w:t>16.a.</w:t>
        </w:r>
        <w:r w:rsidRPr="006910E5" w:rsidR="004D348D">
          <w:rPr>
            <w:rFonts w:ascii="Calibri" w:hAnsi="Calibri"/>
            <w:noProof/>
            <w:sz w:val="22"/>
            <w:szCs w:val="22"/>
          </w:rPr>
          <w:tab/>
        </w:r>
        <w:r w:rsidRPr="002A701B" w:rsidR="004D348D">
          <w:rPr>
            <w:rStyle w:val="Hyperlink"/>
            <w:noProof/>
          </w:rPr>
          <w:t>Time Schedule</w:t>
        </w:r>
        <w:r w:rsidR="004D348D">
          <w:rPr>
            <w:noProof/>
            <w:webHidden/>
          </w:rPr>
          <w:tab/>
        </w:r>
        <w:r w:rsidR="004D348D">
          <w:rPr>
            <w:noProof/>
            <w:webHidden/>
          </w:rPr>
          <w:fldChar w:fldCharType="begin"/>
        </w:r>
        <w:r w:rsidR="004D348D">
          <w:rPr>
            <w:noProof/>
            <w:webHidden/>
          </w:rPr>
          <w:instrText xml:space="preserve"> PAGEREF _Toc32301352 \h </w:instrText>
        </w:r>
        <w:r w:rsidR="004D348D">
          <w:rPr>
            <w:noProof/>
            <w:webHidden/>
          </w:rPr>
        </w:r>
        <w:r w:rsidR="004D348D">
          <w:rPr>
            <w:noProof/>
            <w:webHidden/>
          </w:rPr>
          <w:fldChar w:fldCharType="separate"/>
        </w:r>
        <w:r>
          <w:rPr>
            <w:noProof/>
            <w:webHidden/>
          </w:rPr>
          <w:t>- 9</w:t>
        </w:r>
        <w:bookmarkStart w:name="_GoBack" w:id="2"/>
        <w:bookmarkEnd w:id="2"/>
        <w:r w:rsidR="004D348D">
          <w:rPr>
            <w:noProof/>
            <w:webHidden/>
          </w:rPr>
          <w:t xml:space="preserve"> -</w:t>
        </w:r>
        <w:r w:rsidR="004D348D">
          <w:rPr>
            <w:noProof/>
            <w:webHidden/>
          </w:rPr>
          <w:fldChar w:fldCharType="end"/>
        </w:r>
      </w:hyperlink>
    </w:p>
    <w:p w:rsidRPr="006910E5" w:rsidR="004D348D" w:rsidRDefault="00AA137D">
      <w:pPr>
        <w:pStyle w:val="TOC3"/>
        <w:tabs>
          <w:tab w:val="left" w:pos="1320"/>
          <w:tab w:val="right" w:leader="dot" w:pos="8630"/>
        </w:tabs>
        <w:rPr>
          <w:rFonts w:ascii="Calibri" w:hAnsi="Calibri"/>
          <w:noProof/>
          <w:sz w:val="22"/>
          <w:szCs w:val="22"/>
        </w:rPr>
      </w:pPr>
      <w:hyperlink w:history="1" w:anchor="_Toc32301353">
        <w:r w:rsidRPr="002A701B" w:rsidR="004D348D">
          <w:rPr>
            <w:rStyle w:val="Hyperlink"/>
            <w:noProof/>
          </w:rPr>
          <w:t>16.b.</w:t>
        </w:r>
        <w:r w:rsidRPr="006910E5" w:rsidR="004D348D">
          <w:rPr>
            <w:rFonts w:ascii="Calibri" w:hAnsi="Calibri"/>
            <w:noProof/>
            <w:sz w:val="22"/>
            <w:szCs w:val="22"/>
          </w:rPr>
          <w:tab/>
        </w:r>
        <w:r w:rsidRPr="002A701B" w:rsidR="004D348D">
          <w:rPr>
            <w:rStyle w:val="Hyperlink"/>
            <w:noProof/>
          </w:rPr>
          <w:t>Publication and Use of Findings</w:t>
        </w:r>
        <w:r w:rsidR="004D348D">
          <w:rPr>
            <w:noProof/>
            <w:webHidden/>
          </w:rPr>
          <w:tab/>
        </w:r>
        <w:r w:rsidR="004D348D">
          <w:rPr>
            <w:noProof/>
            <w:webHidden/>
          </w:rPr>
          <w:fldChar w:fldCharType="begin"/>
        </w:r>
        <w:r w:rsidR="004D348D">
          <w:rPr>
            <w:noProof/>
            <w:webHidden/>
          </w:rPr>
          <w:instrText xml:space="preserve"> PAGEREF _Toc32301353 \h </w:instrText>
        </w:r>
        <w:r w:rsidR="004D348D">
          <w:rPr>
            <w:noProof/>
            <w:webHidden/>
          </w:rPr>
        </w:r>
        <w:r w:rsidR="004D348D">
          <w:rPr>
            <w:noProof/>
            <w:webHidden/>
          </w:rPr>
          <w:fldChar w:fldCharType="separate"/>
        </w:r>
        <w:r w:rsidR="004D348D">
          <w:rPr>
            <w:noProof/>
            <w:webHidden/>
          </w:rPr>
          <w:t>- 9 -</w:t>
        </w:r>
        <w:r w:rsidR="004D348D">
          <w:rPr>
            <w:noProof/>
            <w:webHidden/>
          </w:rPr>
          <w:fldChar w:fldCharType="end"/>
        </w:r>
      </w:hyperlink>
    </w:p>
    <w:p w:rsidRPr="006910E5" w:rsidR="004D348D" w:rsidRDefault="00AA137D">
      <w:pPr>
        <w:pStyle w:val="TOC3"/>
        <w:tabs>
          <w:tab w:val="left" w:pos="1320"/>
          <w:tab w:val="right" w:leader="dot" w:pos="8630"/>
        </w:tabs>
        <w:rPr>
          <w:rFonts w:ascii="Calibri" w:hAnsi="Calibri"/>
          <w:noProof/>
          <w:sz w:val="22"/>
          <w:szCs w:val="22"/>
        </w:rPr>
      </w:pPr>
      <w:hyperlink w:history="1" w:anchor="_Toc32301354">
        <w:r w:rsidRPr="002A701B" w:rsidR="004D348D">
          <w:rPr>
            <w:rStyle w:val="Hyperlink"/>
            <w:noProof/>
          </w:rPr>
          <w:t>16.c.</w:t>
        </w:r>
        <w:r w:rsidRPr="006910E5" w:rsidR="004D348D">
          <w:rPr>
            <w:rFonts w:ascii="Calibri" w:hAnsi="Calibri"/>
            <w:noProof/>
            <w:sz w:val="22"/>
            <w:szCs w:val="22"/>
          </w:rPr>
          <w:tab/>
        </w:r>
        <w:r w:rsidRPr="002A701B" w:rsidR="004D348D">
          <w:rPr>
            <w:rStyle w:val="Hyperlink"/>
            <w:noProof/>
          </w:rPr>
          <w:t>Analysis Plans</w:t>
        </w:r>
        <w:r w:rsidR="004D348D">
          <w:rPr>
            <w:noProof/>
            <w:webHidden/>
          </w:rPr>
          <w:tab/>
        </w:r>
        <w:r w:rsidR="004D348D">
          <w:rPr>
            <w:noProof/>
            <w:webHidden/>
          </w:rPr>
          <w:fldChar w:fldCharType="begin"/>
        </w:r>
        <w:r w:rsidR="004D348D">
          <w:rPr>
            <w:noProof/>
            <w:webHidden/>
          </w:rPr>
          <w:instrText xml:space="preserve"> PAGEREF _Toc32301354 \h </w:instrText>
        </w:r>
        <w:r w:rsidR="004D348D">
          <w:rPr>
            <w:noProof/>
            <w:webHidden/>
          </w:rPr>
        </w:r>
        <w:r w:rsidR="004D348D">
          <w:rPr>
            <w:noProof/>
            <w:webHidden/>
          </w:rPr>
          <w:fldChar w:fldCharType="separate"/>
        </w:r>
        <w:r w:rsidR="004D348D">
          <w:rPr>
            <w:noProof/>
            <w:webHidden/>
          </w:rPr>
          <w:t>- 9 -</w:t>
        </w:r>
        <w:r w:rsidR="004D348D">
          <w:rPr>
            <w:noProof/>
            <w:webHidden/>
          </w:rPr>
          <w:fldChar w:fldCharType="end"/>
        </w:r>
      </w:hyperlink>
    </w:p>
    <w:p w:rsidRPr="006910E5" w:rsidR="004D348D" w:rsidRDefault="00AA137D">
      <w:pPr>
        <w:pStyle w:val="TOC2"/>
        <w:tabs>
          <w:tab w:val="right" w:leader="dot" w:pos="8630"/>
        </w:tabs>
        <w:rPr>
          <w:rFonts w:ascii="Calibri" w:hAnsi="Calibri"/>
          <w:noProof/>
          <w:sz w:val="22"/>
          <w:szCs w:val="22"/>
        </w:rPr>
      </w:pPr>
      <w:hyperlink w:history="1" w:anchor="_Toc32301355">
        <w:r w:rsidRPr="002A701B" w:rsidR="004D348D">
          <w:rPr>
            <w:rStyle w:val="Hyperlink"/>
            <w:noProof/>
          </w:rPr>
          <w:t>17. Exemption for Display of Expiration Date</w:t>
        </w:r>
        <w:r w:rsidR="004D348D">
          <w:rPr>
            <w:noProof/>
            <w:webHidden/>
          </w:rPr>
          <w:tab/>
        </w:r>
        <w:r w:rsidR="004D348D">
          <w:rPr>
            <w:noProof/>
            <w:webHidden/>
          </w:rPr>
          <w:fldChar w:fldCharType="begin"/>
        </w:r>
        <w:r w:rsidR="004D348D">
          <w:rPr>
            <w:noProof/>
            <w:webHidden/>
          </w:rPr>
          <w:instrText xml:space="preserve"> PAGEREF _Toc32301355 \h </w:instrText>
        </w:r>
        <w:r w:rsidR="004D348D">
          <w:rPr>
            <w:noProof/>
            <w:webHidden/>
          </w:rPr>
        </w:r>
        <w:r w:rsidR="004D348D">
          <w:rPr>
            <w:noProof/>
            <w:webHidden/>
          </w:rPr>
          <w:fldChar w:fldCharType="separate"/>
        </w:r>
        <w:r w:rsidR="004D348D">
          <w:rPr>
            <w:noProof/>
            <w:webHidden/>
          </w:rPr>
          <w:t>- 10 -</w:t>
        </w:r>
        <w:r w:rsidR="004D348D">
          <w:rPr>
            <w:noProof/>
            <w:webHidden/>
          </w:rPr>
          <w:fldChar w:fldCharType="end"/>
        </w:r>
      </w:hyperlink>
    </w:p>
    <w:p w:rsidRPr="006910E5" w:rsidR="004D348D" w:rsidRDefault="00AA137D">
      <w:pPr>
        <w:pStyle w:val="TOC1"/>
        <w:tabs>
          <w:tab w:val="right" w:leader="dot" w:pos="8630"/>
        </w:tabs>
        <w:rPr>
          <w:rFonts w:ascii="Calibri" w:hAnsi="Calibri"/>
          <w:noProof/>
          <w:sz w:val="22"/>
          <w:szCs w:val="22"/>
        </w:rPr>
      </w:pPr>
      <w:hyperlink w:history="1" w:anchor="_Toc32301356">
        <w:r w:rsidRPr="002A701B" w:rsidR="004D348D">
          <w:rPr>
            <w:rStyle w:val="Hyperlink"/>
            <w:noProof/>
          </w:rPr>
          <w:t>List of Attachments:</w:t>
        </w:r>
        <w:r w:rsidR="004D348D">
          <w:rPr>
            <w:noProof/>
            <w:webHidden/>
          </w:rPr>
          <w:tab/>
        </w:r>
        <w:r w:rsidR="004D348D">
          <w:rPr>
            <w:noProof/>
            <w:webHidden/>
          </w:rPr>
          <w:fldChar w:fldCharType="begin"/>
        </w:r>
        <w:r w:rsidR="004D348D">
          <w:rPr>
            <w:noProof/>
            <w:webHidden/>
          </w:rPr>
          <w:instrText xml:space="preserve"> PAGEREF _Toc32301356 \h </w:instrText>
        </w:r>
        <w:r w:rsidR="004D348D">
          <w:rPr>
            <w:noProof/>
            <w:webHidden/>
          </w:rPr>
        </w:r>
        <w:r w:rsidR="004D348D">
          <w:rPr>
            <w:noProof/>
            <w:webHidden/>
          </w:rPr>
          <w:fldChar w:fldCharType="separate"/>
        </w:r>
        <w:r w:rsidR="004D348D">
          <w:rPr>
            <w:noProof/>
            <w:webHidden/>
          </w:rPr>
          <w:t>- 10 -</w:t>
        </w:r>
        <w:r w:rsidR="004D348D">
          <w:rPr>
            <w:noProof/>
            <w:webHidden/>
          </w:rPr>
          <w:fldChar w:fldCharType="end"/>
        </w:r>
      </w:hyperlink>
    </w:p>
    <w:p w:rsidR="00AE7D70" w:rsidRDefault="00AE7D70">
      <w:r>
        <w:rPr>
          <w:b/>
          <w:bCs/>
          <w:noProof/>
        </w:rPr>
        <w:fldChar w:fldCharType="end"/>
      </w:r>
    </w:p>
    <w:p w:rsidR="009B633D" w:rsidRDefault="009B633D">
      <w:pPr>
        <w:pStyle w:val="TOC2"/>
        <w:tabs>
          <w:tab w:val="right" w:leader="dot" w:pos="8630"/>
        </w:tabs>
        <w:rPr>
          <w:noProof/>
        </w:rPr>
      </w:pPr>
      <w:r>
        <w:rPr>
          <w:b/>
        </w:rPr>
        <w:fldChar w:fldCharType="begin"/>
      </w:r>
      <w:r>
        <w:rPr>
          <w:b/>
        </w:rPr>
        <w:instrText xml:space="preserve"> TOC \o "1-3" \h \z \u </w:instrText>
      </w:r>
      <w:r>
        <w:rPr>
          <w:b/>
        </w:rPr>
        <w:fldChar w:fldCharType="separate"/>
      </w:r>
    </w:p>
    <w:p w:rsidR="00AE7D70" w:rsidP="009B633D" w:rsidRDefault="009B633D">
      <w:pPr>
        <w:jc w:val="center"/>
        <w:rPr>
          <w:b/>
        </w:rPr>
        <w:sectPr w:rsidR="00AE7D70" w:rsidSect="00AE7D70">
          <w:footerReference w:type="first" r:id="rId11"/>
          <w:endnotePr>
            <w:numFmt w:val="decimal"/>
          </w:endnotePr>
          <w:pgSz w:w="12240" w:h="15840"/>
          <w:pgMar w:top="1440" w:right="1800" w:bottom="1260" w:left="1800" w:header="720" w:footer="720" w:gutter="0"/>
          <w:pgNumType w:fmt="lowerRoman" w:start="1"/>
          <w:cols w:space="720"/>
          <w:titlePg/>
          <w:docGrid w:linePitch="360"/>
        </w:sectPr>
      </w:pPr>
      <w:r>
        <w:rPr>
          <w:b/>
        </w:rPr>
        <w:fldChar w:fldCharType="end"/>
      </w:r>
    </w:p>
    <w:p w:rsidRPr="006014DB" w:rsidR="009B633D" w:rsidP="009B633D" w:rsidRDefault="009B633D">
      <w:pPr>
        <w:pStyle w:val="Heading1"/>
        <w:rPr>
          <w:sz w:val="24"/>
          <w:szCs w:val="24"/>
        </w:rPr>
      </w:pPr>
      <w:bookmarkStart w:name="_Toc151782175" w:id="3"/>
      <w:bookmarkStart w:name="_Toc158526215" w:id="4"/>
      <w:bookmarkStart w:name="_Toc32301334" w:id="5"/>
      <w:r w:rsidRPr="006014DB">
        <w:rPr>
          <w:sz w:val="24"/>
          <w:szCs w:val="24"/>
        </w:rPr>
        <w:lastRenderedPageBreak/>
        <w:t>A. Justification</w:t>
      </w:r>
      <w:bookmarkEnd w:id="3"/>
      <w:bookmarkEnd w:id="4"/>
      <w:bookmarkEnd w:id="5"/>
    </w:p>
    <w:p w:rsidR="009B633D" w:rsidP="00D71F39" w:rsidRDefault="009B633D">
      <w:pPr>
        <w:pStyle w:val="Heading2"/>
        <w:spacing w:after="120"/>
        <w:rPr>
          <w:sz w:val="24"/>
          <w:szCs w:val="24"/>
        </w:rPr>
      </w:pPr>
      <w:bookmarkStart w:name="_Toc151782176" w:id="6"/>
      <w:bookmarkStart w:name="_Toc158526216" w:id="7"/>
      <w:bookmarkStart w:name="_Toc32301335" w:id="8"/>
      <w:r w:rsidRPr="006014DB">
        <w:rPr>
          <w:sz w:val="24"/>
          <w:szCs w:val="24"/>
        </w:rPr>
        <w:t xml:space="preserve">1. </w:t>
      </w:r>
      <w:bookmarkEnd w:id="6"/>
      <w:bookmarkEnd w:id="7"/>
      <w:r w:rsidRPr="006014DB" w:rsidR="006014DB">
        <w:rPr>
          <w:sz w:val="24"/>
          <w:szCs w:val="24"/>
        </w:rPr>
        <w:t>Circumstances that make the collection of information necessary</w:t>
      </w:r>
      <w:bookmarkEnd w:id="8"/>
    </w:p>
    <w:p w:rsidRPr="00FD7F5B" w:rsidR="00955279" w:rsidP="00D71F39" w:rsidRDefault="00955279">
      <w:pPr>
        <w:rPr>
          <w:color w:val="000000"/>
        </w:rPr>
      </w:pPr>
      <w:r w:rsidRPr="00FD7F5B">
        <w:rPr>
          <w:color w:val="000000"/>
        </w:rPr>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FD7F5B" w:rsidR="00955279" w:rsidP="00260886" w:rsidRDefault="00EE2C48">
      <w:pPr>
        <w:numPr>
          <w:ilvl w:val="0"/>
          <w:numId w:val="3"/>
        </w:numPr>
        <w:tabs>
          <w:tab w:val="left" w:pos="360"/>
        </w:tabs>
        <w:spacing w:before="240" w:after="240"/>
        <w:rPr>
          <w:color w:val="000000"/>
        </w:rPr>
      </w:pPr>
      <w:r>
        <w:rPr>
          <w:color w:val="000000"/>
        </w:rPr>
        <w:t>R</w:t>
      </w:r>
      <w:r w:rsidRPr="00FD7F5B" w:rsidR="00955279">
        <w:rPr>
          <w:color w:val="000000"/>
        </w:rPr>
        <w:t xml:space="preserve">esearch that develops and presents scientific evidence regarding all aspects of health care; </w:t>
      </w:r>
    </w:p>
    <w:p w:rsidRPr="00FD7F5B" w:rsidR="00955279" w:rsidP="00260886" w:rsidRDefault="00EE2C48">
      <w:pPr>
        <w:numPr>
          <w:ilvl w:val="0"/>
          <w:numId w:val="3"/>
        </w:numPr>
        <w:tabs>
          <w:tab w:val="left" w:pos="360"/>
        </w:tabs>
        <w:spacing w:before="240" w:after="240"/>
        <w:rPr>
          <w:color w:val="000000"/>
        </w:rPr>
      </w:pPr>
      <w:r>
        <w:rPr>
          <w:color w:val="000000"/>
        </w:rPr>
        <w:t>T</w:t>
      </w:r>
      <w:r w:rsidRPr="00FD7F5B" w:rsidR="00955279">
        <w:rPr>
          <w:color w:val="000000"/>
        </w:rPr>
        <w:t>he synthesis and dissemination of available scientific evidence for use by patients, consumers, practitioners, providers, purchasers, policy makers, and educators; and</w:t>
      </w:r>
    </w:p>
    <w:p w:rsidRPr="00FD7F5B" w:rsidR="00955279" w:rsidP="00260886" w:rsidRDefault="00EE2C48">
      <w:pPr>
        <w:numPr>
          <w:ilvl w:val="0"/>
          <w:numId w:val="3"/>
        </w:numPr>
        <w:tabs>
          <w:tab w:val="left" w:pos="360"/>
        </w:tabs>
        <w:spacing w:before="240" w:after="240"/>
        <w:rPr>
          <w:color w:val="000000"/>
        </w:rPr>
      </w:pPr>
      <w:r>
        <w:rPr>
          <w:color w:val="000000"/>
        </w:rPr>
        <w:t>I</w:t>
      </w:r>
      <w:r w:rsidRPr="00FD7F5B" w:rsidR="00955279">
        <w:rPr>
          <w:color w:val="000000"/>
        </w:rPr>
        <w:t>nitiatives to advance private and public efforts to improve health care quality.</w:t>
      </w:r>
    </w:p>
    <w:p w:rsidRPr="00FD7F5B" w:rsidR="00955279" w:rsidP="00D16BB1" w:rsidRDefault="00955279">
      <w:pPr>
        <w:tabs>
          <w:tab w:val="left" w:pos="360"/>
        </w:tabs>
        <w:spacing w:before="240"/>
        <w:rPr>
          <w:color w:val="000000"/>
        </w:rPr>
      </w:pPr>
      <w:r w:rsidRPr="00FD7F5B">
        <w:rPr>
          <w:color w:val="000000"/>
        </w:rPr>
        <w:t>Also, AHRQ conducts and supports research, evaluations, and demonstration projects, with respect to (A) the delivery of health care in inner-city areas and in rural areas (including frontier areas); and (B) health care for priority populations, which includes (1) low-income groups, (2) minority groups, (3) women, (4) children, (5) the elderly, and (6) individuals with special health care needs, including individuals with disabilities and individuals who need chronic care or end-of-life health care.</w:t>
      </w:r>
    </w:p>
    <w:p w:rsidR="0097127A" w:rsidP="00D16BB1" w:rsidRDefault="000A7A9A">
      <w:pPr>
        <w:spacing w:before="240"/>
      </w:pPr>
      <w:r w:rsidRPr="002C334E">
        <w:t xml:space="preserve">Shared decision making (SDM) occurs when a health care provider and a patient work together to make a health care decision that is best for the patient. Implementing SDM involves effective communication between providers and patients to take into account evidence-based information about available options, the provider's knowledge and experience, and the patient's values and preferences in reaching </w:t>
      </w:r>
      <w:r w:rsidRPr="002C334E" w:rsidR="002C334E">
        <w:t xml:space="preserve">the best </w:t>
      </w:r>
      <w:r w:rsidRPr="002C334E">
        <w:t>health care decision</w:t>
      </w:r>
      <w:r w:rsidRPr="002C334E" w:rsidR="002C334E">
        <w:t xml:space="preserve"> for a patient. To facilitate SDM in all care delivery settings AHRQ developed the five-step SHARE Approach that includes exploring and comparing the benefits, harms, and risks of each option through meaningful dialogue about what matters most to the patient</w:t>
      </w:r>
      <w:r w:rsidRPr="00D16BB1" w:rsidR="002C334E">
        <w:t>.</w:t>
      </w:r>
      <w:r w:rsidRPr="00D16BB1" w:rsidR="00D16BB1">
        <w:t xml:space="preserve"> </w:t>
      </w:r>
    </w:p>
    <w:p w:rsidRPr="00D16BB1" w:rsidR="00955279" w:rsidP="00D16BB1" w:rsidRDefault="00955279">
      <w:pPr>
        <w:spacing w:before="240"/>
      </w:pPr>
      <w:r w:rsidRPr="00D16BB1">
        <w:t xml:space="preserve">SDM is increasingly included in clinical care guidelines, and in some cases is even mandated. While there is considerable interest in improving SDM across broad health care settings, less is known about how to effectively implement SDM. There is evidence that SDM is often not conducted effectively in practice, and identifying ways to improve SDM has therefore become an imperative. Lack of clinician support and education have been identified as important barriers to SDM. </w:t>
      </w:r>
    </w:p>
    <w:p w:rsidRPr="004523FC" w:rsidR="00955279" w:rsidP="00D16BB1" w:rsidRDefault="00955279">
      <w:pPr>
        <w:tabs>
          <w:tab w:val="left" w:pos="360"/>
        </w:tabs>
        <w:spacing w:before="240"/>
      </w:pPr>
      <w:r w:rsidRPr="004523FC">
        <w:t xml:space="preserve">The SHARE Approach was developed by AHRQ as a clinician-facing toolkit that teaches clinicians skills to facilitate shared decision-making (SDM) across a broad range of clinical contexts. </w:t>
      </w:r>
      <w:r w:rsidR="001C75F9">
        <w:t>W</w:t>
      </w:r>
      <w:r w:rsidRPr="004523FC" w:rsidR="001C75F9">
        <w:t>hile several implementation success stories have been shared with AHRQ</w:t>
      </w:r>
      <w:r w:rsidR="001C75F9">
        <w:t>,</w:t>
      </w:r>
      <w:r w:rsidRPr="004523FC" w:rsidR="001C75F9">
        <w:t xml:space="preserve"> </w:t>
      </w:r>
      <w:r w:rsidR="001C75F9">
        <w:t>t</w:t>
      </w:r>
      <w:r w:rsidRPr="004523FC">
        <w:t xml:space="preserve">o date there has been no formal evaluation of the effectiveness of </w:t>
      </w:r>
      <w:r w:rsidRPr="004523FC" w:rsidR="00D16BB1">
        <w:t xml:space="preserve">the </w:t>
      </w:r>
      <w:r w:rsidRPr="004523FC">
        <w:t xml:space="preserve">SHARE Approach materials for </w:t>
      </w:r>
      <w:r w:rsidRPr="004523FC">
        <w:lastRenderedPageBreak/>
        <w:t>improving SDM in primary and specialty care settings</w:t>
      </w:r>
      <w:r w:rsidRPr="004523FC" w:rsidR="009676A3">
        <w:t xml:space="preserve"> for which it was designed</w:t>
      </w:r>
      <w:r w:rsidRPr="004523FC">
        <w:t xml:space="preserve">. As a result, challenges that may be faced by practices who wish to implement the SHARE Approach are </w:t>
      </w:r>
      <w:r w:rsidRPr="004523FC" w:rsidR="009676A3">
        <w:t xml:space="preserve">currently </w:t>
      </w:r>
      <w:r w:rsidRPr="004523FC">
        <w:t>unknown.</w:t>
      </w:r>
      <w:r w:rsidRPr="004523FC" w:rsidR="00E84876">
        <w:t xml:space="preserve"> </w:t>
      </w:r>
      <w:r w:rsidR="001C75F9">
        <w:t xml:space="preserve">Without research to identify and </w:t>
      </w:r>
      <w:r w:rsidRPr="004523FC" w:rsidR="00E84876">
        <w:t>address these issues, practices and organization may be unable to effectively implement the SHARE Approach and may be unwilling to do so absent</w:t>
      </w:r>
      <w:r w:rsidR="00D70B1E">
        <w:t xml:space="preserve"> </w:t>
      </w:r>
      <w:r w:rsidRPr="004523FC" w:rsidR="00E84876">
        <w:t xml:space="preserve">evidence of its effectiveness at improving SDM outcomes. </w:t>
      </w:r>
    </w:p>
    <w:p w:rsidRPr="00B8186E" w:rsidR="00E84876" w:rsidP="004523FC" w:rsidRDefault="00E84876">
      <w:pPr>
        <w:tabs>
          <w:tab w:val="left" w:pos="360"/>
        </w:tabs>
        <w:spacing w:before="240"/>
      </w:pPr>
      <w:r w:rsidRPr="00B8186E">
        <w:t>Th</w:t>
      </w:r>
      <w:r w:rsidRPr="00B8186E" w:rsidR="00B8186E">
        <w:t xml:space="preserve">e Evaluation of the SHARE Approach Model </w:t>
      </w:r>
      <w:r w:rsidRPr="00B8186E">
        <w:t xml:space="preserve">has the following goals: </w:t>
      </w:r>
    </w:p>
    <w:p w:rsidRPr="00B8186E" w:rsidR="00E84876" w:rsidP="00260886" w:rsidRDefault="006605FA">
      <w:pPr>
        <w:numPr>
          <w:ilvl w:val="0"/>
          <w:numId w:val="5"/>
        </w:numPr>
        <w:tabs>
          <w:tab w:val="left" w:pos="360"/>
        </w:tabs>
        <w:spacing w:before="240"/>
      </w:pPr>
      <w:r w:rsidRPr="00B8186E">
        <w:t xml:space="preserve">Revise </w:t>
      </w:r>
      <w:r w:rsidRPr="00B8186E" w:rsidR="00B8186E">
        <w:t xml:space="preserve">the </w:t>
      </w:r>
      <w:r w:rsidRPr="00B8186E">
        <w:t xml:space="preserve">SHARE Approach toolkit to remove </w:t>
      </w:r>
      <w:r w:rsidRPr="00B8186E" w:rsidR="00B8186E">
        <w:t xml:space="preserve">outdated </w:t>
      </w:r>
      <w:r w:rsidRPr="00B8186E">
        <w:t xml:space="preserve">references and increase applicability for SDM in contexts involving problem solving </w:t>
      </w:r>
    </w:p>
    <w:p w:rsidRPr="00B8186E" w:rsidR="006605FA" w:rsidP="00260886" w:rsidRDefault="006605FA">
      <w:pPr>
        <w:numPr>
          <w:ilvl w:val="0"/>
          <w:numId w:val="5"/>
        </w:numPr>
        <w:tabs>
          <w:tab w:val="left" w:pos="360"/>
        </w:tabs>
        <w:spacing w:before="240"/>
      </w:pPr>
      <w:r w:rsidRPr="00B8186E">
        <w:t>Evaluate the implement</w:t>
      </w:r>
      <w:r w:rsidRPr="00B8186E" w:rsidR="00B8186E">
        <w:t>ation of the SHARE Approach in eight</w:t>
      </w:r>
      <w:r w:rsidRPr="00B8186E">
        <w:t xml:space="preserve"> primar</w:t>
      </w:r>
      <w:r w:rsidRPr="00B8186E" w:rsidR="00B8186E">
        <w:t>y care and four cardiology clinics</w:t>
      </w:r>
    </w:p>
    <w:p w:rsidRPr="00B8186E" w:rsidR="006605FA" w:rsidP="00260886" w:rsidRDefault="006605FA">
      <w:pPr>
        <w:numPr>
          <w:ilvl w:val="0"/>
          <w:numId w:val="5"/>
        </w:numPr>
        <w:tabs>
          <w:tab w:val="left" w:pos="360"/>
        </w:tabs>
        <w:spacing w:before="240"/>
      </w:pPr>
      <w:r w:rsidRPr="00B8186E">
        <w:t>Evaluate the effectiveness of the SHARE Approach at improving SDM.</w:t>
      </w:r>
    </w:p>
    <w:p w:rsidRPr="00B8186E" w:rsidR="00955279" w:rsidP="00B8186E" w:rsidRDefault="00955279">
      <w:pPr>
        <w:spacing w:before="240"/>
      </w:pPr>
      <w:r w:rsidRPr="00B8186E">
        <w:t xml:space="preserve">To achieve the goals of this project, </w:t>
      </w:r>
      <w:r w:rsidRPr="00B8186E" w:rsidR="00B8186E">
        <w:t xml:space="preserve">AHRQ </w:t>
      </w:r>
      <w:r w:rsidR="005402CA">
        <w:t xml:space="preserve">- </w:t>
      </w:r>
      <w:r w:rsidRPr="00B8186E" w:rsidR="00B8186E">
        <w:t>in collaboration with</w:t>
      </w:r>
      <w:r w:rsidRPr="00B8186E" w:rsidR="008973C5">
        <w:t xml:space="preserve"> </w:t>
      </w:r>
      <w:r w:rsidR="00B8186E">
        <w:t>its contractor the</w:t>
      </w:r>
      <w:r w:rsidRPr="00B8186E" w:rsidR="008973C5">
        <w:t xml:space="preserve"> University of Colorado</w:t>
      </w:r>
      <w:r w:rsidR="005402CA">
        <w:t>,</w:t>
      </w:r>
      <w:r w:rsidRPr="00B8186E" w:rsidR="008973C5">
        <w:t xml:space="preserve"> has</w:t>
      </w:r>
      <w:r w:rsidRPr="00B8186E">
        <w:t xml:space="preserve"> designed a </w:t>
      </w:r>
      <w:r w:rsidRPr="00B8186E" w:rsidR="008973C5">
        <w:t>SHARE Appr</w:t>
      </w:r>
      <w:r w:rsidRPr="00B8186E" w:rsidR="00B8186E">
        <w:t>oach Implementation and Evaluation</w:t>
      </w:r>
      <w:r w:rsidRPr="00B8186E">
        <w:t xml:space="preserve"> Plan that includes the following activities and data collections.</w:t>
      </w:r>
    </w:p>
    <w:p w:rsidRPr="00B8186E" w:rsidR="002B4DED" w:rsidP="00260886" w:rsidRDefault="008973C5">
      <w:pPr>
        <w:pStyle w:val="ListParagraph"/>
        <w:numPr>
          <w:ilvl w:val="0"/>
          <w:numId w:val="4"/>
        </w:numPr>
        <w:tabs>
          <w:tab w:val="left" w:pos="360"/>
        </w:tabs>
        <w:contextualSpacing w:val="0"/>
      </w:pPr>
      <w:r w:rsidRPr="00B8186E">
        <w:rPr>
          <w:b/>
        </w:rPr>
        <w:t xml:space="preserve">Acquire feedback </w:t>
      </w:r>
      <w:r w:rsidRPr="00B8186E" w:rsidR="002B4DED">
        <w:rPr>
          <w:b/>
        </w:rPr>
        <w:t>on SHARE Approach materials</w:t>
      </w:r>
      <w:r w:rsidRPr="00B8186E" w:rsidDel="00A564B6" w:rsidR="00955279">
        <w:t xml:space="preserve">:  A panel of </w:t>
      </w:r>
      <w:r w:rsidR="00B8186E">
        <w:t>five</w:t>
      </w:r>
      <w:r w:rsidRPr="00B8186E">
        <w:t xml:space="preserve"> clinician</w:t>
      </w:r>
      <w:r w:rsidRPr="00B8186E" w:rsidDel="00A564B6" w:rsidR="00955279">
        <w:t xml:space="preserve"> </w:t>
      </w:r>
      <w:r w:rsidRPr="00B8186E" w:rsidR="00CD3928">
        <w:t>co</w:t>
      </w:r>
      <w:r w:rsidRPr="00B8186E" w:rsidR="002B4DED">
        <w:t>n</w:t>
      </w:r>
      <w:r w:rsidRPr="00B8186E" w:rsidR="00CD3928">
        <w:t>sultants with</w:t>
      </w:r>
      <w:r w:rsidRPr="00B8186E">
        <w:t xml:space="preserve"> experience </w:t>
      </w:r>
      <w:r w:rsidR="00B8186E">
        <w:t>using</w:t>
      </w:r>
      <w:r w:rsidRPr="00B8186E">
        <w:t xml:space="preserve"> the SHARE Approach will provide </w:t>
      </w:r>
      <w:r w:rsidRPr="00B8186E" w:rsidR="00CD3928">
        <w:t>feedback about their experiences and recommendations for improvem</w:t>
      </w:r>
      <w:r w:rsidR="00B8186E">
        <w:t>ent. A separate panel of up to nine</w:t>
      </w:r>
      <w:r w:rsidRPr="00B8186E" w:rsidR="00CD3928">
        <w:t xml:space="preserve"> clinician stakeholders will review all SHARE Approach materials and evaluate them for applicability to situations involving problem-solving, and provide recommendations for improvement. We will additionally bring these materials to two standing patient advisory groups </w:t>
      </w:r>
      <w:r w:rsidR="003F4F94">
        <w:t>for a total of</w:t>
      </w:r>
      <w:r w:rsidR="00FA64DB">
        <w:t xml:space="preserve"> up to 9 patients </w:t>
      </w:r>
      <w:r w:rsidR="003F4F94">
        <w:t xml:space="preserve">who </w:t>
      </w:r>
      <w:r w:rsidRPr="00B8186E" w:rsidR="00CD3928">
        <w:t xml:space="preserve">will provide feedback and recommendations for improving the SHARE Approach. </w:t>
      </w:r>
    </w:p>
    <w:p w:rsidRPr="00B8186E" w:rsidR="00136551" w:rsidP="00260886" w:rsidRDefault="00136551">
      <w:pPr>
        <w:pStyle w:val="ListParagraph"/>
        <w:numPr>
          <w:ilvl w:val="0"/>
          <w:numId w:val="4"/>
        </w:numPr>
        <w:contextualSpacing w:val="0"/>
      </w:pPr>
      <w:r w:rsidRPr="00B8186E">
        <w:rPr>
          <w:b/>
        </w:rPr>
        <w:t>Evaluat</w:t>
      </w:r>
      <w:r w:rsidR="00CF38FE">
        <w:rPr>
          <w:b/>
        </w:rPr>
        <w:t>ion of</w:t>
      </w:r>
      <w:r w:rsidRPr="00B8186E">
        <w:rPr>
          <w:b/>
        </w:rPr>
        <w:t xml:space="preserve"> SHARE Implementation</w:t>
      </w:r>
      <w:r w:rsidRPr="00B8186E" w:rsidR="00955279">
        <w:t>:</w:t>
      </w:r>
      <w:r w:rsidRPr="00B8186E">
        <w:t xml:space="preserve"> We will recruit </w:t>
      </w:r>
      <w:r w:rsidR="00CF38FE">
        <w:t>eight primary care and four</w:t>
      </w:r>
      <w:r w:rsidRPr="00B8186E">
        <w:t xml:space="preserve"> cardiology practices to participate in a SHARE Approach implementation and effectiveness study. This </w:t>
      </w:r>
      <w:r w:rsidR="00CF38FE">
        <w:t>evaluation</w:t>
      </w:r>
      <w:r w:rsidRPr="00B8186E">
        <w:t xml:space="preserve"> shall support collection of information in diverse practice settings, including inner-city, rural, and low-income settings that provide care for minority groups, women and individuals with special health care needs with a particular focus on patients with multiple chronic conditions. SHARE training will be conducted in 2 half</w:t>
      </w:r>
      <w:r w:rsidR="00702D25">
        <w:t>-</w:t>
      </w:r>
      <w:r w:rsidRPr="00B8186E">
        <w:t xml:space="preserve">day sessions and supplemental webinar sessions in all practices. Implementation will be </w:t>
      </w:r>
      <w:r w:rsidR="00D70B1E">
        <w:t>assessed</w:t>
      </w:r>
      <w:r w:rsidRPr="00B8186E">
        <w:t xml:space="preserve"> with a brief </w:t>
      </w:r>
      <w:r w:rsidR="00D70B1E">
        <w:t xml:space="preserve">clinician and staff </w:t>
      </w:r>
      <w:r w:rsidRPr="00B8186E">
        <w:t>survey follow</w:t>
      </w:r>
      <w:r w:rsidR="00D70B1E">
        <w:t>ing</w:t>
      </w:r>
      <w:r w:rsidRPr="00B8186E">
        <w:t xml:space="preserve"> training</w:t>
      </w:r>
      <w:r w:rsidR="00D70B1E">
        <w:t xml:space="preserve"> in each practice, semi-</w:t>
      </w:r>
      <w:r w:rsidRPr="00B8186E">
        <w:t xml:space="preserve">structured field notes </w:t>
      </w:r>
      <w:r w:rsidR="00D70B1E">
        <w:t xml:space="preserve">recorded </w:t>
      </w:r>
      <w:r w:rsidRPr="00B8186E">
        <w:t xml:space="preserve">by all team members following interactions with clinics, and observations from </w:t>
      </w:r>
      <w:proofErr w:type="spellStart"/>
      <w:r w:rsidRPr="00B8186E">
        <w:t>SHAREd</w:t>
      </w:r>
      <w:proofErr w:type="spellEnd"/>
      <w:r w:rsidRPr="00B8186E">
        <w:t xml:space="preserve"> Learning Calls </w:t>
      </w:r>
      <w:r w:rsidR="00940C92">
        <w:t xml:space="preserve">designed </w:t>
      </w:r>
      <w:r w:rsidRPr="00B8186E">
        <w:t xml:space="preserve">to support </w:t>
      </w:r>
      <w:r w:rsidR="00940C92">
        <w:t xml:space="preserve">practices in </w:t>
      </w:r>
      <w:r w:rsidRPr="00B8186E">
        <w:t>implementation</w:t>
      </w:r>
      <w:r w:rsidR="00940C92">
        <w:t xml:space="preserve"> of the SHARE Approach</w:t>
      </w:r>
      <w:r w:rsidRPr="00B8186E">
        <w:t>.</w:t>
      </w:r>
    </w:p>
    <w:p w:rsidRPr="00B8186E" w:rsidR="00136551" w:rsidP="00260886" w:rsidRDefault="00136551">
      <w:pPr>
        <w:pStyle w:val="ListParagraph"/>
        <w:numPr>
          <w:ilvl w:val="0"/>
          <w:numId w:val="4"/>
        </w:numPr>
        <w:contextualSpacing w:val="0"/>
      </w:pPr>
      <w:r w:rsidRPr="00B8186E">
        <w:rPr>
          <w:b/>
        </w:rPr>
        <w:t xml:space="preserve">Evaluate SHARE Effectiveness. </w:t>
      </w:r>
      <w:r w:rsidRPr="00B8186E">
        <w:t xml:space="preserve">To evaluate the effectiveness of the SHARE Approach at improving SDM in practices, we will conduct a </w:t>
      </w:r>
      <w:r w:rsidR="00CF38FE">
        <w:t>short</w:t>
      </w:r>
      <w:r w:rsidRPr="00B8186E">
        <w:t xml:space="preserve"> survey and audio record</w:t>
      </w:r>
      <w:r w:rsidR="00940C92">
        <w:t>ings of</w:t>
      </w:r>
      <w:r w:rsidRPr="00B8186E">
        <w:t xml:space="preserve"> clinical encounters. The survey and audio recordings will be conducted at three time points: in the month prior to SHARE implementation, in the month followin</w:t>
      </w:r>
      <w:r w:rsidR="00CF38FE">
        <w:t>g SHARE implementation, and approximately six months following implementation</w:t>
      </w:r>
      <w:r w:rsidRPr="00B8186E">
        <w:t xml:space="preserve">. The </w:t>
      </w:r>
      <w:r w:rsidR="00CF38FE">
        <w:t>short</w:t>
      </w:r>
      <w:r w:rsidRPr="00B8186E">
        <w:t xml:space="preserve"> survey will include responses from both patients</w:t>
      </w:r>
      <w:r w:rsidR="00CF38FE">
        <w:t xml:space="preserve"> and clinicians. It</w:t>
      </w:r>
      <w:r w:rsidRPr="00B8186E">
        <w:t xml:space="preserve"> will solicit patient and clinician perspectives on SDM in the encounter</w:t>
      </w:r>
      <w:r w:rsidR="00CF38FE">
        <w:t xml:space="preserve">. A sample of patient-provider interactions </w:t>
      </w:r>
      <w:r w:rsidR="00CF38FE">
        <w:lastRenderedPageBreak/>
        <w:t>at each time point will be</w:t>
      </w:r>
      <w:r w:rsidRPr="00B8186E">
        <w:t xml:space="preserve"> audio record</w:t>
      </w:r>
      <w:r w:rsidR="00CF38FE">
        <w:t>ed to objectively</w:t>
      </w:r>
      <w:r w:rsidRPr="00B8186E">
        <w:t xml:space="preserve"> evaluate whether SDM occurred using an a priori coding scheme.</w:t>
      </w:r>
    </w:p>
    <w:p w:rsidR="00632979" w:rsidP="00B8186E" w:rsidRDefault="00632979">
      <w:pPr>
        <w:spacing w:before="240"/>
      </w:pPr>
      <w:r w:rsidRPr="00632979">
        <w:t xml:space="preserve">The purpose of this clearance request is to </w:t>
      </w:r>
      <w:r>
        <w:t>collect the information needed to evaluate the implementation and effectiveness of the modified SHARE Approach materials. Specifically, the data collection activities requested in this clearance are:</w:t>
      </w:r>
    </w:p>
    <w:p w:rsidR="00632979" w:rsidP="00260886" w:rsidRDefault="00632979">
      <w:pPr>
        <w:numPr>
          <w:ilvl w:val="0"/>
          <w:numId w:val="7"/>
        </w:numPr>
        <w:tabs>
          <w:tab w:val="left" w:pos="360"/>
        </w:tabs>
        <w:spacing w:before="240"/>
      </w:pPr>
      <w:r>
        <w:t xml:space="preserve">A brief survey of physicians, advanced practice providers, other clinicians, nurses and other staff </w:t>
      </w:r>
      <w:r w:rsidR="00E54F28">
        <w:t xml:space="preserve">(clinicians) </w:t>
      </w:r>
      <w:r>
        <w:t>in 12 clinics following the SHARE Approach training in each clinic.</w:t>
      </w:r>
    </w:p>
    <w:p w:rsidR="000D32F2" w:rsidP="00260886" w:rsidRDefault="000D32F2">
      <w:pPr>
        <w:numPr>
          <w:ilvl w:val="0"/>
          <w:numId w:val="7"/>
        </w:numPr>
        <w:tabs>
          <w:tab w:val="left" w:pos="360"/>
        </w:tabs>
        <w:spacing w:before="240"/>
      </w:pPr>
      <w:r>
        <w:t xml:space="preserve">A brief survey of physicians, advanced practice providers, other clinicians, nurses and other staff </w:t>
      </w:r>
      <w:r w:rsidR="00E54F28">
        <w:t xml:space="preserve">(clinicians) </w:t>
      </w:r>
      <w:r>
        <w:t>in 12 clinics one month following the implementation of the SHARE Approach in each clinic.</w:t>
      </w:r>
    </w:p>
    <w:p w:rsidR="00632979" w:rsidP="00260886" w:rsidRDefault="00632979">
      <w:pPr>
        <w:numPr>
          <w:ilvl w:val="0"/>
          <w:numId w:val="7"/>
        </w:numPr>
        <w:tabs>
          <w:tab w:val="left" w:pos="360"/>
        </w:tabs>
        <w:spacing w:before="240"/>
      </w:pPr>
      <w:r>
        <w:t>A short survey completed by patients in the 12 clinics immediately following a clinic visit with a physician or advanced practice provider.</w:t>
      </w:r>
    </w:p>
    <w:p w:rsidR="00632979" w:rsidP="00260886" w:rsidRDefault="00632979">
      <w:pPr>
        <w:numPr>
          <w:ilvl w:val="0"/>
          <w:numId w:val="7"/>
        </w:numPr>
        <w:tabs>
          <w:tab w:val="left" w:pos="360"/>
        </w:tabs>
        <w:spacing w:before="240"/>
      </w:pPr>
      <w:r>
        <w:t>A short survey completed by physicians or advanced practice providers in the 12 clinics immediately following a clinic visit with a patient.</w:t>
      </w:r>
    </w:p>
    <w:p w:rsidRPr="00B8186E" w:rsidR="00632979" w:rsidP="00260886" w:rsidRDefault="00632979">
      <w:pPr>
        <w:numPr>
          <w:ilvl w:val="0"/>
          <w:numId w:val="7"/>
        </w:numPr>
        <w:tabs>
          <w:tab w:val="left" w:pos="360"/>
        </w:tabs>
        <w:spacing w:before="240"/>
      </w:pPr>
      <w:r>
        <w:t>Audio recordings of patient-provider (physician or advanced practice provider) encounters in clinic examination rooms</w:t>
      </w:r>
      <w:r w:rsidR="000D32F2">
        <w:t xml:space="preserve"> in the 12 clinics.</w:t>
      </w:r>
    </w:p>
    <w:p w:rsidR="00B645ED" w:rsidP="000D32F2" w:rsidRDefault="000D32F2">
      <w:pPr>
        <w:tabs>
          <w:tab w:val="left" w:pos="360"/>
        </w:tabs>
        <w:spacing w:before="240"/>
      </w:pPr>
      <w:r w:rsidRPr="00B8186E" w:rsidDel="00562FBD">
        <w:t xml:space="preserve">This </w:t>
      </w:r>
      <w:r w:rsidRPr="00B8186E">
        <w:t>project</w:t>
      </w:r>
      <w:r w:rsidRPr="00B8186E" w:rsidDel="00562FBD">
        <w:t xml:space="preserve"> is being conducted by AHRQ through its contractor, the University of Colorado, pursuant to AHRQ’s statutory authority to conduct and support research on health care and on systems for the delivery of such care, including activities with respect to the quality, effectiveness, efficiency, appropriateness and value of health care services and with respect to quality measurement and improvement.  42 U.S.C. </w:t>
      </w:r>
      <w:proofErr w:type="gramStart"/>
      <w:r w:rsidRPr="00B8186E" w:rsidDel="00562FBD">
        <w:t>299a(</w:t>
      </w:r>
      <w:proofErr w:type="gramEnd"/>
      <w:r w:rsidRPr="00B8186E" w:rsidDel="00562FBD">
        <w:t>a)(1) and (2).</w:t>
      </w:r>
    </w:p>
    <w:p w:rsidRPr="00983636" w:rsidR="009B633D" w:rsidP="00D71F39" w:rsidRDefault="009B633D">
      <w:pPr>
        <w:pStyle w:val="Heading2"/>
        <w:spacing w:after="120"/>
        <w:rPr>
          <w:sz w:val="24"/>
        </w:rPr>
      </w:pPr>
      <w:bookmarkStart w:name="_Toc151782177" w:id="9"/>
      <w:bookmarkStart w:name="_Toc158526217" w:id="10"/>
      <w:bookmarkStart w:name="_Toc32301336" w:id="11"/>
      <w:r w:rsidRPr="00983636">
        <w:rPr>
          <w:sz w:val="24"/>
        </w:rPr>
        <w:t>2. Purpose and Use of Information</w:t>
      </w:r>
      <w:bookmarkEnd w:id="9"/>
      <w:bookmarkEnd w:id="10"/>
      <w:bookmarkEnd w:id="11"/>
    </w:p>
    <w:p w:rsidRPr="000D32F2" w:rsidR="006E541D" w:rsidP="00D71F39" w:rsidRDefault="006E541D">
      <w:pPr>
        <w:rPr>
          <w:bCs/>
        </w:rPr>
      </w:pPr>
      <w:bookmarkStart w:name="_Toc151782178" w:id="12"/>
      <w:bookmarkStart w:name="_Toc158526218" w:id="13"/>
      <w:r w:rsidRPr="000D32F2">
        <w:rPr>
          <w:bCs/>
        </w:rPr>
        <w:t>Healthcare organizations have only recently begun to systematically incorporate shared decision</w:t>
      </w:r>
      <w:r w:rsidR="00702D25">
        <w:rPr>
          <w:bCs/>
        </w:rPr>
        <w:t xml:space="preserve"> </w:t>
      </w:r>
      <w:r w:rsidRPr="000D32F2">
        <w:rPr>
          <w:bCs/>
        </w:rPr>
        <w:t xml:space="preserve">making </w:t>
      </w:r>
      <w:r w:rsidR="00940C92">
        <w:rPr>
          <w:bCs/>
        </w:rPr>
        <w:t xml:space="preserve">(SDM) </w:t>
      </w:r>
      <w:r w:rsidRPr="000D32F2">
        <w:rPr>
          <w:bCs/>
        </w:rPr>
        <w:t xml:space="preserve">into </w:t>
      </w:r>
      <w:r w:rsidRPr="000D32F2" w:rsidR="000B3797">
        <w:rPr>
          <w:bCs/>
        </w:rPr>
        <w:t xml:space="preserve">clinical encounters involving </w:t>
      </w:r>
      <w:r w:rsidR="000D32F2">
        <w:rPr>
          <w:bCs/>
        </w:rPr>
        <w:t>treatment decision</w:t>
      </w:r>
      <w:r w:rsidR="00702D25">
        <w:rPr>
          <w:bCs/>
        </w:rPr>
        <w:t>s</w:t>
      </w:r>
      <w:r w:rsidRPr="000D32F2">
        <w:rPr>
          <w:bCs/>
        </w:rPr>
        <w:t xml:space="preserve">. To date, </w:t>
      </w:r>
      <w:r w:rsidRPr="000D32F2" w:rsidR="000B3797">
        <w:rPr>
          <w:bCs/>
        </w:rPr>
        <w:t>the SHARE Approach is unique in having developed</w:t>
      </w:r>
      <w:r w:rsidRPr="000D32F2">
        <w:rPr>
          <w:bCs/>
        </w:rPr>
        <w:t xml:space="preserve"> clinician-facing </w:t>
      </w:r>
      <w:r w:rsidRPr="000D32F2" w:rsidR="000B3797">
        <w:rPr>
          <w:bCs/>
        </w:rPr>
        <w:t xml:space="preserve">shared decision-making training and </w:t>
      </w:r>
      <w:r w:rsidRPr="000D32F2">
        <w:rPr>
          <w:bCs/>
        </w:rPr>
        <w:t>tools</w:t>
      </w:r>
      <w:r w:rsidRPr="000D32F2" w:rsidR="000B3797">
        <w:rPr>
          <w:bCs/>
        </w:rPr>
        <w:t xml:space="preserve"> that</w:t>
      </w:r>
      <w:r w:rsidRPr="000D32F2">
        <w:rPr>
          <w:bCs/>
        </w:rPr>
        <w:t xml:space="preserve"> encourage</w:t>
      </w:r>
      <w:r w:rsidRPr="000D32F2" w:rsidR="000B3797">
        <w:rPr>
          <w:bCs/>
        </w:rPr>
        <w:t xml:space="preserve"> </w:t>
      </w:r>
      <w:r w:rsidRPr="000D32F2">
        <w:rPr>
          <w:bCs/>
        </w:rPr>
        <w:t xml:space="preserve">a generic and </w:t>
      </w:r>
      <w:r w:rsidRPr="000D32F2" w:rsidR="00702D25">
        <w:rPr>
          <w:bCs/>
        </w:rPr>
        <w:t>highly generalizable</w:t>
      </w:r>
      <w:r w:rsidRPr="000D32F2">
        <w:rPr>
          <w:bCs/>
        </w:rPr>
        <w:t xml:space="preserve"> approach to shared decision</w:t>
      </w:r>
      <w:r w:rsidR="00702D25">
        <w:rPr>
          <w:bCs/>
        </w:rPr>
        <w:t xml:space="preserve"> </w:t>
      </w:r>
      <w:r w:rsidRPr="000D32F2">
        <w:rPr>
          <w:bCs/>
        </w:rPr>
        <w:t>making</w:t>
      </w:r>
      <w:r w:rsidRPr="000D32F2" w:rsidR="000B3797">
        <w:rPr>
          <w:bCs/>
        </w:rPr>
        <w:t xml:space="preserve"> in the context of both </w:t>
      </w:r>
      <w:r w:rsidRPr="000D32F2" w:rsidR="00955279">
        <w:rPr>
          <w:bCs/>
        </w:rPr>
        <w:t xml:space="preserve">clinical </w:t>
      </w:r>
      <w:r w:rsidR="000D32F2">
        <w:rPr>
          <w:bCs/>
        </w:rPr>
        <w:t>treatment decisions</w:t>
      </w:r>
      <w:r w:rsidRPr="000D32F2" w:rsidR="000B3797">
        <w:rPr>
          <w:bCs/>
        </w:rPr>
        <w:t xml:space="preserve"> and problem-solving</w:t>
      </w:r>
      <w:r w:rsidRPr="000D32F2">
        <w:rPr>
          <w:bCs/>
        </w:rPr>
        <w:t xml:space="preserve">. Only through systematic </w:t>
      </w:r>
      <w:r w:rsidRPr="000D32F2" w:rsidR="00955279">
        <w:rPr>
          <w:bCs/>
        </w:rPr>
        <w:t xml:space="preserve">implementation and </w:t>
      </w:r>
      <w:r w:rsidRPr="000D32F2">
        <w:rPr>
          <w:bCs/>
        </w:rPr>
        <w:t xml:space="preserve">evaluation of the SHARE Approach </w:t>
      </w:r>
      <w:r w:rsidRPr="000D32F2" w:rsidR="000B3797">
        <w:rPr>
          <w:bCs/>
        </w:rPr>
        <w:t xml:space="preserve">toolkit </w:t>
      </w:r>
      <w:r w:rsidRPr="000D32F2">
        <w:rPr>
          <w:bCs/>
        </w:rPr>
        <w:t xml:space="preserve">will we identify </w:t>
      </w:r>
      <w:r w:rsidRPr="000D32F2" w:rsidR="00955279">
        <w:rPr>
          <w:bCs/>
        </w:rPr>
        <w:t>effective implementation strategies</w:t>
      </w:r>
      <w:r w:rsidRPr="000D32F2">
        <w:rPr>
          <w:bCs/>
        </w:rPr>
        <w:t xml:space="preserve"> and whether </w:t>
      </w:r>
      <w:r w:rsidRPr="000D32F2" w:rsidR="00955279">
        <w:rPr>
          <w:bCs/>
        </w:rPr>
        <w:t>SHARE</w:t>
      </w:r>
      <w:r w:rsidRPr="000D32F2">
        <w:rPr>
          <w:bCs/>
        </w:rPr>
        <w:t xml:space="preserve"> is effective </w:t>
      </w:r>
      <w:r w:rsidR="000D32F2">
        <w:rPr>
          <w:bCs/>
        </w:rPr>
        <w:t>at</w:t>
      </w:r>
      <w:r w:rsidRPr="000D32F2">
        <w:rPr>
          <w:bCs/>
        </w:rPr>
        <w:t xml:space="preserve"> improving clinicians’ shared decision-making</w:t>
      </w:r>
      <w:r w:rsidRPr="000D32F2" w:rsidR="00955279">
        <w:rPr>
          <w:bCs/>
        </w:rPr>
        <w:t xml:space="preserve"> skills</w:t>
      </w:r>
      <w:r w:rsidRPr="000D32F2">
        <w:rPr>
          <w:bCs/>
        </w:rPr>
        <w:t>. The</w:t>
      </w:r>
      <w:r w:rsidRPr="000D32F2" w:rsidR="000B3797">
        <w:rPr>
          <w:bCs/>
        </w:rPr>
        <w:t>refore, the</w:t>
      </w:r>
      <w:r w:rsidRPr="000D32F2">
        <w:rPr>
          <w:bCs/>
        </w:rPr>
        <w:t xml:space="preserve"> planned implementation and evaluation of the SHARE Approach will provide the information needed to:</w:t>
      </w:r>
    </w:p>
    <w:p w:rsidRPr="000D32F2" w:rsidR="00136551" w:rsidP="00260886" w:rsidRDefault="000B3797">
      <w:pPr>
        <w:numPr>
          <w:ilvl w:val="0"/>
          <w:numId w:val="6"/>
        </w:numPr>
        <w:spacing w:before="240"/>
        <w:rPr>
          <w:bCs/>
        </w:rPr>
      </w:pPr>
      <w:r w:rsidRPr="000D32F2">
        <w:rPr>
          <w:bCs/>
        </w:rPr>
        <w:t>Revise</w:t>
      </w:r>
      <w:r w:rsidRPr="000D32F2" w:rsidR="00F17F6A">
        <w:rPr>
          <w:bCs/>
        </w:rPr>
        <w:t xml:space="preserve"> the SHARE Approach </w:t>
      </w:r>
      <w:r w:rsidRPr="000D32F2">
        <w:rPr>
          <w:bCs/>
        </w:rPr>
        <w:t xml:space="preserve">training </w:t>
      </w:r>
      <w:r w:rsidRPr="000D32F2" w:rsidR="00F17F6A">
        <w:rPr>
          <w:bCs/>
        </w:rPr>
        <w:t xml:space="preserve">materials </w:t>
      </w:r>
      <w:r w:rsidRPr="000D32F2" w:rsidR="00955279">
        <w:rPr>
          <w:bCs/>
        </w:rPr>
        <w:t>to facilitate implementation in primary and specialty care practice settings, and</w:t>
      </w:r>
      <w:r w:rsidRPr="000D32F2" w:rsidR="00F17F6A">
        <w:rPr>
          <w:bCs/>
        </w:rPr>
        <w:t xml:space="preserve"> </w:t>
      </w:r>
    </w:p>
    <w:p w:rsidRPr="000D32F2" w:rsidR="000B3797" w:rsidP="00260886" w:rsidRDefault="000B3797">
      <w:pPr>
        <w:numPr>
          <w:ilvl w:val="0"/>
          <w:numId w:val="6"/>
        </w:numPr>
        <w:spacing w:before="240"/>
        <w:rPr>
          <w:bCs/>
        </w:rPr>
      </w:pPr>
      <w:r w:rsidRPr="000D32F2">
        <w:rPr>
          <w:bCs/>
        </w:rPr>
        <w:t>E</w:t>
      </w:r>
      <w:r w:rsidRPr="000D32F2" w:rsidR="00F17F6A">
        <w:rPr>
          <w:bCs/>
        </w:rPr>
        <w:t>stablish effectiveness of the SHARE Approach for improving SDM in clinical encounters</w:t>
      </w:r>
      <w:r w:rsidRPr="000D32F2" w:rsidR="00955279">
        <w:rPr>
          <w:bCs/>
        </w:rPr>
        <w:t>.</w:t>
      </w:r>
    </w:p>
    <w:p w:rsidRPr="000D32F2" w:rsidR="000B3797" w:rsidP="000D32F2" w:rsidRDefault="000B3797">
      <w:pPr>
        <w:spacing w:before="240"/>
        <w:rPr>
          <w:bCs/>
        </w:rPr>
      </w:pPr>
      <w:r w:rsidRPr="000D32F2">
        <w:rPr>
          <w:bCs/>
        </w:rPr>
        <w:lastRenderedPageBreak/>
        <w:t>The findings from this research will be used, along with other activities described in Section 1, to identify implementation feasibility of the SHARE Approach, provide recommendations for improvements to the toolkit, and establish effectiven</w:t>
      </w:r>
      <w:r w:rsidRPr="000D32F2" w:rsidR="00604040">
        <w:rPr>
          <w:bCs/>
        </w:rPr>
        <w:t>e</w:t>
      </w:r>
      <w:r w:rsidRPr="000D32F2">
        <w:rPr>
          <w:bCs/>
        </w:rPr>
        <w:t>ss of the approach for improving shared decision</w:t>
      </w:r>
      <w:r w:rsidR="000F3A1C">
        <w:rPr>
          <w:bCs/>
        </w:rPr>
        <w:t xml:space="preserve"> </w:t>
      </w:r>
      <w:r w:rsidRPr="000D32F2">
        <w:rPr>
          <w:bCs/>
        </w:rPr>
        <w:t xml:space="preserve">making. </w:t>
      </w:r>
      <w:r w:rsidRPr="000D32F2" w:rsidR="00955279">
        <w:rPr>
          <w:bCs/>
        </w:rPr>
        <w:t xml:space="preserve">If the SHARE </w:t>
      </w:r>
      <w:r w:rsidR="000F3A1C">
        <w:rPr>
          <w:bCs/>
        </w:rPr>
        <w:t>A</w:t>
      </w:r>
      <w:r w:rsidRPr="000D32F2" w:rsidR="00955279">
        <w:rPr>
          <w:bCs/>
        </w:rPr>
        <w:t xml:space="preserve">pproach proves to be a valid and reliable method for improving SDM it will be </w:t>
      </w:r>
      <w:r w:rsidR="000F3A1C">
        <w:rPr>
          <w:bCs/>
        </w:rPr>
        <w:t xml:space="preserve">further </w:t>
      </w:r>
      <w:r w:rsidRPr="000D32F2" w:rsidR="00955279">
        <w:rPr>
          <w:bCs/>
        </w:rPr>
        <w:t>disseminated by AHRQ to support health care organizations in their efforts to improve SDM nationwide.</w:t>
      </w:r>
    </w:p>
    <w:p w:rsidRPr="00983636" w:rsidR="009B633D" w:rsidP="00D71F39" w:rsidRDefault="009B633D">
      <w:pPr>
        <w:pStyle w:val="Heading2"/>
        <w:spacing w:after="120"/>
        <w:rPr>
          <w:sz w:val="24"/>
        </w:rPr>
      </w:pPr>
      <w:bookmarkStart w:name="_Toc32301337" w:id="14"/>
      <w:r w:rsidRPr="00983636">
        <w:rPr>
          <w:sz w:val="24"/>
        </w:rPr>
        <w:t>3. Use of Improved Information Technology</w:t>
      </w:r>
      <w:bookmarkEnd w:id="12"/>
      <w:bookmarkEnd w:id="13"/>
      <w:bookmarkEnd w:id="14"/>
    </w:p>
    <w:p w:rsidR="00301552" w:rsidP="0092361B" w:rsidRDefault="00301552">
      <w:pPr>
        <w:tabs>
          <w:tab w:val="left" w:pos="360"/>
        </w:tabs>
      </w:pPr>
      <w:bookmarkStart w:name="_Toc151782179" w:id="15"/>
      <w:bookmarkStart w:name="_Toc158526219" w:id="16"/>
      <w:r>
        <w:rPr>
          <w:color w:val="000000"/>
        </w:rPr>
        <w:t>The clinician and staff surveys will be</w:t>
      </w:r>
      <w:r w:rsidRPr="004C58C7">
        <w:rPr>
          <w:color w:val="000000"/>
        </w:rPr>
        <w:t xml:space="preserve"> complete</w:t>
      </w:r>
      <w:r>
        <w:rPr>
          <w:color w:val="000000"/>
        </w:rPr>
        <w:t>d</w:t>
      </w:r>
      <w:r w:rsidRPr="004C58C7">
        <w:rPr>
          <w:color w:val="000000"/>
        </w:rPr>
        <w:t xml:space="preserve"> immediately prior </w:t>
      </w:r>
      <w:r>
        <w:rPr>
          <w:color w:val="000000"/>
        </w:rPr>
        <w:t xml:space="preserve">to the SHARE Approach training, </w:t>
      </w:r>
      <w:r w:rsidRPr="004C58C7">
        <w:rPr>
          <w:color w:val="000000"/>
        </w:rPr>
        <w:t>immediately following the training</w:t>
      </w:r>
      <w:r>
        <w:rPr>
          <w:color w:val="000000"/>
        </w:rPr>
        <w:t xml:space="preserve">, and </w:t>
      </w:r>
      <w:r w:rsidR="00C05DDA">
        <w:rPr>
          <w:color w:val="000000"/>
        </w:rPr>
        <w:t>one to two</w:t>
      </w:r>
      <w:r>
        <w:rPr>
          <w:color w:val="000000"/>
        </w:rPr>
        <w:t xml:space="preserve"> months after the training</w:t>
      </w:r>
      <w:r w:rsidR="000F3A1C">
        <w:rPr>
          <w:color w:val="000000"/>
        </w:rPr>
        <w:t>.</w:t>
      </w:r>
    </w:p>
    <w:p w:rsidRPr="00DE7E85" w:rsidR="00DE7E85" w:rsidP="0092361B" w:rsidRDefault="00301552">
      <w:pPr>
        <w:tabs>
          <w:tab w:val="left" w:pos="360"/>
        </w:tabs>
      </w:pPr>
      <w:r>
        <w:t xml:space="preserve">The surveys </w:t>
      </w:r>
      <w:r w:rsidR="00450420">
        <w:t xml:space="preserve">will </w:t>
      </w:r>
      <w:r>
        <w:t xml:space="preserve">be conducted </w:t>
      </w:r>
      <w:r w:rsidR="0077506A">
        <w:t>using multiple</w:t>
      </w:r>
      <w:r w:rsidR="00D81F4C">
        <w:t xml:space="preserve"> modes including an email request to complete </w:t>
      </w:r>
      <w:r w:rsidR="00450420">
        <w:t xml:space="preserve">an online survey </w:t>
      </w:r>
      <w:r w:rsidR="00D81F4C">
        <w:t>form</w:t>
      </w:r>
      <w:r w:rsidR="00450420">
        <w:t xml:space="preserve">. </w:t>
      </w:r>
      <w:r w:rsidR="00D81F4C">
        <w:t>In addition to in-person trainings, w</w:t>
      </w:r>
      <w:r w:rsidR="00450420">
        <w:t>ebinars will be hosted using Zoom video conference call technology</w:t>
      </w:r>
      <w:r w:rsidR="00D81F4C">
        <w:t xml:space="preserve"> to maximize the number of clinicians and staff exposed to the SHARE Approach training</w:t>
      </w:r>
      <w:r w:rsidR="00450420">
        <w:t xml:space="preserve">. </w:t>
      </w:r>
      <w:r w:rsidR="00D81F4C">
        <w:t>After obtaining patient consent, a</w:t>
      </w:r>
      <w:r w:rsidR="00450420">
        <w:t xml:space="preserve">udio recordings will be conducted using a small digital recording device. </w:t>
      </w:r>
    </w:p>
    <w:p w:rsidR="009B633D" w:rsidP="00D71F39" w:rsidRDefault="009B633D">
      <w:pPr>
        <w:pStyle w:val="Heading2"/>
        <w:spacing w:after="120"/>
        <w:rPr>
          <w:sz w:val="24"/>
        </w:rPr>
      </w:pPr>
      <w:bookmarkStart w:name="_Toc32301338" w:id="17"/>
      <w:r w:rsidRPr="00983636">
        <w:rPr>
          <w:sz w:val="24"/>
        </w:rPr>
        <w:t>4. Efforts to Identify Duplication</w:t>
      </w:r>
      <w:bookmarkEnd w:id="15"/>
      <w:bookmarkEnd w:id="16"/>
      <w:bookmarkEnd w:id="17"/>
    </w:p>
    <w:p w:rsidR="007E4359" w:rsidP="007E4359" w:rsidRDefault="000E4E72">
      <w:r w:rsidRPr="00085962">
        <w:t>T</w:t>
      </w:r>
      <w:r w:rsidR="004A0DB4">
        <w:t>here are</w:t>
      </w:r>
      <w:r w:rsidRPr="00085962">
        <w:t xml:space="preserve"> no </w:t>
      </w:r>
      <w:r w:rsidR="00D81F4C">
        <w:t xml:space="preserve">existing </w:t>
      </w:r>
      <w:r w:rsidR="004A0DB4">
        <w:t xml:space="preserve">data assessing the </w:t>
      </w:r>
      <w:r w:rsidR="00450420">
        <w:t xml:space="preserve">implementation and effectiveness of </w:t>
      </w:r>
      <w:r w:rsidR="004A0DB4">
        <w:t xml:space="preserve">the </w:t>
      </w:r>
      <w:r w:rsidR="00450420">
        <w:t xml:space="preserve">SHARE Approach in primary care or </w:t>
      </w:r>
      <w:r w:rsidR="004A0DB4">
        <w:t xml:space="preserve">specialty care ambulatory </w:t>
      </w:r>
      <w:r w:rsidR="00450420">
        <w:t xml:space="preserve">clinics. </w:t>
      </w:r>
      <w:r w:rsidRPr="004A0DB4" w:rsidR="004A0DB4">
        <w:t xml:space="preserve">Work carried out under this clearance will be designed to </w:t>
      </w:r>
      <w:r w:rsidR="004A0DB4">
        <w:t>evaluate the implementation and effectiveness of</w:t>
      </w:r>
      <w:r w:rsidRPr="004A0DB4" w:rsidR="004A0DB4">
        <w:t xml:space="preserve"> the program and </w:t>
      </w:r>
      <w:r w:rsidR="004A0DB4">
        <w:t xml:space="preserve">will </w:t>
      </w:r>
      <w:r w:rsidRPr="004A0DB4" w:rsidR="004A0DB4">
        <w:t xml:space="preserve">not duplicate any other evaluation or testing of </w:t>
      </w:r>
      <w:r w:rsidR="004A0DB4">
        <w:t>the SHARE Approach sponsored</w:t>
      </w:r>
      <w:r w:rsidRPr="004A0DB4" w:rsidR="004A0DB4">
        <w:t xml:space="preserve"> by AHRQ or other Federal agencies.</w:t>
      </w:r>
      <w:r w:rsidR="004A0DB4">
        <w:t xml:space="preserve"> </w:t>
      </w:r>
      <w:r w:rsidRPr="00085962">
        <w:t>This is known from direct communication</w:t>
      </w:r>
      <w:r w:rsidRPr="00351758">
        <w:t xml:space="preserve"> with </w:t>
      </w:r>
      <w:r w:rsidR="00450420">
        <w:t>AHRQ</w:t>
      </w:r>
      <w:r w:rsidRPr="00351758">
        <w:t xml:space="preserve"> leadership, which would </w:t>
      </w:r>
      <w:r w:rsidR="00450420">
        <w:t>likely</w:t>
      </w:r>
      <w:r w:rsidRPr="00351758">
        <w:t xml:space="preserve"> be involved in any such research efforts</w:t>
      </w:r>
      <w:r w:rsidR="00450420">
        <w:t xml:space="preserve">, and from literature searches conducted prior to submission of this </w:t>
      </w:r>
      <w:r w:rsidR="004A0DB4">
        <w:t>information clearance request</w:t>
      </w:r>
      <w:r w:rsidRPr="00351758">
        <w:t xml:space="preserve">. </w:t>
      </w:r>
    </w:p>
    <w:p w:rsidRPr="00983636" w:rsidR="009B633D" w:rsidP="00D71F39" w:rsidRDefault="009B633D">
      <w:pPr>
        <w:pStyle w:val="Heading2"/>
        <w:spacing w:after="120"/>
        <w:rPr>
          <w:sz w:val="24"/>
        </w:rPr>
      </w:pPr>
      <w:bookmarkStart w:name="_Toc151782180" w:id="18"/>
      <w:bookmarkStart w:name="_Toc158526220" w:id="19"/>
      <w:bookmarkStart w:name="_Toc32301339" w:id="20"/>
      <w:r w:rsidRPr="00983636">
        <w:rPr>
          <w:sz w:val="24"/>
        </w:rPr>
        <w:t>5. Involvement of Small Entities</w:t>
      </w:r>
      <w:bookmarkEnd w:id="18"/>
      <w:bookmarkEnd w:id="19"/>
      <w:bookmarkEnd w:id="20"/>
    </w:p>
    <w:p w:rsidRPr="00A95A7E" w:rsidR="00A95A7E" w:rsidP="00A95A7E" w:rsidRDefault="004514E8">
      <w:r w:rsidRPr="004514E8">
        <w:t xml:space="preserve">Although </w:t>
      </w:r>
      <w:r>
        <w:t>we anticipate most</w:t>
      </w:r>
      <w:r w:rsidRPr="004514E8">
        <w:t xml:space="preserve"> of the </w:t>
      </w:r>
      <w:r>
        <w:t xml:space="preserve">primary care and specialty practices will be </w:t>
      </w:r>
      <w:r w:rsidR="00E36C10">
        <w:t xml:space="preserve">part of larger </w:t>
      </w:r>
      <w:r w:rsidRPr="004514E8">
        <w:t>health care organizations</w:t>
      </w:r>
      <w:r w:rsidR="00E36C10">
        <w:t xml:space="preserve">, </w:t>
      </w:r>
      <w:r w:rsidRPr="004514E8">
        <w:t xml:space="preserve">our purposive sampling will include one </w:t>
      </w:r>
      <w:r w:rsidR="007135D8">
        <w:t>to three</w:t>
      </w:r>
      <w:r w:rsidRPr="004514E8">
        <w:t xml:space="preserve"> small </w:t>
      </w:r>
      <w:r w:rsidR="00E36C10">
        <w:t xml:space="preserve">private practices that are not affiliated with large </w:t>
      </w:r>
      <w:r w:rsidR="007135D8">
        <w:t xml:space="preserve">health care </w:t>
      </w:r>
      <w:r w:rsidR="00E36C10">
        <w:t xml:space="preserve">organizations. </w:t>
      </w:r>
      <w:r w:rsidRPr="004514E8">
        <w:t xml:space="preserve">The same information will be requested from all selected respondents, but smaller </w:t>
      </w:r>
      <w:r w:rsidR="00E36C10">
        <w:t>private practices</w:t>
      </w:r>
      <w:r w:rsidRPr="004514E8">
        <w:t xml:space="preserve"> are likely to have fewer </w:t>
      </w:r>
      <w:r w:rsidR="00E36C10">
        <w:t>clinicians and staff</w:t>
      </w:r>
      <w:r w:rsidR="007135D8">
        <w:t>;</w:t>
      </w:r>
      <w:r w:rsidRPr="004514E8">
        <w:t xml:space="preserve"> thus</w:t>
      </w:r>
      <w:r w:rsidR="007135D8">
        <w:t>,</w:t>
      </w:r>
      <w:r w:rsidRPr="004514E8">
        <w:t xml:space="preserve"> the reporting burden is expected to be </w:t>
      </w:r>
      <w:r w:rsidR="007135D8">
        <w:t xml:space="preserve">less for these </w:t>
      </w:r>
      <w:r w:rsidRPr="004514E8">
        <w:t>small</w:t>
      </w:r>
      <w:r w:rsidR="007135D8">
        <w:t xml:space="preserve"> entities</w:t>
      </w:r>
      <w:r w:rsidRPr="004514E8">
        <w:t>. The information being requested from all respondents is the minimum required to achieve the project objectives.</w:t>
      </w:r>
    </w:p>
    <w:p w:rsidRPr="00983636" w:rsidR="009B633D" w:rsidP="00D71F39" w:rsidRDefault="009B633D">
      <w:pPr>
        <w:pStyle w:val="Heading2"/>
        <w:spacing w:after="120"/>
        <w:rPr>
          <w:sz w:val="24"/>
        </w:rPr>
      </w:pPr>
      <w:bookmarkStart w:name="_Toc151782181" w:id="21"/>
      <w:bookmarkStart w:name="_Toc158526221" w:id="22"/>
      <w:bookmarkStart w:name="_Toc32301340" w:id="23"/>
      <w:r w:rsidRPr="00983636">
        <w:rPr>
          <w:sz w:val="24"/>
        </w:rPr>
        <w:t>6. Consequences if Information Collected Less Frequently</w:t>
      </w:r>
      <w:bookmarkEnd w:id="21"/>
      <w:bookmarkEnd w:id="22"/>
      <w:bookmarkEnd w:id="23"/>
    </w:p>
    <w:p w:rsidR="007470B8" w:rsidP="007470B8" w:rsidRDefault="007135D8">
      <w:bookmarkStart w:name="_Toc151782182" w:id="24"/>
      <w:bookmarkStart w:name="_Toc158526222" w:id="25"/>
      <w:r>
        <w:rPr>
          <w:color w:val="000000"/>
        </w:rPr>
        <w:t>The evaluation of the implementation and effectiveness of the SHARE Approach is a one-time activity that involves collection of data at three time points for each of the 12 practices implementing the SHARE Approach</w:t>
      </w:r>
      <w:r w:rsidRPr="005C1895" w:rsidR="000E4E72">
        <w:rPr>
          <w:color w:val="000000"/>
        </w:rPr>
        <w:t>.</w:t>
      </w:r>
      <w:r>
        <w:rPr>
          <w:color w:val="000000"/>
        </w:rPr>
        <w:t xml:space="preserve"> Data are collected immediately before and while the practice clinicians and staff participate in the training on the SHARE Approach, one month following the impl</w:t>
      </w:r>
      <w:r w:rsidR="00A15FA8">
        <w:rPr>
          <w:color w:val="000000"/>
        </w:rPr>
        <w:t>ementation and again approximately six months after implementation. A reliable and rigorous evaluation of the effectiveness of the SHARE Approach to SDM requires data collection before and after implementation to conduct a pre/post evaluation design to evaluate the implementation and maintenance of effectiveness. Less frequent data collection would significantly threaten the reliability and validity of the evaluation.</w:t>
      </w:r>
    </w:p>
    <w:p w:rsidR="009B633D" w:rsidP="00D71F39" w:rsidRDefault="009B633D">
      <w:pPr>
        <w:pStyle w:val="Heading2"/>
        <w:spacing w:after="120"/>
        <w:rPr>
          <w:sz w:val="24"/>
        </w:rPr>
      </w:pPr>
      <w:bookmarkStart w:name="_Toc32301341" w:id="26"/>
      <w:r w:rsidRPr="00412C6F">
        <w:rPr>
          <w:sz w:val="24"/>
        </w:rPr>
        <w:lastRenderedPageBreak/>
        <w:t>7. Special Circumstances</w:t>
      </w:r>
      <w:bookmarkEnd w:id="24"/>
      <w:bookmarkEnd w:id="25"/>
      <w:bookmarkEnd w:id="26"/>
    </w:p>
    <w:p w:rsidR="009B633D" w:rsidP="00D71F39" w:rsidRDefault="000E4E72">
      <w:r w:rsidRPr="005C1895">
        <w:t>This request is consistent with the general information collection guidelines of 5 CFR 1320.5(d</w:t>
      </w:r>
      <w:proofErr w:type="gramStart"/>
      <w:r w:rsidRPr="005C1895">
        <w:t>)(</w:t>
      </w:r>
      <w:proofErr w:type="gramEnd"/>
      <w:r w:rsidRPr="005C1895">
        <w:t>2).  No special circumstances apply.</w:t>
      </w:r>
      <w:r w:rsidR="007135D8">
        <w:t xml:space="preserve"> </w:t>
      </w:r>
    </w:p>
    <w:p w:rsidR="004E3A1B" w:rsidP="00D71F39" w:rsidRDefault="009B633D">
      <w:pPr>
        <w:pStyle w:val="Heading2"/>
        <w:spacing w:after="120"/>
        <w:rPr>
          <w:sz w:val="24"/>
          <w:szCs w:val="24"/>
        </w:rPr>
      </w:pPr>
      <w:bookmarkStart w:name="_Toc151782183" w:id="27"/>
      <w:bookmarkStart w:name="_Toc158526223" w:id="28"/>
      <w:bookmarkStart w:name="_Toc32301342" w:id="29"/>
      <w:r w:rsidRPr="00412C6F">
        <w:rPr>
          <w:sz w:val="24"/>
        </w:rPr>
        <w:t>8.</w:t>
      </w:r>
      <w:r w:rsidRPr="004E3A1B">
        <w:rPr>
          <w:sz w:val="24"/>
          <w:szCs w:val="24"/>
        </w:rPr>
        <w:t xml:space="preserve"> </w:t>
      </w:r>
      <w:bookmarkEnd w:id="27"/>
      <w:bookmarkEnd w:id="28"/>
      <w:r w:rsidRPr="004E3A1B" w:rsidR="004E3A1B">
        <w:rPr>
          <w:sz w:val="24"/>
          <w:szCs w:val="24"/>
        </w:rPr>
        <w:t>Federal Register Notice and Outside Consultations</w:t>
      </w:r>
      <w:bookmarkEnd w:id="29"/>
    </w:p>
    <w:p w:rsidR="00131443" w:rsidP="004D348D" w:rsidRDefault="004E3A1B">
      <w:pPr>
        <w:pStyle w:val="Heading3"/>
      </w:pPr>
      <w:bookmarkStart w:name="_Toc32301343" w:id="30"/>
      <w:proofErr w:type="gramStart"/>
      <w:r w:rsidRPr="004E3A1B">
        <w:t>8.a</w:t>
      </w:r>
      <w:proofErr w:type="gramEnd"/>
      <w:r w:rsidRPr="004E3A1B">
        <w:t>.</w:t>
      </w:r>
      <w:r>
        <w:t xml:space="preserve"> </w:t>
      </w:r>
      <w:r w:rsidRPr="004E3A1B">
        <w:t xml:space="preserve">Federal </w:t>
      </w:r>
      <w:r w:rsidRPr="00AE7D70">
        <w:t>Register</w:t>
      </w:r>
      <w:r w:rsidRPr="004E3A1B">
        <w:t xml:space="preserve"> Notice</w:t>
      </w:r>
      <w:bookmarkEnd w:id="30"/>
    </w:p>
    <w:p w:rsidRPr="004E3A1B" w:rsidR="00F30855" w:rsidP="00F30855" w:rsidRDefault="00F30855">
      <w:r w:rsidRPr="00883D7C">
        <w:t xml:space="preserve"> In accordance with the Paperwork Reduction Act of 1995 (Pub. L. 104-13) and Office of Management and Budget (OMB) regulations at 5 CFR Part 1320 (60 FR 44978, August 29, 1995), AHRQ published a notice in the Federal Register announcing the agency’s intention to request an OMB review of this information collection activity. This notice was published on February 4, 2020, Volume 85, Number 23, page</w:t>
      </w:r>
      <w:r w:rsidR="006575F9">
        <w:t>s</w:t>
      </w:r>
      <w:r w:rsidRPr="00883D7C">
        <w:t xml:space="preserve"> 6193-6194, and provided a sixty-day period for public comment. A copy of this notice is attached as Attachment A. During the notice and comment period, AHRQ received no requests for information or substantive comments.</w:t>
      </w:r>
    </w:p>
    <w:p w:rsidRPr="004E3A1B" w:rsidR="000E4E72" w:rsidP="004E3A1B" w:rsidRDefault="000E4E72"/>
    <w:p w:rsidRPr="003A6747" w:rsidR="009B633D" w:rsidP="004D348D" w:rsidRDefault="004E3A1B">
      <w:pPr>
        <w:pStyle w:val="Heading3"/>
      </w:pPr>
      <w:bookmarkStart w:name="_Toc32301344" w:id="31"/>
      <w:proofErr w:type="gramStart"/>
      <w:r w:rsidRPr="003A6747">
        <w:t>8.b</w:t>
      </w:r>
      <w:proofErr w:type="gramEnd"/>
      <w:r w:rsidRPr="003A6747">
        <w:t>.  Outside Consultations</w:t>
      </w:r>
      <w:bookmarkEnd w:id="31"/>
    </w:p>
    <w:p w:rsidR="0092361B" w:rsidP="00D71F39" w:rsidRDefault="000E4E72">
      <w:pPr>
        <w:spacing w:after="240"/>
      </w:pPr>
      <w:bookmarkStart w:name="_Toc457285506" w:id="32"/>
      <w:bookmarkStart w:name="_Toc58725294" w:id="33"/>
      <w:bookmarkStart w:name="_Toc151782184" w:id="34"/>
      <w:bookmarkStart w:name="_Toc158526224" w:id="35"/>
      <w:r w:rsidRPr="003A6747">
        <w:t>During the</w:t>
      </w:r>
      <w:r w:rsidRPr="003A6747" w:rsidR="0003485F">
        <w:t xml:space="preserve"> initial</w:t>
      </w:r>
      <w:r w:rsidRPr="003A6747" w:rsidR="008C5E4E">
        <w:t xml:space="preserve"> revision phase of the SHARE Approach Evaluation, </w:t>
      </w:r>
      <w:r w:rsidR="0092361B">
        <w:t>AHRQ and the University of Colorado will engage up to five (5)</w:t>
      </w:r>
      <w:r w:rsidRPr="003A6747" w:rsidR="008C5E4E">
        <w:t xml:space="preserve"> clinician consultants</w:t>
      </w:r>
      <w:r w:rsidR="0092361B">
        <w:t xml:space="preserve"> that</w:t>
      </w:r>
      <w:r w:rsidRPr="003A6747" w:rsidR="003A6747">
        <w:t xml:space="preserve"> </w:t>
      </w:r>
      <w:r w:rsidR="0092361B">
        <w:t xml:space="preserve">have </w:t>
      </w:r>
      <w:r w:rsidRPr="003A6747" w:rsidR="003A6747">
        <w:t>experience implementing</w:t>
      </w:r>
      <w:r w:rsidR="0092361B">
        <w:t xml:space="preserve"> the</w:t>
      </w:r>
      <w:r w:rsidRPr="003A6747" w:rsidR="003A6747">
        <w:t xml:space="preserve"> SHARE</w:t>
      </w:r>
      <w:r w:rsidR="0092361B">
        <w:t xml:space="preserve"> Approach in their encounters with patients. These five consultants will </w:t>
      </w:r>
      <w:r w:rsidRPr="003A6747" w:rsidR="0092361B">
        <w:t xml:space="preserve">review the SHARE Approach training materials and toolkits and provide feedback for shortening, improving, and increasing relevance of the materials </w:t>
      </w:r>
      <w:r w:rsidR="0092361B">
        <w:t xml:space="preserve">based on their experience using the materials. </w:t>
      </w:r>
    </w:p>
    <w:p w:rsidR="00270F74" w:rsidP="00270F74" w:rsidRDefault="00244FBA">
      <w:pPr>
        <w:spacing w:before="240"/>
      </w:pPr>
      <w:r w:rsidRPr="00244FBA">
        <w:t>To ensure the perspectives of diverse stakeholders are represented</w:t>
      </w:r>
      <w:r>
        <w:t>,</w:t>
      </w:r>
      <w:r w:rsidRPr="00244FBA">
        <w:t xml:space="preserve"> </w:t>
      </w:r>
      <w:r>
        <w:t xml:space="preserve">the University of Colorado will also coordinate and receive feedback from up to nine (9) clinician stakeholders and members of standing patient advisory groups. The clinician stakeholders will </w:t>
      </w:r>
      <w:r w:rsidRPr="00244FBA">
        <w:t xml:space="preserve">review the SHARE Approach training materials and toolkits and provide feedback for shortening, improving, and increasing relevance of the materials </w:t>
      </w:r>
      <w:r w:rsidRPr="003A6747" w:rsidR="0092361B">
        <w:t>for shared decision making in the context of complex problem solving</w:t>
      </w:r>
      <w:r>
        <w:t xml:space="preserve">. The patient advisory groups will </w:t>
      </w:r>
      <w:r w:rsidR="00270F74">
        <w:t>represent</w:t>
      </w:r>
      <w:r w:rsidRPr="00270F74" w:rsidR="00270F74">
        <w:t xml:space="preserve"> a diverse array of perspectives</w:t>
      </w:r>
      <w:r>
        <w:t xml:space="preserve"> </w:t>
      </w:r>
      <w:r w:rsidRPr="003A6747" w:rsidR="0092361B">
        <w:t xml:space="preserve">(e.g. patients with </w:t>
      </w:r>
      <w:r w:rsidR="00270F74">
        <w:t xml:space="preserve">different </w:t>
      </w:r>
      <w:r w:rsidRPr="003A6747" w:rsidR="0092361B">
        <w:t>co-morbidities)</w:t>
      </w:r>
      <w:r w:rsidR="00270F74">
        <w:t xml:space="preserve"> and provide </w:t>
      </w:r>
      <w:r w:rsidRPr="003A6747" w:rsidR="00270F74">
        <w:t>feedback and recommendations for improving the SHARE Approach</w:t>
      </w:r>
      <w:r w:rsidR="00270F74">
        <w:t xml:space="preserve"> materials that is needed to implement effective shared decision making</w:t>
      </w:r>
      <w:r w:rsidRPr="003A6747" w:rsidR="0092361B">
        <w:t xml:space="preserve">. </w:t>
      </w:r>
    </w:p>
    <w:p w:rsidRPr="003A6747" w:rsidR="0038217D" w:rsidP="00270F74" w:rsidRDefault="009B633D">
      <w:pPr>
        <w:spacing w:before="240" w:after="120"/>
        <w:rPr>
          <w:rFonts w:ascii="Arial" w:hAnsi="Arial" w:cs="Arial"/>
          <w:b/>
        </w:rPr>
      </w:pPr>
      <w:r w:rsidRPr="003A6747">
        <w:rPr>
          <w:rFonts w:ascii="Arial" w:hAnsi="Arial" w:cs="Arial"/>
          <w:b/>
        </w:rPr>
        <w:t>9. Payments/Gifts to Respondents</w:t>
      </w:r>
      <w:bookmarkEnd w:id="32"/>
      <w:bookmarkEnd w:id="33"/>
      <w:bookmarkEnd w:id="34"/>
      <w:bookmarkEnd w:id="35"/>
    </w:p>
    <w:p w:rsidRPr="005C1895" w:rsidR="000E4E72" w:rsidP="00665376" w:rsidRDefault="008C5E4E">
      <w:r w:rsidRPr="003A6747">
        <w:t xml:space="preserve">Patients agreeing to participate in clinical encounter audio recordings will be </w:t>
      </w:r>
      <w:r w:rsidRPr="003A6747" w:rsidR="000E4E72">
        <w:t>offered a $</w:t>
      </w:r>
      <w:r w:rsidRPr="003A6747">
        <w:t>25</w:t>
      </w:r>
      <w:r w:rsidRPr="003A6747" w:rsidR="000E4E72">
        <w:t xml:space="preserve"> </w:t>
      </w:r>
      <w:r w:rsidR="00270F74">
        <w:t xml:space="preserve">Amazon </w:t>
      </w:r>
      <w:r w:rsidRPr="003A6747" w:rsidR="000E4E72">
        <w:t xml:space="preserve">gift card as a token of appreciation for their time and participation in the </w:t>
      </w:r>
      <w:r w:rsidRPr="003A6747">
        <w:t>study</w:t>
      </w:r>
      <w:r w:rsidRPr="003A6747" w:rsidR="000E4E72">
        <w:t>. This decision</w:t>
      </w:r>
      <w:r w:rsidRPr="005C1895" w:rsidR="000E4E72">
        <w:t xml:space="preserve"> is based on experience with other AHRQ data collection</w:t>
      </w:r>
      <w:r w:rsidR="00D81EDA">
        <w:t xml:space="preserve"> and</w:t>
      </w:r>
      <w:r w:rsidRPr="005C1895" w:rsidR="000E4E72">
        <w:t xml:space="preserve"> findings from the published literature</w:t>
      </w:r>
      <w:r w:rsidR="00E454D6">
        <w:t xml:space="preserve"> showing that modest incentives can improve response rates (Ryu, Couper &amp; Marans, 2006</w:t>
      </w:r>
      <w:r w:rsidR="00817A5A">
        <w:t>)</w:t>
      </w:r>
      <w:r>
        <w:t>.</w:t>
      </w:r>
      <w:r w:rsidR="00665376">
        <w:rPr>
          <w:rStyle w:val="FootnoteReference"/>
        </w:rPr>
        <w:footnoteReference w:id="1"/>
      </w:r>
      <w:r>
        <w:t xml:space="preserve"> Card survey respondents will not be provided an incentive due to the </w:t>
      </w:r>
      <w:r w:rsidR="00270F74">
        <w:t>very low burden</w:t>
      </w:r>
      <w:r>
        <w:t xml:space="preserve"> of the survey. </w:t>
      </w:r>
      <w:r w:rsidRPr="005C1895" w:rsidR="000E4E72">
        <w:t xml:space="preserve"> </w:t>
      </w:r>
    </w:p>
    <w:p w:rsidRPr="00412C6F" w:rsidR="009B633D" w:rsidP="00270F74" w:rsidRDefault="009B633D">
      <w:pPr>
        <w:pStyle w:val="Heading2"/>
        <w:spacing w:after="120"/>
        <w:rPr>
          <w:sz w:val="24"/>
        </w:rPr>
      </w:pPr>
      <w:bookmarkStart w:name="_Toc151782185" w:id="36"/>
      <w:bookmarkStart w:name="_Toc158526225" w:id="37"/>
      <w:bookmarkStart w:name="_Toc32301345" w:id="38"/>
      <w:r w:rsidRPr="00412C6F">
        <w:rPr>
          <w:sz w:val="24"/>
        </w:rPr>
        <w:lastRenderedPageBreak/>
        <w:t>10. Assurance of Confidentiality</w:t>
      </w:r>
      <w:bookmarkEnd w:id="36"/>
      <w:bookmarkEnd w:id="37"/>
      <w:bookmarkEnd w:id="38"/>
    </w:p>
    <w:p w:rsidRPr="005C1895" w:rsidR="000E4E72" w:rsidP="000E4E72" w:rsidRDefault="000E4E72">
      <w:pPr>
        <w:autoSpaceDE w:val="0"/>
        <w:autoSpaceDN w:val="0"/>
        <w:adjustRightInd w:val="0"/>
      </w:pPr>
      <w:r w:rsidRPr="005C1895">
        <w:t>Individuals and organizations will be assured of the confidentiality of their replies under Section 944(c) of the Public Health Ser</w:t>
      </w:r>
      <w:r w:rsidR="00E770A9">
        <w:t>vice Act at</w:t>
      </w:r>
      <w:r w:rsidR="0012683A">
        <w:t xml:space="preserve"> 42 U.S.C. 299c-3(c).</w:t>
      </w:r>
      <w:r w:rsidRPr="005C1895">
        <w:t xml:space="preserve"> </w:t>
      </w:r>
      <w:r w:rsidR="0012683A">
        <w:t>In accordance with this</w:t>
      </w:r>
      <w:r w:rsidRPr="005C1895">
        <w:t xml:space="preserve"> law</w:t>
      </w:r>
      <w:r w:rsidR="0012683A">
        <w:t>, individuals and organizations will be informed of</w:t>
      </w:r>
      <w:r w:rsidRPr="0012683A" w:rsidR="0012683A">
        <w:t xml:space="preserve"> the purposes for which the information is collected and that</w:t>
      </w:r>
      <w:r w:rsidR="0012683A">
        <w:t xml:space="preserve"> </w:t>
      </w:r>
      <w:r w:rsidRPr="0012683A" w:rsidR="0012683A">
        <w:t>any identifiable information about them will not be used or disclosed for any other purpose</w:t>
      </w:r>
      <w:r w:rsidR="0012683A">
        <w:t xml:space="preserve"> </w:t>
      </w:r>
      <w:r w:rsidRPr="003B3463" w:rsidR="0012683A">
        <w:t xml:space="preserve">unless </w:t>
      </w:r>
      <w:r w:rsidR="0012683A">
        <w:t>they</w:t>
      </w:r>
      <w:r w:rsidRPr="003B3463" w:rsidR="0012683A">
        <w:t xml:space="preserve"> consent to the use of the information for another purpose</w:t>
      </w:r>
      <w:r w:rsidR="0012683A">
        <w:t>.</w:t>
      </w:r>
      <w:r w:rsidRPr="005C1895">
        <w:t xml:space="preserve"> </w:t>
      </w:r>
    </w:p>
    <w:p w:rsidR="00CF60F0" w:rsidP="0012683A" w:rsidRDefault="001C3C5E">
      <w:pPr>
        <w:tabs>
          <w:tab w:val="left" w:pos="450"/>
        </w:tabs>
        <w:spacing w:before="240"/>
      </w:pPr>
      <w:r>
        <w:rPr>
          <w:color w:val="000000"/>
        </w:rPr>
        <w:t xml:space="preserve">The following </w:t>
      </w:r>
      <w:r w:rsidRPr="005C1895" w:rsidR="000E4E72">
        <w:rPr>
          <w:color w:val="000000"/>
        </w:rPr>
        <w:t xml:space="preserve">personally identifiable information (PII) will be collected during the </w:t>
      </w:r>
      <w:r>
        <w:rPr>
          <w:color w:val="000000"/>
        </w:rPr>
        <w:t>SHARE Evaluation project</w:t>
      </w:r>
      <w:r w:rsidR="00CF60F0">
        <w:rPr>
          <w:color w:val="000000"/>
        </w:rPr>
        <w:t xml:space="preserve"> from </w:t>
      </w:r>
      <w:r>
        <w:rPr>
          <w:color w:val="000000"/>
        </w:rPr>
        <w:t>practices</w:t>
      </w:r>
      <w:r w:rsidRPr="005C1895" w:rsidR="000E4E72">
        <w:rPr>
          <w:color w:val="000000"/>
        </w:rPr>
        <w:t xml:space="preserve"> and clinical s</w:t>
      </w:r>
      <w:r>
        <w:rPr>
          <w:color w:val="000000"/>
        </w:rPr>
        <w:t>taff</w:t>
      </w:r>
      <w:r w:rsidR="00CF60F0">
        <w:rPr>
          <w:color w:val="000000"/>
        </w:rPr>
        <w:t>: names, clinical role</w:t>
      </w:r>
      <w:r>
        <w:rPr>
          <w:color w:val="000000"/>
        </w:rPr>
        <w:t xml:space="preserve"> </w:t>
      </w:r>
      <w:r w:rsidRPr="005C1895" w:rsidR="0012683A">
        <w:rPr>
          <w:color w:val="000000"/>
        </w:rPr>
        <w:t>and email addresses</w:t>
      </w:r>
      <w:r w:rsidR="00CF60F0">
        <w:rPr>
          <w:color w:val="000000"/>
        </w:rPr>
        <w:t>.</w:t>
      </w:r>
      <w:r w:rsidR="0012683A">
        <w:rPr>
          <w:color w:val="000000"/>
        </w:rPr>
        <w:t xml:space="preserve"> </w:t>
      </w:r>
      <w:r w:rsidR="00CF60F0">
        <w:rPr>
          <w:color w:val="000000"/>
        </w:rPr>
        <w:t xml:space="preserve">This information </w:t>
      </w:r>
      <w:r>
        <w:rPr>
          <w:color w:val="000000"/>
        </w:rPr>
        <w:t>will be collected</w:t>
      </w:r>
      <w:r w:rsidR="0012683A">
        <w:rPr>
          <w:color w:val="000000"/>
        </w:rPr>
        <w:t xml:space="preserve"> and stored separately from other information. </w:t>
      </w:r>
      <w:r w:rsidR="00630D22">
        <w:rPr>
          <w:color w:val="000000"/>
        </w:rPr>
        <w:t>Names of practices and clinical staff will be</w:t>
      </w:r>
      <w:r w:rsidRPr="005C1895" w:rsidR="000E4E72">
        <w:rPr>
          <w:color w:val="000000"/>
        </w:rPr>
        <w:t xml:space="preserve"> replaced with anonymized </w:t>
      </w:r>
      <w:r>
        <w:rPr>
          <w:color w:val="000000"/>
        </w:rPr>
        <w:t>practice</w:t>
      </w:r>
      <w:r w:rsidRPr="005C1895" w:rsidR="000E4E72">
        <w:rPr>
          <w:color w:val="000000"/>
        </w:rPr>
        <w:t xml:space="preserve"> IDs and staff IDs</w:t>
      </w:r>
      <w:r w:rsidR="00630D22">
        <w:rPr>
          <w:color w:val="000000"/>
        </w:rPr>
        <w:t>. Clinical staff</w:t>
      </w:r>
      <w:r w:rsidRPr="005C1895" w:rsidR="000E4E72">
        <w:rPr>
          <w:color w:val="000000"/>
        </w:rPr>
        <w:t xml:space="preserve"> email addresses are needed to share information about </w:t>
      </w:r>
      <w:r>
        <w:rPr>
          <w:color w:val="000000"/>
        </w:rPr>
        <w:t>the training</w:t>
      </w:r>
      <w:r w:rsidRPr="005C1895" w:rsidR="000E4E72">
        <w:rPr>
          <w:color w:val="000000"/>
        </w:rPr>
        <w:t xml:space="preserve"> and survey questionnaires </w:t>
      </w:r>
      <w:r w:rsidR="00630D22">
        <w:rPr>
          <w:color w:val="000000"/>
        </w:rPr>
        <w:t xml:space="preserve">and needed </w:t>
      </w:r>
      <w:r w:rsidRPr="005C1895" w:rsidR="000E4E72">
        <w:rPr>
          <w:color w:val="000000"/>
        </w:rPr>
        <w:t xml:space="preserve">if </w:t>
      </w:r>
      <w:r w:rsidR="00630D22">
        <w:rPr>
          <w:color w:val="000000"/>
        </w:rPr>
        <w:t xml:space="preserve">staff choose to </w:t>
      </w:r>
      <w:r w:rsidRPr="005C1895" w:rsidR="000E4E72">
        <w:rPr>
          <w:color w:val="000000"/>
        </w:rPr>
        <w:t>complete</w:t>
      </w:r>
      <w:r w:rsidR="00630D22">
        <w:rPr>
          <w:color w:val="000000"/>
        </w:rPr>
        <w:t xml:space="preserve"> these</w:t>
      </w:r>
      <w:r w:rsidRPr="005C1895" w:rsidR="000E4E72">
        <w:rPr>
          <w:color w:val="000000"/>
        </w:rPr>
        <w:t xml:space="preserve"> online.</w:t>
      </w:r>
      <w:r w:rsidR="000E4E72">
        <w:t xml:space="preserve"> </w:t>
      </w:r>
      <w:r w:rsidR="00CF60F0">
        <w:rPr>
          <w:color w:val="000000"/>
        </w:rPr>
        <w:t>Clinician and staff surveys will include the anonymized practice and staff IDs and the c</w:t>
      </w:r>
      <w:r>
        <w:t xml:space="preserve">linician </w:t>
      </w:r>
      <w:r w:rsidR="00CF60F0">
        <w:t>version of the card surveys will be assigned</w:t>
      </w:r>
      <w:r>
        <w:t xml:space="preserve"> an </w:t>
      </w:r>
      <w:r w:rsidR="00E84B79">
        <w:t xml:space="preserve">unique anonymized card survey </w:t>
      </w:r>
      <w:r>
        <w:t xml:space="preserve">identification number that is linked to clinicians using </w:t>
      </w:r>
      <w:r w:rsidR="00CF60F0">
        <w:t>the clinician anonymized ID.</w:t>
      </w:r>
    </w:p>
    <w:p w:rsidR="00E84B79" w:rsidP="0012683A" w:rsidRDefault="001C3C5E">
      <w:pPr>
        <w:tabs>
          <w:tab w:val="left" w:pos="450"/>
        </w:tabs>
        <w:spacing w:before="240"/>
      </w:pPr>
      <w:r>
        <w:t xml:space="preserve">Patient </w:t>
      </w:r>
      <w:r w:rsidR="00CF60F0">
        <w:t xml:space="preserve">versions of the </w:t>
      </w:r>
      <w:r>
        <w:t xml:space="preserve">card surveys will </w:t>
      </w:r>
      <w:r w:rsidR="00105B54">
        <w:t xml:space="preserve">be </w:t>
      </w:r>
      <w:r>
        <w:t>linked to</w:t>
      </w:r>
      <w:r w:rsidR="00E84B79">
        <w:t xml:space="preserve"> clinician card surveys using the unique anonymized card survey identification</w:t>
      </w:r>
      <w:r>
        <w:t xml:space="preserve"> number. </w:t>
      </w:r>
      <w:r w:rsidR="00E84B79">
        <w:t>No patient PII will be collected as part of the card survey.</w:t>
      </w:r>
    </w:p>
    <w:p w:rsidR="005347E6" w:rsidP="0012683A" w:rsidRDefault="00105B54">
      <w:pPr>
        <w:tabs>
          <w:tab w:val="left" w:pos="450"/>
        </w:tabs>
        <w:spacing w:before="240"/>
        <w:rPr>
          <w:color w:val="000000"/>
        </w:rPr>
      </w:pPr>
      <w:r>
        <w:rPr>
          <w:color w:val="000000"/>
        </w:rPr>
        <w:t>F</w:t>
      </w:r>
      <w:r w:rsidR="005347E6">
        <w:rPr>
          <w:color w:val="000000"/>
        </w:rPr>
        <w:t>or the patients agreeing to have their clinician encounter audio recorded</w:t>
      </w:r>
      <w:r>
        <w:rPr>
          <w:color w:val="000000"/>
        </w:rPr>
        <w:t>,</w:t>
      </w:r>
      <w:r w:rsidR="005347E6">
        <w:rPr>
          <w:color w:val="000000"/>
        </w:rPr>
        <w:t xml:space="preserve"> </w:t>
      </w:r>
      <w:r>
        <w:rPr>
          <w:color w:val="000000"/>
        </w:rPr>
        <w:t xml:space="preserve">patient PII </w:t>
      </w:r>
      <w:r w:rsidR="005347E6">
        <w:rPr>
          <w:color w:val="000000"/>
        </w:rPr>
        <w:t>will</w:t>
      </w:r>
      <w:r w:rsidR="001C3C5E">
        <w:rPr>
          <w:color w:val="000000"/>
        </w:rPr>
        <w:t xml:space="preserve"> be </w:t>
      </w:r>
      <w:r w:rsidR="005347E6">
        <w:rPr>
          <w:color w:val="000000"/>
        </w:rPr>
        <w:t>obtained to provide documentation for the payment of the $25 dollar incentive. This information will be collected and stored separately from all other information. The audio recordings will not be linked to this patient PII and will be identified by an anonymized recording identification number. However, during the course of the audio</w:t>
      </w:r>
      <w:r>
        <w:rPr>
          <w:color w:val="000000"/>
        </w:rPr>
        <w:t>-</w:t>
      </w:r>
      <w:r w:rsidR="005347E6">
        <w:rPr>
          <w:color w:val="000000"/>
        </w:rPr>
        <w:t xml:space="preserve">recorded clinician encounter it is possible the patient and/or the clinician will discuss patient PII. As stated, the audio recordings will only be identified with the anonymous recording identification number and these </w:t>
      </w:r>
      <w:r w:rsidR="001C3C5E">
        <w:rPr>
          <w:color w:val="000000"/>
        </w:rPr>
        <w:t xml:space="preserve">recordings will be transcribed and coded by </w:t>
      </w:r>
      <w:r w:rsidR="005347E6">
        <w:rPr>
          <w:color w:val="000000"/>
        </w:rPr>
        <w:t xml:space="preserve">University of Colorado </w:t>
      </w:r>
      <w:r w:rsidR="001C3C5E">
        <w:rPr>
          <w:color w:val="000000"/>
        </w:rPr>
        <w:t>research staff</w:t>
      </w:r>
      <w:r w:rsidR="005347E6">
        <w:rPr>
          <w:color w:val="000000"/>
        </w:rPr>
        <w:t xml:space="preserve"> that will not have access to the payment documentation</w:t>
      </w:r>
      <w:r w:rsidR="001C3C5E">
        <w:rPr>
          <w:color w:val="000000"/>
        </w:rPr>
        <w:t xml:space="preserve">. </w:t>
      </w:r>
      <w:r w:rsidR="00652FFA">
        <w:rPr>
          <w:color w:val="000000"/>
        </w:rPr>
        <w:t>Transcripts and coded information will be purged of all PII and any other information that could identify an individual.</w:t>
      </w:r>
    </w:p>
    <w:p w:rsidR="000E4E72" w:rsidP="0012683A" w:rsidRDefault="001C3C5E">
      <w:pPr>
        <w:tabs>
          <w:tab w:val="left" w:pos="450"/>
        </w:tabs>
        <w:spacing w:before="240"/>
        <w:rPr>
          <w:color w:val="000000"/>
        </w:rPr>
      </w:pPr>
      <w:r w:rsidRPr="005C1895">
        <w:rPr>
          <w:color w:val="000000"/>
        </w:rPr>
        <w:t xml:space="preserve">No </w:t>
      </w:r>
      <w:r>
        <w:rPr>
          <w:color w:val="000000"/>
        </w:rPr>
        <w:t xml:space="preserve">practice, </w:t>
      </w:r>
      <w:r w:rsidR="005347E6">
        <w:rPr>
          <w:color w:val="000000"/>
        </w:rPr>
        <w:t xml:space="preserve">clinician, </w:t>
      </w:r>
      <w:r w:rsidRPr="005C1895">
        <w:rPr>
          <w:color w:val="000000"/>
        </w:rPr>
        <w:t>staff</w:t>
      </w:r>
      <w:r>
        <w:rPr>
          <w:color w:val="000000"/>
        </w:rPr>
        <w:t>, or patient</w:t>
      </w:r>
      <w:r w:rsidRPr="005C1895">
        <w:rPr>
          <w:color w:val="000000"/>
        </w:rPr>
        <w:t xml:space="preserve"> names or </w:t>
      </w:r>
      <w:r>
        <w:rPr>
          <w:color w:val="000000"/>
        </w:rPr>
        <w:t>other PII</w:t>
      </w:r>
      <w:r w:rsidRPr="005C1895">
        <w:rPr>
          <w:color w:val="000000"/>
        </w:rPr>
        <w:t xml:space="preserve"> will be included in any reports, presentations, or other publications emerging from this project</w:t>
      </w:r>
      <w:r w:rsidR="005347E6">
        <w:rPr>
          <w:color w:val="000000"/>
        </w:rPr>
        <w:t xml:space="preserve"> without the express consent of the individual or organization</w:t>
      </w:r>
      <w:r w:rsidRPr="005C1895">
        <w:rPr>
          <w:color w:val="000000"/>
        </w:rPr>
        <w:t>. Only aggregated, de-identified results will be displayed in any reports</w:t>
      </w:r>
      <w:r w:rsidR="00E770A9">
        <w:rPr>
          <w:color w:val="000000"/>
        </w:rPr>
        <w:t xml:space="preserve">, </w:t>
      </w:r>
      <w:r w:rsidRPr="005C1895" w:rsidR="00E770A9">
        <w:rPr>
          <w:color w:val="000000"/>
        </w:rPr>
        <w:t>presentations, or other publications</w:t>
      </w:r>
      <w:r w:rsidRPr="005C1895">
        <w:rPr>
          <w:color w:val="000000"/>
        </w:rPr>
        <w:t>.</w:t>
      </w:r>
    </w:p>
    <w:p w:rsidRPr="005C1895" w:rsidR="000E4E72" w:rsidP="00E770A9" w:rsidRDefault="000E4E72">
      <w:pPr>
        <w:tabs>
          <w:tab w:val="left" w:pos="450"/>
        </w:tabs>
        <w:spacing w:before="240"/>
        <w:rPr>
          <w:color w:val="000000"/>
        </w:rPr>
      </w:pPr>
      <w:r w:rsidRPr="005C1895">
        <w:rPr>
          <w:color w:val="000000"/>
        </w:rPr>
        <w:t xml:space="preserve">All project data, including the files linking </w:t>
      </w:r>
      <w:r w:rsidR="00957A65">
        <w:rPr>
          <w:color w:val="000000"/>
        </w:rPr>
        <w:t>practice</w:t>
      </w:r>
      <w:r w:rsidRPr="005C1895">
        <w:rPr>
          <w:color w:val="000000"/>
        </w:rPr>
        <w:t xml:space="preserve"> and staff names and study IDs, will be stored in a secure, </w:t>
      </w:r>
      <w:r w:rsidRPr="005C1895">
        <w:rPr>
          <w:rFonts w:eastAsia="Arial"/>
          <w:color w:val="000000"/>
        </w:rPr>
        <w:t>password-protected electronic shared folder</w:t>
      </w:r>
      <w:r w:rsidR="00652FFA">
        <w:rPr>
          <w:rFonts w:eastAsia="Arial"/>
          <w:color w:val="000000"/>
        </w:rPr>
        <w:t xml:space="preserve"> with secure access granted only to specified project staff with a need to know each type of information. The practice and staff names, roles and email addresses, as well as the audio recordings</w:t>
      </w:r>
      <w:r w:rsidR="005578F1">
        <w:rPr>
          <w:rFonts w:eastAsia="Arial"/>
          <w:color w:val="000000"/>
        </w:rPr>
        <w:t>, incentive payment information and crosswalks with study IDs,</w:t>
      </w:r>
      <w:r w:rsidR="00652FFA">
        <w:rPr>
          <w:rFonts w:eastAsia="Arial"/>
          <w:color w:val="000000"/>
        </w:rPr>
        <w:t xml:space="preserve"> will only be accessible by the Principal Investigator, Project Director and Project Manager. Data </w:t>
      </w:r>
      <w:r w:rsidR="005578F1">
        <w:rPr>
          <w:rFonts w:eastAsia="Arial"/>
          <w:color w:val="000000"/>
        </w:rPr>
        <w:t xml:space="preserve">identifiable </w:t>
      </w:r>
      <w:r w:rsidR="00652FFA">
        <w:rPr>
          <w:rFonts w:eastAsia="Arial"/>
          <w:color w:val="000000"/>
        </w:rPr>
        <w:t xml:space="preserve">with </w:t>
      </w:r>
      <w:r w:rsidR="005578F1">
        <w:rPr>
          <w:rFonts w:eastAsia="Arial"/>
          <w:color w:val="000000"/>
        </w:rPr>
        <w:t xml:space="preserve">only </w:t>
      </w:r>
      <w:r w:rsidR="00652FFA">
        <w:rPr>
          <w:rFonts w:eastAsia="Arial"/>
          <w:color w:val="000000"/>
        </w:rPr>
        <w:t xml:space="preserve">the study IDs will be stored in a secure folder with access limited to project staff </w:t>
      </w:r>
      <w:r w:rsidRPr="005C1895">
        <w:rPr>
          <w:color w:val="000000"/>
        </w:rPr>
        <w:t>who need to use the data</w:t>
      </w:r>
      <w:r w:rsidR="005578F1">
        <w:rPr>
          <w:color w:val="000000"/>
        </w:rPr>
        <w:t xml:space="preserve">, including </w:t>
      </w:r>
      <w:r w:rsidR="005578F1">
        <w:rPr>
          <w:rFonts w:eastAsia="Arial"/>
          <w:color w:val="000000"/>
        </w:rPr>
        <w:t>the Principal Investigator, Project Director and Project Manager</w:t>
      </w:r>
      <w:r w:rsidRPr="005C1895">
        <w:rPr>
          <w:color w:val="000000"/>
        </w:rPr>
        <w:t xml:space="preserve">. Protocols for data collection, storage, and analyses will be approved by the </w:t>
      </w:r>
      <w:r w:rsidR="005578F1">
        <w:rPr>
          <w:color w:val="000000"/>
        </w:rPr>
        <w:t xml:space="preserve">Colorado Multiple </w:t>
      </w:r>
      <w:r w:rsidRPr="005C1895">
        <w:rPr>
          <w:color w:val="000000"/>
        </w:rPr>
        <w:t>Institutional Review Board</w:t>
      </w:r>
      <w:r w:rsidRPr="005578F1" w:rsidR="005578F1">
        <w:t xml:space="preserve"> </w:t>
      </w:r>
      <w:r w:rsidR="005578F1">
        <w:t xml:space="preserve">(COMIRB) </w:t>
      </w:r>
      <w:r w:rsidRPr="005578F1" w:rsidR="005578F1">
        <w:rPr>
          <w:color w:val="000000"/>
        </w:rPr>
        <w:t xml:space="preserve">that oversees research conducted at the University of Colorado Anschutz Medical Campus. </w:t>
      </w:r>
      <w:r w:rsidRPr="005578F1" w:rsidR="005578F1">
        <w:rPr>
          <w:color w:val="000000"/>
        </w:rPr>
        <w:lastRenderedPageBreak/>
        <w:t>COMIRB’s Federal-wide Assurance (FWA) with the Office for Human Research Protections of the U.S. Department of Health and Human Services provides that the organization will assure compliance with the Terms of Assurance for Federally-supported research</w:t>
      </w:r>
      <w:r w:rsidR="005578F1">
        <w:rPr>
          <w:color w:val="000000"/>
        </w:rPr>
        <w:t>.</w:t>
      </w:r>
      <w:r w:rsidRPr="005C1895">
        <w:rPr>
          <w:color w:val="000000"/>
        </w:rPr>
        <w:t xml:space="preserve"> </w:t>
      </w:r>
    </w:p>
    <w:p w:rsidR="00957A65" w:rsidP="005578F1" w:rsidRDefault="009B633D">
      <w:pPr>
        <w:pStyle w:val="Heading2"/>
        <w:spacing w:after="120"/>
        <w:rPr>
          <w:sz w:val="24"/>
        </w:rPr>
      </w:pPr>
      <w:bookmarkStart w:name="_Toc151782186" w:id="39"/>
      <w:bookmarkStart w:name="_Toc158526226" w:id="40"/>
      <w:bookmarkStart w:name="_Toc32301346" w:id="41"/>
      <w:r w:rsidRPr="00412C6F">
        <w:rPr>
          <w:sz w:val="24"/>
        </w:rPr>
        <w:t>11. Questions of a Sensitive Nature</w:t>
      </w:r>
      <w:bookmarkEnd w:id="39"/>
      <w:bookmarkEnd w:id="40"/>
      <w:bookmarkEnd w:id="41"/>
    </w:p>
    <w:p w:rsidR="00BB7136" w:rsidP="00AE7D70" w:rsidRDefault="00515273">
      <w:r>
        <w:t>While t</w:t>
      </w:r>
      <w:r w:rsidRPr="005C1895" w:rsidR="000E4E72">
        <w:t>here are no question</w:t>
      </w:r>
      <w:r w:rsidR="00957A65">
        <w:t>s</w:t>
      </w:r>
      <w:r w:rsidRPr="005C1895" w:rsidR="000E4E72">
        <w:t xml:space="preserve"> of a sensitive nature</w:t>
      </w:r>
      <w:r>
        <w:t>, the audio recordings of patient-clinician encounters may include information of a sensitive nature</w:t>
      </w:r>
      <w:r w:rsidRPr="005C1895" w:rsidR="000E4E72">
        <w:t>.</w:t>
      </w:r>
      <w:r>
        <w:t xml:space="preserve"> </w:t>
      </w:r>
      <w:r w:rsidRPr="00515273">
        <w:t xml:space="preserve">The consent process will include a statement that participants may </w:t>
      </w:r>
      <w:r>
        <w:t>ask that the audio recording be stopped at any time</w:t>
      </w:r>
      <w:r w:rsidRPr="00515273">
        <w:t>.</w:t>
      </w:r>
      <w:r>
        <w:t xml:space="preserve"> In addition, the card survey will include instructions that </w:t>
      </w:r>
      <w:r w:rsidRPr="00515273">
        <w:t xml:space="preserve">participants may skip any question they </w:t>
      </w:r>
      <w:r w:rsidR="00CF3385">
        <w:t>choose</w:t>
      </w:r>
      <w:r w:rsidRPr="00515273">
        <w:t xml:space="preserve"> to </w:t>
      </w:r>
      <w:r w:rsidR="009639C6">
        <w:t xml:space="preserve">not </w:t>
      </w:r>
      <w:r w:rsidRPr="00515273">
        <w:t>answer.</w:t>
      </w:r>
    </w:p>
    <w:p w:rsidR="009B633D" w:rsidP="00515273" w:rsidRDefault="001B04BB">
      <w:pPr>
        <w:pStyle w:val="Heading2"/>
        <w:spacing w:after="120"/>
        <w:rPr>
          <w:b w:val="0"/>
          <w:i w:val="0"/>
          <w:sz w:val="24"/>
        </w:rPr>
      </w:pPr>
      <w:bookmarkStart w:name="_Toc151782187" w:id="42"/>
      <w:bookmarkStart w:name="_Toc158526227" w:id="43"/>
      <w:bookmarkStart w:name="_Toc32301347" w:id="44"/>
      <w:r>
        <w:rPr>
          <w:sz w:val="24"/>
        </w:rPr>
        <w:t xml:space="preserve">12. Estimates of </w:t>
      </w:r>
      <w:r w:rsidRPr="00412C6F" w:rsidR="009B633D">
        <w:rPr>
          <w:sz w:val="24"/>
        </w:rPr>
        <w:t>Burden Hours and Costs</w:t>
      </w:r>
      <w:bookmarkEnd w:id="42"/>
      <w:bookmarkEnd w:id="43"/>
      <w:bookmarkEnd w:id="44"/>
    </w:p>
    <w:p w:rsidR="00C11558" w:rsidP="00515273" w:rsidRDefault="00AC1536">
      <w:pPr>
        <w:spacing w:after="240"/>
        <w:rPr>
          <w:bCs/>
          <w:szCs w:val="22"/>
        </w:rPr>
      </w:pPr>
      <w:r w:rsidRPr="00734002">
        <w:rPr>
          <w:bCs/>
          <w:szCs w:val="22"/>
        </w:rPr>
        <w:t xml:space="preserve">Exhibit 1 shows the estimated burden hours for the respondents’ time to participate in the research activities that </w:t>
      </w:r>
      <w:r w:rsidRPr="00734002" w:rsidR="001D6650">
        <w:rPr>
          <w:bCs/>
          <w:szCs w:val="22"/>
        </w:rPr>
        <w:t>will</w:t>
      </w:r>
      <w:r w:rsidRPr="00734002">
        <w:rPr>
          <w:bCs/>
          <w:szCs w:val="22"/>
        </w:rPr>
        <w:t xml:space="preserve"> be conducted under this clearance. </w:t>
      </w:r>
      <w:r w:rsidR="00A77988">
        <w:rPr>
          <w:bCs/>
          <w:szCs w:val="22"/>
        </w:rPr>
        <w:t>D</w:t>
      </w:r>
      <w:r w:rsidR="004D7F12">
        <w:rPr>
          <w:bCs/>
          <w:szCs w:val="22"/>
        </w:rPr>
        <w:t xml:space="preserve">ata collection will occur between </w:t>
      </w:r>
      <w:r w:rsidR="000A3CB8">
        <w:rPr>
          <w:bCs/>
          <w:szCs w:val="22"/>
        </w:rPr>
        <w:t>September</w:t>
      </w:r>
      <w:r w:rsidR="004D7F12">
        <w:rPr>
          <w:bCs/>
          <w:szCs w:val="22"/>
        </w:rPr>
        <w:t xml:space="preserve"> 2020 and </w:t>
      </w:r>
      <w:r w:rsidR="007A71CC">
        <w:rPr>
          <w:bCs/>
          <w:szCs w:val="22"/>
        </w:rPr>
        <w:t>October</w:t>
      </w:r>
      <w:r w:rsidR="004D7F12">
        <w:rPr>
          <w:bCs/>
          <w:szCs w:val="22"/>
        </w:rPr>
        <w:t xml:space="preserve"> 2021. </w:t>
      </w:r>
      <w:r w:rsidR="00A77988">
        <w:rPr>
          <w:bCs/>
          <w:szCs w:val="22"/>
        </w:rPr>
        <w:t xml:space="preserve">Surveys </w:t>
      </w:r>
      <w:r w:rsidR="00A77988">
        <w:t>of physicians, advanced practice providers, other clinicians, nurses and other staff</w:t>
      </w:r>
      <w:r w:rsidRPr="00734002" w:rsidR="00A77988">
        <w:rPr>
          <w:bCs/>
          <w:szCs w:val="22"/>
        </w:rPr>
        <w:t xml:space="preserve"> </w:t>
      </w:r>
      <w:r w:rsidR="00A77988">
        <w:rPr>
          <w:bCs/>
          <w:szCs w:val="22"/>
        </w:rPr>
        <w:t xml:space="preserve">in each of the 12 practices </w:t>
      </w:r>
      <w:r w:rsidRPr="00734002" w:rsidR="00C11558">
        <w:rPr>
          <w:bCs/>
          <w:szCs w:val="22"/>
        </w:rPr>
        <w:t>will be conducted</w:t>
      </w:r>
      <w:r w:rsidR="00A77988">
        <w:rPr>
          <w:bCs/>
          <w:szCs w:val="22"/>
        </w:rPr>
        <w:t xml:space="preserve"> </w:t>
      </w:r>
      <w:r w:rsidR="00192F81">
        <w:rPr>
          <w:bCs/>
          <w:szCs w:val="22"/>
        </w:rPr>
        <w:t>at the</w:t>
      </w:r>
      <w:r w:rsidRPr="00734002" w:rsidR="00C11558">
        <w:rPr>
          <w:bCs/>
          <w:szCs w:val="22"/>
        </w:rPr>
        <w:t xml:space="preserve"> </w:t>
      </w:r>
      <w:r w:rsidR="00192F81">
        <w:rPr>
          <w:bCs/>
          <w:szCs w:val="22"/>
        </w:rPr>
        <w:t xml:space="preserve">time of </w:t>
      </w:r>
      <w:r w:rsidRPr="00734002" w:rsidR="00C11558">
        <w:rPr>
          <w:bCs/>
          <w:szCs w:val="22"/>
        </w:rPr>
        <w:t>SHARE training</w:t>
      </w:r>
      <w:r w:rsidR="00192F81">
        <w:rPr>
          <w:bCs/>
          <w:szCs w:val="22"/>
        </w:rPr>
        <w:t xml:space="preserve"> </w:t>
      </w:r>
      <w:r w:rsidRPr="00734002" w:rsidR="00C11558">
        <w:rPr>
          <w:bCs/>
          <w:szCs w:val="22"/>
        </w:rPr>
        <w:t xml:space="preserve">and </w:t>
      </w:r>
      <w:r w:rsidR="00A77988">
        <w:rPr>
          <w:bCs/>
          <w:szCs w:val="22"/>
        </w:rPr>
        <w:t xml:space="preserve">again approximately 1 to 2 months </w:t>
      </w:r>
      <w:r w:rsidRPr="00734002" w:rsidR="00C11558">
        <w:rPr>
          <w:bCs/>
          <w:szCs w:val="22"/>
        </w:rPr>
        <w:t>following t</w:t>
      </w:r>
      <w:r w:rsidR="00A77988">
        <w:rPr>
          <w:bCs/>
          <w:szCs w:val="22"/>
        </w:rPr>
        <w:t>raining</w:t>
      </w:r>
      <w:r w:rsidRPr="00734002" w:rsidR="00C11558">
        <w:rPr>
          <w:bCs/>
          <w:szCs w:val="22"/>
        </w:rPr>
        <w:t xml:space="preserve">. These will be conducted with no more than 100 </w:t>
      </w:r>
      <w:r w:rsidR="00A77988">
        <w:t>physicians, advanced practice providers, other clinicians, nurses and other staff</w:t>
      </w:r>
      <w:r w:rsidRPr="00734002" w:rsidDel="00A77988" w:rsidR="00A77988">
        <w:rPr>
          <w:bCs/>
          <w:szCs w:val="22"/>
        </w:rPr>
        <w:t xml:space="preserve"> </w:t>
      </w:r>
      <w:r w:rsidR="00AF523D">
        <w:rPr>
          <w:bCs/>
          <w:szCs w:val="22"/>
        </w:rPr>
        <w:t>for each survey</w:t>
      </w:r>
      <w:r w:rsidRPr="00734002" w:rsidR="00C11558">
        <w:rPr>
          <w:bCs/>
          <w:szCs w:val="22"/>
        </w:rPr>
        <w:t xml:space="preserve"> and will require no more than 10 minutes to complete.</w:t>
      </w:r>
      <w:r w:rsidR="00C11558">
        <w:rPr>
          <w:bCs/>
          <w:szCs w:val="22"/>
        </w:rPr>
        <w:t xml:space="preserve"> </w:t>
      </w:r>
    </w:p>
    <w:p w:rsidR="00192F81" w:rsidP="00515273" w:rsidRDefault="001D6650">
      <w:pPr>
        <w:spacing w:after="240"/>
        <w:rPr>
          <w:bCs/>
          <w:szCs w:val="22"/>
        </w:rPr>
      </w:pPr>
      <w:r w:rsidRPr="00734002">
        <w:rPr>
          <w:bCs/>
          <w:szCs w:val="22"/>
        </w:rPr>
        <w:t>Brief card surveys will be completed by both patients and clinician</w:t>
      </w:r>
      <w:r w:rsidRPr="00734002" w:rsidR="000D32F2">
        <w:rPr>
          <w:bCs/>
          <w:szCs w:val="22"/>
        </w:rPr>
        <w:t xml:space="preserve">s. </w:t>
      </w:r>
      <w:r w:rsidR="00C11558">
        <w:rPr>
          <w:bCs/>
          <w:szCs w:val="22"/>
        </w:rPr>
        <w:t xml:space="preserve">We estimate the maximum number of patients participating in the card survey as follows: </w:t>
      </w:r>
      <w:r w:rsidR="003B2DD5">
        <w:rPr>
          <w:bCs/>
          <w:szCs w:val="22"/>
        </w:rPr>
        <w:t xml:space="preserve">A maximum of </w:t>
      </w:r>
      <w:r w:rsidR="00C11558">
        <w:rPr>
          <w:bCs/>
          <w:szCs w:val="22"/>
        </w:rPr>
        <w:t xml:space="preserve">100 clinicians </w:t>
      </w:r>
      <w:r w:rsidR="00192F81">
        <w:rPr>
          <w:bCs/>
          <w:szCs w:val="22"/>
        </w:rPr>
        <w:t xml:space="preserve">will </w:t>
      </w:r>
      <w:r w:rsidR="00C11558">
        <w:rPr>
          <w:bCs/>
          <w:szCs w:val="22"/>
        </w:rPr>
        <w:t>see a</w:t>
      </w:r>
      <w:r w:rsidR="007A71CC">
        <w:rPr>
          <w:bCs/>
          <w:szCs w:val="22"/>
        </w:rPr>
        <w:t xml:space="preserve"> maximum of</w:t>
      </w:r>
      <w:r w:rsidR="00C11558">
        <w:rPr>
          <w:bCs/>
          <w:szCs w:val="22"/>
        </w:rPr>
        <w:t xml:space="preserve"> 20 patients per day, of which half (n=10) </w:t>
      </w:r>
      <w:r w:rsidR="007A71CC">
        <w:rPr>
          <w:bCs/>
          <w:szCs w:val="22"/>
        </w:rPr>
        <w:t>will agree to complete</w:t>
      </w:r>
      <w:r w:rsidR="00C11558">
        <w:rPr>
          <w:bCs/>
          <w:szCs w:val="22"/>
        </w:rPr>
        <w:t xml:space="preserve"> the card survey, over 6 days</w:t>
      </w:r>
      <w:r w:rsidR="007A71CC">
        <w:rPr>
          <w:bCs/>
          <w:szCs w:val="22"/>
        </w:rPr>
        <w:t xml:space="preserve"> of data collection</w:t>
      </w:r>
      <w:r w:rsidR="00C11558">
        <w:rPr>
          <w:bCs/>
          <w:szCs w:val="22"/>
        </w:rPr>
        <w:t xml:space="preserve">, totaling N=6,000 patient respondents (100 x 10 x 6). </w:t>
      </w:r>
      <w:r w:rsidRPr="00734002">
        <w:rPr>
          <w:bCs/>
          <w:szCs w:val="22"/>
        </w:rPr>
        <w:t xml:space="preserve">The patient card survey will take </w:t>
      </w:r>
      <w:r w:rsidRPr="00734002" w:rsidR="00E85E53">
        <w:rPr>
          <w:bCs/>
          <w:szCs w:val="22"/>
        </w:rPr>
        <w:t xml:space="preserve">a maximum of </w:t>
      </w:r>
      <w:r w:rsidRPr="00734002">
        <w:rPr>
          <w:bCs/>
          <w:szCs w:val="22"/>
        </w:rPr>
        <w:t>2 minutes</w:t>
      </w:r>
      <w:r w:rsidR="007A71CC">
        <w:rPr>
          <w:bCs/>
          <w:szCs w:val="22"/>
        </w:rPr>
        <w:t xml:space="preserve"> per completed survey</w:t>
      </w:r>
      <w:r w:rsidRPr="00734002">
        <w:rPr>
          <w:bCs/>
          <w:szCs w:val="22"/>
        </w:rPr>
        <w:t xml:space="preserve">. </w:t>
      </w:r>
      <w:r w:rsidR="003B2DD5">
        <w:rPr>
          <w:bCs/>
          <w:szCs w:val="22"/>
        </w:rPr>
        <w:t xml:space="preserve">Clinicians </w:t>
      </w:r>
      <w:r w:rsidR="00B7634B">
        <w:rPr>
          <w:bCs/>
          <w:szCs w:val="22"/>
        </w:rPr>
        <w:t>will</w:t>
      </w:r>
      <w:r w:rsidR="0058628F">
        <w:rPr>
          <w:bCs/>
          <w:szCs w:val="22"/>
        </w:rPr>
        <w:t xml:space="preserve"> </w:t>
      </w:r>
      <w:r w:rsidR="007A71CC">
        <w:rPr>
          <w:bCs/>
          <w:szCs w:val="22"/>
        </w:rPr>
        <w:t>complete a</w:t>
      </w:r>
      <w:r w:rsidR="0058628F">
        <w:rPr>
          <w:bCs/>
          <w:szCs w:val="22"/>
        </w:rPr>
        <w:t xml:space="preserve"> card survey for every patient</w:t>
      </w:r>
      <w:r w:rsidR="00EA6DC9">
        <w:rPr>
          <w:bCs/>
          <w:szCs w:val="22"/>
        </w:rPr>
        <w:t xml:space="preserve"> they see during the </w:t>
      </w:r>
      <w:r w:rsidR="007A71CC">
        <w:rPr>
          <w:bCs/>
          <w:szCs w:val="22"/>
        </w:rPr>
        <w:t>6</w:t>
      </w:r>
      <w:r w:rsidR="00EA6DC9">
        <w:rPr>
          <w:bCs/>
          <w:szCs w:val="22"/>
        </w:rPr>
        <w:t xml:space="preserve"> </w:t>
      </w:r>
      <w:r w:rsidR="007A71CC">
        <w:rPr>
          <w:bCs/>
          <w:szCs w:val="22"/>
        </w:rPr>
        <w:t>days of data collection</w:t>
      </w:r>
      <w:r w:rsidR="0058628F">
        <w:rPr>
          <w:bCs/>
          <w:szCs w:val="22"/>
        </w:rPr>
        <w:t xml:space="preserve">, or a total of </w:t>
      </w:r>
      <w:r w:rsidR="007A71CC">
        <w:rPr>
          <w:bCs/>
          <w:szCs w:val="22"/>
        </w:rPr>
        <w:t>N=</w:t>
      </w:r>
      <w:r w:rsidR="0058628F">
        <w:rPr>
          <w:bCs/>
          <w:szCs w:val="22"/>
        </w:rPr>
        <w:t xml:space="preserve">12,000 </w:t>
      </w:r>
      <w:r w:rsidR="00EA6DC9">
        <w:rPr>
          <w:bCs/>
          <w:szCs w:val="22"/>
        </w:rPr>
        <w:t>card surveys</w:t>
      </w:r>
      <w:r w:rsidR="0058628F">
        <w:rPr>
          <w:bCs/>
          <w:szCs w:val="22"/>
        </w:rPr>
        <w:t xml:space="preserve"> (100 clinicians x 20 patients per day x 6 days). </w:t>
      </w:r>
      <w:r w:rsidRPr="00734002" w:rsidR="003B2DD5">
        <w:rPr>
          <w:bCs/>
          <w:szCs w:val="22"/>
        </w:rPr>
        <w:t xml:space="preserve">The </w:t>
      </w:r>
      <w:r w:rsidR="00B7634B">
        <w:rPr>
          <w:bCs/>
          <w:szCs w:val="22"/>
        </w:rPr>
        <w:t>clinician</w:t>
      </w:r>
      <w:r w:rsidRPr="00734002" w:rsidR="003B2DD5">
        <w:rPr>
          <w:bCs/>
          <w:szCs w:val="22"/>
        </w:rPr>
        <w:t xml:space="preserve"> card survey will require a maximum of </w:t>
      </w:r>
      <w:r w:rsidR="007A71CC">
        <w:rPr>
          <w:bCs/>
          <w:szCs w:val="22"/>
        </w:rPr>
        <w:t>1 minute per completed survey</w:t>
      </w:r>
      <w:r w:rsidRPr="00734002" w:rsidR="003B2DD5">
        <w:rPr>
          <w:bCs/>
          <w:szCs w:val="22"/>
        </w:rPr>
        <w:t xml:space="preserve">. </w:t>
      </w:r>
    </w:p>
    <w:p w:rsidRPr="00734002" w:rsidR="001D6650" w:rsidP="00515273" w:rsidRDefault="001D6650">
      <w:pPr>
        <w:spacing w:after="240"/>
        <w:rPr>
          <w:bCs/>
          <w:szCs w:val="22"/>
        </w:rPr>
      </w:pPr>
      <w:r w:rsidRPr="00734002">
        <w:rPr>
          <w:bCs/>
          <w:szCs w:val="22"/>
        </w:rPr>
        <w:t xml:space="preserve">Audio recordings of up to 260 clinical encounters will be obtained with burden </w:t>
      </w:r>
      <w:r w:rsidRPr="00734002" w:rsidR="009B228E">
        <w:rPr>
          <w:bCs/>
          <w:szCs w:val="22"/>
        </w:rPr>
        <w:t>not to exceed</w:t>
      </w:r>
      <w:r w:rsidRPr="00734002" w:rsidR="009C6F40">
        <w:rPr>
          <w:bCs/>
          <w:szCs w:val="22"/>
        </w:rPr>
        <w:t xml:space="preserve"> 10 minutes</w:t>
      </w:r>
      <w:r w:rsidRPr="00734002">
        <w:rPr>
          <w:bCs/>
          <w:szCs w:val="22"/>
        </w:rPr>
        <w:t xml:space="preserve"> </w:t>
      </w:r>
      <w:r w:rsidRPr="00734002" w:rsidR="009B228E">
        <w:rPr>
          <w:bCs/>
          <w:szCs w:val="22"/>
        </w:rPr>
        <w:t>to obtain</w:t>
      </w:r>
      <w:r w:rsidRPr="00734002" w:rsidR="00000C91">
        <w:rPr>
          <w:bCs/>
          <w:szCs w:val="22"/>
        </w:rPr>
        <w:t xml:space="preserve"> patient informed</w:t>
      </w:r>
      <w:r w:rsidRPr="00734002">
        <w:rPr>
          <w:bCs/>
          <w:szCs w:val="22"/>
        </w:rPr>
        <w:t xml:space="preserve"> consent. </w:t>
      </w:r>
    </w:p>
    <w:p w:rsidRPr="007E5347" w:rsidR="007E5347" w:rsidP="00734002" w:rsidRDefault="007E5347">
      <w:pPr>
        <w:spacing w:before="240"/>
      </w:pPr>
      <w:r w:rsidRPr="007E5347">
        <w:rPr>
          <w:b/>
          <w:bCs/>
          <w:color w:val="000000"/>
        </w:rPr>
        <w:t xml:space="preserve">Exhibit 1.  Estimated </w:t>
      </w:r>
      <w:r w:rsidR="00E54F28">
        <w:rPr>
          <w:b/>
          <w:bCs/>
          <w:color w:val="000000"/>
        </w:rPr>
        <w:t xml:space="preserve">respondent </w:t>
      </w:r>
      <w:r w:rsidRPr="007E5347">
        <w:rPr>
          <w:b/>
          <w:bCs/>
          <w:color w:val="000000"/>
        </w:rPr>
        <w:t>burden hours</w:t>
      </w:r>
    </w:p>
    <w:tbl>
      <w:tblPr>
        <w:tblW w:w="950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44"/>
        <w:gridCol w:w="1530"/>
        <w:gridCol w:w="2340"/>
        <w:gridCol w:w="1260"/>
        <w:gridCol w:w="1530"/>
      </w:tblGrid>
      <w:tr w:rsidRPr="007E5347" w:rsidR="007E5347" w:rsidTr="004D348D">
        <w:tc>
          <w:tcPr>
            <w:tcW w:w="2844" w:type="dxa"/>
          </w:tcPr>
          <w:p w:rsidRPr="007E5347" w:rsidR="007E5347" w:rsidP="007E5347" w:rsidRDefault="007E5347">
            <w:r w:rsidRPr="007E5347">
              <w:t>Type of Information Collection</w:t>
            </w:r>
          </w:p>
        </w:tc>
        <w:tc>
          <w:tcPr>
            <w:tcW w:w="1530" w:type="dxa"/>
            <w:tcBorders>
              <w:bottom w:val="single" w:color="auto" w:sz="4" w:space="0"/>
            </w:tcBorders>
          </w:tcPr>
          <w:p w:rsidRPr="007E5347" w:rsidR="007E5347" w:rsidP="007E5347" w:rsidRDefault="007E5347">
            <w:pPr>
              <w:jc w:val="center"/>
            </w:pPr>
            <w:r w:rsidRPr="007E5347">
              <w:t>Number of Respondents</w:t>
            </w:r>
          </w:p>
        </w:tc>
        <w:tc>
          <w:tcPr>
            <w:tcW w:w="2340" w:type="dxa"/>
            <w:tcBorders>
              <w:bottom w:val="single" w:color="auto" w:sz="4" w:space="0"/>
            </w:tcBorders>
          </w:tcPr>
          <w:p w:rsidRPr="007E5347" w:rsidR="007E5347" w:rsidP="007E5347" w:rsidRDefault="007E5347">
            <w:pPr>
              <w:jc w:val="center"/>
            </w:pPr>
            <w:r w:rsidRPr="007E5347">
              <w:t>Number of Responses per Respondent</w:t>
            </w:r>
          </w:p>
        </w:tc>
        <w:tc>
          <w:tcPr>
            <w:tcW w:w="1260" w:type="dxa"/>
            <w:tcBorders>
              <w:bottom w:val="single" w:color="auto" w:sz="4" w:space="0"/>
            </w:tcBorders>
          </w:tcPr>
          <w:p w:rsidRPr="007E5347" w:rsidR="007E5347" w:rsidP="007E5347" w:rsidRDefault="007E5347">
            <w:pPr>
              <w:jc w:val="center"/>
            </w:pPr>
            <w:r w:rsidRPr="007E5347">
              <w:t>Hours per Response</w:t>
            </w:r>
          </w:p>
        </w:tc>
        <w:tc>
          <w:tcPr>
            <w:tcW w:w="1530" w:type="dxa"/>
            <w:tcBorders>
              <w:bottom w:val="single" w:color="auto" w:sz="4" w:space="0"/>
            </w:tcBorders>
          </w:tcPr>
          <w:p w:rsidRPr="007E5347" w:rsidR="007E5347" w:rsidP="007E5347" w:rsidRDefault="007E5347">
            <w:pPr>
              <w:jc w:val="center"/>
            </w:pPr>
            <w:r w:rsidRPr="007E5347">
              <w:t>Total Burden Hours</w:t>
            </w:r>
          </w:p>
        </w:tc>
      </w:tr>
      <w:tr w:rsidRPr="00734002" w:rsidR="004D348D" w:rsidTr="00257F31">
        <w:tc>
          <w:tcPr>
            <w:tcW w:w="2844" w:type="dxa"/>
          </w:tcPr>
          <w:p w:rsidRPr="00734002" w:rsidR="007E5347" w:rsidP="007E5347" w:rsidRDefault="00B12235">
            <w:pPr>
              <w:rPr>
                <w:rFonts w:ascii="Times New (W1)" w:hAnsi="Times New (W1)"/>
                <w:vertAlign w:val="superscript"/>
              </w:rPr>
            </w:pPr>
            <w:r w:rsidRPr="00734002">
              <w:t>Card survey (patient)</w:t>
            </w:r>
          </w:p>
        </w:tc>
        <w:tc>
          <w:tcPr>
            <w:tcW w:w="1530" w:type="dxa"/>
            <w:tcBorders>
              <w:bottom w:val="single" w:color="auto" w:sz="4" w:space="0"/>
            </w:tcBorders>
            <w:tcMar>
              <w:left w:w="115" w:type="dxa"/>
              <w:right w:w="576" w:type="dxa"/>
            </w:tcMar>
            <w:vAlign w:val="center"/>
          </w:tcPr>
          <w:p w:rsidRPr="00734002" w:rsidR="007E5347" w:rsidP="00F42C7E" w:rsidRDefault="007E5347">
            <w:pPr>
              <w:jc w:val="right"/>
            </w:pPr>
            <w:r w:rsidRPr="00734002">
              <w:t>6,000</w:t>
            </w:r>
          </w:p>
        </w:tc>
        <w:tc>
          <w:tcPr>
            <w:tcW w:w="2340" w:type="dxa"/>
            <w:tcBorders>
              <w:bottom w:val="single" w:color="auto" w:sz="4" w:space="0"/>
            </w:tcBorders>
            <w:tcMar>
              <w:left w:w="115" w:type="dxa"/>
              <w:right w:w="1080" w:type="dxa"/>
            </w:tcMar>
            <w:vAlign w:val="center"/>
          </w:tcPr>
          <w:p w:rsidRPr="00734002" w:rsidR="007E5347" w:rsidP="004D348D" w:rsidRDefault="007E5347">
            <w:pPr>
              <w:jc w:val="right"/>
            </w:pPr>
            <w:r w:rsidRPr="00734002">
              <w:t>1</w:t>
            </w:r>
          </w:p>
        </w:tc>
        <w:tc>
          <w:tcPr>
            <w:tcW w:w="1260" w:type="dxa"/>
            <w:tcBorders>
              <w:bottom w:val="single" w:color="auto" w:sz="4" w:space="0"/>
            </w:tcBorders>
            <w:tcMar>
              <w:left w:w="115" w:type="dxa"/>
              <w:right w:w="432" w:type="dxa"/>
            </w:tcMar>
            <w:vAlign w:val="center"/>
          </w:tcPr>
          <w:p w:rsidRPr="00734002" w:rsidR="007E5347" w:rsidP="004D348D" w:rsidRDefault="00B12235">
            <w:pPr>
              <w:jc w:val="right"/>
            </w:pPr>
            <w:r w:rsidRPr="00734002">
              <w:t>2</w:t>
            </w:r>
            <w:r w:rsidRPr="00734002" w:rsidR="007E5347">
              <w:t>/60</w:t>
            </w:r>
          </w:p>
        </w:tc>
        <w:tc>
          <w:tcPr>
            <w:tcW w:w="1530" w:type="dxa"/>
            <w:tcBorders>
              <w:bottom w:val="single" w:color="auto" w:sz="4" w:space="0"/>
            </w:tcBorders>
            <w:tcMar>
              <w:left w:w="115" w:type="dxa"/>
              <w:right w:w="576" w:type="dxa"/>
            </w:tcMar>
            <w:vAlign w:val="center"/>
          </w:tcPr>
          <w:p w:rsidRPr="00734002" w:rsidR="007E5347" w:rsidP="00257F31" w:rsidRDefault="007E5347">
            <w:pPr>
              <w:jc w:val="right"/>
            </w:pPr>
            <w:r w:rsidRPr="00734002">
              <w:t>200</w:t>
            </w:r>
          </w:p>
        </w:tc>
      </w:tr>
      <w:tr w:rsidRPr="00734002" w:rsidR="007E5347" w:rsidTr="004D348D">
        <w:tc>
          <w:tcPr>
            <w:tcW w:w="2844" w:type="dxa"/>
          </w:tcPr>
          <w:p w:rsidRPr="00734002" w:rsidR="007E5347" w:rsidP="007E5347" w:rsidRDefault="00B12235">
            <w:r w:rsidRPr="00734002">
              <w:t>Card survey (clinician)</w:t>
            </w:r>
          </w:p>
        </w:tc>
        <w:tc>
          <w:tcPr>
            <w:tcW w:w="1530" w:type="dxa"/>
            <w:tcBorders>
              <w:bottom w:val="single" w:color="auto" w:sz="4" w:space="0"/>
            </w:tcBorders>
            <w:tcMar>
              <w:left w:w="115" w:type="dxa"/>
              <w:right w:w="576" w:type="dxa"/>
            </w:tcMar>
            <w:vAlign w:val="center"/>
          </w:tcPr>
          <w:p w:rsidRPr="00734002" w:rsidR="007E5347" w:rsidP="00F42C7E" w:rsidRDefault="00EA0F8C">
            <w:pPr>
              <w:jc w:val="right"/>
            </w:pPr>
            <w:r>
              <w:t>100</w:t>
            </w:r>
          </w:p>
        </w:tc>
        <w:tc>
          <w:tcPr>
            <w:tcW w:w="2340" w:type="dxa"/>
            <w:tcBorders>
              <w:bottom w:val="single" w:color="auto" w:sz="4" w:space="0"/>
            </w:tcBorders>
            <w:tcMar>
              <w:left w:w="115" w:type="dxa"/>
              <w:right w:w="1080" w:type="dxa"/>
            </w:tcMar>
            <w:vAlign w:val="center"/>
          </w:tcPr>
          <w:p w:rsidRPr="00734002" w:rsidR="007E5347" w:rsidP="004D348D" w:rsidRDefault="001B59A0">
            <w:pPr>
              <w:jc w:val="right"/>
            </w:pPr>
            <w:r>
              <w:t>12</w:t>
            </w:r>
            <w:r w:rsidR="00EA0F8C">
              <w:t>0</w:t>
            </w:r>
          </w:p>
        </w:tc>
        <w:tc>
          <w:tcPr>
            <w:tcW w:w="1260" w:type="dxa"/>
            <w:tcBorders>
              <w:bottom w:val="single" w:color="auto" w:sz="4" w:space="0"/>
            </w:tcBorders>
            <w:tcMar>
              <w:left w:w="115" w:type="dxa"/>
              <w:right w:w="432" w:type="dxa"/>
            </w:tcMar>
            <w:vAlign w:val="center"/>
          </w:tcPr>
          <w:p w:rsidRPr="00734002" w:rsidR="007E5347" w:rsidP="004D348D" w:rsidRDefault="00B12235">
            <w:pPr>
              <w:jc w:val="right"/>
            </w:pPr>
            <w:r w:rsidRPr="00734002">
              <w:t>1</w:t>
            </w:r>
            <w:r w:rsidRPr="00734002" w:rsidR="007E5347">
              <w:t>/60</w:t>
            </w:r>
          </w:p>
        </w:tc>
        <w:tc>
          <w:tcPr>
            <w:tcW w:w="1530" w:type="dxa"/>
            <w:tcBorders>
              <w:bottom w:val="single" w:color="auto" w:sz="4" w:space="0"/>
            </w:tcBorders>
            <w:tcMar>
              <w:left w:w="115" w:type="dxa"/>
              <w:right w:w="576" w:type="dxa"/>
            </w:tcMar>
            <w:vAlign w:val="center"/>
          </w:tcPr>
          <w:p w:rsidRPr="00734002" w:rsidR="007E5347" w:rsidP="00257F31" w:rsidRDefault="001B59A0">
            <w:pPr>
              <w:jc w:val="right"/>
            </w:pPr>
            <w:r>
              <w:t>2</w:t>
            </w:r>
            <w:r w:rsidRPr="00734002" w:rsidR="00B12235">
              <w:t>00</w:t>
            </w:r>
          </w:p>
        </w:tc>
      </w:tr>
      <w:tr w:rsidRPr="00734002" w:rsidR="009C6F40" w:rsidTr="004D348D">
        <w:tc>
          <w:tcPr>
            <w:tcW w:w="2844" w:type="dxa"/>
          </w:tcPr>
          <w:p w:rsidRPr="00734002" w:rsidR="009C6F40" w:rsidP="007E5347" w:rsidRDefault="009C6F40">
            <w:r w:rsidRPr="00734002">
              <w:t>Audio recorded encounters</w:t>
            </w:r>
          </w:p>
        </w:tc>
        <w:tc>
          <w:tcPr>
            <w:tcW w:w="1530" w:type="dxa"/>
            <w:tcBorders>
              <w:bottom w:val="single" w:color="auto" w:sz="4" w:space="0"/>
            </w:tcBorders>
            <w:tcMar>
              <w:left w:w="115" w:type="dxa"/>
              <w:right w:w="576" w:type="dxa"/>
            </w:tcMar>
            <w:vAlign w:val="center"/>
          </w:tcPr>
          <w:p w:rsidRPr="00734002" w:rsidR="009C6F40" w:rsidP="00F42C7E" w:rsidRDefault="009C6F40">
            <w:pPr>
              <w:jc w:val="right"/>
            </w:pPr>
            <w:r w:rsidRPr="00734002">
              <w:t>260</w:t>
            </w:r>
          </w:p>
        </w:tc>
        <w:tc>
          <w:tcPr>
            <w:tcW w:w="2340" w:type="dxa"/>
            <w:tcBorders>
              <w:bottom w:val="single" w:color="auto" w:sz="4" w:space="0"/>
            </w:tcBorders>
            <w:tcMar>
              <w:left w:w="115" w:type="dxa"/>
              <w:right w:w="1080" w:type="dxa"/>
            </w:tcMar>
            <w:vAlign w:val="center"/>
          </w:tcPr>
          <w:p w:rsidRPr="00734002" w:rsidR="009C6F40" w:rsidP="004D348D" w:rsidRDefault="009C6F40">
            <w:pPr>
              <w:jc w:val="right"/>
            </w:pPr>
            <w:r w:rsidRPr="00734002">
              <w:t>1</w:t>
            </w:r>
          </w:p>
        </w:tc>
        <w:tc>
          <w:tcPr>
            <w:tcW w:w="1260" w:type="dxa"/>
            <w:tcBorders>
              <w:bottom w:val="single" w:color="auto" w:sz="4" w:space="0"/>
            </w:tcBorders>
            <w:tcMar>
              <w:left w:w="115" w:type="dxa"/>
              <w:right w:w="432" w:type="dxa"/>
            </w:tcMar>
            <w:vAlign w:val="center"/>
          </w:tcPr>
          <w:p w:rsidRPr="00734002" w:rsidR="009C6F40" w:rsidP="004D348D" w:rsidRDefault="009C6F40">
            <w:pPr>
              <w:jc w:val="right"/>
            </w:pPr>
            <w:r w:rsidRPr="00734002">
              <w:t>10/60</w:t>
            </w:r>
          </w:p>
        </w:tc>
        <w:tc>
          <w:tcPr>
            <w:tcW w:w="1530" w:type="dxa"/>
            <w:tcBorders>
              <w:bottom w:val="single" w:color="auto" w:sz="4" w:space="0"/>
            </w:tcBorders>
            <w:tcMar>
              <w:left w:w="115" w:type="dxa"/>
              <w:right w:w="576" w:type="dxa"/>
            </w:tcMar>
            <w:vAlign w:val="center"/>
          </w:tcPr>
          <w:p w:rsidRPr="00734002" w:rsidR="009C6F40" w:rsidP="0011781A" w:rsidRDefault="009B228E">
            <w:pPr>
              <w:jc w:val="right"/>
            </w:pPr>
            <w:r w:rsidRPr="00734002">
              <w:t>4</w:t>
            </w:r>
            <w:r w:rsidR="0011781A">
              <w:t>3</w:t>
            </w:r>
          </w:p>
        </w:tc>
      </w:tr>
      <w:tr w:rsidRPr="00734002" w:rsidR="007E5347" w:rsidTr="004D348D">
        <w:tc>
          <w:tcPr>
            <w:tcW w:w="2844" w:type="dxa"/>
          </w:tcPr>
          <w:p w:rsidRPr="00734002" w:rsidR="007E5347" w:rsidP="00E54F28" w:rsidRDefault="009C6F40">
            <w:r w:rsidRPr="00734002">
              <w:t>Clinician survey</w:t>
            </w:r>
            <w:r w:rsidR="00734002">
              <w:t>*</w:t>
            </w:r>
          </w:p>
        </w:tc>
        <w:tc>
          <w:tcPr>
            <w:tcW w:w="1530" w:type="dxa"/>
            <w:tcBorders>
              <w:bottom w:val="single" w:color="auto" w:sz="4" w:space="0"/>
            </w:tcBorders>
            <w:tcMar>
              <w:left w:w="115" w:type="dxa"/>
              <w:right w:w="576" w:type="dxa"/>
            </w:tcMar>
            <w:vAlign w:val="center"/>
          </w:tcPr>
          <w:p w:rsidRPr="00734002" w:rsidR="007E5347" w:rsidP="00F42C7E" w:rsidRDefault="00734002">
            <w:pPr>
              <w:jc w:val="right"/>
            </w:pPr>
            <w:r>
              <w:t>1</w:t>
            </w:r>
            <w:r w:rsidRPr="00734002" w:rsidR="009C6F40">
              <w:t>00</w:t>
            </w:r>
          </w:p>
        </w:tc>
        <w:tc>
          <w:tcPr>
            <w:tcW w:w="2340" w:type="dxa"/>
            <w:tcBorders>
              <w:bottom w:val="single" w:color="auto" w:sz="4" w:space="0"/>
            </w:tcBorders>
            <w:tcMar>
              <w:left w:w="115" w:type="dxa"/>
              <w:right w:w="1080" w:type="dxa"/>
            </w:tcMar>
            <w:vAlign w:val="center"/>
          </w:tcPr>
          <w:p w:rsidRPr="00734002" w:rsidR="007E5347" w:rsidP="004D348D" w:rsidRDefault="00734002">
            <w:pPr>
              <w:jc w:val="right"/>
            </w:pPr>
            <w:r>
              <w:t>2</w:t>
            </w:r>
          </w:p>
        </w:tc>
        <w:tc>
          <w:tcPr>
            <w:tcW w:w="1260" w:type="dxa"/>
            <w:tcBorders>
              <w:bottom w:val="single" w:color="auto" w:sz="4" w:space="0"/>
            </w:tcBorders>
            <w:tcMar>
              <w:left w:w="115" w:type="dxa"/>
              <w:right w:w="432" w:type="dxa"/>
            </w:tcMar>
            <w:vAlign w:val="center"/>
          </w:tcPr>
          <w:p w:rsidRPr="00734002" w:rsidR="007E5347" w:rsidP="004D348D" w:rsidRDefault="007E5347">
            <w:pPr>
              <w:jc w:val="right"/>
            </w:pPr>
            <w:r w:rsidRPr="00734002">
              <w:t>10/60</w:t>
            </w:r>
          </w:p>
        </w:tc>
        <w:tc>
          <w:tcPr>
            <w:tcW w:w="1530" w:type="dxa"/>
            <w:tcBorders>
              <w:bottom w:val="single" w:color="auto" w:sz="4" w:space="0"/>
            </w:tcBorders>
            <w:tcMar>
              <w:left w:w="115" w:type="dxa"/>
              <w:right w:w="576" w:type="dxa"/>
            </w:tcMar>
            <w:vAlign w:val="center"/>
          </w:tcPr>
          <w:p w:rsidRPr="00734002" w:rsidR="007E5347" w:rsidP="0011781A" w:rsidRDefault="009C6F40">
            <w:pPr>
              <w:jc w:val="right"/>
            </w:pPr>
            <w:r w:rsidRPr="00734002">
              <w:t>3</w:t>
            </w:r>
            <w:r w:rsidR="0011781A">
              <w:t>3</w:t>
            </w:r>
          </w:p>
        </w:tc>
      </w:tr>
      <w:tr w:rsidRPr="00734002" w:rsidR="007E5347" w:rsidTr="004D348D">
        <w:tc>
          <w:tcPr>
            <w:tcW w:w="2844" w:type="dxa"/>
          </w:tcPr>
          <w:p w:rsidRPr="00734002" w:rsidR="007E5347" w:rsidP="007E5347" w:rsidRDefault="007E5347">
            <w:r w:rsidRPr="00734002">
              <w:t>Totals</w:t>
            </w:r>
          </w:p>
        </w:tc>
        <w:tc>
          <w:tcPr>
            <w:tcW w:w="1530" w:type="dxa"/>
            <w:tcBorders>
              <w:bottom w:val="single" w:color="auto" w:sz="4" w:space="0"/>
            </w:tcBorders>
            <w:tcMar>
              <w:left w:w="115" w:type="dxa"/>
              <w:right w:w="576" w:type="dxa"/>
            </w:tcMar>
            <w:vAlign w:val="center"/>
          </w:tcPr>
          <w:p w:rsidRPr="00734002" w:rsidR="007E5347" w:rsidP="00F42C7E" w:rsidRDefault="001B59A0">
            <w:pPr>
              <w:jc w:val="right"/>
            </w:pPr>
            <w:r>
              <w:t>6,4</w:t>
            </w:r>
            <w:r w:rsidR="00734002">
              <w:t>60</w:t>
            </w:r>
          </w:p>
        </w:tc>
        <w:tc>
          <w:tcPr>
            <w:tcW w:w="2340" w:type="dxa"/>
            <w:tcBorders>
              <w:bottom w:val="single" w:color="auto" w:sz="4" w:space="0"/>
            </w:tcBorders>
            <w:tcMar>
              <w:left w:w="115" w:type="dxa"/>
              <w:right w:w="1080" w:type="dxa"/>
            </w:tcMar>
            <w:vAlign w:val="center"/>
          </w:tcPr>
          <w:p w:rsidRPr="00734002" w:rsidR="007E5347" w:rsidP="004D348D" w:rsidRDefault="007E5347">
            <w:pPr>
              <w:jc w:val="right"/>
            </w:pPr>
            <w:proofErr w:type="spellStart"/>
            <w:r w:rsidRPr="00734002">
              <w:t>na</w:t>
            </w:r>
            <w:proofErr w:type="spellEnd"/>
          </w:p>
        </w:tc>
        <w:tc>
          <w:tcPr>
            <w:tcW w:w="1260" w:type="dxa"/>
            <w:tcBorders>
              <w:bottom w:val="single" w:color="auto" w:sz="4" w:space="0"/>
            </w:tcBorders>
            <w:tcMar>
              <w:left w:w="115" w:type="dxa"/>
              <w:right w:w="432" w:type="dxa"/>
            </w:tcMar>
            <w:vAlign w:val="center"/>
          </w:tcPr>
          <w:p w:rsidRPr="00734002" w:rsidR="007E5347" w:rsidP="004D348D" w:rsidRDefault="007E5347">
            <w:pPr>
              <w:jc w:val="right"/>
            </w:pPr>
            <w:proofErr w:type="spellStart"/>
            <w:r w:rsidRPr="00734002">
              <w:t>na</w:t>
            </w:r>
            <w:proofErr w:type="spellEnd"/>
          </w:p>
        </w:tc>
        <w:tc>
          <w:tcPr>
            <w:tcW w:w="1530" w:type="dxa"/>
            <w:tcBorders>
              <w:bottom w:val="single" w:color="auto" w:sz="4" w:space="0"/>
            </w:tcBorders>
            <w:tcMar>
              <w:left w:w="115" w:type="dxa"/>
              <w:right w:w="576" w:type="dxa"/>
            </w:tcMar>
            <w:vAlign w:val="center"/>
          </w:tcPr>
          <w:p w:rsidRPr="00734002" w:rsidR="007E5347" w:rsidP="0011781A" w:rsidRDefault="001B59A0">
            <w:pPr>
              <w:jc w:val="right"/>
            </w:pPr>
            <w:r>
              <w:t>4</w:t>
            </w:r>
            <w:r w:rsidRPr="00734002" w:rsidR="00973FC7">
              <w:t>7</w:t>
            </w:r>
            <w:r w:rsidR="0011781A">
              <w:t>6</w:t>
            </w:r>
          </w:p>
        </w:tc>
      </w:tr>
    </w:tbl>
    <w:p w:rsidRPr="00734002" w:rsidR="00734002" w:rsidP="00734002" w:rsidRDefault="007E5347">
      <w:pPr>
        <w:rPr>
          <w:sz w:val="18"/>
          <w:szCs w:val="18"/>
        </w:rPr>
      </w:pPr>
      <w:r w:rsidRPr="007E5347">
        <w:rPr>
          <w:sz w:val="18"/>
          <w:szCs w:val="18"/>
          <w:vertAlign w:val="superscript"/>
        </w:rPr>
        <w:t xml:space="preserve">* </w:t>
      </w:r>
      <w:r w:rsidRPr="007E5347">
        <w:rPr>
          <w:sz w:val="18"/>
          <w:szCs w:val="18"/>
        </w:rPr>
        <w:t>May include telephone non-response follow-up in which case the burden will not change</w:t>
      </w:r>
    </w:p>
    <w:p w:rsidRPr="007E5347" w:rsidR="00CF3385" w:rsidP="00CF3385" w:rsidRDefault="00CF3385">
      <w:pPr>
        <w:spacing w:before="240"/>
      </w:pPr>
      <w:r>
        <w:rPr>
          <w:color w:val="000000"/>
        </w:rPr>
        <w:t>Exhibit 2 shows the estimated cost burden o</w:t>
      </w:r>
      <w:r w:rsidR="00E54F28">
        <w:rPr>
          <w:color w:val="000000"/>
        </w:rPr>
        <w:t>f respondents for these data collection activities</w:t>
      </w:r>
      <w:r>
        <w:rPr>
          <w:color w:val="000000"/>
        </w:rPr>
        <w:t xml:space="preserve">, based on the respondent’s time to participate in these data collection activities.  </w:t>
      </w:r>
      <w:r w:rsidRPr="007E5347">
        <w:rPr>
          <w:color w:val="000000"/>
        </w:rPr>
        <w:t xml:space="preserve">The total cost burden is estimated to be </w:t>
      </w:r>
      <w:r w:rsidRPr="009E42D4">
        <w:t>$</w:t>
      </w:r>
      <w:r w:rsidR="00E54F28">
        <w:t>2</w:t>
      </w:r>
      <w:r w:rsidRPr="003F4F94">
        <w:t>9,</w:t>
      </w:r>
      <w:r w:rsidR="00E54F28">
        <w:t>831</w:t>
      </w:r>
      <w:r w:rsidRPr="009E42D4">
        <w:t>.</w:t>
      </w:r>
      <w:r w:rsidRPr="007E5347">
        <w:t xml:space="preserve">  </w:t>
      </w:r>
    </w:p>
    <w:p w:rsidRPr="007E5347" w:rsidR="007E5347" w:rsidP="00CF3385" w:rsidRDefault="007E5347">
      <w:pPr>
        <w:keepNext/>
        <w:spacing w:before="240"/>
        <w:rPr>
          <w:bCs/>
        </w:rPr>
      </w:pPr>
      <w:r w:rsidRPr="007E5347">
        <w:rPr>
          <w:b/>
        </w:rPr>
        <w:lastRenderedPageBreak/>
        <w:t>Exhibit 2.  Estimated cost burden</w:t>
      </w:r>
    </w:p>
    <w:tbl>
      <w:tblPr>
        <w:tblW w:w="950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14"/>
        <w:gridCol w:w="1530"/>
        <w:gridCol w:w="1530"/>
        <w:gridCol w:w="1890"/>
        <w:gridCol w:w="1440"/>
      </w:tblGrid>
      <w:tr w:rsidRPr="007E5347" w:rsidR="00257F31" w:rsidTr="004D348D">
        <w:tc>
          <w:tcPr>
            <w:tcW w:w="3114" w:type="dxa"/>
            <w:vAlign w:val="center"/>
          </w:tcPr>
          <w:p w:rsidRPr="007E5347" w:rsidR="007E5347" w:rsidP="001B59A0" w:rsidRDefault="007E5347">
            <w:pPr>
              <w:keepNext/>
            </w:pPr>
            <w:r w:rsidRPr="007E5347">
              <w:t>Type of Information Collection</w:t>
            </w:r>
          </w:p>
        </w:tc>
        <w:tc>
          <w:tcPr>
            <w:tcW w:w="1530" w:type="dxa"/>
            <w:tcBorders>
              <w:bottom w:val="single" w:color="auto" w:sz="4" w:space="0"/>
            </w:tcBorders>
            <w:vAlign w:val="center"/>
          </w:tcPr>
          <w:p w:rsidRPr="007E5347" w:rsidR="007E5347" w:rsidP="00257F31" w:rsidRDefault="007E5347">
            <w:pPr>
              <w:keepNext/>
              <w:jc w:val="center"/>
            </w:pPr>
            <w:r w:rsidRPr="007E5347">
              <w:t>Number of Respondents</w:t>
            </w:r>
          </w:p>
        </w:tc>
        <w:tc>
          <w:tcPr>
            <w:tcW w:w="1530" w:type="dxa"/>
            <w:tcBorders>
              <w:bottom w:val="single" w:color="auto" w:sz="4" w:space="0"/>
            </w:tcBorders>
            <w:vAlign w:val="center"/>
          </w:tcPr>
          <w:p w:rsidRPr="007E5347" w:rsidR="007E5347" w:rsidP="004D348D" w:rsidRDefault="007E5347">
            <w:pPr>
              <w:keepNext/>
              <w:jc w:val="center"/>
            </w:pPr>
            <w:r w:rsidRPr="007E5347">
              <w:t>Total Burden Hours</w:t>
            </w:r>
          </w:p>
        </w:tc>
        <w:tc>
          <w:tcPr>
            <w:tcW w:w="1890" w:type="dxa"/>
            <w:tcBorders>
              <w:bottom w:val="single" w:color="auto" w:sz="4" w:space="0"/>
            </w:tcBorders>
            <w:vAlign w:val="center"/>
          </w:tcPr>
          <w:p w:rsidRPr="001B59A0" w:rsidR="007E5347" w:rsidP="004D348D" w:rsidRDefault="007E5347">
            <w:pPr>
              <w:keepNext/>
              <w:jc w:val="center"/>
            </w:pPr>
            <w:r w:rsidRPr="004D348D">
              <w:rPr>
                <w:color w:val="000000"/>
                <w:szCs w:val="20"/>
              </w:rPr>
              <w:t>Average Hourly Wage Rate*</w:t>
            </w:r>
          </w:p>
        </w:tc>
        <w:tc>
          <w:tcPr>
            <w:tcW w:w="1440" w:type="dxa"/>
            <w:tcBorders>
              <w:bottom w:val="single" w:color="auto" w:sz="4" w:space="0"/>
            </w:tcBorders>
            <w:vAlign w:val="center"/>
          </w:tcPr>
          <w:p w:rsidRPr="001B59A0" w:rsidR="007E5347" w:rsidP="004D348D" w:rsidRDefault="007E5347">
            <w:pPr>
              <w:keepNext/>
              <w:jc w:val="center"/>
            </w:pPr>
            <w:r w:rsidRPr="004D348D">
              <w:rPr>
                <w:color w:val="000000"/>
                <w:szCs w:val="20"/>
              </w:rPr>
              <w:t>Total Cost Burden</w:t>
            </w:r>
          </w:p>
        </w:tc>
      </w:tr>
      <w:tr w:rsidRPr="007E5347" w:rsidR="00257F31" w:rsidTr="004D348D">
        <w:tc>
          <w:tcPr>
            <w:tcW w:w="3114" w:type="dxa"/>
            <w:vAlign w:val="center"/>
          </w:tcPr>
          <w:p w:rsidRPr="00734002" w:rsidR="006D7E07" w:rsidP="001B59A0" w:rsidRDefault="006D7E07">
            <w:pPr>
              <w:keepNext/>
              <w:rPr>
                <w:rFonts w:ascii="Times New (W1)" w:hAnsi="Times New (W1)"/>
                <w:vertAlign w:val="superscript"/>
              </w:rPr>
            </w:pPr>
            <w:r w:rsidRPr="00734002">
              <w:t>Card survey (patient)</w:t>
            </w:r>
          </w:p>
        </w:tc>
        <w:tc>
          <w:tcPr>
            <w:tcW w:w="1530" w:type="dxa"/>
            <w:tcBorders>
              <w:bottom w:val="single" w:color="auto" w:sz="4" w:space="0"/>
            </w:tcBorders>
            <w:tcMar>
              <w:left w:w="115" w:type="dxa"/>
              <w:right w:w="504" w:type="dxa"/>
            </w:tcMar>
            <w:vAlign w:val="center"/>
          </w:tcPr>
          <w:p w:rsidRPr="00734002" w:rsidR="006D7E07" w:rsidP="004D348D" w:rsidRDefault="006D7E07">
            <w:pPr>
              <w:keepNext/>
              <w:jc w:val="right"/>
            </w:pPr>
            <w:r w:rsidRPr="00734002">
              <w:t>6,000</w:t>
            </w:r>
          </w:p>
        </w:tc>
        <w:tc>
          <w:tcPr>
            <w:tcW w:w="1530" w:type="dxa"/>
            <w:tcBorders>
              <w:bottom w:val="single" w:color="auto" w:sz="4" w:space="0"/>
            </w:tcBorders>
            <w:tcMar>
              <w:left w:w="115" w:type="dxa"/>
              <w:right w:w="576" w:type="dxa"/>
            </w:tcMar>
            <w:vAlign w:val="center"/>
          </w:tcPr>
          <w:p w:rsidRPr="00734002" w:rsidR="006D7E07" w:rsidP="001B59A0" w:rsidRDefault="006D7E07">
            <w:pPr>
              <w:keepNext/>
              <w:jc w:val="right"/>
            </w:pPr>
            <w:r w:rsidRPr="00734002">
              <w:t>200</w:t>
            </w:r>
          </w:p>
        </w:tc>
        <w:tc>
          <w:tcPr>
            <w:tcW w:w="1890" w:type="dxa"/>
            <w:tcBorders>
              <w:bottom w:val="single" w:color="auto" w:sz="4" w:space="0"/>
            </w:tcBorders>
            <w:tcMar>
              <w:left w:w="115" w:type="dxa"/>
              <w:right w:w="576" w:type="dxa"/>
            </w:tcMar>
            <w:vAlign w:val="center"/>
          </w:tcPr>
          <w:p w:rsidRPr="00734002" w:rsidR="006D7E07" w:rsidP="00F42C7E" w:rsidRDefault="006D7E07">
            <w:pPr>
              <w:keepNext/>
              <w:jc w:val="right"/>
            </w:pPr>
            <w:r w:rsidRPr="00734002">
              <w:t>$24.98</w:t>
            </w:r>
          </w:p>
        </w:tc>
        <w:tc>
          <w:tcPr>
            <w:tcW w:w="1440" w:type="dxa"/>
            <w:tcBorders>
              <w:bottom w:val="single" w:color="auto" w:sz="4" w:space="0"/>
            </w:tcBorders>
            <w:tcMar>
              <w:left w:w="115" w:type="dxa"/>
              <w:right w:w="360" w:type="dxa"/>
            </w:tcMar>
            <w:vAlign w:val="center"/>
          </w:tcPr>
          <w:p w:rsidRPr="00734002" w:rsidR="006D7E07" w:rsidP="004D348D" w:rsidRDefault="006D7E07">
            <w:pPr>
              <w:keepNext/>
              <w:jc w:val="right"/>
            </w:pPr>
            <w:r w:rsidRPr="00734002">
              <w:t>$4,996</w:t>
            </w:r>
          </w:p>
        </w:tc>
      </w:tr>
      <w:tr w:rsidRPr="007E5347" w:rsidR="00257F31" w:rsidTr="004D348D">
        <w:tc>
          <w:tcPr>
            <w:tcW w:w="3114" w:type="dxa"/>
            <w:vAlign w:val="center"/>
          </w:tcPr>
          <w:p w:rsidRPr="00734002" w:rsidR="006D7E07" w:rsidP="001B59A0" w:rsidRDefault="006D7E07">
            <w:pPr>
              <w:keepNext/>
            </w:pPr>
            <w:r w:rsidRPr="00734002">
              <w:t>Card survey (clinician)</w:t>
            </w:r>
          </w:p>
        </w:tc>
        <w:tc>
          <w:tcPr>
            <w:tcW w:w="1530" w:type="dxa"/>
            <w:tcBorders>
              <w:bottom w:val="single" w:color="auto" w:sz="4" w:space="0"/>
            </w:tcBorders>
            <w:tcMar>
              <w:left w:w="115" w:type="dxa"/>
              <w:right w:w="504" w:type="dxa"/>
            </w:tcMar>
            <w:vAlign w:val="center"/>
          </w:tcPr>
          <w:p w:rsidRPr="00734002" w:rsidR="006D7E07" w:rsidP="004D348D" w:rsidRDefault="00EA0F8C">
            <w:pPr>
              <w:keepNext/>
              <w:jc w:val="right"/>
            </w:pPr>
            <w:r>
              <w:t>100</w:t>
            </w:r>
          </w:p>
        </w:tc>
        <w:tc>
          <w:tcPr>
            <w:tcW w:w="1530" w:type="dxa"/>
            <w:tcBorders>
              <w:bottom w:val="single" w:color="auto" w:sz="4" w:space="0"/>
            </w:tcBorders>
            <w:tcMar>
              <w:left w:w="115" w:type="dxa"/>
              <w:right w:w="576" w:type="dxa"/>
            </w:tcMar>
            <w:vAlign w:val="center"/>
          </w:tcPr>
          <w:p w:rsidRPr="00734002" w:rsidR="006D7E07" w:rsidP="001B59A0" w:rsidRDefault="00A30297">
            <w:pPr>
              <w:keepNext/>
              <w:jc w:val="right"/>
            </w:pPr>
            <w:r>
              <w:t>2</w:t>
            </w:r>
            <w:r w:rsidRPr="00734002" w:rsidR="006D7E07">
              <w:t>00</w:t>
            </w:r>
          </w:p>
        </w:tc>
        <w:tc>
          <w:tcPr>
            <w:tcW w:w="1890" w:type="dxa"/>
            <w:tcBorders>
              <w:bottom w:val="single" w:color="auto" w:sz="4" w:space="0"/>
            </w:tcBorders>
            <w:tcMar>
              <w:left w:w="115" w:type="dxa"/>
              <w:right w:w="576" w:type="dxa"/>
            </w:tcMar>
            <w:vAlign w:val="center"/>
          </w:tcPr>
          <w:p w:rsidRPr="00734002" w:rsidR="006D7E07" w:rsidP="00F42C7E" w:rsidRDefault="006D7E07">
            <w:pPr>
              <w:keepNext/>
              <w:jc w:val="right"/>
            </w:pPr>
            <w:r w:rsidRPr="00734002">
              <w:t>$101.43</w:t>
            </w:r>
          </w:p>
        </w:tc>
        <w:tc>
          <w:tcPr>
            <w:tcW w:w="1440" w:type="dxa"/>
            <w:tcBorders>
              <w:bottom w:val="single" w:color="auto" w:sz="4" w:space="0"/>
            </w:tcBorders>
            <w:tcMar>
              <w:left w:w="115" w:type="dxa"/>
              <w:right w:w="360" w:type="dxa"/>
            </w:tcMar>
            <w:vAlign w:val="center"/>
          </w:tcPr>
          <w:p w:rsidRPr="00734002" w:rsidR="006D7E07" w:rsidP="004D348D" w:rsidRDefault="006D7E07">
            <w:pPr>
              <w:keepNext/>
              <w:jc w:val="right"/>
            </w:pPr>
            <w:r w:rsidRPr="00734002">
              <w:t>$</w:t>
            </w:r>
            <w:r w:rsidR="00257F31">
              <w:t>2</w:t>
            </w:r>
            <w:r w:rsidRPr="00734002">
              <w:t>0,</w:t>
            </w:r>
            <w:r w:rsidR="00257F31">
              <w:t>286</w:t>
            </w:r>
          </w:p>
        </w:tc>
      </w:tr>
      <w:tr w:rsidRPr="007E5347" w:rsidR="00257F31" w:rsidTr="004D348D">
        <w:tc>
          <w:tcPr>
            <w:tcW w:w="3114" w:type="dxa"/>
            <w:vAlign w:val="center"/>
          </w:tcPr>
          <w:p w:rsidRPr="00734002" w:rsidR="006D7E07" w:rsidP="001B59A0" w:rsidRDefault="006D7E07">
            <w:pPr>
              <w:keepNext/>
            </w:pPr>
            <w:r w:rsidRPr="00734002">
              <w:t>Audio recorded encounters</w:t>
            </w:r>
          </w:p>
        </w:tc>
        <w:tc>
          <w:tcPr>
            <w:tcW w:w="1530" w:type="dxa"/>
            <w:tcBorders>
              <w:bottom w:val="single" w:color="auto" w:sz="4" w:space="0"/>
            </w:tcBorders>
            <w:tcMar>
              <w:left w:w="115" w:type="dxa"/>
              <w:right w:w="504" w:type="dxa"/>
            </w:tcMar>
            <w:vAlign w:val="center"/>
          </w:tcPr>
          <w:p w:rsidRPr="00734002" w:rsidR="006D7E07" w:rsidP="004D348D" w:rsidRDefault="006D7E07">
            <w:pPr>
              <w:keepNext/>
              <w:jc w:val="right"/>
            </w:pPr>
            <w:r w:rsidRPr="00734002">
              <w:t>260</w:t>
            </w:r>
          </w:p>
        </w:tc>
        <w:tc>
          <w:tcPr>
            <w:tcW w:w="1530" w:type="dxa"/>
            <w:tcBorders>
              <w:bottom w:val="single" w:color="auto" w:sz="4" w:space="0"/>
            </w:tcBorders>
            <w:tcMar>
              <w:left w:w="115" w:type="dxa"/>
              <w:right w:w="576" w:type="dxa"/>
            </w:tcMar>
            <w:vAlign w:val="center"/>
          </w:tcPr>
          <w:p w:rsidRPr="00734002" w:rsidR="006D7E07" w:rsidP="001B59A0" w:rsidRDefault="006D7E07">
            <w:pPr>
              <w:keepNext/>
              <w:jc w:val="right"/>
            </w:pPr>
            <w:r w:rsidRPr="00734002">
              <w:t>44</w:t>
            </w:r>
          </w:p>
        </w:tc>
        <w:tc>
          <w:tcPr>
            <w:tcW w:w="1890" w:type="dxa"/>
            <w:tcBorders>
              <w:bottom w:val="single" w:color="auto" w:sz="4" w:space="0"/>
            </w:tcBorders>
            <w:tcMar>
              <w:left w:w="115" w:type="dxa"/>
              <w:right w:w="576" w:type="dxa"/>
            </w:tcMar>
            <w:vAlign w:val="center"/>
          </w:tcPr>
          <w:p w:rsidRPr="00734002" w:rsidR="006D7E07" w:rsidP="00F42C7E" w:rsidRDefault="006D7E07">
            <w:pPr>
              <w:keepNext/>
              <w:jc w:val="right"/>
            </w:pPr>
            <w:r w:rsidRPr="00734002">
              <w:t>$24.98</w:t>
            </w:r>
          </w:p>
        </w:tc>
        <w:tc>
          <w:tcPr>
            <w:tcW w:w="1440" w:type="dxa"/>
            <w:tcBorders>
              <w:bottom w:val="single" w:color="auto" w:sz="4" w:space="0"/>
            </w:tcBorders>
            <w:tcMar>
              <w:left w:w="115" w:type="dxa"/>
              <w:right w:w="360" w:type="dxa"/>
            </w:tcMar>
            <w:vAlign w:val="center"/>
          </w:tcPr>
          <w:p w:rsidRPr="00734002" w:rsidR="006D7E07" w:rsidP="004D348D" w:rsidRDefault="006D7E07">
            <w:pPr>
              <w:keepNext/>
              <w:jc w:val="right"/>
            </w:pPr>
            <w:r w:rsidRPr="00734002">
              <w:t>$1,100</w:t>
            </w:r>
          </w:p>
        </w:tc>
      </w:tr>
      <w:tr w:rsidRPr="007E5347" w:rsidR="00DF02C3" w:rsidTr="004C321D">
        <w:tc>
          <w:tcPr>
            <w:tcW w:w="3114" w:type="dxa"/>
          </w:tcPr>
          <w:p w:rsidRPr="00734002" w:rsidR="00DF02C3" w:rsidP="00DF02C3" w:rsidRDefault="00DF02C3">
            <w:pPr>
              <w:keepNext/>
            </w:pPr>
            <w:r w:rsidRPr="00734002">
              <w:t>Clinician survey</w:t>
            </w:r>
          </w:p>
        </w:tc>
        <w:tc>
          <w:tcPr>
            <w:tcW w:w="1530" w:type="dxa"/>
            <w:tcBorders>
              <w:bottom w:val="single" w:color="auto" w:sz="4" w:space="0"/>
            </w:tcBorders>
            <w:tcMar>
              <w:left w:w="115" w:type="dxa"/>
              <w:right w:w="504" w:type="dxa"/>
            </w:tcMar>
            <w:vAlign w:val="center"/>
          </w:tcPr>
          <w:p w:rsidRPr="00734002" w:rsidR="00DF02C3" w:rsidP="00DF02C3" w:rsidRDefault="00DF02C3">
            <w:pPr>
              <w:keepNext/>
              <w:jc w:val="right"/>
            </w:pPr>
            <w:r>
              <w:t>1</w:t>
            </w:r>
            <w:r w:rsidRPr="00734002">
              <w:t>00</w:t>
            </w:r>
          </w:p>
        </w:tc>
        <w:tc>
          <w:tcPr>
            <w:tcW w:w="1530" w:type="dxa"/>
            <w:tcBorders>
              <w:bottom w:val="single" w:color="auto" w:sz="4" w:space="0"/>
            </w:tcBorders>
            <w:tcMar>
              <w:left w:w="115" w:type="dxa"/>
              <w:right w:w="576" w:type="dxa"/>
            </w:tcMar>
            <w:vAlign w:val="center"/>
          </w:tcPr>
          <w:p w:rsidRPr="00734002" w:rsidR="00DF02C3" w:rsidP="00DF02C3" w:rsidRDefault="00DF02C3">
            <w:pPr>
              <w:keepNext/>
              <w:jc w:val="right"/>
            </w:pPr>
            <w:r w:rsidRPr="00734002">
              <w:t>34</w:t>
            </w:r>
          </w:p>
        </w:tc>
        <w:tc>
          <w:tcPr>
            <w:tcW w:w="1890" w:type="dxa"/>
            <w:tcBorders>
              <w:bottom w:val="single" w:color="auto" w:sz="4" w:space="0"/>
            </w:tcBorders>
            <w:tcMar>
              <w:left w:w="115" w:type="dxa"/>
              <w:right w:w="576" w:type="dxa"/>
            </w:tcMar>
            <w:vAlign w:val="center"/>
          </w:tcPr>
          <w:p w:rsidRPr="00734002" w:rsidR="00DF02C3" w:rsidP="00DF02C3" w:rsidRDefault="00DF02C3">
            <w:pPr>
              <w:keepNext/>
              <w:jc w:val="right"/>
            </w:pPr>
            <w:r w:rsidRPr="00734002">
              <w:t>$101.43</w:t>
            </w:r>
          </w:p>
        </w:tc>
        <w:tc>
          <w:tcPr>
            <w:tcW w:w="1440" w:type="dxa"/>
            <w:tcBorders>
              <w:bottom w:val="single" w:color="auto" w:sz="4" w:space="0"/>
            </w:tcBorders>
            <w:tcMar>
              <w:left w:w="115" w:type="dxa"/>
              <w:right w:w="360" w:type="dxa"/>
            </w:tcMar>
            <w:vAlign w:val="center"/>
          </w:tcPr>
          <w:p w:rsidRPr="00734002" w:rsidR="00DF02C3" w:rsidP="00E54F28" w:rsidRDefault="00DF02C3">
            <w:pPr>
              <w:keepNext/>
              <w:jc w:val="right"/>
            </w:pPr>
            <w:r w:rsidRPr="00734002">
              <w:t>$3,449</w:t>
            </w:r>
          </w:p>
        </w:tc>
      </w:tr>
      <w:tr w:rsidRPr="007E5347" w:rsidR="00257F31" w:rsidTr="004D348D">
        <w:tc>
          <w:tcPr>
            <w:tcW w:w="3114" w:type="dxa"/>
            <w:vAlign w:val="center"/>
          </w:tcPr>
          <w:p w:rsidRPr="00734002" w:rsidR="006D7E07" w:rsidP="001B59A0" w:rsidRDefault="006D7E07">
            <w:r w:rsidRPr="00734002">
              <w:t>Totals</w:t>
            </w:r>
          </w:p>
        </w:tc>
        <w:tc>
          <w:tcPr>
            <w:tcW w:w="1530" w:type="dxa"/>
            <w:tcBorders>
              <w:bottom w:val="single" w:color="auto" w:sz="4" w:space="0"/>
            </w:tcBorders>
            <w:tcMar>
              <w:left w:w="115" w:type="dxa"/>
              <w:right w:w="504" w:type="dxa"/>
            </w:tcMar>
            <w:vAlign w:val="center"/>
          </w:tcPr>
          <w:p w:rsidRPr="00734002" w:rsidR="006D7E07" w:rsidP="004D348D" w:rsidRDefault="00944219">
            <w:pPr>
              <w:jc w:val="right"/>
            </w:pPr>
            <w:r>
              <w:t>6</w:t>
            </w:r>
            <w:r w:rsidRPr="00734002" w:rsidR="006D7E07">
              <w:t>,</w:t>
            </w:r>
            <w:r>
              <w:t>4</w:t>
            </w:r>
            <w:r w:rsidR="00734002">
              <w:t>6</w:t>
            </w:r>
            <w:r w:rsidRPr="00734002" w:rsidR="006D7E07">
              <w:t>0</w:t>
            </w:r>
          </w:p>
        </w:tc>
        <w:tc>
          <w:tcPr>
            <w:tcW w:w="1530" w:type="dxa"/>
            <w:tcBorders>
              <w:bottom w:val="single" w:color="auto" w:sz="4" w:space="0"/>
            </w:tcBorders>
            <w:tcMar>
              <w:left w:w="115" w:type="dxa"/>
              <w:right w:w="576" w:type="dxa"/>
            </w:tcMar>
            <w:vAlign w:val="center"/>
          </w:tcPr>
          <w:p w:rsidRPr="00734002" w:rsidR="006D7E07" w:rsidP="001B59A0" w:rsidRDefault="00DF02C3">
            <w:pPr>
              <w:jc w:val="right"/>
            </w:pPr>
            <w:r>
              <w:t>478</w:t>
            </w:r>
          </w:p>
        </w:tc>
        <w:tc>
          <w:tcPr>
            <w:tcW w:w="1890" w:type="dxa"/>
            <w:tcBorders>
              <w:bottom w:val="single" w:color="auto" w:sz="4" w:space="0"/>
            </w:tcBorders>
            <w:tcMar>
              <w:left w:w="115" w:type="dxa"/>
              <w:right w:w="576" w:type="dxa"/>
            </w:tcMar>
            <w:vAlign w:val="center"/>
          </w:tcPr>
          <w:p w:rsidRPr="00734002" w:rsidR="006D7E07" w:rsidP="00F42C7E" w:rsidRDefault="006D7E07">
            <w:pPr>
              <w:jc w:val="right"/>
            </w:pPr>
            <w:proofErr w:type="spellStart"/>
            <w:r w:rsidRPr="00734002">
              <w:t>na</w:t>
            </w:r>
            <w:proofErr w:type="spellEnd"/>
          </w:p>
        </w:tc>
        <w:tc>
          <w:tcPr>
            <w:tcW w:w="1440" w:type="dxa"/>
            <w:tcBorders>
              <w:bottom w:val="single" w:color="auto" w:sz="4" w:space="0"/>
            </w:tcBorders>
            <w:tcMar>
              <w:left w:w="115" w:type="dxa"/>
              <w:right w:w="360" w:type="dxa"/>
            </w:tcMar>
            <w:vAlign w:val="center"/>
          </w:tcPr>
          <w:p w:rsidRPr="00346A5E" w:rsidR="006D7E07" w:rsidP="004D348D" w:rsidRDefault="006D7E07">
            <w:pPr>
              <w:jc w:val="right"/>
            </w:pPr>
            <w:r w:rsidRPr="00346A5E">
              <w:t>$</w:t>
            </w:r>
            <w:r w:rsidRPr="00346A5E" w:rsidR="00257F31">
              <w:t>29,831</w:t>
            </w:r>
          </w:p>
        </w:tc>
      </w:tr>
    </w:tbl>
    <w:p w:rsidRPr="00734002" w:rsidR="007E5347" w:rsidP="006D7E07" w:rsidRDefault="007E5347">
      <w:pPr>
        <w:rPr>
          <w:bCs/>
          <w:sz w:val="20"/>
          <w:szCs w:val="20"/>
        </w:rPr>
      </w:pPr>
      <w:r w:rsidRPr="007E5347">
        <w:rPr>
          <w:bCs/>
          <w:color w:val="000000"/>
          <w:sz w:val="20"/>
          <w:szCs w:val="20"/>
        </w:rPr>
        <w:t>*</w:t>
      </w:r>
      <w:r w:rsidRPr="00734002">
        <w:rPr>
          <w:bCs/>
          <w:sz w:val="20"/>
          <w:szCs w:val="20"/>
        </w:rPr>
        <w:t xml:space="preserve">Based upon the average wages for </w:t>
      </w:r>
      <w:r w:rsidRPr="00734002" w:rsidR="006D7E07">
        <w:rPr>
          <w:bCs/>
          <w:sz w:val="20"/>
          <w:szCs w:val="20"/>
        </w:rPr>
        <w:t>29-1060 Physicians and Surgeons (broad) and 00-0000 All Occupations,</w:t>
      </w:r>
      <w:r w:rsidRPr="00734002">
        <w:rPr>
          <w:bCs/>
          <w:sz w:val="20"/>
          <w:szCs w:val="20"/>
        </w:rPr>
        <w:t xml:space="preserve"> “National Compensation Survey: Occupational Wages in the United States, May 201</w:t>
      </w:r>
      <w:r w:rsidRPr="00734002" w:rsidR="006D7E07">
        <w:rPr>
          <w:bCs/>
          <w:sz w:val="20"/>
          <w:szCs w:val="20"/>
        </w:rPr>
        <w:t>8</w:t>
      </w:r>
      <w:r w:rsidRPr="00734002">
        <w:rPr>
          <w:bCs/>
          <w:sz w:val="20"/>
          <w:szCs w:val="20"/>
        </w:rPr>
        <w:t xml:space="preserve">,” U.S. Department of Labor, Bureau of Labor Statistics https://www.bls.gov/oes/current/oes_nat.htm#29-0000. </w:t>
      </w:r>
    </w:p>
    <w:p w:rsidRPr="00412C6F" w:rsidR="009B633D" w:rsidP="00CF3385" w:rsidRDefault="009B633D">
      <w:pPr>
        <w:pStyle w:val="Heading2"/>
        <w:spacing w:after="120"/>
        <w:rPr>
          <w:sz w:val="24"/>
        </w:rPr>
      </w:pPr>
      <w:bookmarkStart w:name="_Toc151782188" w:id="45"/>
      <w:bookmarkStart w:name="_Toc158526228" w:id="46"/>
      <w:bookmarkStart w:name="_Toc32301348" w:id="47"/>
      <w:r w:rsidRPr="00412C6F">
        <w:rPr>
          <w:sz w:val="24"/>
        </w:rPr>
        <w:t>13. Estimates of Annualized Respondent Capital and Maintenance Costs</w:t>
      </w:r>
      <w:bookmarkEnd w:id="45"/>
      <w:bookmarkEnd w:id="46"/>
      <w:bookmarkEnd w:id="47"/>
    </w:p>
    <w:p w:rsidR="00E14FC3" w:rsidP="00CF3385" w:rsidRDefault="00CF3385">
      <w:r>
        <w:t>There are no respondent c</w:t>
      </w:r>
      <w:r w:rsidR="000E4E72">
        <w:t>apital and maintenance costs</w:t>
      </w:r>
      <w:r>
        <w:t>, which</w:t>
      </w:r>
      <w:r w:rsidR="000E4E72">
        <w:t xml:space="preserve"> include the purchase of equipment, computers or computer software or services, or storage facilities for records, as a result of </w:t>
      </w:r>
      <w:r>
        <w:t>participating in</w:t>
      </w:r>
      <w:r w:rsidR="000E4E72">
        <w:t xml:space="preserve"> this data collection.  </w:t>
      </w:r>
      <w:r w:rsidRPr="004C4946" w:rsidR="000E4E72">
        <w:t>The only cost to respondent</w:t>
      </w:r>
      <w:r>
        <w:t xml:space="preserve">s </w:t>
      </w:r>
      <w:r w:rsidRPr="004C4946" w:rsidR="000E4E72">
        <w:t>will be that associated with their time to respond to the information collection</w:t>
      </w:r>
      <w:r w:rsidR="000E4E72">
        <w:t xml:space="preserve"> </w:t>
      </w:r>
      <w:r w:rsidRPr="004C4946" w:rsidR="000E4E72">
        <w:t>as shown in Exhibits 1 and 2</w:t>
      </w:r>
      <w:r w:rsidR="000E4E72">
        <w:t xml:space="preserve">. </w:t>
      </w:r>
    </w:p>
    <w:p w:rsidRPr="00412C6F" w:rsidR="009B633D" w:rsidP="00CF3385" w:rsidRDefault="009B633D">
      <w:pPr>
        <w:pStyle w:val="Heading2"/>
        <w:spacing w:after="120"/>
        <w:rPr>
          <w:sz w:val="24"/>
        </w:rPr>
      </w:pPr>
      <w:bookmarkStart w:name="_Toc58725299" w:id="48"/>
      <w:bookmarkStart w:name="_Toc151782189" w:id="49"/>
      <w:bookmarkStart w:name="_Toc158526229" w:id="50"/>
      <w:bookmarkStart w:name="_Toc32301349" w:id="51"/>
      <w:r w:rsidRPr="00412C6F">
        <w:rPr>
          <w:sz w:val="24"/>
        </w:rPr>
        <w:t>14. Estimates of Annualized Cost to the Government</w:t>
      </w:r>
      <w:bookmarkEnd w:id="48"/>
      <w:bookmarkEnd w:id="49"/>
      <w:bookmarkEnd w:id="50"/>
      <w:bookmarkEnd w:id="51"/>
    </w:p>
    <w:p w:rsidRPr="00233A6A" w:rsidR="00DD0EF7" w:rsidP="00DD0EF7" w:rsidRDefault="00DD0EF7">
      <w:bookmarkStart w:name="OLE_LINK6" w:id="52"/>
      <w:bookmarkStart w:name="_Toc151782190" w:id="53"/>
      <w:bookmarkStart w:name="_Toc158526230" w:id="54"/>
      <w:r>
        <w:rPr>
          <w:szCs w:val="20"/>
        </w:rPr>
        <w:t xml:space="preserve">Information collections conducted under this clearance </w:t>
      </w:r>
      <w:r w:rsidRPr="00582199">
        <w:rPr>
          <w:szCs w:val="20"/>
        </w:rPr>
        <w:t>will be carried out under contract</w:t>
      </w:r>
      <w:r w:rsidR="00DE17B2">
        <w:rPr>
          <w:szCs w:val="20"/>
        </w:rPr>
        <w:t xml:space="preserve"> with the University of Colorado</w:t>
      </w:r>
      <w:r w:rsidRPr="00582199">
        <w:rPr>
          <w:szCs w:val="20"/>
        </w:rPr>
        <w:t>.</w:t>
      </w:r>
      <w:r>
        <w:rPr>
          <w:szCs w:val="20"/>
        </w:rPr>
        <w:t xml:space="preserve">  </w:t>
      </w:r>
    </w:p>
    <w:p w:rsidRPr="001D77C6" w:rsidR="00DD0EF7" w:rsidP="00EA2FC5" w:rsidRDefault="001C4C55">
      <w:pPr>
        <w:spacing w:before="240" w:after="240"/>
        <w:rPr>
          <w:bCs/>
          <w:color w:val="000000"/>
        </w:rPr>
      </w:pPr>
      <w:r>
        <w:rPr>
          <w:bCs/>
          <w:color w:val="000000"/>
        </w:rPr>
        <w:t xml:space="preserve">The project and aspects of data collection related activities will occur in each of the three (3) years of the project. </w:t>
      </w:r>
      <w:r w:rsidRPr="001D77C6" w:rsidR="00DD0EF7">
        <w:rPr>
          <w:bCs/>
          <w:color w:val="000000"/>
        </w:rPr>
        <w:t xml:space="preserve">Exhibit 4 shows the </w:t>
      </w:r>
      <w:r w:rsidR="00D32118">
        <w:rPr>
          <w:bCs/>
          <w:color w:val="000000"/>
        </w:rPr>
        <w:t xml:space="preserve">total </w:t>
      </w:r>
      <w:r w:rsidRPr="001D77C6" w:rsidR="00DD0EF7">
        <w:rPr>
          <w:bCs/>
          <w:color w:val="000000"/>
        </w:rPr>
        <w:t xml:space="preserve">cost </w:t>
      </w:r>
      <w:r w:rsidR="00D32118">
        <w:rPr>
          <w:bCs/>
          <w:color w:val="000000"/>
        </w:rPr>
        <w:t>and annual</w:t>
      </w:r>
      <w:r w:rsidR="00033C8B">
        <w:rPr>
          <w:bCs/>
          <w:color w:val="000000"/>
        </w:rPr>
        <w:t>ized</w:t>
      </w:r>
      <w:r w:rsidR="00D32118">
        <w:rPr>
          <w:bCs/>
          <w:color w:val="000000"/>
        </w:rPr>
        <w:t xml:space="preserve"> cost</w:t>
      </w:r>
      <w:r w:rsidR="00033C8B">
        <w:rPr>
          <w:bCs/>
          <w:color w:val="000000"/>
        </w:rPr>
        <w:t xml:space="preserve"> for the overall project. The estimated annualized cost of $399,982 includes all components of the project to update and evaluation the SHARE Approach model. Although not shown in the exhibit, t</w:t>
      </w:r>
      <w:r w:rsidRPr="001D77C6" w:rsidR="00DD0EF7">
        <w:rPr>
          <w:bCs/>
          <w:color w:val="000000"/>
        </w:rPr>
        <w:t xml:space="preserve">he </w:t>
      </w:r>
      <w:r w:rsidR="002D76E4">
        <w:rPr>
          <w:bCs/>
          <w:color w:val="000000"/>
        </w:rPr>
        <w:t xml:space="preserve">annualized cost of all </w:t>
      </w:r>
      <w:r w:rsidR="00EA2FC5">
        <w:rPr>
          <w:bCs/>
          <w:color w:val="000000"/>
        </w:rPr>
        <w:t xml:space="preserve">data collection related activities </w:t>
      </w:r>
      <w:r w:rsidR="002D76E4">
        <w:rPr>
          <w:bCs/>
          <w:color w:val="000000"/>
        </w:rPr>
        <w:t>is $160,543.</w:t>
      </w:r>
    </w:p>
    <w:p w:rsidR="00DD0EF7" w:rsidP="00DD0EF7" w:rsidRDefault="00DD0EF7">
      <w:pPr>
        <w:keepNext/>
        <w:keepLines/>
      </w:pPr>
      <w:r>
        <w:rPr>
          <w:b/>
          <w:bCs/>
          <w:color w:val="000000"/>
        </w:rPr>
        <w:t xml:space="preserve">Exhibit </w:t>
      </w:r>
      <w:r w:rsidR="00B55C10">
        <w:rPr>
          <w:b/>
          <w:bCs/>
          <w:color w:val="000000"/>
        </w:rPr>
        <w:t>3</w:t>
      </w:r>
      <w:r>
        <w:rPr>
          <w:b/>
          <w:bCs/>
          <w:color w:val="000000"/>
        </w:rPr>
        <w:t xml:space="preserve">.  Estimated </w:t>
      </w:r>
      <w:r w:rsidR="00D32118">
        <w:rPr>
          <w:b/>
          <w:bCs/>
          <w:color w:val="000000"/>
        </w:rPr>
        <w:t xml:space="preserve">Annualized </w:t>
      </w:r>
      <w:r>
        <w:rPr>
          <w:b/>
          <w:bCs/>
          <w:color w:val="000000"/>
        </w:rPr>
        <w:t>Cost</w:t>
      </w:r>
    </w:p>
    <w:tbl>
      <w:tblPr>
        <w:tblW w:w="747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3960"/>
        <w:gridCol w:w="1440"/>
        <w:gridCol w:w="2070"/>
      </w:tblGrid>
      <w:tr w:rsidR="005B316C" w:rsidTr="001F42A3">
        <w:tc>
          <w:tcPr>
            <w:tcW w:w="3960" w:type="dxa"/>
            <w:tcMar>
              <w:top w:w="0" w:type="dxa"/>
              <w:left w:w="108" w:type="dxa"/>
              <w:bottom w:w="0" w:type="dxa"/>
              <w:right w:w="108" w:type="dxa"/>
            </w:tcMar>
            <w:vAlign w:val="bottom"/>
            <w:hideMark/>
          </w:tcPr>
          <w:p w:rsidRPr="00CE77C6" w:rsidR="005B316C" w:rsidP="00A30B31" w:rsidRDefault="005B316C">
            <w:pPr>
              <w:keepNext/>
              <w:keepLines/>
              <w:spacing w:line="256" w:lineRule="auto"/>
              <w:rPr>
                <w:b/>
              </w:rPr>
            </w:pPr>
            <w:r w:rsidRPr="00CE77C6">
              <w:rPr>
                <w:b/>
                <w:color w:val="000000"/>
              </w:rPr>
              <w:t xml:space="preserve">Cost Component </w:t>
            </w:r>
          </w:p>
        </w:tc>
        <w:tc>
          <w:tcPr>
            <w:tcW w:w="1440" w:type="dxa"/>
            <w:tcMar>
              <w:top w:w="0" w:type="dxa"/>
              <w:left w:w="108" w:type="dxa"/>
              <w:bottom w:w="0" w:type="dxa"/>
              <w:right w:w="108" w:type="dxa"/>
            </w:tcMar>
            <w:vAlign w:val="center"/>
            <w:hideMark/>
          </w:tcPr>
          <w:p w:rsidR="005B316C" w:rsidDel="0011434C" w:rsidP="005B316C" w:rsidRDefault="005B316C">
            <w:pPr>
              <w:keepNext/>
              <w:keepLines/>
              <w:spacing w:line="256" w:lineRule="auto"/>
              <w:jc w:val="center"/>
              <w:rPr>
                <w:b/>
              </w:rPr>
            </w:pPr>
            <w:r w:rsidRPr="00CE77C6">
              <w:rPr>
                <w:b/>
              </w:rPr>
              <w:t>Total Cost</w:t>
            </w:r>
          </w:p>
        </w:tc>
        <w:tc>
          <w:tcPr>
            <w:tcW w:w="2070" w:type="dxa"/>
            <w:vAlign w:val="center"/>
          </w:tcPr>
          <w:p w:rsidR="005B316C" w:rsidDel="0011434C" w:rsidP="005B316C" w:rsidRDefault="005B316C">
            <w:pPr>
              <w:keepNext/>
              <w:keepLines/>
              <w:spacing w:line="256" w:lineRule="auto"/>
              <w:jc w:val="center"/>
              <w:rPr>
                <w:b/>
              </w:rPr>
            </w:pPr>
            <w:r>
              <w:rPr>
                <w:b/>
              </w:rPr>
              <w:t>Annualized</w:t>
            </w:r>
            <w:r w:rsidRPr="00CE77C6">
              <w:rPr>
                <w:b/>
              </w:rPr>
              <w:t xml:space="preserve"> Cost</w:t>
            </w:r>
          </w:p>
        </w:tc>
      </w:tr>
      <w:tr w:rsidR="00033C8B" w:rsidTr="001F42A3">
        <w:tc>
          <w:tcPr>
            <w:tcW w:w="3960" w:type="dxa"/>
            <w:tcMar>
              <w:top w:w="0" w:type="dxa"/>
              <w:left w:w="108" w:type="dxa"/>
              <w:bottom w:w="0" w:type="dxa"/>
              <w:right w:w="108" w:type="dxa"/>
            </w:tcMar>
            <w:vAlign w:val="center"/>
            <w:hideMark/>
          </w:tcPr>
          <w:p w:rsidRPr="00CE77C6" w:rsidR="00033C8B" w:rsidP="00033C8B" w:rsidRDefault="00033C8B">
            <w:pPr>
              <w:keepNext/>
              <w:keepLines/>
              <w:spacing w:line="256" w:lineRule="auto"/>
            </w:pPr>
            <w:r>
              <w:t>Updating the SHARE Approach</w:t>
            </w:r>
          </w:p>
        </w:tc>
        <w:tc>
          <w:tcPr>
            <w:tcW w:w="1440" w:type="dxa"/>
            <w:tcMar>
              <w:top w:w="0" w:type="dxa"/>
              <w:left w:w="115" w:type="dxa"/>
              <w:bottom w:w="0" w:type="dxa"/>
              <w:right w:w="115" w:type="dxa"/>
            </w:tcMar>
          </w:tcPr>
          <w:p w:rsidRPr="00CE77C6" w:rsidR="00033C8B" w:rsidP="00033C8B" w:rsidRDefault="00033C8B">
            <w:pPr>
              <w:keepNext/>
              <w:keepLines/>
              <w:spacing w:line="256" w:lineRule="auto"/>
              <w:jc w:val="right"/>
              <w:rPr>
                <w:color w:val="000000"/>
                <w:szCs w:val="22"/>
              </w:rPr>
            </w:pPr>
            <w:r w:rsidRPr="00FF5961">
              <w:t xml:space="preserve">$72,565 </w:t>
            </w:r>
          </w:p>
        </w:tc>
        <w:tc>
          <w:tcPr>
            <w:tcW w:w="2070" w:type="dxa"/>
            <w:tcMar>
              <w:left w:w="115" w:type="dxa"/>
              <w:right w:w="115" w:type="dxa"/>
            </w:tcMar>
          </w:tcPr>
          <w:p w:rsidR="00033C8B" w:rsidP="00033C8B" w:rsidRDefault="00033C8B">
            <w:pPr>
              <w:keepNext/>
              <w:keepLines/>
              <w:spacing w:line="256" w:lineRule="auto"/>
              <w:jc w:val="right"/>
            </w:pPr>
            <w:r w:rsidRPr="00D24046">
              <w:t xml:space="preserve">$24,188 </w:t>
            </w:r>
          </w:p>
        </w:tc>
      </w:tr>
      <w:tr w:rsidR="00033C8B" w:rsidTr="001F42A3">
        <w:tc>
          <w:tcPr>
            <w:tcW w:w="3960" w:type="dxa"/>
            <w:tcMar>
              <w:top w:w="0" w:type="dxa"/>
              <w:left w:w="108" w:type="dxa"/>
              <w:bottom w:w="0" w:type="dxa"/>
              <w:right w:w="108" w:type="dxa"/>
            </w:tcMar>
            <w:vAlign w:val="center"/>
            <w:hideMark/>
          </w:tcPr>
          <w:p w:rsidRPr="00CE77C6" w:rsidR="00033C8B" w:rsidP="00033C8B" w:rsidRDefault="00033C8B">
            <w:pPr>
              <w:keepNext/>
              <w:keepLines/>
              <w:spacing w:line="256" w:lineRule="auto"/>
            </w:pPr>
            <w:r>
              <w:t>Preparation for Implementation</w:t>
            </w:r>
          </w:p>
        </w:tc>
        <w:tc>
          <w:tcPr>
            <w:tcW w:w="1440" w:type="dxa"/>
            <w:tcMar>
              <w:top w:w="0" w:type="dxa"/>
              <w:left w:w="115" w:type="dxa"/>
              <w:bottom w:w="0" w:type="dxa"/>
              <w:right w:w="115" w:type="dxa"/>
            </w:tcMar>
          </w:tcPr>
          <w:p w:rsidRPr="00CE77C6" w:rsidR="00033C8B" w:rsidP="00033C8B" w:rsidRDefault="00033C8B">
            <w:pPr>
              <w:keepNext/>
              <w:keepLines/>
              <w:spacing w:line="256" w:lineRule="auto"/>
              <w:jc w:val="right"/>
            </w:pPr>
            <w:r w:rsidRPr="00FF5961">
              <w:t xml:space="preserve">$65,699 </w:t>
            </w:r>
          </w:p>
        </w:tc>
        <w:tc>
          <w:tcPr>
            <w:tcW w:w="2070" w:type="dxa"/>
            <w:tcMar>
              <w:left w:w="115" w:type="dxa"/>
              <w:right w:w="115" w:type="dxa"/>
            </w:tcMar>
          </w:tcPr>
          <w:p w:rsidR="00033C8B" w:rsidP="00033C8B" w:rsidRDefault="00033C8B">
            <w:pPr>
              <w:keepNext/>
              <w:keepLines/>
              <w:spacing w:line="256" w:lineRule="auto"/>
              <w:jc w:val="right"/>
            </w:pPr>
            <w:r w:rsidRPr="00D24046">
              <w:t xml:space="preserve">$21,900 </w:t>
            </w:r>
          </w:p>
        </w:tc>
      </w:tr>
      <w:tr w:rsidR="00033C8B" w:rsidTr="001F42A3">
        <w:tc>
          <w:tcPr>
            <w:tcW w:w="3960" w:type="dxa"/>
            <w:tcMar>
              <w:top w:w="0" w:type="dxa"/>
              <w:left w:w="108" w:type="dxa"/>
              <w:bottom w:w="0" w:type="dxa"/>
              <w:right w:w="108" w:type="dxa"/>
            </w:tcMar>
            <w:vAlign w:val="center"/>
            <w:hideMark/>
          </w:tcPr>
          <w:p w:rsidRPr="00CE77C6" w:rsidR="00033C8B" w:rsidP="00033C8B" w:rsidRDefault="00033C8B">
            <w:pPr>
              <w:keepNext/>
              <w:keepLines/>
              <w:spacing w:line="256" w:lineRule="auto"/>
            </w:pPr>
            <w:r>
              <w:t>Evaluation Plan</w:t>
            </w:r>
          </w:p>
        </w:tc>
        <w:tc>
          <w:tcPr>
            <w:tcW w:w="1440" w:type="dxa"/>
            <w:tcMar>
              <w:top w:w="0" w:type="dxa"/>
              <w:left w:w="115" w:type="dxa"/>
              <w:bottom w:w="0" w:type="dxa"/>
              <w:right w:w="115" w:type="dxa"/>
            </w:tcMar>
          </w:tcPr>
          <w:p w:rsidRPr="00CE77C6" w:rsidR="00033C8B" w:rsidP="00033C8B" w:rsidRDefault="00033C8B">
            <w:pPr>
              <w:keepNext/>
              <w:keepLines/>
              <w:spacing w:line="256" w:lineRule="auto"/>
              <w:jc w:val="right"/>
            </w:pPr>
            <w:r w:rsidRPr="00FF5961">
              <w:t xml:space="preserve">$73,655 </w:t>
            </w:r>
          </w:p>
        </w:tc>
        <w:tc>
          <w:tcPr>
            <w:tcW w:w="2070" w:type="dxa"/>
            <w:tcMar>
              <w:left w:w="115" w:type="dxa"/>
              <w:right w:w="115" w:type="dxa"/>
            </w:tcMar>
          </w:tcPr>
          <w:p w:rsidR="00033C8B" w:rsidP="00033C8B" w:rsidRDefault="00033C8B">
            <w:pPr>
              <w:keepNext/>
              <w:keepLines/>
              <w:spacing w:line="256" w:lineRule="auto"/>
              <w:jc w:val="right"/>
            </w:pPr>
            <w:r w:rsidRPr="00D24046">
              <w:t xml:space="preserve">$24,552 </w:t>
            </w:r>
          </w:p>
        </w:tc>
      </w:tr>
      <w:tr w:rsidR="00033C8B" w:rsidTr="001F42A3">
        <w:tc>
          <w:tcPr>
            <w:tcW w:w="3960" w:type="dxa"/>
            <w:tcMar>
              <w:top w:w="0" w:type="dxa"/>
              <w:left w:w="108" w:type="dxa"/>
              <w:bottom w:w="0" w:type="dxa"/>
              <w:right w:w="108" w:type="dxa"/>
            </w:tcMar>
            <w:vAlign w:val="center"/>
            <w:hideMark/>
          </w:tcPr>
          <w:p w:rsidRPr="00CE77C6" w:rsidR="00033C8B" w:rsidP="00033C8B" w:rsidRDefault="00033C8B">
            <w:pPr>
              <w:keepNext/>
              <w:keepLines/>
              <w:spacing w:line="256" w:lineRule="auto"/>
            </w:pPr>
            <w:r>
              <w:t>Implementation of SHARE Approach</w:t>
            </w:r>
          </w:p>
        </w:tc>
        <w:tc>
          <w:tcPr>
            <w:tcW w:w="1440" w:type="dxa"/>
            <w:tcMar>
              <w:top w:w="0" w:type="dxa"/>
              <w:left w:w="115" w:type="dxa"/>
              <w:bottom w:w="0" w:type="dxa"/>
              <w:right w:w="115" w:type="dxa"/>
            </w:tcMar>
          </w:tcPr>
          <w:p w:rsidRPr="00CE77C6" w:rsidR="00033C8B" w:rsidP="00033C8B" w:rsidRDefault="00033C8B">
            <w:pPr>
              <w:keepNext/>
              <w:keepLines/>
              <w:spacing w:line="256" w:lineRule="auto"/>
              <w:jc w:val="right"/>
            </w:pPr>
            <w:r w:rsidRPr="00FF5961">
              <w:t xml:space="preserve">$407,160 </w:t>
            </w:r>
          </w:p>
        </w:tc>
        <w:tc>
          <w:tcPr>
            <w:tcW w:w="2070" w:type="dxa"/>
            <w:tcMar>
              <w:left w:w="115" w:type="dxa"/>
              <w:right w:w="115" w:type="dxa"/>
            </w:tcMar>
          </w:tcPr>
          <w:p w:rsidR="00033C8B" w:rsidP="00033C8B" w:rsidRDefault="00033C8B">
            <w:pPr>
              <w:keepNext/>
              <w:keepLines/>
              <w:spacing w:line="256" w:lineRule="auto"/>
              <w:jc w:val="right"/>
            </w:pPr>
            <w:r w:rsidRPr="00D24046">
              <w:t xml:space="preserve">$135,720 </w:t>
            </w:r>
          </w:p>
        </w:tc>
      </w:tr>
      <w:tr w:rsidR="00033C8B" w:rsidTr="001F42A3">
        <w:tc>
          <w:tcPr>
            <w:tcW w:w="3960" w:type="dxa"/>
            <w:tcMar>
              <w:top w:w="0" w:type="dxa"/>
              <w:left w:w="108" w:type="dxa"/>
              <w:bottom w:w="0" w:type="dxa"/>
              <w:right w:w="108" w:type="dxa"/>
            </w:tcMar>
            <w:vAlign w:val="center"/>
            <w:hideMark/>
          </w:tcPr>
          <w:p w:rsidRPr="00CE77C6" w:rsidR="00033C8B" w:rsidP="00033C8B" w:rsidRDefault="00033C8B">
            <w:pPr>
              <w:keepNext/>
              <w:keepLines/>
              <w:spacing w:line="256" w:lineRule="auto"/>
            </w:pPr>
            <w:r>
              <w:t>Data Analysis and Reporting</w:t>
            </w:r>
          </w:p>
        </w:tc>
        <w:tc>
          <w:tcPr>
            <w:tcW w:w="1440" w:type="dxa"/>
            <w:tcMar>
              <w:top w:w="0" w:type="dxa"/>
              <w:left w:w="115" w:type="dxa"/>
              <w:bottom w:w="0" w:type="dxa"/>
              <w:right w:w="115" w:type="dxa"/>
            </w:tcMar>
          </w:tcPr>
          <w:p w:rsidRPr="00CE77C6" w:rsidR="00033C8B" w:rsidP="00033C8B" w:rsidRDefault="00033C8B">
            <w:pPr>
              <w:keepNext/>
              <w:keepLines/>
              <w:spacing w:line="256" w:lineRule="auto"/>
              <w:jc w:val="right"/>
            </w:pPr>
            <w:r w:rsidRPr="00FF5961">
              <w:t xml:space="preserve">$367,685 </w:t>
            </w:r>
          </w:p>
        </w:tc>
        <w:tc>
          <w:tcPr>
            <w:tcW w:w="2070" w:type="dxa"/>
            <w:tcMar>
              <w:left w:w="115" w:type="dxa"/>
              <w:right w:w="115" w:type="dxa"/>
            </w:tcMar>
          </w:tcPr>
          <w:p w:rsidR="00033C8B" w:rsidP="00033C8B" w:rsidRDefault="00033C8B">
            <w:pPr>
              <w:keepNext/>
              <w:keepLines/>
              <w:spacing w:line="256" w:lineRule="auto"/>
              <w:jc w:val="right"/>
            </w:pPr>
            <w:r w:rsidRPr="00D24046">
              <w:t xml:space="preserve">$122,562 </w:t>
            </w:r>
          </w:p>
        </w:tc>
      </w:tr>
      <w:tr w:rsidR="00033C8B" w:rsidTr="001F42A3">
        <w:tc>
          <w:tcPr>
            <w:tcW w:w="3960" w:type="dxa"/>
            <w:tcMar>
              <w:top w:w="0" w:type="dxa"/>
              <w:left w:w="108" w:type="dxa"/>
              <w:bottom w:w="0" w:type="dxa"/>
              <w:right w:w="108" w:type="dxa"/>
            </w:tcMar>
            <w:vAlign w:val="center"/>
            <w:hideMark/>
          </w:tcPr>
          <w:p w:rsidRPr="00CE77C6" w:rsidR="00033C8B" w:rsidP="00033C8B" w:rsidRDefault="00033C8B">
            <w:pPr>
              <w:keepNext/>
              <w:keepLines/>
              <w:spacing w:line="256" w:lineRule="auto"/>
            </w:pPr>
            <w:r w:rsidRPr="00CE77C6">
              <w:t>Project Management</w:t>
            </w:r>
          </w:p>
        </w:tc>
        <w:tc>
          <w:tcPr>
            <w:tcW w:w="1440" w:type="dxa"/>
            <w:tcMar>
              <w:top w:w="0" w:type="dxa"/>
              <w:left w:w="115" w:type="dxa"/>
              <w:bottom w:w="0" w:type="dxa"/>
              <w:right w:w="115" w:type="dxa"/>
            </w:tcMar>
          </w:tcPr>
          <w:p w:rsidRPr="00CE77C6" w:rsidR="00033C8B" w:rsidP="00033C8B" w:rsidRDefault="00033C8B">
            <w:pPr>
              <w:keepNext/>
              <w:keepLines/>
              <w:spacing w:line="256" w:lineRule="auto"/>
              <w:jc w:val="right"/>
            </w:pPr>
            <w:r w:rsidRPr="00FF5961">
              <w:t xml:space="preserve">$213,182 </w:t>
            </w:r>
          </w:p>
        </w:tc>
        <w:tc>
          <w:tcPr>
            <w:tcW w:w="2070" w:type="dxa"/>
            <w:tcMar>
              <w:left w:w="115" w:type="dxa"/>
              <w:right w:w="115" w:type="dxa"/>
            </w:tcMar>
          </w:tcPr>
          <w:p w:rsidR="00033C8B" w:rsidP="00033C8B" w:rsidRDefault="00033C8B">
            <w:pPr>
              <w:keepNext/>
              <w:keepLines/>
              <w:spacing w:line="256" w:lineRule="auto"/>
              <w:jc w:val="right"/>
            </w:pPr>
            <w:r w:rsidRPr="00D24046">
              <w:t xml:space="preserve">$71,061 </w:t>
            </w:r>
          </w:p>
        </w:tc>
      </w:tr>
      <w:tr w:rsidR="00033C8B" w:rsidTr="001F42A3">
        <w:tc>
          <w:tcPr>
            <w:tcW w:w="3960" w:type="dxa"/>
            <w:tcMar>
              <w:top w:w="0" w:type="dxa"/>
              <w:left w:w="108" w:type="dxa"/>
              <w:bottom w:w="0" w:type="dxa"/>
              <w:right w:w="108" w:type="dxa"/>
            </w:tcMar>
            <w:vAlign w:val="center"/>
            <w:hideMark/>
          </w:tcPr>
          <w:p w:rsidRPr="00CE77C6" w:rsidR="00033C8B" w:rsidP="00033C8B" w:rsidRDefault="00033C8B">
            <w:pPr>
              <w:spacing w:line="256" w:lineRule="auto"/>
            </w:pPr>
            <w:r w:rsidRPr="00CE77C6">
              <w:rPr>
                <w:b/>
                <w:bCs/>
                <w:color w:val="000000"/>
              </w:rPr>
              <w:t>Total</w:t>
            </w:r>
          </w:p>
        </w:tc>
        <w:tc>
          <w:tcPr>
            <w:tcW w:w="1440" w:type="dxa"/>
            <w:tcMar>
              <w:top w:w="0" w:type="dxa"/>
              <w:left w:w="115" w:type="dxa"/>
              <w:bottom w:w="0" w:type="dxa"/>
              <w:right w:w="115" w:type="dxa"/>
            </w:tcMar>
          </w:tcPr>
          <w:p w:rsidRPr="00CE77C6" w:rsidR="00033C8B" w:rsidP="00033C8B" w:rsidRDefault="00033C8B">
            <w:pPr>
              <w:spacing w:line="256" w:lineRule="auto"/>
              <w:jc w:val="right"/>
            </w:pPr>
            <w:r w:rsidRPr="00FF5961">
              <w:t xml:space="preserve">$1,199,946 </w:t>
            </w:r>
          </w:p>
        </w:tc>
        <w:tc>
          <w:tcPr>
            <w:tcW w:w="2070" w:type="dxa"/>
            <w:tcMar>
              <w:left w:w="115" w:type="dxa"/>
              <w:right w:w="115" w:type="dxa"/>
            </w:tcMar>
          </w:tcPr>
          <w:p w:rsidR="00033C8B" w:rsidP="00033C8B" w:rsidRDefault="00033C8B">
            <w:pPr>
              <w:spacing w:line="256" w:lineRule="auto"/>
              <w:jc w:val="right"/>
            </w:pPr>
            <w:r w:rsidRPr="00D24046">
              <w:t xml:space="preserve">$399,982 </w:t>
            </w:r>
          </w:p>
        </w:tc>
      </w:tr>
    </w:tbl>
    <w:p w:rsidRPr="00233A6A" w:rsidR="00DE17B2" w:rsidP="000A10E4" w:rsidRDefault="002D76E4">
      <w:pPr>
        <w:spacing w:before="240" w:after="240"/>
      </w:pPr>
      <w:r>
        <w:t xml:space="preserve">Exhibit </w:t>
      </w:r>
      <w:r w:rsidR="005B316C">
        <w:t>4</w:t>
      </w:r>
      <w:r>
        <w:t xml:space="preserve"> shows the </w:t>
      </w:r>
      <w:r w:rsidR="000A10E4">
        <w:t>estimated annual cost for</w:t>
      </w:r>
      <w:r>
        <w:t xml:space="preserve"> AHRQ </w:t>
      </w:r>
      <w:r w:rsidR="000A10E4">
        <w:t xml:space="preserve">staff </w:t>
      </w:r>
      <w:r>
        <w:t xml:space="preserve">overseeing this project. With approximately 40% of the </w:t>
      </w:r>
      <w:r w:rsidR="000A10E4">
        <w:t>overall project related to data collection activities a</w:t>
      </w:r>
      <w:r w:rsidRPr="00233A6A" w:rsidR="00DE17B2">
        <w:t>n</w:t>
      </w:r>
      <w:r w:rsidR="000A10E4">
        <w:t xml:space="preserve"> additional annual cost of</w:t>
      </w:r>
      <w:r w:rsidRPr="00233A6A" w:rsidR="00DE17B2">
        <w:t xml:space="preserve"> $</w:t>
      </w:r>
      <w:r w:rsidR="000A10E4">
        <w:t>12,134</w:t>
      </w:r>
      <w:r w:rsidRPr="00233A6A" w:rsidR="00DE17B2">
        <w:t xml:space="preserve"> for agency staff would be associated with </w:t>
      </w:r>
      <w:r w:rsidR="000A10E4">
        <w:t xml:space="preserve">data collection related activities on </w:t>
      </w:r>
      <w:r w:rsidRPr="00233A6A" w:rsidR="00DE17B2">
        <w:t xml:space="preserve">this </w:t>
      </w:r>
      <w:r>
        <w:t>project.</w:t>
      </w:r>
      <w:r w:rsidR="000A10E4">
        <w:t xml:space="preserve"> The total </w:t>
      </w:r>
      <w:r w:rsidRPr="00233A6A" w:rsidR="00DE17B2">
        <w:t>annual cost to the government</w:t>
      </w:r>
      <w:r w:rsidR="000A10E4">
        <w:t xml:space="preserve"> for the data collection related activities on this project</w:t>
      </w:r>
      <w:r w:rsidRPr="00233A6A" w:rsidR="00DE17B2">
        <w:t xml:space="preserve"> is estimated to be $</w:t>
      </w:r>
      <w:r w:rsidRPr="000A10E4" w:rsidR="000A10E4">
        <w:t>172</w:t>
      </w:r>
      <w:r w:rsidR="000A10E4">
        <w:t>,</w:t>
      </w:r>
      <w:r w:rsidRPr="000A10E4" w:rsidR="000A10E4">
        <w:t>677</w:t>
      </w:r>
      <w:r w:rsidRPr="00233A6A" w:rsidR="00DE17B2">
        <w:t>.</w:t>
      </w:r>
    </w:p>
    <w:p w:rsidRPr="00037075" w:rsidR="00DD0EF7" w:rsidP="00DD0EF7" w:rsidRDefault="00B55C10">
      <w:pPr>
        <w:rPr>
          <w:b/>
          <w:bCs/>
          <w:color w:val="000000"/>
        </w:rPr>
      </w:pPr>
      <w:r>
        <w:rPr>
          <w:b/>
          <w:bCs/>
          <w:color w:val="000000"/>
        </w:rPr>
        <w:t>Exhibit 4</w:t>
      </w:r>
      <w:r w:rsidRPr="00037075" w:rsidR="00DD0EF7">
        <w:rPr>
          <w:b/>
          <w:bCs/>
          <w:color w:val="000000"/>
        </w:rPr>
        <w:t xml:space="preserve">: Annual Cost to AHRQ for </w:t>
      </w:r>
      <w:r w:rsidR="00DD0EF7">
        <w:rPr>
          <w:b/>
          <w:bCs/>
          <w:color w:val="000000"/>
        </w:rPr>
        <w:t>Contract</w:t>
      </w:r>
      <w:r w:rsidRPr="00037075" w:rsidR="00DD0EF7">
        <w:rPr>
          <w:b/>
          <w:bCs/>
          <w:color w:val="000000"/>
        </w:rPr>
        <w:t xml:space="preserve"> Oversight</w:t>
      </w:r>
    </w:p>
    <w:tbl>
      <w:tblPr>
        <w:tblW w:w="9190" w:type="dxa"/>
        <w:tblInd w:w="108" w:type="dxa"/>
        <w:tblLayout w:type="fixed"/>
        <w:tblCellMar>
          <w:left w:w="0" w:type="dxa"/>
          <w:right w:w="0" w:type="dxa"/>
        </w:tblCellMar>
        <w:tblLook w:val="0000" w:firstRow="0" w:lastRow="0" w:firstColumn="0" w:lastColumn="0" w:noHBand="0" w:noVBand="0"/>
      </w:tblPr>
      <w:tblGrid>
        <w:gridCol w:w="4860"/>
        <w:gridCol w:w="623"/>
        <w:gridCol w:w="30"/>
        <w:gridCol w:w="1157"/>
        <w:gridCol w:w="1170"/>
        <w:gridCol w:w="1350"/>
      </w:tblGrid>
      <w:tr w:rsidRPr="005026AD" w:rsidR="00DD0EF7" w:rsidTr="004D348D">
        <w:tc>
          <w:tcPr>
            <w:tcW w:w="48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E77C6" w:rsidR="00DD0EF7" w:rsidP="005A5B32" w:rsidRDefault="00DD0EF7">
            <w:pPr>
              <w:rPr>
                <w:b/>
                <w:sz w:val="22"/>
                <w:szCs w:val="20"/>
              </w:rPr>
            </w:pPr>
            <w:r w:rsidRPr="00CE77C6">
              <w:rPr>
                <w:b/>
                <w:color w:val="000000"/>
                <w:sz w:val="22"/>
                <w:szCs w:val="20"/>
              </w:rPr>
              <w:lastRenderedPageBreak/>
              <w:t>Tasks/Personnel</w:t>
            </w:r>
          </w:p>
        </w:tc>
        <w:tc>
          <w:tcPr>
            <w:tcW w:w="623" w:type="dxa"/>
            <w:tcBorders>
              <w:top w:val="single" w:color="auto" w:sz="8" w:space="0"/>
              <w:left w:val="nil"/>
              <w:bottom w:val="single" w:color="auto" w:sz="8" w:space="0"/>
              <w:right w:val="nil"/>
            </w:tcBorders>
            <w:vAlign w:val="bottom"/>
          </w:tcPr>
          <w:p w:rsidRPr="00CE77C6" w:rsidR="00DD0EF7" w:rsidP="000A10E4" w:rsidRDefault="00DD0EF7">
            <w:pPr>
              <w:jc w:val="center"/>
              <w:rPr>
                <w:b/>
                <w:sz w:val="22"/>
                <w:szCs w:val="20"/>
              </w:rPr>
            </w:pPr>
            <w:r w:rsidRPr="00CE77C6">
              <w:rPr>
                <w:b/>
                <w:sz w:val="22"/>
                <w:szCs w:val="20"/>
              </w:rPr>
              <w:t>Staff</w:t>
            </w:r>
            <w:r w:rsidR="000A10E4">
              <w:rPr>
                <w:b/>
                <w:sz w:val="22"/>
                <w:szCs w:val="20"/>
              </w:rPr>
              <w:t xml:space="preserve"> </w:t>
            </w:r>
            <w:r w:rsidRPr="00CE77C6">
              <w:rPr>
                <w:b/>
                <w:sz w:val="22"/>
                <w:szCs w:val="20"/>
              </w:rPr>
              <w:t>Count</w:t>
            </w:r>
          </w:p>
        </w:tc>
        <w:tc>
          <w:tcPr>
            <w:tcW w:w="30" w:type="dxa"/>
            <w:tcBorders>
              <w:top w:val="single" w:color="auto" w:sz="8" w:space="0"/>
              <w:left w:val="nil"/>
              <w:bottom w:val="single" w:color="auto" w:sz="8" w:space="0"/>
              <w:right w:val="single" w:color="auto" w:sz="8" w:space="0"/>
            </w:tcBorders>
            <w:vAlign w:val="bottom"/>
          </w:tcPr>
          <w:p w:rsidRPr="00CE77C6" w:rsidR="00DD0EF7" w:rsidP="005A5B32" w:rsidRDefault="00DD0EF7">
            <w:pPr>
              <w:jc w:val="center"/>
              <w:rPr>
                <w:b/>
                <w:sz w:val="22"/>
                <w:szCs w:val="20"/>
              </w:rPr>
            </w:pPr>
          </w:p>
        </w:tc>
        <w:tc>
          <w:tcPr>
            <w:tcW w:w="115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rsidRPr="00CE77C6" w:rsidR="00DD0EF7" w:rsidP="005A5B32" w:rsidRDefault="005A5B32">
            <w:pPr>
              <w:jc w:val="center"/>
              <w:rPr>
                <w:b/>
                <w:sz w:val="22"/>
                <w:szCs w:val="20"/>
              </w:rPr>
            </w:pPr>
            <w:r>
              <w:rPr>
                <w:b/>
                <w:sz w:val="22"/>
                <w:szCs w:val="20"/>
              </w:rPr>
              <w:t>Hourly Rate</w:t>
            </w:r>
          </w:p>
        </w:tc>
        <w:tc>
          <w:tcPr>
            <w:tcW w:w="11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rsidRPr="00CE77C6" w:rsidR="00DD0EF7" w:rsidP="005A5B32" w:rsidRDefault="005A5B32">
            <w:pPr>
              <w:jc w:val="center"/>
              <w:rPr>
                <w:b/>
                <w:sz w:val="22"/>
                <w:szCs w:val="20"/>
              </w:rPr>
            </w:pPr>
            <w:r>
              <w:rPr>
                <w:b/>
                <w:sz w:val="22"/>
                <w:szCs w:val="20"/>
              </w:rPr>
              <w:t>Estimated Hours</w:t>
            </w:r>
          </w:p>
        </w:tc>
        <w:tc>
          <w:tcPr>
            <w:tcW w:w="1350" w:type="dxa"/>
            <w:tcBorders>
              <w:top w:val="single" w:color="auto" w:sz="8" w:space="0"/>
              <w:left w:val="nil"/>
              <w:bottom w:val="single" w:color="auto" w:sz="8" w:space="0"/>
              <w:right w:val="single" w:color="auto" w:sz="8" w:space="0"/>
            </w:tcBorders>
            <w:vAlign w:val="bottom"/>
          </w:tcPr>
          <w:p w:rsidRPr="00CE77C6" w:rsidR="00DD0EF7" w:rsidP="005A5B32" w:rsidRDefault="000A10E4">
            <w:pPr>
              <w:jc w:val="center"/>
              <w:rPr>
                <w:b/>
                <w:sz w:val="22"/>
                <w:szCs w:val="20"/>
              </w:rPr>
            </w:pPr>
            <w:r>
              <w:rPr>
                <w:b/>
                <w:sz w:val="22"/>
                <w:szCs w:val="20"/>
              </w:rPr>
              <w:t xml:space="preserve">Estimated Annual </w:t>
            </w:r>
            <w:r w:rsidRPr="00CE77C6" w:rsidR="00DD0EF7">
              <w:rPr>
                <w:b/>
                <w:sz w:val="22"/>
                <w:szCs w:val="20"/>
              </w:rPr>
              <w:t>Cost</w:t>
            </w:r>
          </w:p>
        </w:tc>
      </w:tr>
      <w:tr w:rsidRPr="005A5B32" w:rsidR="00DD0EF7" w:rsidTr="004D348D">
        <w:trPr>
          <w:trHeight w:val="250"/>
        </w:trPr>
        <w:tc>
          <w:tcPr>
            <w:tcW w:w="48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E77C6" w:rsidR="00DD0EF7" w:rsidP="00257F31" w:rsidRDefault="00DD0EF7">
            <w:pPr>
              <w:rPr>
                <w:sz w:val="22"/>
                <w:szCs w:val="20"/>
              </w:rPr>
            </w:pPr>
            <w:r w:rsidRPr="00CE77C6">
              <w:rPr>
                <w:sz w:val="22"/>
                <w:szCs w:val="20"/>
              </w:rPr>
              <w:t>Management and Research Support: GS-1</w:t>
            </w:r>
            <w:r w:rsidR="005A5B32">
              <w:rPr>
                <w:sz w:val="22"/>
                <w:szCs w:val="20"/>
              </w:rPr>
              <w:t>3</w:t>
            </w:r>
            <w:r w:rsidRPr="00CE77C6">
              <w:rPr>
                <w:sz w:val="22"/>
                <w:szCs w:val="20"/>
              </w:rPr>
              <w:t xml:space="preserve">, Step </w:t>
            </w:r>
            <w:r w:rsidR="005A5B32">
              <w:rPr>
                <w:sz w:val="22"/>
                <w:szCs w:val="20"/>
              </w:rPr>
              <w:t>8</w:t>
            </w:r>
          </w:p>
        </w:tc>
        <w:tc>
          <w:tcPr>
            <w:tcW w:w="623" w:type="dxa"/>
            <w:tcBorders>
              <w:top w:val="nil"/>
              <w:left w:val="nil"/>
              <w:bottom w:val="single" w:color="auto" w:sz="8" w:space="0"/>
              <w:right w:val="nil"/>
            </w:tcBorders>
            <w:vAlign w:val="bottom"/>
          </w:tcPr>
          <w:p w:rsidRPr="00CE77C6" w:rsidR="00DD0EF7" w:rsidP="000A10E4" w:rsidRDefault="00DD0EF7">
            <w:pPr>
              <w:jc w:val="center"/>
              <w:rPr>
                <w:sz w:val="22"/>
                <w:szCs w:val="20"/>
              </w:rPr>
            </w:pPr>
            <w:r w:rsidRPr="00CE77C6">
              <w:rPr>
                <w:sz w:val="22"/>
                <w:szCs w:val="20"/>
              </w:rPr>
              <w:t>1</w:t>
            </w:r>
          </w:p>
        </w:tc>
        <w:tc>
          <w:tcPr>
            <w:tcW w:w="30" w:type="dxa"/>
            <w:tcBorders>
              <w:top w:val="nil"/>
              <w:left w:val="nil"/>
              <w:bottom w:val="single" w:color="auto" w:sz="8" w:space="0"/>
              <w:right w:val="single" w:color="auto" w:sz="8" w:space="0"/>
            </w:tcBorders>
            <w:vAlign w:val="bottom"/>
          </w:tcPr>
          <w:p w:rsidRPr="00CE77C6" w:rsidR="00DD0EF7" w:rsidP="005A5B32" w:rsidRDefault="00DD0EF7">
            <w:pPr>
              <w:rPr>
                <w:sz w:val="22"/>
                <w:szCs w:val="20"/>
              </w:rPr>
            </w:pPr>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288" w:type="dxa"/>
            </w:tcMar>
            <w:vAlign w:val="bottom"/>
          </w:tcPr>
          <w:p w:rsidRPr="00CE77C6" w:rsidR="00DD0EF7" w:rsidP="000A10E4" w:rsidRDefault="00DD0EF7">
            <w:pPr>
              <w:jc w:val="right"/>
              <w:rPr>
                <w:sz w:val="22"/>
                <w:szCs w:val="20"/>
              </w:rPr>
            </w:pPr>
            <w:r w:rsidRPr="00CE77C6">
              <w:rPr>
                <w:sz w:val="22"/>
                <w:szCs w:val="20"/>
              </w:rPr>
              <w:t>$</w:t>
            </w:r>
            <w:r w:rsidR="005A5B32">
              <w:rPr>
                <w:sz w:val="22"/>
                <w:szCs w:val="20"/>
              </w:rPr>
              <w:t>60.67</w:t>
            </w: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288" w:type="dxa"/>
            </w:tcMar>
            <w:vAlign w:val="bottom"/>
          </w:tcPr>
          <w:p w:rsidRPr="00CE77C6" w:rsidR="00DD0EF7" w:rsidP="000A10E4" w:rsidRDefault="005A5B32">
            <w:pPr>
              <w:jc w:val="right"/>
              <w:rPr>
                <w:sz w:val="22"/>
                <w:szCs w:val="20"/>
              </w:rPr>
            </w:pPr>
            <w:r>
              <w:rPr>
                <w:sz w:val="22"/>
                <w:szCs w:val="20"/>
              </w:rPr>
              <w:t>500</w:t>
            </w:r>
          </w:p>
        </w:tc>
        <w:tc>
          <w:tcPr>
            <w:tcW w:w="1350" w:type="dxa"/>
            <w:tcBorders>
              <w:top w:val="nil"/>
              <w:left w:val="nil"/>
              <w:bottom w:val="single" w:color="auto" w:sz="8" w:space="0"/>
              <w:right w:val="single" w:color="auto" w:sz="8" w:space="0"/>
            </w:tcBorders>
            <w:tcMar>
              <w:right w:w="288" w:type="dxa"/>
            </w:tcMar>
            <w:vAlign w:val="bottom"/>
          </w:tcPr>
          <w:p w:rsidRPr="00CE77C6" w:rsidR="00DD0EF7" w:rsidP="000A10E4" w:rsidRDefault="00DD0EF7">
            <w:pPr>
              <w:jc w:val="right"/>
              <w:rPr>
                <w:sz w:val="22"/>
                <w:szCs w:val="20"/>
              </w:rPr>
            </w:pPr>
            <w:r w:rsidRPr="00CE77C6">
              <w:rPr>
                <w:sz w:val="22"/>
                <w:szCs w:val="20"/>
              </w:rPr>
              <w:t>$</w:t>
            </w:r>
            <w:r w:rsidRPr="005A5B32" w:rsidR="005A5B32">
              <w:rPr>
                <w:sz w:val="22"/>
                <w:szCs w:val="20"/>
              </w:rPr>
              <w:t>30</w:t>
            </w:r>
            <w:r w:rsidR="005A5B32">
              <w:rPr>
                <w:sz w:val="22"/>
                <w:szCs w:val="20"/>
              </w:rPr>
              <w:t>,</w:t>
            </w:r>
            <w:r w:rsidRPr="005A5B32" w:rsidR="005A5B32">
              <w:rPr>
                <w:sz w:val="22"/>
                <w:szCs w:val="20"/>
              </w:rPr>
              <w:t>335</w:t>
            </w:r>
          </w:p>
        </w:tc>
      </w:tr>
      <w:tr w:rsidRPr="005026AD" w:rsidR="000A10E4" w:rsidTr="004D348D">
        <w:tc>
          <w:tcPr>
            <w:tcW w:w="48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CE77C6" w:rsidR="000A10E4" w:rsidP="000A10E4" w:rsidRDefault="000A10E4">
            <w:pPr>
              <w:rPr>
                <w:sz w:val="22"/>
                <w:szCs w:val="20"/>
              </w:rPr>
            </w:pPr>
            <w:r w:rsidRPr="00CE77C6">
              <w:rPr>
                <w:b/>
                <w:bCs/>
                <w:color w:val="000000"/>
                <w:sz w:val="22"/>
                <w:szCs w:val="20"/>
              </w:rPr>
              <w:t>Grand Total</w:t>
            </w:r>
          </w:p>
        </w:tc>
        <w:tc>
          <w:tcPr>
            <w:tcW w:w="623" w:type="dxa"/>
            <w:tcBorders>
              <w:top w:val="nil"/>
              <w:left w:val="nil"/>
              <w:bottom w:val="single" w:color="auto" w:sz="8" w:space="0"/>
              <w:right w:val="nil"/>
            </w:tcBorders>
          </w:tcPr>
          <w:p w:rsidRPr="00CE77C6" w:rsidR="000A10E4" w:rsidP="000A10E4" w:rsidRDefault="000A10E4">
            <w:pPr>
              <w:jc w:val="right"/>
              <w:rPr>
                <w:sz w:val="22"/>
                <w:szCs w:val="20"/>
              </w:rPr>
            </w:pPr>
          </w:p>
        </w:tc>
        <w:tc>
          <w:tcPr>
            <w:tcW w:w="30" w:type="dxa"/>
            <w:tcBorders>
              <w:top w:val="nil"/>
              <w:left w:val="nil"/>
              <w:bottom w:val="single" w:color="auto" w:sz="8" w:space="0"/>
              <w:right w:val="single" w:color="auto" w:sz="8" w:space="0"/>
            </w:tcBorders>
          </w:tcPr>
          <w:p w:rsidRPr="00CE77C6" w:rsidR="000A10E4" w:rsidP="000A10E4" w:rsidRDefault="000A10E4">
            <w:pPr>
              <w:jc w:val="right"/>
              <w:rPr>
                <w:sz w:val="22"/>
                <w:szCs w:val="20"/>
              </w:rPr>
            </w:pPr>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288" w:type="dxa"/>
            </w:tcMar>
            <w:vAlign w:val="bottom"/>
          </w:tcPr>
          <w:p w:rsidRPr="00CE77C6" w:rsidR="000A10E4" w:rsidP="000A10E4" w:rsidRDefault="000A10E4">
            <w:pPr>
              <w:jc w:val="right"/>
              <w:rPr>
                <w:sz w:val="22"/>
                <w:szCs w:val="20"/>
              </w:rPr>
            </w:pP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288" w:type="dxa"/>
            </w:tcMar>
            <w:vAlign w:val="bottom"/>
          </w:tcPr>
          <w:p w:rsidRPr="00CE77C6" w:rsidR="000A10E4" w:rsidP="000A10E4" w:rsidRDefault="000A10E4">
            <w:pPr>
              <w:jc w:val="right"/>
              <w:rPr>
                <w:sz w:val="22"/>
                <w:szCs w:val="20"/>
              </w:rPr>
            </w:pPr>
          </w:p>
        </w:tc>
        <w:tc>
          <w:tcPr>
            <w:tcW w:w="1350" w:type="dxa"/>
            <w:tcBorders>
              <w:top w:val="nil"/>
              <w:left w:val="nil"/>
              <w:bottom w:val="single" w:color="auto" w:sz="8" w:space="0"/>
              <w:right w:val="single" w:color="auto" w:sz="8" w:space="0"/>
            </w:tcBorders>
            <w:tcMar>
              <w:right w:w="288" w:type="dxa"/>
            </w:tcMar>
            <w:vAlign w:val="bottom"/>
          </w:tcPr>
          <w:p w:rsidRPr="00CE77C6" w:rsidR="000A10E4" w:rsidP="000A10E4" w:rsidRDefault="000A10E4">
            <w:pPr>
              <w:jc w:val="right"/>
              <w:rPr>
                <w:sz w:val="22"/>
                <w:szCs w:val="20"/>
              </w:rPr>
            </w:pPr>
            <w:r w:rsidRPr="00CE77C6">
              <w:rPr>
                <w:sz w:val="22"/>
                <w:szCs w:val="20"/>
              </w:rPr>
              <w:t>$</w:t>
            </w:r>
            <w:r w:rsidRPr="005A5B32">
              <w:rPr>
                <w:sz w:val="22"/>
                <w:szCs w:val="20"/>
              </w:rPr>
              <w:t>30</w:t>
            </w:r>
            <w:r>
              <w:rPr>
                <w:sz w:val="22"/>
                <w:szCs w:val="20"/>
              </w:rPr>
              <w:t>,</w:t>
            </w:r>
            <w:r w:rsidRPr="005A5B32">
              <w:rPr>
                <w:sz w:val="22"/>
                <w:szCs w:val="20"/>
              </w:rPr>
              <w:t>335</w:t>
            </w:r>
          </w:p>
        </w:tc>
      </w:tr>
    </w:tbl>
    <w:p w:rsidRPr="007640E5" w:rsidR="00DD0EF7" w:rsidP="00DD0EF7" w:rsidRDefault="00DD0EF7">
      <w:pPr>
        <w:rPr>
          <w:bCs/>
          <w:color w:val="000000"/>
        </w:rPr>
      </w:pPr>
      <w:r w:rsidRPr="007640E5">
        <w:rPr>
          <w:bCs/>
          <w:color w:val="000000"/>
        </w:rPr>
        <w:t>Annual salaries based on 20</w:t>
      </w:r>
      <w:r>
        <w:rPr>
          <w:bCs/>
          <w:color w:val="000000"/>
        </w:rPr>
        <w:t>20</w:t>
      </w:r>
      <w:r w:rsidRPr="007640E5">
        <w:rPr>
          <w:bCs/>
          <w:color w:val="000000"/>
        </w:rPr>
        <w:t xml:space="preserve"> OPM Pay Schedule for Washington/DC area: </w:t>
      </w:r>
      <w:r w:rsidRPr="00CC40FB">
        <w:t>https://www.opm.gov/policy-data-oversight/pay-leave/salaries-wages/salary-tables/pdf/2020/DCB_h.pdf</w:t>
      </w:r>
      <w:r w:rsidRPr="00CC40FB" w:rsidDel="00CC40FB">
        <w:t xml:space="preserve"> </w:t>
      </w:r>
    </w:p>
    <w:p w:rsidR="00BE559D" w:rsidP="000A10E4" w:rsidRDefault="009B633D">
      <w:pPr>
        <w:pStyle w:val="Heading2"/>
        <w:spacing w:after="120"/>
        <w:rPr>
          <w:sz w:val="24"/>
        </w:rPr>
      </w:pPr>
      <w:bookmarkStart w:name="_Toc32301350" w:id="55"/>
      <w:bookmarkEnd w:id="52"/>
      <w:r w:rsidRPr="00412C6F">
        <w:rPr>
          <w:sz w:val="24"/>
        </w:rPr>
        <w:t>15. Changes in Hour Burden</w:t>
      </w:r>
      <w:bookmarkStart w:name="_Toc151782191" w:id="56"/>
      <w:bookmarkStart w:name="_Toc158526231" w:id="57"/>
      <w:bookmarkEnd w:id="53"/>
      <w:bookmarkEnd w:id="54"/>
      <w:bookmarkEnd w:id="55"/>
    </w:p>
    <w:p w:rsidRPr="00AE272E" w:rsidR="000E4E72" w:rsidP="000E4E72" w:rsidRDefault="008F1164">
      <w:r w:rsidRPr="008F1164">
        <w:t xml:space="preserve">This is a new data collection effort and does not </w:t>
      </w:r>
      <w:r>
        <w:t>modify any</w:t>
      </w:r>
      <w:r w:rsidRPr="008F1164">
        <w:t xml:space="preserve"> previous submission.</w:t>
      </w:r>
      <w:r w:rsidR="000E4E72">
        <w:t xml:space="preserve"> </w:t>
      </w:r>
    </w:p>
    <w:p w:rsidRPr="00412C6F" w:rsidR="009B633D" w:rsidP="00CF3385" w:rsidRDefault="009B633D">
      <w:pPr>
        <w:pStyle w:val="Heading2"/>
        <w:spacing w:after="120"/>
        <w:rPr>
          <w:sz w:val="24"/>
        </w:rPr>
      </w:pPr>
      <w:bookmarkStart w:name="_Toc32301351" w:id="58"/>
      <w:r w:rsidRPr="00412C6F">
        <w:rPr>
          <w:sz w:val="24"/>
        </w:rPr>
        <w:t>16. Time Schedule, Publication and Analysis Plans</w:t>
      </w:r>
      <w:bookmarkEnd w:id="56"/>
      <w:bookmarkEnd w:id="57"/>
      <w:bookmarkEnd w:id="58"/>
    </w:p>
    <w:p w:rsidRPr="00B55C10" w:rsidR="00B55C10" w:rsidP="004D348D" w:rsidRDefault="00B55C10">
      <w:pPr>
        <w:pStyle w:val="Heading3"/>
      </w:pPr>
      <w:bookmarkStart w:name="_Toc32301352" w:id="59"/>
      <w:bookmarkStart w:name="_Toc151782196" w:id="60"/>
      <w:bookmarkStart w:name="_Toc158526232" w:id="61"/>
      <w:r w:rsidRPr="00B55C10">
        <w:t>16</w:t>
      </w:r>
      <w:proofErr w:type="gramStart"/>
      <w:r w:rsidRPr="00B55C10">
        <w:t>.a</w:t>
      </w:r>
      <w:proofErr w:type="gramEnd"/>
      <w:r w:rsidRPr="00B55C10">
        <w:t>.</w:t>
      </w:r>
      <w:r w:rsidRPr="00B55C10">
        <w:tab/>
        <w:t>Time Schedule</w:t>
      </w:r>
      <w:bookmarkEnd w:id="59"/>
    </w:p>
    <w:p w:rsidR="00B55C10" w:rsidP="00B55C10" w:rsidRDefault="00B55C10">
      <w:pPr>
        <w:spacing w:after="240"/>
      </w:pPr>
      <w:r w:rsidRPr="00B55C10">
        <w:t>T</w:t>
      </w:r>
      <w:r>
        <w:t>he t</w:t>
      </w:r>
      <w:r w:rsidRPr="00B55C10">
        <w:t xml:space="preserve">iming </w:t>
      </w:r>
      <w:r>
        <w:t>of major project-related activities are</w:t>
      </w:r>
      <w:r w:rsidRPr="00B55C10">
        <w:t xml:space="preserve"> presented in Exhibit </w:t>
      </w:r>
      <w:r>
        <w:t>5</w:t>
      </w:r>
      <w:r w:rsidRPr="00B55C10">
        <w:t xml:space="preserve">.  The timing of the </w:t>
      </w:r>
      <w:r w:rsidR="002040AC">
        <w:t>collection of data for the evaluation and the implementation of the SHARE Approach in the 12 practices</w:t>
      </w:r>
      <w:r w:rsidRPr="00B55C10">
        <w:t xml:space="preserve"> is dependent on receipt of OMB clearance, which we expect to receive by </w:t>
      </w:r>
      <w:r w:rsidR="002040AC">
        <w:t>August</w:t>
      </w:r>
      <w:r w:rsidRPr="00B55C10">
        <w:t xml:space="preserve"> 2</w:t>
      </w:r>
      <w:r w:rsidR="002040AC">
        <w:t>8</w:t>
      </w:r>
      <w:r w:rsidRPr="00B55C10">
        <w:t>, 20</w:t>
      </w:r>
      <w:r w:rsidR="002040AC">
        <w:t>20</w:t>
      </w:r>
      <w:r w:rsidRPr="00B55C10">
        <w:t>.  Assuming clearance is received by that date, the following schedule of project activities will be followed:</w:t>
      </w:r>
    </w:p>
    <w:p w:rsidR="00B55C10" w:rsidP="00B55C10" w:rsidRDefault="00B55C10">
      <w:pPr>
        <w:keepNext/>
        <w:keepLines/>
      </w:pPr>
      <w:r>
        <w:rPr>
          <w:b/>
          <w:bCs/>
          <w:color w:val="000000"/>
        </w:rPr>
        <w:t>Exhibit 5.  Project Timeline</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6750"/>
        <w:gridCol w:w="1350"/>
        <w:gridCol w:w="1260"/>
      </w:tblGrid>
      <w:tr w:rsidR="00F81B5F" w:rsidTr="004D348D">
        <w:tc>
          <w:tcPr>
            <w:tcW w:w="6750" w:type="dxa"/>
            <w:tcMar>
              <w:top w:w="0" w:type="dxa"/>
              <w:left w:w="108" w:type="dxa"/>
              <w:bottom w:w="0" w:type="dxa"/>
              <w:right w:w="108" w:type="dxa"/>
            </w:tcMar>
            <w:vAlign w:val="bottom"/>
            <w:hideMark/>
          </w:tcPr>
          <w:p w:rsidRPr="00CE77C6" w:rsidR="00B55C10" w:rsidP="00B85166" w:rsidRDefault="00B55C10">
            <w:pPr>
              <w:keepNext/>
              <w:keepLines/>
              <w:spacing w:line="256" w:lineRule="auto"/>
              <w:rPr>
                <w:b/>
              </w:rPr>
            </w:pPr>
            <w:r>
              <w:rPr>
                <w:b/>
                <w:color w:val="000000"/>
              </w:rPr>
              <w:t>Activity</w:t>
            </w:r>
          </w:p>
        </w:tc>
        <w:tc>
          <w:tcPr>
            <w:tcW w:w="1350" w:type="dxa"/>
            <w:tcMar>
              <w:top w:w="0" w:type="dxa"/>
              <w:left w:w="108" w:type="dxa"/>
              <w:bottom w:w="0" w:type="dxa"/>
              <w:right w:w="108" w:type="dxa"/>
            </w:tcMar>
            <w:vAlign w:val="center"/>
            <w:hideMark/>
          </w:tcPr>
          <w:p w:rsidRPr="00CE77C6" w:rsidR="00B55C10" w:rsidP="00B85166" w:rsidRDefault="00B55C10">
            <w:pPr>
              <w:keepNext/>
              <w:keepLines/>
              <w:spacing w:line="256" w:lineRule="auto"/>
              <w:jc w:val="center"/>
              <w:rPr>
                <w:b/>
              </w:rPr>
            </w:pPr>
            <w:r>
              <w:rPr>
                <w:b/>
              </w:rPr>
              <w:t>Start Date</w:t>
            </w:r>
          </w:p>
        </w:tc>
        <w:tc>
          <w:tcPr>
            <w:tcW w:w="1260" w:type="dxa"/>
            <w:tcMar>
              <w:top w:w="0" w:type="dxa"/>
              <w:left w:w="108" w:type="dxa"/>
              <w:bottom w:w="0" w:type="dxa"/>
              <w:right w:w="108" w:type="dxa"/>
            </w:tcMar>
            <w:vAlign w:val="center"/>
            <w:hideMark/>
          </w:tcPr>
          <w:p w:rsidRPr="00CE77C6" w:rsidR="00B55C10" w:rsidP="00B85166" w:rsidRDefault="00B55C10">
            <w:pPr>
              <w:keepNext/>
              <w:keepLines/>
              <w:spacing w:line="256" w:lineRule="auto"/>
              <w:jc w:val="center"/>
              <w:rPr>
                <w:b/>
              </w:rPr>
            </w:pPr>
            <w:r>
              <w:rPr>
                <w:b/>
              </w:rPr>
              <w:t>End Date</w:t>
            </w:r>
          </w:p>
        </w:tc>
      </w:tr>
      <w:tr w:rsidR="00F81B5F" w:rsidTr="004D348D">
        <w:tc>
          <w:tcPr>
            <w:tcW w:w="6750" w:type="dxa"/>
            <w:tcMar>
              <w:top w:w="0" w:type="dxa"/>
              <w:left w:w="108" w:type="dxa"/>
              <w:bottom w:w="0" w:type="dxa"/>
              <w:right w:w="108" w:type="dxa"/>
            </w:tcMar>
            <w:vAlign w:val="center"/>
          </w:tcPr>
          <w:p w:rsidRPr="00CE77C6" w:rsidR="00B55C10" w:rsidP="002040AC" w:rsidRDefault="00B55C10">
            <w:r w:rsidRPr="00B55C10">
              <w:t xml:space="preserve">Update the SHARE Approach curriculum, tools, and </w:t>
            </w:r>
            <w:r w:rsidR="002040AC">
              <w:t xml:space="preserve">implementation </w:t>
            </w:r>
            <w:r w:rsidRPr="00B55C10">
              <w:t>material</w:t>
            </w:r>
          </w:p>
        </w:tc>
        <w:tc>
          <w:tcPr>
            <w:tcW w:w="1350" w:type="dxa"/>
            <w:vAlign w:val="bottom"/>
          </w:tcPr>
          <w:p w:rsidRPr="00B675CF" w:rsidR="00B55C10" w:rsidP="002040AC" w:rsidRDefault="00B55C10">
            <w:pPr>
              <w:keepNext/>
              <w:keepLines/>
              <w:spacing w:line="256" w:lineRule="auto"/>
              <w:jc w:val="center"/>
            </w:pPr>
            <w:r w:rsidRPr="00B675CF">
              <w:t>12/0</w:t>
            </w:r>
            <w:r w:rsidRPr="00B675CF" w:rsidR="00B675CF">
              <w:t>2</w:t>
            </w:r>
            <w:r w:rsidRPr="00B675CF">
              <w:t>/2019</w:t>
            </w:r>
          </w:p>
        </w:tc>
        <w:tc>
          <w:tcPr>
            <w:tcW w:w="1260" w:type="dxa"/>
            <w:vAlign w:val="bottom"/>
          </w:tcPr>
          <w:p w:rsidRPr="00B675CF" w:rsidR="00B55C10" w:rsidP="002040AC" w:rsidRDefault="00B55C10">
            <w:pPr>
              <w:keepNext/>
              <w:keepLines/>
              <w:spacing w:line="256" w:lineRule="auto"/>
              <w:jc w:val="center"/>
            </w:pPr>
            <w:r w:rsidRPr="00B675CF">
              <w:t>08/04/2020</w:t>
            </w:r>
          </w:p>
        </w:tc>
      </w:tr>
      <w:tr w:rsidR="00F81B5F" w:rsidTr="004D348D">
        <w:tc>
          <w:tcPr>
            <w:tcW w:w="6750" w:type="dxa"/>
            <w:tcMar>
              <w:top w:w="0" w:type="dxa"/>
              <w:left w:w="108" w:type="dxa"/>
              <w:bottom w:w="0" w:type="dxa"/>
              <w:right w:w="108" w:type="dxa"/>
            </w:tcMar>
          </w:tcPr>
          <w:p w:rsidRPr="000B5052" w:rsidR="00B675CF" w:rsidP="00B675CF" w:rsidRDefault="00B675CF">
            <w:r w:rsidRPr="000B5052">
              <w:t>Obtain IRB approval</w:t>
            </w:r>
          </w:p>
        </w:tc>
        <w:tc>
          <w:tcPr>
            <w:tcW w:w="1350" w:type="dxa"/>
            <w:vAlign w:val="bottom"/>
          </w:tcPr>
          <w:p w:rsidRPr="00B675CF" w:rsidR="00B675CF" w:rsidP="002040AC" w:rsidRDefault="00B675CF">
            <w:pPr>
              <w:keepNext/>
              <w:keepLines/>
              <w:spacing w:line="256" w:lineRule="auto"/>
              <w:jc w:val="center"/>
            </w:pPr>
            <w:r w:rsidRPr="00B675CF">
              <w:t>12/18/2019</w:t>
            </w:r>
          </w:p>
        </w:tc>
        <w:tc>
          <w:tcPr>
            <w:tcW w:w="1260" w:type="dxa"/>
            <w:vAlign w:val="bottom"/>
          </w:tcPr>
          <w:p w:rsidRPr="00B675CF" w:rsidR="00B675CF" w:rsidP="002040AC" w:rsidRDefault="00B675CF">
            <w:pPr>
              <w:keepNext/>
              <w:keepLines/>
              <w:spacing w:line="256" w:lineRule="auto"/>
              <w:jc w:val="center"/>
            </w:pPr>
            <w:r w:rsidRPr="00B675CF">
              <w:t>02/21/2020</w:t>
            </w:r>
          </w:p>
        </w:tc>
      </w:tr>
      <w:tr w:rsidR="00F81B5F" w:rsidTr="004D348D">
        <w:tc>
          <w:tcPr>
            <w:tcW w:w="6750" w:type="dxa"/>
            <w:tcMar>
              <w:top w:w="0" w:type="dxa"/>
              <w:left w:w="108" w:type="dxa"/>
              <w:bottom w:w="0" w:type="dxa"/>
              <w:right w:w="108" w:type="dxa"/>
            </w:tcMar>
            <w:vAlign w:val="center"/>
          </w:tcPr>
          <w:p w:rsidRPr="00CE77C6" w:rsidR="00B55C10" w:rsidP="00F81B5F" w:rsidRDefault="00B675CF">
            <w:r>
              <w:t>Develop</w:t>
            </w:r>
            <w:r w:rsidRPr="00B675CF">
              <w:t xml:space="preserve"> provider survey</w:t>
            </w:r>
            <w:r>
              <w:t>,</w:t>
            </w:r>
            <w:r w:rsidRPr="00B675CF">
              <w:t xml:space="preserve"> card surveys, audio recording protocols, and observation guides</w:t>
            </w:r>
          </w:p>
        </w:tc>
        <w:tc>
          <w:tcPr>
            <w:tcW w:w="1350" w:type="dxa"/>
            <w:vAlign w:val="bottom"/>
          </w:tcPr>
          <w:p w:rsidRPr="00B675CF" w:rsidR="00B55C10" w:rsidP="002040AC" w:rsidRDefault="00B675CF">
            <w:pPr>
              <w:keepNext/>
              <w:keepLines/>
              <w:spacing w:line="256" w:lineRule="auto"/>
              <w:jc w:val="center"/>
            </w:pPr>
            <w:r w:rsidRPr="00B675CF">
              <w:t>12/19/2019</w:t>
            </w:r>
          </w:p>
        </w:tc>
        <w:tc>
          <w:tcPr>
            <w:tcW w:w="1260" w:type="dxa"/>
            <w:vAlign w:val="bottom"/>
          </w:tcPr>
          <w:p w:rsidRPr="00B675CF" w:rsidR="00B55C10" w:rsidP="002040AC" w:rsidRDefault="00B675CF">
            <w:pPr>
              <w:keepNext/>
              <w:keepLines/>
              <w:spacing w:line="256" w:lineRule="auto"/>
              <w:jc w:val="center"/>
            </w:pPr>
            <w:r w:rsidRPr="00B675CF">
              <w:t>03/18/2020</w:t>
            </w:r>
          </w:p>
        </w:tc>
      </w:tr>
      <w:tr w:rsidR="00F81B5F" w:rsidTr="004D348D">
        <w:tc>
          <w:tcPr>
            <w:tcW w:w="6750" w:type="dxa"/>
            <w:tcMar>
              <w:top w:w="0" w:type="dxa"/>
              <w:left w:w="108" w:type="dxa"/>
              <w:bottom w:w="0" w:type="dxa"/>
              <w:right w:w="108" w:type="dxa"/>
            </w:tcMar>
          </w:tcPr>
          <w:p w:rsidRPr="00AC64A2" w:rsidR="00B55C10" w:rsidP="00B55C10" w:rsidRDefault="00B55C10">
            <w:r w:rsidRPr="00AC64A2">
              <w:t>Recruitment of practices</w:t>
            </w:r>
          </w:p>
        </w:tc>
        <w:tc>
          <w:tcPr>
            <w:tcW w:w="1350" w:type="dxa"/>
            <w:vAlign w:val="bottom"/>
          </w:tcPr>
          <w:p w:rsidRPr="00B675CF" w:rsidR="00B55C10" w:rsidP="002040AC" w:rsidRDefault="00B55C10">
            <w:pPr>
              <w:keepNext/>
              <w:keepLines/>
              <w:spacing w:line="256" w:lineRule="auto"/>
              <w:jc w:val="center"/>
            </w:pPr>
            <w:r w:rsidRPr="00B675CF">
              <w:t>03/03/2020</w:t>
            </w:r>
          </w:p>
        </w:tc>
        <w:tc>
          <w:tcPr>
            <w:tcW w:w="1260" w:type="dxa"/>
            <w:vAlign w:val="bottom"/>
          </w:tcPr>
          <w:p w:rsidRPr="00B675CF" w:rsidR="00B55C10" w:rsidP="002040AC" w:rsidRDefault="00B55C10">
            <w:pPr>
              <w:keepNext/>
              <w:keepLines/>
              <w:spacing w:line="256" w:lineRule="auto"/>
              <w:jc w:val="center"/>
            </w:pPr>
            <w:r w:rsidRPr="00B675CF">
              <w:t>08/11/2020</w:t>
            </w:r>
          </w:p>
        </w:tc>
      </w:tr>
      <w:tr w:rsidR="00F81B5F" w:rsidTr="004D348D">
        <w:tc>
          <w:tcPr>
            <w:tcW w:w="6750" w:type="dxa"/>
            <w:tcMar>
              <w:top w:w="0" w:type="dxa"/>
              <w:left w:w="108" w:type="dxa"/>
              <w:bottom w:w="0" w:type="dxa"/>
              <w:right w:w="108" w:type="dxa"/>
            </w:tcMar>
            <w:vAlign w:val="center"/>
          </w:tcPr>
          <w:p w:rsidRPr="00CE77C6" w:rsidR="00F81B5F" w:rsidP="00F81B5F" w:rsidRDefault="00F81B5F">
            <w:r>
              <w:t>Collect data for evaluation</w:t>
            </w:r>
          </w:p>
        </w:tc>
        <w:tc>
          <w:tcPr>
            <w:tcW w:w="1350" w:type="dxa"/>
            <w:vAlign w:val="bottom"/>
          </w:tcPr>
          <w:p w:rsidRPr="00B675CF" w:rsidR="00F81B5F" w:rsidP="002040AC" w:rsidRDefault="00F81B5F">
            <w:pPr>
              <w:keepNext/>
              <w:keepLines/>
              <w:spacing w:line="256" w:lineRule="auto"/>
              <w:jc w:val="center"/>
            </w:pPr>
            <w:r>
              <w:t>0</w:t>
            </w:r>
            <w:r w:rsidR="002040AC">
              <w:t>9</w:t>
            </w:r>
            <w:r>
              <w:t>/</w:t>
            </w:r>
            <w:r w:rsidR="002040AC">
              <w:t>0</w:t>
            </w:r>
            <w:r>
              <w:t>1/2020</w:t>
            </w:r>
          </w:p>
        </w:tc>
        <w:tc>
          <w:tcPr>
            <w:tcW w:w="1260" w:type="dxa"/>
            <w:vAlign w:val="bottom"/>
          </w:tcPr>
          <w:p w:rsidRPr="00B675CF" w:rsidR="00F81B5F" w:rsidP="002040AC" w:rsidRDefault="00F81B5F">
            <w:pPr>
              <w:keepNext/>
              <w:keepLines/>
              <w:spacing w:line="256" w:lineRule="auto"/>
              <w:jc w:val="center"/>
            </w:pPr>
            <w:r>
              <w:t>11/29/2021</w:t>
            </w:r>
          </w:p>
        </w:tc>
      </w:tr>
      <w:tr w:rsidR="00F81B5F" w:rsidTr="004D348D">
        <w:tc>
          <w:tcPr>
            <w:tcW w:w="6750" w:type="dxa"/>
            <w:tcMar>
              <w:top w:w="0" w:type="dxa"/>
              <w:left w:w="108" w:type="dxa"/>
              <w:bottom w:w="0" w:type="dxa"/>
              <w:right w:w="108" w:type="dxa"/>
            </w:tcMar>
            <w:vAlign w:val="center"/>
          </w:tcPr>
          <w:p w:rsidRPr="00CE77C6" w:rsidR="00B55C10" w:rsidP="00F81B5F" w:rsidRDefault="00B675CF">
            <w:r>
              <w:t>Implement SHARE Approach in 12 practices</w:t>
            </w:r>
          </w:p>
        </w:tc>
        <w:tc>
          <w:tcPr>
            <w:tcW w:w="1350" w:type="dxa"/>
            <w:vAlign w:val="bottom"/>
          </w:tcPr>
          <w:p w:rsidRPr="00B675CF" w:rsidR="00B55C10" w:rsidP="002040AC" w:rsidRDefault="00F81B5F">
            <w:pPr>
              <w:keepNext/>
              <w:keepLines/>
              <w:spacing w:line="256" w:lineRule="auto"/>
              <w:jc w:val="center"/>
            </w:pPr>
            <w:r>
              <w:t>10</w:t>
            </w:r>
            <w:r w:rsidR="00B675CF">
              <w:t>/</w:t>
            </w:r>
            <w:r>
              <w:t>0</w:t>
            </w:r>
            <w:r w:rsidR="00B675CF">
              <w:t>1/2020</w:t>
            </w:r>
          </w:p>
        </w:tc>
        <w:tc>
          <w:tcPr>
            <w:tcW w:w="1260" w:type="dxa"/>
            <w:vAlign w:val="bottom"/>
          </w:tcPr>
          <w:p w:rsidRPr="00B675CF" w:rsidR="00B55C10" w:rsidP="002040AC" w:rsidRDefault="00B675CF">
            <w:pPr>
              <w:keepNext/>
              <w:keepLines/>
              <w:spacing w:line="256" w:lineRule="auto"/>
              <w:jc w:val="center"/>
            </w:pPr>
            <w:r>
              <w:t>11/29/2021</w:t>
            </w:r>
          </w:p>
        </w:tc>
      </w:tr>
      <w:tr w:rsidR="00F81B5F" w:rsidTr="004D348D">
        <w:tc>
          <w:tcPr>
            <w:tcW w:w="6750" w:type="dxa"/>
            <w:tcMar>
              <w:top w:w="0" w:type="dxa"/>
              <w:left w:w="108" w:type="dxa"/>
              <w:bottom w:w="0" w:type="dxa"/>
              <w:right w:w="108" w:type="dxa"/>
            </w:tcMar>
          </w:tcPr>
          <w:p w:rsidRPr="009C094C" w:rsidR="00F81B5F" w:rsidP="00F81B5F" w:rsidRDefault="00F81B5F">
            <w:r>
              <w:t>Data coding,</w:t>
            </w:r>
            <w:r w:rsidRPr="009C094C">
              <w:t xml:space="preserve"> transcription</w:t>
            </w:r>
            <w:r>
              <w:t xml:space="preserve"> and quality checks</w:t>
            </w:r>
          </w:p>
        </w:tc>
        <w:tc>
          <w:tcPr>
            <w:tcW w:w="1350" w:type="dxa"/>
            <w:vAlign w:val="bottom"/>
          </w:tcPr>
          <w:p w:rsidRPr="009C094C" w:rsidR="00F81B5F" w:rsidP="002040AC" w:rsidRDefault="00F81B5F">
            <w:pPr>
              <w:keepNext/>
              <w:keepLines/>
              <w:spacing w:line="256" w:lineRule="auto"/>
              <w:jc w:val="center"/>
            </w:pPr>
            <w:r>
              <w:t>0</w:t>
            </w:r>
            <w:r w:rsidRPr="009C094C">
              <w:t>3/30/</w:t>
            </w:r>
            <w:r>
              <w:t>20</w:t>
            </w:r>
            <w:r w:rsidRPr="009C094C">
              <w:t>21</w:t>
            </w:r>
          </w:p>
        </w:tc>
        <w:tc>
          <w:tcPr>
            <w:tcW w:w="1260" w:type="dxa"/>
            <w:vAlign w:val="bottom"/>
          </w:tcPr>
          <w:p w:rsidR="00F81B5F" w:rsidP="002040AC" w:rsidRDefault="00F81B5F">
            <w:pPr>
              <w:keepNext/>
              <w:keepLines/>
              <w:spacing w:line="256" w:lineRule="auto"/>
              <w:jc w:val="center"/>
            </w:pPr>
            <w:r>
              <w:t>0</w:t>
            </w:r>
            <w:r w:rsidRPr="009C094C">
              <w:t>1/1</w:t>
            </w:r>
            <w:r>
              <w:t>7</w:t>
            </w:r>
            <w:r w:rsidRPr="009C094C">
              <w:t>/</w:t>
            </w:r>
            <w:r>
              <w:t>20</w:t>
            </w:r>
            <w:r w:rsidRPr="009C094C">
              <w:t>2</w:t>
            </w:r>
            <w:r>
              <w:t>2</w:t>
            </w:r>
          </w:p>
        </w:tc>
      </w:tr>
      <w:tr w:rsidR="00F81B5F" w:rsidTr="004D348D">
        <w:tc>
          <w:tcPr>
            <w:tcW w:w="6750" w:type="dxa"/>
            <w:tcMar>
              <w:top w:w="0" w:type="dxa"/>
              <w:left w:w="108" w:type="dxa"/>
              <w:bottom w:w="0" w:type="dxa"/>
              <w:right w:w="108" w:type="dxa"/>
            </w:tcMar>
            <w:vAlign w:val="center"/>
          </w:tcPr>
          <w:p w:rsidRPr="00CE77C6" w:rsidR="00F81B5F" w:rsidP="00B675CF" w:rsidRDefault="00F81B5F">
            <w:pPr>
              <w:spacing w:line="256" w:lineRule="auto"/>
            </w:pPr>
            <w:r>
              <w:t>Data analysis</w:t>
            </w:r>
          </w:p>
        </w:tc>
        <w:tc>
          <w:tcPr>
            <w:tcW w:w="1350" w:type="dxa"/>
            <w:vAlign w:val="bottom"/>
          </w:tcPr>
          <w:p w:rsidRPr="00B675CF" w:rsidR="00F81B5F" w:rsidP="002040AC" w:rsidRDefault="00F81B5F">
            <w:pPr>
              <w:keepNext/>
              <w:keepLines/>
              <w:spacing w:line="256" w:lineRule="auto"/>
              <w:jc w:val="center"/>
            </w:pPr>
            <w:r>
              <w:t>01/18/2022</w:t>
            </w:r>
          </w:p>
        </w:tc>
        <w:tc>
          <w:tcPr>
            <w:tcW w:w="1260" w:type="dxa"/>
            <w:vAlign w:val="bottom"/>
          </w:tcPr>
          <w:p w:rsidRPr="00B675CF" w:rsidR="00F81B5F" w:rsidP="002040AC" w:rsidRDefault="00F81B5F">
            <w:pPr>
              <w:keepNext/>
              <w:keepLines/>
              <w:spacing w:line="256" w:lineRule="auto"/>
              <w:jc w:val="center"/>
            </w:pPr>
            <w:r>
              <w:t>04/18/2022</w:t>
            </w:r>
          </w:p>
        </w:tc>
      </w:tr>
      <w:tr w:rsidR="00F81B5F" w:rsidTr="004D348D">
        <w:tc>
          <w:tcPr>
            <w:tcW w:w="6750" w:type="dxa"/>
            <w:tcMar>
              <w:top w:w="0" w:type="dxa"/>
              <w:left w:w="108" w:type="dxa"/>
              <w:bottom w:w="0" w:type="dxa"/>
              <w:right w:w="108" w:type="dxa"/>
            </w:tcMar>
          </w:tcPr>
          <w:p w:rsidRPr="00EC1EA1" w:rsidR="00F81B5F" w:rsidP="00F81B5F" w:rsidRDefault="00F81B5F">
            <w:r w:rsidRPr="00EC1EA1">
              <w:t>Final Report</w:t>
            </w:r>
          </w:p>
        </w:tc>
        <w:tc>
          <w:tcPr>
            <w:tcW w:w="1350" w:type="dxa"/>
            <w:vAlign w:val="bottom"/>
          </w:tcPr>
          <w:p w:rsidRPr="00EC1EA1" w:rsidR="00F81B5F" w:rsidP="002040AC" w:rsidRDefault="00F81B5F">
            <w:pPr>
              <w:jc w:val="center"/>
            </w:pPr>
            <w:r>
              <w:t>0</w:t>
            </w:r>
            <w:r w:rsidRPr="00EC1EA1">
              <w:t>4/19/</w:t>
            </w:r>
            <w:r>
              <w:t>20</w:t>
            </w:r>
            <w:r w:rsidRPr="00EC1EA1">
              <w:t>22</w:t>
            </w:r>
          </w:p>
        </w:tc>
        <w:tc>
          <w:tcPr>
            <w:tcW w:w="1260" w:type="dxa"/>
            <w:vAlign w:val="bottom"/>
          </w:tcPr>
          <w:p w:rsidR="00F81B5F" w:rsidP="002040AC" w:rsidRDefault="00F81B5F">
            <w:pPr>
              <w:jc w:val="center"/>
            </w:pPr>
            <w:r w:rsidRPr="00EC1EA1">
              <w:t>10/27/</w:t>
            </w:r>
            <w:r>
              <w:t>20</w:t>
            </w:r>
            <w:r w:rsidRPr="00EC1EA1">
              <w:t>22</w:t>
            </w:r>
          </w:p>
        </w:tc>
      </w:tr>
      <w:tr w:rsidR="00F81B5F" w:rsidTr="004D348D">
        <w:tc>
          <w:tcPr>
            <w:tcW w:w="6750" w:type="dxa"/>
            <w:tcMar>
              <w:top w:w="0" w:type="dxa"/>
              <w:left w:w="108" w:type="dxa"/>
              <w:bottom w:w="0" w:type="dxa"/>
              <w:right w:w="108" w:type="dxa"/>
            </w:tcMar>
          </w:tcPr>
          <w:p w:rsidRPr="007F4932" w:rsidR="00F81B5F" w:rsidP="00F81B5F" w:rsidRDefault="00F81B5F">
            <w:r w:rsidRPr="007F4932">
              <w:t>Manuscript for peer-reviewed publication</w:t>
            </w:r>
          </w:p>
        </w:tc>
        <w:tc>
          <w:tcPr>
            <w:tcW w:w="1350" w:type="dxa"/>
            <w:vAlign w:val="bottom"/>
          </w:tcPr>
          <w:p w:rsidRPr="007F4932" w:rsidR="00F81B5F" w:rsidP="002040AC" w:rsidRDefault="00F81B5F">
            <w:pPr>
              <w:jc w:val="center"/>
            </w:pPr>
            <w:r>
              <w:t>0</w:t>
            </w:r>
            <w:r w:rsidRPr="007F4932">
              <w:t>6/21/</w:t>
            </w:r>
            <w:r>
              <w:t>20</w:t>
            </w:r>
            <w:r w:rsidRPr="007F4932">
              <w:t>22</w:t>
            </w:r>
          </w:p>
        </w:tc>
        <w:tc>
          <w:tcPr>
            <w:tcW w:w="1260" w:type="dxa"/>
            <w:vAlign w:val="bottom"/>
          </w:tcPr>
          <w:p w:rsidR="00F81B5F" w:rsidP="002040AC" w:rsidRDefault="00F81B5F">
            <w:pPr>
              <w:jc w:val="center"/>
            </w:pPr>
            <w:r w:rsidRPr="007F4932">
              <w:t>11/14/</w:t>
            </w:r>
            <w:r>
              <w:t>20</w:t>
            </w:r>
            <w:r w:rsidRPr="007F4932">
              <w:t>22</w:t>
            </w:r>
          </w:p>
        </w:tc>
      </w:tr>
      <w:tr w:rsidR="002040AC" w:rsidTr="004D348D">
        <w:tc>
          <w:tcPr>
            <w:tcW w:w="6750" w:type="dxa"/>
            <w:tcMar>
              <w:top w:w="0" w:type="dxa"/>
              <w:left w:w="108" w:type="dxa"/>
              <w:bottom w:w="0" w:type="dxa"/>
              <w:right w:w="108" w:type="dxa"/>
            </w:tcMar>
            <w:vAlign w:val="center"/>
          </w:tcPr>
          <w:p w:rsidRPr="00CE77C6" w:rsidR="002040AC" w:rsidP="002040AC" w:rsidRDefault="002040AC">
            <w:pPr>
              <w:spacing w:line="256" w:lineRule="auto"/>
            </w:pPr>
            <w:r w:rsidRPr="00F81B5F">
              <w:t>Revise SHARE tools, resources, training, and implementation material</w:t>
            </w:r>
          </w:p>
        </w:tc>
        <w:tc>
          <w:tcPr>
            <w:tcW w:w="1350" w:type="dxa"/>
            <w:vAlign w:val="bottom"/>
          </w:tcPr>
          <w:p w:rsidRPr="00EC1EA1" w:rsidR="002040AC" w:rsidP="002040AC" w:rsidRDefault="002040AC">
            <w:pPr>
              <w:jc w:val="center"/>
            </w:pPr>
            <w:r>
              <w:t>0</w:t>
            </w:r>
            <w:r w:rsidRPr="00EC1EA1">
              <w:t>4/19/</w:t>
            </w:r>
            <w:r>
              <w:t>20</w:t>
            </w:r>
            <w:r w:rsidRPr="00EC1EA1">
              <w:t>22</w:t>
            </w:r>
          </w:p>
        </w:tc>
        <w:tc>
          <w:tcPr>
            <w:tcW w:w="1260" w:type="dxa"/>
            <w:vAlign w:val="bottom"/>
          </w:tcPr>
          <w:p w:rsidR="002040AC" w:rsidP="002040AC" w:rsidRDefault="002040AC">
            <w:pPr>
              <w:jc w:val="center"/>
            </w:pPr>
            <w:r w:rsidRPr="007F4932">
              <w:t>11/14/</w:t>
            </w:r>
            <w:r>
              <w:t>20</w:t>
            </w:r>
            <w:r w:rsidRPr="007F4932">
              <w:t>22</w:t>
            </w:r>
          </w:p>
        </w:tc>
      </w:tr>
    </w:tbl>
    <w:p w:rsidRPr="002040AC" w:rsidR="00B55C10" w:rsidP="004D348D" w:rsidRDefault="00B55C10">
      <w:pPr>
        <w:pStyle w:val="Heading3"/>
      </w:pPr>
      <w:bookmarkStart w:name="_Toc32301353" w:id="62"/>
      <w:r w:rsidRPr="002040AC">
        <w:t>16</w:t>
      </w:r>
      <w:proofErr w:type="gramStart"/>
      <w:r w:rsidRPr="002040AC">
        <w:t>.b</w:t>
      </w:r>
      <w:proofErr w:type="gramEnd"/>
      <w:r w:rsidRPr="002040AC">
        <w:t>.</w:t>
      </w:r>
      <w:r w:rsidRPr="002040AC">
        <w:tab/>
        <w:t>Publication and Use of Findings</w:t>
      </w:r>
      <w:bookmarkEnd w:id="62"/>
    </w:p>
    <w:p w:rsidRPr="00B55C10" w:rsidR="00B55C10" w:rsidP="004D348D" w:rsidRDefault="00B55C10">
      <w:r w:rsidRPr="00B55C10">
        <w:t xml:space="preserve">AHRQ plans to submit at least one manuscript describing project findings to a peer-reviewed journal. </w:t>
      </w:r>
    </w:p>
    <w:p w:rsidR="00B55C10" w:rsidP="004D348D" w:rsidRDefault="00B55C10">
      <w:pPr>
        <w:pStyle w:val="Heading3"/>
      </w:pPr>
      <w:bookmarkStart w:name="_Toc32301354" w:id="63"/>
      <w:r w:rsidRPr="002040AC">
        <w:t>16</w:t>
      </w:r>
      <w:proofErr w:type="gramStart"/>
      <w:r w:rsidRPr="002040AC">
        <w:t>.c</w:t>
      </w:r>
      <w:proofErr w:type="gramEnd"/>
      <w:r w:rsidRPr="002040AC">
        <w:t>.</w:t>
      </w:r>
      <w:r w:rsidRPr="002040AC">
        <w:tab/>
        <w:t>Analysis Plans</w:t>
      </w:r>
      <w:bookmarkEnd w:id="63"/>
    </w:p>
    <w:p w:rsidR="00AA773F" w:rsidP="00200E28" w:rsidRDefault="00AA773F">
      <w:pPr>
        <w:tabs>
          <w:tab w:val="left" w:pos="0"/>
        </w:tabs>
      </w:pPr>
    </w:p>
    <w:p w:rsidRPr="00AA773F" w:rsidR="00AA773F" w:rsidP="00200E28" w:rsidRDefault="009E42D4">
      <w:pPr>
        <w:rPr>
          <w:szCs w:val="20"/>
        </w:rPr>
      </w:pPr>
      <w:r>
        <w:lastRenderedPageBreak/>
        <w:t xml:space="preserve">Survey data will be analyzed using statistical methods </w:t>
      </w:r>
      <w:r w:rsidR="00AA773F">
        <w:t xml:space="preserve">as follows: </w:t>
      </w:r>
      <w:r w:rsidRPr="003959D3" w:rsidR="00AA773F">
        <w:rPr>
          <w:szCs w:val="20"/>
        </w:rPr>
        <w:t>Initially</w:t>
      </w:r>
      <w:r w:rsidRPr="003959D3" w:rsidR="00AA773F">
        <w:rPr>
          <w:snapToGrid w:val="0"/>
          <w:szCs w:val="20"/>
        </w:rPr>
        <w:t xml:space="preserve">, descriptive statistics will be computed to describe baseline clinician/practice and patient characteristics. In addition, chi-squares and t-tests will be used to determine whether there are differences between: (1) complete and incomplete reports, </w:t>
      </w:r>
      <w:r w:rsidR="00AA773F">
        <w:rPr>
          <w:snapToGrid w:val="0"/>
          <w:szCs w:val="20"/>
        </w:rPr>
        <w:t xml:space="preserve">and </w:t>
      </w:r>
      <w:r w:rsidRPr="003959D3" w:rsidR="00AA773F">
        <w:rPr>
          <w:snapToGrid w:val="0"/>
          <w:szCs w:val="20"/>
        </w:rPr>
        <w:t>(</w:t>
      </w:r>
      <w:r w:rsidR="00AA773F">
        <w:rPr>
          <w:snapToGrid w:val="0"/>
          <w:szCs w:val="20"/>
        </w:rPr>
        <w:t>2</w:t>
      </w:r>
      <w:r w:rsidRPr="003959D3" w:rsidR="00AA773F">
        <w:rPr>
          <w:snapToGrid w:val="0"/>
          <w:szCs w:val="20"/>
        </w:rPr>
        <w:t xml:space="preserve">) clinician </w:t>
      </w:r>
      <w:proofErr w:type="gramStart"/>
      <w:r w:rsidRPr="003959D3" w:rsidR="00AA773F">
        <w:rPr>
          <w:snapToGrid w:val="0"/>
          <w:szCs w:val="20"/>
        </w:rPr>
        <w:t>dropouts</w:t>
      </w:r>
      <w:proofErr w:type="gramEnd"/>
      <w:r w:rsidRPr="003959D3" w:rsidR="00AA773F">
        <w:rPr>
          <w:snapToGrid w:val="0"/>
          <w:szCs w:val="20"/>
        </w:rPr>
        <w:t xml:space="preserve"> vs non-dropouts over time. Clinician/practice characteristics as well as patient sociodemographic characteristics will be included as covariates in subsequent analyses if associated with report completion or outcomes at p&lt;.15. For longitudinal clinician data, we will employ methods that utilize all available data, assuming ignorable missingness (MCAR or MAR)</w:t>
      </w:r>
      <w:r w:rsidR="00AA773F">
        <w:rPr>
          <w:snapToGrid w:val="0"/>
          <w:szCs w:val="20"/>
        </w:rPr>
        <w:t xml:space="preserve">. </w:t>
      </w:r>
      <w:r w:rsidRPr="003959D3" w:rsidR="00AA773F">
        <w:rPr>
          <w:snapToGrid w:val="0"/>
          <w:szCs w:val="20"/>
        </w:rPr>
        <w:t>Primary outcome variables for most analyses will be continuous (or ordinal)</w:t>
      </w:r>
      <w:r w:rsidR="00AA773F">
        <w:rPr>
          <w:snapToGrid w:val="0"/>
          <w:szCs w:val="20"/>
        </w:rPr>
        <w:t>; secondary outcomes may be dichotomous</w:t>
      </w:r>
      <w:r w:rsidRPr="003959D3" w:rsidR="00AA773F">
        <w:rPr>
          <w:snapToGrid w:val="0"/>
          <w:szCs w:val="20"/>
        </w:rPr>
        <w:t xml:space="preserve">. We will employ general linear mixed model approaches (random effects for clinician) that incorporate </w:t>
      </w:r>
      <w:r w:rsidR="00AA773F">
        <w:rPr>
          <w:snapToGrid w:val="0"/>
          <w:szCs w:val="20"/>
        </w:rPr>
        <w:t xml:space="preserve">multilevel </w:t>
      </w:r>
      <w:r w:rsidRPr="003959D3" w:rsidR="00AA773F">
        <w:rPr>
          <w:snapToGrid w:val="0"/>
          <w:szCs w:val="20"/>
        </w:rPr>
        <w:t>data structures with fixed effect terms for observation (pre</w:t>
      </w:r>
      <w:r w:rsidR="00AA773F">
        <w:rPr>
          <w:snapToGrid w:val="0"/>
          <w:szCs w:val="20"/>
        </w:rPr>
        <w:t>-training</w:t>
      </w:r>
      <w:r w:rsidRPr="003959D3" w:rsidR="00AA773F">
        <w:rPr>
          <w:snapToGrid w:val="0"/>
          <w:szCs w:val="20"/>
        </w:rPr>
        <w:t xml:space="preserve">, </w:t>
      </w:r>
      <w:r w:rsidR="00AA773F">
        <w:rPr>
          <w:snapToGrid w:val="0"/>
          <w:szCs w:val="20"/>
        </w:rPr>
        <w:t>post-training</w:t>
      </w:r>
      <w:r w:rsidRPr="003959D3" w:rsidR="00AA773F">
        <w:rPr>
          <w:snapToGrid w:val="0"/>
          <w:szCs w:val="20"/>
        </w:rPr>
        <w:t xml:space="preserve">, </w:t>
      </w:r>
      <w:proofErr w:type="gramStart"/>
      <w:r w:rsidRPr="003959D3" w:rsidR="00AA773F">
        <w:rPr>
          <w:snapToGrid w:val="0"/>
          <w:szCs w:val="20"/>
        </w:rPr>
        <w:t>follow</w:t>
      </w:r>
      <w:proofErr w:type="gramEnd"/>
      <w:r w:rsidR="00AA773F">
        <w:rPr>
          <w:snapToGrid w:val="0"/>
          <w:szCs w:val="20"/>
        </w:rPr>
        <w:t>-</w:t>
      </w:r>
      <w:r w:rsidRPr="003959D3" w:rsidR="00AA773F">
        <w:rPr>
          <w:snapToGrid w:val="0"/>
          <w:szCs w:val="20"/>
        </w:rPr>
        <w:t>up) to facilitate hypothesis testing and estimation.</w:t>
      </w:r>
      <w:r w:rsidR="00AA773F">
        <w:rPr>
          <w:rFonts w:eastAsia="MS Mincho"/>
          <w:snapToGrid w:val="0"/>
          <w:szCs w:val="20"/>
        </w:rPr>
        <w:t xml:space="preserve"> </w:t>
      </w:r>
      <w:r w:rsidRPr="003959D3" w:rsidR="00AA773F">
        <w:rPr>
          <w:snapToGrid w:val="0"/>
          <w:szCs w:val="20"/>
        </w:rPr>
        <w:t>In the event normality assumptions are not met we will utilize generalized linear mixed models with the appropriate link function</w:t>
      </w:r>
      <w:r w:rsidR="00AA773F">
        <w:rPr>
          <w:snapToGrid w:val="0"/>
          <w:szCs w:val="20"/>
        </w:rPr>
        <w:t xml:space="preserve"> (e.g. logit link for dichotomous)</w:t>
      </w:r>
      <w:r w:rsidRPr="003959D3" w:rsidR="00AA773F">
        <w:rPr>
          <w:snapToGrid w:val="0"/>
          <w:szCs w:val="20"/>
        </w:rPr>
        <w:t>. All hypothesis tests will be two-sided with alpha=.0</w:t>
      </w:r>
      <w:r w:rsidR="00AA773F">
        <w:rPr>
          <w:snapToGrid w:val="0"/>
          <w:szCs w:val="20"/>
        </w:rPr>
        <w:t xml:space="preserve">5 </w:t>
      </w:r>
      <w:r w:rsidRPr="003959D3" w:rsidR="00AA773F">
        <w:rPr>
          <w:snapToGrid w:val="0"/>
          <w:szCs w:val="20"/>
        </w:rPr>
        <w:t>or p values reported. Statistical analysis will be carried out using SAS 9.4. Goodness of fit statistics (e.g. AIC, deviance, -2 log likelihood and change in –2LL for nested models) and model fitting diagnostics to assess for influential points, outliers, over</w:t>
      </w:r>
      <w:r w:rsidR="006B2306">
        <w:rPr>
          <w:snapToGrid w:val="0"/>
          <w:szCs w:val="20"/>
        </w:rPr>
        <w:t xml:space="preserve"> </w:t>
      </w:r>
      <w:r w:rsidRPr="003959D3" w:rsidR="00AA773F">
        <w:rPr>
          <w:snapToGrid w:val="0"/>
          <w:szCs w:val="20"/>
        </w:rPr>
        <w:t>dispersion and heteroscedasticity will be used to evaluate alternative model specifications (below).</w:t>
      </w:r>
      <w:r w:rsidR="00AA773F">
        <w:rPr>
          <w:snapToGrid w:val="0"/>
          <w:szCs w:val="20"/>
        </w:rPr>
        <w:t xml:space="preserve"> </w:t>
      </w:r>
      <w:r w:rsidR="00AA773F">
        <w:t xml:space="preserve">Analysis of audio recording data </w:t>
      </w:r>
      <w:r>
        <w:t xml:space="preserve">will </w:t>
      </w:r>
      <w:r w:rsidR="00AA773F">
        <w:t xml:space="preserve">use the OPTIONS coding scheme for quantifying objective use of shared decision making in the clinical encounter. </w:t>
      </w:r>
    </w:p>
    <w:p w:rsidRPr="009E42D4" w:rsidR="009E42D4" w:rsidP="00200E28" w:rsidRDefault="009E42D4"/>
    <w:p w:rsidRPr="00424E6E" w:rsidR="009B633D" w:rsidP="00B55C10" w:rsidRDefault="009B633D">
      <w:pPr>
        <w:pStyle w:val="Heading2"/>
        <w:spacing w:after="120"/>
        <w:rPr>
          <w:sz w:val="24"/>
        </w:rPr>
      </w:pPr>
      <w:bookmarkStart w:name="_Toc32301355" w:id="64"/>
      <w:r w:rsidRPr="00424E6E">
        <w:rPr>
          <w:sz w:val="24"/>
        </w:rPr>
        <w:t>17. Exemption for Display of Expiration Date</w:t>
      </w:r>
      <w:bookmarkEnd w:id="60"/>
      <w:bookmarkEnd w:id="61"/>
      <w:bookmarkEnd w:id="64"/>
    </w:p>
    <w:p w:rsidR="00817DA0" w:rsidP="00515273" w:rsidRDefault="000E4E72">
      <w:pPr>
        <w:spacing w:after="240"/>
      </w:pPr>
      <w:r>
        <w:t>No exemption is being requested</w:t>
      </w:r>
      <w:r w:rsidR="008F1164">
        <w:t>.</w:t>
      </w:r>
    </w:p>
    <w:p w:rsidR="00D67283" w:rsidP="00515273" w:rsidRDefault="00274244">
      <w:pPr>
        <w:pStyle w:val="Heading1"/>
        <w:spacing w:after="120"/>
        <w:rPr>
          <w:rFonts w:ascii="Times New Roman" w:hAnsi="Times New Roman" w:cs="Times New Roman"/>
          <w:sz w:val="24"/>
          <w:szCs w:val="24"/>
        </w:rPr>
      </w:pPr>
      <w:bookmarkStart w:name="_Toc32301356" w:id="65"/>
      <w:r w:rsidRPr="00274244">
        <w:rPr>
          <w:rFonts w:ascii="Times New Roman" w:hAnsi="Times New Roman" w:cs="Times New Roman"/>
          <w:sz w:val="24"/>
          <w:szCs w:val="24"/>
        </w:rPr>
        <w:t>List of Attachments:</w:t>
      </w:r>
      <w:bookmarkEnd w:id="65"/>
    </w:p>
    <w:p w:rsidR="000E4E72" w:rsidP="004D348D" w:rsidRDefault="000E4E72">
      <w:r w:rsidRPr="00D67283">
        <w:t xml:space="preserve">Attachment A </w:t>
      </w:r>
      <w:r w:rsidR="00515273">
        <w:t>–</w:t>
      </w:r>
      <w:r w:rsidRPr="00D67283">
        <w:t xml:space="preserve"> </w:t>
      </w:r>
      <w:r w:rsidR="00515273">
        <w:t>Federal Register Notice</w:t>
      </w:r>
    </w:p>
    <w:p w:rsidRPr="00535168" w:rsidR="000E4E72" w:rsidP="004D348D" w:rsidRDefault="000E4E72">
      <w:r w:rsidRPr="00274244">
        <w:t xml:space="preserve">Attachment </w:t>
      </w:r>
      <w:r>
        <w:t>B</w:t>
      </w:r>
      <w:r w:rsidRPr="00274244">
        <w:t xml:space="preserve"> – </w:t>
      </w:r>
      <w:r>
        <w:t xml:space="preserve">SHARE Approach evaluation </w:t>
      </w:r>
      <w:r w:rsidR="00515273">
        <w:t xml:space="preserve">clinician and staff </w:t>
      </w:r>
      <w:r>
        <w:t>surveys</w:t>
      </w:r>
      <w:r>
        <w:br/>
      </w:r>
      <w:r w:rsidRPr="00274244">
        <w:t xml:space="preserve">Attachment </w:t>
      </w:r>
      <w:r>
        <w:t>C</w:t>
      </w:r>
      <w:r w:rsidRPr="00274244">
        <w:t xml:space="preserve"> – </w:t>
      </w:r>
      <w:r>
        <w:t>Clinician card survey</w:t>
      </w:r>
    </w:p>
    <w:p w:rsidR="000E4E72" w:rsidP="004D348D" w:rsidRDefault="000E4E72">
      <w:r>
        <w:t>Attachment D – Patient card survey</w:t>
      </w:r>
    </w:p>
    <w:p w:rsidRPr="00D67283" w:rsidR="00274244" w:rsidP="004D348D" w:rsidRDefault="000E4E72">
      <w:r>
        <w:t>Attachment E – Audio recording coding scheme</w:t>
      </w:r>
    </w:p>
    <w:sectPr w:rsidRPr="00D67283" w:rsidR="00274244" w:rsidSect="004D348D">
      <w:footerReference w:type="first" r:id="rId12"/>
      <w:endnotePr>
        <w:numFmt w:val="decimal"/>
      </w:endnotePr>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764" w:rsidRDefault="00397764">
      <w:r>
        <w:separator/>
      </w:r>
    </w:p>
  </w:endnote>
  <w:endnote w:type="continuationSeparator" w:id="0">
    <w:p w:rsidR="00397764" w:rsidRDefault="0039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226" w:rsidRDefault="00A73226"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3226" w:rsidRDefault="00A73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226" w:rsidRDefault="00A73226"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137D">
      <w:rPr>
        <w:rStyle w:val="PageNumber"/>
        <w:noProof/>
      </w:rPr>
      <w:t>- 10 -</w:t>
    </w:r>
    <w:r>
      <w:rPr>
        <w:rStyle w:val="PageNumber"/>
      </w:rPr>
      <w:fldChar w:fldCharType="end"/>
    </w:r>
  </w:p>
  <w:p w:rsidR="00A73226" w:rsidRDefault="00A732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226" w:rsidRDefault="00A73226">
    <w:pPr>
      <w:pStyle w:val="Footer"/>
      <w:jc w:val="center"/>
    </w:pPr>
  </w:p>
  <w:p w:rsidR="00A73226" w:rsidRDefault="00A732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226" w:rsidRDefault="00A73226">
    <w:pPr>
      <w:pStyle w:val="Footer"/>
      <w:jc w:val="center"/>
    </w:pPr>
    <w:r>
      <w:fldChar w:fldCharType="begin"/>
    </w:r>
    <w:r>
      <w:instrText xml:space="preserve"> PAGE   \* MERGEFORMAT </w:instrText>
    </w:r>
    <w:r>
      <w:fldChar w:fldCharType="separate"/>
    </w:r>
    <w:r w:rsidR="00AA137D">
      <w:rPr>
        <w:noProof/>
      </w:rPr>
      <w:t>i</w:t>
    </w:r>
    <w:r>
      <w:rPr>
        <w:noProof/>
      </w:rPr>
      <w:fldChar w:fldCharType="end"/>
    </w:r>
  </w:p>
  <w:p w:rsidR="00A73226" w:rsidRDefault="00A732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226" w:rsidRDefault="00A73226">
    <w:pPr>
      <w:pStyle w:val="Footer"/>
      <w:jc w:val="center"/>
    </w:pPr>
    <w:r>
      <w:fldChar w:fldCharType="begin"/>
    </w:r>
    <w:r>
      <w:instrText xml:space="preserve"> PAGE   \* MERGEFORMAT </w:instrText>
    </w:r>
    <w:r>
      <w:fldChar w:fldCharType="separate"/>
    </w:r>
    <w:r w:rsidR="00AA137D">
      <w:rPr>
        <w:noProof/>
      </w:rPr>
      <w:t>- 1 -</w:t>
    </w:r>
    <w:r>
      <w:rPr>
        <w:noProof/>
      </w:rPr>
      <w:fldChar w:fldCharType="end"/>
    </w:r>
  </w:p>
  <w:p w:rsidR="00A73226" w:rsidRDefault="00A73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764" w:rsidRDefault="00397764">
      <w:r>
        <w:separator/>
      </w:r>
    </w:p>
  </w:footnote>
  <w:footnote w:type="continuationSeparator" w:id="0">
    <w:p w:rsidR="00397764" w:rsidRDefault="00397764">
      <w:r>
        <w:continuationSeparator/>
      </w:r>
    </w:p>
  </w:footnote>
  <w:footnote w:id="1">
    <w:p w:rsidR="00665376" w:rsidRDefault="00665376">
      <w:pPr>
        <w:pStyle w:val="FootnoteText"/>
      </w:pPr>
      <w:r>
        <w:t xml:space="preserve">1. Ryu, E., Couper, M.P. &amp; Marans, R.W. (2006). Survey Incentives: Cash vs. In-Kind; Face-to-Face vs. Mail; Response Rate vs. Nonresponse Error. </w:t>
      </w:r>
      <w:r>
        <w:rPr>
          <w:i/>
        </w:rPr>
        <w:t xml:space="preserve">International Journal of Public Opinion Research, 18(1), </w:t>
      </w:r>
      <w:r>
        <w:t>89-106.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5F68"/>
    <w:multiLevelType w:val="hybridMultilevel"/>
    <w:tmpl w:val="64F8E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24DAE"/>
    <w:multiLevelType w:val="hybridMultilevel"/>
    <w:tmpl w:val="0DB07B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35AD5"/>
    <w:multiLevelType w:val="hybridMultilevel"/>
    <w:tmpl w:val="91AC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20B99"/>
    <w:multiLevelType w:val="hybridMultilevel"/>
    <w:tmpl w:val="64F8E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5" w15:restartNumberingAfterBreak="0">
    <w:nsid w:val="5B73142C"/>
    <w:multiLevelType w:val="hybridMultilevel"/>
    <w:tmpl w:val="91AC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5710C7"/>
    <w:multiLevelType w:val="hybridMultilevel"/>
    <w:tmpl w:val="909C5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7"/>
  </w:num>
  <w:num w:numId="2">
    <w:abstractNumId w:val="4"/>
  </w:num>
  <w:num w:numId="3">
    <w:abstractNumId w:val="5"/>
  </w:num>
  <w:num w:numId="4">
    <w:abstractNumId w:val="2"/>
  </w:num>
  <w:num w:numId="5">
    <w:abstractNumId w:val="0"/>
  </w:num>
  <w:num w:numId="6">
    <w:abstractNumId w:val="1"/>
  </w:num>
  <w:num w:numId="7">
    <w:abstractNumId w:val="3"/>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C91"/>
    <w:rsid w:val="00011E85"/>
    <w:rsid w:val="00016560"/>
    <w:rsid w:val="000237F5"/>
    <w:rsid w:val="00024FEE"/>
    <w:rsid w:val="00033C8B"/>
    <w:rsid w:val="0003485F"/>
    <w:rsid w:val="00037998"/>
    <w:rsid w:val="00042765"/>
    <w:rsid w:val="00045959"/>
    <w:rsid w:val="00046359"/>
    <w:rsid w:val="000564B7"/>
    <w:rsid w:val="00061A47"/>
    <w:rsid w:val="0006207D"/>
    <w:rsid w:val="0006436E"/>
    <w:rsid w:val="000721C3"/>
    <w:rsid w:val="00074F28"/>
    <w:rsid w:val="000775D8"/>
    <w:rsid w:val="000779A9"/>
    <w:rsid w:val="00082047"/>
    <w:rsid w:val="000829F9"/>
    <w:rsid w:val="0008593B"/>
    <w:rsid w:val="000A0972"/>
    <w:rsid w:val="000A10E4"/>
    <w:rsid w:val="000A140E"/>
    <w:rsid w:val="000A3475"/>
    <w:rsid w:val="000A3CB8"/>
    <w:rsid w:val="000A7A9A"/>
    <w:rsid w:val="000B3797"/>
    <w:rsid w:val="000B78CB"/>
    <w:rsid w:val="000C18A2"/>
    <w:rsid w:val="000D32F2"/>
    <w:rsid w:val="000D429E"/>
    <w:rsid w:val="000E01D1"/>
    <w:rsid w:val="000E33C7"/>
    <w:rsid w:val="000E4E72"/>
    <w:rsid w:val="000F0E5B"/>
    <w:rsid w:val="000F1328"/>
    <w:rsid w:val="000F1EF7"/>
    <w:rsid w:val="000F2B59"/>
    <w:rsid w:val="000F3A1C"/>
    <w:rsid w:val="00100E92"/>
    <w:rsid w:val="00105B54"/>
    <w:rsid w:val="00112DF2"/>
    <w:rsid w:val="0011434C"/>
    <w:rsid w:val="00115FB3"/>
    <w:rsid w:val="001166B1"/>
    <w:rsid w:val="0011781A"/>
    <w:rsid w:val="00126795"/>
    <w:rsid w:val="0012683A"/>
    <w:rsid w:val="00131443"/>
    <w:rsid w:val="00135F07"/>
    <w:rsid w:val="00136551"/>
    <w:rsid w:val="0016575F"/>
    <w:rsid w:val="00165CB0"/>
    <w:rsid w:val="00187A50"/>
    <w:rsid w:val="00192F81"/>
    <w:rsid w:val="001B04BB"/>
    <w:rsid w:val="001B1C61"/>
    <w:rsid w:val="001B59A0"/>
    <w:rsid w:val="001B771D"/>
    <w:rsid w:val="001B77F2"/>
    <w:rsid w:val="001C3C5E"/>
    <w:rsid w:val="001C40D2"/>
    <w:rsid w:val="001C4C55"/>
    <w:rsid w:val="001C59E4"/>
    <w:rsid w:val="001C75F9"/>
    <w:rsid w:val="001D6650"/>
    <w:rsid w:val="001D7CF4"/>
    <w:rsid w:val="001E24D4"/>
    <w:rsid w:val="001F42A3"/>
    <w:rsid w:val="001F72EA"/>
    <w:rsid w:val="00200E28"/>
    <w:rsid w:val="002040AC"/>
    <w:rsid w:val="00214F8D"/>
    <w:rsid w:val="0022366A"/>
    <w:rsid w:val="00233A6A"/>
    <w:rsid w:val="00236D67"/>
    <w:rsid w:val="00241546"/>
    <w:rsid w:val="00244FBA"/>
    <w:rsid w:val="00257C25"/>
    <w:rsid w:val="00257F31"/>
    <w:rsid w:val="00260886"/>
    <w:rsid w:val="0026424E"/>
    <w:rsid w:val="00270F74"/>
    <w:rsid w:val="00272E29"/>
    <w:rsid w:val="00274244"/>
    <w:rsid w:val="00276BD4"/>
    <w:rsid w:val="002815C3"/>
    <w:rsid w:val="00291B73"/>
    <w:rsid w:val="00292CB7"/>
    <w:rsid w:val="0029587F"/>
    <w:rsid w:val="0029734C"/>
    <w:rsid w:val="002A00BD"/>
    <w:rsid w:val="002A0B0C"/>
    <w:rsid w:val="002B382B"/>
    <w:rsid w:val="002B4DED"/>
    <w:rsid w:val="002B73EF"/>
    <w:rsid w:val="002C334E"/>
    <w:rsid w:val="002C4FE4"/>
    <w:rsid w:val="002D4EA2"/>
    <w:rsid w:val="002D5CE6"/>
    <w:rsid w:val="002D76E4"/>
    <w:rsid w:val="002D7AB1"/>
    <w:rsid w:val="002E1F2C"/>
    <w:rsid w:val="002E2C17"/>
    <w:rsid w:val="002E54EF"/>
    <w:rsid w:val="002F4DE8"/>
    <w:rsid w:val="00301552"/>
    <w:rsid w:val="00302434"/>
    <w:rsid w:val="003058A6"/>
    <w:rsid w:val="0031391F"/>
    <w:rsid w:val="00314ECA"/>
    <w:rsid w:val="00316BE2"/>
    <w:rsid w:val="00321322"/>
    <w:rsid w:val="00325B9C"/>
    <w:rsid w:val="00340D97"/>
    <w:rsid w:val="00342187"/>
    <w:rsid w:val="00346A5E"/>
    <w:rsid w:val="0035582F"/>
    <w:rsid w:val="00361F52"/>
    <w:rsid w:val="00365D6D"/>
    <w:rsid w:val="00376035"/>
    <w:rsid w:val="00377301"/>
    <w:rsid w:val="0037771B"/>
    <w:rsid w:val="0038217D"/>
    <w:rsid w:val="00387BEF"/>
    <w:rsid w:val="003974BF"/>
    <w:rsid w:val="00397764"/>
    <w:rsid w:val="003A6747"/>
    <w:rsid w:val="003B2DD5"/>
    <w:rsid w:val="003B6B41"/>
    <w:rsid w:val="003B73C1"/>
    <w:rsid w:val="003B7F24"/>
    <w:rsid w:val="003C34C5"/>
    <w:rsid w:val="003C60BD"/>
    <w:rsid w:val="003D17EA"/>
    <w:rsid w:val="003D21A7"/>
    <w:rsid w:val="003D3A78"/>
    <w:rsid w:val="003D73D8"/>
    <w:rsid w:val="003F0659"/>
    <w:rsid w:val="003F2E33"/>
    <w:rsid w:val="003F4F94"/>
    <w:rsid w:val="003F5621"/>
    <w:rsid w:val="003F5921"/>
    <w:rsid w:val="003F6404"/>
    <w:rsid w:val="004009AB"/>
    <w:rsid w:val="00403DAC"/>
    <w:rsid w:val="00414C80"/>
    <w:rsid w:val="004155E1"/>
    <w:rsid w:val="00425974"/>
    <w:rsid w:val="00430E79"/>
    <w:rsid w:val="004319B1"/>
    <w:rsid w:val="0043596B"/>
    <w:rsid w:val="004373BC"/>
    <w:rsid w:val="00444387"/>
    <w:rsid w:val="0044769A"/>
    <w:rsid w:val="00450420"/>
    <w:rsid w:val="00450538"/>
    <w:rsid w:val="004514E8"/>
    <w:rsid w:val="004523FC"/>
    <w:rsid w:val="00456179"/>
    <w:rsid w:val="0046110A"/>
    <w:rsid w:val="004666A9"/>
    <w:rsid w:val="00467163"/>
    <w:rsid w:val="00472A05"/>
    <w:rsid w:val="0047437D"/>
    <w:rsid w:val="0047504D"/>
    <w:rsid w:val="004A0DB4"/>
    <w:rsid w:val="004A4844"/>
    <w:rsid w:val="004A7776"/>
    <w:rsid w:val="004B6D3F"/>
    <w:rsid w:val="004B6D5D"/>
    <w:rsid w:val="004C321D"/>
    <w:rsid w:val="004C4A74"/>
    <w:rsid w:val="004C5D89"/>
    <w:rsid w:val="004D348D"/>
    <w:rsid w:val="004D7F12"/>
    <w:rsid w:val="004E3A1B"/>
    <w:rsid w:val="004F5286"/>
    <w:rsid w:val="00502726"/>
    <w:rsid w:val="0050531D"/>
    <w:rsid w:val="005076C0"/>
    <w:rsid w:val="00510909"/>
    <w:rsid w:val="00511758"/>
    <w:rsid w:val="00515273"/>
    <w:rsid w:val="00516E6E"/>
    <w:rsid w:val="00520CE0"/>
    <w:rsid w:val="005214E7"/>
    <w:rsid w:val="005258B6"/>
    <w:rsid w:val="00531857"/>
    <w:rsid w:val="005321CA"/>
    <w:rsid w:val="005347E6"/>
    <w:rsid w:val="0053516D"/>
    <w:rsid w:val="00535B56"/>
    <w:rsid w:val="005402CA"/>
    <w:rsid w:val="0054475E"/>
    <w:rsid w:val="005547E1"/>
    <w:rsid w:val="00556066"/>
    <w:rsid w:val="005578F1"/>
    <w:rsid w:val="00561E9B"/>
    <w:rsid w:val="005747F7"/>
    <w:rsid w:val="00574870"/>
    <w:rsid w:val="00581555"/>
    <w:rsid w:val="00581FD2"/>
    <w:rsid w:val="0058234E"/>
    <w:rsid w:val="0058628F"/>
    <w:rsid w:val="00587247"/>
    <w:rsid w:val="005939E7"/>
    <w:rsid w:val="00597977"/>
    <w:rsid w:val="005A5B32"/>
    <w:rsid w:val="005B01A4"/>
    <w:rsid w:val="005B079A"/>
    <w:rsid w:val="005B2955"/>
    <w:rsid w:val="005B316C"/>
    <w:rsid w:val="005B3C01"/>
    <w:rsid w:val="005B62CF"/>
    <w:rsid w:val="005B6FAA"/>
    <w:rsid w:val="005C4F7E"/>
    <w:rsid w:val="005D52BC"/>
    <w:rsid w:val="005E050C"/>
    <w:rsid w:val="005E0F83"/>
    <w:rsid w:val="005E67BA"/>
    <w:rsid w:val="005E7650"/>
    <w:rsid w:val="005F4B12"/>
    <w:rsid w:val="005F4EE9"/>
    <w:rsid w:val="006014DB"/>
    <w:rsid w:val="006034B8"/>
    <w:rsid w:val="00604040"/>
    <w:rsid w:val="00606400"/>
    <w:rsid w:val="00613BB0"/>
    <w:rsid w:val="00613C05"/>
    <w:rsid w:val="00616DB4"/>
    <w:rsid w:val="00625C1B"/>
    <w:rsid w:val="00630D22"/>
    <w:rsid w:val="00631C81"/>
    <w:rsid w:val="00632979"/>
    <w:rsid w:val="00635119"/>
    <w:rsid w:val="00636A0C"/>
    <w:rsid w:val="00647352"/>
    <w:rsid w:val="00652FFA"/>
    <w:rsid w:val="00655A17"/>
    <w:rsid w:val="006575F9"/>
    <w:rsid w:val="006605FA"/>
    <w:rsid w:val="00665376"/>
    <w:rsid w:val="00673146"/>
    <w:rsid w:val="00685572"/>
    <w:rsid w:val="00686878"/>
    <w:rsid w:val="006910E5"/>
    <w:rsid w:val="006956FF"/>
    <w:rsid w:val="006A264A"/>
    <w:rsid w:val="006A266F"/>
    <w:rsid w:val="006A55C5"/>
    <w:rsid w:val="006B12ED"/>
    <w:rsid w:val="006B2306"/>
    <w:rsid w:val="006D7E07"/>
    <w:rsid w:val="006E541D"/>
    <w:rsid w:val="006F3F6D"/>
    <w:rsid w:val="00700550"/>
    <w:rsid w:val="0070072D"/>
    <w:rsid w:val="00702D25"/>
    <w:rsid w:val="00703573"/>
    <w:rsid w:val="007109B1"/>
    <w:rsid w:val="007135D8"/>
    <w:rsid w:val="0072222E"/>
    <w:rsid w:val="00723075"/>
    <w:rsid w:val="00730B20"/>
    <w:rsid w:val="00734002"/>
    <w:rsid w:val="00744D19"/>
    <w:rsid w:val="007470B8"/>
    <w:rsid w:val="00747A7E"/>
    <w:rsid w:val="00751BAF"/>
    <w:rsid w:val="00765D1A"/>
    <w:rsid w:val="007721F3"/>
    <w:rsid w:val="0077506A"/>
    <w:rsid w:val="007812E6"/>
    <w:rsid w:val="00793BE3"/>
    <w:rsid w:val="007A6599"/>
    <w:rsid w:val="007A71CC"/>
    <w:rsid w:val="007A7B8F"/>
    <w:rsid w:val="007A7E99"/>
    <w:rsid w:val="007B0CF3"/>
    <w:rsid w:val="007B248E"/>
    <w:rsid w:val="007B3A8E"/>
    <w:rsid w:val="007B6551"/>
    <w:rsid w:val="007B6A52"/>
    <w:rsid w:val="007C1ECB"/>
    <w:rsid w:val="007D4F9F"/>
    <w:rsid w:val="007E37D6"/>
    <w:rsid w:val="007E4359"/>
    <w:rsid w:val="007E5347"/>
    <w:rsid w:val="007F2B2D"/>
    <w:rsid w:val="007F5145"/>
    <w:rsid w:val="00800C07"/>
    <w:rsid w:val="0080612B"/>
    <w:rsid w:val="00810874"/>
    <w:rsid w:val="00814C30"/>
    <w:rsid w:val="008155B1"/>
    <w:rsid w:val="00817A5A"/>
    <w:rsid w:val="00817D14"/>
    <w:rsid w:val="00817DA0"/>
    <w:rsid w:val="008246F3"/>
    <w:rsid w:val="00825DA9"/>
    <w:rsid w:val="00834104"/>
    <w:rsid w:val="00841C9D"/>
    <w:rsid w:val="00842026"/>
    <w:rsid w:val="008450C0"/>
    <w:rsid w:val="008452E0"/>
    <w:rsid w:val="00860438"/>
    <w:rsid w:val="00861E61"/>
    <w:rsid w:val="00872205"/>
    <w:rsid w:val="00873DD6"/>
    <w:rsid w:val="00873F74"/>
    <w:rsid w:val="00880DFE"/>
    <w:rsid w:val="00883D7C"/>
    <w:rsid w:val="00887F65"/>
    <w:rsid w:val="00892655"/>
    <w:rsid w:val="00893E05"/>
    <w:rsid w:val="008973C5"/>
    <w:rsid w:val="00897B25"/>
    <w:rsid w:val="008A307D"/>
    <w:rsid w:val="008B4F6D"/>
    <w:rsid w:val="008B593F"/>
    <w:rsid w:val="008C26CA"/>
    <w:rsid w:val="008C580E"/>
    <w:rsid w:val="008C5E4E"/>
    <w:rsid w:val="008D5C77"/>
    <w:rsid w:val="008D6B5A"/>
    <w:rsid w:val="008D75AC"/>
    <w:rsid w:val="008E567E"/>
    <w:rsid w:val="008F0B8B"/>
    <w:rsid w:val="008F1164"/>
    <w:rsid w:val="008F36BC"/>
    <w:rsid w:val="00905224"/>
    <w:rsid w:val="00922619"/>
    <w:rsid w:val="0092361B"/>
    <w:rsid w:val="009276FE"/>
    <w:rsid w:val="009348DE"/>
    <w:rsid w:val="00936324"/>
    <w:rsid w:val="009374DF"/>
    <w:rsid w:val="00940A0F"/>
    <w:rsid w:val="00940C92"/>
    <w:rsid w:val="0094403D"/>
    <w:rsid w:val="00944219"/>
    <w:rsid w:val="00955279"/>
    <w:rsid w:val="00956A2A"/>
    <w:rsid w:val="00957A65"/>
    <w:rsid w:val="00961413"/>
    <w:rsid w:val="009639C6"/>
    <w:rsid w:val="009676A3"/>
    <w:rsid w:val="0097127A"/>
    <w:rsid w:val="009737A8"/>
    <w:rsid w:val="00973FC7"/>
    <w:rsid w:val="0097513A"/>
    <w:rsid w:val="009774AE"/>
    <w:rsid w:val="009943E2"/>
    <w:rsid w:val="009943E4"/>
    <w:rsid w:val="00995D29"/>
    <w:rsid w:val="009A237A"/>
    <w:rsid w:val="009A49A7"/>
    <w:rsid w:val="009A6135"/>
    <w:rsid w:val="009B0C43"/>
    <w:rsid w:val="009B228E"/>
    <w:rsid w:val="009B3A3B"/>
    <w:rsid w:val="009B633D"/>
    <w:rsid w:val="009C1AFA"/>
    <w:rsid w:val="009C4881"/>
    <w:rsid w:val="009C6F40"/>
    <w:rsid w:val="009D164D"/>
    <w:rsid w:val="009D2421"/>
    <w:rsid w:val="009D265A"/>
    <w:rsid w:val="009D3DBB"/>
    <w:rsid w:val="009D43E8"/>
    <w:rsid w:val="009D7548"/>
    <w:rsid w:val="009E42D4"/>
    <w:rsid w:val="009E6144"/>
    <w:rsid w:val="009F597D"/>
    <w:rsid w:val="00A115E0"/>
    <w:rsid w:val="00A12091"/>
    <w:rsid w:val="00A13C9F"/>
    <w:rsid w:val="00A15D49"/>
    <w:rsid w:val="00A15FA8"/>
    <w:rsid w:val="00A1614D"/>
    <w:rsid w:val="00A30297"/>
    <w:rsid w:val="00A30B31"/>
    <w:rsid w:val="00A30D9A"/>
    <w:rsid w:val="00A34084"/>
    <w:rsid w:val="00A4694A"/>
    <w:rsid w:val="00A55A62"/>
    <w:rsid w:val="00A56708"/>
    <w:rsid w:val="00A61BD8"/>
    <w:rsid w:val="00A67224"/>
    <w:rsid w:val="00A676FA"/>
    <w:rsid w:val="00A73226"/>
    <w:rsid w:val="00A757EF"/>
    <w:rsid w:val="00A77988"/>
    <w:rsid w:val="00A835E4"/>
    <w:rsid w:val="00A87078"/>
    <w:rsid w:val="00A905D8"/>
    <w:rsid w:val="00A94219"/>
    <w:rsid w:val="00A95A7E"/>
    <w:rsid w:val="00AA137D"/>
    <w:rsid w:val="00AA1DDC"/>
    <w:rsid w:val="00AA3F0B"/>
    <w:rsid w:val="00AA3FB0"/>
    <w:rsid w:val="00AA5AEA"/>
    <w:rsid w:val="00AA773F"/>
    <w:rsid w:val="00AA788A"/>
    <w:rsid w:val="00AB22EC"/>
    <w:rsid w:val="00AC046A"/>
    <w:rsid w:val="00AC1536"/>
    <w:rsid w:val="00AD6516"/>
    <w:rsid w:val="00AE1426"/>
    <w:rsid w:val="00AE34DA"/>
    <w:rsid w:val="00AE4702"/>
    <w:rsid w:val="00AE7D70"/>
    <w:rsid w:val="00AF1410"/>
    <w:rsid w:val="00AF3A2F"/>
    <w:rsid w:val="00AF523D"/>
    <w:rsid w:val="00B04BE0"/>
    <w:rsid w:val="00B06340"/>
    <w:rsid w:val="00B12235"/>
    <w:rsid w:val="00B20417"/>
    <w:rsid w:val="00B227A7"/>
    <w:rsid w:val="00B238AD"/>
    <w:rsid w:val="00B257FE"/>
    <w:rsid w:val="00B338AC"/>
    <w:rsid w:val="00B42EBB"/>
    <w:rsid w:val="00B44522"/>
    <w:rsid w:val="00B4488A"/>
    <w:rsid w:val="00B46AF2"/>
    <w:rsid w:val="00B518F2"/>
    <w:rsid w:val="00B52533"/>
    <w:rsid w:val="00B55C10"/>
    <w:rsid w:val="00B645ED"/>
    <w:rsid w:val="00B675CF"/>
    <w:rsid w:val="00B70601"/>
    <w:rsid w:val="00B720EC"/>
    <w:rsid w:val="00B762E0"/>
    <w:rsid w:val="00B7634B"/>
    <w:rsid w:val="00B8186E"/>
    <w:rsid w:val="00B825D0"/>
    <w:rsid w:val="00B83929"/>
    <w:rsid w:val="00B85166"/>
    <w:rsid w:val="00B862D1"/>
    <w:rsid w:val="00B915F1"/>
    <w:rsid w:val="00B91CC0"/>
    <w:rsid w:val="00BA1490"/>
    <w:rsid w:val="00BA5165"/>
    <w:rsid w:val="00BB1C2F"/>
    <w:rsid w:val="00BB2479"/>
    <w:rsid w:val="00BB6065"/>
    <w:rsid w:val="00BB6B9C"/>
    <w:rsid w:val="00BB7136"/>
    <w:rsid w:val="00BC1D30"/>
    <w:rsid w:val="00BC32A2"/>
    <w:rsid w:val="00BC4138"/>
    <w:rsid w:val="00BD0281"/>
    <w:rsid w:val="00BD66AC"/>
    <w:rsid w:val="00BE0430"/>
    <w:rsid w:val="00BE11EE"/>
    <w:rsid w:val="00BE24E9"/>
    <w:rsid w:val="00BE559D"/>
    <w:rsid w:val="00BE7F12"/>
    <w:rsid w:val="00BF735E"/>
    <w:rsid w:val="00C05DDA"/>
    <w:rsid w:val="00C0644C"/>
    <w:rsid w:val="00C11558"/>
    <w:rsid w:val="00C205C8"/>
    <w:rsid w:val="00C2118A"/>
    <w:rsid w:val="00C235B8"/>
    <w:rsid w:val="00C30E91"/>
    <w:rsid w:val="00C3331E"/>
    <w:rsid w:val="00C365D5"/>
    <w:rsid w:val="00C4006D"/>
    <w:rsid w:val="00C71C2B"/>
    <w:rsid w:val="00C73F08"/>
    <w:rsid w:val="00C82EED"/>
    <w:rsid w:val="00C95006"/>
    <w:rsid w:val="00C97DB8"/>
    <w:rsid w:val="00CA136B"/>
    <w:rsid w:val="00CA72B1"/>
    <w:rsid w:val="00CA7470"/>
    <w:rsid w:val="00CB5569"/>
    <w:rsid w:val="00CC05BE"/>
    <w:rsid w:val="00CC1F60"/>
    <w:rsid w:val="00CD3928"/>
    <w:rsid w:val="00CF170E"/>
    <w:rsid w:val="00CF22F9"/>
    <w:rsid w:val="00CF3385"/>
    <w:rsid w:val="00CF3861"/>
    <w:rsid w:val="00CF38FE"/>
    <w:rsid w:val="00CF60F0"/>
    <w:rsid w:val="00D0660C"/>
    <w:rsid w:val="00D06C60"/>
    <w:rsid w:val="00D150A9"/>
    <w:rsid w:val="00D153E2"/>
    <w:rsid w:val="00D16BB1"/>
    <w:rsid w:val="00D22E61"/>
    <w:rsid w:val="00D2521F"/>
    <w:rsid w:val="00D27D52"/>
    <w:rsid w:val="00D32118"/>
    <w:rsid w:val="00D41C14"/>
    <w:rsid w:val="00D42C4C"/>
    <w:rsid w:val="00D522E9"/>
    <w:rsid w:val="00D543D5"/>
    <w:rsid w:val="00D65043"/>
    <w:rsid w:val="00D66003"/>
    <w:rsid w:val="00D66E74"/>
    <w:rsid w:val="00D67283"/>
    <w:rsid w:val="00D70B1E"/>
    <w:rsid w:val="00D70CFF"/>
    <w:rsid w:val="00D71F39"/>
    <w:rsid w:val="00D81EDA"/>
    <w:rsid w:val="00D81F4C"/>
    <w:rsid w:val="00D91616"/>
    <w:rsid w:val="00DA097F"/>
    <w:rsid w:val="00DA73A3"/>
    <w:rsid w:val="00DB0329"/>
    <w:rsid w:val="00DB3948"/>
    <w:rsid w:val="00DC0584"/>
    <w:rsid w:val="00DC1DF1"/>
    <w:rsid w:val="00DC2680"/>
    <w:rsid w:val="00DC76AD"/>
    <w:rsid w:val="00DD0EF7"/>
    <w:rsid w:val="00DD3777"/>
    <w:rsid w:val="00DD695F"/>
    <w:rsid w:val="00DE17B2"/>
    <w:rsid w:val="00DE34C4"/>
    <w:rsid w:val="00DE7E85"/>
    <w:rsid w:val="00DF02C3"/>
    <w:rsid w:val="00DF44D1"/>
    <w:rsid w:val="00DF4F3C"/>
    <w:rsid w:val="00DF78C8"/>
    <w:rsid w:val="00E005D8"/>
    <w:rsid w:val="00E01291"/>
    <w:rsid w:val="00E10CE4"/>
    <w:rsid w:val="00E14FC3"/>
    <w:rsid w:val="00E258F7"/>
    <w:rsid w:val="00E2592B"/>
    <w:rsid w:val="00E318F2"/>
    <w:rsid w:val="00E32B40"/>
    <w:rsid w:val="00E36C10"/>
    <w:rsid w:val="00E41413"/>
    <w:rsid w:val="00E454D6"/>
    <w:rsid w:val="00E45673"/>
    <w:rsid w:val="00E47851"/>
    <w:rsid w:val="00E52235"/>
    <w:rsid w:val="00E54F28"/>
    <w:rsid w:val="00E619E0"/>
    <w:rsid w:val="00E706B3"/>
    <w:rsid w:val="00E7111A"/>
    <w:rsid w:val="00E726ED"/>
    <w:rsid w:val="00E7422B"/>
    <w:rsid w:val="00E76DF0"/>
    <w:rsid w:val="00E770A9"/>
    <w:rsid w:val="00E84876"/>
    <w:rsid w:val="00E84B79"/>
    <w:rsid w:val="00E85E53"/>
    <w:rsid w:val="00E87594"/>
    <w:rsid w:val="00E97584"/>
    <w:rsid w:val="00EA0F8C"/>
    <w:rsid w:val="00EA12E2"/>
    <w:rsid w:val="00EA23B2"/>
    <w:rsid w:val="00EA2FC5"/>
    <w:rsid w:val="00EA4695"/>
    <w:rsid w:val="00EA6DC9"/>
    <w:rsid w:val="00EB58F3"/>
    <w:rsid w:val="00EC3C19"/>
    <w:rsid w:val="00EC42A0"/>
    <w:rsid w:val="00EC540C"/>
    <w:rsid w:val="00ED0EBB"/>
    <w:rsid w:val="00ED193D"/>
    <w:rsid w:val="00ED2AEF"/>
    <w:rsid w:val="00EE0F6B"/>
    <w:rsid w:val="00EE1606"/>
    <w:rsid w:val="00EE2C48"/>
    <w:rsid w:val="00EE4455"/>
    <w:rsid w:val="00EE4A25"/>
    <w:rsid w:val="00EF2778"/>
    <w:rsid w:val="00EF44C7"/>
    <w:rsid w:val="00EF5C2A"/>
    <w:rsid w:val="00F04055"/>
    <w:rsid w:val="00F122B9"/>
    <w:rsid w:val="00F12C9B"/>
    <w:rsid w:val="00F17F6A"/>
    <w:rsid w:val="00F21CD9"/>
    <w:rsid w:val="00F22E52"/>
    <w:rsid w:val="00F3070B"/>
    <w:rsid w:val="00F30855"/>
    <w:rsid w:val="00F3207F"/>
    <w:rsid w:val="00F340FE"/>
    <w:rsid w:val="00F349E7"/>
    <w:rsid w:val="00F42C7E"/>
    <w:rsid w:val="00F46275"/>
    <w:rsid w:val="00F5665F"/>
    <w:rsid w:val="00F60488"/>
    <w:rsid w:val="00F63BC0"/>
    <w:rsid w:val="00F640FB"/>
    <w:rsid w:val="00F71664"/>
    <w:rsid w:val="00F72F73"/>
    <w:rsid w:val="00F758A3"/>
    <w:rsid w:val="00F81375"/>
    <w:rsid w:val="00F81B5F"/>
    <w:rsid w:val="00F832D6"/>
    <w:rsid w:val="00F833FE"/>
    <w:rsid w:val="00F928CB"/>
    <w:rsid w:val="00F94B00"/>
    <w:rsid w:val="00FA03AD"/>
    <w:rsid w:val="00FA2E89"/>
    <w:rsid w:val="00FA3121"/>
    <w:rsid w:val="00FA64DB"/>
    <w:rsid w:val="00FB1D59"/>
    <w:rsid w:val="00FB6500"/>
    <w:rsid w:val="00FC06AD"/>
    <w:rsid w:val="00FC430C"/>
    <w:rsid w:val="00FC588E"/>
    <w:rsid w:val="00FC7332"/>
    <w:rsid w:val="00FD7F5B"/>
    <w:rsid w:val="00FE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EE2B15F"/>
  <w15:chartTrackingRefBased/>
  <w15:docId w15:val="{0B27009E-5F79-4349-8594-402C59CA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E07"/>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E7D70"/>
    <w:pPr>
      <w:keepNext/>
      <w:spacing w:before="240" w:after="120"/>
      <w:outlineLvl w:val="2"/>
    </w:pPr>
    <w:rPr>
      <w:rFonts w:ascii="Arial" w:hAnsi="Arial" w:cs="Arial"/>
      <w:b/>
      <w:bCs/>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uiPriority w:val="39"/>
    <w:rsid w:val="001D0454"/>
    <w:pPr>
      <w:ind w:left="480"/>
    </w:pPr>
  </w:style>
  <w:style w:type="character" w:styleId="Hyperlink">
    <w:name w:val="Hyperlink"/>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link w:val="CommentText"/>
    <w:uiPriority w:val="99"/>
    <w:semiHidden/>
    <w:locked/>
    <w:rsid w:val="00955279"/>
  </w:style>
  <w:style w:type="paragraph" w:styleId="ListParagraph">
    <w:name w:val="List Paragraph"/>
    <w:basedOn w:val="Normal"/>
    <w:uiPriority w:val="34"/>
    <w:qFormat/>
    <w:rsid w:val="00955279"/>
    <w:pPr>
      <w:spacing w:before="240" w:after="240"/>
      <w:ind w:left="720"/>
      <w:contextualSpacing/>
    </w:pPr>
  </w:style>
  <w:style w:type="paragraph" w:styleId="TOCHeading">
    <w:name w:val="TOC Heading"/>
    <w:basedOn w:val="Heading1"/>
    <w:next w:val="Normal"/>
    <w:uiPriority w:val="39"/>
    <w:unhideWhenUsed/>
    <w:qFormat/>
    <w:rsid w:val="00AE7D70"/>
    <w:pPr>
      <w:keepLines/>
      <w:spacing w:after="0" w:line="259" w:lineRule="auto"/>
      <w:outlineLvl w:val="9"/>
    </w:pPr>
    <w:rPr>
      <w:rFonts w:ascii="Calibri Light" w:hAnsi="Calibri Light" w:cs="Times New Roman"/>
      <w:b w:val="0"/>
      <w:bCs w:val="0"/>
      <w:color w:val="2E74B5"/>
      <w:kern w:val="0"/>
    </w:rPr>
  </w:style>
  <w:style w:type="character" w:customStyle="1" w:styleId="FooterChar">
    <w:name w:val="Footer Char"/>
    <w:link w:val="Footer"/>
    <w:uiPriority w:val="99"/>
    <w:rsid w:val="00AE7D70"/>
    <w:rPr>
      <w:sz w:val="24"/>
      <w:szCs w:val="24"/>
    </w:rPr>
  </w:style>
  <w:style w:type="paragraph" w:styleId="Revision">
    <w:name w:val="Revision"/>
    <w:hidden/>
    <w:uiPriority w:val="99"/>
    <w:semiHidden/>
    <w:rsid w:val="004D34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61590971">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92559864">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6A7A6-232B-45CE-9722-0A7BB182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4328</Words>
  <Characters>26359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30626</CharactersWithSpaces>
  <SharedDoc>false</SharedDoc>
  <HLinks>
    <vt:vector size="138" baseType="variant">
      <vt:variant>
        <vt:i4>1048628</vt:i4>
      </vt:variant>
      <vt:variant>
        <vt:i4>134</vt:i4>
      </vt:variant>
      <vt:variant>
        <vt:i4>0</vt:i4>
      </vt:variant>
      <vt:variant>
        <vt:i4>5</vt:i4>
      </vt:variant>
      <vt:variant>
        <vt:lpwstr/>
      </vt:variant>
      <vt:variant>
        <vt:lpwstr>_Toc32301356</vt:lpwstr>
      </vt:variant>
      <vt:variant>
        <vt:i4>1245236</vt:i4>
      </vt:variant>
      <vt:variant>
        <vt:i4>128</vt:i4>
      </vt:variant>
      <vt:variant>
        <vt:i4>0</vt:i4>
      </vt:variant>
      <vt:variant>
        <vt:i4>5</vt:i4>
      </vt:variant>
      <vt:variant>
        <vt:lpwstr/>
      </vt:variant>
      <vt:variant>
        <vt:lpwstr>_Toc32301355</vt:lpwstr>
      </vt:variant>
      <vt:variant>
        <vt:i4>1179700</vt:i4>
      </vt:variant>
      <vt:variant>
        <vt:i4>122</vt:i4>
      </vt:variant>
      <vt:variant>
        <vt:i4>0</vt:i4>
      </vt:variant>
      <vt:variant>
        <vt:i4>5</vt:i4>
      </vt:variant>
      <vt:variant>
        <vt:lpwstr/>
      </vt:variant>
      <vt:variant>
        <vt:lpwstr>_Toc32301354</vt:lpwstr>
      </vt:variant>
      <vt:variant>
        <vt:i4>1376308</vt:i4>
      </vt:variant>
      <vt:variant>
        <vt:i4>116</vt:i4>
      </vt:variant>
      <vt:variant>
        <vt:i4>0</vt:i4>
      </vt:variant>
      <vt:variant>
        <vt:i4>5</vt:i4>
      </vt:variant>
      <vt:variant>
        <vt:lpwstr/>
      </vt:variant>
      <vt:variant>
        <vt:lpwstr>_Toc32301353</vt:lpwstr>
      </vt:variant>
      <vt:variant>
        <vt:i4>1310772</vt:i4>
      </vt:variant>
      <vt:variant>
        <vt:i4>110</vt:i4>
      </vt:variant>
      <vt:variant>
        <vt:i4>0</vt:i4>
      </vt:variant>
      <vt:variant>
        <vt:i4>5</vt:i4>
      </vt:variant>
      <vt:variant>
        <vt:lpwstr/>
      </vt:variant>
      <vt:variant>
        <vt:lpwstr>_Toc32301352</vt:lpwstr>
      </vt:variant>
      <vt:variant>
        <vt:i4>1507380</vt:i4>
      </vt:variant>
      <vt:variant>
        <vt:i4>104</vt:i4>
      </vt:variant>
      <vt:variant>
        <vt:i4>0</vt:i4>
      </vt:variant>
      <vt:variant>
        <vt:i4>5</vt:i4>
      </vt:variant>
      <vt:variant>
        <vt:lpwstr/>
      </vt:variant>
      <vt:variant>
        <vt:lpwstr>_Toc32301351</vt:lpwstr>
      </vt:variant>
      <vt:variant>
        <vt:i4>1441844</vt:i4>
      </vt:variant>
      <vt:variant>
        <vt:i4>98</vt:i4>
      </vt:variant>
      <vt:variant>
        <vt:i4>0</vt:i4>
      </vt:variant>
      <vt:variant>
        <vt:i4>5</vt:i4>
      </vt:variant>
      <vt:variant>
        <vt:lpwstr/>
      </vt:variant>
      <vt:variant>
        <vt:lpwstr>_Toc32301350</vt:lpwstr>
      </vt:variant>
      <vt:variant>
        <vt:i4>2031669</vt:i4>
      </vt:variant>
      <vt:variant>
        <vt:i4>92</vt:i4>
      </vt:variant>
      <vt:variant>
        <vt:i4>0</vt:i4>
      </vt:variant>
      <vt:variant>
        <vt:i4>5</vt:i4>
      </vt:variant>
      <vt:variant>
        <vt:lpwstr/>
      </vt:variant>
      <vt:variant>
        <vt:lpwstr>_Toc32301349</vt:lpwstr>
      </vt:variant>
      <vt:variant>
        <vt:i4>1966133</vt:i4>
      </vt:variant>
      <vt:variant>
        <vt:i4>86</vt:i4>
      </vt:variant>
      <vt:variant>
        <vt:i4>0</vt:i4>
      </vt:variant>
      <vt:variant>
        <vt:i4>5</vt:i4>
      </vt:variant>
      <vt:variant>
        <vt:lpwstr/>
      </vt:variant>
      <vt:variant>
        <vt:lpwstr>_Toc32301348</vt:lpwstr>
      </vt:variant>
      <vt:variant>
        <vt:i4>1114165</vt:i4>
      </vt:variant>
      <vt:variant>
        <vt:i4>80</vt:i4>
      </vt:variant>
      <vt:variant>
        <vt:i4>0</vt:i4>
      </vt:variant>
      <vt:variant>
        <vt:i4>5</vt:i4>
      </vt:variant>
      <vt:variant>
        <vt:lpwstr/>
      </vt:variant>
      <vt:variant>
        <vt:lpwstr>_Toc32301347</vt:lpwstr>
      </vt:variant>
      <vt:variant>
        <vt:i4>1048629</vt:i4>
      </vt:variant>
      <vt:variant>
        <vt:i4>74</vt:i4>
      </vt:variant>
      <vt:variant>
        <vt:i4>0</vt:i4>
      </vt:variant>
      <vt:variant>
        <vt:i4>5</vt:i4>
      </vt:variant>
      <vt:variant>
        <vt:lpwstr/>
      </vt:variant>
      <vt:variant>
        <vt:lpwstr>_Toc32301346</vt:lpwstr>
      </vt:variant>
      <vt:variant>
        <vt:i4>1245237</vt:i4>
      </vt:variant>
      <vt:variant>
        <vt:i4>68</vt:i4>
      </vt:variant>
      <vt:variant>
        <vt:i4>0</vt:i4>
      </vt:variant>
      <vt:variant>
        <vt:i4>5</vt:i4>
      </vt:variant>
      <vt:variant>
        <vt:lpwstr/>
      </vt:variant>
      <vt:variant>
        <vt:lpwstr>_Toc32301345</vt:lpwstr>
      </vt:variant>
      <vt:variant>
        <vt:i4>1179701</vt:i4>
      </vt:variant>
      <vt:variant>
        <vt:i4>62</vt:i4>
      </vt:variant>
      <vt:variant>
        <vt:i4>0</vt:i4>
      </vt:variant>
      <vt:variant>
        <vt:i4>5</vt:i4>
      </vt:variant>
      <vt:variant>
        <vt:lpwstr/>
      </vt:variant>
      <vt:variant>
        <vt:lpwstr>_Toc32301344</vt:lpwstr>
      </vt:variant>
      <vt:variant>
        <vt:i4>1376309</vt:i4>
      </vt:variant>
      <vt:variant>
        <vt:i4>56</vt:i4>
      </vt:variant>
      <vt:variant>
        <vt:i4>0</vt:i4>
      </vt:variant>
      <vt:variant>
        <vt:i4>5</vt:i4>
      </vt:variant>
      <vt:variant>
        <vt:lpwstr/>
      </vt:variant>
      <vt:variant>
        <vt:lpwstr>_Toc32301343</vt:lpwstr>
      </vt:variant>
      <vt:variant>
        <vt:i4>1310773</vt:i4>
      </vt:variant>
      <vt:variant>
        <vt:i4>50</vt:i4>
      </vt:variant>
      <vt:variant>
        <vt:i4>0</vt:i4>
      </vt:variant>
      <vt:variant>
        <vt:i4>5</vt:i4>
      </vt:variant>
      <vt:variant>
        <vt:lpwstr/>
      </vt:variant>
      <vt:variant>
        <vt:lpwstr>_Toc32301342</vt:lpwstr>
      </vt:variant>
      <vt:variant>
        <vt:i4>1507381</vt:i4>
      </vt:variant>
      <vt:variant>
        <vt:i4>44</vt:i4>
      </vt:variant>
      <vt:variant>
        <vt:i4>0</vt:i4>
      </vt:variant>
      <vt:variant>
        <vt:i4>5</vt:i4>
      </vt:variant>
      <vt:variant>
        <vt:lpwstr/>
      </vt:variant>
      <vt:variant>
        <vt:lpwstr>_Toc32301341</vt:lpwstr>
      </vt:variant>
      <vt:variant>
        <vt:i4>1441845</vt:i4>
      </vt:variant>
      <vt:variant>
        <vt:i4>38</vt:i4>
      </vt:variant>
      <vt:variant>
        <vt:i4>0</vt:i4>
      </vt:variant>
      <vt:variant>
        <vt:i4>5</vt:i4>
      </vt:variant>
      <vt:variant>
        <vt:lpwstr/>
      </vt:variant>
      <vt:variant>
        <vt:lpwstr>_Toc32301340</vt:lpwstr>
      </vt:variant>
      <vt:variant>
        <vt:i4>2031666</vt:i4>
      </vt:variant>
      <vt:variant>
        <vt:i4>32</vt:i4>
      </vt:variant>
      <vt:variant>
        <vt:i4>0</vt:i4>
      </vt:variant>
      <vt:variant>
        <vt:i4>5</vt:i4>
      </vt:variant>
      <vt:variant>
        <vt:lpwstr/>
      </vt:variant>
      <vt:variant>
        <vt:lpwstr>_Toc32301339</vt:lpwstr>
      </vt:variant>
      <vt:variant>
        <vt:i4>1966130</vt:i4>
      </vt:variant>
      <vt:variant>
        <vt:i4>26</vt:i4>
      </vt:variant>
      <vt:variant>
        <vt:i4>0</vt:i4>
      </vt:variant>
      <vt:variant>
        <vt:i4>5</vt:i4>
      </vt:variant>
      <vt:variant>
        <vt:lpwstr/>
      </vt:variant>
      <vt:variant>
        <vt:lpwstr>_Toc32301338</vt:lpwstr>
      </vt:variant>
      <vt:variant>
        <vt:i4>1114162</vt:i4>
      </vt:variant>
      <vt:variant>
        <vt:i4>20</vt:i4>
      </vt:variant>
      <vt:variant>
        <vt:i4>0</vt:i4>
      </vt:variant>
      <vt:variant>
        <vt:i4>5</vt:i4>
      </vt:variant>
      <vt:variant>
        <vt:lpwstr/>
      </vt:variant>
      <vt:variant>
        <vt:lpwstr>_Toc32301337</vt:lpwstr>
      </vt:variant>
      <vt:variant>
        <vt:i4>1048626</vt:i4>
      </vt:variant>
      <vt:variant>
        <vt:i4>14</vt:i4>
      </vt:variant>
      <vt:variant>
        <vt:i4>0</vt:i4>
      </vt:variant>
      <vt:variant>
        <vt:i4>5</vt:i4>
      </vt:variant>
      <vt:variant>
        <vt:lpwstr/>
      </vt:variant>
      <vt:variant>
        <vt:lpwstr>_Toc32301336</vt:lpwstr>
      </vt:variant>
      <vt:variant>
        <vt:i4>1245234</vt:i4>
      </vt:variant>
      <vt:variant>
        <vt:i4>8</vt:i4>
      </vt:variant>
      <vt:variant>
        <vt:i4>0</vt:i4>
      </vt:variant>
      <vt:variant>
        <vt:i4>5</vt:i4>
      </vt:variant>
      <vt:variant>
        <vt:lpwstr/>
      </vt:variant>
      <vt:variant>
        <vt:lpwstr>_Toc32301335</vt:lpwstr>
      </vt:variant>
      <vt:variant>
        <vt:i4>1179698</vt:i4>
      </vt:variant>
      <vt:variant>
        <vt:i4>2</vt:i4>
      </vt:variant>
      <vt:variant>
        <vt:i4>0</vt:i4>
      </vt:variant>
      <vt:variant>
        <vt:i4>5</vt:i4>
      </vt:variant>
      <vt:variant>
        <vt:lpwstr/>
      </vt:variant>
      <vt:variant>
        <vt:lpwstr>_Toc32301334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cp:lastModifiedBy>Brown, Erwin (AHRQ/CFACT)</cp:lastModifiedBy>
  <cp:revision>3</cp:revision>
  <cp:lastPrinted>2007-07-09T19:45:00Z</cp:lastPrinted>
  <dcterms:created xsi:type="dcterms:W3CDTF">2020-04-22T13:56:00Z</dcterms:created>
  <dcterms:modified xsi:type="dcterms:W3CDTF">2020-04-22T14:01:00Z</dcterms:modified>
</cp:coreProperties>
</file>