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504718FC" w14:textId="77777777">
      <w:pPr>
        <w:jc w:val="center"/>
        <w:rPr>
          <w:sz w:val="28"/>
          <w:szCs w:val="28"/>
        </w:rPr>
      </w:pPr>
    </w:p>
    <w:p w:rsidR="009B633D" w:rsidP="009B633D" w:rsidRDefault="009B633D" w14:paraId="52965D2D" w14:textId="77777777">
      <w:pPr>
        <w:jc w:val="center"/>
        <w:rPr>
          <w:sz w:val="28"/>
          <w:szCs w:val="28"/>
        </w:rPr>
      </w:pPr>
    </w:p>
    <w:p w:rsidRPr="00160C23" w:rsidR="009B633D" w:rsidP="009B633D" w:rsidRDefault="00456179" w14:paraId="6D817B2F" w14:textId="77777777">
      <w:pPr>
        <w:jc w:val="center"/>
        <w:rPr>
          <w:b/>
          <w:sz w:val="28"/>
          <w:szCs w:val="28"/>
        </w:rPr>
      </w:pPr>
      <w:r w:rsidRPr="00160C23">
        <w:rPr>
          <w:b/>
          <w:sz w:val="28"/>
          <w:szCs w:val="28"/>
        </w:rPr>
        <w:t>SUPPORTING STATEMENT</w:t>
      </w:r>
    </w:p>
    <w:p w:rsidRPr="00160C23" w:rsidR="00635119" w:rsidP="009B633D" w:rsidRDefault="00635119" w14:paraId="1B5FB33C" w14:textId="77777777">
      <w:pPr>
        <w:jc w:val="center"/>
        <w:rPr>
          <w:b/>
          <w:sz w:val="28"/>
          <w:szCs w:val="28"/>
        </w:rPr>
      </w:pPr>
    </w:p>
    <w:p w:rsidRPr="00160C23" w:rsidR="009B633D" w:rsidP="009B633D" w:rsidRDefault="00456179" w14:paraId="416BD3B2" w14:textId="77777777">
      <w:pPr>
        <w:jc w:val="center"/>
        <w:rPr>
          <w:sz w:val="28"/>
          <w:szCs w:val="28"/>
        </w:rPr>
      </w:pPr>
      <w:r w:rsidRPr="00160C23">
        <w:rPr>
          <w:b/>
          <w:sz w:val="28"/>
          <w:szCs w:val="28"/>
        </w:rPr>
        <w:t>Part A</w:t>
      </w:r>
    </w:p>
    <w:p w:rsidRPr="00160C23" w:rsidR="009B633D" w:rsidP="009B633D" w:rsidRDefault="009B633D" w14:paraId="60A537C4" w14:textId="77777777">
      <w:pPr>
        <w:jc w:val="center"/>
        <w:rPr>
          <w:sz w:val="28"/>
          <w:szCs w:val="28"/>
        </w:rPr>
      </w:pPr>
    </w:p>
    <w:p w:rsidRPr="00160C23" w:rsidR="009B633D" w:rsidP="009B633D" w:rsidRDefault="009B633D" w14:paraId="3D594DD1" w14:textId="77777777">
      <w:pPr>
        <w:jc w:val="center"/>
        <w:rPr>
          <w:sz w:val="28"/>
          <w:szCs w:val="28"/>
        </w:rPr>
      </w:pPr>
    </w:p>
    <w:p w:rsidRPr="00160C23" w:rsidR="009B633D" w:rsidP="009B633D" w:rsidRDefault="009B633D" w14:paraId="260B2F2F" w14:textId="77777777">
      <w:pPr>
        <w:jc w:val="center"/>
        <w:rPr>
          <w:sz w:val="28"/>
          <w:szCs w:val="28"/>
        </w:rPr>
      </w:pPr>
    </w:p>
    <w:p w:rsidRPr="00160C23" w:rsidR="009B633D" w:rsidP="009B633D" w:rsidRDefault="009B633D" w14:paraId="161DD2E7" w14:textId="77777777">
      <w:pPr>
        <w:jc w:val="center"/>
        <w:rPr>
          <w:sz w:val="28"/>
          <w:szCs w:val="28"/>
        </w:rPr>
      </w:pPr>
    </w:p>
    <w:p w:rsidRPr="00160C23" w:rsidR="009B633D" w:rsidP="009B633D" w:rsidRDefault="009B633D" w14:paraId="11309D92" w14:textId="77777777">
      <w:pPr>
        <w:jc w:val="center"/>
        <w:rPr>
          <w:sz w:val="28"/>
          <w:szCs w:val="28"/>
        </w:rPr>
      </w:pPr>
    </w:p>
    <w:p w:rsidRPr="00160C23" w:rsidR="009B633D" w:rsidP="009B633D" w:rsidRDefault="009B633D" w14:paraId="11199F9E" w14:textId="77777777">
      <w:pPr>
        <w:jc w:val="center"/>
        <w:rPr>
          <w:sz w:val="28"/>
          <w:szCs w:val="28"/>
        </w:rPr>
      </w:pPr>
    </w:p>
    <w:p w:rsidRPr="00160C23" w:rsidR="009B633D" w:rsidP="009B633D" w:rsidRDefault="00411454" w14:paraId="556B4274" w14:textId="3A3A3967">
      <w:pPr>
        <w:jc w:val="center"/>
        <w:rPr>
          <w:sz w:val="28"/>
          <w:szCs w:val="28"/>
        </w:rPr>
      </w:pPr>
      <w:r w:rsidRPr="00160C23">
        <w:rPr>
          <w:i/>
          <w:sz w:val="28"/>
          <w:szCs w:val="28"/>
        </w:rPr>
        <w:t>Evaluating the Implementation of PCOR to Increase Referral, Enrollment,</w:t>
      </w:r>
      <w:r w:rsidRPr="00160C23" w:rsidR="00602C8A">
        <w:rPr>
          <w:i/>
          <w:sz w:val="28"/>
          <w:szCs w:val="28"/>
        </w:rPr>
        <w:t xml:space="preserve"> and Retention through Automatic</w:t>
      </w:r>
      <w:r w:rsidRPr="00160C23">
        <w:rPr>
          <w:i/>
          <w:sz w:val="28"/>
          <w:szCs w:val="28"/>
        </w:rPr>
        <w:t xml:space="preserve"> Referral to Cardiac Rehabilitation (CR) with </w:t>
      </w:r>
      <w:r w:rsidRPr="00160C23" w:rsidR="00602C8A">
        <w:rPr>
          <w:i/>
          <w:sz w:val="28"/>
          <w:szCs w:val="28"/>
        </w:rPr>
        <w:t>Care Coordinat</w:t>
      </w:r>
      <w:r w:rsidRPr="00160C23" w:rsidR="00B318DA">
        <w:rPr>
          <w:i/>
          <w:sz w:val="28"/>
          <w:szCs w:val="28"/>
        </w:rPr>
        <w:t>ion</w:t>
      </w:r>
    </w:p>
    <w:p w:rsidRPr="00160C23" w:rsidR="009B633D" w:rsidP="009B633D" w:rsidRDefault="009B633D" w14:paraId="0EE134DC" w14:textId="77777777">
      <w:pPr>
        <w:jc w:val="center"/>
        <w:rPr>
          <w:sz w:val="28"/>
          <w:szCs w:val="28"/>
        </w:rPr>
      </w:pPr>
    </w:p>
    <w:p w:rsidRPr="00160C23" w:rsidR="009B633D" w:rsidP="009B633D" w:rsidRDefault="009B633D" w14:paraId="70B591CB" w14:textId="77777777">
      <w:pPr>
        <w:jc w:val="center"/>
        <w:rPr>
          <w:sz w:val="28"/>
          <w:szCs w:val="28"/>
        </w:rPr>
      </w:pPr>
    </w:p>
    <w:p w:rsidRPr="00160C23" w:rsidR="009B633D" w:rsidP="009B633D" w:rsidRDefault="00BB1C2F" w14:paraId="00A70998" w14:textId="5E8F1042">
      <w:pPr>
        <w:jc w:val="center"/>
        <w:rPr>
          <w:i/>
          <w:sz w:val="28"/>
          <w:szCs w:val="28"/>
        </w:rPr>
      </w:pPr>
      <w:r w:rsidRPr="00160C23">
        <w:rPr>
          <w:b/>
          <w:sz w:val="28"/>
          <w:szCs w:val="28"/>
        </w:rPr>
        <w:t>Version</w:t>
      </w:r>
      <w:r w:rsidRPr="00160C23" w:rsidR="00FF42BD">
        <w:rPr>
          <w:b/>
          <w:sz w:val="28"/>
          <w:szCs w:val="28"/>
        </w:rPr>
        <w:t>:</w:t>
      </w:r>
      <w:r w:rsidRPr="00160C23">
        <w:rPr>
          <w:b/>
          <w:sz w:val="28"/>
          <w:szCs w:val="28"/>
        </w:rPr>
        <w:t xml:space="preserve"> </w:t>
      </w:r>
      <w:r w:rsidRPr="00160C23" w:rsidR="00B318DA">
        <w:rPr>
          <w:i/>
          <w:sz w:val="28"/>
          <w:szCs w:val="28"/>
        </w:rPr>
        <w:t xml:space="preserve">January </w:t>
      </w:r>
      <w:r w:rsidR="0050172B">
        <w:rPr>
          <w:i/>
          <w:sz w:val="28"/>
          <w:szCs w:val="28"/>
        </w:rPr>
        <w:t>9</w:t>
      </w:r>
      <w:r w:rsidRPr="00160C23" w:rsidR="00B318DA">
        <w:rPr>
          <w:i/>
          <w:sz w:val="28"/>
          <w:szCs w:val="28"/>
        </w:rPr>
        <w:t>, 2020</w:t>
      </w:r>
    </w:p>
    <w:p w:rsidRPr="00160C23" w:rsidR="009B633D" w:rsidP="009B633D" w:rsidRDefault="009B633D" w14:paraId="2327AE9D" w14:textId="77777777">
      <w:pPr>
        <w:jc w:val="center"/>
        <w:rPr>
          <w:i/>
          <w:sz w:val="28"/>
          <w:szCs w:val="28"/>
        </w:rPr>
      </w:pPr>
    </w:p>
    <w:p w:rsidRPr="00160C23" w:rsidR="009B633D" w:rsidP="009B633D" w:rsidRDefault="009B633D" w14:paraId="44627ED3" w14:textId="77777777">
      <w:pPr>
        <w:jc w:val="center"/>
        <w:rPr>
          <w:sz w:val="28"/>
          <w:szCs w:val="28"/>
        </w:rPr>
      </w:pPr>
    </w:p>
    <w:p w:rsidRPr="00160C23" w:rsidR="009B633D" w:rsidP="009B633D" w:rsidRDefault="009B633D" w14:paraId="11A83611" w14:textId="77777777">
      <w:pPr>
        <w:jc w:val="center"/>
        <w:rPr>
          <w:sz w:val="28"/>
          <w:szCs w:val="28"/>
        </w:rPr>
      </w:pPr>
    </w:p>
    <w:p w:rsidRPr="00160C23" w:rsidR="009B633D" w:rsidP="009B633D" w:rsidRDefault="009B633D" w14:paraId="7D2ED807" w14:textId="77777777">
      <w:pPr>
        <w:jc w:val="center"/>
        <w:rPr>
          <w:sz w:val="28"/>
          <w:szCs w:val="28"/>
        </w:rPr>
      </w:pPr>
    </w:p>
    <w:p w:rsidRPr="00160C23" w:rsidR="009B633D" w:rsidP="009B633D" w:rsidRDefault="009B633D" w14:paraId="09228B0B" w14:textId="77777777">
      <w:pPr>
        <w:jc w:val="center"/>
        <w:rPr>
          <w:sz w:val="28"/>
          <w:szCs w:val="28"/>
        </w:rPr>
      </w:pPr>
    </w:p>
    <w:p w:rsidRPr="00160C23" w:rsidR="009B633D" w:rsidP="009B633D" w:rsidRDefault="009B633D" w14:paraId="0D3CDA46" w14:textId="77777777">
      <w:pPr>
        <w:jc w:val="center"/>
        <w:rPr>
          <w:sz w:val="28"/>
          <w:szCs w:val="28"/>
        </w:rPr>
      </w:pPr>
    </w:p>
    <w:p w:rsidRPr="00160C23" w:rsidR="009B633D" w:rsidP="009B633D" w:rsidRDefault="009B633D" w14:paraId="728E6886" w14:textId="7802D515">
      <w:pPr>
        <w:jc w:val="center"/>
        <w:rPr>
          <w:sz w:val="28"/>
          <w:szCs w:val="28"/>
        </w:rPr>
      </w:pPr>
      <w:r w:rsidRPr="00160C23">
        <w:rPr>
          <w:sz w:val="28"/>
          <w:szCs w:val="28"/>
        </w:rPr>
        <w:t xml:space="preserve">Agency </w:t>
      </w:r>
      <w:r w:rsidRPr="00160C23" w:rsidR="006258C3">
        <w:rPr>
          <w:sz w:val="28"/>
          <w:szCs w:val="28"/>
        </w:rPr>
        <w:t xml:space="preserve">for </w:t>
      </w:r>
      <w:r w:rsidRPr="00160C23">
        <w:rPr>
          <w:sz w:val="28"/>
          <w:szCs w:val="28"/>
        </w:rPr>
        <w:t>Healthcare Research and Quality (AHRQ)</w:t>
      </w:r>
    </w:p>
    <w:p w:rsidRPr="00160C23" w:rsidR="009B633D" w:rsidRDefault="009B633D" w14:paraId="5C4CC641" w14:textId="77777777">
      <w:pPr>
        <w:rPr>
          <w:sz w:val="28"/>
          <w:szCs w:val="28"/>
        </w:rPr>
      </w:pPr>
    </w:p>
    <w:p w:rsidRPr="00160C23" w:rsidR="009B633D" w:rsidRDefault="009B633D" w14:paraId="085E82E9" w14:textId="77777777">
      <w:pPr>
        <w:rPr>
          <w:sz w:val="28"/>
          <w:szCs w:val="28"/>
        </w:rPr>
      </w:pPr>
    </w:p>
    <w:p w:rsidRPr="00160C23" w:rsidR="009B633D" w:rsidP="008C580E" w:rsidRDefault="009B633D" w14:paraId="2CD0C936" w14:textId="77777777">
      <w:pPr>
        <w:rPr>
          <w:b/>
        </w:rPr>
      </w:pPr>
      <w:r w:rsidRPr="00160C23">
        <w:br w:type="page"/>
      </w:r>
      <w:r w:rsidRPr="00160C23">
        <w:rPr>
          <w:b/>
        </w:rPr>
        <w:lastRenderedPageBreak/>
        <w:t>Table of contents</w:t>
      </w:r>
    </w:p>
    <w:p w:rsidRPr="00160C23" w:rsidR="00EB58F3" w:rsidP="009B633D" w:rsidRDefault="00EB58F3" w14:paraId="60C3E8AB" w14:textId="77777777">
      <w:pPr>
        <w:jc w:val="center"/>
        <w:rPr>
          <w:b/>
        </w:rPr>
      </w:pPr>
    </w:p>
    <w:p w:rsidRPr="00160C23" w:rsidR="009B633D" w:rsidP="009B633D" w:rsidRDefault="009B633D" w14:paraId="4523E15B" w14:textId="77777777">
      <w:pPr>
        <w:jc w:val="center"/>
        <w:rPr>
          <w:b/>
        </w:rPr>
      </w:pPr>
    </w:p>
    <w:p w:rsidR="00777791" w:rsidP="00705510" w:rsidRDefault="009B633D" w14:paraId="59760F36" w14:textId="77777777">
      <w:pPr>
        <w:pStyle w:val="TOC1"/>
        <w:rPr>
          <w:rFonts w:asciiTheme="minorHAnsi" w:hAnsiTheme="minorHAnsi" w:eastAsiaTheme="minorEastAsia" w:cstheme="minorBidi"/>
          <w:noProof/>
          <w:sz w:val="22"/>
          <w:szCs w:val="22"/>
        </w:rPr>
      </w:pPr>
      <w:r w:rsidRPr="00160C23">
        <w:rPr>
          <w:b/>
        </w:rPr>
        <w:fldChar w:fldCharType="begin"/>
      </w:r>
      <w:r w:rsidRPr="00160C23">
        <w:rPr>
          <w:b/>
        </w:rPr>
        <w:instrText xml:space="preserve"> TOC \o "1-3" \h \z \u </w:instrText>
      </w:r>
      <w:r w:rsidRPr="00160C23">
        <w:rPr>
          <w:b/>
        </w:rPr>
        <w:fldChar w:fldCharType="separate"/>
      </w:r>
      <w:hyperlink w:history="1" w:anchor="_Toc29459917">
        <w:r w:rsidRPr="00A40B21" w:rsidR="00777791">
          <w:rPr>
            <w:rStyle w:val="Hyperlink"/>
            <w:noProof/>
          </w:rPr>
          <w:t>A. Justification</w:t>
        </w:r>
        <w:r w:rsidR="00777791">
          <w:rPr>
            <w:noProof/>
            <w:webHidden/>
          </w:rPr>
          <w:tab/>
        </w:r>
        <w:r w:rsidR="00777791">
          <w:rPr>
            <w:noProof/>
            <w:webHidden/>
          </w:rPr>
          <w:fldChar w:fldCharType="begin"/>
        </w:r>
        <w:r w:rsidR="00777791">
          <w:rPr>
            <w:noProof/>
            <w:webHidden/>
          </w:rPr>
          <w:instrText xml:space="preserve"> PAGEREF _Toc29459917 \h </w:instrText>
        </w:r>
        <w:r w:rsidR="00777791">
          <w:rPr>
            <w:noProof/>
            <w:webHidden/>
          </w:rPr>
        </w:r>
        <w:r w:rsidR="00777791">
          <w:rPr>
            <w:noProof/>
            <w:webHidden/>
          </w:rPr>
          <w:fldChar w:fldCharType="separate"/>
        </w:r>
        <w:r w:rsidR="00777791">
          <w:rPr>
            <w:noProof/>
            <w:webHidden/>
          </w:rPr>
          <w:t>- 3 -</w:t>
        </w:r>
        <w:r w:rsidR="00777791">
          <w:rPr>
            <w:noProof/>
            <w:webHidden/>
          </w:rPr>
          <w:fldChar w:fldCharType="end"/>
        </w:r>
      </w:hyperlink>
    </w:p>
    <w:p w:rsidR="00777791" w:rsidP="00705510" w:rsidRDefault="001659FF" w14:paraId="21327A56" w14:textId="77777777">
      <w:pPr>
        <w:pStyle w:val="TOC2"/>
        <w:rPr>
          <w:rFonts w:asciiTheme="minorHAnsi" w:hAnsiTheme="minorHAnsi" w:eastAsiaTheme="minorEastAsia" w:cstheme="minorBidi"/>
          <w:noProof/>
          <w:sz w:val="22"/>
          <w:szCs w:val="22"/>
        </w:rPr>
      </w:pPr>
      <w:hyperlink w:history="1" w:anchor="_Toc29459918">
        <w:r w:rsidRPr="00A40B21" w:rsidR="00777791">
          <w:rPr>
            <w:rStyle w:val="Hyperlink"/>
            <w:noProof/>
          </w:rPr>
          <w:t>1. Circumstances that make the collection of information necessary</w:t>
        </w:r>
        <w:r w:rsidR="00777791">
          <w:rPr>
            <w:noProof/>
            <w:webHidden/>
          </w:rPr>
          <w:tab/>
        </w:r>
        <w:r w:rsidR="00777791">
          <w:rPr>
            <w:noProof/>
            <w:webHidden/>
          </w:rPr>
          <w:fldChar w:fldCharType="begin"/>
        </w:r>
        <w:r w:rsidR="00777791">
          <w:rPr>
            <w:noProof/>
            <w:webHidden/>
          </w:rPr>
          <w:instrText xml:space="preserve"> PAGEREF _Toc29459918 \h </w:instrText>
        </w:r>
        <w:r w:rsidR="00777791">
          <w:rPr>
            <w:noProof/>
            <w:webHidden/>
          </w:rPr>
        </w:r>
        <w:r w:rsidR="00777791">
          <w:rPr>
            <w:noProof/>
            <w:webHidden/>
          </w:rPr>
          <w:fldChar w:fldCharType="separate"/>
        </w:r>
        <w:r w:rsidR="00777791">
          <w:rPr>
            <w:noProof/>
            <w:webHidden/>
          </w:rPr>
          <w:t>- 3 -</w:t>
        </w:r>
        <w:r w:rsidR="00777791">
          <w:rPr>
            <w:noProof/>
            <w:webHidden/>
          </w:rPr>
          <w:fldChar w:fldCharType="end"/>
        </w:r>
      </w:hyperlink>
    </w:p>
    <w:p w:rsidR="00777791" w:rsidP="00705510" w:rsidRDefault="001659FF" w14:paraId="288C086A" w14:textId="77777777">
      <w:pPr>
        <w:pStyle w:val="TOC2"/>
        <w:rPr>
          <w:rFonts w:asciiTheme="minorHAnsi" w:hAnsiTheme="minorHAnsi" w:eastAsiaTheme="minorEastAsia" w:cstheme="minorBidi"/>
          <w:noProof/>
          <w:sz w:val="22"/>
          <w:szCs w:val="22"/>
        </w:rPr>
      </w:pPr>
      <w:hyperlink w:history="1" w:anchor="_Toc29459919">
        <w:r w:rsidRPr="00A40B21" w:rsidR="00777791">
          <w:rPr>
            <w:rStyle w:val="Hyperlink"/>
            <w:noProof/>
          </w:rPr>
          <w:t>2. Purpose and Use of Information</w:t>
        </w:r>
        <w:r w:rsidR="00777791">
          <w:rPr>
            <w:noProof/>
            <w:webHidden/>
          </w:rPr>
          <w:tab/>
        </w:r>
        <w:r w:rsidR="00777791">
          <w:rPr>
            <w:noProof/>
            <w:webHidden/>
          </w:rPr>
          <w:fldChar w:fldCharType="begin"/>
        </w:r>
        <w:r w:rsidR="00777791">
          <w:rPr>
            <w:noProof/>
            <w:webHidden/>
          </w:rPr>
          <w:instrText xml:space="preserve"> PAGEREF _Toc29459919 \h </w:instrText>
        </w:r>
        <w:r w:rsidR="00777791">
          <w:rPr>
            <w:noProof/>
            <w:webHidden/>
          </w:rPr>
        </w:r>
        <w:r w:rsidR="00777791">
          <w:rPr>
            <w:noProof/>
            <w:webHidden/>
          </w:rPr>
          <w:fldChar w:fldCharType="separate"/>
        </w:r>
        <w:r w:rsidR="00777791">
          <w:rPr>
            <w:noProof/>
            <w:webHidden/>
          </w:rPr>
          <w:t>- 8 -</w:t>
        </w:r>
        <w:r w:rsidR="00777791">
          <w:rPr>
            <w:noProof/>
            <w:webHidden/>
          </w:rPr>
          <w:fldChar w:fldCharType="end"/>
        </w:r>
      </w:hyperlink>
    </w:p>
    <w:p w:rsidR="00777791" w:rsidP="00705510" w:rsidRDefault="001659FF" w14:paraId="1F2B95D0" w14:textId="77777777">
      <w:pPr>
        <w:pStyle w:val="TOC2"/>
        <w:rPr>
          <w:rFonts w:asciiTheme="minorHAnsi" w:hAnsiTheme="minorHAnsi" w:eastAsiaTheme="minorEastAsia" w:cstheme="minorBidi"/>
          <w:noProof/>
          <w:sz w:val="22"/>
          <w:szCs w:val="22"/>
        </w:rPr>
      </w:pPr>
      <w:hyperlink w:history="1" w:anchor="_Toc29459920">
        <w:r w:rsidRPr="00A40B21" w:rsidR="00777791">
          <w:rPr>
            <w:rStyle w:val="Hyperlink"/>
            <w:noProof/>
          </w:rPr>
          <w:t>3. Use of Improved Information Technology</w:t>
        </w:r>
        <w:r w:rsidR="00777791">
          <w:rPr>
            <w:noProof/>
            <w:webHidden/>
          </w:rPr>
          <w:tab/>
        </w:r>
        <w:r w:rsidR="00777791">
          <w:rPr>
            <w:noProof/>
            <w:webHidden/>
          </w:rPr>
          <w:fldChar w:fldCharType="begin"/>
        </w:r>
        <w:r w:rsidR="00777791">
          <w:rPr>
            <w:noProof/>
            <w:webHidden/>
          </w:rPr>
          <w:instrText xml:space="preserve"> PAGEREF _Toc29459920 \h </w:instrText>
        </w:r>
        <w:r w:rsidR="00777791">
          <w:rPr>
            <w:noProof/>
            <w:webHidden/>
          </w:rPr>
        </w:r>
        <w:r w:rsidR="00777791">
          <w:rPr>
            <w:noProof/>
            <w:webHidden/>
          </w:rPr>
          <w:fldChar w:fldCharType="separate"/>
        </w:r>
        <w:r w:rsidR="00777791">
          <w:rPr>
            <w:noProof/>
            <w:webHidden/>
          </w:rPr>
          <w:t>- 8 -</w:t>
        </w:r>
        <w:r w:rsidR="00777791">
          <w:rPr>
            <w:noProof/>
            <w:webHidden/>
          </w:rPr>
          <w:fldChar w:fldCharType="end"/>
        </w:r>
      </w:hyperlink>
    </w:p>
    <w:p w:rsidR="00777791" w:rsidP="00705510" w:rsidRDefault="001659FF" w14:paraId="661F1517" w14:textId="77777777">
      <w:pPr>
        <w:pStyle w:val="TOC2"/>
        <w:rPr>
          <w:rFonts w:asciiTheme="minorHAnsi" w:hAnsiTheme="minorHAnsi" w:eastAsiaTheme="minorEastAsia" w:cstheme="minorBidi"/>
          <w:noProof/>
          <w:sz w:val="22"/>
          <w:szCs w:val="22"/>
        </w:rPr>
      </w:pPr>
      <w:hyperlink w:history="1" w:anchor="_Toc29459921">
        <w:r w:rsidRPr="00A40B21" w:rsidR="00777791">
          <w:rPr>
            <w:rStyle w:val="Hyperlink"/>
            <w:noProof/>
          </w:rPr>
          <w:t>4. Efforts to Identify Duplication</w:t>
        </w:r>
        <w:r w:rsidR="00777791">
          <w:rPr>
            <w:noProof/>
            <w:webHidden/>
          </w:rPr>
          <w:tab/>
        </w:r>
        <w:r w:rsidR="00777791">
          <w:rPr>
            <w:noProof/>
            <w:webHidden/>
          </w:rPr>
          <w:fldChar w:fldCharType="begin"/>
        </w:r>
        <w:r w:rsidR="00777791">
          <w:rPr>
            <w:noProof/>
            <w:webHidden/>
          </w:rPr>
          <w:instrText xml:space="preserve"> PAGEREF _Toc29459921 \h </w:instrText>
        </w:r>
        <w:r w:rsidR="00777791">
          <w:rPr>
            <w:noProof/>
            <w:webHidden/>
          </w:rPr>
        </w:r>
        <w:r w:rsidR="00777791">
          <w:rPr>
            <w:noProof/>
            <w:webHidden/>
          </w:rPr>
          <w:fldChar w:fldCharType="separate"/>
        </w:r>
        <w:r w:rsidR="00777791">
          <w:rPr>
            <w:noProof/>
            <w:webHidden/>
          </w:rPr>
          <w:t>- 9 -</w:t>
        </w:r>
        <w:r w:rsidR="00777791">
          <w:rPr>
            <w:noProof/>
            <w:webHidden/>
          </w:rPr>
          <w:fldChar w:fldCharType="end"/>
        </w:r>
      </w:hyperlink>
    </w:p>
    <w:p w:rsidR="00777791" w:rsidP="00705510" w:rsidRDefault="001659FF" w14:paraId="51790CF7" w14:textId="77777777">
      <w:pPr>
        <w:pStyle w:val="TOC2"/>
        <w:rPr>
          <w:rFonts w:asciiTheme="minorHAnsi" w:hAnsiTheme="minorHAnsi" w:eastAsiaTheme="minorEastAsia" w:cstheme="minorBidi"/>
          <w:noProof/>
          <w:sz w:val="22"/>
          <w:szCs w:val="22"/>
        </w:rPr>
      </w:pPr>
      <w:hyperlink w:history="1" w:anchor="_Toc29459922">
        <w:r w:rsidRPr="00A40B21" w:rsidR="00777791">
          <w:rPr>
            <w:rStyle w:val="Hyperlink"/>
            <w:noProof/>
          </w:rPr>
          <w:t>5. Involvement of Small Entities</w:t>
        </w:r>
        <w:r w:rsidR="00777791">
          <w:rPr>
            <w:noProof/>
            <w:webHidden/>
          </w:rPr>
          <w:tab/>
        </w:r>
        <w:r w:rsidR="00777791">
          <w:rPr>
            <w:noProof/>
            <w:webHidden/>
          </w:rPr>
          <w:fldChar w:fldCharType="begin"/>
        </w:r>
        <w:r w:rsidR="00777791">
          <w:rPr>
            <w:noProof/>
            <w:webHidden/>
          </w:rPr>
          <w:instrText xml:space="preserve"> PAGEREF _Toc29459922 \h </w:instrText>
        </w:r>
        <w:r w:rsidR="00777791">
          <w:rPr>
            <w:noProof/>
            <w:webHidden/>
          </w:rPr>
        </w:r>
        <w:r w:rsidR="00777791">
          <w:rPr>
            <w:noProof/>
            <w:webHidden/>
          </w:rPr>
          <w:fldChar w:fldCharType="separate"/>
        </w:r>
        <w:r w:rsidR="00777791">
          <w:rPr>
            <w:noProof/>
            <w:webHidden/>
          </w:rPr>
          <w:t>- 9 -</w:t>
        </w:r>
        <w:r w:rsidR="00777791">
          <w:rPr>
            <w:noProof/>
            <w:webHidden/>
          </w:rPr>
          <w:fldChar w:fldCharType="end"/>
        </w:r>
      </w:hyperlink>
    </w:p>
    <w:p w:rsidR="00777791" w:rsidP="00705510" w:rsidRDefault="001659FF" w14:paraId="2BF33201" w14:textId="77777777">
      <w:pPr>
        <w:pStyle w:val="TOC2"/>
        <w:rPr>
          <w:rFonts w:asciiTheme="minorHAnsi" w:hAnsiTheme="minorHAnsi" w:eastAsiaTheme="minorEastAsia" w:cstheme="minorBidi"/>
          <w:noProof/>
          <w:sz w:val="22"/>
          <w:szCs w:val="22"/>
        </w:rPr>
      </w:pPr>
      <w:hyperlink w:history="1" w:anchor="_Toc29459923">
        <w:r w:rsidRPr="00A40B21" w:rsidR="00777791">
          <w:rPr>
            <w:rStyle w:val="Hyperlink"/>
            <w:noProof/>
          </w:rPr>
          <w:t>6. Consequences if Information Collected Less Frequently</w:t>
        </w:r>
        <w:r w:rsidR="00777791">
          <w:rPr>
            <w:noProof/>
            <w:webHidden/>
          </w:rPr>
          <w:tab/>
        </w:r>
        <w:r w:rsidR="00777791">
          <w:rPr>
            <w:noProof/>
            <w:webHidden/>
          </w:rPr>
          <w:fldChar w:fldCharType="begin"/>
        </w:r>
        <w:r w:rsidR="00777791">
          <w:rPr>
            <w:noProof/>
            <w:webHidden/>
          </w:rPr>
          <w:instrText xml:space="preserve"> PAGEREF _Toc29459923 \h </w:instrText>
        </w:r>
        <w:r w:rsidR="00777791">
          <w:rPr>
            <w:noProof/>
            <w:webHidden/>
          </w:rPr>
        </w:r>
        <w:r w:rsidR="00777791">
          <w:rPr>
            <w:noProof/>
            <w:webHidden/>
          </w:rPr>
          <w:fldChar w:fldCharType="separate"/>
        </w:r>
        <w:r w:rsidR="00777791">
          <w:rPr>
            <w:noProof/>
            <w:webHidden/>
          </w:rPr>
          <w:t>- 9 -</w:t>
        </w:r>
        <w:r w:rsidR="00777791">
          <w:rPr>
            <w:noProof/>
            <w:webHidden/>
          </w:rPr>
          <w:fldChar w:fldCharType="end"/>
        </w:r>
      </w:hyperlink>
    </w:p>
    <w:p w:rsidR="00777791" w:rsidP="00705510" w:rsidRDefault="001659FF" w14:paraId="2BD214C6" w14:textId="77777777">
      <w:pPr>
        <w:pStyle w:val="TOC2"/>
        <w:rPr>
          <w:rFonts w:asciiTheme="minorHAnsi" w:hAnsiTheme="minorHAnsi" w:eastAsiaTheme="minorEastAsia" w:cstheme="minorBidi"/>
          <w:noProof/>
          <w:sz w:val="22"/>
          <w:szCs w:val="22"/>
        </w:rPr>
      </w:pPr>
      <w:hyperlink w:history="1" w:anchor="_Toc29459924">
        <w:r w:rsidRPr="00A40B21" w:rsidR="00777791">
          <w:rPr>
            <w:rStyle w:val="Hyperlink"/>
            <w:noProof/>
          </w:rPr>
          <w:t>7. Special Circumstances</w:t>
        </w:r>
        <w:r w:rsidR="00777791">
          <w:rPr>
            <w:noProof/>
            <w:webHidden/>
          </w:rPr>
          <w:tab/>
        </w:r>
        <w:r w:rsidR="00777791">
          <w:rPr>
            <w:noProof/>
            <w:webHidden/>
          </w:rPr>
          <w:fldChar w:fldCharType="begin"/>
        </w:r>
        <w:r w:rsidR="00777791">
          <w:rPr>
            <w:noProof/>
            <w:webHidden/>
          </w:rPr>
          <w:instrText xml:space="preserve"> PAGEREF _Toc29459924 \h </w:instrText>
        </w:r>
        <w:r w:rsidR="00777791">
          <w:rPr>
            <w:noProof/>
            <w:webHidden/>
          </w:rPr>
        </w:r>
        <w:r w:rsidR="00777791">
          <w:rPr>
            <w:noProof/>
            <w:webHidden/>
          </w:rPr>
          <w:fldChar w:fldCharType="separate"/>
        </w:r>
        <w:r w:rsidR="00777791">
          <w:rPr>
            <w:noProof/>
            <w:webHidden/>
          </w:rPr>
          <w:t>- 10 -</w:t>
        </w:r>
        <w:r w:rsidR="00777791">
          <w:rPr>
            <w:noProof/>
            <w:webHidden/>
          </w:rPr>
          <w:fldChar w:fldCharType="end"/>
        </w:r>
      </w:hyperlink>
    </w:p>
    <w:p w:rsidR="00777791" w:rsidP="00705510" w:rsidRDefault="001659FF" w14:paraId="3573C38D" w14:textId="77777777">
      <w:pPr>
        <w:pStyle w:val="TOC2"/>
        <w:rPr>
          <w:rFonts w:asciiTheme="minorHAnsi" w:hAnsiTheme="minorHAnsi" w:eastAsiaTheme="minorEastAsia" w:cstheme="minorBidi"/>
          <w:noProof/>
          <w:sz w:val="22"/>
          <w:szCs w:val="22"/>
        </w:rPr>
      </w:pPr>
      <w:hyperlink w:history="1" w:anchor="_Toc29459925">
        <w:r w:rsidRPr="00A40B21" w:rsidR="00777791">
          <w:rPr>
            <w:rStyle w:val="Hyperlink"/>
            <w:noProof/>
          </w:rPr>
          <w:t>8. Federal Register Notice and Outside Consultations</w:t>
        </w:r>
        <w:r w:rsidR="00777791">
          <w:rPr>
            <w:noProof/>
            <w:webHidden/>
          </w:rPr>
          <w:tab/>
        </w:r>
        <w:r w:rsidR="00777791">
          <w:rPr>
            <w:noProof/>
            <w:webHidden/>
          </w:rPr>
          <w:fldChar w:fldCharType="begin"/>
        </w:r>
        <w:r w:rsidR="00777791">
          <w:rPr>
            <w:noProof/>
            <w:webHidden/>
          </w:rPr>
          <w:instrText xml:space="preserve"> PAGEREF _Toc29459925 \h </w:instrText>
        </w:r>
        <w:r w:rsidR="00777791">
          <w:rPr>
            <w:noProof/>
            <w:webHidden/>
          </w:rPr>
        </w:r>
        <w:r w:rsidR="00777791">
          <w:rPr>
            <w:noProof/>
            <w:webHidden/>
          </w:rPr>
          <w:fldChar w:fldCharType="separate"/>
        </w:r>
        <w:r w:rsidR="00777791">
          <w:rPr>
            <w:noProof/>
            <w:webHidden/>
          </w:rPr>
          <w:t>- 10 -</w:t>
        </w:r>
        <w:r w:rsidR="00777791">
          <w:rPr>
            <w:noProof/>
            <w:webHidden/>
          </w:rPr>
          <w:fldChar w:fldCharType="end"/>
        </w:r>
      </w:hyperlink>
    </w:p>
    <w:p w:rsidR="00777791" w:rsidP="00705510" w:rsidRDefault="001659FF" w14:paraId="3521C6F9" w14:textId="77777777">
      <w:pPr>
        <w:pStyle w:val="TOC2"/>
        <w:rPr>
          <w:rFonts w:asciiTheme="minorHAnsi" w:hAnsiTheme="minorHAnsi" w:eastAsiaTheme="minorEastAsia" w:cstheme="minorBidi"/>
          <w:noProof/>
          <w:sz w:val="22"/>
          <w:szCs w:val="22"/>
        </w:rPr>
      </w:pPr>
      <w:hyperlink w:history="1" w:anchor="_Toc29459926">
        <w:r w:rsidRPr="00A40B21" w:rsidR="00777791">
          <w:rPr>
            <w:rStyle w:val="Hyperlink"/>
            <w:noProof/>
          </w:rPr>
          <w:t>8.b.  Outside Consultations</w:t>
        </w:r>
        <w:r w:rsidR="00777791">
          <w:rPr>
            <w:noProof/>
            <w:webHidden/>
          </w:rPr>
          <w:tab/>
        </w:r>
        <w:r w:rsidR="00777791">
          <w:rPr>
            <w:noProof/>
            <w:webHidden/>
          </w:rPr>
          <w:fldChar w:fldCharType="begin"/>
        </w:r>
        <w:r w:rsidR="00777791">
          <w:rPr>
            <w:noProof/>
            <w:webHidden/>
          </w:rPr>
          <w:instrText xml:space="preserve"> PAGEREF _Toc29459926 \h </w:instrText>
        </w:r>
        <w:r w:rsidR="00777791">
          <w:rPr>
            <w:noProof/>
            <w:webHidden/>
          </w:rPr>
        </w:r>
        <w:r w:rsidR="00777791">
          <w:rPr>
            <w:noProof/>
            <w:webHidden/>
          </w:rPr>
          <w:fldChar w:fldCharType="separate"/>
        </w:r>
        <w:r w:rsidR="00777791">
          <w:rPr>
            <w:noProof/>
            <w:webHidden/>
          </w:rPr>
          <w:t>- 10 -</w:t>
        </w:r>
        <w:r w:rsidR="00777791">
          <w:rPr>
            <w:noProof/>
            <w:webHidden/>
          </w:rPr>
          <w:fldChar w:fldCharType="end"/>
        </w:r>
      </w:hyperlink>
    </w:p>
    <w:p w:rsidR="00777791" w:rsidP="00705510" w:rsidRDefault="001659FF" w14:paraId="6BDB149F" w14:textId="77777777">
      <w:pPr>
        <w:pStyle w:val="TOC2"/>
        <w:rPr>
          <w:rFonts w:asciiTheme="minorHAnsi" w:hAnsiTheme="minorHAnsi" w:eastAsiaTheme="minorEastAsia" w:cstheme="minorBidi"/>
          <w:noProof/>
          <w:sz w:val="22"/>
          <w:szCs w:val="22"/>
        </w:rPr>
      </w:pPr>
      <w:hyperlink w:history="1" w:anchor="_Toc29459927">
        <w:r w:rsidRPr="00A40B21" w:rsidR="00777791">
          <w:rPr>
            <w:rStyle w:val="Hyperlink"/>
            <w:noProof/>
          </w:rPr>
          <w:t>9. Payments/Gifts to Respondents</w:t>
        </w:r>
        <w:r w:rsidR="00777791">
          <w:rPr>
            <w:noProof/>
            <w:webHidden/>
          </w:rPr>
          <w:tab/>
        </w:r>
        <w:r w:rsidR="00777791">
          <w:rPr>
            <w:noProof/>
            <w:webHidden/>
          </w:rPr>
          <w:fldChar w:fldCharType="begin"/>
        </w:r>
        <w:r w:rsidR="00777791">
          <w:rPr>
            <w:noProof/>
            <w:webHidden/>
          </w:rPr>
          <w:instrText xml:space="preserve"> PAGEREF _Toc29459927 \h </w:instrText>
        </w:r>
        <w:r w:rsidR="00777791">
          <w:rPr>
            <w:noProof/>
            <w:webHidden/>
          </w:rPr>
        </w:r>
        <w:r w:rsidR="00777791">
          <w:rPr>
            <w:noProof/>
            <w:webHidden/>
          </w:rPr>
          <w:fldChar w:fldCharType="separate"/>
        </w:r>
        <w:r w:rsidR="00777791">
          <w:rPr>
            <w:noProof/>
            <w:webHidden/>
          </w:rPr>
          <w:t>- 11 -</w:t>
        </w:r>
        <w:r w:rsidR="00777791">
          <w:rPr>
            <w:noProof/>
            <w:webHidden/>
          </w:rPr>
          <w:fldChar w:fldCharType="end"/>
        </w:r>
      </w:hyperlink>
    </w:p>
    <w:p w:rsidR="00777791" w:rsidP="00705510" w:rsidRDefault="001659FF" w14:paraId="4EB3139E" w14:textId="77777777">
      <w:pPr>
        <w:pStyle w:val="TOC2"/>
        <w:rPr>
          <w:rFonts w:asciiTheme="minorHAnsi" w:hAnsiTheme="minorHAnsi" w:eastAsiaTheme="minorEastAsia" w:cstheme="minorBidi"/>
          <w:noProof/>
          <w:sz w:val="22"/>
          <w:szCs w:val="22"/>
        </w:rPr>
      </w:pPr>
      <w:hyperlink w:history="1" w:anchor="_Toc29459928">
        <w:r w:rsidRPr="00A40B21" w:rsidR="00777791">
          <w:rPr>
            <w:rStyle w:val="Hyperlink"/>
            <w:noProof/>
          </w:rPr>
          <w:t>10. Assurance of Confidentiality</w:t>
        </w:r>
        <w:r w:rsidR="00777791">
          <w:rPr>
            <w:noProof/>
            <w:webHidden/>
          </w:rPr>
          <w:tab/>
        </w:r>
        <w:r w:rsidR="00777791">
          <w:rPr>
            <w:noProof/>
            <w:webHidden/>
          </w:rPr>
          <w:fldChar w:fldCharType="begin"/>
        </w:r>
        <w:r w:rsidR="00777791">
          <w:rPr>
            <w:noProof/>
            <w:webHidden/>
          </w:rPr>
          <w:instrText xml:space="preserve"> PAGEREF _Toc29459928 \h </w:instrText>
        </w:r>
        <w:r w:rsidR="00777791">
          <w:rPr>
            <w:noProof/>
            <w:webHidden/>
          </w:rPr>
        </w:r>
        <w:r w:rsidR="00777791">
          <w:rPr>
            <w:noProof/>
            <w:webHidden/>
          </w:rPr>
          <w:fldChar w:fldCharType="separate"/>
        </w:r>
        <w:r w:rsidR="00777791">
          <w:rPr>
            <w:noProof/>
            <w:webHidden/>
          </w:rPr>
          <w:t>- 12 -</w:t>
        </w:r>
        <w:r w:rsidR="00777791">
          <w:rPr>
            <w:noProof/>
            <w:webHidden/>
          </w:rPr>
          <w:fldChar w:fldCharType="end"/>
        </w:r>
      </w:hyperlink>
    </w:p>
    <w:p w:rsidR="00777791" w:rsidP="00705510" w:rsidRDefault="001659FF" w14:paraId="470477FA" w14:textId="77777777">
      <w:pPr>
        <w:pStyle w:val="TOC2"/>
        <w:rPr>
          <w:rFonts w:asciiTheme="minorHAnsi" w:hAnsiTheme="minorHAnsi" w:eastAsiaTheme="minorEastAsia" w:cstheme="minorBidi"/>
          <w:noProof/>
          <w:sz w:val="22"/>
          <w:szCs w:val="22"/>
        </w:rPr>
      </w:pPr>
      <w:hyperlink w:history="1" w:anchor="_Toc29459929">
        <w:r w:rsidRPr="00A40B21" w:rsidR="00777791">
          <w:rPr>
            <w:rStyle w:val="Hyperlink"/>
            <w:noProof/>
          </w:rPr>
          <w:t>11. Questions of a Sensitive Nature</w:t>
        </w:r>
        <w:r w:rsidR="00777791">
          <w:rPr>
            <w:noProof/>
            <w:webHidden/>
          </w:rPr>
          <w:tab/>
        </w:r>
        <w:r w:rsidR="00777791">
          <w:rPr>
            <w:noProof/>
            <w:webHidden/>
          </w:rPr>
          <w:fldChar w:fldCharType="begin"/>
        </w:r>
        <w:r w:rsidR="00777791">
          <w:rPr>
            <w:noProof/>
            <w:webHidden/>
          </w:rPr>
          <w:instrText xml:space="preserve"> PAGEREF _Toc29459929 \h </w:instrText>
        </w:r>
        <w:r w:rsidR="00777791">
          <w:rPr>
            <w:noProof/>
            <w:webHidden/>
          </w:rPr>
        </w:r>
        <w:r w:rsidR="00777791">
          <w:rPr>
            <w:noProof/>
            <w:webHidden/>
          </w:rPr>
          <w:fldChar w:fldCharType="separate"/>
        </w:r>
        <w:r w:rsidR="00777791">
          <w:rPr>
            <w:noProof/>
            <w:webHidden/>
          </w:rPr>
          <w:t>- 12 -</w:t>
        </w:r>
        <w:r w:rsidR="00777791">
          <w:rPr>
            <w:noProof/>
            <w:webHidden/>
          </w:rPr>
          <w:fldChar w:fldCharType="end"/>
        </w:r>
      </w:hyperlink>
    </w:p>
    <w:p w:rsidR="00777791" w:rsidP="00705510" w:rsidRDefault="001659FF" w14:paraId="117B9B06" w14:textId="77777777">
      <w:pPr>
        <w:pStyle w:val="TOC2"/>
        <w:rPr>
          <w:rFonts w:asciiTheme="minorHAnsi" w:hAnsiTheme="minorHAnsi" w:eastAsiaTheme="minorEastAsia" w:cstheme="minorBidi"/>
          <w:noProof/>
          <w:sz w:val="22"/>
          <w:szCs w:val="22"/>
        </w:rPr>
      </w:pPr>
      <w:hyperlink w:history="1" w:anchor="_Toc29459930">
        <w:r w:rsidRPr="00A40B21" w:rsidR="00777791">
          <w:rPr>
            <w:rStyle w:val="Hyperlink"/>
            <w:noProof/>
          </w:rPr>
          <w:t>12. Estimates of Annualized Burden Hours and Costs</w:t>
        </w:r>
        <w:r w:rsidR="00777791">
          <w:rPr>
            <w:noProof/>
            <w:webHidden/>
          </w:rPr>
          <w:tab/>
        </w:r>
        <w:r w:rsidR="00777791">
          <w:rPr>
            <w:noProof/>
            <w:webHidden/>
          </w:rPr>
          <w:fldChar w:fldCharType="begin"/>
        </w:r>
        <w:r w:rsidR="00777791">
          <w:rPr>
            <w:noProof/>
            <w:webHidden/>
          </w:rPr>
          <w:instrText xml:space="preserve"> PAGEREF _Toc29459930 \h </w:instrText>
        </w:r>
        <w:r w:rsidR="00777791">
          <w:rPr>
            <w:noProof/>
            <w:webHidden/>
          </w:rPr>
        </w:r>
        <w:r w:rsidR="00777791">
          <w:rPr>
            <w:noProof/>
            <w:webHidden/>
          </w:rPr>
          <w:fldChar w:fldCharType="separate"/>
        </w:r>
        <w:r w:rsidR="00777791">
          <w:rPr>
            <w:noProof/>
            <w:webHidden/>
          </w:rPr>
          <w:t>- 12 -</w:t>
        </w:r>
        <w:r w:rsidR="00777791">
          <w:rPr>
            <w:noProof/>
            <w:webHidden/>
          </w:rPr>
          <w:fldChar w:fldCharType="end"/>
        </w:r>
      </w:hyperlink>
    </w:p>
    <w:p w:rsidR="00777791" w:rsidP="00705510" w:rsidRDefault="001659FF" w14:paraId="4DF6E98E" w14:textId="77777777">
      <w:pPr>
        <w:pStyle w:val="TOC2"/>
        <w:rPr>
          <w:rFonts w:asciiTheme="minorHAnsi" w:hAnsiTheme="minorHAnsi" w:eastAsiaTheme="minorEastAsia" w:cstheme="minorBidi"/>
          <w:noProof/>
          <w:sz w:val="22"/>
          <w:szCs w:val="22"/>
        </w:rPr>
      </w:pPr>
      <w:hyperlink w:history="1" w:anchor="_Toc29459931">
        <w:r w:rsidRPr="00A40B21" w:rsidR="00777791">
          <w:rPr>
            <w:rStyle w:val="Hyperlink"/>
            <w:noProof/>
          </w:rPr>
          <w:t>13. Estimates of Annualized Respondent Capital and Maintenance Costs</w:t>
        </w:r>
        <w:r w:rsidR="00777791">
          <w:rPr>
            <w:noProof/>
            <w:webHidden/>
          </w:rPr>
          <w:tab/>
        </w:r>
        <w:r w:rsidR="00777791">
          <w:rPr>
            <w:noProof/>
            <w:webHidden/>
          </w:rPr>
          <w:fldChar w:fldCharType="begin"/>
        </w:r>
        <w:r w:rsidR="00777791">
          <w:rPr>
            <w:noProof/>
            <w:webHidden/>
          </w:rPr>
          <w:instrText xml:space="preserve"> PAGEREF _Toc29459931 \h </w:instrText>
        </w:r>
        <w:r w:rsidR="00777791">
          <w:rPr>
            <w:noProof/>
            <w:webHidden/>
          </w:rPr>
        </w:r>
        <w:r w:rsidR="00777791">
          <w:rPr>
            <w:noProof/>
            <w:webHidden/>
          </w:rPr>
          <w:fldChar w:fldCharType="separate"/>
        </w:r>
        <w:r w:rsidR="00777791">
          <w:rPr>
            <w:noProof/>
            <w:webHidden/>
          </w:rPr>
          <w:t>- 15 -</w:t>
        </w:r>
        <w:r w:rsidR="00777791">
          <w:rPr>
            <w:noProof/>
            <w:webHidden/>
          </w:rPr>
          <w:fldChar w:fldCharType="end"/>
        </w:r>
      </w:hyperlink>
    </w:p>
    <w:p w:rsidR="00777791" w:rsidP="00705510" w:rsidRDefault="001659FF" w14:paraId="146AC527" w14:textId="77777777">
      <w:pPr>
        <w:pStyle w:val="TOC2"/>
        <w:rPr>
          <w:rFonts w:asciiTheme="minorHAnsi" w:hAnsiTheme="minorHAnsi" w:eastAsiaTheme="minorEastAsia" w:cstheme="minorBidi"/>
          <w:noProof/>
          <w:sz w:val="22"/>
          <w:szCs w:val="22"/>
        </w:rPr>
      </w:pPr>
      <w:hyperlink w:history="1" w:anchor="_Toc29459932">
        <w:r w:rsidRPr="00A40B21" w:rsidR="00777791">
          <w:rPr>
            <w:rStyle w:val="Hyperlink"/>
            <w:noProof/>
          </w:rPr>
          <w:t>14. Estimates of Annualized Cost to the Government</w:t>
        </w:r>
        <w:r w:rsidR="00777791">
          <w:rPr>
            <w:noProof/>
            <w:webHidden/>
          </w:rPr>
          <w:tab/>
        </w:r>
        <w:r w:rsidR="00777791">
          <w:rPr>
            <w:noProof/>
            <w:webHidden/>
          </w:rPr>
          <w:fldChar w:fldCharType="begin"/>
        </w:r>
        <w:r w:rsidR="00777791">
          <w:rPr>
            <w:noProof/>
            <w:webHidden/>
          </w:rPr>
          <w:instrText xml:space="preserve"> PAGEREF _Toc29459932 \h </w:instrText>
        </w:r>
        <w:r w:rsidR="00777791">
          <w:rPr>
            <w:noProof/>
            <w:webHidden/>
          </w:rPr>
        </w:r>
        <w:r w:rsidR="00777791">
          <w:rPr>
            <w:noProof/>
            <w:webHidden/>
          </w:rPr>
          <w:fldChar w:fldCharType="separate"/>
        </w:r>
        <w:r w:rsidR="00777791">
          <w:rPr>
            <w:noProof/>
            <w:webHidden/>
          </w:rPr>
          <w:t>- 15 -</w:t>
        </w:r>
        <w:r w:rsidR="00777791">
          <w:rPr>
            <w:noProof/>
            <w:webHidden/>
          </w:rPr>
          <w:fldChar w:fldCharType="end"/>
        </w:r>
      </w:hyperlink>
    </w:p>
    <w:p w:rsidR="00777791" w:rsidP="00705510" w:rsidRDefault="001659FF" w14:paraId="5F1A3777" w14:textId="77777777">
      <w:pPr>
        <w:pStyle w:val="TOC2"/>
        <w:rPr>
          <w:rFonts w:asciiTheme="minorHAnsi" w:hAnsiTheme="minorHAnsi" w:eastAsiaTheme="minorEastAsia" w:cstheme="minorBidi"/>
          <w:noProof/>
          <w:sz w:val="22"/>
          <w:szCs w:val="22"/>
        </w:rPr>
      </w:pPr>
      <w:hyperlink w:history="1" w:anchor="_Toc29459933">
        <w:r w:rsidRPr="00A40B21" w:rsidR="00777791">
          <w:rPr>
            <w:rStyle w:val="Hyperlink"/>
            <w:noProof/>
          </w:rPr>
          <w:t>15. Changes in Hour Burden</w:t>
        </w:r>
        <w:r w:rsidR="00777791">
          <w:rPr>
            <w:noProof/>
            <w:webHidden/>
          </w:rPr>
          <w:tab/>
        </w:r>
        <w:r w:rsidR="00777791">
          <w:rPr>
            <w:noProof/>
            <w:webHidden/>
          </w:rPr>
          <w:fldChar w:fldCharType="begin"/>
        </w:r>
        <w:r w:rsidR="00777791">
          <w:rPr>
            <w:noProof/>
            <w:webHidden/>
          </w:rPr>
          <w:instrText xml:space="preserve"> PAGEREF _Toc29459933 \h </w:instrText>
        </w:r>
        <w:r w:rsidR="00777791">
          <w:rPr>
            <w:noProof/>
            <w:webHidden/>
          </w:rPr>
        </w:r>
        <w:r w:rsidR="00777791">
          <w:rPr>
            <w:noProof/>
            <w:webHidden/>
          </w:rPr>
          <w:fldChar w:fldCharType="separate"/>
        </w:r>
        <w:r w:rsidR="00777791">
          <w:rPr>
            <w:noProof/>
            <w:webHidden/>
          </w:rPr>
          <w:t>- 16 -</w:t>
        </w:r>
        <w:r w:rsidR="00777791">
          <w:rPr>
            <w:noProof/>
            <w:webHidden/>
          </w:rPr>
          <w:fldChar w:fldCharType="end"/>
        </w:r>
      </w:hyperlink>
    </w:p>
    <w:p w:rsidR="00777791" w:rsidP="00705510" w:rsidRDefault="001659FF" w14:paraId="0BCEC951" w14:textId="77777777">
      <w:pPr>
        <w:pStyle w:val="TOC2"/>
        <w:rPr>
          <w:rFonts w:asciiTheme="minorHAnsi" w:hAnsiTheme="minorHAnsi" w:eastAsiaTheme="minorEastAsia" w:cstheme="minorBidi"/>
          <w:noProof/>
          <w:sz w:val="22"/>
          <w:szCs w:val="22"/>
        </w:rPr>
      </w:pPr>
      <w:hyperlink w:history="1" w:anchor="_Toc29459934">
        <w:r w:rsidRPr="00A40B21" w:rsidR="00777791">
          <w:rPr>
            <w:rStyle w:val="Hyperlink"/>
            <w:noProof/>
          </w:rPr>
          <w:t>16. Time Schedule, Publication and Analysis Plans</w:t>
        </w:r>
        <w:r w:rsidR="00777791">
          <w:rPr>
            <w:noProof/>
            <w:webHidden/>
          </w:rPr>
          <w:tab/>
        </w:r>
        <w:r w:rsidR="00777791">
          <w:rPr>
            <w:noProof/>
            <w:webHidden/>
          </w:rPr>
          <w:fldChar w:fldCharType="begin"/>
        </w:r>
        <w:r w:rsidR="00777791">
          <w:rPr>
            <w:noProof/>
            <w:webHidden/>
          </w:rPr>
          <w:instrText xml:space="preserve"> PAGEREF _Toc29459934 \h </w:instrText>
        </w:r>
        <w:r w:rsidR="00777791">
          <w:rPr>
            <w:noProof/>
            <w:webHidden/>
          </w:rPr>
        </w:r>
        <w:r w:rsidR="00777791">
          <w:rPr>
            <w:noProof/>
            <w:webHidden/>
          </w:rPr>
          <w:fldChar w:fldCharType="separate"/>
        </w:r>
        <w:r w:rsidR="00777791">
          <w:rPr>
            <w:noProof/>
            <w:webHidden/>
          </w:rPr>
          <w:t>- 16 -</w:t>
        </w:r>
        <w:r w:rsidR="00777791">
          <w:rPr>
            <w:noProof/>
            <w:webHidden/>
          </w:rPr>
          <w:fldChar w:fldCharType="end"/>
        </w:r>
      </w:hyperlink>
    </w:p>
    <w:p w:rsidR="00777791" w:rsidP="00705510" w:rsidRDefault="001659FF" w14:paraId="170DF049" w14:textId="77777777">
      <w:pPr>
        <w:pStyle w:val="TOC2"/>
        <w:rPr>
          <w:rFonts w:asciiTheme="minorHAnsi" w:hAnsiTheme="minorHAnsi" w:eastAsiaTheme="minorEastAsia" w:cstheme="minorBidi"/>
          <w:noProof/>
          <w:sz w:val="22"/>
          <w:szCs w:val="22"/>
        </w:rPr>
      </w:pPr>
      <w:hyperlink w:history="1" w:anchor="_Toc29459935">
        <w:r w:rsidRPr="00A40B21" w:rsidR="00777791">
          <w:rPr>
            <w:rStyle w:val="Hyperlink"/>
            <w:noProof/>
          </w:rPr>
          <w:t>17. Exemption for Display of Expiration Date</w:t>
        </w:r>
        <w:r w:rsidR="00777791">
          <w:rPr>
            <w:noProof/>
            <w:webHidden/>
          </w:rPr>
          <w:tab/>
        </w:r>
        <w:r w:rsidR="00777791">
          <w:rPr>
            <w:noProof/>
            <w:webHidden/>
          </w:rPr>
          <w:fldChar w:fldCharType="begin"/>
        </w:r>
        <w:r w:rsidR="00777791">
          <w:rPr>
            <w:noProof/>
            <w:webHidden/>
          </w:rPr>
          <w:instrText xml:space="preserve"> PAGEREF _Toc29459935 \h </w:instrText>
        </w:r>
        <w:r w:rsidR="00777791">
          <w:rPr>
            <w:noProof/>
            <w:webHidden/>
          </w:rPr>
        </w:r>
        <w:r w:rsidR="00777791">
          <w:rPr>
            <w:noProof/>
            <w:webHidden/>
          </w:rPr>
          <w:fldChar w:fldCharType="separate"/>
        </w:r>
        <w:r w:rsidR="00777791">
          <w:rPr>
            <w:noProof/>
            <w:webHidden/>
          </w:rPr>
          <w:t>- 17 -</w:t>
        </w:r>
        <w:r w:rsidR="00777791">
          <w:rPr>
            <w:noProof/>
            <w:webHidden/>
          </w:rPr>
          <w:fldChar w:fldCharType="end"/>
        </w:r>
      </w:hyperlink>
    </w:p>
    <w:p w:rsidRPr="00160C23" w:rsidR="009B633D" w:rsidP="009B633D" w:rsidRDefault="009B633D" w14:paraId="09943647" w14:textId="77777777">
      <w:pPr>
        <w:jc w:val="center"/>
        <w:rPr>
          <w:b/>
        </w:rPr>
      </w:pPr>
      <w:r w:rsidRPr="00160C23">
        <w:rPr>
          <w:b/>
        </w:rPr>
        <w:fldChar w:fldCharType="end"/>
      </w:r>
    </w:p>
    <w:p w:rsidRPr="00160C23" w:rsidR="009B633D" w:rsidP="009B633D" w:rsidRDefault="009B633D" w14:paraId="15F2FB1E" w14:textId="47E85BD1">
      <w:pPr>
        <w:pStyle w:val="Heading1"/>
        <w:rPr>
          <w:sz w:val="24"/>
          <w:szCs w:val="24"/>
        </w:rPr>
      </w:pPr>
      <w:r w:rsidRPr="00160C23">
        <w:br w:type="page"/>
      </w:r>
      <w:bookmarkStart w:name="_Toc151782175" w:id="0"/>
      <w:bookmarkStart w:name="_Toc158526215" w:id="1"/>
      <w:bookmarkStart w:name="_Toc29459917" w:id="2"/>
      <w:r w:rsidRPr="00160C23">
        <w:rPr>
          <w:sz w:val="24"/>
          <w:szCs w:val="24"/>
        </w:rPr>
        <w:t>A. Justification</w:t>
      </w:r>
      <w:bookmarkEnd w:id="0"/>
      <w:bookmarkEnd w:id="1"/>
      <w:bookmarkEnd w:id="2"/>
    </w:p>
    <w:p w:rsidRPr="00160C23" w:rsidR="009B633D" w:rsidP="009B633D" w:rsidRDefault="009B633D" w14:paraId="25985FA7" w14:textId="77777777"/>
    <w:p w:rsidRPr="00160C23" w:rsidR="009B633D" w:rsidP="006014DB" w:rsidRDefault="009B633D" w14:paraId="619A5485" w14:textId="77777777">
      <w:pPr>
        <w:pStyle w:val="Heading2"/>
        <w:spacing w:before="0" w:after="0"/>
        <w:rPr>
          <w:sz w:val="24"/>
          <w:szCs w:val="24"/>
        </w:rPr>
      </w:pPr>
      <w:bookmarkStart w:name="_Toc151782176" w:id="3"/>
      <w:bookmarkStart w:name="_Toc158526216" w:id="4"/>
      <w:bookmarkStart w:name="_Toc29459918" w:id="5"/>
      <w:r w:rsidRPr="00160C23">
        <w:rPr>
          <w:sz w:val="24"/>
          <w:szCs w:val="24"/>
        </w:rPr>
        <w:t xml:space="preserve">1. </w:t>
      </w:r>
      <w:bookmarkEnd w:id="3"/>
      <w:bookmarkEnd w:id="4"/>
      <w:r w:rsidRPr="00160C23" w:rsidR="006014DB">
        <w:rPr>
          <w:sz w:val="24"/>
          <w:szCs w:val="24"/>
        </w:rPr>
        <w:t>Circumstances that make the collection of information necessary</w:t>
      </w:r>
      <w:bookmarkEnd w:id="5"/>
    </w:p>
    <w:p w:rsidRPr="00160C23" w:rsidR="006014DB" w:rsidP="006014DB" w:rsidRDefault="006014DB" w14:paraId="78A95DC3" w14:textId="77777777"/>
    <w:p w:rsidRPr="00160C23" w:rsidR="000A140E" w:rsidP="000A140E" w:rsidRDefault="000A140E" w14:paraId="147EEDD1" w14:textId="2D78FBEB">
      <w:r w:rsidRPr="00160C23">
        <w:t xml:space="preserve">The mission of the Agency for Healthcare Research and Quality (AHRQ) set out in its authorizing legislation, The Healthcare Research and Quality Act of 1999 (see </w:t>
      </w:r>
      <w:r w:rsidRPr="00160C23" w:rsidR="002F5B12">
        <w:t>https://www.ahrq.gov/policymakers/hrqa99a.html</w:t>
      </w:r>
      <w:r w:rsidRPr="00160C23">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160C23" w:rsidR="00606400" w:rsidP="00606400" w:rsidRDefault="00606400" w14:paraId="210377E8" w14:textId="77777777">
      <w:pPr>
        <w:tabs>
          <w:tab w:val="left" w:pos="360"/>
        </w:tabs>
      </w:pPr>
      <w:r w:rsidRPr="00160C23">
        <w:tab/>
      </w:r>
    </w:p>
    <w:p w:rsidRPr="00160C23" w:rsidR="00606400" w:rsidP="00606400" w:rsidRDefault="00606400" w14:paraId="1D1BB0F6" w14:textId="7C67213B">
      <w:pPr>
        <w:tabs>
          <w:tab w:val="left" w:pos="360"/>
        </w:tabs>
        <w:ind w:left="360"/>
      </w:pPr>
      <w:r w:rsidRPr="00160C23">
        <w:t>1.</w:t>
      </w:r>
      <w:r w:rsidRPr="00160C23">
        <w:tab/>
      </w:r>
      <w:r w:rsidRPr="00160C23" w:rsidR="0006722B">
        <w:t>Research</w:t>
      </w:r>
      <w:r w:rsidRPr="00160C23">
        <w:t xml:space="preserve"> that develops and presents scientific evidence regardi</w:t>
      </w:r>
      <w:r w:rsidRPr="00160C23" w:rsidR="00AA1DDC">
        <w:t xml:space="preserve">ng all aspects of </w:t>
      </w:r>
      <w:r w:rsidRPr="00160C23" w:rsidR="00AA1DDC">
        <w:tab/>
      </w:r>
      <w:r w:rsidRPr="00160C23" w:rsidR="00AA1DDC">
        <w:tab/>
        <w:t>health care</w:t>
      </w:r>
      <w:r w:rsidRPr="00160C23" w:rsidR="00325B9C">
        <w:t>;</w:t>
      </w:r>
      <w:r w:rsidRPr="00160C23" w:rsidR="00B645ED">
        <w:t xml:space="preserve"> and</w:t>
      </w:r>
    </w:p>
    <w:p w:rsidRPr="00160C23" w:rsidR="00325B9C" w:rsidP="00606400" w:rsidRDefault="00325B9C" w14:paraId="4A609140" w14:textId="77777777">
      <w:pPr>
        <w:tabs>
          <w:tab w:val="left" w:pos="360"/>
        </w:tabs>
        <w:ind w:left="360"/>
      </w:pPr>
    </w:p>
    <w:p w:rsidRPr="00160C23" w:rsidR="00325B9C" w:rsidP="00606400" w:rsidRDefault="00325B9C" w14:paraId="75B133D1" w14:textId="1B72D8FC">
      <w:pPr>
        <w:tabs>
          <w:tab w:val="left" w:pos="360"/>
        </w:tabs>
        <w:ind w:left="360"/>
      </w:pPr>
      <w:r w:rsidRPr="00160C23">
        <w:t>2.</w:t>
      </w:r>
      <w:r w:rsidRPr="00160C23">
        <w:tab/>
      </w:r>
      <w:r w:rsidRPr="00160C23" w:rsidR="0006722B">
        <w:t>The</w:t>
      </w:r>
      <w:r w:rsidRPr="00160C23" w:rsidR="00B645ED">
        <w:t xml:space="preserve"> synthesis and dissemination of available scientific evidence for use by </w:t>
      </w:r>
      <w:r w:rsidRPr="00160C23" w:rsidR="00B645ED">
        <w:tab/>
        <w:t xml:space="preserve">patients, consumers, practitioners, providers, purchasers, policy makers, and </w:t>
      </w:r>
      <w:r w:rsidRPr="00160C23" w:rsidR="00B645ED">
        <w:tab/>
        <w:t>educators; and</w:t>
      </w:r>
    </w:p>
    <w:p w:rsidRPr="00160C23" w:rsidR="00B645ED" w:rsidP="00606400" w:rsidRDefault="00B645ED" w14:paraId="2A1DC486" w14:textId="77777777">
      <w:pPr>
        <w:tabs>
          <w:tab w:val="left" w:pos="360"/>
        </w:tabs>
        <w:ind w:left="360"/>
      </w:pPr>
    </w:p>
    <w:p w:rsidRPr="00160C23" w:rsidR="00B645ED" w:rsidP="00606400" w:rsidRDefault="00B645ED" w14:paraId="53091C39" w14:textId="1FFAFB77">
      <w:pPr>
        <w:tabs>
          <w:tab w:val="left" w:pos="360"/>
        </w:tabs>
        <w:ind w:left="360"/>
      </w:pPr>
      <w:r w:rsidRPr="00160C23">
        <w:t>3.</w:t>
      </w:r>
      <w:r w:rsidRPr="00160C23">
        <w:tab/>
      </w:r>
      <w:r w:rsidRPr="00160C23" w:rsidR="0006722B">
        <w:t>Initiatives</w:t>
      </w:r>
      <w:r w:rsidRPr="00160C23">
        <w:t xml:space="preserve"> to advance private and public efforts to improve health care quality.</w:t>
      </w:r>
    </w:p>
    <w:p w:rsidRPr="00160C23" w:rsidR="00B645ED" w:rsidP="00B645ED" w:rsidRDefault="00B645ED" w14:paraId="1F8CA4DB" w14:textId="77777777">
      <w:pPr>
        <w:tabs>
          <w:tab w:val="left" w:pos="360"/>
        </w:tabs>
      </w:pPr>
    </w:p>
    <w:p w:rsidRPr="00160C23" w:rsidR="008450C0" w:rsidP="00B645ED" w:rsidRDefault="008450C0" w14:paraId="719D197B" w14:textId="77777777">
      <w:pPr>
        <w:tabs>
          <w:tab w:val="left" w:pos="360"/>
        </w:tabs>
      </w:pPr>
      <w:r w:rsidRPr="00160C23">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160C23" w:rsidR="008450C0" w:rsidP="00B645ED" w:rsidRDefault="008450C0" w14:paraId="32E77F2B" w14:textId="77777777">
      <w:pPr>
        <w:tabs>
          <w:tab w:val="left" w:pos="360"/>
        </w:tabs>
      </w:pPr>
    </w:p>
    <w:p w:rsidRPr="00160C23" w:rsidR="00BB3F69" w:rsidP="00752932" w:rsidRDefault="008628B0" w14:paraId="34CAB563" w14:textId="1D917D9C">
      <w:r w:rsidRPr="00160C23">
        <w:t>The project “</w:t>
      </w:r>
      <w:r w:rsidRPr="00160C23" w:rsidR="004D4C79">
        <w:t>Implementation of PCOR to Increase Referral, Enrollment, and Retention through Automatic Referral to Cardiac Rehabilitat</w:t>
      </w:r>
      <w:r w:rsidR="00311394">
        <w:t>ion (CR) with Care Coordination</w:t>
      </w:r>
      <w:r w:rsidRPr="00160C23">
        <w:t xml:space="preserve">” fully supports AHRQ’s mission. </w:t>
      </w:r>
      <w:r w:rsidRPr="00160C23" w:rsidR="00BB3F69">
        <w:t xml:space="preserve">This topic was </w:t>
      </w:r>
      <w:r w:rsidRPr="00160C23" w:rsidR="0006722B">
        <w:t>nominated for</w:t>
      </w:r>
      <w:r w:rsidRPr="00160C23" w:rsidR="00BB3F69">
        <w:t xml:space="preserve"> consideration under AHRQ’s Dissemination and Implementation (D and </w:t>
      </w:r>
      <w:r w:rsidRPr="00160C23" w:rsidR="0006722B">
        <w:t>I)</w:t>
      </w:r>
      <w:r w:rsidRPr="00160C23" w:rsidR="00BB3F69">
        <w:t xml:space="preserve"> Initiative. The nominators were </w:t>
      </w:r>
      <w:r w:rsidRPr="00160C23" w:rsidR="00BB3F69">
        <w:rPr>
          <w:color w:val="000000" w:themeColor="text1"/>
        </w:rPr>
        <w:t>Million Hearts® (</w:t>
      </w:r>
      <w:r w:rsidRPr="00160C23" w:rsidR="00BB3F69">
        <w:t xml:space="preserve">an initiative co-led by the Centers for Disease Control and Prevention (CDC) and the Centers for Medicare &amp; Medicaid Services (CMS). AHRQ’s D and I initiative responded to a congressional mandate and funded under the PCOR-Trust Fund. The nomination featured PCOR evidence on the value of cardiac rehabilitation after myocardial infarction or coronary revascularization and an evidence-based implementation strategy, </w:t>
      </w:r>
      <w:r w:rsidRPr="00160C23" w:rsidR="00B318DA">
        <w:t>Automatic Referral with Care Coordination</w:t>
      </w:r>
      <w:r w:rsidRPr="00160C23" w:rsidR="00BB3F69">
        <w:t>.  AHRQ judged the nomination to have a high level of fit with AHRQ’s criteria of having a substantial evidence base, high potential impact, and high feasibility for wide dissemination and implementation</w:t>
      </w:r>
      <w:r w:rsidRPr="00160C23" w:rsidR="00E717CF">
        <w:t>.</w:t>
      </w:r>
      <w:r w:rsidRPr="00160C23" w:rsidR="00BB3F69">
        <w:t xml:space="preserve"> Outreach with stakeholders indicates that this initiative aligns well but does not duplicate work by NIH; PCORI; CMS and CDC. </w:t>
      </w:r>
    </w:p>
    <w:p w:rsidRPr="00160C23" w:rsidR="00BB3F69" w:rsidP="00BB3F69" w:rsidRDefault="00BB3F69" w14:paraId="094610EA" w14:textId="77777777">
      <w:pPr>
        <w:spacing w:after="120"/>
        <w:rPr>
          <w:rFonts w:ascii="Arial" w:hAnsi="Arial" w:cs="Arial"/>
        </w:rPr>
      </w:pPr>
    </w:p>
    <w:p w:rsidRPr="00160C23" w:rsidR="00411454" w:rsidP="00752932" w:rsidRDefault="00BB3F69" w14:paraId="1CD53C71" w14:textId="4056215D">
      <w:r w:rsidRPr="00160C23">
        <w:t xml:space="preserve">After launch, AHRQ named its CR project “TAKEheart.” Successful execution of the TAKEheart project can contribute directly to the nation’s health. Currently </w:t>
      </w:r>
      <w:r w:rsidRPr="00160C23" w:rsidR="00483267">
        <w:t xml:space="preserve">over two-thirds </w:t>
      </w:r>
      <w:r w:rsidRPr="00160C23" w:rsidR="00AC3D99">
        <w:t xml:space="preserve">of </w:t>
      </w:r>
      <w:r w:rsidRPr="00160C23" w:rsidR="00EC4EAC">
        <w:t xml:space="preserve">eligible </w:t>
      </w:r>
      <w:r w:rsidRPr="00160C23" w:rsidR="00AC3D99">
        <w:t>cardiac patients are not referred to CR despite extensive evidence of its effectiveness in preventing subsequent morbidity</w:t>
      </w:r>
      <w:r w:rsidRPr="00160C23" w:rsidR="00932DB4">
        <w:t>;</w:t>
      </w:r>
      <w:r w:rsidRPr="00160C23" w:rsidR="00483267">
        <w:t xml:space="preserve"> national estimates </w:t>
      </w:r>
      <w:r w:rsidRPr="00160C23" w:rsidR="00932DB4">
        <w:t xml:space="preserve">of referral </w:t>
      </w:r>
      <w:r w:rsidRPr="00160C23" w:rsidR="00483267">
        <w:t>range from 10-34%</w:t>
      </w:r>
      <w:r w:rsidRPr="00160C23" w:rsidR="00AC3D99">
        <w:t>.</w:t>
      </w:r>
      <w:r w:rsidRPr="00160C23" w:rsidR="00AC3D99">
        <w:fldChar w:fldCharType="begin">
          <w:fldData xml:space="preserve">PEVuZE5vdGU+PENpdGU+PEF1dGhvcj5SaWNoYXJkc29uPC9BdXRob3I+PFllYXI+MjAxOTwvWWVh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</w:fldData>
        </w:fldChar>
      </w:r>
      <w:r w:rsidRPr="00160C23" w:rsidR="00AC3D99">
        <w:instrText xml:space="preserve"> ADDIN EN.CITE </w:instrText>
      </w:r>
      <w:r w:rsidRPr="00160C23" w:rsidR="00AC3D99">
        <w:fldChar w:fldCharType="begin">
          <w:fldData xml:space="preserve">PEVuZE5vdGU+PENpdGU+PEF1dGhvcj5SaWNoYXJkc29uPC9BdXRob3I+PFllYXI+MjAxOTwvWWVh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</w:fldData>
        </w:fldChar>
      </w:r>
      <w:r w:rsidRPr="00160C23" w:rsidR="00AC3D99">
        <w:instrText xml:space="preserve"> ADDIN EN.CITE.DATA </w:instrText>
      </w:r>
      <w:r w:rsidRPr="00160C23" w:rsidR="00AC3D99">
        <w:fldChar w:fldCharType="end"/>
      </w:r>
      <w:r w:rsidRPr="00160C23" w:rsidR="00AC3D99">
        <w:fldChar w:fldCharType="separate"/>
      </w:r>
      <w:r w:rsidRPr="00160C23" w:rsidR="00AC3D99">
        <w:rPr>
          <w:noProof/>
          <w:vertAlign w:val="superscript"/>
        </w:rPr>
        <w:t>1</w:t>
      </w:r>
      <w:r w:rsidRPr="00160C23" w:rsidR="00AC3D99">
        <w:fldChar w:fldCharType="end"/>
      </w:r>
      <w:r w:rsidRPr="00160C23" w:rsidR="00AC3D99">
        <w:t xml:space="preserve"> To help improve CR rates, the Million Hearts</w:t>
      </w:r>
      <w:r w:rsidRPr="00160C23" w:rsidR="00AC3D99">
        <w:rPr>
          <w:vertAlign w:val="superscript"/>
        </w:rPr>
        <w:t>®</w:t>
      </w:r>
      <w:r w:rsidRPr="00160C23" w:rsidR="00AC3D99">
        <w:t xml:space="preserve"> Cardiac Rehabilitation Collaborative</w:t>
      </w:r>
      <w:r w:rsidRPr="00160C23" w:rsidR="00AC3D99">
        <w:rPr>
          <w:color w:val="000000" w:themeColor="text1"/>
        </w:rPr>
        <w:t xml:space="preserve"> developed a </w:t>
      </w:r>
      <w:hyperlink w:history="1" r:id="rId8">
        <w:r w:rsidRPr="00160C23" w:rsidR="00AC3D99">
          <w:rPr>
            <w:color w:val="000000" w:themeColor="text1"/>
          </w:rPr>
          <w:t>Cardiac Rehabilitation Change Package (CRCP)</w:t>
        </w:r>
      </w:hyperlink>
      <w:r w:rsidRPr="00160C23" w:rsidR="00AC3D99">
        <w:rPr>
          <w:color w:val="000000" w:themeColor="text1"/>
        </w:rPr>
        <w:t xml:space="preserve"> and established a national goal of 70% participation in CR by 202</w:t>
      </w:r>
      <w:r w:rsidRPr="00160C23" w:rsidR="00AC3D99">
        <w:t>2 for eligible patients.</w:t>
      </w:r>
      <w:r w:rsidRPr="00160C23" w:rsidR="00AC3D99">
        <w:fldChar w:fldCharType="begin">
          <w:fldData xml:space="preserve">PEVuZE5vdGU+PENpdGU+PEF1dGhvcj5BZGVzPC9BdXRob3I+PFllYXI+MjAxNzwvWWVhcj48UmVj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</w:fldData>
        </w:fldChar>
      </w:r>
      <w:r w:rsidRPr="00160C23" w:rsidR="00AC3D99">
        <w:instrText xml:space="preserve"> ADDIN EN.CITE </w:instrText>
      </w:r>
      <w:r w:rsidRPr="00160C23" w:rsidR="00AC3D99">
        <w:fldChar w:fldCharType="begin">
          <w:fldData xml:space="preserve">PEVuZE5vdGU+PENpdGU+PEF1dGhvcj5BZGVzPC9BdXRob3I+PFllYXI+MjAxNzwvWWVhcj48UmVj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</w:fldData>
        </w:fldChar>
      </w:r>
      <w:r w:rsidRPr="00160C23" w:rsidR="00AC3D99">
        <w:instrText xml:space="preserve"> ADDIN EN.CITE.DATA </w:instrText>
      </w:r>
      <w:r w:rsidRPr="00160C23" w:rsidR="00AC3D99">
        <w:fldChar w:fldCharType="end"/>
      </w:r>
      <w:r w:rsidRPr="00160C23" w:rsidR="00AC3D99">
        <w:fldChar w:fldCharType="separate"/>
      </w:r>
      <w:r w:rsidRPr="00160C23" w:rsidR="00AC3D99">
        <w:rPr>
          <w:noProof/>
          <w:vertAlign w:val="superscript"/>
        </w:rPr>
        <w:t>2</w:t>
      </w:r>
      <w:r w:rsidRPr="00160C23" w:rsidR="00AC3D99">
        <w:fldChar w:fldCharType="end"/>
      </w:r>
      <w:r w:rsidRPr="00160C23" w:rsidR="00AC3D99">
        <w:t xml:space="preserve"> </w:t>
      </w:r>
      <w:r w:rsidRPr="00160C23" w:rsidR="008628B0">
        <w:t>The aim of this project is</w:t>
      </w:r>
      <w:r w:rsidRPr="00160C23" w:rsidR="00AC3D99">
        <w:t xml:space="preserve"> </w:t>
      </w:r>
      <w:r w:rsidRPr="00160C23" w:rsidR="00411454">
        <w:t xml:space="preserve">to raise awareness </w:t>
      </w:r>
      <w:r w:rsidRPr="00160C23" w:rsidR="00AC3D99">
        <w:t xml:space="preserve">about the benefits of CR, </w:t>
      </w:r>
      <w:r w:rsidRPr="00160C23" w:rsidR="00411454">
        <w:t xml:space="preserve">then to spread knowledge </w:t>
      </w:r>
      <w:r w:rsidRPr="00160C23" w:rsidR="00AC3D99">
        <w:t xml:space="preserve">about CRCP resources, and finally </w:t>
      </w:r>
      <w:r w:rsidRPr="00160C23" w:rsidR="00411454">
        <w:t>to increase CR uptake</w:t>
      </w:r>
      <w:r w:rsidRPr="00160C23" w:rsidR="00D0722F">
        <w:t>.</w:t>
      </w:r>
      <w:r w:rsidRPr="00160C23" w:rsidR="00411454">
        <w:t xml:space="preserve"> </w:t>
      </w:r>
      <w:r w:rsidRPr="00160C23" w:rsidR="00D0722F">
        <w:t xml:space="preserve">The project will </w:t>
      </w:r>
      <w:r w:rsidRPr="00160C23" w:rsidR="00411454">
        <w:t xml:space="preserve">facilitate implementation of </w:t>
      </w:r>
      <w:r w:rsidRPr="00160C23" w:rsidR="00B318DA">
        <w:t xml:space="preserve">Automatic Referral with Care Coordination </w:t>
      </w:r>
      <w:r w:rsidRPr="00160C23" w:rsidR="00411454">
        <w:t xml:space="preserve">in </w:t>
      </w:r>
      <w:r w:rsidRPr="00160C23" w:rsidR="00D0722F">
        <w:t xml:space="preserve">selected, </w:t>
      </w:r>
      <w:r w:rsidRPr="00160C23" w:rsidR="00411454">
        <w:t>diverse hospitals nationwide</w:t>
      </w:r>
      <w:r w:rsidRPr="00160C23" w:rsidR="00D0722F">
        <w:t xml:space="preserve"> which demonstrate their readiness</w:t>
      </w:r>
      <w:r w:rsidRPr="00160C23" w:rsidR="00411454">
        <w:t>.</w:t>
      </w:r>
      <w:r w:rsidRPr="00160C23" w:rsidR="00752932">
        <w:t xml:space="preserve"> </w:t>
      </w:r>
    </w:p>
    <w:p w:rsidRPr="00160C23" w:rsidR="008628B0" w:rsidP="008628B0" w:rsidRDefault="008628B0" w14:paraId="6C02A1FD" w14:textId="77777777"/>
    <w:p w:rsidRPr="00160C23" w:rsidR="008628B0" w:rsidP="00650CFA" w:rsidRDefault="00BB3F69" w14:paraId="5CD37CD0" w14:textId="2FD569F1">
      <w:pPr>
        <w:spacing w:after="120"/>
      </w:pPr>
      <w:r w:rsidRPr="00160C23">
        <w:t>AHRQ will evaluate TAKE</w:t>
      </w:r>
      <w:r w:rsidR="005D267C">
        <w:t>h</w:t>
      </w:r>
      <w:r w:rsidRPr="00160C23">
        <w:t xml:space="preserve">eart </w:t>
      </w:r>
      <w:r w:rsidRPr="00160C23" w:rsidR="0017737F">
        <w:t>to:</w:t>
      </w:r>
    </w:p>
    <w:p w:rsidRPr="00160C23" w:rsidR="008628B0" w:rsidP="00D0722F" w:rsidRDefault="00932DB4" w14:paraId="38680E1B" w14:textId="359CABBE">
      <w:pPr>
        <w:numPr>
          <w:ilvl w:val="0"/>
          <w:numId w:val="11"/>
        </w:numPr>
        <w:spacing w:after="120"/>
      </w:pPr>
      <w:r w:rsidRPr="00160C23">
        <w:t>A</w:t>
      </w:r>
      <w:r w:rsidRPr="00160C23" w:rsidR="00D0722F">
        <w:t xml:space="preserve">ssess the extent and effectiveness of the dissemination and implementation efforts, including the uptake and usage of CRCP components including but not limited to </w:t>
      </w:r>
      <w:r w:rsidRPr="00160C23" w:rsidR="007D725B">
        <w:t>A</w:t>
      </w:r>
      <w:r w:rsidRPr="00160C23" w:rsidR="00D0722F">
        <w:t>utomat</w:t>
      </w:r>
      <w:r w:rsidRPr="00160C23" w:rsidR="002F5B12">
        <w:t>ic</w:t>
      </w:r>
      <w:r w:rsidRPr="00160C23" w:rsidR="00D0722F">
        <w:t xml:space="preserve"> </w:t>
      </w:r>
      <w:r w:rsidRPr="00160C23" w:rsidR="007D725B">
        <w:t>R</w:t>
      </w:r>
      <w:r w:rsidRPr="00160C23" w:rsidR="00D0722F">
        <w:t xml:space="preserve">eferral with </w:t>
      </w:r>
      <w:r w:rsidRPr="00160C23" w:rsidR="002F5B12">
        <w:t>Care Coordination</w:t>
      </w:r>
      <w:r w:rsidRPr="00160C23" w:rsidR="00D0722F">
        <w:t>, and</w:t>
      </w:r>
    </w:p>
    <w:p w:rsidRPr="00160C23" w:rsidR="00527BBD" w:rsidP="00D0722F" w:rsidRDefault="00932DB4" w14:paraId="7F220E8D" w14:textId="7370FBBD">
      <w:pPr>
        <w:pStyle w:val="ListParagraph"/>
        <w:numPr>
          <w:ilvl w:val="0"/>
          <w:numId w:val="11"/>
        </w:numPr>
        <w:rPr>
          <w:rFonts w:ascii="Times New Roman" w:hAnsi="Times New Roman" w:cs="Times New Roman"/>
        </w:rPr>
      </w:pPr>
      <w:r w:rsidRPr="00160C23">
        <w:rPr>
          <w:rFonts w:ascii="Times New Roman" w:hAnsi="Times New Roman" w:cs="Times New Roman"/>
        </w:rPr>
        <w:t>M</w:t>
      </w:r>
      <w:r w:rsidRPr="00160C23" w:rsidR="0006722B">
        <w:rPr>
          <w:rFonts w:ascii="Times New Roman" w:hAnsi="Times New Roman" w:cs="Times New Roman"/>
        </w:rPr>
        <w:t>easure</w:t>
      </w:r>
      <w:r w:rsidRPr="00160C23" w:rsidR="00D0722F">
        <w:rPr>
          <w:rFonts w:ascii="Times New Roman" w:hAnsi="Times New Roman" w:cs="Times New Roman"/>
        </w:rPr>
        <w:t xml:space="preserve"> changes in CR referral, enrollment, and retention.</w:t>
      </w:r>
    </w:p>
    <w:p w:rsidRPr="00160C23" w:rsidR="00D0722F" w:rsidP="006014DB" w:rsidRDefault="00D0722F" w14:paraId="4DAD85A4" w14:textId="77777777"/>
    <w:p w:rsidRPr="00160C23" w:rsidR="00171E7C" w:rsidP="00650CFA" w:rsidRDefault="00171E7C" w14:paraId="72A23DF5" w14:textId="1415AF30">
      <w:pPr>
        <w:spacing w:after="120"/>
      </w:pPr>
      <w:r w:rsidRPr="00160C23">
        <w:t>Evaluation results will be used to improve the intervention</w:t>
      </w:r>
      <w:r w:rsidRPr="00160C23" w:rsidR="00141CA9">
        <w:t xml:space="preserve"> and to provide guidance for future AHRQ Dissemination and Implementation projects</w:t>
      </w:r>
      <w:r w:rsidRPr="00160C23">
        <w:t xml:space="preserve">. Two cohorts of </w:t>
      </w:r>
      <w:r w:rsidRPr="00160C23" w:rsidR="00141CA9">
        <w:t>“Partner Hospitals</w:t>
      </w:r>
      <w:r w:rsidRPr="00160C23" w:rsidR="002D41A1">
        <w:t>”</w:t>
      </w:r>
      <w:r w:rsidRPr="00160C23">
        <w:t xml:space="preserve"> will engage in efforts to implement </w:t>
      </w:r>
      <w:r w:rsidRPr="00762CE3" w:rsidR="00B318DA">
        <w:t>Automatic Referral with Care Coordination</w:t>
      </w:r>
      <w:r w:rsidRPr="00160C23" w:rsidR="00B318DA">
        <w:rPr>
          <w:u w:val="single"/>
        </w:rPr>
        <w:t xml:space="preserve"> </w:t>
      </w:r>
      <w:r w:rsidRPr="00160C23">
        <w:t xml:space="preserve">over twelve month periods. The evaluation </w:t>
      </w:r>
      <w:r w:rsidRPr="00160C23" w:rsidR="0056102D">
        <w:t xml:space="preserve">of the first cohort </w:t>
      </w:r>
      <w:r w:rsidRPr="00160C23">
        <w:t>will ascertain the diversity o</w:t>
      </w:r>
      <w:r w:rsidRPr="00160C23" w:rsidR="00602C8A">
        <w:t xml:space="preserve">f hospitals engaged </w:t>
      </w:r>
      <w:r w:rsidRPr="00160C23">
        <w:t xml:space="preserve">the activities that contributed to (or hindered) their efforts, and the types of support which they report having been most (and least) useful. This information will be used to improve recruitment, technical assistance, and tools for the second cohort. </w:t>
      </w:r>
    </w:p>
    <w:p w:rsidRPr="00160C23" w:rsidR="00D0722F" w:rsidP="00922339" w:rsidRDefault="00922339" w14:paraId="5356E60F" w14:textId="42EF6327">
      <w:pPr>
        <w:spacing w:after="120"/>
      </w:pPr>
      <w:r w:rsidRPr="00160C23">
        <w:t xml:space="preserve">In addition, hospitals – including those involved in the implementation – will be invited to attend Affinity Group </w:t>
      </w:r>
      <w:r w:rsidRPr="00160C23" w:rsidR="00E74320">
        <w:t>virtual meetings</w:t>
      </w:r>
      <w:r w:rsidRPr="00160C23" w:rsidR="00A01E41">
        <w:t xml:space="preserve"> </w:t>
      </w:r>
      <w:r w:rsidRPr="00160C23">
        <w:t xml:space="preserve">organized around specific topics of interest which are not intrinsic to </w:t>
      </w:r>
      <w:r w:rsidRPr="00160C23" w:rsidR="00B318DA">
        <w:t>Automatic Referral with Care Coordination</w:t>
      </w:r>
      <w:r w:rsidRPr="00160C23">
        <w:t>. Hospital staff engaged in Affinity Groups will create a vibrant Learning Community. T</w:t>
      </w:r>
      <w:r w:rsidRPr="00160C23" w:rsidR="00171E7C">
        <w:t xml:space="preserve">he evaluation will determine </w:t>
      </w:r>
      <w:r w:rsidRPr="00160C23">
        <w:t xml:space="preserve">which Affinity Groups </w:t>
      </w:r>
      <w:r w:rsidRPr="00160C23" w:rsidR="00171E7C">
        <w:t xml:space="preserve">engaged the most participants of the Learning Community, and which </w:t>
      </w:r>
      <w:r w:rsidRPr="00160C23" w:rsidR="00B907E0">
        <w:t xml:space="preserve">resources </w:t>
      </w:r>
      <w:r w:rsidRPr="00160C23" w:rsidR="00171E7C">
        <w:t xml:space="preserve">participants determined the most useful. This information will be used to develop resources which will be available on a new, permanent website dedicated to improving CR. </w:t>
      </w:r>
    </w:p>
    <w:p w:rsidRPr="00160C23" w:rsidR="00527BBD" w:rsidP="00650CFA" w:rsidRDefault="00527BBD" w14:paraId="0E6D958E" w14:textId="0FF674E1">
      <w:pPr>
        <w:spacing w:after="120"/>
      </w:pPr>
      <w:r w:rsidRPr="00160C23">
        <w:t xml:space="preserve">To </w:t>
      </w:r>
      <w:r w:rsidRPr="00160C23" w:rsidR="00494C7A">
        <w:t>collect data on the many facets of the intervention</w:t>
      </w:r>
      <w:r w:rsidRPr="00160C23" w:rsidR="00387C99">
        <w:t xml:space="preserve"> </w:t>
      </w:r>
      <w:r w:rsidRPr="00160C23" w:rsidR="00494C7A">
        <w:t>we will implement multiple data collection tools, each of which has a specific purpose and set of respondents</w:t>
      </w:r>
      <w:r w:rsidRPr="00160C23">
        <w:t>:</w:t>
      </w:r>
    </w:p>
    <w:p w:rsidRPr="00160C23" w:rsidR="00494C7A" w:rsidP="00C17C8A" w:rsidRDefault="00602C8A" w14:paraId="6BC9EAF1" w14:textId="46FC110C">
      <w:pPr>
        <w:pStyle w:val="ListParagraph"/>
        <w:numPr>
          <w:ilvl w:val="0"/>
          <w:numId w:val="27"/>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Partner Hospital</w:t>
      </w:r>
      <w:r w:rsidRPr="00160C23" w:rsidR="00494C7A">
        <w:rPr>
          <w:rFonts w:ascii="Times New Roman" w:hAnsi="Times New Roman" w:cs="Times New Roman"/>
          <w:b/>
          <w:color w:val="000000" w:themeColor="text1"/>
        </w:rPr>
        <w:t xml:space="preserve"> Champion Survey.</w:t>
      </w:r>
      <w:r w:rsidRPr="00160C23" w:rsidR="00494C7A">
        <w:rPr>
          <w:rFonts w:ascii="Times New Roman" w:hAnsi="Times New Roman" w:cs="Times New Roman"/>
          <w:color w:val="000000" w:themeColor="text1"/>
        </w:rPr>
        <w:t xml:space="preserve"> </w:t>
      </w:r>
      <w:r w:rsidRPr="00160C23" w:rsidR="002D41A1">
        <w:rPr>
          <w:rFonts w:ascii="Times New Roman" w:hAnsi="Times New Roman" w:cs="Times New Roman"/>
          <w:color w:val="000000" w:themeColor="text1"/>
        </w:rPr>
        <w:t xml:space="preserve">Each Partner Hospital will designate a “Champion” who will coordinate activities associated with implementing </w:t>
      </w:r>
      <w:r w:rsidRPr="00160C23" w:rsidR="00B318DA">
        <w:rPr>
          <w:rFonts w:ascii="Times New Roman" w:hAnsi="Times New Roman" w:cs="Times New Roman"/>
          <w:color w:val="000000" w:themeColor="text1"/>
        </w:rPr>
        <w:t>Automatic Referral with Care Coordination</w:t>
      </w:r>
      <w:r w:rsidRPr="00160C23" w:rsidR="002D41A1">
        <w:rPr>
          <w:rFonts w:ascii="Times New Roman" w:hAnsi="Times New Roman" w:cs="Times New Roman"/>
          <w:color w:val="000000" w:themeColor="text1"/>
        </w:rPr>
        <w:t xml:space="preserve"> at the hospital</w:t>
      </w:r>
      <w:r w:rsidRPr="00160C23" w:rsidR="00C17C8A">
        <w:rPr>
          <w:rFonts w:ascii="Times New Roman" w:hAnsi="Times New Roman" w:cs="Times New Roman"/>
          <w:color w:val="000000" w:themeColor="text1"/>
        </w:rPr>
        <w:t xml:space="preserve"> and provide the Champion’s name and email address</w:t>
      </w:r>
      <w:r w:rsidRPr="00160C23" w:rsidR="002D41A1">
        <w:rPr>
          <w:rFonts w:ascii="Times New Roman" w:hAnsi="Times New Roman" w:cs="Times New Roman"/>
          <w:color w:val="000000" w:themeColor="text1"/>
        </w:rPr>
        <w:t xml:space="preserve">. The Champion may have any role in the hospital, although they are expected in relevant positions, such as cardiologists or quality improvement managers. </w:t>
      </w:r>
      <w:r w:rsidRPr="00160C23" w:rsidR="00494C7A">
        <w:rPr>
          <w:rFonts w:ascii="Times New Roman" w:hAnsi="Times New Roman" w:cs="Times New Roman"/>
          <w:color w:val="000000" w:themeColor="text1"/>
        </w:rPr>
        <w:t xml:space="preserve">We will conduct online surveys of </w:t>
      </w:r>
      <w:r w:rsidRPr="00160C23" w:rsidR="00C17C8A">
        <w:rPr>
          <w:rFonts w:ascii="Times New Roman" w:hAnsi="Times New Roman" w:cs="Times New Roman"/>
          <w:color w:val="000000" w:themeColor="text1"/>
        </w:rPr>
        <w:t xml:space="preserve">125 </w:t>
      </w:r>
      <w:r w:rsidRPr="00160C23">
        <w:rPr>
          <w:rFonts w:ascii="Times New Roman" w:hAnsi="Times New Roman" w:cs="Times New Roman"/>
          <w:color w:val="000000" w:themeColor="text1"/>
        </w:rPr>
        <w:t>Champion</w:t>
      </w:r>
      <w:r w:rsidRPr="00160C23" w:rsidR="00494C7A">
        <w:rPr>
          <w:rFonts w:ascii="Times New Roman" w:hAnsi="Times New Roman" w:cs="Times New Roman"/>
          <w:color w:val="000000" w:themeColor="text1"/>
        </w:rPr>
        <w:t xml:space="preserve">s (one </w:t>
      </w:r>
      <w:r w:rsidRPr="00160C23">
        <w:rPr>
          <w:rFonts w:ascii="Times New Roman" w:hAnsi="Times New Roman" w:cs="Times New Roman"/>
          <w:color w:val="000000" w:themeColor="text1"/>
        </w:rPr>
        <w:t>Champion</w:t>
      </w:r>
      <w:r w:rsidRPr="00160C23" w:rsidR="00494C7A">
        <w:rPr>
          <w:rFonts w:ascii="Times New Roman" w:hAnsi="Times New Roman" w:cs="Times New Roman"/>
          <w:color w:val="000000" w:themeColor="text1"/>
        </w:rPr>
        <w:t xml:space="preserve"> per </w:t>
      </w:r>
      <w:r w:rsidRPr="00160C23" w:rsidR="0046731D">
        <w:rPr>
          <w:rFonts w:ascii="Times New Roman" w:hAnsi="Times New Roman" w:cs="Times New Roman"/>
          <w:color w:val="000000" w:themeColor="text1"/>
        </w:rPr>
        <w:t>hospital</w:t>
      </w:r>
      <w:r w:rsidRPr="00160C23" w:rsidR="00494C7A">
        <w:rPr>
          <w:rFonts w:ascii="Times New Roman" w:hAnsi="Times New Roman" w:cs="Times New Roman"/>
          <w:color w:val="000000" w:themeColor="text1"/>
        </w:rPr>
        <w:t xml:space="preserve">). </w:t>
      </w:r>
      <w:r w:rsidRPr="00160C23" w:rsidR="00247465">
        <w:rPr>
          <w:rFonts w:ascii="Times New Roman" w:hAnsi="Times New Roman" w:cs="Times New Roman"/>
          <w:color w:val="000000" w:themeColor="text1"/>
        </w:rPr>
        <w:t>We will use t</w:t>
      </w:r>
      <w:r w:rsidRPr="00160C23" w:rsidR="00494C7A">
        <w:rPr>
          <w:rFonts w:ascii="Times New Roman" w:hAnsi="Times New Roman" w:cs="Times New Roman"/>
          <w:color w:val="000000" w:themeColor="text1"/>
        </w:rPr>
        <w:t xml:space="preserve">he email addresses to send the </w:t>
      </w:r>
      <w:r w:rsidRPr="00160C23">
        <w:rPr>
          <w:rFonts w:ascii="Times New Roman" w:hAnsi="Times New Roman" w:cs="Times New Roman"/>
          <w:color w:val="000000" w:themeColor="text1"/>
        </w:rPr>
        <w:t>Champion</w:t>
      </w:r>
      <w:r w:rsidRPr="00160C23" w:rsidR="00494C7A">
        <w:rPr>
          <w:rFonts w:ascii="Times New Roman" w:hAnsi="Times New Roman" w:cs="Times New Roman"/>
          <w:color w:val="000000" w:themeColor="text1"/>
        </w:rPr>
        <w:t xml:space="preserve"> a survey at two points: seven months after the start of implementation and at the end of the 12-month implementation period. </w:t>
      </w:r>
      <w:r w:rsidRPr="00160C23" w:rsidR="00C17C8A">
        <w:rPr>
          <w:rFonts w:ascii="Times New Roman" w:hAnsi="Times New Roman" w:cs="Times New Roman"/>
          <w:color w:val="000000" w:themeColor="text1"/>
        </w:rPr>
        <w:t>The first survey will focus on four constructs. First, it will capture data about the hospital context, such as whether it had prior experience customizing an EMR or is a safety net hospital.</w:t>
      </w:r>
      <w:r w:rsidR="00311394">
        <w:rPr>
          <w:rFonts w:ascii="Times New Roman" w:hAnsi="Times New Roman" w:cs="Times New Roman"/>
          <w:color w:val="000000" w:themeColor="text1"/>
        </w:rPr>
        <w:t xml:space="preserve"> Second,</w:t>
      </w:r>
      <w:r w:rsidRPr="00160C23" w:rsidR="00C17C8A">
        <w:rPr>
          <w:rFonts w:ascii="Times New Roman" w:hAnsi="Times New Roman" w:cs="Times New Roman"/>
          <w:color w:val="000000" w:themeColor="text1"/>
        </w:rPr>
        <w:t xml:space="preserve"> it will address the hospital’s decision to participate in TAKEheart. Third, it will capture data on the CR programs the hospital refers to, whether the number or type has changed, and why. (Achievement of milestones towards implementation of automatic referral with care coordination is captured in the Implementation Log.) Fourth, it will collect feedback on the training and technical assistance received. The second survey will focus on three constructs. First, it will collect feedback on the TAKEheart components, including training, technical assistance, and use of the website. We will ask about each Partner Hospital Action Group training module not covered in the first survey. Second, we will ask about the hospitals’ response to participating in TAKEheart, such as changes to referral workflow or CR programs. Third, we will ask those Partner Hospitals which have not completed the process of implementing Automatic Referral with Care Coordination whether they anticipate continuing to work towards that goal and their confidence in succeeding. </w:t>
      </w:r>
    </w:p>
    <w:p w:rsidRPr="00160C23" w:rsidR="007D1B1D" w:rsidP="0052715A" w:rsidRDefault="007D1B1D" w14:paraId="1BAE6EA8" w14:textId="77777777">
      <w:pPr>
        <w:pStyle w:val="ListParagraph"/>
        <w:numPr>
          <w:ilvl w:val="0"/>
          <w:numId w:val="27"/>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Partner Hospital Interviews.</w:t>
      </w:r>
    </w:p>
    <w:p w:rsidRPr="00160C23" w:rsidR="00822681" w:rsidP="00160C23" w:rsidRDefault="00602C8A" w14:paraId="47AA569C" w14:textId="41195DFA">
      <w:pPr>
        <w:pStyle w:val="ListParagraph"/>
        <w:numPr>
          <w:ilvl w:val="1"/>
          <w:numId w:val="27"/>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Partner Hospital</w:t>
      </w:r>
      <w:r w:rsidRPr="00160C23" w:rsidR="00C96591">
        <w:rPr>
          <w:rFonts w:ascii="Times New Roman" w:hAnsi="Times New Roman" w:cs="Times New Roman"/>
          <w:b/>
          <w:color w:val="000000" w:themeColor="text1"/>
        </w:rPr>
        <w:t xml:space="preserve"> </w:t>
      </w:r>
      <w:r w:rsidRPr="00160C23" w:rsidR="007D1B1D">
        <w:rPr>
          <w:rFonts w:ascii="Times New Roman" w:hAnsi="Times New Roman" w:cs="Times New Roman"/>
          <w:b/>
          <w:color w:val="000000" w:themeColor="text1"/>
        </w:rPr>
        <w:t>Interviews</w:t>
      </w:r>
      <w:r w:rsidRPr="00160C23" w:rsidR="00C96591">
        <w:rPr>
          <w:rFonts w:ascii="Times New Roman" w:hAnsi="Times New Roman" w:cs="Times New Roman"/>
          <w:b/>
          <w:color w:val="000000" w:themeColor="text1"/>
        </w:rPr>
        <w:t>.</w:t>
      </w:r>
      <w:r w:rsidRPr="00160C23" w:rsidR="00C96591">
        <w:rPr>
          <w:rFonts w:ascii="Times New Roman" w:hAnsi="Times New Roman" w:cs="Times New Roman"/>
          <w:color w:val="000000" w:themeColor="text1"/>
        </w:rPr>
        <w:t xml:space="preserve"> We will select</w:t>
      </w:r>
      <w:r w:rsidRPr="00160C23" w:rsidR="00762222">
        <w:rPr>
          <w:rFonts w:ascii="Times New Roman" w:hAnsi="Times New Roman" w:cs="Times New Roman"/>
          <w:color w:val="000000" w:themeColor="text1"/>
        </w:rPr>
        <w:t>, from each cohort,</w:t>
      </w:r>
      <w:r w:rsidRPr="00160C23" w:rsidR="00C96591">
        <w:rPr>
          <w:rFonts w:ascii="Times New Roman" w:hAnsi="Times New Roman" w:cs="Times New Roman"/>
          <w:color w:val="000000" w:themeColor="text1"/>
        </w:rPr>
        <w:t xml:space="preserve"> </w:t>
      </w:r>
      <w:r w:rsidRPr="00160C23" w:rsidR="0052715A">
        <w:rPr>
          <w:rFonts w:ascii="Times New Roman" w:hAnsi="Times New Roman" w:cs="Times New Roman"/>
          <w:color w:val="000000" w:themeColor="text1"/>
        </w:rPr>
        <w:t xml:space="preserve">eight </w:t>
      </w:r>
      <w:r w:rsidRPr="00160C23">
        <w:rPr>
          <w:rFonts w:ascii="Times New Roman" w:hAnsi="Times New Roman" w:cs="Times New Roman"/>
          <w:color w:val="000000" w:themeColor="text1"/>
        </w:rPr>
        <w:t>Partner Hospitals</w:t>
      </w:r>
      <w:r w:rsidRPr="00160C23" w:rsidR="00C96591">
        <w:rPr>
          <w:rFonts w:ascii="Times New Roman" w:hAnsi="Times New Roman" w:cs="Times New Roman"/>
          <w:color w:val="000000" w:themeColor="text1"/>
        </w:rPr>
        <w:t xml:space="preserve"> </w:t>
      </w:r>
      <w:r w:rsidRPr="00160C23" w:rsidR="0052715A">
        <w:rPr>
          <w:rFonts w:ascii="Times New Roman" w:hAnsi="Times New Roman" w:cs="Times New Roman"/>
          <w:color w:val="000000" w:themeColor="text1"/>
        </w:rPr>
        <w:t xml:space="preserve">which demonstrated a strong interest in addressing underserved populations or reducing disparities in participation in cardiac rehabilitation. </w:t>
      </w:r>
      <w:r w:rsidRPr="00160C23" w:rsidR="004B3C31">
        <w:rPr>
          <w:rFonts w:ascii="Times New Roman" w:hAnsi="Times New Roman" w:cs="Times New Roman"/>
          <w:color w:val="000000" w:themeColor="text1"/>
        </w:rPr>
        <w:t>We will</w:t>
      </w:r>
      <w:r w:rsidRPr="00160C23" w:rsidR="00C96591">
        <w:rPr>
          <w:rFonts w:ascii="Times New Roman" w:hAnsi="Times New Roman" w:cs="Times New Roman"/>
          <w:color w:val="000000" w:themeColor="text1"/>
        </w:rPr>
        <w:t xml:space="preserve"> conduct </w:t>
      </w:r>
      <w:r w:rsidRPr="00160C23" w:rsidR="004C082F">
        <w:rPr>
          <w:rFonts w:ascii="Times New Roman" w:hAnsi="Times New Roman" w:cs="Times New Roman"/>
          <w:color w:val="000000" w:themeColor="text1"/>
        </w:rPr>
        <w:t xml:space="preserve">a key informant interview with the Champion of each selected Partner Hospital </w:t>
      </w:r>
      <w:r w:rsidRPr="00160C23" w:rsidR="004B3C31">
        <w:rPr>
          <w:rFonts w:ascii="Times New Roman" w:hAnsi="Times New Roman" w:cs="Times New Roman"/>
          <w:color w:val="000000" w:themeColor="text1"/>
        </w:rPr>
        <w:t xml:space="preserve">to </w:t>
      </w:r>
      <w:r w:rsidRPr="00160C23" w:rsidR="00C96591">
        <w:rPr>
          <w:rFonts w:ascii="Times New Roman" w:hAnsi="Times New Roman" w:cs="Times New Roman"/>
          <w:color w:val="000000" w:themeColor="text1"/>
        </w:rPr>
        <w:t>delve into how the</w:t>
      </w:r>
      <w:r w:rsidRPr="00160C23" w:rsidR="0052715A">
        <w:rPr>
          <w:rFonts w:ascii="Times New Roman" w:hAnsi="Times New Roman" w:cs="Times New Roman"/>
          <w:color w:val="000000" w:themeColor="text1"/>
        </w:rPr>
        <w:t xml:space="preserve">y are </w:t>
      </w:r>
      <w:r w:rsidRPr="00160C23" w:rsidR="0058724A">
        <w:rPr>
          <w:rFonts w:ascii="Times New Roman" w:hAnsi="Times New Roman" w:cs="Times New Roman"/>
          <w:color w:val="000000" w:themeColor="text1"/>
        </w:rPr>
        <w:t>addressing the needs of underserved populations by</w:t>
      </w:r>
      <w:r w:rsidRPr="00160C23" w:rsidR="004B3C31">
        <w:rPr>
          <w:rFonts w:ascii="Times New Roman" w:hAnsi="Times New Roman" w:cs="Times New Roman"/>
          <w:color w:val="000000" w:themeColor="text1"/>
        </w:rPr>
        <w:t xml:space="preserve"> </w:t>
      </w:r>
      <w:r w:rsidRPr="00160C23" w:rsidR="00C96591">
        <w:rPr>
          <w:rFonts w:ascii="Times New Roman" w:hAnsi="Times New Roman" w:cs="Times New Roman"/>
          <w:color w:val="000000" w:themeColor="text1"/>
        </w:rPr>
        <w:t xml:space="preserve">implementing </w:t>
      </w:r>
      <w:r w:rsidRPr="00160C23" w:rsidR="00B318DA">
        <w:rPr>
          <w:rFonts w:ascii="Times New Roman" w:hAnsi="Times New Roman" w:cs="Times New Roman"/>
          <w:color w:val="000000" w:themeColor="text1"/>
        </w:rPr>
        <w:t>Automatic Referral with Care Coordination</w:t>
      </w:r>
      <w:r w:rsidRPr="00160C23" w:rsidR="00C96591">
        <w:rPr>
          <w:rFonts w:ascii="Times New Roman" w:hAnsi="Times New Roman" w:cs="Times New Roman"/>
          <w:color w:val="000000" w:themeColor="text1"/>
        </w:rPr>
        <w:t>.</w:t>
      </w:r>
      <w:r w:rsidRPr="00160C23" w:rsidR="00BF6140">
        <w:rPr>
          <w:rFonts w:ascii="Times New Roman" w:hAnsi="Times New Roman" w:cs="Times New Roman"/>
          <w:color w:val="000000" w:themeColor="text1"/>
        </w:rPr>
        <w:t xml:space="preserve"> </w:t>
      </w:r>
    </w:p>
    <w:p w:rsidR="007D012D" w:rsidP="00160C23" w:rsidRDefault="00762222" w14:paraId="025C741F" w14:textId="7026AC15">
      <w:pPr>
        <w:pStyle w:val="ListParagraph"/>
        <w:numPr>
          <w:ilvl w:val="1"/>
          <w:numId w:val="27"/>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 xml:space="preserve">Interviews with </w:t>
      </w:r>
      <w:r w:rsidRPr="00160C23" w:rsidR="00602C8A">
        <w:rPr>
          <w:rFonts w:ascii="Times New Roman" w:hAnsi="Times New Roman" w:cs="Times New Roman"/>
          <w:b/>
          <w:color w:val="000000" w:themeColor="text1"/>
        </w:rPr>
        <w:t>Partner Hospital</w:t>
      </w:r>
      <w:r w:rsidRPr="00160C23" w:rsidR="007D012D">
        <w:rPr>
          <w:rFonts w:ascii="Times New Roman" w:hAnsi="Times New Roman" w:cs="Times New Roman"/>
          <w:b/>
          <w:color w:val="000000" w:themeColor="text1"/>
        </w:rPr>
        <w:t xml:space="preserve"> cardiologist</w:t>
      </w:r>
      <w:r w:rsidRPr="00160C23">
        <w:rPr>
          <w:rFonts w:ascii="Times New Roman" w:hAnsi="Times New Roman" w:cs="Times New Roman"/>
          <w:b/>
          <w:color w:val="000000" w:themeColor="text1"/>
        </w:rPr>
        <w:t>s</w:t>
      </w:r>
      <w:r w:rsidRPr="00160C23" w:rsidR="007D012D">
        <w:rPr>
          <w:rFonts w:ascii="Times New Roman" w:hAnsi="Times New Roman" w:cs="Times New Roman"/>
          <w:b/>
          <w:color w:val="000000" w:themeColor="text1"/>
        </w:rPr>
        <w:t xml:space="preserve">. </w:t>
      </w:r>
      <w:r w:rsidRPr="00160C23" w:rsidR="007D012D">
        <w:rPr>
          <w:rFonts w:ascii="Times New Roman" w:hAnsi="Times New Roman" w:cs="Times New Roman"/>
          <w:color w:val="000000" w:themeColor="text1"/>
        </w:rPr>
        <w:t>We will select</w:t>
      </w:r>
      <w:r w:rsidR="00160C23">
        <w:rPr>
          <w:rFonts w:ascii="Times New Roman" w:hAnsi="Times New Roman" w:cs="Times New Roman"/>
          <w:color w:val="000000" w:themeColor="text1"/>
        </w:rPr>
        <w:t>, from each cohort,</w:t>
      </w:r>
      <w:r w:rsidRPr="00160C23" w:rsidR="007D012D">
        <w:rPr>
          <w:rFonts w:ascii="Times New Roman" w:hAnsi="Times New Roman" w:cs="Times New Roman"/>
          <w:color w:val="000000" w:themeColor="text1"/>
        </w:rPr>
        <w:t xml:space="preserve"> eight hospitals based on criteria selected in conversation with AHRQ, such as hospitals which serve specific populations, or have </w:t>
      </w:r>
      <w:r w:rsidRPr="00160C23">
        <w:rPr>
          <w:rFonts w:ascii="Times New Roman" w:hAnsi="Times New Roman" w:cs="Times New Roman"/>
          <w:color w:val="000000" w:themeColor="text1"/>
        </w:rPr>
        <w:t xml:space="preserve">the same </w:t>
      </w:r>
      <w:r w:rsidRPr="00160C23" w:rsidR="007D012D">
        <w:rPr>
          <w:rFonts w:ascii="Times New Roman" w:hAnsi="Times New Roman" w:cs="Times New Roman"/>
          <w:color w:val="000000" w:themeColor="text1"/>
        </w:rPr>
        <w:t>E</w:t>
      </w:r>
      <w:r w:rsidRPr="00160C23">
        <w:rPr>
          <w:rFonts w:ascii="Times New Roman" w:hAnsi="Times New Roman" w:cs="Times New Roman"/>
          <w:color w:val="000000" w:themeColor="text1"/>
        </w:rPr>
        <w:t>M</w:t>
      </w:r>
      <w:r w:rsidRPr="00160C23" w:rsidR="007D012D">
        <w:rPr>
          <w:rFonts w:ascii="Times New Roman" w:hAnsi="Times New Roman" w:cs="Times New Roman"/>
          <w:color w:val="000000" w:themeColor="text1"/>
        </w:rPr>
        <w:t>Rs</w:t>
      </w:r>
      <w:r w:rsidRPr="00160C23">
        <w:rPr>
          <w:rFonts w:ascii="Times New Roman" w:hAnsi="Times New Roman" w:cs="Times New Roman"/>
          <w:color w:val="000000" w:themeColor="text1"/>
        </w:rPr>
        <w:t>, which will inform their experience customizing the EMR</w:t>
      </w:r>
      <w:r w:rsidRPr="00160C23" w:rsidR="007D012D">
        <w:rPr>
          <w:rFonts w:ascii="Times New Roman" w:hAnsi="Times New Roman" w:cs="Times New Roman"/>
          <w:color w:val="000000" w:themeColor="text1"/>
        </w:rPr>
        <w:t>. We will conduct semi-structured interviews with one cardiologist at each of the selected hospitals twice. In the second month of the cohort implementation</w:t>
      </w:r>
      <w:r w:rsidRPr="00160C23">
        <w:rPr>
          <w:rFonts w:ascii="Times New Roman" w:hAnsi="Times New Roman" w:cs="Times New Roman"/>
          <w:color w:val="000000" w:themeColor="text1"/>
        </w:rPr>
        <w:t>,</w:t>
      </w:r>
      <w:r w:rsidRPr="00160C23" w:rsidR="007D012D">
        <w:rPr>
          <w:rFonts w:ascii="Times New Roman" w:hAnsi="Times New Roman" w:cs="Times New Roman"/>
          <w:color w:val="000000" w:themeColor="text1"/>
        </w:rPr>
        <w:t xml:space="preserve"> we will ask about their needs, concerns, and expectations of the program. In the 11</w:t>
      </w:r>
      <w:r w:rsidRPr="00160C23" w:rsidR="007D012D">
        <w:rPr>
          <w:rFonts w:ascii="Times New Roman" w:hAnsi="Times New Roman" w:cs="Times New Roman"/>
          <w:color w:val="000000" w:themeColor="text1"/>
          <w:vertAlign w:val="superscript"/>
        </w:rPr>
        <w:t>th</w:t>
      </w:r>
      <w:r w:rsidRPr="00160C23" w:rsidR="007D012D">
        <w:rPr>
          <w:rFonts w:ascii="Times New Roman" w:hAnsi="Times New Roman" w:cs="Times New Roman"/>
          <w:color w:val="000000" w:themeColor="text1"/>
        </w:rPr>
        <w:t xml:space="preserve"> month of the cohort implementation, we will determine whether their concerns were addressed appropriately and adequately. </w:t>
      </w:r>
    </w:p>
    <w:p w:rsidRPr="00160C23" w:rsidR="00BF6140" w:rsidP="00160C23" w:rsidRDefault="00160C23" w14:paraId="294CFC4B" w14:textId="7111C315">
      <w:pPr>
        <w:pStyle w:val="ListParagraph"/>
        <w:numPr>
          <w:ilvl w:val="1"/>
          <w:numId w:val="27"/>
        </w:numPr>
        <w:tabs>
          <w:tab w:val="left" w:pos="360"/>
        </w:tabs>
        <w:spacing w:after="120"/>
        <w:rPr>
          <w:rFonts w:ascii="Times New Roman" w:hAnsi="Times New Roman" w:cs="Times New Roman"/>
          <w:color w:val="000000" w:themeColor="text1"/>
        </w:rPr>
      </w:pPr>
      <w:r w:rsidRPr="00762CE3">
        <w:rPr>
          <w:rFonts w:ascii="Times New Roman" w:hAnsi="Times New Roman" w:cs="Times New Roman"/>
          <w:b/>
          <w:color w:val="000000" w:themeColor="text1"/>
        </w:rPr>
        <w:t>Interviews with Partner Hospitals that withdraw</w:t>
      </w:r>
      <w:r w:rsidRPr="00160C23">
        <w:rPr>
          <w:rFonts w:ascii="Times New Roman" w:hAnsi="Times New Roman" w:cs="Times New Roman"/>
          <w:color w:val="000000" w:themeColor="text1"/>
        </w:rPr>
        <w:t>. We expect that a small number of Partner Hospitals may withdraw from the cohort. We will identify these hospitals by their lack of participation in training and technical assistance events; Technical Assistance (TA) Providers will confirm their withdrawal. We will interview up to nine withdrawing hospitals to better understand the reason for withdrawal (e.g., a merger resulted in a loss of support for the intervention, Champion left), as well as facilitators and barriers of each hospitals’ approach to implementing Automatic Referral with Care Coordination. If more than nine hospitals withdraw, we will cease interviewing.</w:t>
      </w:r>
    </w:p>
    <w:p w:rsidRPr="00160C23" w:rsidR="00494C7A" w:rsidP="0058724A" w:rsidRDefault="00822681" w14:paraId="0C27D056" w14:textId="307B7E32">
      <w:pPr>
        <w:pStyle w:val="ListParagraph"/>
        <w:numPr>
          <w:ilvl w:val="0"/>
          <w:numId w:val="27"/>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Learning Community Participant Survey.</w:t>
      </w:r>
      <w:r w:rsidRPr="00160C23">
        <w:rPr>
          <w:rFonts w:ascii="Times New Roman" w:hAnsi="Times New Roman" w:cs="Times New Roman"/>
          <w:color w:val="000000" w:themeColor="text1"/>
        </w:rPr>
        <w:t xml:space="preserve"> We will conduct online surveys of </w:t>
      </w:r>
      <w:r w:rsidRPr="00160C23" w:rsidR="00BB48AE">
        <w:rPr>
          <w:rFonts w:ascii="Times New Roman" w:hAnsi="Times New Roman" w:cs="Times New Roman"/>
          <w:color w:val="000000" w:themeColor="text1"/>
        </w:rPr>
        <w:t xml:space="preserve">250 </w:t>
      </w:r>
      <w:r w:rsidRPr="00160C23" w:rsidR="00A76E0A">
        <w:rPr>
          <w:rFonts w:ascii="Times New Roman" w:hAnsi="Times New Roman" w:cs="Times New Roman"/>
          <w:color w:val="000000" w:themeColor="text1"/>
        </w:rPr>
        <w:t xml:space="preserve">currently active </w:t>
      </w:r>
      <w:r w:rsidRPr="00160C23">
        <w:rPr>
          <w:rFonts w:ascii="Times New Roman" w:hAnsi="Times New Roman" w:cs="Times New Roman"/>
          <w:color w:val="000000" w:themeColor="text1"/>
        </w:rPr>
        <w:t>Learning Community participants at two poi</w:t>
      </w:r>
      <w:r w:rsidRPr="00160C23" w:rsidR="00762222">
        <w:rPr>
          <w:rFonts w:ascii="Times New Roman" w:hAnsi="Times New Roman" w:cs="Times New Roman"/>
          <w:color w:val="000000" w:themeColor="text1"/>
        </w:rPr>
        <w:t>nts in time, in months 18 and 31</w:t>
      </w:r>
      <w:r w:rsidRPr="00160C23">
        <w:rPr>
          <w:rFonts w:ascii="Times New Roman" w:hAnsi="Times New Roman" w:cs="Times New Roman"/>
          <w:color w:val="000000" w:themeColor="text1"/>
        </w:rPr>
        <w:t xml:space="preserve"> of the project. We will administer the survey by sending a link to an online survey to email addresses entered by </w:t>
      </w:r>
      <w:r w:rsidRPr="00160C23" w:rsidR="00E74320">
        <w:rPr>
          <w:rFonts w:ascii="Times New Roman" w:hAnsi="Times New Roman" w:cs="Times New Roman"/>
          <w:color w:val="000000" w:themeColor="text1"/>
        </w:rPr>
        <w:t xml:space="preserve">virtual meeting </w:t>
      </w:r>
      <w:r w:rsidRPr="00160C23">
        <w:rPr>
          <w:rFonts w:ascii="Times New Roman" w:hAnsi="Times New Roman" w:cs="Times New Roman"/>
          <w:color w:val="000000" w:themeColor="text1"/>
        </w:rPr>
        <w:t>participants during registration. The email will describe the purpose of the survey.</w:t>
      </w:r>
      <w:r w:rsidRPr="00160C23" w:rsidDel="0080710D" w:rsidR="0080710D">
        <w:rPr>
          <w:rFonts w:ascii="Times New Roman" w:hAnsi="Times New Roman" w:cs="Times New Roman"/>
          <w:color w:val="000000" w:themeColor="text1"/>
        </w:rPr>
        <w:t xml:space="preserve"> </w:t>
      </w:r>
    </w:p>
    <w:p w:rsidRPr="00160C23" w:rsidR="0058724A" w:rsidP="0058724A" w:rsidRDefault="0058724A" w14:paraId="13DD833F" w14:textId="5A3B1951">
      <w:pPr>
        <w:pStyle w:val="ListParagraph"/>
        <w:numPr>
          <w:ilvl w:val="0"/>
          <w:numId w:val="27"/>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Learning Community Follow-up Survey</w:t>
      </w:r>
      <w:r w:rsidRPr="00160C23">
        <w:rPr>
          <w:rFonts w:ascii="Times New Roman" w:hAnsi="Times New Roman" w:cs="Times New Roman"/>
          <w:color w:val="000000" w:themeColor="text1"/>
        </w:rPr>
        <w:t xml:space="preserve">. We will </w:t>
      </w:r>
      <w:r w:rsidRPr="00160C23" w:rsidR="00872A7A">
        <w:rPr>
          <w:rFonts w:ascii="Times New Roman" w:hAnsi="Times New Roman" w:cs="Times New Roman"/>
          <w:color w:val="000000" w:themeColor="text1"/>
        </w:rPr>
        <w:t>conduct a brief</w:t>
      </w:r>
      <w:r w:rsidRPr="00160C23">
        <w:rPr>
          <w:rFonts w:ascii="Times New Roman" w:hAnsi="Times New Roman" w:cs="Times New Roman"/>
          <w:color w:val="000000" w:themeColor="text1"/>
        </w:rPr>
        <w:t xml:space="preserve"> online survey with up to 15 Learning Community </w:t>
      </w:r>
      <w:r w:rsidR="00160C23">
        <w:rPr>
          <w:rFonts w:ascii="Times New Roman" w:hAnsi="Times New Roman" w:cs="Times New Roman"/>
          <w:color w:val="000000" w:themeColor="text1"/>
        </w:rPr>
        <w:t xml:space="preserve">participants </w:t>
      </w:r>
      <w:r w:rsidRPr="00160C23" w:rsidR="00C57073">
        <w:rPr>
          <w:rFonts w:ascii="Times New Roman" w:hAnsi="Times New Roman" w:cs="Times New Roman"/>
          <w:color w:val="000000" w:themeColor="text1"/>
        </w:rPr>
        <w:t xml:space="preserve">following </w:t>
      </w:r>
      <w:r w:rsidRPr="00160C23" w:rsidR="00C17C8A">
        <w:rPr>
          <w:rFonts w:ascii="Times New Roman" w:hAnsi="Times New Roman" w:cs="Times New Roman"/>
          <w:color w:val="000000" w:themeColor="text1"/>
        </w:rPr>
        <w:t xml:space="preserve">the final virtual meeting for </w:t>
      </w:r>
      <w:r w:rsidRPr="00160C23" w:rsidR="00C57073">
        <w:rPr>
          <w:rFonts w:ascii="Times New Roman" w:hAnsi="Times New Roman" w:cs="Times New Roman"/>
          <w:color w:val="000000" w:themeColor="text1"/>
        </w:rPr>
        <w:t>each of 10 Affinity Group</w:t>
      </w:r>
      <w:r w:rsidRPr="00160C23">
        <w:rPr>
          <w:rFonts w:ascii="Times New Roman" w:hAnsi="Times New Roman" w:cs="Times New Roman"/>
          <w:color w:val="000000" w:themeColor="text1"/>
        </w:rPr>
        <w:t xml:space="preserve">, to ascertain whether the hospitals were able to act on what they learned during the session. The total </w:t>
      </w:r>
      <w:r w:rsidRPr="00160C23" w:rsidR="00B62CD1">
        <w:rPr>
          <w:rFonts w:ascii="Times New Roman" w:hAnsi="Times New Roman" w:cs="Times New Roman"/>
          <w:color w:val="000000" w:themeColor="text1"/>
        </w:rPr>
        <w:t xml:space="preserve">sample </w:t>
      </w:r>
      <w:r w:rsidRPr="00160C23">
        <w:rPr>
          <w:rFonts w:ascii="Times New Roman" w:hAnsi="Times New Roman" w:cs="Times New Roman"/>
          <w:color w:val="000000" w:themeColor="text1"/>
        </w:rPr>
        <w:t xml:space="preserve">will be 150 Learning Community </w:t>
      </w:r>
      <w:r w:rsidR="00160C23">
        <w:rPr>
          <w:rFonts w:ascii="Times New Roman" w:hAnsi="Times New Roman" w:cs="Times New Roman"/>
          <w:color w:val="000000" w:themeColor="text1"/>
        </w:rPr>
        <w:t>participants</w:t>
      </w:r>
      <w:r w:rsidRPr="00160C23">
        <w:rPr>
          <w:rFonts w:ascii="Times New Roman" w:hAnsi="Times New Roman" w:cs="Times New Roman"/>
          <w:color w:val="000000" w:themeColor="text1"/>
        </w:rPr>
        <w:t xml:space="preserve">. </w:t>
      </w:r>
    </w:p>
    <w:p w:rsidRPr="00160C23" w:rsidR="00922339" w:rsidP="00922339" w:rsidRDefault="00922339" w14:paraId="1FB77851" w14:textId="76F88FF5">
      <w:pPr>
        <w:pStyle w:val="ListParagraph"/>
        <w:tabs>
          <w:tab w:val="left" w:pos="360"/>
        </w:tabs>
        <w:spacing w:after="120"/>
        <w:rPr>
          <w:rFonts w:ascii="Times New Roman" w:hAnsi="Times New Roman" w:cs="Times New Roman"/>
          <w:color w:val="000000" w:themeColor="text1"/>
        </w:rPr>
      </w:pPr>
    </w:p>
    <w:p w:rsidRPr="00160C23" w:rsidR="00C54C1D" w:rsidP="00C54C1D" w:rsidRDefault="00C7759F" w14:paraId="05A1792F" w14:textId="43D05C04">
      <w:pPr>
        <w:tabs>
          <w:tab w:val="left" w:pos="360"/>
        </w:tabs>
        <w:spacing w:after="120"/>
        <w:rPr>
          <w:b/>
          <w:color w:val="000000" w:themeColor="text1"/>
        </w:rPr>
      </w:pPr>
      <w:r w:rsidRPr="00160C23">
        <w:rPr>
          <w:color w:val="000000" w:themeColor="text1"/>
        </w:rPr>
        <w:t xml:space="preserve">To guide their quality improvement efforts, </w:t>
      </w:r>
      <w:r w:rsidRPr="00160C23" w:rsidR="00C54C1D">
        <w:rPr>
          <w:color w:val="000000" w:themeColor="text1"/>
        </w:rPr>
        <w:t xml:space="preserve">Partner Hospitals will create hospital-specific Action Plans, which will </w:t>
      </w:r>
      <w:r w:rsidRPr="00160C23">
        <w:rPr>
          <w:color w:val="000000" w:themeColor="text1"/>
        </w:rPr>
        <w:t xml:space="preserve">indicate </w:t>
      </w:r>
      <w:r w:rsidRPr="00160C23" w:rsidR="00C54C1D">
        <w:rPr>
          <w:color w:val="000000" w:themeColor="text1"/>
        </w:rPr>
        <w:t xml:space="preserve">who is responsible for achieving </w:t>
      </w:r>
      <w:r w:rsidRPr="00160C23">
        <w:rPr>
          <w:color w:val="000000" w:themeColor="text1"/>
        </w:rPr>
        <w:t>each milestone towards implementing Automatic Referral with Care Coordination</w:t>
      </w:r>
      <w:r w:rsidR="00160C23">
        <w:rPr>
          <w:color w:val="000000" w:themeColor="text1"/>
        </w:rPr>
        <w:t xml:space="preserve"> </w:t>
      </w:r>
      <w:r w:rsidRPr="00160C23" w:rsidR="00C54C1D">
        <w:rPr>
          <w:color w:val="000000" w:themeColor="text1"/>
        </w:rPr>
        <w:t xml:space="preserve">and when it is expected to be completed. The TA Providers – not the Partner Hospital staff – will update the Action Plans </w:t>
      </w:r>
      <w:r w:rsidRPr="00160C23" w:rsidR="00532EA4">
        <w:rPr>
          <w:color w:val="000000" w:themeColor="text1"/>
        </w:rPr>
        <w:t xml:space="preserve">monthly </w:t>
      </w:r>
      <w:r w:rsidRPr="00160C23" w:rsidR="00C54C1D">
        <w:rPr>
          <w:color w:val="000000" w:themeColor="text1"/>
        </w:rPr>
        <w:t xml:space="preserve">to track progress. The TA Providers will also supply qualitative assessments of the hospital’s situation in the Action Plans. </w:t>
      </w:r>
    </w:p>
    <w:p w:rsidRPr="00160C23" w:rsidR="00C54C1D" w:rsidP="00C54C1D" w:rsidRDefault="00C54C1D" w14:paraId="52DD0F51" w14:textId="305D7F0D">
      <w:pPr>
        <w:tabs>
          <w:tab w:val="left" w:pos="360"/>
        </w:tabs>
        <w:spacing w:after="120"/>
      </w:pPr>
      <w:r w:rsidRPr="00160C23">
        <w:rPr>
          <w:color w:val="000000" w:themeColor="text1"/>
        </w:rPr>
        <w:t xml:space="preserve">Some Partner Hospitals will have the technology and personnel in place to collect data on referrals to cardiac rehabilitation before fully implementing </w:t>
      </w:r>
      <w:r w:rsidRPr="00160C23" w:rsidR="00B318DA">
        <w:rPr>
          <w:color w:val="000000" w:themeColor="text1"/>
        </w:rPr>
        <w:t>Automatic Referral with Care Coordination</w:t>
      </w:r>
      <w:r w:rsidRPr="00160C23">
        <w:rPr>
          <w:color w:val="000000" w:themeColor="text1"/>
        </w:rPr>
        <w:t xml:space="preserve">. </w:t>
      </w:r>
      <w:r w:rsidRPr="00160C23" w:rsidR="00751CDB">
        <w:rPr>
          <w:color w:val="000000" w:themeColor="text1"/>
        </w:rPr>
        <w:t xml:space="preserve">However, they need to start collecting the data in order to understand whether their quality improvement initiative is having the intended effect. To help them start </w:t>
      </w:r>
      <w:r w:rsidRPr="00160C23" w:rsidR="00C17C8A">
        <w:rPr>
          <w:color w:val="000000" w:themeColor="text1"/>
        </w:rPr>
        <w:t>monitoring progress</w:t>
      </w:r>
      <w:r w:rsidRPr="00160C23" w:rsidR="00751CDB">
        <w:rPr>
          <w:color w:val="000000" w:themeColor="text1"/>
        </w:rPr>
        <w:t>, w</w:t>
      </w:r>
      <w:r w:rsidRPr="00160C23">
        <w:rPr>
          <w:color w:val="000000" w:themeColor="text1"/>
        </w:rPr>
        <w:t xml:space="preserve">e will provide </w:t>
      </w:r>
      <w:r w:rsidRPr="00160C23" w:rsidR="00751CDB">
        <w:rPr>
          <w:color w:val="000000" w:themeColor="text1"/>
        </w:rPr>
        <w:t xml:space="preserve">interested </w:t>
      </w:r>
      <w:r w:rsidRPr="00160C23">
        <w:rPr>
          <w:color w:val="000000" w:themeColor="text1"/>
        </w:rPr>
        <w:t>hospital</w:t>
      </w:r>
      <w:r w:rsidRPr="00160C23" w:rsidR="00751CDB">
        <w:rPr>
          <w:color w:val="000000" w:themeColor="text1"/>
        </w:rPr>
        <w:t>s</w:t>
      </w:r>
      <w:r w:rsidRPr="00160C23">
        <w:rPr>
          <w:color w:val="000000" w:themeColor="text1"/>
        </w:rPr>
        <w:t xml:space="preserve"> with a user-friendly Microsoft Excel template which the Care Coordinator can use to facilitate their work follow referral </w:t>
      </w:r>
      <w:r w:rsidRPr="00160C23" w:rsidR="00C17C8A">
        <w:rPr>
          <w:color w:val="000000" w:themeColor="text1"/>
        </w:rPr>
        <w:t xml:space="preserve">to, </w:t>
      </w:r>
      <w:r w:rsidRPr="00160C23">
        <w:rPr>
          <w:color w:val="000000" w:themeColor="text1"/>
        </w:rPr>
        <w:t>and use of</w:t>
      </w:r>
      <w:r w:rsidRPr="00160C23" w:rsidR="00C17C8A">
        <w:rPr>
          <w:color w:val="000000" w:themeColor="text1"/>
        </w:rPr>
        <w:t>,</w:t>
      </w:r>
      <w:r w:rsidRPr="00160C23">
        <w:rPr>
          <w:color w:val="000000" w:themeColor="text1"/>
        </w:rPr>
        <w:t xml:space="preserve"> CR</w:t>
      </w:r>
      <w:r w:rsidRPr="00160C23" w:rsidR="00751CDB">
        <w:rPr>
          <w:color w:val="000000" w:themeColor="text1"/>
        </w:rPr>
        <w:t xml:space="preserve">. The tool can also be used </w:t>
      </w:r>
      <w:r w:rsidRPr="00160C23">
        <w:rPr>
          <w:color w:val="000000" w:themeColor="text1"/>
        </w:rPr>
        <w:t>to submit data</w:t>
      </w:r>
      <w:r w:rsidRPr="00160C23" w:rsidR="00751CDB">
        <w:rPr>
          <w:color w:val="000000" w:themeColor="text1"/>
        </w:rPr>
        <w:t>, rather than creating a second process</w:t>
      </w:r>
      <w:r w:rsidRPr="00160C23" w:rsidR="00C17C8A">
        <w:rPr>
          <w:color w:val="000000" w:themeColor="text1"/>
        </w:rPr>
        <w:t xml:space="preserve"> to do so</w:t>
      </w:r>
      <w:r w:rsidRPr="00160C23">
        <w:rPr>
          <w:color w:val="000000" w:themeColor="text1"/>
        </w:rPr>
        <w:t>. If they do submit data</w:t>
      </w:r>
      <w:r w:rsidRPr="00160C23" w:rsidR="00751CDB">
        <w:rPr>
          <w:color w:val="000000" w:themeColor="text1"/>
        </w:rPr>
        <w:t xml:space="preserve"> (regardless of whether they use the template)</w:t>
      </w:r>
      <w:r w:rsidRPr="00160C23">
        <w:rPr>
          <w:color w:val="000000" w:themeColor="text1"/>
        </w:rPr>
        <w:t>, we will produce hospital-specific charts to show their progress</w:t>
      </w:r>
      <w:r w:rsidRPr="00160C23" w:rsidR="00751CDB">
        <w:rPr>
          <w:color w:val="000000" w:themeColor="text1"/>
        </w:rPr>
        <w:t xml:space="preserve"> towards improving </w:t>
      </w:r>
      <w:r w:rsidRPr="00160C23" w:rsidR="00C17C8A">
        <w:rPr>
          <w:color w:val="000000" w:themeColor="text1"/>
        </w:rPr>
        <w:t>utilization of CR</w:t>
      </w:r>
      <w:r w:rsidRPr="00160C23">
        <w:rPr>
          <w:color w:val="000000" w:themeColor="text1"/>
        </w:rPr>
        <w:t xml:space="preserve">. Templates will be customized to meet the needs of hospitals which plan to track only referral, those which plan to follow patients through completion of their prescribed rehabilitation (up to 36 sessions), and those which would like to track referring providers and CR facilities referred to. The templates will also </w:t>
      </w:r>
      <w:r w:rsidRPr="00160C23" w:rsidR="00751CDB">
        <w:rPr>
          <w:color w:val="000000" w:themeColor="text1"/>
        </w:rPr>
        <w:t xml:space="preserve">minimize reporting burden </w:t>
      </w:r>
      <w:r w:rsidRPr="00160C23">
        <w:rPr>
          <w:color w:val="000000" w:themeColor="text1"/>
        </w:rPr>
        <w:t xml:space="preserve">by including functions such as drop-down boxes, field validation, and field protection. </w:t>
      </w:r>
    </w:p>
    <w:p w:rsidRPr="00160C23" w:rsidR="00C54C1D" w:rsidP="006014DB" w:rsidRDefault="00C54C1D" w14:paraId="6B0AA09C" w14:textId="77777777"/>
    <w:p w:rsidRPr="00160C23" w:rsidR="00527BBD" w:rsidP="006014DB" w:rsidRDefault="00527BBD" w14:paraId="59CB6C60" w14:textId="77E754D7">
      <w:r w:rsidRPr="00160C23">
        <w:t xml:space="preserve">This study is being conducted by AHRQ through its contractor, </w:t>
      </w:r>
      <w:r w:rsidRPr="00160C23" w:rsidR="00650CFA">
        <w:rPr>
          <w:rStyle w:val="CommentReference"/>
          <w:sz w:val="24"/>
          <w:szCs w:val="24"/>
        </w:rPr>
        <w:t>Abt Associates Inc.</w:t>
      </w:r>
      <w:r w:rsidRPr="00160C23">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160C23" w:rsidR="00DA2C55" w:rsidP="006014DB" w:rsidRDefault="00DA2C55" w14:paraId="56BC273C" w14:textId="77777777"/>
    <w:p w:rsidRPr="00160C23" w:rsidR="00DA2C55" w:rsidP="00DA2C55" w:rsidRDefault="00A01E41" w14:paraId="4C756E06" w14:textId="253AA38F">
      <w:pPr>
        <w:pStyle w:val="BodyText"/>
        <w:rPr>
          <w:u w:val="single"/>
        </w:rPr>
      </w:pPr>
      <w:r w:rsidRPr="00160C23">
        <w:rPr>
          <w:b/>
          <w:color w:val="000000"/>
        </w:rPr>
        <w:t>Analysis Plan</w:t>
      </w:r>
      <w:r w:rsidRPr="00160C23" w:rsidR="00DA2C55">
        <w:rPr>
          <w:b/>
          <w:color w:val="000000"/>
        </w:rPr>
        <w:br/>
      </w:r>
      <w:r w:rsidRPr="00160C23" w:rsidR="00DA2C55">
        <w:rPr>
          <w:u w:val="single"/>
        </w:rPr>
        <w:t>Quantitative analysis</w:t>
      </w:r>
    </w:p>
    <w:p w:rsidRPr="00160C23" w:rsidR="00DA2C55" w:rsidP="00DA2C55" w:rsidRDefault="00DA2C55" w14:paraId="45C1F1D1" w14:textId="050DF126">
      <w:r w:rsidRPr="00160C23">
        <w:t xml:space="preserve">We will first produce descriptive statistics of survey data to explore which Dissemination &amp; Implementation were achieved. When each cohort’s implementation period is completed, we will use combined data on Partner Hospitals to assess which hospital, CR program, or CR facility characteristics are associated with greater or lesser success in implementing </w:t>
      </w:r>
      <w:r w:rsidRPr="00160C23" w:rsidR="00B318DA">
        <w:t>Automatic Referral with Care Coordination</w:t>
      </w:r>
      <w:r w:rsidRPr="00160C23">
        <w:t xml:space="preserve">. (a) Within each category (e.g., hospital), univariate analysis will identify individual characteristics that are correlated with </w:t>
      </w:r>
      <w:r w:rsidRPr="00160C23" w:rsidR="0080710D">
        <w:t>implementation of Automatic Referral with Care Coordination</w:t>
      </w:r>
      <w:r w:rsidRPr="00160C23">
        <w:t>. (b) Across categories, multivariate analysis will identify characteristics independently associated with success after adjusting for other included factors. (c) We will perform exploratory factor analysis to identify factors, or sets of characteristics, which – in combination – have a strong influence on outcomes in either direction. For example, in a recent study of the experiences of primary care physicians and staff following lean workflow redesign, three influential factors were identified: personal motivation, work satisfaction, and ownership.</w:t>
      </w:r>
      <w:r w:rsidRPr="00160C23">
        <w:rPr>
          <w:rStyle w:val="FootnoteReference"/>
        </w:rPr>
        <w:footnoteReference w:id="1"/>
      </w:r>
      <w:r w:rsidRPr="00160C23">
        <w:t xml:space="preserve"> With a maximum of </w:t>
      </w:r>
      <w:r w:rsidRPr="00160C23" w:rsidR="00996C3B">
        <w:t>125</w:t>
      </w:r>
      <w:r w:rsidRPr="00160C23">
        <w:t xml:space="preserve"> hospitals, we will have to keep the factors to a minimum, which is why we hope to create sets of characteristics. (d) Finally, we will determine whether any of the individual or sets of characteristics seem necessary but not sufficient, meaning that without them success is not found in any hospital, using Qualitative Comparative Analysis.</w:t>
      </w:r>
      <w:r w:rsidRPr="00160C23">
        <w:rPr>
          <w:rStyle w:val="FootnoteReference"/>
        </w:rPr>
        <w:footnoteReference w:id="2"/>
      </w:r>
      <w:r w:rsidRPr="00160C23" w:rsidDel="00400D71">
        <w:t xml:space="preserve"> </w:t>
      </w:r>
    </w:p>
    <w:p w:rsidRPr="00160C23" w:rsidR="00DA2C55" w:rsidP="00DA2C55" w:rsidRDefault="00DA2C55" w14:paraId="3C66B5C5" w14:textId="77777777">
      <w:pPr>
        <w:rPr>
          <w:u w:val="single"/>
        </w:rPr>
      </w:pPr>
    </w:p>
    <w:p w:rsidRPr="00160C23" w:rsidR="00DA2C55" w:rsidP="00DA2C55" w:rsidRDefault="00DA2C55" w14:paraId="4B580E0C" w14:textId="77777777">
      <w:pPr>
        <w:rPr>
          <w:u w:val="single"/>
        </w:rPr>
      </w:pPr>
      <w:r w:rsidRPr="00160C23">
        <w:rPr>
          <w:u w:val="single"/>
        </w:rPr>
        <w:t>Qualitative analysis</w:t>
      </w:r>
    </w:p>
    <w:p w:rsidRPr="00160C23" w:rsidR="00DA2C55" w:rsidP="00DA2C55" w:rsidRDefault="00DA2C55" w14:paraId="0C1FC724" w14:textId="3B228E2A">
      <w:r w:rsidRPr="00160C23">
        <w:t xml:space="preserve">Semi-structured interview guides will ensure that topics of interest are covered. A coding scheme will be developed inductively and deductively. Data will be analyzed by aggregating at the theme level. Results for Partner Hospitals and the Learning Community will be compared across cohorts and over time, respectively, to understand the interaction of opinions and experiences with maturity of the implementation. </w:t>
      </w:r>
    </w:p>
    <w:p w:rsidRPr="00160C23" w:rsidR="00DA2C55" w:rsidP="00DA2C55" w:rsidRDefault="00DA2C55" w14:paraId="3A276F51" w14:textId="77777777"/>
    <w:p w:rsidRPr="00160C23" w:rsidR="00DA2C55" w:rsidP="00DA2C55" w:rsidRDefault="00FB6C9B" w14:paraId="370EF95D" w14:textId="2551C591">
      <w:pPr>
        <w:pStyle w:val="Tableheaderrow-black"/>
        <w:rPr>
          <w:rFonts w:ascii="Times New Roman" w:hAnsi="Times New Roman"/>
          <w:color w:val="000000" w:themeColor="text1"/>
          <w:sz w:val="24"/>
        </w:rPr>
      </w:pPr>
      <w:r w:rsidRPr="00160C23">
        <w:rPr>
          <w:rFonts w:ascii="Times New Roman" w:hAnsi="Times New Roman"/>
          <w:color w:val="000000" w:themeColor="text1"/>
          <w:sz w:val="24"/>
        </w:rPr>
        <w:t xml:space="preserve">Exhibit 1. </w:t>
      </w:r>
      <w:r w:rsidRPr="00160C23" w:rsidR="00DA2C55">
        <w:rPr>
          <w:rFonts w:ascii="Times New Roman" w:hAnsi="Times New Roman"/>
          <w:color w:val="000000" w:themeColor="text1"/>
          <w:sz w:val="24"/>
        </w:rPr>
        <w:t xml:space="preserve">Report analyses </w:t>
      </w:r>
    </w:p>
    <w:tbl>
      <w:tblPr>
        <w:tblStyle w:val="TableGrid"/>
        <w:tblW w:w="8995" w:type="dxa"/>
        <w:tblLayout w:type="fixed"/>
        <w:tblLook w:val="04A0" w:firstRow="1" w:lastRow="0" w:firstColumn="1" w:lastColumn="0" w:noHBand="0" w:noVBand="1"/>
      </w:tblPr>
      <w:tblGrid>
        <w:gridCol w:w="3325"/>
        <w:gridCol w:w="4500"/>
        <w:gridCol w:w="1170"/>
      </w:tblGrid>
      <w:tr w:rsidRPr="00160C23" w:rsidR="00DA2C55" w:rsidTr="00762CE3" w14:paraId="4318801E" w14:textId="77777777">
        <w:trPr>
          <w:cantSplit/>
          <w:tblHeader/>
        </w:trPr>
        <w:tc>
          <w:tcPr>
            <w:tcW w:w="3325" w:type="dxa"/>
            <w:shd w:val="clear" w:color="auto" w:fill="auto"/>
          </w:tcPr>
          <w:p w:rsidRPr="00160C23" w:rsidR="00DA2C55" w:rsidP="000B0A7A" w:rsidRDefault="00DA2C55" w14:paraId="548136FB" w14:textId="3FEA18F5">
            <w:pPr>
              <w:pStyle w:val="Tableheaderrow-white"/>
              <w:rPr>
                <w:rFonts w:ascii="Times New Roman" w:hAnsi="Times New Roman"/>
                <w:color w:val="000000" w:themeColor="text1"/>
                <w:sz w:val="24"/>
              </w:rPr>
            </w:pPr>
            <w:r w:rsidRPr="00160C23">
              <w:rPr>
                <w:rFonts w:ascii="Times New Roman" w:hAnsi="Times New Roman"/>
                <w:color w:val="000000" w:themeColor="text1"/>
                <w:sz w:val="24"/>
              </w:rPr>
              <w:t xml:space="preserve">Report </w:t>
            </w:r>
          </w:p>
        </w:tc>
        <w:tc>
          <w:tcPr>
            <w:tcW w:w="4500" w:type="dxa"/>
            <w:shd w:val="clear" w:color="auto" w:fill="auto"/>
          </w:tcPr>
          <w:p w:rsidRPr="00160C23" w:rsidR="00DA2C55" w:rsidP="00566187" w:rsidRDefault="00DA2C55" w14:paraId="7C271EFC" w14:textId="77777777">
            <w:pPr>
              <w:pStyle w:val="Tableheaderrow-white"/>
              <w:rPr>
                <w:rFonts w:ascii="Times New Roman" w:hAnsi="Times New Roman"/>
                <w:color w:val="000000" w:themeColor="text1"/>
                <w:sz w:val="24"/>
              </w:rPr>
            </w:pPr>
            <w:r w:rsidRPr="00160C23">
              <w:rPr>
                <w:rFonts w:ascii="Times New Roman" w:hAnsi="Times New Roman"/>
                <w:color w:val="000000" w:themeColor="text1"/>
                <w:sz w:val="24"/>
              </w:rPr>
              <w:t>Data sources</w:t>
            </w:r>
          </w:p>
        </w:tc>
        <w:tc>
          <w:tcPr>
            <w:tcW w:w="1170" w:type="dxa"/>
            <w:shd w:val="clear" w:color="auto" w:fill="auto"/>
          </w:tcPr>
          <w:p w:rsidRPr="00160C23" w:rsidR="00DA2C55" w:rsidP="00566187" w:rsidRDefault="00DA2C55" w14:paraId="03DCA7A8" w14:textId="77777777">
            <w:pPr>
              <w:pStyle w:val="Tableheaderrow-white"/>
              <w:rPr>
                <w:rFonts w:ascii="Times New Roman" w:hAnsi="Times New Roman"/>
                <w:color w:val="000000" w:themeColor="text1"/>
                <w:sz w:val="24"/>
              </w:rPr>
            </w:pPr>
            <w:r w:rsidRPr="00160C23">
              <w:rPr>
                <w:rFonts w:ascii="Times New Roman" w:hAnsi="Times New Roman"/>
                <w:color w:val="000000" w:themeColor="text1"/>
                <w:sz w:val="24"/>
              </w:rPr>
              <w:t>Analyses</w:t>
            </w:r>
          </w:p>
        </w:tc>
      </w:tr>
      <w:tr w:rsidRPr="00160C23" w:rsidR="00DA2C55" w:rsidTr="00762CE3" w14:paraId="393FA1BE" w14:textId="77777777">
        <w:tc>
          <w:tcPr>
            <w:tcW w:w="3325" w:type="dxa"/>
          </w:tcPr>
          <w:p w:rsidRPr="00160C23" w:rsidR="00DA2C55" w:rsidP="00566187" w:rsidRDefault="00DA2C55" w14:paraId="1DF7DF8F" w14:textId="25B14BB8">
            <w:pPr>
              <w:pStyle w:val="Tabletext"/>
              <w:rPr>
                <w:rFonts w:ascii="Times New Roman" w:hAnsi="Times New Roman"/>
                <w:sz w:val="24"/>
              </w:rPr>
            </w:pPr>
            <w:r w:rsidRPr="00160C23">
              <w:rPr>
                <w:rFonts w:ascii="Times New Roman" w:hAnsi="Times New Roman"/>
                <w:sz w:val="24"/>
              </w:rPr>
              <w:t>Memorandum on Webinar and website statistics</w:t>
            </w:r>
          </w:p>
        </w:tc>
        <w:tc>
          <w:tcPr>
            <w:tcW w:w="4500" w:type="dxa"/>
          </w:tcPr>
          <w:p w:rsidRPr="00160C23" w:rsidR="00DA2C55" w:rsidP="00566187" w:rsidRDefault="00DA2C55" w14:paraId="49483090" w14:textId="2B8EF09C">
            <w:pPr>
              <w:pStyle w:val="Tabletext"/>
              <w:rPr>
                <w:rFonts w:ascii="Times New Roman" w:hAnsi="Times New Roman"/>
                <w:sz w:val="24"/>
              </w:rPr>
            </w:pPr>
            <w:r w:rsidRPr="00160C23">
              <w:rPr>
                <w:rFonts w:ascii="Times New Roman" w:hAnsi="Times New Roman"/>
                <w:sz w:val="24"/>
              </w:rPr>
              <w:t>Website and webinar statistics (secondary data)</w:t>
            </w:r>
          </w:p>
        </w:tc>
        <w:tc>
          <w:tcPr>
            <w:tcW w:w="1170" w:type="dxa"/>
            <w:vAlign w:val="center"/>
          </w:tcPr>
          <w:p w:rsidRPr="00160C23" w:rsidR="00DA2C55" w:rsidP="00566187" w:rsidRDefault="00DA2C55" w14:paraId="717BE651" w14:textId="00D2A19F">
            <w:pPr>
              <w:pStyle w:val="Tabletext"/>
              <w:rPr>
                <w:rFonts w:ascii="Times New Roman" w:hAnsi="Times New Roman"/>
                <w:sz w:val="24"/>
              </w:rPr>
            </w:pPr>
            <w:r w:rsidRPr="00160C23">
              <w:rPr>
                <w:rFonts w:ascii="Times New Roman" w:hAnsi="Times New Roman"/>
                <w:sz w:val="24"/>
              </w:rPr>
              <w:t>DS</w:t>
            </w:r>
          </w:p>
        </w:tc>
      </w:tr>
      <w:tr w:rsidRPr="00160C23" w:rsidR="00DA2C55" w:rsidTr="00762CE3" w14:paraId="2086101E" w14:textId="77777777">
        <w:tc>
          <w:tcPr>
            <w:tcW w:w="3325" w:type="dxa"/>
          </w:tcPr>
          <w:p w:rsidRPr="00160C23" w:rsidR="00DA2C55" w:rsidP="000A6E87" w:rsidRDefault="00DA2C55" w14:paraId="592CDAA7" w14:textId="12CC3D75">
            <w:pPr>
              <w:pStyle w:val="Tabletext"/>
              <w:rPr>
                <w:rFonts w:ascii="Times New Roman" w:hAnsi="Times New Roman"/>
                <w:sz w:val="24"/>
              </w:rPr>
            </w:pPr>
            <w:r w:rsidRPr="00160C23">
              <w:rPr>
                <w:rFonts w:ascii="Times New Roman" w:hAnsi="Times New Roman"/>
                <w:sz w:val="24"/>
              </w:rPr>
              <w:t xml:space="preserve">Memorandum Partner Hospitals </w:t>
            </w:r>
            <w:r w:rsidRPr="00160C23" w:rsidR="000A6E87">
              <w:rPr>
                <w:rFonts w:ascii="Times New Roman" w:hAnsi="Times New Roman"/>
                <w:sz w:val="24"/>
              </w:rPr>
              <w:t xml:space="preserve">that </w:t>
            </w:r>
            <w:r w:rsidRPr="00160C23">
              <w:rPr>
                <w:rFonts w:ascii="Times New Roman" w:hAnsi="Times New Roman"/>
                <w:sz w:val="24"/>
              </w:rPr>
              <w:t xml:space="preserve">withdraw </w:t>
            </w:r>
          </w:p>
        </w:tc>
        <w:tc>
          <w:tcPr>
            <w:tcW w:w="4500" w:type="dxa"/>
          </w:tcPr>
          <w:p w:rsidRPr="00160C23" w:rsidR="00DA2C55" w:rsidP="00566187" w:rsidRDefault="00DA2C55" w14:paraId="28CD1056" w14:textId="77777777">
            <w:pPr>
              <w:pStyle w:val="Tabletext"/>
              <w:rPr>
                <w:rFonts w:ascii="Times New Roman" w:hAnsi="Times New Roman"/>
                <w:sz w:val="24"/>
              </w:rPr>
            </w:pPr>
            <w:r w:rsidRPr="00160C23">
              <w:rPr>
                <w:rFonts w:ascii="Times New Roman" w:hAnsi="Times New Roman"/>
                <w:sz w:val="24"/>
              </w:rPr>
              <w:t>Interviews with Partner Hospitals that withdraw</w:t>
            </w:r>
          </w:p>
        </w:tc>
        <w:tc>
          <w:tcPr>
            <w:tcW w:w="1170" w:type="dxa"/>
            <w:vAlign w:val="center"/>
          </w:tcPr>
          <w:p w:rsidRPr="00160C23" w:rsidR="00DA2C55" w:rsidP="00566187" w:rsidRDefault="00DA2C55" w14:paraId="5DF87AA6" w14:textId="77777777">
            <w:pPr>
              <w:pStyle w:val="Tabletext"/>
              <w:rPr>
                <w:rFonts w:ascii="Times New Roman" w:hAnsi="Times New Roman"/>
                <w:sz w:val="24"/>
              </w:rPr>
            </w:pPr>
            <w:r w:rsidRPr="00160C23">
              <w:rPr>
                <w:rFonts w:ascii="Times New Roman" w:hAnsi="Times New Roman"/>
                <w:sz w:val="24"/>
              </w:rPr>
              <w:t>DS, MM</w:t>
            </w:r>
          </w:p>
        </w:tc>
      </w:tr>
      <w:tr w:rsidRPr="00160C23" w:rsidR="00DA2C55" w:rsidTr="00762CE3" w14:paraId="0B13B28A" w14:textId="77777777">
        <w:tc>
          <w:tcPr>
            <w:tcW w:w="3325" w:type="dxa"/>
          </w:tcPr>
          <w:p w:rsidRPr="00160C23" w:rsidR="00DA2C55" w:rsidP="000A6E87" w:rsidRDefault="00C17C8A" w14:paraId="52251242" w14:textId="015A5717">
            <w:pPr>
              <w:pStyle w:val="Tabletext"/>
              <w:rPr>
                <w:rFonts w:ascii="Times New Roman" w:hAnsi="Times New Roman"/>
                <w:sz w:val="24"/>
              </w:rPr>
            </w:pPr>
            <w:r w:rsidRPr="00160C23">
              <w:rPr>
                <w:rFonts w:ascii="Times New Roman" w:hAnsi="Times New Roman"/>
                <w:sz w:val="24"/>
              </w:rPr>
              <w:t xml:space="preserve">Memorandum on </w:t>
            </w:r>
            <w:r w:rsidRPr="00160C23" w:rsidR="00DA2C55">
              <w:rPr>
                <w:rFonts w:ascii="Times New Roman" w:hAnsi="Times New Roman"/>
                <w:sz w:val="24"/>
              </w:rPr>
              <w:t>Partner Hospital</w:t>
            </w:r>
            <w:r w:rsidRPr="00160C23">
              <w:rPr>
                <w:rFonts w:ascii="Times New Roman" w:hAnsi="Times New Roman"/>
                <w:sz w:val="24"/>
              </w:rPr>
              <w:t>s</w:t>
            </w:r>
            <w:r w:rsidRPr="00160C23" w:rsidR="00DA2C55">
              <w:rPr>
                <w:rFonts w:ascii="Times New Roman" w:hAnsi="Times New Roman"/>
                <w:sz w:val="24"/>
              </w:rPr>
              <w:t xml:space="preserve"> </w:t>
            </w:r>
          </w:p>
        </w:tc>
        <w:tc>
          <w:tcPr>
            <w:tcW w:w="4500" w:type="dxa"/>
          </w:tcPr>
          <w:p w:rsidRPr="00160C23" w:rsidR="00DA2C55" w:rsidP="004C082F" w:rsidRDefault="00DA2C55" w14:paraId="733A5321" w14:textId="447CED94">
            <w:pPr>
              <w:pStyle w:val="Tabletext"/>
              <w:rPr>
                <w:rFonts w:ascii="Times New Roman" w:hAnsi="Times New Roman"/>
                <w:sz w:val="24"/>
              </w:rPr>
            </w:pPr>
            <w:r w:rsidRPr="00160C23">
              <w:rPr>
                <w:rFonts w:ascii="Times New Roman" w:hAnsi="Times New Roman"/>
                <w:sz w:val="24"/>
              </w:rPr>
              <w:t xml:space="preserve">Partner Hospital Champion Survey; </w:t>
            </w:r>
            <w:r w:rsidRPr="00160C23" w:rsidR="004C082F">
              <w:rPr>
                <w:rFonts w:ascii="Times New Roman" w:hAnsi="Times New Roman"/>
                <w:sz w:val="24"/>
              </w:rPr>
              <w:t xml:space="preserve">Key Informant </w:t>
            </w:r>
            <w:r w:rsidRPr="00160C23">
              <w:rPr>
                <w:rFonts w:ascii="Times New Roman" w:hAnsi="Times New Roman"/>
                <w:sz w:val="24"/>
              </w:rPr>
              <w:t>Interviews with Partner Hospital Champions; Interviews with Partner Hospital cardiologists; Interviews with Partner Hospitals that withdraw</w:t>
            </w:r>
          </w:p>
        </w:tc>
        <w:tc>
          <w:tcPr>
            <w:tcW w:w="1170" w:type="dxa"/>
            <w:vAlign w:val="center"/>
          </w:tcPr>
          <w:p w:rsidRPr="00160C23" w:rsidR="00DA2C55" w:rsidP="00566187" w:rsidRDefault="00DA2C55" w14:paraId="1F93FB12" w14:textId="77777777">
            <w:pPr>
              <w:pStyle w:val="Tabletext"/>
              <w:rPr>
                <w:rFonts w:ascii="Times New Roman" w:hAnsi="Times New Roman"/>
                <w:sz w:val="24"/>
              </w:rPr>
            </w:pPr>
            <w:r w:rsidRPr="00160C23">
              <w:rPr>
                <w:rFonts w:ascii="Times New Roman" w:hAnsi="Times New Roman"/>
                <w:sz w:val="24"/>
              </w:rPr>
              <w:t>DS, MM, QA, MV</w:t>
            </w:r>
          </w:p>
        </w:tc>
      </w:tr>
      <w:tr w:rsidRPr="00160C23" w:rsidR="00DA2C55" w:rsidTr="00762CE3" w14:paraId="42510A7F" w14:textId="77777777">
        <w:tc>
          <w:tcPr>
            <w:tcW w:w="3325" w:type="dxa"/>
          </w:tcPr>
          <w:p w:rsidRPr="00160C23" w:rsidR="00DA2C55" w:rsidP="00566187" w:rsidRDefault="00DA2C55" w14:paraId="0DB5192D" w14:textId="77777777">
            <w:pPr>
              <w:pStyle w:val="Tabletext"/>
              <w:rPr>
                <w:rFonts w:ascii="Times New Roman" w:hAnsi="Times New Roman"/>
                <w:sz w:val="24"/>
              </w:rPr>
            </w:pPr>
            <w:r w:rsidRPr="00160C23">
              <w:rPr>
                <w:rFonts w:ascii="Times New Roman" w:hAnsi="Times New Roman"/>
                <w:sz w:val="24"/>
              </w:rPr>
              <w:t xml:space="preserve">Individualized feedback reports to each reporting hospital </w:t>
            </w:r>
          </w:p>
        </w:tc>
        <w:tc>
          <w:tcPr>
            <w:tcW w:w="4500" w:type="dxa"/>
          </w:tcPr>
          <w:p w:rsidRPr="00160C23" w:rsidR="00DA2C55" w:rsidP="00566187" w:rsidRDefault="00DA2C55" w14:paraId="779379EF" w14:textId="77777777">
            <w:pPr>
              <w:pStyle w:val="Tabletext"/>
              <w:rPr>
                <w:rFonts w:ascii="Times New Roman" w:hAnsi="Times New Roman"/>
                <w:sz w:val="24"/>
              </w:rPr>
            </w:pPr>
            <w:r w:rsidRPr="00160C23">
              <w:rPr>
                <w:rFonts w:ascii="Times New Roman" w:hAnsi="Times New Roman" w:cs="Times New Roman"/>
                <w:sz w:val="24"/>
              </w:rPr>
              <w:t>Partner Hospital-submitted intervention data</w:t>
            </w:r>
          </w:p>
        </w:tc>
        <w:tc>
          <w:tcPr>
            <w:tcW w:w="1170" w:type="dxa"/>
            <w:vAlign w:val="center"/>
          </w:tcPr>
          <w:p w:rsidRPr="00160C23" w:rsidR="00DA2C55" w:rsidP="00566187" w:rsidRDefault="00DA2C55" w14:paraId="6FB9B491" w14:textId="77777777">
            <w:pPr>
              <w:pStyle w:val="Tabletext"/>
              <w:rPr>
                <w:rFonts w:ascii="Times New Roman" w:hAnsi="Times New Roman"/>
                <w:sz w:val="24"/>
              </w:rPr>
            </w:pPr>
            <w:r w:rsidRPr="00160C23">
              <w:rPr>
                <w:rFonts w:ascii="Times New Roman" w:hAnsi="Times New Roman"/>
                <w:sz w:val="24"/>
              </w:rPr>
              <w:t>DS</w:t>
            </w:r>
          </w:p>
        </w:tc>
      </w:tr>
      <w:tr w:rsidRPr="00160C23" w:rsidR="00DA2C55" w:rsidTr="00762CE3" w14:paraId="4502873A" w14:textId="77777777">
        <w:tc>
          <w:tcPr>
            <w:tcW w:w="3325" w:type="dxa"/>
          </w:tcPr>
          <w:p w:rsidRPr="00160C23" w:rsidR="00DA2C55" w:rsidP="000A6E87" w:rsidRDefault="00C17C8A" w14:paraId="3A0C92AA" w14:textId="01CBC901">
            <w:pPr>
              <w:pStyle w:val="Tabletext"/>
              <w:rPr>
                <w:rFonts w:ascii="Times New Roman" w:hAnsi="Times New Roman"/>
                <w:sz w:val="24"/>
              </w:rPr>
            </w:pPr>
            <w:r w:rsidRPr="00160C23">
              <w:rPr>
                <w:rFonts w:ascii="Times New Roman" w:hAnsi="Times New Roman"/>
                <w:sz w:val="24"/>
              </w:rPr>
              <w:t xml:space="preserve">Memorandum on the </w:t>
            </w:r>
            <w:r w:rsidRPr="00160C23" w:rsidR="00DA2C55">
              <w:rPr>
                <w:rFonts w:ascii="Times New Roman" w:hAnsi="Times New Roman"/>
                <w:sz w:val="24"/>
              </w:rPr>
              <w:t xml:space="preserve">Learning Community </w:t>
            </w:r>
          </w:p>
        </w:tc>
        <w:tc>
          <w:tcPr>
            <w:tcW w:w="4500" w:type="dxa"/>
          </w:tcPr>
          <w:p w:rsidRPr="00160C23" w:rsidR="00DA2C55" w:rsidP="00566187" w:rsidRDefault="00DA2C55" w14:paraId="0F634626" w14:textId="77777777">
            <w:pPr>
              <w:pStyle w:val="Tabletext"/>
              <w:rPr>
                <w:rFonts w:ascii="Times New Roman" w:hAnsi="Times New Roman"/>
                <w:sz w:val="24"/>
              </w:rPr>
            </w:pPr>
            <w:r w:rsidRPr="00160C23">
              <w:rPr>
                <w:rFonts w:ascii="Times New Roman" w:hAnsi="Times New Roman"/>
                <w:sz w:val="24"/>
              </w:rPr>
              <w:t>Learning Community Participant Survey</w:t>
            </w:r>
          </w:p>
        </w:tc>
        <w:tc>
          <w:tcPr>
            <w:tcW w:w="1170" w:type="dxa"/>
            <w:vAlign w:val="center"/>
          </w:tcPr>
          <w:p w:rsidRPr="00160C23" w:rsidR="00DA2C55" w:rsidP="00566187" w:rsidRDefault="00DA2C55" w14:paraId="6E86D0BB" w14:textId="77777777">
            <w:pPr>
              <w:pStyle w:val="Tabletext"/>
              <w:rPr>
                <w:rFonts w:ascii="Times New Roman" w:hAnsi="Times New Roman"/>
                <w:sz w:val="24"/>
              </w:rPr>
            </w:pPr>
            <w:r w:rsidRPr="00160C23">
              <w:rPr>
                <w:rFonts w:ascii="Times New Roman" w:hAnsi="Times New Roman"/>
                <w:sz w:val="24"/>
              </w:rPr>
              <w:t>DS</w:t>
            </w:r>
          </w:p>
        </w:tc>
      </w:tr>
      <w:tr w:rsidRPr="00160C23" w:rsidR="00DA2C55" w:rsidTr="00762CE3" w14:paraId="78B18BD7" w14:textId="77777777">
        <w:tc>
          <w:tcPr>
            <w:tcW w:w="3325" w:type="dxa"/>
          </w:tcPr>
          <w:p w:rsidRPr="00160C23" w:rsidR="00DA2C55" w:rsidDel="0003109E" w:rsidP="00566187" w:rsidRDefault="00DA2C55" w14:paraId="0D0A8820" w14:textId="6B59D9F7">
            <w:pPr>
              <w:pStyle w:val="Tabletext"/>
              <w:rPr>
                <w:rFonts w:ascii="Times New Roman" w:hAnsi="Times New Roman" w:cs="Times New Roman"/>
                <w:sz w:val="24"/>
                <w:szCs w:val="24"/>
              </w:rPr>
            </w:pPr>
            <w:r w:rsidRPr="00160C23">
              <w:rPr>
                <w:rFonts w:ascii="Times New Roman" w:hAnsi="Times New Roman" w:cs="Times New Roman"/>
                <w:sz w:val="24"/>
                <w:szCs w:val="24"/>
              </w:rPr>
              <w:t xml:space="preserve">Annual </w:t>
            </w:r>
            <w:r w:rsidRPr="00160C23" w:rsidR="00C17C8A">
              <w:rPr>
                <w:rFonts w:ascii="Times New Roman" w:hAnsi="Times New Roman" w:cs="Times New Roman"/>
                <w:sz w:val="24"/>
                <w:szCs w:val="24"/>
              </w:rPr>
              <w:t xml:space="preserve">and Final </w:t>
            </w:r>
            <w:r w:rsidRPr="00160C23">
              <w:rPr>
                <w:rFonts w:ascii="Times New Roman" w:hAnsi="Times New Roman" w:cs="Times New Roman"/>
                <w:sz w:val="24"/>
                <w:szCs w:val="24"/>
              </w:rPr>
              <w:t>Evaluation Report</w:t>
            </w:r>
            <w:r w:rsidRPr="00160C23" w:rsidR="00C17C8A">
              <w:rPr>
                <w:rFonts w:ascii="Times New Roman" w:hAnsi="Times New Roman" w:cs="Times New Roman"/>
                <w:sz w:val="24"/>
                <w:szCs w:val="24"/>
              </w:rPr>
              <w:t>s</w:t>
            </w:r>
          </w:p>
        </w:tc>
        <w:tc>
          <w:tcPr>
            <w:tcW w:w="4500" w:type="dxa"/>
          </w:tcPr>
          <w:p w:rsidRPr="00160C23" w:rsidR="00DA2C55" w:rsidP="00566187" w:rsidRDefault="00DA2C55" w14:paraId="6814F51C" w14:textId="77777777">
            <w:pPr>
              <w:pStyle w:val="Tabletext"/>
              <w:rPr>
                <w:rFonts w:ascii="Times New Roman" w:hAnsi="Times New Roman" w:cs="Times New Roman"/>
                <w:sz w:val="24"/>
                <w:szCs w:val="24"/>
              </w:rPr>
            </w:pPr>
            <w:r w:rsidRPr="00160C23">
              <w:rPr>
                <w:rFonts w:ascii="Times New Roman" w:hAnsi="Times New Roman" w:cs="Times New Roman"/>
                <w:sz w:val="24"/>
                <w:szCs w:val="24"/>
              </w:rPr>
              <w:t>All sources listed above.</w:t>
            </w:r>
          </w:p>
        </w:tc>
        <w:tc>
          <w:tcPr>
            <w:tcW w:w="1170" w:type="dxa"/>
            <w:vAlign w:val="center"/>
          </w:tcPr>
          <w:p w:rsidRPr="00160C23" w:rsidR="00DA2C55" w:rsidDel="0003109E" w:rsidP="00566187" w:rsidRDefault="00DA2C55" w14:paraId="070C29F0" w14:textId="77777777">
            <w:pPr>
              <w:pStyle w:val="Tabletext"/>
              <w:rPr>
                <w:rFonts w:ascii="Times New Roman" w:hAnsi="Times New Roman" w:cs="Times New Roman"/>
                <w:sz w:val="24"/>
                <w:szCs w:val="24"/>
              </w:rPr>
            </w:pPr>
            <w:r w:rsidRPr="00160C23">
              <w:rPr>
                <w:rFonts w:ascii="Times New Roman" w:hAnsi="Times New Roman" w:cs="Times New Roman"/>
                <w:sz w:val="24"/>
                <w:szCs w:val="24"/>
              </w:rPr>
              <w:t>DS, MM, QA, MV</w:t>
            </w:r>
          </w:p>
        </w:tc>
      </w:tr>
    </w:tbl>
    <w:p w:rsidRPr="00160C23" w:rsidR="00DA2C55" w:rsidP="00762CE3" w:rsidRDefault="00DA2C55" w14:paraId="3A1DC301" w14:textId="3A2DF891">
      <w:pPr>
        <w:pStyle w:val="Tablenote"/>
        <w:tabs>
          <w:tab w:val="clear" w:pos="432"/>
          <w:tab w:val="left" w:pos="630"/>
          <w:tab w:val="left" w:pos="900"/>
        </w:tabs>
        <w:spacing w:line="240" w:lineRule="auto"/>
        <w:ind w:left="180" w:firstLine="0"/>
        <w:rPr>
          <w:rFonts w:ascii="Times New Roman" w:hAnsi="Times New Roman" w:cs="Times New Roman"/>
          <w:sz w:val="24"/>
          <w:szCs w:val="24"/>
        </w:rPr>
      </w:pPr>
      <w:r w:rsidRPr="00160C23">
        <w:rPr>
          <w:rFonts w:ascii="Times New Roman" w:hAnsi="Times New Roman" w:cs="Times New Roman"/>
          <w:sz w:val="24"/>
          <w:szCs w:val="24"/>
        </w:rPr>
        <w:t>DS</w:t>
      </w:r>
      <w:r w:rsidRPr="00160C23">
        <w:rPr>
          <w:rFonts w:ascii="Times New Roman" w:hAnsi="Times New Roman" w:cs="Times New Roman"/>
          <w:sz w:val="24"/>
          <w:szCs w:val="24"/>
        </w:rPr>
        <w:tab/>
        <w:t>=</w:t>
      </w:r>
      <w:r w:rsidRPr="00160C23">
        <w:rPr>
          <w:rFonts w:ascii="Times New Roman" w:hAnsi="Times New Roman" w:cs="Times New Roman"/>
          <w:sz w:val="24"/>
          <w:szCs w:val="24"/>
        </w:rPr>
        <w:tab/>
        <w:t>Descriptive statistics and interpretation</w:t>
      </w:r>
    </w:p>
    <w:p w:rsidRPr="00160C23" w:rsidR="00DA2C55" w:rsidP="00762CE3" w:rsidRDefault="00DA2C55" w14:paraId="22CEBF74" w14:textId="3C42F35F">
      <w:pPr>
        <w:pStyle w:val="Tablenote"/>
        <w:tabs>
          <w:tab w:val="clear" w:pos="432"/>
          <w:tab w:val="left" w:pos="630"/>
          <w:tab w:val="left" w:pos="900"/>
        </w:tabs>
        <w:spacing w:line="240" w:lineRule="auto"/>
        <w:ind w:left="180" w:firstLine="0"/>
        <w:rPr>
          <w:rFonts w:ascii="Times New Roman" w:hAnsi="Times New Roman" w:cs="Times New Roman"/>
          <w:sz w:val="24"/>
          <w:szCs w:val="24"/>
        </w:rPr>
      </w:pPr>
      <w:r w:rsidRPr="00160C23">
        <w:rPr>
          <w:rFonts w:ascii="Times New Roman" w:hAnsi="Times New Roman" w:cs="Times New Roman"/>
          <w:sz w:val="24"/>
          <w:szCs w:val="24"/>
        </w:rPr>
        <w:t>MM</w:t>
      </w:r>
      <w:r w:rsidRPr="00160C23">
        <w:rPr>
          <w:rFonts w:ascii="Times New Roman" w:hAnsi="Times New Roman" w:cs="Times New Roman"/>
          <w:sz w:val="24"/>
          <w:szCs w:val="24"/>
        </w:rPr>
        <w:tab/>
        <w:t>=</w:t>
      </w:r>
      <w:r w:rsidRPr="00160C23">
        <w:rPr>
          <w:rFonts w:ascii="Times New Roman" w:hAnsi="Times New Roman" w:cs="Times New Roman"/>
          <w:sz w:val="24"/>
          <w:szCs w:val="24"/>
        </w:rPr>
        <w:tab/>
        <w:t>Mixed Methods analysis and interpretation</w:t>
      </w:r>
    </w:p>
    <w:p w:rsidRPr="00160C23" w:rsidR="00DA2C55" w:rsidP="00762CE3" w:rsidRDefault="00DA2C55" w14:paraId="7093808E" w14:textId="354BDB19">
      <w:pPr>
        <w:pStyle w:val="Tablenote"/>
        <w:tabs>
          <w:tab w:val="clear" w:pos="432"/>
          <w:tab w:val="left" w:pos="630"/>
          <w:tab w:val="left" w:pos="900"/>
        </w:tabs>
        <w:spacing w:line="240" w:lineRule="auto"/>
        <w:ind w:left="180" w:firstLine="0"/>
        <w:rPr>
          <w:rFonts w:ascii="Times New Roman" w:hAnsi="Times New Roman" w:cs="Times New Roman"/>
          <w:sz w:val="24"/>
          <w:szCs w:val="24"/>
        </w:rPr>
      </w:pPr>
      <w:r w:rsidRPr="00160C23">
        <w:rPr>
          <w:rFonts w:ascii="Times New Roman" w:hAnsi="Times New Roman" w:cs="Times New Roman"/>
          <w:sz w:val="24"/>
          <w:szCs w:val="24"/>
        </w:rPr>
        <w:t>MV</w:t>
      </w:r>
      <w:r w:rsidRPr="00160C23">
        <w:rPr>
          <w:rFonts w:ascii="Times New Roman" w:hAnsi="Times New Roman" w:cs="Times New Roman"/>
          <w:sz w:val="24"/>
          <w:szCs w:val="24"/>
        </w:rPr>
        <w:tab/>
        <w:t>=</w:t>
      </w:r>
      <w:r w:rsidRPr="00160C23">
        <w:rPr>
          <w:rFonts w:ascii="Times New Roman" w:hAnsi="Times New Roman" w:cs="Times New Roman"/>
          <w:sz w:val="24"/>
          <w:szCs w:val="24"/>
        </w:rPr>
        <w:tab/>
        <w:t>Multivariate analysis and interpretation</w:t>
      </w:r>
    </w:p>
    <w:p w:rsidRPr="00160C23" w:rsidR="00DA2C55" w:rsidP="00762CE3" w:rsidRDefault="00DA2C55" w14:paraId="65B7C95C" w14:textId="3A212958">
      <w:pPr>
        <w:pStyle w:val="Tablenote"/>
        <w:tabs>
          <w:tab w:val="clear" w:pos="432"/>
          <w:tab w:val="left" w:pos="630"/>
          <w:tab w:val="left" w:pos="900"/>
        </w:tabs>
        <w:spacing w:line="240" w:lineRule="auto"/>
        <w:ind w:left="180" w:firstLine="0"/>
        <w:rPr>
          <w:rFonts w:ascii="Times New Roman" w:hAnsi="Times New Roman" w:cs="Times New Roman"/>
          <w:sz w:val="24"/>
          <w:szCs w:val="24"/>
        </w:rPr>
      </w:pPr>
      <w:r w:rsidRPr="00160C23">
        <w:rPr>
          <w:rFonts w:ascii="Times New Roman" w:hAnsi="Times New Roman" w:cs="Times New Roman"/>
          <w:sz w:val="24"/>
          <w:szCs w:val="24"/>
        </w:rPr>
        <w:t>QA</w:t>
      </w:r>
      <w:r w:rsidRPr="00160C23">
        <w:rPr>
          <w:rFonts w:ascii="Times New Roman" w:hAnsi="Times New Roman" w:cs="Times New Roman"/>
          <w:sz w:val="24"/>
          <w:szCs w:val="24"/>
        </w:rPr>
        <w:tab/>
        <w:t>=</w:t>
      </w:r>
      <w:r w:rsidRPr="00160C23">
        <w:rPr>
          <w:rFonts w:ascii="Times New Roman" w:hAnsi="Times New Roman" w:cs="Times New Roman"/>
          <w:sz w:val="24"/>
          <w:szCs w:val="24"/>
        </w:rPr>
        <w:tab/>
        <w:t>Qualitative analysis and interpretation</w:t>
      </w:r>
    </w:p>
    <w:p w:rsidRPr="00160C23" w:rsidR="00DA2C55" w:rsidP="005D267C" w:rsidRDefault="00DA2C55" w14:paraId="0B3A08EF" w14:textId="77777777"/>
    <w:p w:rsidRPr="00160C23" w:rsidR="009B633D" w:rsidP="009B633D" w:rsidRDefault="009B633D" w14:paraId="6C0993FC" w14:textId="77777777">
      <w:pPr>
        <w:pStyle w:val="Heading2"/>
        <w:rPr>
          <w:sz w:val="24"/>
        </w:rPr>
      </w:pPr>
      <w:bookmarkStart w:name="_Toc151782177" w:id="6"/>
      <w:bookmarkStart w:name="_Toc158526217" w:id="7"/>
      <w:bookmarkStart w:name="_Toc29459919" w:id="8"/>
      <w:r w:rsidRPr="00160C23">
        <w:rPr>
          <w:sz w:val="24"/>
        </w:rPr>
        <w:t>2. Purpose and Use of Information</w:t>
      </w:r>
      <w:bookmarkEnd w:id="6"/>
      <w:bookmarkEnd w:id="7"/>
      <w:bookmarkEnd w:id="8"/>
    </w:p>
    <w:p w:rsidRPr="00160C23" w:rsidR="00B40A46" w:rsidP="00204509" w:rsidRDefault="007A31C4" w14:paraId="0EBD1602" w14:textId="01EACEF6">
      <w:pPr>
        <w:spacing w:before="100" w:beforeAutospacing="1" w:after="100" w:afterAutospacing="1"/>
        <w:rPr>
          <w:color w:val="000000"/>
        </w:rPr>
      </w:pPr>
      <w:r w:rsidRPr="00160C23">
        <w:t xml:space="preserve">The evaluation results will benefit the project’s dissemination and implementation team, which will create a permanent, </w:t>
      </w:r>
      <w:r w:rsidRPr="00160C23" w:rsidR="006B1231">
        <w:rPr>
          <w:color w:val="000000"/>
        </w:rPr>
        <w:t xml:space="preserve">public website with </w:t>
      </w:r>
      <w:r w:rsidRPr="00160C23" w:rsidR="001A1CA6">
        <w:rPr>
          <w:color w:val="000000"/>
        </w:rPr>
        <w:t xml:space="preserve">evidence-based, actionable </w:t>
      </w:r>
      <w:r w:rsidRPr="00160C23" w:rsidR="006B1231">
        <w:rPr>
          <w:color w:val="000000"/>
        </w:rPr>
        <w:t xml:space="preserve">resources, including specific guidance </w:t>
      </w:r>
      <w:r w:rsidRPr="00160C23" w:rsidR="001A1CA6">
        <w:rPr>
          <w:color w:val="000000"/>
        </w:rPr>
        <w:t xml:space="preserve">relevant to hospitals with particular characteristics or situations, for improving their CR referral, enrollment, and retention rates through application of </w:t>
      </w:r>
      <w:r w:rsidRPr="00160C23" w:rsidR="003068BA">
        <w:rPr>
          <w:color w:val="000000"/>
        </w:rPr>
        <w:t>Automatic Referral with Care Coordination</w:t>
      </w:r>
      <w:r w:rsidRPr="00160C23" w:rsidR="001A1CA6">
        <w:rPr>
          <w:color w:val="000000"/>
        </w:rPr>
        <w:t xml:space="preserve"> or other methods.</w:t>
      </w:r>
      <w:r w:rsidRPr="00160C23" w:rsidR="00CE74FC">
        <w:rPr>
          <w:color w:val="000000"/>
        </w:rPr>
        <w:t xml:space="preserve"> </w:t>
      </w:r>
    </w:p>
    <w:p w:rsidRPr="00160C23" w:rsidR="00CE74FC" w:rsidP="00204509" w:rsidRDefault="00CE74FC" w14:paraId="4D2C52F2" w14:textId="77777777">
      <w:pPr>
        <w:spacing w:before="100" w:beforeAutospacing="1" w:after="100" w:afterAutospacing="1"/>
        <w:rPr>
          <w:color w:val="000000"/>
        </w:rPr>
      </w:pPr>
      <w:r w:rsidRPr="00160C23">
        <w:rPr>
          <w:color w:val="000000"/>
        </w:rPr>
        <w:t xml:space="preserve">Specifically, the data collected will help the project team: </w:t>
      </w:r>
    </w:p>
    <w:p w:rsidRPr="00160C23" w:rsidR="00CE74FC" w:rsidP="00CE74FC" w:rsidRDefault="0006722B" w14:paraId="5A9F945C" w14:textId="281256B2">
      <w:pPr>
        <w:pStyle w:val="ListParagraph"/>
        <w:numPr>
          <w:ilvl w:val="0"/>
          <w:numId w:val="30"/>
        </w:numPr>
        <w:spacing w:before="100" w:beforeAutospacing="1" w:after="100" w:afterAutospacing="1"/>
        <w:rPr>
          <w:rFonts w:ascii="Times New Roman" w:hAnsi="Times New Roman" w:cs="Times New Roman"/>
          <w:color w:val="000000"/>
        </w:rPr>
      </w:pPr>
      <w:r w:rsidRPr="00160C23">
        <w:rPr>
          <w:rFonts w:ascii="Times New Roman" w:hAnsi="Times New Roman" w:cs="Times New Roman"/>
          <w:color w:val="000000"/>
        </w:rPr>
        <w:t>U</w:t>
      </w:r>
      <w:r w:rsidRPr="00160C23" w:rsidR="00CE74FC">
        <w:rPr>
          <w:rFonts w:ascii="Times New Roman" w:hAnsi="Times New Roman" w:cs="Times New Roman"/>
          <w:color w:val="000000"/>
        </w:rPr>
        <w:t xml:space="preserve">nderstand the extent to which dissemination efforts were successful </w:t>
      </w:r>
      <w:r w:rsidRPr="00160C23" w:rsidR="00FA29CD">
        <w:rPr>
          <w:rFonts w:ascii="Times New Roman" w:hAnsi="Times New Roman" w:cs="Times New Roman"/>
          <w:color w:val="000000"/>
        </w:rPr>
        <w:t>in the short term in</w:t>
      </w:r>
      <w:r w:rsidRPr="00160C23" w:rsidR="004C082F">
        <w:rPr>
          <w:rFonts w:ascii="Times New Roman" w:hAnsi="Times New Roman" w:cs="Times New Roman"/>
          <w:color w:val="000000"/>
        </w:rPr>
        <w:t xml:space="preserve"> </w:t>
      </w:r>
      <w:r w:rsidRPr="00160C23" w:rsidR="00CE74FC">
        <w:rPr>
          <w:rFonts w:ascii="Times New Roman" w:hAnsi="Times New Roman" w:cs="Times New Roman"/>
          <w:color w:val="000000"/>
        </w:rPr>
        <w:t>reaching and engaging hospitals participating in CR education and improvement initiatives;</w:t>
      </w:r>
    </w:p>
    <w:p w:rsidRPr="00160C23" w:rsidR="00CE74FC" w:rsidP="00CE74FC" w:rsidRDefault="0006722B" w14:paraId="5BC3A773" w14:textId="7DA484B4">
      <w:pPr>
        <w:pStyle w:val="ListParagraph"/>
        <w:numPr>
          <w:ilvl w:val="0"/>
          <w:numId w:val="30"/>
        </w:numPr>
        <w:spacing w:before="100" w:beforeAutospacing="1" w:after="100" w:afterAutospacing="1"/>
        <w:rPr>
          <w:rFonts w:ascii="Times New Roman" w:hAnsi="Times New Roman" w:cs="Times New Roman"/>
          <w:color w:val="000000"/>
        </w:rPr>
      </w:pPr>
      <w:r w:rsidRPr="00160C23">
        <w:rPr>
          <w:rFonts w:ascii="Times New Roman" w:hAnsi="Times New Roman" w:cs="Times New Roman"/>
          <w:color w:val="000000"/>
        </w:rPr>
        <w:t>U</w:t>
      </w:r>
      <w:r w:rsidRPr="00160C23" w:rsidR="00CE74FC">
        <w:rPr>
          <w:rFonts w:ascii="Times New Roman" w:hAnsi="Times New Roman" w:cs="Times New Roman"/>
          <w:color w:val="000000"/>
        </w:rPr>
        <w:t xml:space="preserve">nderstand the facilitators and barriers to successfully implementing </w:t>
      </w:r>
      <w:r w:rsidRPr="00160C23" w:rsidR="003068BA">
        <w:rPr>
          <w:rFonts w:ascii="Times New Roman" w:hAnsi="Times New Roman" w:cs="Times New Roman"/>
          <w:color w:val="000000"/>
        </w:rPr>
        <w:t>Automatic Referral with Care Coordination</w:t>
      </w:r>
      <w:r w:rsidRPr="00160C23" w:rsidR="00CE74FC">
        <w:rPr>
          <w:rFonts w:ascii="Times New Roman" w:hAnsi="Times New Roman" w:cs="Times New Roman"/>
          <w:color w:val="000000"/>
        </w:rPr>
        <w:t xml:space="preserve"> and time required for implementation;</w:t>
      </w:r>
    </w:p>
    <w:p w:rsidRPr="00160C23" w:rsidR="00CE74FC" w:rsidP="00CE74FC" w:rsidRDefault="00C5399A" w14:paraId="0D35661D" w14:textId="2B83EEF1">
      <w:pPr>
        <w:pStyle w:val="ListParagraph"/>
        <w:numPr>
          <w:ilvl w:val="0"/>
          <w:numId w:val="30"/>
        </w:numPr>
        <w:spacing w:before="100" w:beforeAutospacing="1" w:after="100" w:afterAutospacing="1"/>
        <w:rPr>
          <w:rFonts w:ascii="Times New Roman" w:hAnsi="Times New Roman" w:cs="Times New Roman"/>
          <w:color w:val="000000"/>
        </w:rPr>
      </w:pPr>
      <w:r w:rsidRPr="00160C23">
        <w:rPr>
          <w:rFonts w:ascii="Times New Roman" w:hAnsi="Times New Roman" w:cs="Times New Roman"/>
          <w:color w:val="000000"/>
        </w:rPr>
        <w:t xml:space="preserve">Assess the implementation of </w:t>
      </w:r>
      <w:r w:rsidRPr="00762CE3" w:rsidR="003068BA">
        <w:rPr>
          <w:rFonts w:ascii="Times New Roman" w:hAnsi="Times New Roman" w:cs="Times New Roman"/>
          <w:color w:val="000000"/>
        </w:rPr>
        <w:t>Automatic Referral with Care Coordination</w:t>
      </w:r>
      <w:r w:rsidRPr="00160C23">
        <w:rPr>
          <w:rFonts w:ascii="Times New Roman" w:hAnsi="Times New Roman" w:cs="Times New Roman"/>
          <w:color w:val="000000"/>
        </w:rPr>
        <w:t xml:space="preserve"> in Partner Hospitals</w:t>
      </w:r>
    </w:p>
    <w:p w:rsidRPr="00160C23" w:rsidR="007D1B1D" w:rsidP="007D1B1D" w:rsidRDefault="007D1B1D" w14:paraId="6DBC603A" w14:textId="1E4A4130">
      <w:pPr>
        <w:pStyle w:val="ListParagraph"/>
        <w:numPr>
          <w:ilvl w:val="0"/>
          <w:numId w:val="30"/>
        </w:numPr>
        <w:spacing w:before="100" w:beforeAutospacing="1" w:after="100" w:afterAutospacing="1"/>
        <w:rPr>
          <w:rFonts w:ascii="Times New Roman" w:hAnsi="Times New Roman" w:cs="Times New Roman"/>
          <w:color w:val="000000"/>
        </w:rPr>
      </w:pPr>
      <w:r w:rsidRPr="00160C23">
        <w:rPr>
          <w:rFonts w:ascii="Times New Roman" w:hAnsi="Times New Roman" w:cs="Times New Roman"/>
          <w:color w:val="000000"/>
        </w:rPr>
        <w:t>Improve training and technical assistance for the second cohort of Partner Hospitals</w:t>
      </w:r>
    </w:p>
    <w:p w:rsidRPr="00160C23" w:rsidR="00CE74FC" w:rsidP="00CE74FC" w:rsidRDefault="0006722B" w14:paraId="35A80DE1" w14:textId="13469201">
      <w:pPr>
        <w:pStyle w:val="ListParagraph"/>
        <w:numPr>
          <w:ilvl w:val="0"/>
          <w:numId w:val="30"/>
        </w:numPr>
        <w:spacing w:before="100" w:beforeAutospacing="1" w:after="100" w:afterAutospacing="1"/>
        <w:rPr>
          <w:rFonts w:ascii="Times New Roman" w:hAnsi="Times New Roman" w:cs="Times New Roman"/>
          <w:color w:val="000000"/>
        </w:rPr>
      </w:pPr>
      <w:r w:rsidRPr="00160C23">
        <w:rPr>
          <w:rFonts w:ascii="Times New Roman" w:hAnsi="Times New Roman" w:cs="Times New Roman"/>
          <w:color w:val="000000"/>
        </w:rPr>
        <w:t>I</w:t>
      </w:r>
      <w:r w:rsidRPr="00160C23" w:rsidR="00CE74FC">
        <w:rPr>
          <w:rFonts w:ascii="Times New Roman" w:hAnsi="Times New Roman" w:cs="Times New Roman"/>
          <w:color w:val="000000"/>
        </w:rPr>
        <w:t xml:space="preserve">mprove the resources to be made available </w:t>
      </w:r>
      <w:r w:rsidRPr="00160C23" w:rsidR="007D1B1D">
        <w:rPr>
          <w:rFonts w:ascii="Times New Roman" w:hAnsi="Times New Roman" w:cs="Times New Roman"/>
          <w:color w:val="000000"/>
        </w:rPr>
        <w:t xml:space="preserve">to the second cohort of </w:t>
      </w:r>
      <w:r w:rsidRPr="00160C23" w:rsidR="00F36913">
        <w:rPr>
          <w:rFonts w:ascii="Times New Roman" w:hAnsi="Times New Roman" w:cs="Times New Roman"/>
          <w:color w:val="000000"/>
        </w:rPr>
        <w:t xml:space="preserve">Partner Hospitals and </w:t>
      </w:r>
      <w:r w:rsidRPr="00160C23" w:rsidR="00CE74FC">
        <w:rPr>
          <w:rFonts w:ascii="Times New Roman" w:hAnsi="Times New Roman" w:cs="Times New Roman"/>
          <w:color w:val="000000"/>
        </w:rPr>
        <w:t>on the permanent, public CR website.</w:t>
      </w:r>
    </w:p>
    <w:p w:rsidRPr="00160C23" w:rsidR="007A31C4" w:rsidP="00204509" w:rsidRDefault="007A31C4" w14:paraId="79A8D92D" w14:textId="6431A31E">
      <w:pPr>
        <w:spacing w:before="100" w:beforeAutospacing="1" w:after="100" w:afterAutospacing="1"/>
        <w:rPr>
          <w:color w:val="000000" w:themeColor="text1"/>
        </w:rPr>
      </w:pPr>
      <w:r w:rsidRPr="00160C23">
        <w:rPr>
          <w:color w:val="000000" w:themeColor="text1"/>
        </w:rPr>
        <w:t xml:space="preserve">The data gathered for this study are intended to provide information about the execution and short-term effects of the TAKEheart initiative. They are not intended to evaluate the effectiveness of CR or the long term effects of TAKEheart or of </w:t>
      </w:r>
      <w:r w:rsidRPr="00160C23" w:rsidR="003068BA">
        <w:rPr>
          <w:color w:val="000000" w:themeColor="text1"/>
        </w:rPr>
        <w:t>Automatic Referral with Care Coordination</w:t>
      </w:r>
      <w:r w:rsidRPr="00160C23">
        <w:rPr>
          <w:color w:val="000000" w:themeColor="text1"/>
        </w:rPr>
        <w:t xml:space="preserve"> on CR referral, enrollment, and retention. Nor does the evaluation intend to generate generalizable findings about the operations of the hospitals in the study or any other hospitals across the country</w:t>
      </w:r>
      <w:r w:rsidRPr="00160C23" w:rsidR="00932DB4">
        <w:rPr>
          <w:color w:val="000000" w:themeColor="text1"/>
        </w:rPr>
        <w:t>.</w:t>
      </w:r>
    </w:p>
    <w:p w:rsidRPr="00160C23" w:rsidR="00644F76" w:rsidP="00204509" w:rsidRDefault="00AD38AF" w14:paraId="170AFFE9" w14:textId="385C7885">
      <w:pPr>
        <w:spacing w:before="100" w:beforeAutospacing="1" w:after="100" w:afterAutospacing="1"/>
        <w:rPr>
          <w:i/>
          <w:color w:val="000000" w:themeColor="text1"/>
        </w:rPr>
      </w:pPr>
      <w:r w:rsidRPr="00160C23">
        <w:rPr>
          <w:color w:val="000000" w:themeColor="text1"/>
        </w:rPr>
        <w:t xml:space="preserve">A manuscript describing the </w:t>
      </w:r>
      <w:r w:rsidRPr="00160C23" w:rsidR="00CE74FC">
        <w:rPr>
          <w:color w:val="000000" w:themeColor="text1"/>
        </w:rPr>
        <w:t xml:space="preserve">project </w:t>
      </w:r>
      <w:r w:rsidRPr="00160C23">
        <w:rPr>
          <w:color w:val="000000" w:themeColor="text1"/>
        </w:rPr>
        <w:t>and its results will be produced for publication in a peer-reviewed journal.</w:t>
      </w:r>
    </w:p>
    <w:p w:rsidRPr="00160C23" w:rsidR="007E0697" w:rsidP="008E1394" w:rsidRDefault="009B633D" w14:paraId="1C0858BA" w14:textId="77777777">
      <w:pPr>
        <w:pStyle w:val="Heading2"/>
        <w:rPr>
          <w:sz w:val="24"/>
        </w:rPr>
      </w:pPr>
      <w:bookmarkStart w:name="_Toc29459920" w:id="9"/>
      <w:r w:rsidRPr="00160C23">
        <w:rPr>
          <w:sz w:val="24"/>
        </w:rPr>
        <w:t xml:space="preserve">3. </w:t>
      </w:r>
      <w:bookmarkStart w:name="_Toc151782178" w:id="10"/>
      <w:bookmarkStart w:name="_Toc158526218" w:id="11"/>
      <w:r w:rsidRPr="00160C23">
        <w:rPr>
          <w:sz w:val="24"/>
        </w:rPr>
        <w:t>Use of Improved Information Technology</w:t>
      </w:r>
      <w:bookmarkEnd w:id="10"/>
      <w:bookmarkEnd w:id="11"/>
      <w:bookmarkEnd w:id="9"/>
    </w:p>
    <w:p w:rsidRPr="00160C23" w:rsidR="008E1394" w:rsidP="008E1394" w:rsidRDefault="008E1394" w14:paraId="07408B33" w14:textId="77777777"/>
    <w:p w:rsidRPr="00160C23" w:rsidR="00A10C77" w:rsidP="00A10C77" w:rsidRDefault="00415543" w14:paraId="13F38E00" w14:textId="753CE4A2">
      <w:r w:rsidRPr="00160C23">
        <w:t xml:space="preserve">In order to minimize respondent burden and to permit the electronic submission of survey responses and data collection forms, the </w:t>
      </w:r>
      <w:r w:rsidRPr="00160C23" w:rsidR="00602C8A">
        <w:t>Partner Hospital</w:t>
      </w:r>
      <w:r w:rsidRPr="00160C23" w:rsidR="00A10C77">
        <w:t xml:space="preserve"> </w:t>
      </w:r>
      <w:r w:rsidRPr="00160C23" w:rsidR="00602C8A">
        <w:t>Champion</w:t>
      </w:r>
      <w:r w:rsidRPr="00160C23" w:rsidR="00A10C77">
        <w:t>s and Learning Community participants</w:t>
      </w:r>
      <w:r w:rsidRPr="00160C23">
        <w:t xml:space="preserve"> </w:t>
      </w:r>
      <w:r w:rsidRPr="00160C23" w:rsidR="000B0A7A">
        <w:t xml:space="preserve">surveys </w:t>
      </w:r>
      <w:r w:rsidRPr="00160C23">
        <w:t>will be web-based and deployed using a well-designed, low burden, and respondent-friendly survey administration process and instruments.</w:t>
      </w:r>
      <w:r w:rsidRPr="00160C23" w:rsidR="006A49F0">
        <w:t xml:space="preserve"> </w:t>
      </w:r>
      <w:r w:rsidRPr="00160C23" w:rsidR="00A10C77">
        <w:t xml:space="preserve">We will send an email to potential respondents with a link to the survey. </w:t>
      </w:r>
      <w:r w:rsidRPr="00160C23">
        <w:t>We will collect email addresses by requiring registration for online Learning Community activities</w:t>
      </w:r>
      <w:r w:rsidRPr="00160C23" w:rsidR="00FD5298">
        <w:t xml:space="preserve">, </w:t>
      </w:r>
      <w:r w:rsidRPr="00160C23" w:rsidR="001A09D2">
        <w:t>for example,</w:t>
      </w:r>
      <w:r w:rsidRPr="00160C23" w:rsidR="00FD5298">
        <w:t xml:space="preserve"> participation in </w:t>
      </w:r>
      <w:r w:rsidRPr="00160C23" w:rsidR="001A09D2">
        <w:t xml:space="preserve">Webinars or in </w:t>
      </w:r>
      <w:r w:rsidRPr="00160C23" w:rsidR="00FD5298">
        <w:t>Affiliation Group</w:t>
      </w:r>
      <w:r w:rsidRPr="00160C23" w:rsidR="00E74320">
        <w:t xml:space="preserve"> virtual meeting</w:t>
      </w:r>
      <w:r w:rsidRPr="00160C23" w:rsidR="00FD5298">
        <w:t>s</w:t>
      </w:r>
      <w:r w:rsidRPr="00160C23">
        <w:t xml:space="preserve">. </w:t>
      </w:r>
    </w:p>
    <w:p w:rsidRPr="00160C23" w:rsidR="00A10C77" w:rsidP="00A10C77" w:rsidRDefault="00A10C77" w14:paraId="47FC9680" w14:textId="2FD9F3BF"/>
    <w:p w:rsidRPr="00160C23" w:rsidR="0072770B" w:rsidP="0072770B" w:rsidRDefault="006A49F0" w14:paraId="54CA5DDA" w14:textId="77777777">
      <w:pPr>
        <w:jc w:val="both"/>
        <w:rPr>
          <w:color w:val="000000" w:themeColor="text1"/>
        </w:rPr>
      </w:pPr>
      <w:r w:rsidRPr="00160C23">
        <w:t xml:space="preserve">Training </w:t>
      </w:r>
      <w:r w:rsidRPr="00160C23" w:rsidR="00A10C77">
        <w:t xml:space="preserve">and technical assistance </w:t>
      </w:r>
      <w:r w:rsidRPr="00160C23">
        <w:t xml:space="preserve">activities </w:t>
      </w:r>
      <w:r w:rsidRPr="00160C23" w:rsidR="00A10C77">
        <w:t xml:space="preserve">for </w:t>
      </w:r>
      <w:r w:rsidRPr="00160C23" w:rsidR="00602C8A">
        <w:t>Partner Hospital</w:t>
      </w:r>
      <w:r w:rsidRPr="00160C23" w:rsidR="00A10C77">
        <w:t xml:space="preserve"> or Learning Community participants will be conducted by web-conference to streamline and facilitate participation among the health care organizations. </w:t>
      </w:r>
      <w:r w:rsidRPr="00160C23" w:rsidR="0072770B">
        <w:rPr>
          <w:color w:val="000000" w:themeColor="text1"/>
        </w:rPr>
        <w:t>Interviews will be conducted by telephone with video conference capability.</w:t>
      </w:r>
    </w:p>
    <w:p w:rsidRPr="00160C23" w:rsidR="00A10C77" w:rsidP="00A10C77" w:rsidRDefault="00A10C77" w14:paraId="351CCFED" w14:textId="77777777"/>
    <w:p w:rsidRPr="00160C23" w:rsidR="008E1394" w:rsidP="006D154C" w:rsidRDefault="00A10C77" w14:paraId="188DF33E" w14:textId="288210D3">
      <w:pPr>
        <w:rPr>
          <w:color w:val="000000" w:themeColor="text1"/>
        </w:rPr>
      </w:pPr>
      <w:r w:rsidRPr="00160C23">
        <w:t xml:space="preserve">Many </w:t>
      </w:r>
      <w:r w:rsidRPr="00160C23" w:rsidR="006D154C">
        <w:t xml:space="preserve">newly created </w:t>
      </w:r>
      <w:r w:rsidRPr="00160C23">
        <w:t>materials will be posted on an active website</w:t>
      </w:r>
      <w:r w:rsidRPr="00160C23" w:rsidR="006D154C">
        <w:t xml:space="preserve">, which </w:t>
      </w:r>
      <w:r w:rsidRPr="00160C23" w:rsidR="00602C8A">
        <w:t>Partner Hospital</w:t>
      </w:r>
      <w:r w:rsidRPr="00160C23" w:rsidR="006D154C">
        <w:t xml:space="preserve"> and Learning Community participants can access information at their convenience. The website will also contain links to relevant CRCP tools participants may </w:t>
      </w:r>
      <w:r w:rsidRPr="00160C23" w:rsidR="006D154C">
        <w:rPr>
          <w:color w:val="000000" w:themeColor="text1"/>
        </w:rPr>
        <w:t xml:space="preserve">find helpful. This </w:t>
      </w:r>
      <w:r w:rsidRPr="00160C23" w:rsidR="008E1394">
        <w:rPr>
          <w:color w:val="000000" w:themeColor="text1"/>
        </w:rPr>
        <w:t xml:space="preserve">format is ideal for busy </w:t>
      </w:r>
      <w:r w:rsidRPr="00160C23" w:rsidR="00454448">
        <w:rPr>
          <w:color w:val="000000" w:themeColor="text1"/>
        </w:rPr>
        <w:t>health care staff and clinicians who can</w:t>
      </w:r>
      <w:r w:rsidRPr="00160C23" w:rsidR="008E1394">
        <w:rPr>
          <w:color w:val="000000" w:themeColor="text1"/>
        </w:rPr>
        <w:t xml:space="preserve"> access</w:t>
      </w:r>
      <w:r w:rsidRPr="00160C23" w:rsidR="00454448">
        <w:rPr>
          <w:color w:val="000000" w:themeColor="text1"/>
        </w:rPr>
        <w:t xml:space="preserve"> the information as they wish.</w:t>
      </w:r>
      <w:r w:rsidRPr="00160C23" w:rsidR="008E1394">
        <w:rPr>
          <w:color w:val="000000" w:themeColor="text1"/>
        </w:rPr>
        <w:t xml:space="preserve"> </w:t>
      </w:r>
    </w:p>
    <w:p w:rsidRPr="00160C23" w:rsidR="006A49F0" w:rsidP="007E0697" w:rsidRDefault="006A49F0" w14:paraId="06EDE6D3" w14:textId="77777777">
      <w:pPr>
        <w:jc w:val="both"/>
        <w:rPr>
          <w:color w:val="000000" w:themeColor="text1"/>
        </w:rPr>
      </w:pPr>
    </w:p>
    <w:p w:rsidRPr="00160C23" w:rsidR="006A49F0" w:rsidP="007E0697" w:rsidRDefault="00415543" w14:paraId="6FBCE8D1" w14:textId="1C9481DA">
      <w:pPr>
        <w:jc w:val="both"/>
        <w:rPr>
          <w:color w:val="000000" w:themeColor="text1"/>
        </w:rPr>
      </w:pPr>
      <w:r w:rsidRPr="00160C23">
        <w:rPr>
          <w:color w:val="000000" w:themeColor="text1"/>
        </w:rPr>
        <w:t>Partner Hospitals will use a user-friendly Microsoft Excel template to track patients through referral to cardiac rehabilitation and, if they choose, through enrollment and prescribed sessions. The h</w:t>
      </w:r>
      <w:r w:rsidRPr="00160C23" w:rsidR="006A49F0">
        <w:rPr>
          <w:color w:val="000000" w:themeColor="text1"/>
        </w:rPr>
        <w:t>ospital</w:t>
      </w:r>
      <w:r w:rsidRPr="00160C23">
        <w:rPr>
          <w:color w:val="000000" w:themeColor="text1"/>
        </w:rPr>
        <w:t>’s</w:t>
      </w:r>
      <w:r w:rsidRPr="00160C23" w:rsidR="006A49F0">
        <w:rPr>
          <w:color w:val="000000" w:themeColor="text1"/>
        </w:rPr>
        <w:t xml:space="preserve"> Data Points of Contact will </w:t>
      </w:r>
      <w:r w:rsidRPr="00160C23">
        <w:rPr>
          <w:color w:val="000000" w:themeColor="text1"/>
        </w:rPr>
        <w:t>strip</w:t>
      </w:r>
      <w:r w:rsidRPr="00160C23" w:rsidR="00D70E16">
        <w:rPr>
          <w:color w:val="000000" w:themeColor="text1"/>
        </w:rPr>
        <w:t xml:space="preserve"> personally identifiable information (PII)</w:t>
      </w:r>
      <w:r w:rsidRPr="00160C23">
        <w:rPr>
          <w:color w:val="000000" w:themeColor="text1"/>
        </w:rPr>
        <w:t xml:space="preserve"> </w:t>
      </w:r>
      <w:r w:rsidRPr="00160C23" w:rsidR="00D70E16">
        <w:rPr>
          <w:color w:val="000000" w:themeColor="text1"/>
        </w:rPr>
        <w:t xml:space="preserve">from the file prior to uploading it </w:t>
      </w:r>
      <w:r w:rsidRPr="00160C23" w:rsidR="006A49F0">
        <w:rPr>
          <w:color w:val="000000" w:themeColor="text1"/>
        </w:rPr>
        <w:t xml:space="preserve">using Huddle, an online platform for data sharing which meets FedRAMP requirements. Abt staff will retrieve the files and transfer them to a FedRAMP-compliant server, on which all </w:t>
      </w:r>
      <w:r w:rsidRPr="00160C23" w:rsidR="00D70E16">
        <w:rPr>
          <w:color w:val="000000" w:themeColor="text1"/>
        </w:rPr>
        <w:t xml:space="preserve">de-identified </w:t>
      </w:r>
      <w:r w:rsidRPr="00160C23" w:rsidR="006A49F0">
        <w:rPr>
          <w:color w:val="000000" w:themeColor="text1"/>
        </w:rPr>
        <w:t>patient data will be kept.</w:t>
      </w:r>
    </w:p>
    <w:p w:rsidRPr="00160C23" w:rsidR="009B633D" w:rsidP="009B633D" w:rsidRDefault="009B633D" w14:paraId="157FDCBB" w14:textId="77777777">
      <w:pPr>
        <w:pStyle w:val="Heading2"/>
        <w:rPr>
          <w:sz w:val="24"/>
        </w:rPr>
      </w:pPr>
      <w:bookmarkStart w:name="_Toc29459921" w:id="12"/>
      <w:r w:rsidRPr="00160C23">
        <w:rPr>
          <w:sz w:val="24"/>
        </w:rPr>
        <w:t xml:space="preserve">4. </w:t>
      </w:r>
      <w:bookmarkStart w:name="_Toc151782179" w:id="13"/>
      <w:bookmarkStart w:name="_Toc158526219" w:id="14"/>
      <w:r w:rsidRPr="00160C23">
        <w:rPr>
          <w:sz w:val="24"/>
        </w:rPr>
        <w:t>Efforts to Identify Duplication</w:t>
      </w:r>
      <w:bookmarkEnd w:id="13"/>
      <w:bookmarkEnd w:id="14"/>
      <w:bookmarkEnd w:id="12"/>
    </w:p>
    <w:p w:rsidRPr="00160C23" w:rsidR="00050C27" w:rsidP="00050C27" w:rsidRDefault="00050C27" w14:paraId="6543A33C" w14:textId="77777777"/>
    <w:p w:rsidRPr="00160C23" w:rsidR="004B598D" w:rsidP="00932DB4" w:rsidRDefault="003068BA" w14:paraId="025D9D6A" w14:textId="69CAD67D">
      <w:r w:rsidRPr="00160C23">
        <w:t>Automatic Referral with Care Coordination</w:t>
      </w:r>
      <w:r w:rsidRPr="00160C23" w:rsidR="004B598D">
        <w:t xml:space="preserve"> builds on AHRQ’s participation in the </w:t>
      </w:r>
      <w:r w:rsidRPr="00160C23" w:rsidR="0072770B">
        <w:rPr>
          <w:rStyle w:val="st"/>
          <w:rFonts w:eastAsiaTheme="majorEastAsia"/>
        </w:rPr>
        <w:t>American Association of Cardiovascular and Pulmonary Rehabilitation</w:t>
      </w:r>
      <w:r w:rsidRPr="00160C23" w:rsidR="0072770B">
        <w:t>/Million Hearts</w:t>
      </w:r>
      <w:r w:rsidRPr="00160C23" w:rsidR="0072770B">
        <w:rPr>
          <w:vertAlign w:val="superscript"/>
        </w:rPr>
        <w:t>®</w:t>
      </w:r>
      <w:r w:rsidRPr="00160C23" w:rsidR="0072770B">
        <w:t xml:space="preserve"> (MH) Cardiac Rehabilitation Collaborative </w:t>
      </w:r>
      <w:r w:rsidRPr="00160C23" w:rsidR="004B598D">
        <w:t xml:space="preserve">and will use the materials it developed for the </w:t>
      </w:r>
      <w:r w:rsidRPr="00160C23" w:rsidR="00311394">
        <w:t>collaborative’ s</w:t>
      </w:r>
      <w:r w:rsidRPr="00160C23" w:rsidR="0072770B">
        <w:t xml:space="preserve"> Cardiac Rehabilitation Change Package</w:t>
      </w:r>
      <w:r w:rsidRPr="00160C23" w:rsidR="004B598D">
        <w:t>.</w:t>
      </w:r>
      <w:r w:rsidRPr="00160C23" w:rsidR="00A10C77">
        <w:t xml:space="preserve"> AHRQ is maintaining close contact with Million Hearts, including having a Million Hearts representative on the </w:t>
      </w:r>
      <w:r w:rsidRPr="00160C23" w:rsidR="004E0EC8">
        <w:t>TAKE</w:t>
      </w:r>
      <w:r w:rsidRPr="00160C23" w:rsidR="00932DB4">
        <w:t>h</w:t>
      </w:r>
      <w:r w:rsidRPr="00160C23" w:rsidR="004E0EC8">
        <w:t>eart T</w:t>
      </w:r>
      <w:r w:rsidRPr="00160C23" w:rsidR="00A10C77">
        <w:t>echnical Expert Panel</w:t>
      </w:r>
      <w:r w:rsidRPr="00160C23" w:rsidR="004E0EC8">
        <w:t xml:space="preserve">. </w:t>
      </w:r>
      <w:r w:rsidRPr="00160C23" w:rsidR="0017737F">
        <w:t>AHRQ intends</w:t>
      </w:r>
      <w:r w:rsidRPr="00160C23" w:rsidR="00A10C77">
        <w:t xml:space="preserve"> the results of the project to augment Million Hearts’ work. </w:t>
      </w:r>
      <w:r w:rsidRPr="00160C23" w:rsidR="004E0EC8">
        <w:t xml:space="preserve">Outreach with stakeholders indicates that this initiative aligns well with work by NIH; PCORI; CMS and CDC but does not duplicate their work. </w:t>
      </w:r>
      <w:r w:rsidRPr="00160C23" w:rsidR="00A10C77">
        <w:t>AHRQ has not identified any related work or data collection efforts.</w:t>
      </w:r>
    </w:p>
    <w:p w:rsidRPr="00160C23" w:rsidR="009B633D" w:rsidP="009B633D" w:rsidRDefault="009B633D" w14:paraId="0B9F68C6" w14:textId="77777777">
      <w:pPr>
        <w:pStyle w:val="Heading2"/>
        <w:rPr>
          <w:color w:val="000000" w:themeColor="text1"/>
          <w:sz w:val="24"/>
        </w:rPr>
      </w:pPr>
      <w:bookmarkStart w:name="_Toc151782180" w:id="15"/>
      <w:bookmarkStart w:name="_Toc158526220" w:id="16"/>
      <w:bookmarkStart w:name="_Toc29459922" w:id="17"/>
      <w:r w:rsidRPr="00160C23">
        <w:rPr>
          <w:sz w:val="24"/>
        </w:rPr>
        <w:t>5.</w:t>
      </w:r>
      <w:r w:rsidRPr="00160C23">
        <w:rPr>
          <w:color w:val="000000" w:themeColor="text1"/>
          <w:sz w:val="24"/>
        </w:rPr>
        <w:t xml:space="preserve"> Involvement of Small Entities</w:t>
      </w:r>
      <w:bookmarkEnd w:id="15"/>
      <w:bookmarkEnd w:id="16"/>
      <w:bookmarkEnd w:id="17"/>
    </w:p>
    <w:p w:rsidRPr="00160C23" w:rsidR="00DA4E5A" w:rsidP="00DA4E5A" w:rsidRDefault="00DA4E5A" w14:paraId="7D8332B7" w14:textId="3431580A">
      <w:pPr>
        <w:spacing w:before="100" w:beforeAutospacing="1" w:after="100" w:afterAutospacing="1"/>
      </w:pPr>
      <w:r w:rsidRPr="00160C23">
        <w:rPr>
          <w:color w:val="000000" w:themeColor="text1"/>
        </w:rPr>
        <w:t>Th</w:t>
      </w:r>
      <w:r w:rsidRPr="00160C23">
        <w:t>is project does not intend to intentionally involve nor exclude or impact any small entities. However, to the extent an identified and recruited health care organization meets the requirements for participation and is a small entity, we will involve them and expect no greater impact than on other participating health care organizations. The instruments and procedures used to collect data are designed to minimize the burden on all respondents.</w:t>
      </w:r>
      <w:r w:rsidRPr="00160C23" w:rsidR="006B5615">
        <w:t xml:space="preserve"> </w:t>
      </w:r>
    </w:p>
    <w:p w:rsidRPr="00160C23" w:rsidR="009B633D" w:rsidP="009B633D" w:rsidRDefault="009B633D" w14:paraId="2D3D9EED" w14:textId="77777777">
      <w:pPr>
        <w:pStyle w:val="Heading2"/>
        <w:rPr>
          <w:sz w:val="24"/>
        </w:rPr>
      </w:pPr>
      <w:bookmarkStart w:name="_Toc151782181" w:id="18"/>
      <w:bookmarkStart w:name="_Toc158526221" w:id="19"/>
      <w:bookmarkStart w:name="_Toc29459923" w:id="20"/>
      <w:r w:rsidRPr="00160C23">
        <w:rPr>
          <w:sz w:val="24"/>
        </w:rPr>
        <w:t>6. Consequences if Information Collected Less Frequently</w:t>
      </w:r>
      <w:bookmarkEnd w:id="18"/>
      <w:bookmarkEnd w:id="19"/>
      <w:bookmarkEnd w:id="20"/>
    </w:p>
    <w:p w:rsidRPr="00160C23" w:rsidR="00A4462D" w:rsidP="00A4462D" w:rsidRDefault="00A4462D" w14:paraId="2043E013" w14:textId="1687370A">
      <w:pPr>
        <w:tabs>
          <w:tab w:val="left" w:pos="2610"/>
        </w:tabs>
        <w:spacing w:before="100" w:beforeAutospacing="1" w:after="100" w:afterAutospacing="1"/>
      </w:pPr>
      <w:bookmarkStart w:name="_Toc151782182" w:id="21"/>
      <w:bookmarkStart w:name="_Toc158526222" w:id="22"/>
      <w:r w:rsidRPr="00160C23">
        <w:t xml:space="preserve">The data collection plan and procedures will be the same for both cohorts. We will collect data from </w:t>
      </w:r>
      <w:r w:rsidRPr="00160C23" w:rsidR="00703383">
        <w:t xml:space="preserve">a variety of sources </w:t>
      </w:r>
      <w:r w:rsidRPr="00160C23" w:rsidR="00146217">
        <w:t xml:space="preserve">within </w:t>
      </w:r>
      <w:r w:rsidRPr="00160C23" w:rsidR="00703383">
        <w:t>Partner Hospital</w:t>
      </w:r>
      <w:r w:rsidRPr="00160C23">
        <w:t>s</w:t>
      </w:r>
      <w:r w:rsidRPr="00160C23" w:rsidR="00703383">
        <w:t xml:space="preserve"> in order to minimize burden on any individual respondent while capturing the full experience of the </w:t>
      </w:r>
      <w:r w:rsidRPr="00160C23" w:rsidR="00932DB4">
        <w:t>intervention.</w:t>
      </w:r>
      <w:r w:rsidRPr="00160C23" w:rsidR="00703383">
        <w:t xml:space="preserve"> The planned frequency of data collection is necessary to accurately assess the adoption and effectiveness of the program.</w:t>
      </w:r>
      <w:r w:rsidRPr="00160C23">
        <w:t xml:space="preserve"> </w:t>
      </w:r>
    </w:p>
    <w:p w:rsidRPr="00160C23" w:rsidR="00A4462D" w:rsidP="00A4462D" w:rsidRDefault="00A4462D" w14:paraId="66F801F5" w14:textId="2D59B009">
      <w:pPr>
        <w:pStyle w:val="ListParagraph"/>
        <w:numPr>
          <w:ilvl w:val="0"/>
          <w:numId w:val="28"/>
        </w:numPr>
        <w:tabs>
          <w:tab w:val="left" w:pos="2610"/>
        </w:tabs>
        <w:spacing w:before="100" w:beforeAutospacing="1" w:after="100" w:afterAutospacing="1"/>
        <w:rPr>
          <w:rFonts w:ascii="Times New Roman" w:hAnsi="Times New Roman" w:cs="Times New Roman"/>
        </w:rPr>
      </w:pPr>
      <w:r w:rsidRPr="00160C23">
        <w:rPr>
          <w:rFonts w:ascii="Times New Roman" w:hAnsi="Times New Roman" w:cs="Times New Roman"/>
        </w:rPr>
        <w:t>Partner Hospitals Champion Surveys will be collected twice, at the middle and end of the cohort</w:t>
      </w:r>
      <w:r w:rsidRPr="00160C23" w:rsidR="000559B1">
        <w:rPr>
          <w:rFonts w:ascii="Times New Roman" w:hAnsi="Times New Roman" w:cs="Times New Roman"/>
        </w:rPr>
        <w:t>.</w:t>
      </w:r>
    </w:p>
    <w:p w:rsidRPr="00160C23" w:rsidR="00A4462D" w:rsidP="00A4462D" w:rsidRDefault="004C082F" w14:paraId="22DC4C7F" w14:textId="59A62873">
      <w:pPr>
        <w:pStyle w:val="ListParagraph"/>
        <w:numPr>
          <w:ilvl w:val="0"/>
          <w:numId w:val="28"/>
        </w:numPr>
        <w:tabs>
          <w:tab w:val="left" w:pos="2610"/>
        </w:tabs>
        <w:spacing w:before="100" w:beforeAutospacing="1" w:after="100" w:afterAutospacing="1"/>
        <w:rPr>
          <w:rFonts w:ascii="Times New Roman" w:hAnsi="Times New Roman" w:cs="Times New Roman"/>
        </w:rPr>
      </w:pPr>
      <w:r w:rsidRPr="00160C23">
        <w:rPr>
          <w:rFonts w:ascii="Times New Roman" w:hAnsi="Times New Roman" w:cs="Times New Roman"/>
        </w:rPr>
        <w:t xml:space="preserve">Key Informant </w:t>
      </w:r>
      <w:r w:rsidRPr="00160C23" w:rsidR="00A4462D">
        <w:rPr>
          <w:rFonts w:ascii="Times New Roman" w:hAnsi="Times New Roman" w:cs="Times New Roman"/>
        </w:rPr>
        <w:t xml:space="preserve">Interviews with </w:t>
      </w:r>
      <w:r w:rsidRPr="00160C23" w:rsidR="00532EA4">
        <w:rPr>
          <w:rFonts w:ascii="Times New Roman" w:hAnsi="Times New Roman" w:cs="Times New Roman"/>
        </w:rPr>
        <w:t xml:space="preserve">eight </w:t>
      </w:r>
      <w:r w:rsidRPr="00160C23" w:rsidR="00A4462D">
        <w:rPr>
          <w:rFonts w:ascii="Times New Roman" w:hAnsi="Times New Roman" w:cs="Times New Roman"/>
        </w:rPr>
        <w:t>Partner Hospital Champions will be performed once per cohort</w:t>
      </w:r>
      <w:r w:rsidRPr="00160C23" w:rsidR="000559B1">
        <w:rPr>
          <w:rFonts w:ascii="Times New Roman" w:hAnsi="Times New Roman" w:cs="Times New Roman"/>
        </w:rPr>
        <w:t>.</w:t>
      </w:r>
    </w:p>
    <w:p w:rsidRPr="00160C23" w:rsidR="00A4462D" w:rsidP="00A4462D" w:rsidRDefault="00A4462D" w14:paraId="0896E28C" w14:textId="5C5731EE">
      <w:pPr>
        <w:pStyle w:val="ListParagraph"/>
        <w:numPr>
          <w:ilvl w:val="0"/>
          <w:numId w:val="28"/>
        </w:numPr>
        <w:tabs>
          <w:tab w:val="left" w:pos="2610"/>
        </w:tabs>
        <w:spacing w:before="100" w:beforeAutospacing="1" w:after="100" w:afterAutospacing="1"/>
        <w:rPr>
          <w:rFonts w:ascii="Times New Roman" w:hAnsi="Times New Roman" w:cs="Times New Roman"/>
        </w:rPr>
      </w:pPr>
      <w:r w:rsidRPr="00160C23">
        <w:rPr>
          <w:rFonts w:ascii="Times New Roman" w:hAnsi="Times New Roman" w:cs="Times New Roman"/>
        </w:rPr>
        <w:t xml:space="preserve">Interviews with </w:t>
      </w:r>
      <w:r w:rsidRPr="00160C23" w:rsidR="004C082F">
        <w:rPr>
          <w:rFonts w:ascii="Times New Roman" w:hAnsi="Times New Roman" w:cs="Times New Roman"/>
        </w:rPr>
        <w:t xml:space="preserve">eight </w:t>
      </w:r>
      <w:r w:rsidRPr="00160C23">
        <w:rPr>
          <w:rFonts w:ascii="Times New Roman" w:hAnsi="Times New Roman" w:cs="Times New Roman"/>
        </w:rPr>
        <w:t>Partner Hospital cardiologists will be performed twice, near the start and at the end of each cohort, to track changes in knowledge, attitudes and behaviors.</w:t>
      </w:r>
    </w:p>
    <w:p w:rsidRPr="00160C23" w:rsidR="00A4462D" w:rsidP="00A4462D" w:rsidRDefault="00A4462D" w14:paraId="6EDCBA4C" w14:textId="18235340">
      <w:pPr>
        <w:pStyle w:val="ListParagraph"/>
        <w:numPr>
          <w:ilvl w:val="0"/>
          <w:numId w:val="28"/>
        </w:numPr>
        <w:tabs>
          <w:tab w:val="left" w:pos="2610"/>
        </w:tabs>
        <w:spacing w:before="100" w:beforeAutospacing="1" w:after="100" w:afterAutospacing="1"/>
        <w:rPr>
          <w:rFonts w:ascii="Times New Roman" w:hAnsi="Times New Roman" w:cs="Times New Roman"/>
        </w:rPr>
      </w:pPr>
      <w:r w:rsidRPr="00160C23">
        <w:rPr>
          <w:rFonts w:ascii="Times New Roman" w:hAnsi="Times New Roman" w:cs="Times New Roman"/>
        </w:rPr>
        <w:t>Interviews with Partner Hospital</w:t>
      </w:r>
      <w:r w:rsidRPr="00160C23" w:rsidR="00532EA4">
        <w:rPr>
          <w:rFonts w:ascii="Times New Roman" w:hAnsi="Times New Roman" w:cs="Times New Roman"/>
        </w:rPr>
        <w:t>s</w:t>
      </w:r>
      <w:r w:rsidRPr="00160C23">
        <w:rPr>
          <w:rFonts w:ascii="Times New Roman" w:hAnsi="Times New Roman" w:cs="Times New Roman"/>
        </w:rPr>
        <w:t xml:space="preserve"> that withdraw will be held once per hospital, for up to nine hospitals that withdraw.</w:t>
      </w:r>
    </w:p>
    <w:p w:rsidRPr="00160C23" w:rsidR="006B5615" w:rsidP="00703383" w:rsidRDefault="00A4462D" w14:paraId="0958A383" w14:textId="6202314C">
      <w:pPr>
        <w:tabs>
          <w:tab w:val="left" w:pos="2610"/>
        </w:tabs>
        <w:spacing w:before="100" w:beforeAutospacing="1" w:after="100" w:afterAutospacing="1"/>
      </w:pPr>
      <w:r w:rsidRPr="00160C23">
        <w:t xml:space="preserve">Additionally, </w:t>
      </w:r>
      <w:r w:rsidRPr="00160C23" w:rsidR="00703383">
        <w:t>t</w:t>
      </w:r>
      <w:r w:rsidRPr="00160C23" w:rsidR="006B5615">
        <w:t xml:space="preserve">he Learning Community Participant Survey will be administered </w:t>
      </w:r>
      <w:r w:rsidRPr="00160C23" w:rsidR="006B5615">
        <w:rPr>
          <w:i/>
        </w:rPr>
        <w:t>twice</w:t>
      </w:r>
      <w:r w:rsidRPr="00160C23" w:rsidR="00703383">
        <w:t xml:space="preserve"> during the entire project</w:t>
      </w:r>
      <w:r w:rsidRPr="00160C23" w:rsidR="00532EA4">
        <w:t xml:space="preserve"> while the Learning Community Follow-up Surveys will be administered </w:t>
      </w:r>
      <w:r w:rsidRPr="00160C23" w:rsidR="00532EA4">
        <w:rPr>
          <w:i/>
        </w:rPr>
        <w:t>once</w:t>
      </w:r>
      <w:r w:rsidRPr="00160C23" w:rsidR="00532EA4">
        <w:t xml:space="preserve"> for each of just ten Affinity Groups</w:t>
      </w:r>
      <w:r w:rsidRPr="00160C23" w:rsidR="00703383">
        <w:t xml:space="preserve">. </w:t>
      </w:r>
    </w:p>
    <w:p w:rsidRPr="00160C23" w:rsidR="00A4462D" w:rsidP="00703383" w:rsidRDefault="00703383" w14:paraId="0C6F2D2D" w14:textId="392EFC7D">
      <w:pPr>
        <w:tabs>
          <w:tab w:val="left" w:pos="2610"/>
        </w:tabs>
        <w:spacing w:before="100" w:beforeAutospacing="1" w:after="100" w:afterAutospacing="1"/>
      </w:pPr>
      <w:r w:rsidRPr="00160C23">
        <w:t xml:space="preserve">Not collecting the data would place us at risk of not </w:t>
      </w:r>
      <w:r w:rsidRPr="00160C23" w:rsidR="00146217">
        <w:t xml:space="preserve">obtaining </w:t>
      </w:r>
      <w:r w:rsidRPr="00160C23">
        <w:t xml:space="preserve">adequate information </w:t>
      </w:r>
      <w:r w:rsidRPr="00160C23" w:rsidR="00146217">
        <w:t>to assess</w:t>
      </w:r>
      <w:r w:rsidRPr="00160C23">
        <w:t xml:space="preserve"> the effectiveness of the training and technical assistance, and therefore </w:t>
      </w:r>
      <w:r w:rsidRPr="00160C23" w:rsidR="00246AD7">
        <w:t xml:space="preserve">reduce </w:t>
      </w:r>
      <w:r w:rsidRPr="00160C23">
        <w:t xml:space="preserve">our ability to improve (a) training and technical assistance for the second cohort of Partner Hospitals and (b) the resources to be provided online for hospitals implementing Automatic Referral and Care Coordination in the future, without the support of technical assistance. </w:t>
      </w:r>
      <w:r w:rsidRPr="00160C23" w:rsidR="00246AD7">
        <w:t xml:space="preserve">Limitations on data gathering would also reduce the </w:t>
      </w:r>
      <w:r w:rsidRPr="00160C23" w:rsidR="0017737F">
        <w:t>degree to</w:t>
      </w:r>
      <w:r w:rsidRPr="00160C23">
        <w:t xml:space="preserve"> which the </w:t>
      </w:r>
      <w:r w:rsidRPr="00160C23" w:rsidR="00246AD7">
        <w:t xml:space="preserve">project’s </w:t>
      </w:r>
      <w:r w:rsidRPr="00160C23">
        <w:t>final</w:t>
      </w:r>
      <w:r w:rsidRPr="00160C23" w:rsidR="00246AD7">
        <w:t xml:space="preserve">, publicly available </w:t>
      </w:r>
      <w:r w:rsidRPr="00160C23">
        <w:t>resources meet hospitals’ needs, and patients’ needs, related to the improvement of participation in cardiac rehabilitation.</w:t>
      </w:r>
    </w:p>
    <w:p w:rsidRPr="00160C23" w:rsidR="009B633D" w:rsidP="009B633D" w:rsidRDefault="009B633D" w14:paraId="1567C537" w14:textId="77777777">
      <w:pPr>
        <w:pStyle w:val="Heading2"/>
        <w:rPr>
          <w:sz w:val="24"/>
        </w:rPr>
      </w:pPr>
      <w:bookmarkStart w:name="_Toc29459924" w:id="23"/>
      <w:r w:rsidRPr="00160C23">
        <w:rPr>
          <w:sz w:val="24"/>
        </w:rPr>
        <w:t>7. Special Circumstances</w:t>
      </w:r>
      <w:bookmarkEnd w:id="21"/>
      <w:bookmarkEnd w:id="22"/>
      <w:bookmarkEnd w:id="23"/>
    </w:p>
    <w:p w:rsidRPr="00160C23" w:rsidR="009B633D" w:rsidP="009B633D" w:rsidRDefault="009B633D" w14:paraId="4905975C" w14:textId="77777777">
      <w:pPr>
        <w:spacing w:before="120"/>
      </w:pPr>
      <w:r w:rsidRPr="00160C23">
        <w:t>This request is consistent with the general information collection guidelines of 5 CFR 1320.5(d)(2).  No special circumstances apply.</w:t>
      </w:r>
    </w:p>
    <w:p w:rsidRPr="00160C23" w:rsidR="004E3A1B" w:rsidP="004E3A1B" w:rsidRDefault="009B633D" w14:paraId="768C9017" w14:textId="77777777">
      <w:pPr>
        <w:pStyle w:val="Heading2"/>
        <w:rPr>
          <w:sz w:val="24"/>
          <w:szCs w:val="24"/>
        </w:rPr>
      </w:pPr>
      <w:bookmarkStart w:name="_Toc151782183" w:id="24"/>
      <w:bookmarkStart w:name="_Toc158526223" w:id="25"/>
      <w:bookmarkStart w:name="_Toc29459925" w:id="26"/>
      <w:r w:rsidRPr="00160C23">
        <w:rPr>
          <w:sz w:val="24"/>
        </w:rPr>
        <w:t>8.</w:t>
      </w:r>
      <w:r w:rsidRPr="00160C23">
        <w:rPr>
          <w:sz w:val="24"/>
          <w:szCs w:val="24"/>
        </w:rPr>
        <w:t xml:space="preserve"> </w:t>
      </w:r>
      <w:bookmarkEnd w:id="24"/>
      <w:bookmarkEnd w:id="25"/>
      <w:r w:rsidRPr="00160C23" w:rsidR="004E3A1B">
        <w:rPr>
          <w:sz w:val="24"/>
          <w:szCs w:val="24"/>
        </w:rPr>
        <w:t>Federal Register Notice and Outside Consultations</w:t>
      </w:r>
      <w:bookmarkEnd w:id="26"/>
    </w:p>
    <w:p w:rsidRPr="00160C23" w:rsidR="004E3A1B" w:rsidP="004E3A1B" w:rsidRDefault="004E3A1B" w14:paraId="0980C33C" w14:textId="77777777"/>
    <w:p w:rsidRPr="00160C23" w:rsidR="00131443" w:rsidP="004E3A1B" w:rsidRDefault="004E3A1B" w14:paraId="2BCE9875" w14:textId="77777777">
      <w:pPr>
        <w:rPr>
          <w:rFonts w:ascii="Arial" w:hAnsi="Arial" w:cs="Arial"/>
          <w:b/>
          <w:bCs/>
          <w:i/>
          <w:iCs/>
        </w:rPr>
      </w:pPr>
      <w:r w:rsidRPr="00160C23">
        <w:rPr>
          <w:rFonts w:ascii="Arial" w:hAnsi="Arial" w:cs="Arial"/>
          <w:b/>
          <w:i/>
        </w:rPr>
        <w:t>8.a.</w:t>
      </w:r>
      <w:r w:rsidRPr="00160C23">
        <w:t xml:space="preserve"> </w:t>
      </w:r>
      <w:r w:rsidRPr="00160C23">
        <w:rPr>
          <w:rFonts w:ascii="Arial" w:hAnsi="Arial" w:cs="Arial"/>
          <w:b/>
          <w:bCs/>
          <w:i/>
          <w:iCs/>
        </w:rPr>
        <w:t>Federal Register Notice</w:t>
      </w:r>
    </w:p>
    <w:p w:rsidRPr="00160C23" w:rsidR="007C1ECB" w:rsidP="004E3A1B" w:rsidRDefault="007C1ECB" w14:paraId="2FBB9B2B" w14:textId="77777777"/>
    <w:p w:rsidRPr="00160C23" w:rsidR="004E3A1B" w:rsidP="004E3A1B" w:rsidRDefault="00A30D9A" w14:paraId="4B3C9238" w14:textId="44801071">
      <w:bookmarkStart w:name="OLE_LINK3" w:id="27"/>
      <w:bookmarkStart w:name="OLE_LINK4" w:id="28"/>
      <w:r w:rsidRPr="00160C23">
        <w:t xml:space="preserve">As required by </w:t>
      </w:r>
      <w:r w:rsidRPr="00160C23" w:rsidR="0037771B">
        <w:t>5 CFR 1320.8(d), n</w:t>
      </w:r>
      <w:r w:rsidRPr="00160C23" w:rsidR="009374DF">
        <w:t>otice was published in the Federal Register on</w:t>
      </w:r>
      <w:r w:rsidR="001659FF">
        <w:t xml:space="preserve"> February 4, 2020 on page 6190</w:t>
      </w:r>
      <w:r w:rsidRPr="00160C23" w:rsidR="009374DF">
        <w:t xml:space="preserve"> for 60 days</w:t>
      </w:r>
      <w:r w:rsidRPr="00160C23" w:rsidR="00016560">
        <w:t xml:space="preserve"> </w:t>
      </w:r>
      <w:r w:rsidRPr="00160C23" w:rsidR="00620B93">
        <w:t>(see A</w:t>
      </w:r>
      <w:r w:rsidRPr="00160C23" w:rsidR="00EE4455">
        <w:t xml:space="preserve">ttachment </w:t>
      </w:r>
      <w:r w:rsidRPr="00160C23" w:rsidR="002C539F">
        <w:t>B</w:t>
      </w:r>
      <w:r w:rsidRPr="00160C23" w:rsidR="00016560">
        <w:t>)</w:t>
      </w:r>
      <w:r w:rsidRPr="00160C23" w:rsidR="009374DF">
        <w:t>.</w:t>
      </w:r>
      <w:r w:rsidRPr="00160C23" w:rsidR="002C539F">
        <w:t xml:space="preserve"> </w:t>
      </w:r>
      <w:bookmarkEnd w:id="27"/>
      <w:bookmarkEnd w:id="28"/>
      <w:r w:rsidR="001659FF">
        <w:t>AHRQ did not receive comments from the public during these 60 days.</w:t>
      </w:r>
    </w:p>
    <w:p w:rsidRPr="00160C23" w:rsidR="009B633D" w:rsidP="009B633D" w:rsidRDefault="004E3A1B" w14:paraId="6DC240C3" w14:textId="77777777">
      <w:pPr>
        <w:pStyle w:val="Heading2"/>
        <w:rPr>
          <w:sz w:val="24"/>
        </w:rPr>
      </w:pPr>
      <w:bookmarkStart w:name="_Toc29459926" w:id="29"/>
      <w:r w:rsidRPr="00160C23">
        <w:rPr>
          <w:sz w:val="24"/>
        </w:rPr>
        <w:t xml:space="preserve">8.b.  </w:t>
      </w:r>
      <w:r w:rsidRPr="00160C23">
        <w:rPr>
          <w:sz w:val="24"/>
          <w:szCs w:val="24"/>
        </w:rPr>
        <w:t>Outside Consultations</w:t>
      </w:r>
      <w:bookmarkEnd w:id="29"/>
    </w:p>
    <w:p w:rsidRPr="00160C23" w:rsidR="002C7D07" w:rsidP="0064661E" w:rsidRDefault="0064661E" w14:paraId="5FE031AC" w14:textId="3894BD65">
      <w:pPr>
        <w:pStyle w:val="Default"/>
      </w:pPr>
      <w:bookmarkStart w:name="_Toc457285506" w:id="30"/>
      <w:bookmarkStart w:name="_Toc58725294" w:id="31"/>
      <w:bookmarkStart w:name="_Toc151782184" w:id="32"/>
      <w:bookmarkStart w:name="_Toc158526224" w:id="33"/>
      <w:r w:rsidRPr="00160C23">
        <w:t xml:space="preserve">The Abt team has consulted with a technical expert panel (TEP) to provide expertise and guidance to develop the plan and design for this project, including the development of a set of activities </w:t>
      </w:r>
      <w:r w:rsidRPr="00160C23" w:rsidR="00146217">
        <w:t xml:space="preserve">that </w:t>
      </w:r>
      <w:r w:rsidRPr="00160C23">
        <w:t xml:space="preserve">are critical to effective implementation of Automatic Referral with Care Coordination, development of training modules, and the evaluation for which this data collection is designed. The </w:t>
      </w:r>
      <w:r w:rsidRPr="00160C23" w:rsidR="002C7D07">
        <w:t xml:space="preserve">following experts </w:t>
      </w:r>
      <w:r w:rsidRPr="00160C23">
        <w:t xml:space="preserve">with knowledge and experience in cardiac rehabilitation, including managing </w:t>
      </w:r>
      <w:r w:rsidRPr="00160C23" w:rsidR="00247465">
        <w:t>implementation</w:t>
      </w:r>
      <w:r w:rsidRPr="00160C23">
        <w:t xml:space="preserve"> of Automatic Referral with Care Coordination at hospitals</w:t>
      </w:r>
      <w:r w:rsidRPr="00160C23" w:rsidR="002C7D07">
        <w:t>, comprise the TEP</w:t>
      </w:r>
      <w:r w:rsidRPr="00160C23" w:rsidR="00A76E0A">
        <w:t>, listed here in alphabetical order</w:t>
      </w:r>
      <w:r w:rsidRPr="00160C23" w:rsidR="002C7D07">
        <w:t>:</w:t>
      </w:r>
    </w:p>
    <w:p w:rsidRPr="00160C23" w:rsidR="00A76E0A" w:rsidP="00A76E0A" w:rsidRDefault="00A76E0A" w14:paraId="1E92EB1D" w14:textId="77777777">
      <w:pPr>
        <w:pStyle w:val="Default"/>
        <w:numPr>
          <w:ilvl w:val="0"/>
          <w:numId w:val="32"/>
        </w:numPr>
      </w:pPr>
      <w:r w:rsidRPr="00160C23">
        <w:t>Kathleen Hewitt, DNP, RN, AACC, President of American Hematology Association. Associate Vice President at American College of Cardiology until 2019.</w:t>
      </w:r>
    </w:p>
    <w:p w:rsidRPr="00160C23" w:rsidR="00A76E0A" w:rsidP="00A76E0A" w:rsidRDefault="00A76E0A" w14:paraId="05528B3C" w14:textId="77777777">
      <w:pPr>
        <w:pStyle w:val="Default"/>
        <w:numPr>
          <w:ilvl w:val="0"/>
          <w:numId w:val="32"/>
        </w:numPr>
      </w:pPr>
      <w:r w:rsidRPr="00160C23">
        <w:t>Preeti Kolankarai, MIS, Patient Portfolio Advisor with the American Heart Association (AHA),</w:t>
      </w:r>
    </w:p>
    <w:p w:rsidRPr="00160C23" w:rsidR="00A76E0A" w:rsidP="00A76E0A" w:rsidRDefault="00A76E0A" w14:paraId="4AB42C27" w14:textId="77777777">
      <w:pPr>
        <w:pStyle w:val="Default"/>
        <w:numPr>
          <w:ilvl w:val="0"/>
          <w:numId w:val="32"/>
        </w:numPr>
      </w:pPr>
      <w:r w:rsidRPr="00160C23">
        <w:t>Cara Lewis, Ph.D., HSPP, licensed clinical psychologist and Beck Scholar recognized by the Beck Institute for Cognitive Behavioral Therapy; President of the Society for Implementation Research Collaboration.</w:t>
      </w:r>
    </w:p>
    <w:p w:rsidRPr="00160C23" w:rsidR="00A76E0A" w:rsidP="00A76E0A" w:rsidRDefault="00A76E0A" w14:paraId="7D0EA636" w14:textId="77777777">
      <w:pPr>
        <w:pStyle w:val="Default"/>
        <w:numPr>
          <w:ilvl w:val="0"/>
          <w:numId w:val="32"/>
        </w:numPr>
      </w:pPr>
      <w:r w:rsidRPr="00160C23">
        <w:t xml:space="preserve">Karen Lui, RN, MS, FAACVPR, of GRQ, LLC has directed hospital-based cardiac rehabilitation (CR) programs and cardiology practice-based cardiac rehab programs for 25 years. </w:t>
      </w:r>
    </w:p>
    <w:p w:rsidRPr="00160C23" w:rsidR="00A76E0A" w:rsidP="00A76E0A" w:rsidRDefault="00A76E0A" w14:paraId="360B61D9" w14:textId="77777777">
      <w:pPr>
        <w:pStyle w:val="Default"/>
        <w:numPr>
          <w:ilvl w:val="0"/>
          <w:numId w:val="32"/>
        </w:numPr>
      </w:pPr>
      <w:r w:rsidRPr="00160C23">
        <w:t>Amy Miller, MD, PhD, board certified in both cardiovascular medicine and clinical informatics; overseeing the clinical informatics team at Partners eCare and serving as the clinical informatics lead for implementation of automatic referral module of Epic.</w:t>
      </w:r>
    </w:p>
    <w:p w:rsidRPr="00160C23" w:rsidR="00A76E0A" w:rsidP="00A76E0A" w:rsidRDefault="00A76E0A" w14:paraId="6DB5A1F6" w14:textId="77777777">
      <w:pPr>
        <w:pStyle w:val="Default"/>
        <w:numPr>
          <w:ilvl w:val="0"/>
          <w:numId w:val="32"/>
        </w:numPr>
      </w:pPr>
      <w:r w:rsidRPr="00160C23">
        <w:t>Ana Mola, PhD, RN, ANP-BC, MAACVPR, Director of Care Transitions and Population Health Management Department of Care Management for New York University Medical Center. Current President of the American Association of Cardiovascular and Pulmonary Rehabilitation.</w:t>
      </w:r>
    </w:p>
    <w:p w:rsidRPr="00160C23" w:rsidR="00A76E0A" w:rsidP="00A76E0A" w:rsidRDefault="00A76E0A" w14:paraId="6C135C4A" w14:textId="77777777">
      <w:pPr>
        <w:pStyle w:val="Default"/>
        <w:numPr>
          <w:ilvl w:val="0"/>
          <w:numId w:val="32"/>
        </w:numPr>
      </w:pPr>
      <w:r w:rsidRPr="00160C23">
        <w:t>Susan Rogers, American College of Cardiology.</w:t>
      </w:r>
    </w:p>
    <w:p w:rsidRPr="00160C23" w:rsidR="00A76E0A" w:rsidP="00A76E0A" w:rsidRDefault="00A76E0A" w14:paraId="3DC881E3" w14:textId="77777777">
      <w:pPr>
        <w:pStyle w:val="Default"/>
        <w:numPr>
          <w:ilvl w:val="0"/>
          <w:numId w:val="32"/>
        </w:numPr>
      </w:pPr>
      <w:r w:rsidRPr="00160C23">
        <w:t>Tara Bristol Rouse, MA Patient and Family Engagement Project Consultant for the American Hospital Association’s Health Research and Educational Trust.</w:t>
      </w:r>
    </w:p>
    <w:p w:rsidRPr="00160C23" w:rsidR="00A76E0A" w:rsidP="00A76E0A" w:rsidRDefault="00A76E0A" w14:paraId="502BB6CF" w14:textId="77777777">
      <w:pPr>
        <w:pStyle w:val="Default"/>
        <w:numPr>
          <w:ilvl w:val="0"/>
          <w:numId w:val="32"/>
        </w:numPr>
      </w:pPr>
      <w:r w:rsidRPr="00160C23">
        <w:t xml:space="preserve">Calondra Tibbs, MPH, PhD, Chief Operating Officer at WomenHeart: The National Coalition for Women with Heart Disease. </w:t>
      </w:r>
    </w:p>
    <w:p w:rsidRPr="00160C23" w:rsidR="00A76E0A" w:rsidP="00A76E0A" w:rsidRDefault="00A76E0A" w14:paraId="3810F8C5" w14:textId="77777777">
      <w:pPr>
        <w:pStyle w:val="Default"/>
        <w:numPr>
          <w:ilvl w:val="0"/>
          <w:numId w:val="32"/>
        </w:numPr>
      </w:pPr>
      <w:r w:rsidRPr="00160C23">
        <w:t>Kathleen Traynor, RN, MS, FAACVPR, Director of Cardiovascular Disease Prevention at Massachusetts General Hospital since 1992. Immediate past President of the American Association of Cardiovascular and Pulmonary Rehabilitation.</w:t>
      </w:r>
    </w:p>
    <w:p w:rsidRPr="00160C23" w:rsidR="002C7D07" w:rsidP="00EC6845" w:rsidRDefault="00A76E0A" w14:paraId="112B5743" w14:textId="4E9CC4B1">
      <w:pPr>
        <w:pStyle w:val="Default"/>
        <w:numPr>
          <w:ilvl w:val="0"/>
          <w:numId w:val="32"/>
        </w:numPr>
      </w:pPr>
      <w:r w:rsidRPr="00160C23">
        <w:t xml:space="preserve">Hilary Wall, MPH, Senior Scientist in the Division for Heart Disease and Stroke Prevention at the Centers for Disease Control and Prevention (CDC); Science Lead for Million Hearts®, a national initiative co-led by CDC and the Centers for Medicare &amp; Medicaid Services with the goal of preventing one million heart attacks and strokes by 2022.  </w:t>
      </w:r>
    </w:p>
    <w:p w:rsidR="00DD44AB" w:rsidP="0064661E" w:rsidRDefault="00DD44AB" w14:paraId="26B9257B" w14:textId="77777777">
      <w:pPr>
        <w:pStyle w:val="Default"/>
      </w:pPr>
    </w:p>
    <w:p w:rsidRPr="00160C23" w:rsidR="0064661E" w:rsidP="0064661E" w:rsidRDefault="0064661E" w14:paraId="64B89F1D" w14:textId="73907082">
      <w:pPr>
        <w:pStyle w:val="Default"/>
      </w:pPr>
      <w:r w:rsidRPr="00160C23">
        <w:t xml:space="preserve">The first TEP meeting was held in-person on July 10, 2019. The second TEP meeting, </w:t>
      </w:r>
      <w:r w:rsidRPr="00160C23" w:rsidR="000559B1">
        <w:t xml:space="preserve">was held on </w:t>
      </w:r>
      <w:r w:rsidRPr="00160C23">
        <w:t xml:space="preserve">October 23, 2019. </w:t>
      </w:r>
    </w:p>
    <w:p w:rsidRPr="003E3CA1" w:rsidR="0038217D" w:rsidP="0038217D" w:rsidRDefault="009B633D" w14:paraId="2EFCFDC8" w14:textId="1BA0941E">
      <w:pPr>
        <w:pStyle w:val="Heading2"/>
        <w:rPr>
          <w:sz w:val="24"/>
          <w:szCs w:val="24"/>
        </w:rPr>
      </w:pPr>
      <w:bookmarkStart w:name="_Toc29459927" w:id="34"/>
      <w:r w:rsidRPr="00762CE3">
        <w:rPr>
          <w:sz w:val="24"/>
          <w:szCs w:val="24"/>
        </w:rPr>
        <w:t>9. Payments/Gifts to Respondents</w:t>
      </w:r>
      <w:bookmarkEnd w:id="30"/>
      <w:bookmarkEnd w:id="31"/>
      <w:bookmarkEnd w:id="32"/>
      <w:bookmarkEnd w:id="33"/>
      <w:bookmarkEnd w:id="34"/>
    </w:p>
    <w:p w:rsidRPr="00160C23" w:rsidR="000E4044" w:rsidP="00443427" w:rsidRDefault="000E4044" w14:paraId="3C096296" w14:textId="625D4F19">
      <w:pPr>
        <w:pStyle w:val="BodyText"/>
      </w:pPr>
      <w:r w:rsidRPr="00160C23">
        <w:t xml:space="preserve">No respondents will receive payments or gifts. </w:t>
      </w:r>
    </w:p>
    <w:p w:rsidRPr="00160C23" w:rsidR="0082687A" w:rsidP="0082687A" w:rsidRDefault="0082687A" w14:paraId="4ECCAC61" w14:textId="1DB295EB">
      <w:pPr>
        <w:pStyle w:val="BodyText"/>
      </w:pPr>
      <w:r w:rsidRPr="00160C23">
        <w:t xml:space="preserve">Both </w:t>
      </w:r>
      <w:r w:rsidRPr="00160C23" w:rsidR="00602C8A">
        <w:t>Partner Hospital</w:t>
      </w:r>
      <w:r w:rsidRPr="00160C23">
        <w:t xml:space="preserve"> and Learning Community participants will have access to evidence-base</w:t>
      </w:r>
      <w:r w:rsidRPr="00160C23" w:rsidR="004C082F">
        <w:t>d</w:t>
      </w:r>
      <w:r w:rsidRPr="00160C23">
        <w:t xml:space="preserve">, high-quality information through the website and webinars. </w:t>
      </w:r>
      <w:r w:rsidRPr="00160C23" w:rsidR="00602C8A">
        <w:t>Partner Hospitals</w:t>
      </w:r>
      <w:r w:rsidRPr="00160C23">
        <w:t xml:space="preserve"> will also receive free technical assistance.</w:t>
      </w:r>
    </w:p>
    <w:p w:rsidRPr="00160C23" w:rsidR="000E4044" w:rsidP="00443427" w:rsidRDefault="00602C8A" w14:paraId="4F17F260" w14:textId="785D1762">
      <w:pPr>
        <w:pStyle w:val="BodyText"/>
      </w:pPr>
      <w:r w:rsidRPr="00160C23">
        <w:t>Partner Hospitals</w:t>
      </w:r>
      <w:r w:rsidRPr="00160C23" w:rsidR="00DF7AF8">
        <w:t xml:space="preserve"> </w:t>
      </w:r>
      <w:r w:rsidRPr="00160C23" w:rsidR="002C7D07">
        <w:t xml:space="preserve">which submit data on referral to cardiac rehabilitation </w:t>
      </w:r>
      <w:r w:rsidRPr="00160C23" w:rsidR="00DF7AF8">
        <w:t xml:space="preserve">will </w:t>
      </w:r>
      <w:r w:rsidRPr="00160C23" w:rsidR="002C7D07">
        <w:t xml:space="preserve">receive </w:t>
      </w:r>
      <w:r w:rsidRPr="00160C23" w:rsidR="00DF7AF8">
        <w:t>quarterly Feedback Reports</w:t>
      </w:r>
      <w:r w:rsidRPr="00160C23" w:rsidR="002C7D07">
        <w:t xml:space="preserve"> which can compare the hospital’s data to a comparator of interest: other participating hospitals, their referral rate at baseline, or the </w:t>
      </w:r>
      <w:r w:rsidRPr="00160C23" w:rsidR="00DF7AF8">
        <w:t>goal of 70 percent of eligible patients being referred. CR referral is increasingly used in performance measurement</w:t>
      </w:r>
      <w:r w:rsidRPr="00160C23" w:rsidR="0006722B">
        <w:t>,</w:t>
      </w:r>
      <w:r w:rsidRPr="00160C23" w:rsidR="00DF7AF8">
        <w:t xml:space="preserve"> and many hospitals may be interested in these data.</w:t>
      </w:r>
      <w:r w:rsidRPr="00160C23" w:rsidR="002C7D07">
        <w:t xml:space="preserve"> If hospital choose, their Feedback Reports will be customized to allow interested Partner Hospitals to filter data by referring cardiologist or by CR facility.</w:t>
      </w:r>
    </w:p>
    <w:p w:rsidRPr="00160C23" w:rsidR="009B633D" w:rsidP="009B633D" w:rsidRDefault="009B633D" w14:paraId="7883C2D6" w14:textId="77777777">
      <w:pPr>
        <w:pStyle w:val="Heading2"/>
        <w:rPr>
          <w:sz w:val="24"/>
        </w:rPr>
      </w:pPr>
      <w:bookmarkStart w:name="_Toc151782185" w:id="35"/>
      <w:bookmarkStart w:name="_Toc158526225" w:id="36"/>
      <w:bookmarkStart w:name="_Toc29459928" w:id="37"/>
      <w:r w:rsidRPr="00160C23">
        <w:rPr>
          <w:sz w:val="24"/>
        </w:rPr>
        <w:t>10. Assurance of Confidentiality</w:t>
      </w:r>
      <w:bookmarkEnd w:id="35"/>
      <w:bookmarkEnd w:id="36"/>
      <w:bookmarkEnd w:id="37"/>
    </w:p>
    <w:p w:rsidRPr="00160C23" w:rsidR="008F0B8B" w:rsidP="008F0B8B" w:rsidRDefault="00012921" w14:paraId="71D6801A" w14:textId="77777777">
      <w:pPr>
        <w:autoSpaceDE w:val="0"/>
        <w:autoSpaceDN w:val="0"/>
        <w:adjustRightInd w:val="0"/>
      </w:pPr>
      <w:r w:rsidRPr="00160C23">
        <w:t>Individuals and organizations will be assured of the confidentiality of their replies under Section 944(c) of the Public Health Service Act.  42 U.S.C. 299c-3(c).  That law r</w:t>
      </w:r>
      <w:bookmarkStart w:name="_GoBack" w:id="38"/>
      <w:bookmarkEnd w:id="38"/>
      <w:r w:rsidRPr="00160C23">
        <w:t>equires that information collected for research conducted or supported by AHRQ that identifies individuals or establishments be used only for the purpose for which it was supplied.</w:t>
      </w:r>
      <w:r w:rsidRPr="00160C23" w:rsidR="008F0B8B">
        <w:t xml:space="preserve"> </w:t>
      </w:r>
    </w:p>
    <w:p w:rsidRPr="00160C23" w:rsidR="009B633D" w:rsidP="009B633D" w:rsidRDefault="009B633D" w14:paraId="30B59D1B" w14:textId="77777777">
      <w:pPr>
        <w:pStyle w:val="Heading2"/>
        <w:rPr>
          <w:sz w:val="24"/>
        </w:rPr>
      </w:pPr>
      <w:bookmarkStart w:name="_Toc151782186" w:id="39"/>
      <w:bookmarkStart w:name="_Toc158526226" w:id="40"/>
      <w:bookmarkStart w:name="_Toc29459929" w:id="41"/>
      <w:r w:rsidRPr="00160C23">
        <w:rPr>
          <w:sz w:val="24"/>
        </w:rPr>
        <w:t>11. Questions of a Sensitive Nature</w:t>
      </w:r>
      <w:bookmarkEnd w:id="39"/>
      <w:bookmarkEnd w:id="40"/>
      <w:bookmarkEnd w:id="41"/>
    </w:p>
    <w:p w:rsidRPr="00160C23" w:rsidR="0089365B" w:rsidP="0089365B" w:rsidRDefault="0089365B" w14:paraId="4258D10D" w14:textId="3C451F77">
      <w:pPr>
        <w:rPr>
          <w:spacing w:val="4"/>
          <w:u w:val="single"/>
        </w:rPr>
      </w:pPr>
      <w:r w:rsidRPr="00160C23">
        <w:rPr>
          <w:spacing w:val="6"/>
        </w:rPr>
        <w:t xml:space="preserve">The data collection protocols do not contain any questions concerning political affiliations and attitudes; respondents’ mental or psychological problems; illegal, antisocial, self-incriminating or demeaning behavior; critical appraisals of other individuals with whom respondents have close relationships; </w:t>
      </w:r>
      <w:r w:rsidRPr="00160C23" w:rsidR="0033343C">
        <w:rPr>
          <w:spacing w:val="6"/>
        </w:rPr>
        <w:t>legally privileged relationships; or records describing how an individual exercises First Amendment rights. Nor do they contain questions related to</w:t>
      </w:r>
      <w:r w:rsidRPr="00160C23">
        <w:rPr>
          <w:spacing w:val="6"/>
        </w:rPr>
        <w:t xml:space="preserve"> sexual behavior and </w:t>
      </w:r>
      <w:r w:rsidRPr="00160C23">
        <w:rPr>
          <w:spacing w:val="4"/>
        </w:rPr>
        <w:t xml:space="preserve">attitudes, religious beliefs, income or proprietary business information. </w:t>
      </w:r>
      <w:r w:rsidRPr="00160C23">
        <w:rPr>
          <w:spacing w:val="6"/>
        </w:rPr>
        <w:t xml:space="preserve">Respondents to the survey will be explicitly informed that their participation is </w:t>
      </w:r>
      <w:r w:rsidRPr="00160C23">
        <w:rPr>
          <w:spacing w:val="4"/>
        </w:rPr>
        <w:t>voluntary, information they provide is confidential to the extent provided by law, and they may choose to withdraw from the study or not respond to specific items without penalty. We will also remo</w:t>
      </w:r>
      <w:r w:rsidRPr="00160C23" w:rsidR="0033343C">
        <w:rPr>
          <w:spacing w:val="4"/>
        </w:rPr>
        <w:t>ve individual staff and health care organization</w:t>
      </w:r>
      <w:r w:rsidRPr="00160C23">
        <w:rPr>
          <w:spacing w:val="4"/>
        </w:rPr>
        <w:t xml:space="preserve"> names from written interview records and reports to maintain respondent confidentiality.</w:t>
      </w:r>
      <w:r w:rsidRPr="00160C23" w:rsidR="001D6F61">
        <w:rPr>
          <w:spacing w:val="4"/>
        </w:rPr>
        <w:t xml:space="preserve"> </w:t>
      </w:r>
      <w:r w:rsidRPr="00160C23" w:rsidR="001D6F61">
        <w:rPr>
          <w:spacing w:val="4"/>
          <w:u w:val="single"/>
        </w:rPr>
        <w:t xml:space="preserve">Data on patient </w:t>
      </w:r>
      <w:r w:rsidRPr="00160C23" w:rsidR="0006722B">
        <w:rPr>
          <w:spacing w:val="4"/>
          <w:u w:val="single"/>
        </w:rPr>
        <w:t>referrals</w:t>
      </w:r>
      <w:r w:rsidRPr="00160C23" w:rsidR="001D6F61">
        <w:rPr>
          <w:spacing w:val="4"/>
          <w:u w:val="single"/>
        </w:rPr>
        <w:t xml:space="preserve"> will only provide referral </w:t>
      </w:r>
      <w:r w:rsidRPr="00160C23" w:rsidR="00133B65">
        <w:rPr>
          <w:spacing w:val="4"/>
          <w:u w:val="single"/>
        </w:rPr>
        <w:t>d</w:t>
      </w:r>
      <w:r w:rsidRPr="00160C23" w:rsidR="001D6F61">
        <w:rPr>
          <w:spacing w:val="4"/>
          <w:u w:val="single"/>
        </w:rPr>
        <w:t xml:space="preserve">ates. No data will be obtained on individual conditions, needs, or care received. </w:t>
      </w:r>
    </w:p>
    <w:p w:rsidRPr="00160C23" w:rsidR="009B633D" w:rsidP="009B633D" w:rsidRDefault="009B633D" w14:paraId="3B0D1866" w14:textId="77777777">
      <w:pPr>
        <w:pStyle w:val="Heading2"/>
        <w:rPr>
          <w:sz w:val="24"/>
        </w:rPr>
      </w:pPr>
      <w:bookmarkStart w:name="_Toc151782187" w:id="42"/>
      <w:bookmarkStart w:name="_Toc158526227" w:id="43"/>
      <w:bookmarkStart w:name="_Toc29459930" w:id="44"/>
      <w:r w:rsidRPr="00160C23">
        <w:rPr>
          <w:sz w:val="24"/>
        </w:rPr>
        <w:t>12. Estimates of Annualized Burden Hours and Costs</w:t>
      </w:r>
      <w:bookmarkEnd w:id="42"/>
      <w:bookmarkEnd w:id="43"/>
      <w:bookmarkEnd w:id="44"/>
    </w:p>
    <w:p w:rsidRPr="00160C23" w:rsidR="0033343C" w:rsidP="00F94F66" w:rsidRDefault="0033343C" w14:paraId="006DD4C1" w14:textId="6CF21FD9">
      <w:pPr>
        <w:rPr>
          <w:bCs/>
        </w:rPr>
      </w:pPr>
      <w:r w:rsidRPr="00160C23">
        <w:t xml:space="preserve">Exhibit </w:t>
      </w:r>
      <w:r w:rsidRPr="00160C23" w:rsidR="00FB6C9B">
        <w:t>2</w:t>
      </w:r>
      <w:r w:rsidRPr="00160C23">
        <w:t xml:space="preserve"> presents estimates of the reporting burden hours for the data collection efforts. </w:t>
      </w:r>
      <w:r w:rsidRPr="00160C23">
        <w:rPr>
          <w:spacing w:val="6"/>
        </w:rPr>
        <w:t xml:space="preserve">Time estimates are based on </w:t>
      </w:r>
      <w:r w:rsidRPr="00160C23">
        <w:t>prior experiences and what can reasonably be requested of participating health care organizations</w:t>
      </w:r>
      <w:r w:rsidRPr="00762CE3">
        <w:t>.</w:t>
      </w:r>
      <w:r w:rsidRPr="00762CE3">
        <w:rPr>
          <w:spacing w:val="6"/>
        </w:rPr>
        <w:t xml:space="preserve"> The number of respondents listed in column A, Exhibit </w:t>
      </w:r>
      <w:r w:rsidRPr="00762CE3" w:rsidR="00FB6C9B">
        <w:rPr>
          <w:spacing w:val="6"/>
        </w:rPr>
        <w:t>2</w:t>
      </w:r>
      <w:r w:rsidRPr="00762CE3">
        <w:rPr>
          <w:spacing w:val="6"/>
        </w:rPr>
        <w:t xml:space="preserve"> reflects a projected </w:t>
      </w:r>
      <w:r w:rsidRPr="00762CE3" w:rsidR="007F21D5">
        <w:rPr>
          <w:spacing w:val="6"/>
        </w:rPr>
        <w:t>90%</w:t>
      </w:r>
      <w:r w:rsidRPr="00762CE3">
        <w:rPr>
          <w:spacing w:val="6"/>
        </w:rPr>
        <w:t xml:space="preserve"> response rate</w:t>
      </w:r>
      <w:r w:rsidRPr="00762CE3" w:rsidR="007F21D5">
        <w:rPr>
          <w:spacing w:val="6"/>
        </w:rPr>
        <w:t xml:space="preserve"> for data collection effort</w:t>
      </w:r>
      <w:r w:rsidRPr="00762CE3">
        <w:rPr>
          <w:spacing w:val="6"/>
        </w:rPr>
        <w:t xml:space="preserve"> </w:t>
      </w:r>
      <w:r w:rsidRPr="00762CE3" w:rsidR="007F21D5">
        <w:rPr>
          <w:spacing w:val="6"/>
        </w:rPr>
        <w:t>1, and a</w:t>
      </w:r>
      <w:r w:rsidRPr="00762CE3" w:rsidR="008366BE">
        <w:rPr>
          <w:spacing w:val="6"/>
        </w:rPr>
        <w:t>n</w:t>
      </w:r>
      <w:r w:rsidRPr="00762CE3" w:rsidR="007F21D5">
        <w:rPr>
          <w:spacing w:val="6"/>
        </w:rPr>
        <w:t xml:space="preserve"> </w:t>
      </w:r>
      <w:r w:rsidRPr="00762CE3" w:rsidR="002E1F67">
        <w:rPr>
          <w:spacing w:val="6"/>
        </w:rPr>
        <w:t>80</w:t>
      </w:r>
      <w:r w:rsidRPr="00762CE3" w:rsidR="007F21D5">
        <w:rPr>
          <w:spacing w:val="6"/>
        </w:rPr>
        <w:t>% response rate for effort</w:t>
      </w:r>
      <w:r w:rsidRPr="00762CE3" w:rsidR="00320A7D">
        <w:rPr>
          <w:spacing w:val="6"/>
        </w:rPr>
        <w:t>s</w:t>
      </w:r>
      <w:r w:rsidRPr="00762CE3" w:rsidR="007F21D5">
        <w:rPr>
          <w:spacing w:val="6"/>
        </w:rPr>
        <w:t xml:space="preserve"> </w:t>
      </w:r>
      <w:r w:rsidRPr="00762CE3" w:rsidR="000A6E87">
        <w:rPr>
          <w:spacing w:val="6"/>
        </w:rPr>
        <w:t>3</w:t>
      </w:r>
      <w:r w:rsidRPr="00762CE3" w:rsidR="00320A7D">
        <w:rPr>
          <w:spacing w:val="6"/>
        </w:rPr>
        <w:t xml:space="preserve"> and </w:t>
      </w:r>
      <w:r w:rsidRPr="00762CE3" w:rsidR="000A6E87">
        <w:rPr>
          <w:spacing w:val="6"/>
        </w:rPr>
        <w:t>4</w:t>
      </w:r>
      <w:r w:rsidRPr="00762CE3" w:rsidR="007F21D5">
        <w:rPr>
          <w:spacing w:val="6"/>
        </w:rPr>
        <w:t xml:space="preserve"> below</w:t>
      </w:r>
      <w:r w:rsidRPr="00762CE3">
        <w:rPr>
          <w:spacing w:val="6"/>
        </w:rPr>
        <w:t>.</w:t>
      </w:r>
      <w:r w:rsidRPr="00160C23">
        <w:rPr>
          <w:spacing w:val="6"/>
        </w:rPr>
        <w:br/>
      </w:r>
    </w:p>
    <w:p w:rsidRPr="00B6114A" w:rsidR="00D95F8A" w:rsidP="00D50D91" w:rsidRDefault="00A76E0A" w14:paraId="63AF00EF" w14:textId="0B12CF5E">
      <w:pPr>
        <w:numPr>
          <w:ilvl w:val="0"/>
          <w:numId w:val="16"/>
        </w:numPr>
        <w:spacing w:after="240"/>
      </w:pPr>
      <w:r w:rsidRPr="00160C23">
        <w:rPr>
          <w:b/>
          <w:color w:val="000000" w:themeColor="text1"/>
        </w:rPr>
        <w:t>Partner Hospital Champion Survey.</w:t>
      </w:r>
      <w:r w:rsidRPr="00160C23">
        <w:rPr>
          <w:color w:val="000000" w:themeColor="text1"/>
        </w:rPr>
        <w:t xml:space="preserve"> </w:t>
      </w:r>
      <w:r w:rsidRPr="00B6114A" w:rsidR="00D95F8A">
        <w:t xml:space="preserve">We assumed </w:t>
      </w:r>
      <w:r w:rsidR="00D50D91">
        <w:t xml:space="preserve">113 hospital champions </w:t>
      </w:r>
      <w:r w:rsidRPr="00B6114A" w:rsidR="00D95F8A">
        <w:t xml:space="preserve">will complete the survey based on a </w:t>
      </w:r>
      <w:r w:rsidR="00D50D91">
        <w:t>90</w:t>
      </w:r>
      <w:r w:rsidRPr="00B6114A" w:rsidR="00D95F8A">
        <w:t xml:space="preserve">% response rate. It is expected to take </w:t>
      </w:r>
      <w:r w:rsidR="00D95F8A">
        <w:t xml:space="preserve">up to </w:t>
      </w:r>
      <w:r w:rsidR="00D50D91">
        <w:t>4</w:t>
      </w:r>
      <w:r w:rsidRPr="00F94F66" w:rsidR="00D95F8A">
        <w:t>5</w:t>
      </w:r>
      <w:r w:rsidRPr="00B6114A" w:rsidR="00D95F8A">
        <w:t xml:space="preserve"> minutes to complete</w:t>
      </w:r>
      <w:r w:rsidR="00D50D91">
        <w:t xml:space="preserve"> for a total of 169.5 hours to complete</w:t>
      </w:r>
      <w:r w:rsidRPr="00B6114A" w:rsidR="00D95F8A">
        <w:t xml:space="preserve">. </w:t>
      </w:r>
      <w:r w:rsidRPr="00160C23" w:rsidR="00D50D91">
        <w:rPr>
          <w:color w:val="000000" w:themeColor="text1"/>
        </w:rPr>
        <w:t>(Attachment C)</w:t>
      </w:r>
    </w:p>
    <w:p w:rsidRPr="00160C23" w:rsidR="002012BC" w:rsidP="00762CE3" w:rsidRDefault="007F21D5" w14:paraId="30361977" w14:textId="4973DEB6">
      <w:pPr>
        <w:pStyle w:val="ListParagraph"/>
        <w:numPr>
          <w:ilvl w:val="0"/>
          <w:numId w:val="16"/>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 xml:space="preserve">Partner Hospital </w:t>
      </w:r>
      <w:r w:rsidRPr="00160C23" w:rsidR="00A76E0A">
        <w:rPr>
          <w:rFonts w:ascii="Times New Roman" w:hAnsi="Times New Roman" w:cs="Times New Roman"/>
          <w:b/>
          <w:color w:val="000000" w:themeColor="text1"/>
        </w:rPr>
        <w:t>Interviews.</w:t>
      </w:r>
      <w:r w:rsidRPr="00160C23" w:rsidR="00A76E0A">
        <w:rPr>
          <w:rFonts w:ascii="Times New Roman" w:hAnsi="Times New Roman" w:cs="Times New Roman"/>
          <w:color w:val="000000" w:themeColor="text1"/>
        </w:rPr>
        <w:t xml:space="preserve"> </w:t>
      </w:r>
      <w:r w:rsidRPr="00160C23" w:rsidR="002012BC">
        <w:rPr>
          <w:rFonts w:ascii="Times New Roman" w:hAnsi="Times New Roman" w:cs="Times New Roman"/>
          <w:color w:val="000000" w:themeColor="text1"/>
        </w:rPr>
        <w:t xml:space="preserve">In-depth interviews will occur with select Partner Hospital staff. </w:t>
      </w:r>
    </w:p>
    <w:p w:rsidRPr="00160C23" w:rsidR="00A76E0A" w:rsidP="007F21D5" w:rsidRDefault="007F21D5" w14:paraId="53D06C0E" w14:textId="6D5E9528">
      <w:pPr>
        <w:pStyle w:val="ListParagraph"/>
        <w:numPr>
          <w:ilvl w:val="1"/>
          <w:numId w:val="33"/>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Interviews with Partner Hospital Champions.</w:t>
      </w:r>
      <w:r w:rsidRPr="00160C23">
        <w:rPr>
          <w:rFonts w:ascii="Times New Roman" w:hAnsi="Times New Roman" w:cs="Times New Roman"/>
          <w:color w:val="000000" w:themeColor="text1"/>
        </w:rPr>
        <w:t xml:space="preserve"> </w:t>
      </w:r>
      <w:r w:rsidRPr="00160C23" w:rsidR="00A76E0A">
        <w:rPr>
          <w:rFonts w:ascii="Times New Roman" w:hAnsi="Times New Roman" w:cs="Times New Roman"/>
          <w:color w:val="000000" w:themeColor="text1"/>
        </w:rPr>
        <w:t xml:space="preserve">We will </w:t>
      </w:r>
      <w:r w:rsidRPr="00160C23">
        <w:rPr>
          <w:rFonts w:ascii="Times New Roman" w:hAnsi="Times New Roman" w:cs="Times New Roman"/>
          <w:color w:val="000000" w:themeColor="text1"/>
        </w:rPr>
        <w:t xml:space="preserve">have a single, </w:t>
      </w:r>
      <w:r w:rsidRPr="00160C23" w:rsidR="00B55CD8">
        <w:rPr>
          <w:rFonts w:ascii="Times New Roman" w:hAnsi="Times New Roman" w:cs="Times New Roman"/>
          <w:color w:val="000000" w:themeColor="text1"/>
        </w:rPr>
        <w:t xml:space="preserve">90 minute </w:t>
      </w:r>
      <w:r w:rsidRPr="00160C23">
        <w:rPr>
          <w:rFonts w:ascii="Times New Roman" w:hAnsi="Times New Roman" w:cs="Times New Roman"/>
          <w:color w:val="000000" w:themeColor="text1"/>
        </w:rPr>
        <w:t xml:space="preserve">interview with </w:t>
      </w:r>
      <w:r w:rsidRPr="00160C23" w:rsidR="0058724A">
        <w:rPr>
          <w:rFonts w:ascii="Times New Roman" w:hAnsi="Times New Roman" w:cs="Times New Roman"/>
          <w:color w:val="000000" w:themeColor="text1"/>
        </w:rPr>
        <w:t>eight</w:t>
      </w:r>
      <w:r w:rsidRPr="00160C23" w:rsidR="00A76E0A">
        <w:rPr>
          <w:rFonts w:ascii="Times New Roman" w:hAnsi="Times New Roman" w:cs="Times New Roman"/>
          <w:color w:val="000000" w:themeColor="text1"/>
        </w:rPr>
        <w:t xml:space="preserve"> Partner Hospital</w:t>
      </w:r>
      <w:r w:rsidRPr="00160C23" w:rsidR="000559B1">
        <w:rPr>
          <w:rFonts w:ascii="Times New Roman" w:hAnsi="Times New Roman" w:cs="Times New Roman"/>
          <w:color w:val="000000" w:themeColor="text1"/>
        </w:rPr>
        <w:t xml:space="preserve"> Champions</w:t>
      </w:r>
      <w:r w:rsidR="00EA5CF2">
        <w:rPr>
          <w:rFonts w:ascii="Times New Roman" w:hAnsi="Times New Roman" w:cs="Times New Roman"/>
          <w:color w:val="000000" w:themeColor="text1"/>
        </w:rPr>
        <w:t>,</w:t>
      </w:r>
      <w:r w:rsidRPr="00160C23" w:rsidR="00A76E0A">
        <w:rPr>
          <w:rFonts w:ascii="Times New Roman" w:hAnsi="Times New Roman" w:cs="Times New Roman"/>
          <w:color w:val="000000" w:themeColor="text1"/>
        </w:rPr>
        <w:t xml:space="preserve"> </w:t>
      </w:r>
      <w:r w:rsidRPr="00160C23" w:rsidR="008366BE">
        <w:rPr>
          <w:rFonts w:ascii="Times New Roman" w:hAnsi="Times New Roman" w:cs="Times New Roman"/>
          <w:color w:val="000000" w:themeColor="text1"/>
        </w:rPr>
        <w:t>in each cohort</w:t>
      </w:r>
      <w:r w:rsidR="00EA5CF2">
        <w:rPr>
          <w:rFonts w:ascii="Times New Roman" w:hAnsi="Times New Roman" w:cs="Times New Roman"/>
          <w:color w:val="000000" w:themeColor="text1"/>
        </w:rPr>
        <w:t>,</w:t>
      </w:r>
      <w:r w:rsidRPr="00160C23">
        <w:rPr>
          <w:rFonts w:ascii="Times New Roman" w:hAnsi="Times New Roman" w:cs="Times New Roman"/>
          <w:color w:val="000000" w:themeColor="text1"/>
        </w:rPr>
        <w:t xml:space="preserve"> </w:t>
      </w:r>
      <w:r w:rsidRPr="00160C23" w:rsidR="000559B1">
        <w:rPr>
          <w:rFonts w:ascii="Times New Roman" w:hAnsi="Times New Roman" w:cs="Times New Roman"/>
          <w:color w:val="000000" w:themeColor="text1"/>
        </w:rPr>
        <w:t xml:space="preserve">from Partner Hospital </w:t>
      </w:r>
      <w:r w:rsidRPr="00160C23" w:rsidR="008366BE">
        <w:rPr>
          <w:rFonts w:ascii="Times New Roman" w:hAnsi="Times New Roman" w:cs="Times New Roman"/>
          <w:color w:val="000000" w:themeColor="text1"/>
        </w:rPr>
        <w:t xml:space="preserve">which have </w:t>
      </w:r>
      <w:r w:rsidRPr="00160C23" w:rsidR="00A76E0A">
        <w:rPr>
          <w:rFonts w:ascii="Times New Roman" w:hAnsi="Times New Roman" w:cs="Times New Roman"/>
          <w:color w:val="000000" w:themeColor="text1"/>
        </w:rPr>
        <w:t>a common characteristic of particular interest</w:t>
      </w:r>
      <w:r w:rsidRPr="00160C23" w:rsidR="00D6193B">
        <w:rPr>
          <w:rFonts w:ascii="Times New Roman" w:hAnsi="Times New Roman" w:cs="Times New Roman"/>
          <w:color w:val="000000" w:themeColor="text1"/>
        </w:rPr>
        <w:t>, for a total of 24 hours</w:t>
      </w:r>
      <w:r w:rsidRPr="00160C23" w:rsidR="00A76E0A">
        <w:rPr>
          <w:rFonts w:ascii="Times New Roman" w:hAnsi="Times New Roman" w:cs="Times New Roman"/>
          <w:color w:val="000000" w:themeColor="text1"/>
        </w:rPr>
        <w:t xml:space="preserve">. </w:t>
      </w:r>
      <w:r w:rsidRPr="00160C23" w:rsidR="00244B59">
        <w:rPr>
          <w:rFonts w:ascii="Times New Roman" w:hAnsi="Times New Roman" w:cs="Times New Roman"/>
          <w:color w:val="000000" w:themeColor="text1"/>
        </w:rPr>
        <w:t>(Attachment </w:t>
      </w:r>
      <w:r w:rsidRPr="00160C23" w:rsidR="002C539F">
        <w:rPr>
          <w:rFonts w:ascii="Times New Roman" w:hAnsi="Times New Roman" w:cs="Times New Roman"/>
          <w:color w:val="000000" w:themeColor="text1"/>
        </w:rPr>
        <w:t>D</w:t>
      </w:r>
      <w:r w:rsidRPr="00160C23" w:rsidR="00244B59">
        <w:rPr>
          <w:rFonts w:ascii="Times New Roman" w:hAnsi="Times New Roman" w:cs="Times New Roman"/>
          <w:color w:val="000000" w:themeColor="text1"/>
        </w:rPr>
        <w:t>)</w:t>
      </w:r>
    </w:p>
    <w:p w:rsidRPr="00160C23" w:rsidR="00A76E0A" w:rsidP="00B55CD8" w:rsidRDefault="00A76E0A" w14:paraId="7DCE25A1" w14:textId="49658923">
      <w:pPr>
        <w:pStyle w:val="ListParagraph"/>
        <w:numPr>
          <w:ilvl w:val="1"/>
          <w:numId w:val="33"/>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 xml:space="preserve">Interviews with Partner Hospital cardiologists. </w:t>
      </w:r>
      <w:r w:rsidRPr="00160C23">
        <w:rPr>
          <w:rFonts w:ascii="Times New Roman" w:hAnsi="Times New Roman" w:cs="Times New Roman"/>
          <w:color w:val="000000" w:themeColor="text1"/>
        </w:rPr>
        <w:t xml:space="preserve">We will </w:t>
      </w:r>
      <w:r w:rsidRPr="00160C23" w:rsidR="00B55CD8">
        <w:rPr>
          <w:rFonts w:ascii="Times New Roman" w:hAnsi="Times New Roman" w:cs="Times New Roman"/>
          <w:color w:val="000000" w:themeColor="text1"/>
        </w:rPr>
        <w:t xml:space="preserve">hold individual, up-to-30 minute interviews with </w:t>
      </w:r>
      <w:r w:rsidRPr="00160C23">
        <w:rPr>
          <w:rFonts w:ascii="Times New Roman" w:hAnsi="Times New Roman" w:cs="Times New Roman"/>
          <w:color w:val="000000" w:themeColor="text1"/>
        </w:rPr>
        <w:t xml:space="preserve">eight </w:t>
      </w:r>
      <w:r w:rsidRPr="00160C23" w:rsidR="00B55CD8">
        <w:rPr>
          <w:rFonts w:ascii="Times New Roman" w:hAnsi="Times New Roman" w:cs="Times New Roman"/>
          <w:color w:val="000000" w:themeColor="text1"/>
        </w:rPr>
        <w:t>cardiologists, twice in each cohort</w:t>
      </w:r>
      <w:r w:rsidRPr="00160C23" w:rsidR="00D6193B">
        <w:rPr>
          <w:rFonts w:ascii="Times New Roman" w:hAnsi="Times New Roman" w:cs="Times New Roman"/>
          <w:color w:val="000000" w:themeColor="text1"/>
        </w:rPr>
        <w:t>, for a total of 1</w:t>
      </w:r>
      <w:r w:rsidRPr="00160C23" w:rsidR="00306D75">
        <w:rPr>
          <w:rFonts w:ascii="Times New Roman" w:hAnsi="Times New Roman" w:cs="Times New Roman"/>
          <w:color w:val="000000" w:themeColor="text1"/>
        </w:rPr>
        <w:t>6</w:t>
      </w:r>
      <w:r w:rsidRPr="00160C23" w:rsidR="00D6193B">
        <w:rPr>
          <w:rFonts w:ascii="Times New Roman" w:hAnsi="Times New Roman" w:cs="Times New Roman"/>
          <w:color w:val="000000" w:themeColor="text1"/>
        </w:rPr>
        <w:t xml:space="preserve"> hours</w:t>
      </w:r>
      <w:r w:rsidRPr="00160C23" w:rsidR="00B55CD8">
        <w:rPr>
          <w:rFonts w:ascii="Times New Roman" w:hAnsi="Times New Roman" w:cs="Times New Roman"/>
          <w:color w:val="000000" w:themeColor="text1"/>
        </w:rPr>
        <w:t>.</w:t>
      </w:r>
      <w:r w:rsidRPr="00160C23">
        <w:rPr>
          <w:rFonts w:ascii="Times New Roman" w:hAnsi="Times New Roman" w:cs="Times New Roman"/>
          <w:color w:val="000000" w:themeColor="text1"/>
        </w:rPr>
        <w:t xml:space="preserve"> </w:t>
      </w:r>
      <w:r w:rsidRPr="00160C23" w:rsidR="00244B59">
        <w:rPr>
          <w:rFonts w:ascii="Times New Roman" w:hAnsi="Times New Roman" w:cs="Times New Roman"/>
          <w:color w:val="000000" w:themeColor="text1"/>
        </w:rPr>
        <w:t>(Attachment </w:t>
      </w:r>
      <w:r w:rsidRPr="00160C23" w:rsidR="002C539F">
        <w:rPr>
          <w:rFonts w:ascii="Times New Roman" w:hAnsi="Times New Roman" w:cs="Times New Roman"/>
          <w:color w:val="000000" w:themeColor="text1"/>
        </w:rPr>
        <w:t>E</w:t>
      </w:r>
      <w:r w:rsidRPr="00160C23" w:rsidR="00244B59">
        <w:rPr>
          <w:rFonts w:ascii="Times New Roman" w:hAnsi="Times New Roman" w:cs="Times New Roman"/>
          <w:color w:val="000000" w:themeColor="text1"/>
        </w:rPr>
        <w:t>)</w:t>
      </w:r>
    </w:p>
    <w:p w:rsidRPr="00160C23" w:rsidR="00A76E0A" w:rsidP="002E1F67" w:rsidRDefault="00A76E0A" w14:paraId="0F1413AB" w14:textId="07C8760C">
      <w:pPr>
        <w:pStyle w:val="ListParagraph"/>
        <w:numPr>
          <w:ilvl w:val="1"/>
          <w:numId w:val="33"/>
        </w:numPr>
        <w:tabs>
          <w:tab w:val="left" w:pos="360"/>
        </w:tabs>
        <w:spacing w:after="120"/>
        <w:rPr>
          <w:rFonts w:ascii="Times New Roman" w:hAnsi="Times New Roman" w:cs="Times New Roman"/>
          <w:color w:val="000000" w:themeColor="text1"/>
        </w:rPr>
      </w:pPr>
      <w:r w:rsidRPr="00160C23">
        <w:rPr>
          <w:rFonts w:ascii="Times New Roman" w:hAnsi="Times New Roman" w:cs="Times New Roman"/>
          <w:b/>
          <w:color w:val="000000" w:themeColor="text1"/>
        </w:rPr>
        <w:t xml:space="preserve">Interviews with Partner Hospitals that withdraw. </w:t>
      </w:r>
      <w:r w:rsidRPr="00160C23">
        <w:rPr>
          <w:rFonts w:ascii="Times New Roman" w:hAnsi="Times New Roman" w:cs="Times New Roman"/>
          <w:color w:val="000000" w:themeColor="text1"/>
        </w:rPr>
        <w:t xml:space="preserve">We </w:t>
      </w:r>
      <w:r w:rsidRPr="00160C23" w:rsidR="000A6E87">
        <w:rPr>
          <w:rFonts w:ascii="Times New Roman" w:hAnsi="Times New Roman" w:cs="Times New Roman"/>
          <w:color w:val="000000" w:themeColor="text1"/>
        </w:rPr>
        <w:t xml:space="preserve">will interview </w:t>
      </w:r>
      <w:r w:rsidRPr="00160C23">
        <w:rPr>
          <w:rFonts w:ascii="Times New Roman" w:hAnsi="Times New Roman" w:cs="Times New Roman"/>
          <w:color w:val="000000" w:themeColor="text1"/>
        </w:rPr>
        <w:t xml:space="preserve">up to nine withdrawing hospitals </w:t>
      </w:r>
      <w:r w:rsidRPr="00160C23" w:rsidR="00B55CD8">
        <w:rPr>
          <w:rFonts w:ascii="Times New Roman" w:hAnsi="Times New Roman" w:cs="Times New Roman"/>
          <w:color w:val="000000" w:themeColor="text1"/>
        </w:rPr>
        <w:t xml:space="preserve">for no more than 20 minutes </w:t>
      </w:r>
      <w:r w:rsidRPr="00160C23">
        <w:rPr>
          <w:rFonts w:ascii="Times New Roman" w:hAnsi="Times New Roman" w:cs="Times New Roman"/>
          <w:color w:val="000000" w:themeColor="text1"/>
        </w:rPr>
        <w:t>to better understand the reason for withdrawal as well as facilitators and barriers</w:t>
      </w:r>
      <w:r w:rsidRPr="00160C23" w:rsidR="00D6193B">
        <w:rPr>
          <w:rFonts w:ascii="Times New Roman" w:hAnsi="Times New Roman" w:cs="Times New Roman"/>
          <w:color w:val="000000" w:themeColor="text1"/>
        </w:rPr>
        <w:t>, for a total of 2.7 hours</w:t>
      </w:r>
      <w:r w:rsidRPr="00160C23">
        <w:rPr>
          <w:rFonts w:ascii="Times New Roman" w:hAnsi="Times New Roman" w:cs="Times New Roman"/>
          <w:color w:val="000000" w:themeColor="text1"/>
        </w:rPr>
        <w:t xml:space="preserve">. </w:t>
      </w:r>
      <w:r w:rsidRPr="00160C23" w:rsidR="00244B59">
        <w:rPr>
          <w:rFonts w:ascii="Times New Roman" w:hAnsi="Times New Roman" w:cs="Times New Roman"/>
          <w:color w:val="000000" w:themeColor="text1"/>
        </w:rPr>
        <w:t>(Attachment </w:t>
      </w:r>
      <w:r w:rsidRPr="00160C23" w:rsidR="002C539F">
        <w:rPr>
          <w:rFonts w:ascii="Times New Roman" w:hAnsi="Times New Roman" w:cs="Times New Roman"/>
          <w:color w:val="000000" w:themeColor="text1"/>
        </w:rPr>
        <w:t>F</w:t>
      </w:r>
      <w:r w:rsidRPr="00160C23" w:rsidR="00244B59">
        <w:rPr>
          <w:rFonts w:ascii="Times New Roman" w:hAnsi="Times New Roman" w:cs="Times New Roman"/>
          <w:color w:val="000000" w:themeColor="text1"/>
        </w:rPr>
        <w:t>)</w:t>
      </w:r>
    </w:p>
    <w:p w:rsidRPr="00D50D91" w:rsidR="000E4044" w:rsidP="00762CE3" w:rsidRDefault="00A76E0A" w14:paraId="6FBD904C" w14:textId="57D8588D">
      <w:pPr>
        <w:numPr>
          <w:ilvl w:val="0"/>
          <w:numId w:val="16"/>
        </w:numPr>
        <w:spacing w:after="240"/>
        <w:rPr>
          <w:bCs/>
        </w:rPr>
      </w:pPr>
      <w:r w:rsidRPr="00D50D91">
        <w:rPr>
          <w:b/>
          <w:color w:val="000000" w:themeColor="text1"/>
        </w:rPr>
        <w:t>Learning Community Participant Survey.</w:t>
      </w:r>
      <w:r w:rsidRPr="00D50D91">
        <w:rPr>
          <w:color w:val="000000" w:themeColor="text1"/>
        </w:rPr>
        <w:t xml:space="preserve"> </w:t>
      </w:r>
      <w:r w:rsidRPr="00B6114A" w:rsidR="00D50D91">
        <w:t xml:space="preserve">We assumed </w:t>
      </w:r>
      <w:r w:rsidR="00D50D91">
        <w:t xml:space="preserve">200 Learning Community participants </w:t>
      </w:r>
      <w:r w:rsidRPr="00B6114A" w:rsidR="00D50D91">
        <w:t>wil</w:t>
      </w:r>
      <w:r w:rsidR="00D50D91">
        <w:t>l complete the survey based on an 80</w:t>
      </w:r>
      <w:r w:rsidRPr="00B6114A" w:rsidR="00D50D91">
        <w:t xml:space="preserve">% response rate. It is expected to take </w:t>
      </w:r>
      <w:r w:rsidR="00D50D91">
        <w:t xml:space="preserve">up to </w:t>
      </w:r>
      <w:r w:rsidRPr="00F94F66" w:rsidR="00D50D91">
        <w:t>15</w:t>
      </w:r>
      <w:r w:rsidRPr="00B6114A" w:rsidR="00D50D91">
        <w:t xml:space="preserve"> minutes to complete</w:t>
      </w:r>
      <w:r w:rsidR="00D50D91">
        <w:t xml:space="preserve"> each survey for a total of 100 hours</w:t>
      </w:r>
      <w:r w:rsidRPr="00B6114A" w:rsidR="00D50D91">
        <w:t xml:space="preserve">. </w:t>
      </w:r>
      <w:r w:rsidRPr="00D50D91" w:rsidR="00244B59">
        <w:rPr>
          <w:color w:val="000000" w:themeColor="text1"/>
        </w:rPr>
        <w:t>(Attachment </w:t>
      </w:r>
      <w:r w:rsidRPr="00D50D91" w:rsidR="00C953C6">
        <w:rPr>
          <w:color w:val="000000" w:themeColor="text1"/>
        </w:rPr>
        <w:t>G</w:t>
      </w:r>
      <w:r w:rsidRPr="00D50D91" w:rsidR="00244B59">
        <w:rPr>
          <w:color w:val="000000" w:themeColor="text1"/>
        </w:rPr>
        <w:t>)</w:t>
      </w:r>
    </w:p>
    <w:p w:rsidRPr="009E6CF8" w:rsidR="00C54C1D" w:rsidP="00762CE3" w:rsidRDefault="00C54C1D" w14:paraId="4DA5C039" w14:textId="2933AE9B">
      <w:pPr>
        <w:numPr>
          <w:ilvl w:val="0"/>
          <w:numId w:val="16"/>
        </w:numPr>
        <w:spacing w:after="240"/>
        <w:rPr>
          <w:bCs/>
        </w:rPr>
      </w:pPr>
      <w:r w:rsidRPr="004F5105">
        <w:rPr>
          <w:b/>
          <w:color w:val="000000" w:themeColor="text1"/>
        </w:rPr>
        <w:t xml:space="preserve">Learning Community Follow-up Survey. </w:t>
      </w:r>
      <w:r w:rsidRPr="004F5105">
        <w:rPr>
          <w:color w:val="000000" w:themeColor="text1"/>
        </w:rPr>
        <w:t>We will conduct a brief</w:t>
      </w:r>
      <w:r w:rsidR="00777791">
        <w:rPr>
          <w:color w:val="000000" w:themeColor="text1"/>
        </w:rPr>
        <w:t>,</w:t>
      </w:r>
      <w:r w:rsidRPr="0097628E">
        <w:rPr>
          <w:color w:val="000000" w:themeColor="text1"/>
        </w:rPr>
        <w:t xml:space="preserve"> online survey of participants of each of </w:t>
      </w:r>
      <w:r w:rsidRPr="009E6CF8" w:rsidR="0023347D">
        <w:rPr>
          <w:color w:val="000000" w:themeColor="text1"/>
        </w:rPr>
        <w:t xml:space="preserve">just </w:t>
      </w:r>
      <w:r w:rsidRPr="009E6CF8">
        <w:rPr>
          <w:color w:val="000000" w:themeColor="text1"/>
        </w:rPr>
        <w:t xml:space="preserve">ten selected Affinity Groups at two months after the virtual meeting. </w:t>
      </w:r>
      <w:r w:rsidRPr="00B6114A" w:rsidR="00D50D91">
        <w:t xml:space="preserve">We assumed </w:t>
      </w:r>
      <w:r w:rsidR="00D50D91">
        <w:t xml:space="preserve">120 Learning Community participants </w:t>
      </w:r>
      <w:r w:rsidRPr="00B6114A" w:rsidR="00D50D91">
        <w:t>will complete the survey based on a</w:t>
      </w:r>
      <w:r w:rsidR="00D50D91">
        <w:t>n</w:t>
      </w:r>
      <w:r w:rsidRPr="00B6114A" w:rsidR="00D50D91">
        <w:t xml:space="preserve"> </w:t>
      </w:r>
      <w:r w:rsidR="00D50D91">
        <w:t>80</w:t>
      </w:r>
      <w:r w:rsidRPr="00B6114A" w:rsidR="00D50D91">
        <w:t>% response rate</w:t>
      </w:r>
      <w:r w:rsidR="009E6CF8">
        <w:t xml:space="preserve">. </w:t>
      </w:r>
      <w:r w:rsidRPr="00B6114A" w:rsidR="00D50D91">
        <w:t xml:space="preserve">It is expected to take </w:t>
      </w:r>
      <w:r w:rsidR="0050172B">
        <w:t xml:space="preserve">10 </w:t>
      </w:r>
      <w:r w:rsidRPr="00B6114A" w:rsidR="00D50D91">
        <w:t>minutes to complete</w:t>
      </w:r>
      <w:r w:rsidR="009E6CF8">
        <w:t xml:space="preserve"> each survey for a total of </w:t>
      </w:r>
      <w:r w:rsidRPr="0097628E" w:rsidR="00306D75">
        <w:rPr>
          <w:color w:val="000000" w:themeColor="text1"/>
        </w:rPr>
        <w:t>20.4</w:t>
      </w:r>
      <w:r w:rsidRPr="0097628E" w:rsidR="00D75852">
        <w:rPr>
          <w:color w:val="000000" w:themeColor="text1"/>
        </w:rPr>
        <w:t xml:space="preserve"> hours.</w:t>
      </w:r>
      <w:r w:rsidRPr="009E6CF8" w:rsidR="00872A7A">
        <w:rPr>
          <w:color w:val="000000" w:themeColor="text1"/>
        </w:rPr>
        <w:t xml:space="preserve"> </w:t>
      </w:r>
      <w:r w:rsidRPr="009E6CF8" w:rsidR="00C953C6">
        <w:rPr>
          <w:color w:val="000000" w:themeColor="text1"/>
        </w:rPr>
        <w:t>(Attachment H)</w:t>
      </w:r>
    </w:p>
    <w:p w:rsidRPr="00160C23" w:rsidR="004A4612" w:rsidP="004A4612" w:rsidRDefault="004A4612" w14:paraId="41598CF0" w14:textId="261BDB38">
      <w:pPr>
        <w:rPr>
          <w:b/>
          <w:bCs/>
          <w:color w:val="000000"/>
        </w:rPr>
      </w:pPr>
      <w:r w:rsidRPr="00160C23">
        <w:rPr>
          <w:b/>
          <w:bCs/>
          <w:color w:val="000000"/>
        </w:rPr>
        <w:t xml:space="preserve">Exhibit </w:t>
      </w:r>
      <w:r w:rsidRPr="00160C23" w:rsidR="00FB6C9B">
        <w:rPr>
          <w:b/>
          <w:bCs/>
          <w:color w:val="000000"/>
        </w:rPr>
        <w:t>2</w:t>
      </w:r>
      <w:r w:rsidRPr="00160C23">
        <w:rPr>
          <w:b/>
          <w:bCs/>
          <w:color w:val="000000"/>
        </w:rPr>
        <w:t>. Estimated annualized burden hours</w:t>
      </w:r>
    </w:p>
    <w:tbl>
      <w:tblPr>
        <w:tblW w:w="9530" w:type="dxa"/>
        <w:tblLook w:val="04A0" w:firstRow="1" w:lastRow="0" w:firstColumn="1" w:lastColumn="0" w:noHBand="0" w:noVBand="1"/>
      </w:tblPr>
      <w:tblGrid>
        <w:gridCol w:w="3743"/>
        <w:gridCol w:w="1457"/>
        <w:gridCol w:w="1688"/>
        <w:gridCol w:w="1346"/>
        <w:gridCol w:w="1296"/>
      </w:tblGrid>
      <w:tr w:rsidRPr="00160C23" w:rsidR="000B3C48" w:rsidTr="00705510" w14:paraId="5BE030D5" w14:textId="77777777">
        <w:trPr>
          <w:trHeight w:val="645"/>
        </w:trPr>
        <w:tc>
          <w:tcPr>
            <w:tcW w:w="3743" w:type="dxa"/>
            <w:tcBorders>
              <w:top w:val="single" w:color="auto" w:sz="8" w:space="0"/>
              <w:left w:val="single" w:color="auto" w:sz="8" w:space="0"/>
              <w:bottom w:val="single" w:color="auto" w:sz="8" w:space="0"/>
              <w:right w:val="single" w:color="auto" w:sz="8" w:space="0"/>
            </w:tcBorders>
            <w:vAlign w:val="center"/>
          </w:tcPr>
          <w:p w:rsidRPr="00160C23" w:rsidR="000B3C48" w:rsidP="00C17C8A" w:rsidRDefault="00705510" w14:paraId="0E794C4A" w14:textId="2D1233EE">
            <w:pPr>
              <w:tabs>
                <w:tab w:val="left" w:pos="347"/>
              </w:tabs>
              <w:rPr>
                <w:b/>
                <w:bCs/>
                <w:color w:val="000000"/>
              </w:rPr>
            </w:pPr>
            <w:r w:rsidRPr="00160C23">
              <w:rPr>
                <w:b/>
                <w:bCs/>
                <w:color w:val="000000"/>
              </w:rPr>
              <w:t>Data Collection Method or Project Activity</w:t>
            </w:r>
          </w:p>
        </w:tc>
        <w:tc>
          <w:tcPr>
            <w:tcW w:w="1457" w:type="dxa"/>
            <w:tcBorders>
              <w:top w:val="single" w:color="auto" w:sz="8" w:space="0"/>
              <w:left w:val="nil"/>
              <w:bottom w:val="single" w:color="auto" w:sz="8" w:space="0"/>
              <w:right w:val="single" w:color="auto" w:sz="8" w:space="0"/>
            </w:tcBorders>
            <w:shd w:val="clear" w:color="auto" w:fill="auto"/>
            <w:vAlign w:val="center"/>
          </w:tcPr>
          <w:p w:rsidR="00705510" w:rsidP="00C17C8A" w:rsidRDefault="00705510" w14:paraId="394C810A" w14:textId="77777777">
            <w:pPr>
              <w:jc w:val="center"/>
              <w:rPr>
                <w:b/>
                <w:bCs/>
                <w:color w:val="000000"/>
              </w:rPr>
            </w:pPr>
            <w:r>
              <w:rPr>
                <w:b/>
                <w:bCs/>
                <w:color w:val="000000"/>
              </w:rPr>
              <w:t>A.</w:t>
            </w:r>
          </w:p>
          <w:p w:rsidRPr="00160C23" w:rsidR="000B3C48" w:rsidP="00C17C8A" w:rsidRDefault="000B3C48" w14:paraId="5E7062E9" w14:textId="77777777">
            <w:pPr>
              <w:jc w:val="center"/>
              <w:rPr>
                <w:b/>
                <w:bCs/>
                <w:color w:val="000000"/>
              </w:rPr>
            </w:pPr>
            <w:r w:rsidRPr="00160C23">
              <w:rPr>
                <w:b/>
                <w:bCs/>
                <w:color w:val="000000"/>
              </w:rPr>
              <w:t>Number of respondents</w:t>
            </w:r>
          </w:p>
        </w:tc>
        <w:tc>
          <w:tcPr>
            <w:tcW w:w="1688" w:type="dxa"/>
            <w:tcBorders>
              <w:top w:val="single" w:color="auto" w:sz="8" w:space="0"/>
              <w:left w:val="nil"/>
              <w:bottom w:val="single" w:color="auto" w:sz="8" w:space="0"/>
              <w:right w:val="single" w:color="auto" w:sz="8" w:space="0"/>
            </w:tcBorders>
            <w:shd w:val="clear" w:color="auto" w:fill="auto"/>
            <w:vAlign w:val="center"/>
          </w:tcPr>
          <w:p w:rsidR="00705510" w:rsidP="00C17C8A" w:rsidRDefault="00705510" w14:paraId="447E184C" w14:textId="77777777">
            <w:pPr>
              <w:jc w:val="center"/>
              <w:rPr>
                <w:b/>
                <w:bCs/>
                <w:color w:val="000000"/>
              </w:rPr>
            </w:pPr>
            <w:r>
              <w:rPr>
                <w:b/>
                <w:bCs/>
                <w:color w:val="000000"/>
              </w:rPr>
              <w:t>B.</w:t>
            </w:r>
          </w:p>
          <w:p w:rsidRPr="00160C23" w:rsidR="000B3C48" w:rsidP="00C17C8A" w:rsidRDefault="000B3C48" w14:paraId="188F6F0C" w14:textId="77777777">
            <w:pPr>
              <w:jc w:val="center"/>
              <w:rPr>
                <w:b/>
                <w:bCs/>
                <w:color w:val="000000"/>
              </w:rPr>
            </w:pPr>
            <w:r w:rsidRPr="00160C23">
              <w:rPr>
                <w:b/>
                <w:bCs/>
                <w:color w:val="000000"/>
              </w:rPr>
              <w:t>Number of responses per respondent</w:t>
            </w:r>
          </w:p>
        </w:tc>
        <w:tc>
          <w:tcPr>
            <w:tcW w:w="1346" w:type="dxa"/>
            <w:tcBorders>
              <w:top w:val="single" w:color="auto" w:sz="8" w:space="0"/>
              <w:left w:val="nil"/>
              <w:bottom w:val="single" w:color="auto" w:sz="8" w:space="0"/>
              <w:right w:val="single" w:color="auto" w:sz="8" w:space="0"/>
            </w:tcBorders>
            <w:shd w:val="clear" w:color="auto" w:fill="auto"/>
            <w:vAlign w:val="center"/>
          </w:tcPr>
          <w:p w:rsidR="00705510" w:rsidP="00C17C8A" w:rsidRDefault="00705510" w14:paraId="53512756" w14:textId="77777777">
            <w:pPr>
              <w:jc w:val="center"/>
              <w:rPr>
                <w:b/>
                <w:bCs/>
                <w:color w:val="000000"/>
              </w:rPr>
            </w:pPr>
            <w:r>
              <w:rPr>
                <w:b/>
                <w:bCs/>
                <w:color w:val="000000"/>
              </w:rPr>
              <w:t>C.</w:t>
            </w:r>
          </w:p>
          <w:p w:rsidRPr="00160C23" w:rsidR="000B3C48" w:rsidP="00C17C8A" w:rsidRDefault="000B3C48" w14:paraId="51A3D023" w14:textId="77777777">
            <w:pPr>
              <w:jc w:val="center"/>
              <w:rPr>
                <w:b/>
                <w:bCs/>
                <w:color w:val="000000"/>
              </w:rPr>
            </w:pPr>
            <w:r w:rsidRPr="00160C23">
              <w:rPr>
                <w:b/>
                <w:bCs/>
                <w:color w:val="000000"/>
              </w:rPr>
              <w:t>Hours per response</w:t>
            </w:r>
          </w:p>
        </w:tc>
        <w:tc>
          <w:tcPr>
            <w:tcW w:w="1296" w:type="dxa"/>
            <w:tcBorders>
              <w:top w:val="single" w:color="auto" w:sz="8" w:space="0"/>
              <w:left w:val="nil"/>
              <w:bottom w:val="single" w:color="auto" w:sz="8" w:space="0"/>
              <w:right w:val="single" w:color="auto" w:sz="8" w:space="0"/>
            </w:tcBorders>
            <w:shd w:val="clear" w:color="auto" w:fill="auto"/>
            <w:vAlign w:val="center"/>
          </w:tcPr>
          <w:p w:rsidR="00705510" w:rsidP="00110577" w:rsidRDefault="00705510" w14:paraId="33701A00" w14:textId="77777777">
            <w:pPr>
              <w:jc w:val="center"/>
              <w:rPr>
                <w:b/>
                <w:bCs/>
                <w:color w:val="000000"/>
              </w:rPr>
            </w:pPr>
            <w:r>
              <w:rPr>
                <w:b/>
                <w:bCs/>
                <w:color w:val="000000"/>
              </w:rPr>
              <w:t>D.</w:t>
            </w:r>
          </w:p>
          <w:p w:rsidRPr="00160C23" w:rsidR="000B3C48" w:rsidP="00110577" w:rsidRDefault="000B3C48" w14:paraId="1474B213" w14:textId="407299B3">
            <w:pPr>
              <w:jc w:val="center"/>
              <w:rPr>
                <w:b/>
                <w:bCs/>
                <w:color w:val="000000"/>
              </w:rPr>
            </w:pPr>
            <w:r w:rsidRPr="00160C23">
              <w:rPr>
                <w:b/>
                <w:bCs/>
                <w:color w:val="000000"/>
              </w:rPr>
              <w:t>Total burden hours</w:t>
            </w:r>
          </w:p>
        </w:tc>
      </w:tr>
      <w:tr w:rsidRPr="00160C23" w:rsidR="000B3C48" w:rsidTr="00705510" w14:paraId="494C9C4A" w14:textId="77777777">
        <w:trPr>
          <w:trHeight w:val="330"/>
        </w:trPr>
        <w:tc>
          <w:tcPr>
            <w:tcW w:w="3743" w:type="dxa"/>
            <w:tcBorders>
              <w:top w:val="single" w:color="auto" w:sz="8" w:space="0"/>
              <w:left w:val="single" w:color="auto" w:sz="8" w:space="0"/>
              <w:bottom w:val="single" w:color="auto" w:sz="8" w:space="0"/>
              <w:right w:val="single" w:color="auto" w:sz="8" w:space="0"/>
            </w:tcBorders>
            <w:shd w:val="clear" w:color="auto" w:fill="auto"/>
            <w:vAlign w:val="center"/>
          </w:tcPr>
          <w:p w:rsidRPr="00160C23" w:rsidR="000B3C48" w:rsidP="00762CE3" w:rsidRDefault="000B3C48" w14:paraId="42BE427B" w14:textId="6EA23BF4">
            <w:pPr>
              <w:tabs>
                <w:tab w:val="left" w:pos="422"/>
              </w:tabs>
              <w:ind w:left="422" w:hanging="422"/>
              <w:rPr>
                <w:b/>
                <w:bCs/>
                <w:color w:val="000000"/>
              </w:rPr>
            </w:pPr>
            <w:r w:rsidRPr="00160C23">
              <w:rPr>
                <w:b/>
                <w:bCs/>
                <w:color w:val="000000"/>
              </w:rPr>
              <w:t xml:space="preserve">1. </w:t>
            </w:r>
            <w:r w:rsidRPr="00160C23">
              <w:rPr>
                <w:b/>
                <w:bCs/>
                <w:color w:val="000000"/>
              </w:rPr>
              <w:tab/>
              <w:t>Partner Hospital Champion Survey</w:t>
            </w:r>
            <w:r w:rsidR="00110577">
              <w:rPr>
                <w:b/>
                <w:bCs/>
                <w:color w:val="000000"/>
              </w:rPr>
              <w:t>*</w:t>
            </w:r>
          </w:p>
        </w:tc>
        <w:tc>
          <w:tcPr>
            <w:tcW w:w="1457" w:type="dxa"/>
            <w:tcBorders>
              <w:top w:val="single" w:color="auto" w:sz="8" w:space="0"/>
              <w:left w:val="nil"/>
              <w:bottom w:val="single" w:color="auto" w:sz="8" w:space="0"/>
              <w:right w:val="single" w:color="auto" w:sz="8" w:space="0"/>
            </w:tcBorders>
            <w:shd w:val="clear" w:color="auto" w:fill="auto"/>
            <w:vAlign w:val="center"/>
          </w:tcPr>
          <w:p w:rsidRPr="00160C23" w:rsidR="000B3C48" w:rsidP="00C17C8A" w:rsidRDefault="00110577" w14:paraId="18094021" w14:textId="077F3608">
            <w:pPr>
              <w:jc w:val="right"/>
              <w:rPr>
                <w:color w:val="000000"/>
              </w:rPr>
            </w:pPr>
            <w:r>
              <w:rPr>
                <w:color w:val="000000"/>
              </w:rPr>
              <w:t>113</w:t>
            </w:r>
          </w:p>
        </w:tc>
        <w:tc>
          <w:tcPr>
            <w:tcW w:w="1688" w:type="dxa"/>
            <w:tcBorders>
              <w:top w:val="single" w:color="auto" w:sz="8" w:space="0"/>
              <w:left w:val="nil"/>
              <w:bottom w:val="single" w:color="auto" w:sz="8" w:space="0"/>
              <w:right w:val="single" w:color="auto" w:sz="8" w:space="0"/>
            </w:tcBorders>
            <w:shd w:val="clear" w:color="auto" w:fill="auto"/>
            <w:vAlign w:val="center"/>
          </w:tcPr>
          <w:p w:rsidRPr="00160C23" w:rsidR="000B3C48" w:rsidP="00C17C8A" w:rsidRDefault="000B3C48" w14:paraId="35EDE47E" w14:textId="77777777">
            <w:pPr>
              <w:jc w:val="right"/>
              <w:rPr>
                <w:color w:val="000000"/>
              </w:rPr>
            </w:pPr>
            <w:r w:rsidRPr="00160C23">
              <w:rPr>
                <w:color w:val="000000"/>
              </w:rPr>
              <w:t>2</w:t>
            </w:r>
          </w:p>
        </w:tc>
        <w:tc>
          <w:tcPr>
            <w:tcW w:w="1346" w:type="dxa"/>
            <w:tcBorders>
              <w:top w:val="single" w:color="auto" w:sz="8" w:space="0"/>
              <w:left w:val="nil"/>
              <w:bottom w:val="single" w:color="auto" w:sz="8" w:space="0"/>
              <w:right w:val="single" w:color="auto" w:sz="8" w:space="0"/>
            </w:tcBorders>
            <w:shd w:val="clear" w:color="auto" w:fill="auto"/>
            <w:vAlign w:val="center"/>
          </w:tcPr>
          <w:p w:rsidRPr="00160C23" w:rsidR="000B3C48" w:rsidP="00C17C8A" w:rsidRDefault="000B3C48" w14:paraId="02637996" w14:textId="77777777">
            <w:pPr>
              <w:jc w:val="right"/>
              <w:rPr>
                <w:color w:val="000000"/>
              </w:rPr>
            </w:pPr>
            <w:r w:rsidRPr="00160C23">
              <w:rPr>
                <w:color w:val="000000"/>
              </w:rPr>
              <w:t>0.75</w:t>
            </w:r>
          </w:p>
        </w:tc>
        <w:tc>
          <w:tcPr>
            <w:tcW w:w="1296" w:type="dxa"/>
            <w:tcBorders>
              <w:top w:val="single" w:color="auto" w:sz="8" w:space="0"/>
              <w:left w:val="nil"/>
              <w:bottom w:val="single" w:color="auto" w:sz="8" w:space="0"/>
              <w:right w:val="single" w:color="auto" w:sz="8" w:space="0"/>
            </w:tcBorders>
            <w:shd w:val="clear" w:color="auto" w:fill="auto"/>
            <w:vAlign w:val="center"/>
          </w:tcPr>
          <w:p w:rsidRPr="00160C23" w:rsidR="000B3C48" w:rsidP="00C17C8A" w:rsidRDefault="00110577" w14:paraId="3D3C31BB" w14:textId="364887C1">
            <w:pPr>
              <w:jc w:val="right"/>
              <w:rPr>
                <w:color w:val="000000"/>
              </w:rPr>
            </w:pPr>
            <w:r>
              <w:rPr>
                <w:color w:val="000000"/>
              </w:rPr>
              <w:t>169.5</w:t>
            </w:r>
          </w:p>
        </w:tc>
      </w:tr>
      <w:tr w:rsidRPr="00160C23" w:rsidR="000B3C48" w:rsidTr="009E6CF8" w14:paraId="3BCE5A2D" w14:textId="77777777">
        <w:trPr>
          <w:trHeight w:val="645"/>
        </w:trPr>
        <w:tc>
          <w:tcPr>
            <w:tcW w:w="3743" w:type="dxa"/>
            <w:tcBorders>
              <w:top w:val="nil"/>
              <w:left w:val="single" w:color="auto" w:sz="8" w:space="0"/>
              <w:bottom w:val="single" w:color="auto" w:sz="8" w:space="0"/>
              <w:right w:val="single" w:color="auto" w:sz="8" w:space="0"/>
            </w:tcBorders>
            <w:shd w:val="clear" w:color="auto" w:fill="auto"/>
            <w:vAlign w:val="center"/>
          </w:tcPr>
          <w:p w:rsidRPr="00160C23" w:rsidR="000B3C48" w:rsidP="00762CE3" w:rsidRDefault="000B3C48" w14:paraId="1B14AD0F" w14:textId="77777777">
            <w:pPr>
              <w:tabs>
                <w:tab w:val="left" w:pos="242"/>
                <w:tab w:val="left" w:pos="422"/>
                <w:tab w:val="left" w:pos="602"/>
              </w:tabs>
              <w:ind w:left="422" w:hanging="422"/>
              <w:rPr>
                <w:b/>
                <w:bCs/>
                <w:color w:val="000000"/>
              </w:rPr>
            </w:pPr>
            <w:r w:rsidRPr="00160C23">
              <w:rPr>
                <w:b/>
                <w:bCs/>
                <w:color w:val="000000"/>
              </w:rPr>
              <w:t>2a.</w:t>
            </w:r>
            <w:r w:rsidRPr="00160C23">
              <w:rPr>
                <w:b/>
                <w:bCs/>
                <w:color w:val="000000"/>
              </w:rPr>
              <w:tab/>
              <w:t>Interviews with Partner Hospital Champions</w:t>
            </w:r>
          </w:p>
        </w:tc>
        <w:tc>
          <w:tcPr>
            <w:tcW w:w="1457"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033FDAB1" w14:textId="77777777">
            <w:pPr>
              <w:jc w:val="right"/>
              <w:rPr>
                <w:color w:val="000000"/>
              </w:rPr>
            </w:pPr>
            <w:r w:rsidRPr="00160C23">
              <w:rPr>
                <w:color w:val="000000"/>
              </w:rPr>
              <w:t>16</w:t>
            </w:r>
          </w:p>
        </w:tc>
        <w:tc>
          <w:tcPr>
            <w:tcW w:w="1688"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43B55B4B" w14:textId="77777777">
            <w:pPr>
              <w:jc w:val="right"/>
              <w:rPr>
                <w:color w:val="000000"/>
              </w:rPr>
            </w:pPr>
            <w:r w:rsidRPr="00160C23">
              <w:rPr>
                <w:color w:val="000000"/>
              </w:rPr>
              <w:t>1</w:t>
            </w:r>
          </w:p>
        </w:tc>
        <w:tc>
          <w:tcPr>
            <w:tcW w:w="134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1F7C1F6C" w14:textId="77777777">
            <w:pPr>
              <w:jc w:val="right"/>
              <w:rPr>
                <w:color w:val="000000"/>
              </w:rPr>
            </w:pPr>
            <w:r w:rsidRPr="00160C23">
              <w:rPr>
                <w:color w:val="000000"/>
              </w:rPr>
              <w:t>1.5</w:t>
            </w:r>
          </w:p>
        </w:tc>
        <w:tc>
          <w:tcPr>
            <w:tcW w:w="129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77CE2E2D" w14:textId="77777777">
            <w:pPr>
              <w:jc w:val="right"/>
              <w:rPr>
                <w:color w:val="000000"/>
              </w:rPr>
            </w:pPr>
            <w:r w:rsidRPr="00160C23">
              <w:rPr>
                <w:color w:val="000000"/>
              </w:rPr>
              <w:t>24.0</w:t>
            </w:r>
          </w:p>
        </w:tc>
      </w:tr>
      <w:tr w:rsidRPr="00160C23" w:rsidR="000B3C48" w:rsidTr="009E6CF8" w14:paraId="3D66A709" w14:textId="77777777">
        <w:trPr>
          <w:trHeight w:val="645"/>
        </w:trPr>
        <w:tc>
          <w:tcPr>
            <w:tcW w:w="3743" w:type="dxa"/>
            <w:tcBorders>
              <w:top w:val="nil"/>
              <w:left w:val="single" w:color="auto" w:sz="8" w:space="0"/>
              <w:bottom w:val="single" w:color="auto" w:sz="8" w:space="0"/>
              <w:right w:val="single" w:color="auto" w:sz="8" w:space="0"/>
            </w:tcBorders>
            <w:shd w:val="clear" w:color="auto" w:fill="auto"/>
            <w:vAlign w:val="center"/>
          </w:tcPr>
          <w:p w:rsidRPr="00160C23" w:rsidR="000B3C48" w:rsidP="00762CE3" w:rsidRDefault="000B3C48" w14:paraId="7666447D" w14:textId="77777777">
            <w:pPr>
              <w:tabs>
                <w:tab w:val="left" w:pos="242"/>
                <w:tab w:val="left" w:pos="422"/>
                <w:tab w:val="left" w:pos="602"/>
              </w:tabs>
              <w:ind w:left="422" w:hanging="422"/>
              <w:rPr>
                <w:b/>
                <w:bCs/>
                <w:color w:val="000000"/>
              </w:rPr>
            </w:pPr>
            <w:r w:rsidRPr="00160C23">
              <w:rPr>
                <w:b/>
                <w:bCs/>
                <w:color w:val="000000"/>
              </w:rPr>
              <w:t>2b.</w:t>
            </w:r>
            <w:r w:rsidRPr="00160C23">
              <w:rPr>
                <w:b/>
                <w:bCs/>
                <w:color w:val="000000"/>
              </w:rPr>
              <w:tab/>
              <w:t xml:space="preserve">Interviews with Partner Hospital Cardiologists </w:t>
            </w:r>
          </w:p>
        </w:tc>
        <w:tc>
          <w:tcPr>
            <w:tcW w:w="1457"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4C5E6EF0" w14:textId="77777777">
            <w:pPr>
              <w:jc w:val="right"/>
              <w:rPr>
                <w:color w:val="000000"/>
              </w:rPr>
            </w:pPr>
            <w:r w:rsidRPr="00160C23">
              <w:rPr>
                <w:color w:val="000000"/>
              </w:rPr>
              <w:t>16</w:t>
            </w:r>
          </w:p>
        </w:tc>
        <w:tc>
          <w:tcPr>
            <w:tcW w:w="1688"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5DD2CD05" w14:textId="77777777">
            <w:pPr>
              <w:jc w:val="right"/>
              <w:rPr>
                <w:color w:val="000000"/>
              </w:rPr>
            </w:pPr>
            <w:r w:rsidRPr="00160C23">
              <w:rPr>
                <w:color w:val="000000"/>
              </w:rPr>
              <w:t>2</w:t>
            </w:r>
          </w:p>
        </w:tc>
        <w:tc>
          <w:tcPr>
            <w:tcW w:w="134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7B101EDE" w14:textId="77777777">
            <w:pPr>
              <w:jc w:val="right"/>
              <w:rPr>
                <w:color w:val="000000"/>
              </w:rPr>
            </w:pPr>
            <w:r w:rsidRPr="00160C23">
              <w:rPr>
                <w:color w:val="000000"/>
              </w:rPr>
              <w:t>0.5</w:t>
            </w:r>
          </w:p>
        </w:tc>
        <w:tc>
          <w:tcPr>
            <w:tcW w:w="129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347D13A0" w14:textId="77777777">
            <w:pPr>
              <w:jc w:val="right"/>
              <w:rPr>
                <w:color w:val="000000"/>
              </w:rPr>
            </w:pPr>
            <w:r w:rsidRPr="00160C23">
              <w:rPr>
                <w:color w:val="000000"/>
              </w:rPr>
              <w:t>16.0</w:t>
            </w:r>
          </w:p>
        </w:tc>
      </w:tr>
      <w:tr w:rsidRPr="00160C23" w:rsidR="000B3C48" w:rsidTr="009E6CF8" w14:paraId="35875148" w14:textId="77777777">
        <w:trPr>
          <w:trHeight w:val="645"/>
        </w:trPr>
        <w:tc>
          <w:tcPr>
            <w:tcW w:w="3743" w:type="dxa"/>
            <w:tcBorders>
              <w:top w:val="nil"/>
              <w:left w:val="single" w:color="auto" w:sz="8" w:space="0"/>
              <w:bottom w:val="single" w:color="auto" w:sz="8" w:space="0"/>
              <w:right w:val="single" w:color="auto" w:sz="8" w:space="0"/>
            </w:tcBorders>
            <w:shd w:val="clear" w:color="auto" w:fill="auto"/>
            <w:vAlign w:val="center"/>
          </w:tcPr>
          <w:p w:rsidRPr="00160C23" w:rsidR="000B3C48" w:rsidP="00762CE3" w:rsidRDefault="000B3C48" w14:paraId="2622C9CE" w14:textId="77777777">
            <w:pPr>
              <w:tabs>
                <w:tab w:val="left" w:pos="242"/>
                <w:tab w:val="left" w:pos="422"/>
                <w:tab w:val="left" w:pos="602"/>
              </w:tabs>
              <w:ind w:left="422" w:hanging="422"/>
              <w:rPr>
                <w:b/>
                <w:bCs/>
                <w:color w:val="000000"/>
              </w:rPr>
            </w:pPr>
            <w:r w:rsidRPr="00160C23">
              <w:rPr>
                <w:b/>
                <w:bCs/>
                <w:color w:val="000000"/>
              </w:rPr>
              <w:t>2c.</w:t>
            </w:r>
            <w:r w:rsidRPr="00160C23">
              <w:rPr>
                <w:b/>
                <w:bCs/>
                <w:color w:val="000000"/>
              </w:rPr>
              <w:tab/>
              <w:t>Interviews with Partner Hospitals that withdraw</w:t>
            </w:r>
          </w:p>
        </w:tc>
        <w:tc>
          <w:tcPr>
            <w:tcW w:w="1457"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1FA4ACE5" w14:textId="77777777">
            <w:pPr>
              <w:jc w:val="right"/>
              <w:rPr>
                <w:color w:val="000000"/>
              </w:rPr>
            </w:pPr>
            <w:r w:rsidRPr="00160C23">
              <w:rPr>
                <w:color w:val="000000"/>
              </w:rPr>
              <w:t>9</w:t>
            </w:r>
          </w:p>
        </w:tc>
        <w:tc>
          <w:tcPr>
            <w:tcW w:w="1688"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0B89847E" w14:textId="77777777">
            <w:pPr>
              <w:jc w:val="right"/>
              <w:rPr>
                <w:color w:val="000000"/>
              </w:rPr>
            </w:pPr>
            <w:r w:rsidRPr="00160C23">
              <w:rPr>
                <w:color w:val="000000"/>
              </w:rPr>
              <w:t>1</w:t>
            </w:r>
          </w:p>
        </w:tc>
        <w:tc>
          <w:tcPr>
            <w:tcW w:w="134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35AC8B33" w14:textId="77777777">
            <w:pPr>
              <w:jc w:val="right"/>
              <w:rPr>
                <w:color w:val="000000"/>
              </w:rPr>
            </w:pPr>
            <w:r w:rsidRPr="00160C23">
              <w:rPr>
                <w:color w:val="000000"/>
              </w:rPr>
              <w:t>0.3</w:t>
            </w:r>
          </w:p>
        </w:tc>
        <w:tc>
          <w:tcPr>
            <w:tcW w:w="129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3764EA8F" w14:textId="77777777">
            <w:pPr>
              <w:jc w:val="right"/>
              <w:rPr>
                <w:color w:val="000000"/>
              </w:rPr>
            </w:pPr>
            <w:r w:rsidRPr="00160C23">
              <w:rPr>
                <w:color w:val="000000"/>
              </w:rPr>
              <w:t>2.7</w:t>
            </w:r>
          </w:p>
        </w:tc>
      </w:tr>
      <w:tr w:rsidRPr="00160C23" w:rsidR="000B3C48" w:rsidTr="009E6CF8" w14:paraId="340A6C6B" w14:textId="77777777">
        <w:trPr>
          <w:trHeight w:val="330"/>
        </w:trPr>
        <w:tc>
          <w:tcPr>
            <w:tcW w:w="3743" w:type="dxa"/>
            <w:tcBorders>
              <w:top w:val="nil"/>
              <w:left w:val="single" w:color="auto" w:sz="8" w:space="0"/>
              <w:bottom w:val="single" w:color="auto" w:sz="8" w:space="0"/>
              <w:right w:val="single" w:color="auto" w:sz="8" w:space="0"/>
            </w:tcBorders>
            <w:shd w:val="clear" w:color="auto" w:fill="auto"/>
            <w:vAlign w:val="center"/>
          </w:tcPr>
          <w:p w:rsidRPr="00160C23" w:rsidR="000B3C48" w:rsidP="00762CE3" w:rsidRDefault="00110577" w14:paraId="23460F20" w14:textId="178CCF75">
            <w:pPr>
              <w:tabs>
                <w:tab w:val="left" w:pos="422"/>
                <w:tab w:val="left" w:pos="602"/>
              </w:tabs>
              <w:ind w:left="422" w:hanging="422"/>
              <w:rPr>
                <w:b/>
                <w:bCs/>
                <w:color w:val="000000"/>
              </w:rPr>
            </w:pPr>
            <w:r>
              <w:rPr>
                <w:b/>
                <w:bCs/>
                <w:color w:val="000000"/>
              </w:rPr>
              <w:t>3</w:t>
            </w:r>
            <w:r w:rsidRPr="00160C23" w:rsidR="000B3C48">
              <w:rPr>
                <w:b/>
                <w:bCs/>
                <w:color w:val="000000"/>
              </w:rPr>
              <w:t>.</w:t>
            </w:r>
            <w:r w:rsidRPr="00160C23" w:rsidR="000B3C48">
              <w:rPr>
                <w:b/>
                <w:bCs/>
                <w:color w:val="000000"/>
              </w:rPr>
              <w:tab/>
              <w:t>Learning Community Survey</w:t>
            </w:r>
            <w:r w:rsidR="00D95F8A">
              <w:rPr>
                <w:b/>
                <w:bCs/>
                <w:color w:val="000000"/>
              </w:rPr>
              <w:t>**</w:t>
            </w:r>
          </w:p>
        </w:tc>
        <w:tc>
          <w:tcPr>
            <w:tcW w:w="1457" w:type="dxa"/>
            <w:tcBorders>
              <w:top w:val="nil"/>
              <w:left w:val="nil"/>
              <w:bottom w:val="single" w:color="auto" w:sz="8" w:space="0"/>
              <w:right w:val="single" w:color="auto" w:sz="8" w:space="0"/>
            </w:tcBorders>
            <w:shd w:val="clear" w:color="auto" w:fill="auto"/>
            <w:vAlign w:val="center"/>
          </w:tcPr>
          <w:p w:rsidRPr="00160C23" w:rsidR="000B3C48" w:rsidP="00C17C8A" w:rsidRDefault="00D95F8A" w14:paraId="51BEFB8A" w14:textId="0FFF74E7">
            <w:pPr>
              <w:jc w:val="right"/>
              <w:rPr>
                <w:color w:val="000000"/>
              </w:rPr>
            </w:pPr>
            <w:r>
              <w:rPr>
                <w:color w:val="000000"/>
              </w:rPr>
              <w:t>200</w:t>
            </w:r>
          </w:p>
        </w:tc>
        <w:tc>
          <w:tcPr>
            <w:tcW w:w="1688"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26C4D0D3" w14:textId="77777777">
            <w:pPr>
              <w:jc w:val="right"/>
              <w:rPr>
                <w:color w:val="000000"/>
              </w:rPr>
            </w:pPr>
            <w:r w:rsidRPr="00160C23">
              <w:rPr>
                <w:color w:val="000000"/>
              </w:rPr>
              <w:t>2</w:t>
            </w:r>
          </w:p>
        </w:tc>
        <w:tc>
          <w:tcPr>
            <w:tcW w:w="134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678BF382" w14:textId="77777777">
            <w:pPr>
              <w:jc w:val="right"/>
              <w:rPr>
                <w:color w:val="000000"/>
              </w:rPr>
            </w:pPr>
            <w:r w:rsidRPr="00160C23">
              <w:rPr>
                <w:color w:val="000000"/>
              </w:rPr>
              <w:t>0.25</w:t>
            </w:r>
          </w:p>
        </w:tc>
        <w:tc>
          <w:tcPr>
            <w:tcW w:w="1296"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7F09BFA7" w14:textId="77777777">
            <w:pPr>
              <w:jc w:val="right"/>
              <w:rPr>
                <w:color w:val="000000"/>
              </w:rPr>
            </w:pPr>
            <w:r w:rsidRPr="00160C23">
              <w:rPr>
                <w:color w:val="000000"/>
              </w:rPr>
              <w:t>100.0</w:t>
            </w:r>
          </w:p>
        </w:tc>
      </w:tr>
      <w:tr w:rsidRPr="00160C23" w:rsidR="000B3C48" w:rsidTr="009E6CF8" w14:paraId="0CDF572F" w14:textId="77777777">
        <w:trPr>
          <w:trHeight w:val="330"/>
        </w:trPr>
        <w:tc>
          <w:tcPr>
            <w:tcW w:w="3743" w:type="dxa"/>
            <w:tcBorders>
              <w:top w:val="nil"/>
              <w:left w:val="single" w:color="auto" w:sz="8" w:space="0"/>
              <w:bottom w:val="single" w:color="auto" w:sz="8" w:space="0"/>
              <w:right w:val="single" w:color="auto" w:sz="8" w:space="0"/>
            </w:tcBorders>
            <w:shd w:val="clear" w:color="auto" w:fill="auto"/>
            <w:vAlign w:val="center"/>
          </w:tcPr>
          <w:p w:rsidRPr="00160C23" w:rsidR="000B3C48" w:rsidP="00762CE3" w:rsidRDefault="00110577" w14:paraId="0EEE1D5D" w14:textId="56347AA3">
            <w:pPr>
              <w:tabs>
                <w:tab w:val="left" w:pos="422"/>
                <w:tab w:val="left" w:pos="602"/>
              </w:tabs>
              <w:ind w:left="422" w:hanging="422"/>
              <w:rPr>
                <w:b/>
                <w:bCs/>
                <w:color w:val="000000"/>
              </w:rPr>
            </w:pPr>
            <w:r>
              <w:rPr>
                <w:b/>
                <w:bCs/>
                <w:color w:val="000000"/>
              </w:rPr>
              <w:t>4</w:t>
            </w:r>
            <w:r w:rsidRPr="00160C23" w:rsidR="000B3C48">
              <w:rPr>
                <w:b/>
                <w:bCs/>
                <w:color w:val="000000"/>
              </w:rPr>
              <w:t xml:space="preserve">. </w:t>
            </w:r>
            <w:r w:rsidRPr="00160C23" w:rsidR="000B3C48">
              <w:rPr>
                <w:b/>
                <w:bCs/>
                <w:color w:val="000000"/>
              </w:rPr>
              <w:tab/>
              <w:t>Learning Community Follow-up Survey</w:t>
            </w:r>
            <w:r w:rsidR="00D95F8A">
              <w:rPr>
                <w:b/>
                <w:bCs/>
                <w:color w:val="000000"/>
              </w:rPr>
              <w:t>**</w:t>
            </w:r>
          </w:p>
        </w:tc>
        <w:tc>
          <w:tcPr>
            <w:tcW w:w="1457" w:type="dxa"/>
            <w:tcBorders>
              <w:top w:val="nil"/>
              <w:left w:val="nil"/>
              <w:bottom w:val="single" w:color="auto" w:sz="8" w:space="0"/>
              <w:right w:val="single" w:color="auto" w:sz="8" w:space="0"/>
            </w:tcBorders>
            <w:shd w:val="clear" w:color="auto" w:fill="auto"/>
            <w:vAlign w:val="center"/>
          </w:tcPr>
          <w:p w:rsidRPr="00160C23" w:rsidR="000B3C48" w:rsidP="00C17C8A" w:rsidRDefault="00D95F8A" w14:paraId="5FE9401E" w14:textId="3651AC50">
            <w:pPr>
              <w:jc w:val="right"/>
              <w:rPr>
                <w:color w:val="000000"/>
              </w:rPr>
            </w:pPr>
            <w:r>
              <w:rPr>
                <w:color w:val="000000"/>
              </w:rPr>
              <w:t>120</w:t>
            </w:r>
          </w:p>
        </w:tc>
        <w:tc>
          <w:tcPr>
            <w:tcW w:w="1688" w:type="dxa"/>
            <w:tcBorders>
              <w:top w:val="nil"/>
              <w:left w:val="nil"/>
              <w:bottom w:val="single" w:color="auto" w:sz="8" w:space="0"/>
              <w:right w:val="single" w:color="auto" w:sz="8" w:space="0"/>
            </w:tcBorders>
            <w:shd w:val="clear" w:color="auto" w:fill="auto"/>
            <w:vAlign w:val="center"/>
          </w:tcPr>
          <w:p w:rsidRPr="00160C23" w:rsidR="000B3C48" w:rsidP="00C17C8A" w:rsidRDefault="000B3C48" w14:paraId="124D95BE" w14:textId="77777777">
            <w:pPr>
              <w:jc w:val="right"/>
              <w:rPr>
                <w:color w:val="000000"/>
              </w:rPr>
            </w:pPr>
            <w:r w:rsidRPr="00160C23">
              <w:rPr>
                <w:color w:val="000000"/>
              </w:rPr>
              <w:t>1</w:t>
            </w:r>
          </w:p>
        </w:tc>
        <w:tc>
          <w:tcPr>
            <w:tcW w:w="1346" w:type="dxa"/>
            <w:tcBorders>
              <w:top w:val="nil"/>
              <w:left w:val="nil"/>
              <w:bottom w:val="single" w:color="auto" w:sz="8" w:space="0"/>
              <w:right w:val="single" w:color="auto" w:sz="8" w:space="0"/>
            </w:tcBorders>
            <w:shd w:val="clear" w:color="auto" w:fill="auto"/>
            <w:vAlign w:val="center"/>
          </w:tcPr>
          <w:p w:rsidRPr="00160C23" w:rsidR="000B3C48" w:rsidP="000A6E87" w:rsidRDefault="000B3C48" w14:paraId="45766181" w14:textId="27910D64">
            <w:pPr>
              <w:jc w:val="right"/>
              <w:rPr>
                <w:color w:val="000000"/>
              </w:rPr>
            </w:pPr>
            <w:r w:rsidRPr="00160C23">
              <w:rPr>
                <w:color w:val="000000"/>
              </w:rPr>
              <w:t>0.1</w:t>
            </w:r>
            <w:r w:rsidRPr="00160C23" w:rsidR="000A6E87">
              <w:rPr>
                <w:color w:val="000000"/>
              </w:rPr>
              <w:t>7</w:t>
            </w:r>
          </w:p>
        </w:tc>
        <w:tc>
          <w:tcPr>
            <w:tcW w:w="1296" w:type="dxa"/>
            <w:tcBorders>
              <w:top w:val="nil"/>
              <w:left w:val="nil"/>
              <w:bottom w:val="single" w:color="auto" w:sz="8" w:space="0"/>
              <w:right w:val="single" w:color="auto" w:sz="8" w:space="0"/>
            </w:tcBorders>
            <w:shd w:val="clear" w:color="auto" w:fill="auto"/>
            <w:vAlign w:val="center"/>
          </w:tcPr>
          <w:p w:rsidRPr="00160C23" w:rsidR="000B3C48" w:rsidP="00C17C8A" w:rsidRDefault="000A6E87" w14:paraId="698776A4" w14:textId="438C34BF">
            <w:pPr>
              <w:jc w:val="right"/>
              <w:rPr>
                <w:color w:val="000000"/>
              </w:rPr>
            </w:pPr>
            <w:r w:rsidRPr="00160C23">
              <w:rPr>
                <w:color w:val="000000"/>
              </w:rPr>
              <w:t>20.4</w:t>
            </w:r>
          </w:p>
        </w:tc>
      </w:tr>
      <w:tr w:rsidRPr="00160C23" w:rsidR="009E6CF8" w:rsidTr="00762CE3" w14:paraId="4FD1CE59" w14:textId="77777777">
        <w:trPr>
          <w:trHeight w:val="330"/>
        </w:trPr>
        <w:tc>
          <w:tcPr>
            <w:tcW w:w="3743" w:type="dxa"/>
            <w:tcBorders>
              <w:top w:val="nil"/>
              <w:left w:val="single" w:color="auto" w:sz="8" w:space="0"/>
              <w:bottom w:val="single" w:color="auto" w:sz="8" w:space="0"/>
              <w:right w:val="single" w:color="auto" w:sz="8" w:space="0"/>
            </w:tcBorders>
            <w:shd w:val="clear" w:color="auto" w:fill="auto"/>
            <w:vAlign w:val="center"/>
          </w:tcPr>
          <w:p w:rsidRPr="00160C23" w:rsidR="009E6CF8" w:rsidP="009E6CF8" w:rsidRDefault="009E6CF8" w14:paraId="6F20653C" w14:textId="77777777">
            <w:pPr>
              <w:rPr>
                <w:b/>
                <w:bCs/>
                <w:color w:val="000000"/>
              </w:rPr>
            </w:pPr>
            <w:r w:rsidRPr="00160C23">
              <w:rPr>
                <w:b/>
                <w:bCs/>
                <w:color w:val="000000"/>
              </w:rPr>
              <w:t>TOTAL</w:t>
            </w:r>
          </w:p>
        </w:tc>
        <w:tc>
          <w:tcPr>
            <w:tcW w:w="1457" w:type="dxa"/>
            <w:tcBorders>
              <w:top w:val="nil"/>
              <w:left w:val="nil"/>
              <w:bottom w:val="single" w:color="auto" w:sz="8" w:space="0"/>
              <w:right w:val="single" w:color="auto" w:sz="8" w:space="0"/>
            </w:tcBorders>
            <w:shd w:val="clear" w:color="auto" w:fill="auto"/>
          </w:tcPr>
          <w:p w:rsidRPr="00160C23" w:rsidR="009E6CF8" w:rsidP="009E6CF8" w:rsidRDefault="009E6CF8" w14:paraId="48D8B3B8" w14:textId="764C3E85">
            <w:pPr>
              <w:jc w:val="right"/>
              <w:rPr>
                <w:b/>
                <w:bCs/>
                <w:color w:val="000000"/>
              </w:rPr>
            </w:pPr>
            <w:r w:rsidRPr="00BF36D9">
              <w:t>474</w:t>
            </w:r>
          </w:p>
        </w:tc>
        <w:tc>
          <w:tcPr>
            <w:tcW w:w="1688" w:type="dxa"/>
            <w:tcBorders>
              <w:top w:val="nil"/>
              <w:left w:val="nil"/>
              <w:bottom w:val="single" w:color="auto" w:sz="8" w:space="0"/>
              <w:right w:val="single" w:color="auto" w:sz="8" w:space="0"/>
            </w:tcBorders>
            <w:shd w:val="clear" w:color="auto" w:fill="auto"/>
          </w:tcPr>
          <w:p w:rsidRPr="00160C23" w:rsidR="009E6CF8" w:rsidP="009E6CF8" w:rsidRDefault="009E6CF8" w14:paraId="3C737CAD" w14:textId="66075CC4">
            <w:pPr>
              <w:jc w:val="right"/>
              <w:rPr>
                <w:b/>
                <w:bCs/>
                <w:color w:val="000000"/>
              </w:rPr>
            </w:pPr>
          </w:p>
        </w:tc>
        <w:tc>
          <w:tcPr>
            <w:tcW w:w="1346" w:type="dxa"/>
            <w:tcBorders>
              <w:top w:val="nil"/>
              <w:left w:val="nil"/>
              <w:bottom w:val="single" w:color="auto" w:sz="8" w:space="0"/>
              <w:right w:val="single" w:color="auto" w:sz="8" w:space="0"/>
            </w:tcBorders>
            <w:shd w:val="clear" w:color="auto" w:fill="auto"/>
            <w:vAlign w:val="center"/>
          </w:tcPr>
          <w:p w:rsidRPr="00160C23" w:rsidR="009E6CF8" w:rsidP="009E6CF8" w:rsidRDefault="009E6CF8" w14:paraId="3582C2BA" w14:textId="437EAD22">
            <w:pPr>
              <w:jc w:val="right"/>
              <w:rPr>
                <w:b/>
                <w:color w:val="000000"/>
              </w:rPr>
            </w:pPr>
          </w:p>
        </w:tc>
        <w:tc>
          <w:tcPr>
            <w:tcW w:w="1296" w:type="dxa"/>
            <w:tcBorders>
              <w:top w:val="nil"/>
              <w:left w:val="nil"/>
              <w:bottom w:val="single" w:color="auto" w:sz="8" w:space="0"/>
              <w:right w:val="single" w:color="auto" w:sz="8" w:space="0"/>
            </w:tcBorders>
            <w:shd w:val="clear" w:color="auto" w:fill="auto"/>
            <w:vAlign w:val="center"/>
          </w:tcPr>
          <w:p w:rsidRPr="00160C23" w:rsidR="009E6CF8" w:rsidP="009E6CF8" w:rsidRDefault="009E6CF8" w14:paraId="74753727" w14:textId="6DC4DAB3">
            <w:pPr>
              <w:jc w:val="right"/>
              <w:rPr>
                <w:b/>
                <w:bCs/>
                <w:color w:val="000000"/>
              </w:rPr>
            </w:pPr>
            <w:r w:rsidRPr="00160C23">
              <w:rPr>
                <w:b/>
                <w:bCs/>
                <w:color w:val="000000"/>
              </w:rPr>
              <w:t>33</w:t>
            </w:r>
            <w:r>
              <w:rPr>
                <w:b/>
                <w:bCs/>
                <w:color w:val="000000"/>
              </w:rPr>
              <w:t>2.6</w:t>
            </w:r>
          </w:p>
        </w:tc>
      </w:tr>
    </w:tbl>
    <w:p w:rsidRPr="00762CE3" w:rsidR="00D95F8A" w:rsidP="00762CE3" w:rsidRDefault="00D95F8A" w14:paraId="4B7CF642" w14:textId="26340E78">
      <w:pPr>
        <w:tabs>
          <w:tab w:val="left" w:pos="360"/>
        </w:tabs>
        <w:ind w:left="360" w:hanging="270"/>
        <w:rPr>
          <w:sz w:val="22"/>
          <w:szCs w:val="22"/>
        </w:rPr>
      </w:pPr>
      <w:r w:rsidRPr="00762CE3">
        <w:rPr>
          <w:bCs/>
          <w:color w:val="000000"/>
          <w:sz w:val="22"/>
          <w:szCs w:val="22"/>
        </w:rPr>
        <w:t xml:space="preserve">* </w:t>
      </w:r>
      <w:r w:rsidR="00762CE3">
        <w:rPr>
          <w:bCs/>
          <w:color w:val="000000"/>
          <w:sz w:val="22"/>
          <w:szCs w:val="22"/>
        </w:rPr>
        <w:tab/>
      </w:r>
      <w:r w:rsidRPr="00762CE3" w:rsidR="00110577">
        <w:rPr>
          <w:sz w:val="22"/>
          <w:szCs w:val="22"/>
        </w:rPr>
        <w:t xml:space="preserve">Number of respondents (Column A) reflects a sample size assuming a </w:t>
      </w:r>
      <w:r w:rsidRPr="00762CE3">
        <w:rPr>
          <w:sz w:val="22"/>
          <w:szCs w:val="22"/>
        </w:rPr>
        <w:t>90</w:t>
      </w:r>
      <w:r w:rsidRPr="00762CE3" w:rsidR="00110577">
        <w:rPr>
          <w:sz w:val="22"/>
          <w:szCs w:val="22"/>
        </w:rPr>
        <w:t>% response rate for this data collection effort.</w:t>
      </w:r>
      <w:r w:rsidRPr="00762CE3">
        <w:rPr>
          <w:sz w:val="22"/>
          <w:szCs w:val="22"/>
        </w:rPr>
        <w:t xml:space="preserve"> </w:t>
      </w:r>
    </w:p>
    <w:p w:rsidRPr="00762CE3" w:rsidR="00D95F8A" w:rsidP="00762CE3" w:rsidRDefault="00D95F8A" w14:paraId="1116E77D" w14:textId="661E6A46">
      <w:pPr>
        <w:tabs>
          <w:tab w:val="left" w:pos="360"/>
        </w:tabs>
        <w:ind w:left="360" w:hanging="270"/>
        <w:rPr>
          <w:sz w:val="22"/>
          <w:szCs w:val="22"/>
        </w:rPr>
      </w:pPr>
      <w:r w:rsidRPr="00762CE3">
        <w:rPr>
          <w:sz w:val="22"/>
          <w:szCs w:val="22"/>
        </w:rPr>
        <w:t>**</w:t>
      </w:r>
      <w:r w:rsidR="00762CE3">
        <w:rPr>
          <w:sz w:val="22"/>
          <w:szCs w:val="22"/>
        </w:rPr>
        <w:tab/>
      </w:r>
      <w:r w:rsidRPr="00762CE3">
        <w:rPr>
          <w:sz w:val="22"/>
          <w:szCs w:val="22"/>
        </w:rPr>
        <w:t>Number of respondents (Column A) reflects a sample size assuming a</w:t>
      </w:r>
      <w:r w:rsidRPr="00762CE3" w:rsidR="00647A2C">
        <w:rPr>
          <w:sz w:val="22"/>
          <w:szCs w:val="22"/>
        </w:rPr>
        <w:t>n</w:t>
      </w:r>
      <w:r w:rsidRPr="00762CE3">
        <w:rPr>
          <w:sz w:val="22"/>
          <w:szCs w:val="22"/>
        </w:rPr>
        <w:t xml:space="preserve"> 80% response rate for this data collection effort.</w:t>
      </w:r>
    </w:p>
    <w:p w:rsidRPr="00160C23" w:rsidR="00160C23" w:rsidP="00762CE3" w:rsidRDefault="00160C23" w14:paraId="49827AF6" w14:textId="77777777">
      <w:pPr>
        <w:tabs>
          <w:tab w:val="left" w:pos="270"/>
        </w:tabs>
        <w:rPr>
          <w:b/>
          <w:bCs/>
          <w:color w:val="000000"/>
        </w:rPr>
      </w:pPr>
    </w:p>
    <w:p w:rsidRPr="00160C23" w:rsidR="004A4612" w:rsidP="004A4612" w:rsidRDefault="004A4612" w14:paraId="58357628" w14:textId="37DFE5B5">
      <w:pPr>
        <w:tabs>
          <w:tab w:val="left" w:pos="90"/>
        </w:tabs>
        <w:ind w:left="90"/>
        <w:rPr>
          <w:color w:val="000000" w:themeColor="text1"/>
          <w:spacing w:val="6"/>
        </w:rPr>
      </w:pPr>
      <w:r w:rsidRPr="00160C23">
        <w:rPr>
          <w:spacing w:val="6"/>
        </w:rPr>
        <w:t xml:space="preserve">Exhibit </w:t>
      </w:r>
      <w:r w:rsidRPr="00160C23" w:rsidR="00FB6C9B">
        <w:rPr>
          <w:spacing w:val="6"/>
        </w:rPr>
        <w:t>3</w:t>
      </w:r>
      <w:r w:rsidRPr="00160C23">
        <w:rPr>
          <w:spacing w:val="6"/>
        </w:rPr>
        <w:t xml:space="preserve">, below, presents the estimated annualized cost burden associated with the respondents’ time to participate in this research. </w:t>
      </w:r>
      <w:r w:rsidRPr="00160C23">
        <w:t xml:space="preserve">The total cost burden is estimated to be about </w:t>
      </w:r>
      <w:r w:rsidRPr="00160C23">
        <w:rPr>
          <w:color w:val="000000" w:themeColor="text1"/>
        </w:rPr>
        <w:t>$</w:t>
      </w:r>
      <w:r w:rsidRPr="00160C23" w:rsidR="006A11ED">
        <w:rPr>
          <w:color w:val="000000"/>
        </w:rPr>
        <w:t>21,</w:t>
      </w:r>
      <w:r w:rsidRPr="00160C23" w:rsidR="009E6CF8">
        <w:rPr>
          <w:color w:val="000000"/>
        </w:rPr>
        <w:t>4</w:t>
      </w:r>
      <w:r w:rsidR="009E6CF8">
        <w:rPr>
          <w:color w:val="000000"/>
        </w:rPr>
        <w:t>97</w:t>
      </w:r>
      <w:r w:rsidRPr="00160C23" w:rsidR="00D75852">
        <w:rPr>
          <w:color w:val="000000" w:themeColor="text1"/>
        </w:rPr>
        <w:t>.</w:t>
      </w:r>
    </w:p>
    <w:p w:rsidRPr="00160C23" w:rsidR="004A4612" w:rsidP="004A4612" w:rsidRDefault="004A4612" w14:paraId="1602B58D" w14:textId="77777777">
      <w:pPr>
        <w:tabs>
          <w:tab w:val="left" w:pos="90"/>
        </w:tabs>
        <w:ind w:left="90"/>
      </w:pPr>
    </w:p>
    <w:p w:rsidR="00705510" w:rsidRDefault="00705510" w14:paraId="79BB7F2F" w14:textId="77777777">
      <w:pPr>
        <w:rPr>
          <w:b/>
        </w:rPr>
      </w:pPr>
      <w:r>
        <w:rPr>
          <w:b/>
        </w:rPr>
        <w:br w:type="page"/>
      </w:r>
    </w:p>
    <w:p w:rsidRPr="00160C23" w:rsidR="004A4612" w:rsidP="004A4612" w:rsidRDefault="004A4612" w14:paraId="00FB8D9C" w14:textId="15B5C7B7">
      <w:pPr>
        <w:tabs>
          <w:tab w:val="left" w:pos="90"/>
        </w:tabs>
        <w:ind w:left="90"/>
        <w:rPr>
          <w:b/>
        </w:rPr>
      </w:pPr>
      <w:r w:rsidRPr="00160C23">
        <w:rPr>
          <w:b/>
        </w:rPr>
        <w:t xml:space="preserve">Exhibit </w:t>
      </w:r>
      <w:r w:rsidRPr="00160C23" w:rsidR="00FB6C9B">
        <w:rPr>
          <w:b/>
        </w:rPr>
        <w:t>3</w:t>
      </w:r>
      <w:r w:rsidRPr="00160C23">
        <w:rPr>
          <w:b/>
        </w:rPr>
        <w:t>. Estimated annualized cost burden</w:t>
      </w:r>
    </w:p>
    <w:tbl>
      <w:tblPr>
        <w:tblW w:w="9530" w:type="dxa"/>
        <w:tblLook w:val="04A0" w:firstRow="1" w:lastRow="0" w:firstColumn="1" w:lastColumn="0" w:noHBand="0" w:noVBand="1"/>
      </w:tblPr>
      <w:tblGrid>
        <w:gridCol w:w="3770"/>
        <w:gridCol w:w="1457"/>
        <w:gridCol w:w="1693"/>
        <w:gridCol w:w="1350"/>
        <w:gridCol w:w="1260"/>
      </w:tblGrid>
      <w:tr w:rsidRPr="00160C23" w:rsidR="00705510" w:rsidTr="00705510" w14:paraId="2A839FF0" w14:textId="77777777">
        <w:trPr>
          <w:trHeight w:val="645"/>
        </w:trPr>
        <w:tc>
          <w:tcPr>
            <w:tcW w:w="3770" w:type="dxa"/>
            <w:tcBorders>
              <w:top w:val="single" w:color="auto" w:sz="8" w:space="0"/>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1817004D" w14:textId="2431977D">
            <w:pPr>
              <w:rPr>
                <w:b/>
                <w:bCs/>
                <w:color w:val="000000"/>
              </w:rPr>
            </w:pPr>
            <w:r w:rsidRPr="00160C23">
              <w:rPr>
                <w:b/>
                <w:bCs/>
                <w:color w:val="000000"/>
              </w:rPr>
              <w:t>Data Collection Method or Project Activity</w:t>
            </w:r>
          </w:p>
        </w:tc>
        <w:tc>
          <w:tcPr>
            <w:tcW w:w="1457" w:type="dxa"/>
            <w:tcBorders>
              <w:top w:val="single" w:color="auto" w:sz="8" w:space="0"/>
              <w:left w:val="nil"/>
              <w:bottom w:val="single" w:color="auto" w:sz="8" w:space="0"/>
              <w:right w:val="single" w:color="auto" w:sz="8" w:space="0"/>
            </w:tcBorders>
            <w:shd w:val="clear" w:color="auto" w:fill="auto"/>
            <w:vAlign w:val="center"/>
            <w:hideMark/>
          </w:tcPr>
          <w:p w:rsidR="00705510" w:rsidP="00705510" w:rsidRDefault="00705510" w14:paraId="1D8D62B1" w14:textId="77777777">
            <w:pPr>
              <w:jc w:val="center"/>
              <w:rPr>
                <w:b/>
                <w:bCs/>
                <w:color w:val="000000"/>
              </w:rPr>
            </w:pPr>
            <w:r>
              <w:rPr>
                <w:b/>
                <w:bCs/>
                <w:color w:val="000000"/>
              </w:rPr>
              <w:t>A.</w:t>
            </w:r>
          </w:p>
          <w:p w:rsidRPr="00160C23" w:rsidR="00705510" w:rsidP="00705510" w:rsidRDefault="00705510" w14:paraId="457359C5" w14:textId="77777777">
            <w:pPr>
              <w:jc w:val="center"/>
              <w:rPr>
                <w:b/>
                <w:bCs/>
                <w:color w:val="000000"/>
              </w:rPr>
            </w:pPr>
            <w:r w:rsidRPr="00160C23">
              <w:rPr>
                <w:b/>
                <w:bCs/>
                <w:color w:val="000000"/>
              </w:rPr>
              <w:t>Number of respondents</w:t>
            </w:r>
          </w:p>
        </w:tc>
        <w:tc>
          <w:tcPr>
            <w:tcW w:w="1693" w:type="dxa"/>
            <w:tcBorders>
              <w:top w:val="single" w:color="auto" w:sz="8" w:space="0"/>
              <w:left w:val="nil"/>
              <w:bottom w:val="single" w:color="auto" w:sz="8" w:space="0"/>
              <w:right w:val="single" w:color="auto" w:sz="8" w:space="0"/>
            </w:tcBorders>
            <w:shd w:val="clear" w:color="auto" w:fill="auto"/>
            <w:vAlign w:val="center"/>
            <w:hideMark/>
          </w:tcPr>
          <w:p w:rsidR="00705510" w:rsidP="00705510" w:rsidRDefault="00705510" w14:paraId="7DB810E9" w14:textId="77777777">
            <w:pPr>
              <w:jc w:val="center"/>
              <w:rPr>
                <w:b/>
                <w:bCs/>
                <w:color w:val="000000"/>
              </w:rPr>
            </w:pPr>
            <w:r>
              <w:rPr>
                <w:b/>
                <w:bCs/>
                <w:color w:val="000000"/>
              </w:rPr>
              <w:t>B.</w:t>
            </w:r>
          </w:p>
          <w:p w:rsidRPr="00160C23" w:rsidR="00705510" w:rsidP="00705510" w:rsidRDefault="00705510" w14:paraId="7547C590" w14:textId="77777777">
            <w:pPr>
              <w:jc w:val="center"/>
              <w:rPr>
                <w:b/>
                <w:bCs/>
                <w:color w:val="000000"/>
              </w:rPr>
            </w:pPr>
            <w:r w:rsidRPr="00160C23">
              <w:rPr>
                <w:b/>
                <w:bCs/>
                <w:color w:val="000000"/>
              </w:rPr>
              <w:t>Total burden hours</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705510" w:rsidP="00705510" w:rsidRDefault="00705510" w14:paraId="616FB437" w14:textId="77777777">
            <w:pPr>
              <w:jc w:val="center"/>
              <w:rPr>
                <w:b/>
                <w:bCs/>
                <w:color w:val="000000"/>
              </w:rPr>
            </w:pPr>
            <w:r>
              <w:rPr>
                <w:b/>
                <w:bCs/>
                <w:color w:val="000000"/>
              </w:rPr>
              <w:t>C.</w:t>
            </w:r>
          </w:p>
          <w:p w:rsidRPr="00160C23" w:rsidR="00705510" w:rsidP="00705510" w:rsidRDefault="00705510" w14:paraId="5D730DD6" w14:textId="5AC07777">
            <w:pPr>
              <w:jc w:val="center"/>
              <w:rPr>
                <w:b/>
                <w:bCs/>
                <w:color w:val="000000"/>
              </w:rPr>
            </w:pPr>
            <w:r w:rsidRPr="00160C23">
              <w:rPr>
                <w:b/>
                <w:bCs/>
                <w:color w:val="000000"/>
              </w:rPr>
              <w:t>Average hourly wage rate</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rsidR="00705510" w:rsidP="00705510" w:rsidRDefault="00705510" w14:paraId="5614D6DD" w14:textId="77777777">
            <w:pPr>
              <w:jc w:val="center"/>
              <w:rPr>
                <w:b/>
                <w:bCs/>
                <w:color w:val="000000"/>
              </w:rPr>
            </w:pPr>
            <w:r>
              <w:rPr>
                <w:b/>
                <w:bCs/>
                <w:color w:val="000000"/>
              </w:rPr>
              <w:t>D.</w:t>
            </w:r>
          </w:p>
          <w:p w:rsidRPr="00160C23" w:rsidR="00705510" w:rsidP="00705510" w:rsidRDefault="00705510" w14:paraId="21E6B392" w14:textId="2673CB3D">
            <w:pPr>
              <w:jc w:val="center"/>
              <w:rPr>
                <w:b/>
                <w:bCs/>
                <w:color w:val="000000"/>
              </w:rPr>
            </w:pPr>
            <w:r w:rsidRPr="00160C23">
              <w:rPr>
                <w:b/>
                <w:bCs/>
                <w:color w:val="000000"/>
              </w:rPr>
              <w:t>Total cost burden</w:t>
            </w:r>
          </w:p>
        </w:tc>
      </w:tr>
      <w:tr w:rsidRPr="00160C23" w:rsidR="00705510" w:rsidTr="00705510" w14:paraId="1A64C140" w14:textId="77777777">
        <w:trPr>
          <w:trHeight w:val="330"/>
        </w:trPr>
        <w:tc>
          <w:tcPr>
            <w:tcW w:w="3770" w:type="dxa"/>
            <w:tcBorders>
              <w:top w:val="single" w:color="auto" w:sz="8" w:space="0"/>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169B80FF" w14:textId="15618F3B">
            <w:pPr>
              <w:tabs>
                <w:tab w:val="left" w:pos="512"/>
              </w:tabs>
              <w:ind w:left="512" w:hanging="512"/>
              <w:rPr>
                <w:b/>
                <w:bCs/>
                <w:color w:val="000000"/>
              </w:rPr>
            </w:pPr>
            <w:r w:rsidRPr="00160C23">
              <w:rPr>
                <w:b/>
                <w:bCs/>
                <w:color w:val="000000"/>
              </w:rPr>
              <w:t xml:space="preserve">1. </w:t>
            </w:r>
            <w:r w:rsidRPr="00160C23">
              <w:rPr>
                <w:b/>
                <w:bCs/>
                <w:color w:val="000000"/>
              </w:rPr>
              <w:tab/>
              <w:t>Partner Hospital Champion Survey</w:t>
            </w:r>
            <w:r>
              <w:rPr>
                <w:b/>
                <w:bCs/>
                <w:color w:val="000000"/>
              </w:rPr>
              <w:t>*</w:t>
            </w:r>
          </w:p>
        </w:tc>
        <w:tc>
          <w:tcPr>
            <w:tcW w:w="1457" w:type="dxa"/>
            <w:tcBorders>
              <w:top w:val="single" w:color="auto" w:sz="8" w:space="0"/>
              <w:left w:val="nil"/>
              <w:bottom w:val="single" w:color="auto" w:sz="8" w:space="0"/>
              <w:right w:val="single" w:color="auto" w:sz="8" w:space="0"/>
            </w:tcBorders>
            <w:shd w:val="clear" w:color="auto" w:fill="auto"/>
            <w:vAlign w:val="center"/>
          </w:tcPr>
          <w:p w:rsidRPr="00160C23" w:rsidR="00705510" w:rsidP="00705510" w:rsidRDefault="00705510" w14:paraId="66B08310" w14:textId="237C2846">
            <w:pPr>
              <w:jc w:val="right"/>
              <w:rPr>
                <w:color w:val="000000"/>
              </w:rPr>
            </w:pPr>
            <w:r>
              <w:rPr>
                <w:color w:val="000000"/>
              </w:rPr>
              <w:t>113</w:t>
            </w:r>
          </w:p>
        </w:tc>
        <w:tc>
          <w:tcPr>
            <w:tcW w:w="1693" w:type="dxa"/>
            <w:tcBorders>
              <w:top w:val="single" w:color="auto" w:sz="8" w:space="0"/>
              <w:left w:val="nil"/>
              <w:bottom w:val="single" w:color="auto" w:sz="8" w:space="0"/>
              <w:right w:val="single" w:color="auto" w:sz="8" w:space="0"/>
            </w:tcBorders>
            <w:shd w:val="clear" w:color="auto" w:fill="auto"/>
            <w:vAlign w:val="center"/>
          </w:tcPr>
          <w:p w:rsidRPr="00160C23" w:rsidR="00705510" w:rsidP="00705510" w:rsidRDefault="00705510" w14:paraId="1CA0E125" w14:textId="6D21BEE6">
            <w:pPr>
              <w:jc w:val="right"/>
              <w:rPr>
                <w:color w:val="000000"/>
              </w:rPr>
            </w:pPr>
            <w:r w:rsidRPr="00160C23">
              <w:rPr>
                <w:color w:val="000000"/>
              </w:rPr>
              <w:t>16</w:t>
            </w:r>
            <w:r>
              <w:rPr>
                <w:color w:val="000000"/>
              </w:rPr>
              <w:t>9.5</w:t>
            </w:r>
          </w:p>
        </w:tc>
        <w:tc>
          <w:tcPr>
            <w:tcW w:w="1350" w:type="dxa"/>
            <w:tcBorders>
              <w:top w:val="single" w:color="auto" w:sz="8" w:space="0"/>
              <w:left w:val="nil"/>
              <w:bottom w:val="single" w:color="auto" w:sz="8" w:space="0"/>
              <w:right w:val="single" w:color="auto" w:sz="8" w:space="0"/>
            </w:tcBorders>
            <w:shd w:val="clear" w:color="auto" w:fill="auto"/>
            <w:vAlign w:val="center"/>
          </w:tcPr>
          <w:p w:rsidRPr="00160C23" w:rsidR="00705510" w:rsidP="00705510" w:rsidRDefault="00705510" w14:paraId="62EA043B" w14:textId="5765708B">
            <w:pPr>
              <w:jc w:val="right"/>
              <w:rPr>
                <w:color w:val="000000"/>
              </w:rPr>
            </w:pPr>
            <w:r w:rsidRPr="00160C23">
              <w:rPr>
                <w:color w:val="000000"/>
              </w:rPr>
              <w:t xml:space="preserve">$72.27 </w:t>
            </w:r>
          </w:p>
        </w:tc>
        <w:tc>
          <w:tcPr>
            <w:tcW w:w="1260" w:type="dxa"/>
            <w:tcBorders>
              <w:top w:val="single" w:color="auto" w:sz="8" w:space="0"/>
              <w:left w:val="nil"/>
              <w:bottom w:val="single" w:color="auto" w:sz="8" w:space="0"/>
              <w:right w:val="single" w:color="auto" w:sz="8" w:space="0"/>
            </w:tcBorders>
            <w:shd w:val="clear" w:color="auto" w:fill="auto"/>
            <w:vAlign w:val="center"/>
          </w:tcPr>
          <w:p w:rsidRPr="00160C23" w:rsidR="00705510" w:rsidP="00705510" w:rsidRDefault="00705510" w14:paraId="46B149B0" w14:textId="4348ACAA">
            <w:pPr>
              <w:jc w:val="right"/>
              <w:rPr>
                <w:color w:val="000000"/>
              </w:rPr>
            </w:pPr>
          </w:p>
        </w:tc>
      </w:tr>
      <w:tr w:rsidRPr="00160C23" w:rsidR="00705510" w:rsidTr="00C17C8A" w14:paraId="29BB1EDA" w14:textId="77777777">
        <w:trPr>
          <w:trHeight w:val="645"/>
        </w:trPr>
        <w:tc>
          <w:tcPr>
            <w:tcW w:w="3770" w:type="dxa"/>
            <w:tcBorders>
              <w:top w:val="nil"/>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265685B3" w14:textId="5DEB1A6E">
            <w:pPr>
              <w:tabs>
                <w:tab w:val="left" w:pos="602"/>
              </w:tabs>
              <w:ind w:left="512" w:hanging="512"/>
              <w:rPr>
                <w:b/>
                <w:bCs/>
                <w:color w:val="000000"/>
              </w:rPr>
            </w:pPr>
            <w:r w:rsidRPr="00160C23">
              <w:rPr>
                <w:b/>
                <w:bCs/>
                <w:color w:val="000000"/>
              </w:rPr>
              <w:t>2a.</w:t>
            </w:r>
            <w:r>
              <w:rPr>
                <w:b/>
                <w:bCs/>
                <w:color w:val="000000"/>
              </w:rPr>
              <w:t xml:space="preserve">   </w:t>
            </w:r>
            <w:r w:rsidRPr="00160C23">
              <w:rPr>
                <w:b/>
                <w:bCs/>
                <w:color w:val="000000"/>
              </w:rPr>
              <w:t>Interviews with Partner Hospital Champions</w:t>
            </w:r>
          </w:p>
        </w:tc>
        <w:tc>
          <w:tcPr>
            <w:tcW w:w="1457"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6053E883" w14:textId="1B253323">
            <w:pPr>
              <w:jc w:val="right"/>
              <w:rPr>
                <w:color w:val="000000"/>
              </w:rPr>
            </w:pPr>
            <w:r w:rsidRPr="00160C23">
              <w:rPr>
                <w:color w:val="000000"/>
              </w:rPr>
              <w:t>16</w:t>
            </w:r>
          </w:p>
        </w:tc>
        <w:tc>
          <w:tcPr>
            <w:tcW w:w="1693"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0E0BC42E" w14:textId="6E33208A">
            <w:pPr>
              <w:jc w:val="right"/>
              <w:rPr>
                <w:color w:val="000000"/>
              </w:rPr>
            </w:pPr>
            <w:r w:rsidRPr="00160C23">
              <w:rPr>
                <w:color w:val="000000"/>
              </w:rPr>
              <w:t>24.0</w:t>
            </w:r>
          </w:p>
        </w:tc>
        <w:tc>
          <w:tcPr>
            <w:tcW w:w="135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7471E356" w14:textId="19449E22">
            <w:pPr>
              <w:jc w:val="right"/>
              <w:rPr>
                <w:color w:val="000000"/>
              </w:rPr>
            </w:pPr>
            <w:r w:rsidRPr="00160C23">
              <w:rPr>
                <w:color w:val="000000"/>
              </w:rPr>
              <w:t xml:space="preserve">$72.27 </w:t>
            </w:r>
          </w:p>
        </w:tc>
        <w:tc>
          <w:tcPr>
            <w:tcW w:w="126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502B5726" w14:textId="76AFFF28">
            <w:pPr>
              <w:jc w:val="right"/>
              <w:rPr>
                <w:color w:val="000000"/>
              </w:rPr>
            </w:pPr>
            <w:r w:rsidRPr="00160C23">
              <w:rPr>
                <w:color w:val="000000"/>
              </w:rPr>
              <w:t xml:space="preserve">$1,734 </w:t>
            </w:r>
          </w:p>
        </w:tc>
      </w:tr>
      <w:tr w:rsidRPr="00160C23" w:rsidR="00705510" w:rsidTr="00C17C8A" w14:paraId="5DCACE72" w14:textId="77777777">
        <w:trPr>
          <w:trHeight w:val="645"/>
        </w:trPr>
        <w:tc>
          <w:tcPr>
            <w:tcW w:w="3770" w:type="dxa"/>
            <w:tcBorders>
              <w:top w:val="nil"/>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0A9B6711" w14:textId="24AD137E">
            <w:pPr>
              <w:tabs>
                <w:tab w:val="left" w:pos="512"/>
              </w:tabs>
              <w:ind w:left="512" w:hanging="512"/>
              <w:rPr>
                <w:b/>
                <w:bCs/>
                <w:color w:val="000000"/>
              </w:rPr>
            </w:pPr>
            <w:r w:rsidRPr="00160C23">
              <w:rPr>
                <w:b/>
                <w:bCs/>
                <w:color w:val="000000"/>
              </w:rPr>
              <w:t xml:space="preserve">2b. </w:t>
            </w:r>
            <w:r>
              <w:rPr>
                <w:b/>
                <w:bCs/>
                <w:color w:val="000000"/>
              </w:rPr>
              <w:t xml:space="preserve">  </w:t>
            </w:r>
            <w:r w:rsidRPr="00160C23">
              <w:rPr>
                <w:b/>
                <w:bCs/>
                <w:color w:val="000000"/>
              </w:rPr>
              <w:t xml:space="preserve">Interviews with Partner Hospital Cardiologists </w:t>
            </w:r>
          </w:p>
        </w:tc>
        <w:tc>
          <w:tcPr>
            <w:tcW w:w="1457"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06CDB0CD" w14:textId="2488ABC9">
            <w:pPr>
              <w:jc w:val="right"/>
              <w:rPr>
                <w:color w:val="000000"/>
              </w:rPr>
            </w:pPr>
            <w:r w:rsidRPr="00160C23">
              <w:rPr>
                <w:color w:val="000000"/>
              </w:rPr>
              <w:t>16</w:t>
            </w:r>
          </w:p>
        </w:tc>
        <w:tc>
          <w:tcPr>
            <w:tcW w:w="1693"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1C044FBD" w14:textId="023EA618">
            <w:pPr>
              <w:jc w:val="right"/>
              <w:rPr>
                <w:color w:val="000000"/>
              </w:rPr>
            </w:pPr>
            <w:r w:rsidRPr="00160C23">
              <w:rPr>
                <w:color w:val="000000"/>
              </w:rPr>
              <w:t>16.0</w:t>
            </w:r>
          </w:p>
        </w:tc>
        <w:tc>
          <w:tcPr>
            <w:tcW w:w="135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6C73C007" w14:textId="37EF6E62">
            <w:pPr>
              <w:jc w:val="right"/>
              <w:rPr>
                <w:color w:val="000000"/>
              </w:rPr>
            </w:pPr>
            <w:r w:rsidRPr="00160C23">
              <w:rPr>
                <w:color w:val="000000"/>
              </w:rPr>
              <w:t xml:space="preserve">$96.58 </w:t>
            </w:r>
          </w:p>
        </w:tc>
        <w:tc>
          <w:tcPr>
            <w:tcW w:w="126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F9AB97D" w14:textId="4BB36334">
            <w:pPr>
              <w:jc w:val="right"/>
              <w:rPr>
                <w:color w:val="000000"/>
              </w:rPr>
            </w:pPr>
            <w:r w:rsidRPr="00160C23">
              <w:rPr>
                <w:color w:val="000000"/>
              </w:rPr>
              <w:t xml:space="preserve">$1,545 </w:t>
            </w:r>
          </w:p>
        </w:tc>
      </w:tr>
      <w:tr w:rsidRPr="00160C23" w:rsidR="00705510" w:rsidTr="00C17C8A" w14:paraId="18BED126" w14:textId="77777777">
        <w:trPr>
          <w:trHeight w:val="645"/>
        </w:trPr>
        <w:tc>
          <w:tcPr>
            <w:tcW w:w="3770" w:type="dxa"/>
            <w:tcBorders>
              <w:top w:val="nil"/>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485EC3AE" w14:textId="214F2D07">
            <w:pPr>
              <w:tabs>
                <w:tab w:val="left" w:pos="512"/>
              </w:tabs>
              <w:ind w:left="512" w:hanging="512"/>
              <w:rPr>
                <w:b/>
                <w:bCs/>
                <w:color w:val="000000"/>
              </w:rPr>
            </w:pPr>
            <w:r w:rsidRPr="00160C23">
              <w:rPr>
                <w:b/>
                <w:bCs/>
                <w:color w:val="000000"/>
              </w:rPr>
              <w:t xml:space="preserve">2c. </w:t>
            </w:r>
            <w:r>
              <w:rPr>
                <w:b/>
                <w:bCs/>
                <w:color w:val="000000"/>
              </w:rPr>
              <w:t xml:space="preserve">  </w:t>
            </w:r>
            <w:r w:rsidRPr="00160C23">
              <w:rPr>
                <w:b/>
                <w:bCs/>
                <w:color w:val="000000"/>
              </w:rPr>
              <w:t>Interviews with Partner Hospitals that withdraw</w:t>
            </w:r>
          </w:p>
        </w:tc>
        <w:tc>
          <w:tcPr>
            <w:tcW w:w="1457"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7685C2FF" w14:textId="422C015C">
            <w:pPr>
              <w:jc w:val="right"/>
              <w:rPr>
                <w:color w:val="000000"/>
              </w:rPr>
            </w:pPr>
            <w:r w:rsidRPr="00160C23">
              <w:rPr>
                <w:color w:val="000000"/>
              </w:rPr>
              <w:t>9</w:t>
            </w:r>
          </w:p>
        </w:tc>
        <w:tc>
          <w:tcPr>
            <w:tcW w:w="1693"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0496BA36" w14:textId="188A98A7">
            <w:pPr>
              <w:jc w:val="right"/>
              <w:rPr>
                <w:color w:val="000000"/>
              </w:rPr>
            </w:pPr>
            <w:r w:rsidRPr="00160C23">
              <w:rPr>
                <w:color w:val="000000"/>
              </w:rPr>
              <w:t>2.7</w:t>
            </w:r>
          </w:p>
        </w:tc>
        <w:tc>
          <w:tcPr>
            <w:tcW w:w="135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572499D" w14:textId="118BBA2F">
            <w:pPr>
              <w:jc w:val="right"/>
              <w:rPr>
                <w:color w:val="000000"/>
              </w:rPr>
            </w:pPr>
            <w:r w:rsidRPr="00160C23">
              <w:rPr>
                <w:color w:val="000000"/>
              </w:rPr>
              <w:t xml:space="preserve">$72.27 </w:t>
            </w:r>
          </w:p>
        </w:tc>
        <w:tc>
          <w:tcPr>
            <w:tcW w:w="126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C7ED504" w14:textId="15F3329A">
            <w:pPr>
              <w:jc w:val="right"/>
              <w:rPr>
                <w:color w:val="000000"/>
              </w:rPr>
            </w:pPr>
            <w:r w:rsidRPr="00160C23">
              <w:rPr>
                <w:color w:val="000000"/>
              </w:rPr>
              <w:t xml:space="preserve">$195 </w:t>
            </w:r>
          </w:p>
        </w:tc>
      </w:tr>
      <w:tr w:rsidRPr="00160C23" w:rsidR="00705510" w:rsidTr="00762CE3" w14:paraId="03CE7D4A" w14:textId="77777777">
        <w:trPr>
          <w:trHeight w:val="330"/>
        </w:trPr>
        <w:tc>
          <w:tcPr>
            <w:tcW w:w="3770" w:type="dxa"/>
            <w:tcBorders>
              <w:top w:val="nil"/>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6B6A5859" w14:textId="1F61E819">
            <w:pPr>
              <w:tabs>
                <w:tab w:val="left" w:pos="512"/>
              </w:tabs>
              <w:ind w:left="512" w:hanging="512"/>
              <w:rPr>
                <w:b/>
                <w:bCs/>
                <w:color w:val="000000"/>
              </w:rPr>
            </w:pPr>
            <w:r>
              <w:rPr>
                <w:b/>
                <w:bCs/>
                <w:color w:val="000000"/>
              </w:rPr>
              <w:t>3</w:t>
            </w:r>
            <w:r w:rsidRPr="00160C23">
              <w:rPr>
                <w:b/>
                <w:bCs/>
                <w:color w:val="000000"/>
              </w:rPr>
              <w:t xml:space="preserve">. </w:t>
            </w:r>
            <w:r w:rsidRPr="00160C23">
              <w:rPr>
                <w:b/>
                <w:bCs/>
                <w:color w:val="000000"/>
              </w:rPr>
              <w:tab/>
              <w:t>Learning Community Survey</w:t>
            </w:r>
            <w:r>
              <w:rPr>
                <w:b/>
                <w:bCs/>
                <w:color w:val="000000"/>
              </w:rPr>
              <w:t>**</w:t>
            </w:r>
          </w:p>
        </w:tc>
        <w:tc>
          <w:tcPr>
            <w:tcW w:w="1457"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69CC3B5A" w14:textId="0A11BD69">
            <w:pPr>
              <w:jc w:val="right"/>
              <w:rPr>
                <w:color w:val="000000"/>
              </w:rPr>
            </w:pPr>
            <w:r>
              <w:rPr>
                <w:color w:val="000000"/>
              </w:rPr>
              <w:t>200</w:t>
            </w:r>
          </w:p>
        </w:tc>
        <w:tc>
          <w:tcPr>
            <w:tcW w:w="1693"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5B0DD09F" w14:textId="418301C0">
            <w:pPr>
              <w:jc w:val="right"/>
              <w:rPr>
                <w:color w:val="000000"/>
              </w:rPr>
            </w:pPr>
            <w:r w:rsidRPr="00160C23">
              <w:rPr>
                <w:color w:val="000000"/>
              </w:rPr>
              <w:t>100.0</w:t>
            </w:r>
          </w:p>
        </w:tc>
        <w:tc>
          <w:tcPr>
            <w:tcW w:w="135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3C09574D" w14:textId="0F636849">
            <w:pPr>
              <w:jc w:val="right"/>
              <w:rPr>
                <w:color w:val="000000"/>
              </w:rPr>
            </w:pPr>
            <w:r w:rsidRPr="00160C23">
              <w:rPr>
                <w:color w:val="000000"/>
              </w:rPr>
              <w:t>$47.95</w:t>
            </w:r>
          </w:p>
        </w:tc>
        <w:tc>
          <w:tcPr>
            <w:tcW w:w="126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4D670242" w14:textId="08C1056E">
            <w:pPr>
              <w:jc w:val="right"/>
              <w:rPr>
                <w:color w:val="000000"/>
              </w:rPr>
            </w:pPr>
            <w:r w:rsidRPr="00160C23">
              <w:rPr>
                <w:color w:val="000000"/>
              </w:rPr>
              <w:t xml:space="preserve">$4,795 </w:t>
            </w:r>
          </w:p>
        </w:tc>
      </w:tr>
      <w:tr w:rsidRPr="00160C23" w:rsidR="00705510" w:rsidTr="00762CE3" w14:paraId="30D656EF" w14:textId="77777777">
        <w:trPr>
          <w:trHeight w:val="330"/>
        </w:trPr>
        <w:tc>
          <w:tcPr>
            <w:tcW w:w="3770" w:type="dxa"/>
            <w:tcBorders>
              <w:top w:val="nil"/>
              <w:left w:val="single" w:color="auto" w:sz="8" w:space="0"/>
              <w:bottom w:val="single" w:color="auto" w:sz="8" w:space="0"/>
              <w:right w:val="single" w:color="auto" w:sz="8" w:space="0"/>
            </w:tcBorders>
            <w:shd w:val="clear" w:color="auto" w:fill="auto"/>
            <w:vAlign w:val="center"/>
          </w:tcPr>
          <w:p w:rsidRPr="00160C23" w:rsidR="00705510" w:rsidP="00705510" w:rsidRDefault="00705510" w14:paraId="23A93529" w14:textId="659C0CB4">
            <w:pPr>
              <w:tabs>
                <w:tab w:val="left" w:pos="512"/>
              </w:tabs>
              <w:ind w:left="512" w:hanging="512"/>
              <w:rPr>
                <w:b/>
                <w:bCs/>
                <w:color w:val="000000"/>
              </w:rPr>
            </w:pPr>
            <w:r>
              <w:rPr>
                <w:b/>
                <w:bCs/>
                <w:color w:val="000000"/>
              </w:rPr>
              <w:t>4</w:t>
            </w:r>
            <w:r w:rsidRPr="00160C23">
              <w:rPr>
                <w:b/>
                <w:bCs/>
                <w:color w:val="000000"/>
              </w:rPr>
              <w:t xml:space="preserve">. </w:t>
            </w:r>
            <w:r w:rsidRPr="00160C23">
              <w:rPr>
                <w:b/>
                <w:bCs/>
                <w:color w:val="000000"/>
              </w:rPr>
              <w:tab/>
              <w:t>Learning Community Follow-up Survey</w:t>
            </w:r>
            <w:r>
              <w:rPr>
                <w:b/>
                <w:bCs/>
                <w:color w:val="000000"/>
              </w:rPr>
              <w:t>**</w:t>
            </w:r>
          </w:p>
        </w:tc>
        <w:tc>
          <w:tcPr>
            <w:tcW w:w="1457"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D691EFE" w14:textId="2EA051FF">
            <w:pPr>
              <w:jc w:val="right"/>
              <w:rPr>
                <w:color w:val="000000"/>
              </w:rPr>
            </w:pPr>
            <w:r>
              <w:rPr>
                <w:color w:val="000000"/>
              </w:rPr>
              <w:t>120</w:t>
            </w:r>
          </w:p>
        </w:tc>
        <w:tc>
          <w:tcPr>
            <w:tcW w:w="1693"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34D6B97C" w14:textId="6AE36D4E">
            <w:pPr>
              <w:jc w:val="right"/>
              <w:rPr>
                <w:color w:val="000000"/>
              </w:rPr>
            </w:pPr>
            <w:r w:rsidRPr="00160C23">
              <w:rPr>
                <w:color w:val="000000"/>
              </w:rPr>
              <w:t>20.4</w:t>
            </w:r>
          </w:p>
        </w:tc>
        <w:tc>
          <w:tcPr>
            <w:tcW w:w="135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C96A144" w14:textId="42E454A8">
            <w:pPr>
              <w:jc w:val="right"/>
              <w:rPr>
                <w:color w:val="000000"/>
              </w:rPr>
            </w:pPr>
            <w:r w:rsidRPr="00160C23">
              <w:rPr>
                <w:color w:val="000000"/>
              </w:rPr>
              <w:t>$47.95</w:t>
            </w:r>
          </w:p>
        </w:tc>
        <w:tc>
          <w:tcPr>
            <w:tcW w:w="126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9B571AA" w14:textId="2FBD1097">
            <w:pPr>
              <w:jc w:val="right"/>
              <w:rPr>
                <w:color w:val="000000"/>
              </w:rPr>
            </w:pPr>
            <w:r w:rsidRPr="00160C23">
              <w:rPr>
                <w:color w:val="000000"/>
              </w:rPr>
              <w:t>$978</w:t>
            </w:r>
          </w:p>
        </w:tc>
      </w:tr>
      <w:tr w:rsidRPr="00160C23" w:rsidR="00705510" w:rsidTr="00762CE3" w14:paraId="238D5D28" w14:textId="77777777">
        <w:trPr>
          <w:trHeight w:val="330"/>
        </w:trPr>
        <w:tc>
          <w:tcPr>
            <w:tcW w:w="3770" w:type="dxa"/>
            <w:tcBorders>
              <w:top w:val="nil"/>
              <w:left w:val="single" w:color="auto" w:sz="8" w:space="0"/>
              <w:bottom w:val="single" w:color="auto" w:sz="8" w:space="0"/>
              <w:right w:val="single" w:color="auto" w:sz="8" w:space="0"/>
            </w:tcBorders>
            <w:shd w:val="clear" w:color="auto" w:fill="auto"/>
            <w:vAlign w:val="center"/>
            <w:hideMark/>
          </w:tcPr>
          <w:p w:rsidRPr="00160C23" w:rsidR="00705510" w:rsidP="00705510" w:rsidRDefault="00705510" w14:paraId="29D1CFF0" w14:textId="77777777">
            <w:pPr>
              <w:rPr>
                <w:b/>
                <w:bCs/>
                <w:color w:val="000000"/>
              </w:rPr>
            </w:pPr>
            <w:r w:rsidRPr="00160C23">
              <w:rPr>
                <w:b/>
                <w:bCs/>
                <w:color w:val="000000"/>
              </w:rPr>
              <w:t>TOTAL</w:t>
            </w:r>
          </w:p>
        </w:tc>
        <w:tc>
          <w:tcPr>
            <w:tcW w:w="1457" w:type="dxa"/>
            <w:tcBorders>
              <w:top w:val="nil"/>
              <w:left w:val="nil"/>
              <w:bottom w:val="single" w:color="auto" w:sz="8" w:space="0"/>
              <w:right w:val="single" w:color="auto" w:sz="8" w:space="0"/>
            </w:tcBorders>
            <w:shd w:val="clear" w:color="auto" w:fill="auto"/>
          </w:tcPr>
          <w:p w:rsidRPr="00762CE3" w:rsidR="00705510" w:rsidP="00705510" w:rsidRDefault="00705510" w14:paraId="7122FE1B" w14:textId="57768019">
            <w:pPr>
              <w:jc w:val="right"/>
              <w:rPr>
                <w:b/>
                <w:bCs/>
              </w:rPr>
            </w:pPr>
            <w:r w:rsidRPr="002F3893">
              <w:t>474</w:t>
            </w:r>
          </w:p>
        </w:tc>
        <w:tc>
          <w:tcPr>
            <w:tcW w:w="1693" w:type="dxa"/>
            <w:tcBorders>
              <w:top w:val="nil"/>
              <w:left w:val="nil"/>
              <w:bottom w:val="single" w:color="auto" w:sz="8" w:space="0"/>
              <w:right w:val="single" w:color="auto" w:sz="8" w:space="0"/>
            </w:tcBorders>
            <w:shd w:val="clear" w:color="auto" w:fill="auto"/>
          </w:tcPr>
          <w:p w:rsidRPr="00762CE3" w:rsidR="00705510" w:rsidP="00705510" w:rsidRDefault="00705510" w14:paraId="667B3C6E" w14:textId="781D1E76">
            <w:pPr>
              <w:jc w:val="right"/>
              <w:rPr>
                <w:b/>
                <w:bCs/>
              </w:rPr>
            </w:pPr>
            <w:r w:rsidRPr="002F3893">
              <w:t>332.6</w:t>
            </w:r>
          </w:p>
        </w:tc>
        <w:tc>
          <w:tcPr>
            <w:tcW w:w="135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20CA3416" w14:textId="10269DD7">
            <w:pPr>
              <w:jc w:val="right"/>
              <w:rPr>
                <w:b/>
                <w:color w:val="000000"/>
              </w:rPr>
            </w:pPr>
          </w:p>
        </w:tc>
        <w:tc>
          <w:tcPr>
            <w:tcW w:w="1260" w:type="dxa"/>
            <w:tcBorders>
              <w:top w:val="nil"/>
              <w:left w:val="nil"/>
              <w:bottom w:val="single" w:color="auto" w:sz="8" w:space="0"/>
              <w:right w:val="single" w:color="auto" w:sz="8" w:space="0"/>
            </w:tcBorders>
            <w:shd w:val="clear" w:color="auto" w:fill="auto"/>
            <w:vAlign w:val="center"/>
          </w:tcPr>
          <w:p w:rsidRPr="00160C23" w:rsidR="00705510" w:rsidP="00705510" w:rsidRDefault="00705510" w14:paraId="083CE798" w14:textId="3481F615">
            <w:pPr>
              <w:jc w:val="right"/>
              <w:rPr>
                <w:b/>
                <w:color w:val="000000"/>
              </w:rPr>
            </w:pPr>
            <w:r w:rsidRPr="00160C23">
              <w:rPr>
                <w:color w:val="000000"/>
              </w:rPr>
              <w:t>$21,4</w:t>
            </w:r>
            <w:r>
              <w:rPr>
                <w:color w:val="000000"/>
              </w:rPr>
              <w:t>97</w:t>
            </w:r>
            <w:r w:rsidRPr="00160C23">
              <w:rPr>
                <w:color w:val="000000"/>
              </w:rPr>
              <w:t xml:space="preserve"> </w:t>
            </w:r>
          </w:p>
        </w:tc>
      </w:tr>
    </w:tbl>
    <w:p w:rsidRPr="00762CE3" w:rsidR="009E6CF8" w:rsidP="00762CE3" w:rsidRDefault="009E6CF8" w14:paraId="26B9339D" w14:textId="0CDE8EE6">
      <w:pPr>
        <w:tabs>
          <w:tab w:val="left" w:pos="360"/>
        </w:tabs>
        <w:ind w:left="360" w:hanging="270"/>
        <w:rPr>
          <w:sz w:val="22"/>
          <w:szCs w:val="22"/>
        </w:rPr>
      </w:pPr>
      <w:r w:rsidRPr="00762CE3">
        <w:rPr>
          <w:bCs/>
          <w:color w:val="000000"/>
          <w:sz w:val="22"/>
          <w:szCs w:val="22"/>
        </w:rPr>
        <w:t xml:space="preserve">* </w:t>
      </w:r>
      <w:r w:rsidR="00762CE3">
        <w:rPr>
          <w:bCs/>
          <w:color w:val="000000"/>
          <w:sz w:val="22"/>
          <w:szCs w:val="22"/>
        </w:rPr>
        <w:tab/>
      </w:r>
      <w:r w:rsidRPr="00762CE3">
        <w:rPr>
          <w:sz w:val="22"/>
          <w:szCs w:val="22"/>
        </w:rPr>
        <w:t xml:space="preserve">Number of respondents (Column A) reflects a sample size assuming a 90% response rate for this data collection effort. </w:t>
      </w:r>
    </w:p>
    <w:p w:rsidRPr="00762CE3" w:rsidR="009E6CF8" w:rsidP="00762CE3" w:rsidRDefault="009E6CF8" w14:paraId="29FDE4BB" w14:textId="55153960">
      <w:pPr>
        <w:tabs>
          <w:tab w:val="left" w:pos="360"/>
        </w:tabs>
        <w:ind w:left="360" w:hanging="270"/>
        <w:rPr>
          <w:sz w:val="22"/>
          <w:szCs w:val="22"/>
        </w:rPr>
      </w:pPr>
      <w:r w:rsidRPr="00762CE3">
        <w:rPr>
          <w:sz w:val="22"/>
          <w:szCs w:val="22"/>
        </w:rPr>
        <w:t>**</w:t>
      </w:r>
      <w:r w:rsidR="00762CE3">
        <w:rPr>
          <w:sz w:val="22"/>
          <w:szCs w:val="22"/>
        </w:rPr>
        <w:tab/>
      </w:r>
      <w:r w:rsidRPr="00762CE3">
        <w:rPr>
          <w:sz w:val="22"/>
          <w:szCs w:val="22"/>
        </w:rPr>
        <w:t>Number of respondents (Column A) reflects a sample size assuming an 80% response rate for this data collection effort.</w:t>
      </w:r>
    </w:p>
    <w:p w:rsidRPr="00160C23" w:rsidR="000B3C48" w:rsidP="004A4612" w:rsidRDefault="000B3C48" w14:paraId="1EDA9B50" w14:textId="77777777">
      <w:pPr>
        <w:tabs>
          <w:tab w:val="left" w:pos="90"/>
        </w:tabs>
        <w:ind w:left="90"/>
        <w:rPr>
          <w:b/>
        </w:rPr>
      </w:pPr>
    </w:p>
    <w:p w:rsidRPr="00160C23" w:rsidR="004D0770" w:rsidP="000B7EBE" w:rsidRDefault="004D0770" w14:paraId="6888E567" w14:textId="1C693C9F">
      <w:r w:rsidRPr="00160C23">
        <w:t xml:space="preserve">We obtained median hourly wage rates for relevant occupations from the Bureau of Labor &amp; Statistics on “Occupational Employment Statistics, May 2018 Occupation Profiles” found at the following URL on October 1, 2019: </w:t>
      </w:r>
    </w:p>
    <w:p w:rsidRPr="00160C23" w:rsidR="004D0770" w:rsidP="000B7EBE" w:rsidRDefault="001659FF" w14:paraId="66D593F5" w14:textId="77777777">
      <w:hyperlink w:history="1" w:anchor="15-0000" r:id="rId9">
        <w:r w:rsidRPr="00160C23" w:rsidR="004D0770">
          <w:rPr>
            <w:rStyle w:val="Hyperlink"/>
            <w:bCs/>
          </w:rPr>
          <w:t>https://www.bls.gov/oes/current/oes_stru.htm#15-0000</w:t>
        </w:r>
      </w:hyperlink>
      <w:r w:rsidRPr="00160C23" w:rsidR="004D0770">
        <w:t>.</w:t>
      </w:r>
    </w:p>
    <w:p w:rsidRPr="00160C23" w:rsidR="004D0770" w:rsidP="002144FC" w:rsidRDefault="004D0770" w14:paraId="79397BD0" w14:textId="77777777">
      <w:pPr>
        <w:tabs>
          <w:tab w:val="left" w:pos="180"/>
        </w:tabs>
        <w:ind w:left="180" w:hanging="180"/>
      </w:pPr>
    </w:p>
    <w:p w:rsidRPr="00160C23" w:rsidR="005F45ED" w:rsidP="000B7EBE" w:rsidRDefault="002144FC" w14:paraId="3E3A7FD7" w14:textId="5B249E59">
      <w:r w:rsidRPr="00160C23">
        <w:t xml:space="preserve">We assume that half the Partner Hospital Champions will be cardiologists and half will be </w:t>
      </w:r>
      <w:r w:rsidRPr="00160C23" w:rsidR="004D0770">
        <w:t>Quality Improvement managers</w:t>
      </w:r>
      <w:r w:rsidRPr="00160C23">
        <w:t xml:space="preserve">. We calculated the </w:t>
      </w:r>
      <w:r w:rsidRPr="00160C23" w:rsidR="004A4612">
        <w:t>hourly rate of $</w:t>
      </w:r>
      <w:r w:rsidRPr="00160C23" w:rsidR="00555BFE">
        <w:t>72.27</w:t>
      </w:r>
      <w:r w:rsidRPr="00160C23" w:rsidR="004A4612">
        <w:t xml:space="preserve"> </w:t>
      </w:r>
      <w:r w:rsidRPr="00160C23">
        <w:t xml:space="preserve">by averaging the median </w:t>
      </w:r>
      <w:r w:rsidRPr="00160C23" w:rsidR="004A4612">
        <w:t xml:space="preserve">hourly wage rate for </w:t>
      </w:r>
      <w:r w:rsidRPr="00160C23">
        <w:t xml:space="preserve">cardiologists ($96.58, occupation code 29-1069) and </w:t>
      </w:r>
      <w:r w:rsidRPr="00160C23" w:rsidR="004D0770">
        <w:t>medical and health services managers</w:t>
      </w:r>
      <w:r w:rsidRPr="00160C23">
        <w:t xml:space="preserve"> </w:t>
      </w:r>
      <w:r w:rsidRPr="00160C23" w:rsidR="004D0770">
        <w:t>(</w:t>
      </w:r>
      <w:r w:rsidRPr="00160C23" w:rsidR="00895E9D">
        <w:t>$</w:t>
      </w:r>
      <w:r w:rsidRPr="00160C23" w:rsidR="004D0770">
        <w:t>47.95</w:t>
      </w:r>
      <w:r w:rsidRPr="00160C23" w:rsidR="00895E9D">
        <w:t>,</w:t>
      </w:r>
      <w:r w:rsidRPr="00160C23" w:rsidR="004A4612">
        <w:t xml:space="preserve"> occupation code </w:t>
      </w:r>
      <w:r w:rsidRPr="00160C23" w:rsidR="004D0770">
        <w:t>11-1141</w:t>
      </w:r>
      <w:r w:rsidRPr="00160C23" w:rsidR="004A4612">
        <w:t xml:space="preserve">). </w:t>
      </w:r>
      <w:r w:rsidRPr="00160C23" w:rsidR="004D0770">
        <w:t xml:space="preserve">The occupation of medical and health services managers has been used for quality improvement staff in other AHRQ projects. </w:t>
      </w:r>
      <w:r w:rsidRPr="00160C23">
        <w:t xml:space="preserve">We used this rate for the Partner Hospital Champion Survey, Interviews with Partner Hospital Champions, </w:t>
      </w:r>
      <w:r w:rsidRPr="00160C23" w:rsidR="005F45ED">
        <w:t xml:space="preserve">and </w:t>
      </w:r>
      <w:r w:rsidRPr="00160C23">
        <w:t>Interview</w:t>
      </w:r>
      <w:r w:rsidRPr="00160C23" w:rsidR="00AF36DC">
        <w:t>s</w:t>
      </w:r>
      <w:r w:rsidRPr="00160C23">
        <w:t xml:space="preserve"> with Partner Hospitals that withdr</w:t>
      </w:r>
      <w:r w:rsidRPr="00160C23" w:rsidR="000A6E87">
        <w:t>a</w:t>
      </w:r>
      <w:r w:rsidRPr="00160C23">
        <w:t>w</w:t>
      </w:r>
      <w:r w:rsidRPr="00160C23" w:rsidR="005F45ED">
        <w:t xml:space="preserve">. </w:t>
      </w:r>
    </w:p>
    <w:p w:rsidRPr="00160C23" w:rsidR="002144FC" w:rsidP="000559B1" w:rsidRDefault="004A4612" w14:paraId="0E01E2DF" w14:textId="65474248">
      <w:r w:rsidRPr="00160C23">
        <w:br/>
      </w:r>
      <w:r w:rsidRPr="00160C23" w:rsidR="002144FC">
        <w:t>We used the cardiologist rate, ($96.58, occupation code 29-1069), for the Interview with Partner Hospital Cardiologists.</w:t>
      </w:r>
    </w:p>
    <w:p w:rsidRPr="00160C23" w:rsidR="002144FC" w:rsidP="002144FC" w:rsidRDefault="002144FC" w14:paraId="02560897" w14:textId="77777777">
      <w:pPr>
        <w:tabs>
          <w:tab w:val="left" w:pos="180"/>
        </w:tabs>
        <w:ind w:left="180" w:hanging="180"/>
      </w:pPr>
    </w:p>
    <w:p w:rsidRPr="00160C23" w:rsidR="009B633D" w:rsidP="00E42494" w:rsidRDefault="009B633D" w14:paraId="6CDCD270" w14:textId="5D5F1AE1">
      <w:pPr>
        <w:pStyle w:val="Heading2"/>
        <w:rPr>
          <w:sz w:val="24"/>
        </w:rPr>
      </w:pPr>
      <w:bookmarkStart w:name="_Toc151782188" w:id="45"/>
      <w:bookmarkStart w:name="_Toc158526228" w:id="46"/>
      <w:bookmarkStart w:name="_Toc29459931" w:id="47"/>
      <w:r w:rsidRPr="00160C23">
        <w:rPr>
          <w:sz w:val="24"/>
        </w:rPr>
        <w:t>13. Estimates of Annualized Respondent Capital and Maintenance Costs</w:t>
      </w:r>
      <w:bookmarkEnd w:id="45"/>
      <w:bookmarkEnd w:id="46"/>
      <w:bookmarkEnd w:id="47"/>
    </w:p>
    <w:p w:rsidRPr="00160C23" w:rsidR="00E14FC3" w:rsidP="00C205C8" w:rsidRDefault="00B762E0" w14:paraId="6E8200E8" w14:textId="77777777">
      <w:pPr>
        <w:spacing w:before="120"/>
      </w:pPr>
      <w:r w:rsidRPr="00160C23">
        <w:t xml:space="preserve">Capital and maintenance costs include the purchase of </w:t>
      </w:r>
      <w:r w:rsidRPr="00160C23" w:rsidR="00C205C8">
        <w:t xml:space="preserve">equipment, </w:t>
      </w:r>
      <w:r w:rsidRPr="00160C23">
        <w:t>computer</w:t>
      </w:r>
      <w:r w:rsidRPr="00160C23" w:rsidR="00C205C8">
        <w:t>s or computer software or services, or storage facilities for records, as a result of complying with this data collection.</w:t>
      </w:r>
      <w:r w:rsidRPr="00160C23" w:rsidR="00FF6D85">
        <w:rPr>
          <w:i/>
        </w:rPr>
        <w:t xml:space="preserve"> </w:t>
      </w:r>
      <w:r w:rsidRPr="00160C23" w:rsidR="00C205C8">
        <w:t>T</w:t>
      </w:r>
      <w:r w:rsidRPr="00160C23" w:rsidR="0080612B">
        <w:t>here are no direct costs to respondents other than their time to participate in the study.</w:t>
      </w:r>
    </w:p>
    <w:p w:rsidRPr="00160C23" w:rsidR="009B633D" w:rsidP="009B633D" w:rsidRDefault="009B633D" w14:paraId="4C035013" w14:textId="3C64616F">
      <w:pPr>
        <w:pStyle w:val="Heading2"/>
        <w:rPr>
          <w:sz w:val="24"/>
        </w:rPr>
      </w:pPr>
      <w:bookmarkStart w:name="_Toc58725299" w:id="48"/>
      <w:bookmarkStart w:name="_Toc151782189" w:id="49"/>
      <w:bookmarkStart w:name="_Toc158526229" w:id="50"/>
      <w:bookmarkStart w:name="_Toc29459932" w:id="51"/>
      <w:r w:rsidRPr="00160C23">
        <w:rPr>
          <w:sz w:val="24"/>
        </w:rPr>
        <w:t>14. Estimates of Annualized Cost to the Government</w:t>
      </w:r>
      <w:bookmarkEnd w:id="48"/>
      <w:bookmarkEnd w:id="49"/>
      <w:bookmarkEnd w:id="50"/>
      <w:bookmarkEnd w:id="51"/>
    </w:p>
    <w:p w:rsidRPr="00160C23" w:rsidR="00FB6C9B" w:rsidP="003428CE" w:rsidRDefault="00FB6C9B" w14:paraId="2B0C6D84" w14:textId="044F65C1">
      <w:r w:rsidRPr="00160C23">
        <w:t>Exhibit 4 demonstrates annualized cost to the government while Exhibit 5 displays the government personnel cost for this project. “Annualized Cost” is the total cost divided by three. Note that project activities will not be distributed equally across the three years.</w:t>
      </w:r>
    </w:p>
    <w:p w:rsidRPr="00160C23" w:rsidR="003428CE" w:rsidP="003428CE" w:rsidRDefault="00FB6C9B" w14:paraId="3623D327" w14:textId="16D2236B">
      <w:r w:rsidRPr="00160C23">
        <w:t xml:space="preserve"> </w:t>
      </w:r>
    </w:p>
    <w:p w:rsidRPr="00160C23" w:rsidR="00012FB9" w:rsidP="00012FB9" w:rsidRDefault="00012FB9" w14:paraId="17684860" w14:textId="3D52414B">
      <w:bookmarkStart w:name="_Toc151782190" w:id="52"/>
      <w:bookmarkStart w:name="_Toc158526230" w:id="53"/>
      <w:r w:rsidRPr="00160C23">
        <w:rPr>
          <w:b/>
          <w:bCs/>
          <w:color w:val="000000"/>
        </w:rPr>
        <w:t xml:space="preserve">Exhibit </w:t>
      </w:r>
      <w:r w:rsidRPr="00160C23" w:rsidR="00FB6C9B">
        <w:rPr>
          <w:b/>
          <w:bCs/>
          <w:color w:val="000000"/>
        </w:rPr>
        <w:t>4</w:t>
      </w:r>
      <w:r w:rsidRPr="00160C23">
        <w:rPr>
          <w:b/>
          <w:bCs/>
          <w:color w:val="000000"/>
        </w:rPr>
        <w:t>.  Estimated</w:t>
      </w:r>
      <w:r w:rsidRPr="00160C23" w:rsidR="00FD1D9C">
        <w:rPr>
          <w:b/>
          <w:bCs/>
          <w:color w:val="000000"/>
        </w:rPr>
        <w:t xml:space="preserve"> Total and Annualized</w:t>
      </w:r>
      <w:r w:rsidRPr="00160C23">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Pr="00160C23" w:rsidR="00012FB9" w:rsidTr="00350E4E" w14:paraId="4A1A036A" w14:textId="77777777">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60C23" w:rsidR="00012FB9" w:rsidP="00012FB9" w:rsidRDefault="00012FB9" w14:paraId="16AD501D" w14:textId="77777777">
            <w:pPr>
              <w:rPr>
                <w:b/>
                <w:color w:val="000000" w:themeColor="text1"/>
              </w:rPr>
            </w:pPr>
            <w:r w:rsidRPr="00160C23">
              <w:rPr>
                <w:b/>
                <w:color w:val="000000" w:themeColor="text1"/>
              </w:rPr>
              <w:t xml:space="preserve">Cost Component </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012FB9" w:rsidP="001A28C0" w:rsidRDefault="00012FB9" w14:paraId="11E715B8" w14:textId="77777777">
            <w:pPr>
              <w:jc w:val="center"/>
              <w:rPr>
                <w:b/>
                <w:color w:val="000000" w:themeColor="text1"/>
              </w:rPr>
            </w:pPr>
            <w:r w:rsidRPr="00160C23">
              <w:rPr>
                <w:b/>
                <w:color w:val="000000" w:themeColor="text1"/>
              </w:rPr>
              <w:t>Total Cost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012FB9" w:rsidP="001A28C0" w:rsidRDefault="00012FB9" w14:paraId="6938FB9F" w14:textId="77777777">
            <w:pPr>
              <w:jc w:val="center"/>
              <w:rPr>
                <w:b/>
                <w:color w:val="000000" w:themeColor="text1"/>
              </w:rPr>
            </w:pPr>
            <w:r w:rsidRPr="00160C23">
              <w:rPr>
                <w:b/>
                <w:color w:val="000000" w:themeColor="text1"/>
              </w:rPr>
              <w:t>Annualized Cost</w:t>
            </w:r>
          </w:p>
        </w:tc>
      </w:tr>
      <w:tr w:rsidRPr="00160C23" w:rsidR="00DE56FB" w:rsidTr="00EC4EAC" w14:paraId="40E7279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6301CEA0" w14:textId="5172F276">
            <w:pPr>
              <w:rPr>
                <w:color w:val="000000" w:themeColor="text1"/>
              </w:rPr>
            </w:pPr>
            <w:r w:rsidRPr="00160C23">
              <w:rPr>
                <w:color w:val="000000" w:themeColor="text1"/>
              </w:rPr>
              <w:t>Project Development</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5760B726" w14:textId="41CC7B06">
            <w:pPr>
              <w:jc w:val="right"/>
              <w:rPr>
                <w:color w:val="000000" w:themeColor="text1"/>
              </w:rPr>
            </w:pPr>
            <w:r w:rsidRPr="00160C23">
              <w:rPr>
                <w:color w:val="000000" w:themeColor="text1"/>
              </w:rPr>
              <w:t>$275,475</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345F23A4" w14:textId="5C986D12">
            <w:pPr>
              <w:jc w:val="right"/>
              <w:rPr>
                <w:color w:val="000000" w:themeColor="text1"/>
              </w:rPr>
            </w:pPr>
            <w:r w:rsidRPr="00160C23">
              <w:rPr>
                <w:color w:val="000000" w:themeColor="text1"/>
              </w:rPr>
              <w:t>$91,825</w:t>
            </w:r>
          </w:p>
        </w:tc>
      </w:tr>
      <w:tr w:rsidRPr="00160C23" w:rsidR="00DE56FB" w:rsidTr="00EC4EAC" w14:paraId="7DF64C6B"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7EE5A91C" w14:textId="5E9D27D9">
            <w:pPr>
              <w:rPr>
                <w:color w:val="000000" w:themeColor="text1"/>
              </w:rPr>
            </w:pPr>
            <w:r w:rsidRPr="00160C23">
              <w:rPr>
                <w:color w:val="000000" w:themeColor="text1"/>
              </w:rPr>
              <w:t>Data Collection Activities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4B95834B" w14:textId="4E0EA7A4">
            <w:pPr>
              <w:jc w:val="right"/>
              <w:rPr>
                <w:color w:val="000000" w:themeColor="text1"/>
              </w:rPr>
            </w:pPr>
            <w:r w:rsidRPr="00160C23">
              <w:rPr>
                <w:color w:val="000000" w:themeColor="text1"/>
              </w:rPr>
              <w:t>$367,300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41DAB248" w14:textId="2342296E">
            <w:pPr>
              <w:jc w:val="right"/>
              <w:rPr>
                <w:color w:val="000000" w:themeColor="text1"/>
              </w:rPr>
            </w:pPr>
            <w:r w:rsidRPr="00160C23">
              <w:rPr>
                <w:color w:val="000000" w:themeColor="text1"/>
              </w:rPr>
              <w:t>$122,433</w:t>
            </w:r>
          </w:p>
        </w:tc>
      </w:tr>
      <w:tr w:rsidRPr="00160C23" w:rsidR="00DE56FB" w:rsidTr="00EC4EAC" w14:paraId="1A4333E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6CDEA406" w14:textId="3C3C1530">
            <w:pPr>
              <w:rPr>
                <w:color w:val="000000" w:themeColor="text1"/>
              </w:rPr>
            </w:pPr>
            <w:r w:rsidRPr="00160C23">
              <w:rPr>
                <w:color w:val="000000" w:themeColor="text1"/>
              </w:rPr>
              <w:t>Data Processing and Analysis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34475D76" w14:textId="68059D10">
            <w:pPr>
              <w:jc w:val="right"/>
              <w:rPr>
                <w:color w:val="000000" w:themeColor="text1"/>
              </w:rPr>
            </w:pPr>
            <w:r w:rsidRPr="00160C23">
              <w:rPr>
                <w:color w:val="000000" w:themeColor="text1"/>
              </w:rPr>
              <w:t>$275,475</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30D94545" w14:textId="3A676BB8">
            <w:pPr>
              <w:jc w:val="right"/>
              <w:rPr>
                <w:color w:val="000000" w:themeColor="text1"/>
              </w:rPr>
            </w:pPr>
            <w:r w:rsidRPr="00160C23">
              <w:rPr>
                <w:color w:val="000000" w:themeColor="text1"/>
              </w:rPr>
              <w:t>$91,825</w:t>
            </w:r>
          </w:p>
        </w:tc>
      </w:tr>
      <w:tr w:rsidRPr="00160C23" w:rsidR="00DE56FB" w:rsidTr="00EC4EAC" w14:paraId="3A44231A"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1F2AAB24" w14:textId="2C9C43D1">
            <w:pPr>
              <w:rPr>
                <w:color w:val="000000" w:themeColor="text1"/>
              </w:rPr>
            </w:pPr>
            <w:r w:rsidRPr="00160C23">
              <w:rPr>
                <w:color w:val="000000" w:themeColor="text1"/>
              </w:rPr>
              <w:t>Publication of Results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42F43A7A" w14:textId="01E277D4">
            <w:pPr>
              <w:jc w:val="right"/>
              <w:rPr>
                <w:color w:val="000000" w:themeColor="text1"/>
              </w:rPr>
            </w:pPr>
            <w:r w:rsidRPr="00160C23">
              <w:rPr>
                <w:color w:val="000000" w:themeColor="text1"/>
              </w:rPr>
              <w:t xml:space="preserve">$264,121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2E742F37" w14:textId="681BBDC1">
            <w:pPr>
              <w:jc w:val="right"/>
              <w:rPr>
                <w:color w:val="000000" w:themeColor="text1"/>
              </w:rPr>
            </w:pPr>
            <w:r w:rsidRPr="00160C23">
              <w:rPr>
                <w:color w:val="000000" w:themeColor="text1"/>
              </w:rPr>
              <w:t>$88,040</w:t>
            </w:r>
          </w:p>
        </w:tc>
      </w:tr>
      <w:tr w:rsidRPr="00160C23" w:rsidR="00DE56FB" w:rsidTr="00EC4EAC" w14:paraId="67BF1B2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63037948" w14:textId="0B4B88BC">
            <w:pPr>
              <w:rPr>
                <w:color w:val="000000" w:themeColor="text1"/>
              </w:rPr>
            </w:pPr>
            <w:r w:rsidRPr="00160C23">
              <w:rPr>
                <w:b/>
                <w:bCs/>
                <w:color w:val="000000" w:themeColor="text1"/>
              </w:rPr>
              <w:t>Total</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17509B05" w14:textId="6BC942D3">
            <w:pPr>
              <w:jc w:val="right"/>
              <w:rPr>
                <w:color w:val="000000" w:themeColor="text1"/>
              </w:rPr>
            </w:pPr>
            <w:r w:rsidRPr="00160C23">
              <w:rPr>
                <w:color w:val="000000" w:themeColor="text1"/>
              </w:rPr>
              <w:t>$1,182,371</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60C23" w:rsidR="00DE56FB" w:rsidP="00DE56FB" w:rsidRDefault="00DE56FB" w14:paraId="0A57DCD2" w14:textId="23159124">
            <w:pPr>
              <w:jc w:val="right"/>
              <w:rPr>
                <w:color w:val="000000" w:themeColor="text1"/>
              </w:rPr>
            </w:pPr>
            <w:r w:rsidRPr="00160C23">
              <w:rPr>
                <w:color w:val="000000" w:themeColor="text1"/>
              </w:rPr>
              <w:t>$394,123</w:t>
            </w:r>
          </w:p>
        </w:tc>
      </w:tr>
    </w:tbl>
    <w:p w:rsidRPr="00160C23" w:rsidR="00E42494" w:rsidP="00E42494" w:rsidRDefault="00E42494" w14:paraId="63EAA840" w14:textId="77777777">
      <w:pPr>
        <w:rPr>
          <w:b/>
          <w:bCs/>
        </w:rPr>
      </w:pPr>
    </w:p>
    <w:p w:rsidRPr="00160C23" w:rsidR="002E1DAC" w:rsidRDefault="002E1DAC" w14:paraId="3F5F9048" w14:textId="77777777">
      <w:pPr>
        <w:rPr>
          <w:b/>
          <w:bCs/>
        </w:rPr>
      </w:pPr>
      <w:r w:rsidRPr="00160C23">
        <w:rPr>
          <w:b/>
          <w:bCs/>
        </w:rPr>
        <w:br w:type="page"/>
      </w:r>
    </w:p>
    <w:p w:rsidRPr="00160C23" w:rsidR="00E42494" w:rsidP="00E42494" w:rsidRDefault="00E42494" w14:paraId="3C457857" w14:textId="7A0C27CB">
      <w:pPr>
        <w:rPr>
          <w:b/>
          <w:bCs/>
        </w:rPr>
      </w:pPr>
      <w:r w:rsidRPr="00160C23">
        <w:rPr>
          <w:b/>
          <w:bCs/>
        </w:rPr>
        <w:t xml:space="preserve">Exhibit </w:t>
      </w:r>
      <w:r w:rsidRPr="00160C23" w:rsidR="00FB6C9B">
        <w:rPr>
          <w:b/>
          <w:bCs/>
        </w:rPr>
        <w:t>5</w:t>
      </w:r>
      <w:r w:rsidRPr="00160C23">
        <w:rPr>
          <w:b/>
          <w:bCs/>
        </w:rPr>
        <w:t>.  Government Personnel Cost</w:t>
      </w:r>
    </w:p>
    <w:tbl>
      <w:tblPr>
        <w:tblpPr w:leftFromText="180" w:rightFromText="180" w:vertAnchor="text" w:horzAnchor="margin" w:tblpXSpec="center" w:tblpY="150"/>
        <w:tblW w:w="8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5"/>
        <w:gridCol w:w="1710"/>
        <w:gridCol w:w="1350"/>
        <w:gridCol w:w="1049"/>
      </w:tblGrid>
      <w:tr w:rsidRPr="00160C23" w:rsidR="00E42494" w:rsidTr="0025037D" w14:paraId="7F4315F9" w14:textId="77777777">
        <w:trPr>
          <w:trHeight w:val="257"/>
        </w:trPr>
        <w:tc>
          <w:tcPr>
            <w:tcW w:w="4495" w:type="dxa"/>
            <w:vAlign w:val="center"/>
          </w:tcPr>
          <w:p w:rsidRPr="00160C23" w:rsidR="00E42494" w:rsidP="006C58B4" w:rsidRDefault="00E42494" w14:paraId="50267A52" w14:textId="77777777">
            <w:pPr>
              <w:pStyle w:val="P1-StandPara"/>
              <w:spacing w:line="240" w:lineRule="auto"/>
              <w:ind w:firstLine="0"/>
              <w:rPr>
                <w:b/>
                <w:bCs/>
                <w:sz w:val="24"/>
                <w:szCs w:val="24"/>
              </w:rPr>
            </w:pPr>
            <w:r w:rsidRPr="00160C23">
              <w:rPr>
                <w:b/>
                <w:bCs/>
                <w:sz w:val="24"/>
                <w:szCs w:val="24"/>
              </w:rPr>
              <w:t>Tasks/Personnel</w:t>
            </w:r>
          </w:p>
        </w:tc>
        <w:tc>
          <w:tcPr>
            <w:tcW w:w="1710" w:type="dxa"/>
            <w:vAlign w:val="center"/>
          </w:tcPr>
          <w:p w:rsidRPr="00160C23" w:rsidR="00E42494" w:rsidP="006C58B4" w:rsidRDefault="00E42494" w14:paraId="6F2F7806" w14:textId="77777777">
            <w:pPr>
              <w:pStyle w:val="P1-StandPara"/>
              <w:spacing w:line="240" w:lineRule="auto"/>
              <w:ind w:firstLine="0"/>
              <w:jc w:val="center"/>
              <w:rPr>
                <w:b/>
                <w:bCs/>
                <w:sz w:val="24"/>
                <w:szCs w:val="24"/>
              </w:rPr>
            </w:pPr>
            <w:r w:rsidRPr="00160C23">
              <w:rPr>
                <w:b/>
                <w:bCs/>
                <w:sz w:val="24"/>
                <w:szCs w:val="24"/>
              </w:rPr>
              <w:t>Annual Salary</w:t>
            </w:r>
          </w:p>
        </w:tc>
        <w:tc>
          <w:tcPr>
            <w:tcW w:w="1350" w:type="dxa"/>
            <w:vAlign w:val="center"/>
          </w:tcPr>
          <w:p w:rsidRPr="00160C23" w:rsidR="00E42494" w:rsidP="006C58B4" w:rsidRDefault="00E42494" w14:paraId="0B1C6F06" w14:textId="77777777">
            <w:pPr>
              <w:pStyle w:val="P1-StandPara"/>
              <w:spacing w:line="240" w:lineRule="auto"/>
              <w:ind w:firstLine="0"/>
              <w:jc w:val="center"/>
              <w:rPr>
                <w:b/>
                <w:bCs/>
                <w:sz w:val="24"/>
                <w:szCs w:val="24"/>
              </w:rPr>
            </w:pPr>
            <w:r w:rsidRPr="00160C23">
              <w:rPr>
                <w:b/>
                <w:bCs/>
                <w:sz w:val="24"/>
                <w:szCs w:val="24"/>
              </w:rPr>
              <w:t>% of Time</w:t>
            </w:r>
          </w:p>
        </w:tc>
        <w:tc>
          <w:tcPr>
            <w:tcW w:w="1049" w:type="dxa"/>
            <w:vAlign w:val="center"/>
          </w:tcPr>
          <w:p w:rsidRPr="00160C23" w:rsidR="00E42494" w:rsidP="006C58B4" w:rsidRDefault="00E42494" w14:paraId="5CDC01EF" w14:textId="77777777">
            <w:pPr>
              <w:pStyle w:val="P1-StandPara"/>
              <w:spacing w:line="240" w:lineRule="auto"/>
              <w:ind w:firstLine="0"/>
              <w:jc w:val="center"/>
              <w:rPr>
                <w:b/>
                <w:bCs/>
                <w:sz w:val="24"/>
                <w:szCs w:val="24"/>
              </w:rPr>
            </w:pPr>
            <w:r w:rsidRPr="00160C23">
              <w:rPr>
                <w:b/>
                <w:bCs/>
                <w:sz w:val="24"/>
                <w:szCs w:val="24"/>
              </w:rPr>
              <w:t>Cost</w:t>
            </w:r>
          </w:p>
        </w:tc>
      </w:tr>
      <w:tr w:rsidRPr="00160C23" w:rsidR="00E42494" w:rsidTr="006C58B4" w14:paraId="0E7D148C" w14:textId="77777777">
        <w:trPr>
          <w:trHeight w:val="257"/>
        </w:trPr>
        <w:tc>
          <w:tcPr>
            <w:tcW w:w="8604" w:type="dxa"/>
            <w:gridSpan w:val="4"/>
            <w:vAlign w:val="center"/>
          </w:tcPr>
          <w:p w:rsidRPr="00160C23" w:rsidR="00E42494" w:rsidP="006C58B4" w:rsidRDefault="00E42494" w14:paraId="4BAEDDBA" w14:textId="77777777">
            <w:pPr>
              <w:pStyle w:val="P1-StandPara"/>
              <w:spacing w:line="240" w:lineRule="auto"/>
              <w:ind w:firstLine="0"/>
              <w:rPr>
                <w:bCs/>
                <w:sz w:val="24"/>
                <w:szCs w:val="24"/>
              </w:rPr>
            </w:pPr>
            <w:r w:rsidRPr="00160C23">
              <w:rPr>
                <w:bCs/>
                <w:sz w:val="24"/>
                <w:szCs w:val="24"/>
              </w:rPr>
              <w:t xml:space="preserve">PRE OMB Approval Costs </w:t>
            </w:r>
          </w:p>
        </w:tc>
      </w:tr>
      <w:tr w:rsidRPr="00160C23" w:rsidR="00E42494" w:rsidTr="006C58B4" w14:paraId="18AA0FDC" w14:textId="77777777">
        <w:trPr>
          <w:trHeight w:val="239"/>
        </w:trPr>
        <w:tc>
          <w:tcPr>
            <w:tcW w:w="8604" w:type="dxa"/>
            <w:gridSpan w:val="4"/>
            <w:shd w:val="clear" w:color="auto" w:fill="D9D9D9"/>
            <w:vAlign w:val="center"/>
          </w:tcPr>
          <w:p w:rsidRPr="00160C23" w:rsidR="00E42494" w:rsidP="006C58B4" w:rsidRDefault="00E42494" w14:paraId="6F89E884" w14:textId="77777777">
            <w:pPr>
              <w:pStyle w:val="P1-StandPara"/>
              <w:spacing w:line="240" w:lineRule="auto"/>
              <w:ind w:firstLine="0"/>
              <w:jc w:val="center"/>
              <w:rPr>
                <w:bCs/>
                <w:sz w:val="24"/>
                <w:szCs w:val="24"/>
              </w:rPr>
            </w:pPr>
            <w:r w:rsidRPr="00160C23">
              <w:rPr>
                <w:bCs/>
                <w:sz w:val="24"/>
                <w:szCs w:val="24"/>
              </w:rPr>
              <w:t>Government Personnel Costs</w:t>
            </w:r>
          </w:p>
        </w:tc>
      </w:tr>
      <w:tr w:rsidRPr="00160C23" w:rsidR="00E42494" w:rsidTr="0025037D" w14:paraId="1EE215C8" w14:textId="77777777">
        <w:trPr>
          <w:trHeight w:val="302"/>
        </w:trPr>
        <w:tc>
          <w:tcPr>
            <w:tcW w:w="4495" w:type="dxa"/>
            <w:vAlign w:val="center"/>
          </w:tcPr>
          <w:p w:rsidRPr="00160C23" w:rsidR="00756351" w:rsidP="00FA485B" w:rsidRDefault="00E42494" w14:paraId="4F2F20CB" w14:textId="04D6EFCB">
            <w:pPr>
              <w:pStyle w:val="P1-StandPara"/>
              <w:spacing w:line="240" w:lineRule="auto"/>
              <w:ind w:firstLine="0"/>
              <w:rPr>
                <w:bCs/>
                <w:color w:val="000000" w:themeColor="text1"/>
                <w:sz w:val="24"/>
                <w:szCs w:val="24"/>
              </w:rPr>
            </w:pPr>
            <w:r w:rsidRPr="00160C23">
              <w:rPr>
                <w:color w:val="000000" w:themeColor="text1"/>
                <w:sz w:val="24"/>
                <w:szCs w:val="24"/>
              </w:rPr>
              <w:t xml:space="preserve">Social Science Analyst </w:t>
            </w:r>
            <w:r w:rsidRPr="00160C23">
              <w:rPr>
                <w:bCs/>
                <w:color w:val="000000" w:themeColor="text1"/>
                <w:sz w:val="24"/>
                <w:szCs w:val="24"/>
              </w:rPr>
              <w:t xml:space="preserve">– GS15*, Step </w:t>
            </w:r>
            <w:r w:rsidRPr="00160C23" w:rsidR="00FA485B">
              <w:rPr>
                <w:bCs/>
                <w:color w:val="000000" w:themeColor="text1"/>
                <w:sz w:val="24"/>
                <w:szCs w:val="24"/>
              </w:rPr>
              <w:t>10</w:t>
            </w:r>
          </w:p>
        </w:tc>
        <w:tc>
          <w:tcPr>
            <w:tcW w:w="1710" w:type="dxa"/>
            <w:vAlign w:val="center"/>
          </w:tcPr>
          <w:p w:rsidRPr="00160C23" w:rsidR="00E42494" w:rsidP="00A15EE4" w:rsidRDefault="00E42494" w14:paraId="5E09FC96" w14:textId="0269CF7A">
            <w:pPr>
              <w:pStyle w:val="P1-StandPara"/>
              <w:spacing w:line="240" w:lineRule="auto"/>
              <w:ind w:firstLine="0"/>
              <w:rPr>
                <w:bCs/>
                <w:color w:val="000000" w:themeColor="text1"/>
                <w:sz w:val="24"/>
                <w:szCs w:val="24"/>
              </w:rPr>
            </w:pPr>
            <w:r w:rsidRPr="00160C23">
              <w:rPr>
                <w:bCs/>
                <w:color w:val="000000" w:themeColor="text1"/>
                <w:sz w:val="24"/>
                <w:szCs w:val="24"/>
              </w:rPr>
              <w:t>$16</w:t>
            </w:r>
            <w:r w:rsidRPr="00160C23" w:rsidR="00A15EE4">
              <w:rPr>
                <w:bCs/>
                <w:color w:val="000000" w:themeColor="text1"/>
                <w:sz w:val="24"/>
                <w:szCs w:val="24"/>
              </w:rPr>
              <w:t>6</w:t>
            </w:r>
            <w:r w:rsidRPr="00160C23">
              <w:rPr>
                <w:bCs/>
                <w:color w:val="000000" w:themeColor="text1"/>
                <w:sz w:val="24"/>
                <w:szCs w:val="24"/>
              </w:rPr>
              <w:t>,</w:t>
            </w:r>
            <w:r w:rsidRPr="00160C23" w:rsidR="00A15EE4">
              <w:rPr>
                <w:bCs/>
                <w:color w:val="000000" w:themeColor="text1"/>
                <w:sz w:val="24"/>
                <w:szCs w:val="24"/>
              </w:rPr>
              <w:t>5</w:t>
            </w:r>
            <w:r w:rsidRPr="00160C23">
              <w:rPr>
                <w:bCs/>
                <w:color w:val="000000" w:themeColor="text1"/>
                <w:sz w:val="24"/>
                <w:szCs w:val="24"/>
              </w:rPr>
              <w:t>00</w:t>
            </w:r>
          </w:p>
        </w:tc>
        <w:tc>
          <w:tcPr>
            <w:tcW w:w="1350" w:type="dxa"/>
            <w:vAlign w:val="center"/>
          </w:tcPr>
          <w:p w:rsidRPr="00160C23" w:rsidR="00E42494" w:rsidP="006C58B4" w:rsidRDefault="00FA485B" w14:paraId="402BF576" w14:textId="663845A3">
            <w:pPr>
              <w:pStyle w:val="P1-StandPara"/>
              <w:spacing w:line="240" w:lineRule="auto"/>
              <w:ind w:firstLine="0"/>
              <w:rPr>
                <w:bCs/>
                <w:color w:val="000000" w:themeColor="text1"/>
                <w:sz w:val="24"/>
                <w:szCs w:val="24"/>
              </w:rPr>
            </w:pPr>
            <w:r w:rsidRPr="00160C23">
              <w:rPr>
                <w:bCs/>
                <w:color w:val="000000" w:themeColor="text1"/>
                <w:sz w:val="24"/>
                <w:szCs w:val="24"/>
              </w:rPr>
              <w:t>10%</w:t>
            </w:r>
          </w:p>
        </w:tc>
        <w:tc>
          <w:tcPr>
            <w:tcW w:w="1049" w:type="dxa"/>
            <w:vAlign w:val="center"/>
          </w:tcPr>
          <w:p w:rsidRPr="00160C23" w:rsidR="00E42494" w:rsidP="0025037D" w:rsidRDefault="00FA485B" w14:paraId="71748A14" w14:textId="6F277DBC">
            <w:pPr>
              <w:pStyle w:val="P1-StandPara"/>
              <w:spacing w:line="240" w:lineRule="auto"/>
              <w:ind w:firstLine="0"/>
              <w:rPr>
                <w:bCs/>
                <w:color w:val="000000" w:themeColor="text1"/>
                <w:sz w:val="24"/>
                <w:szCs w:val="24"/>
              </w:rPr>
            </w:pPr>
            <w:r w:rsidRPr="00160C23">
              <w:rPr>
                <w:bCs/>
                <w:color w:val="000000" w:themeColor="text1"/>
                <w:sz w:val="24"/>
                <w:szCs w:val="24"/>
              </w:rPr>
              <w:t>$</w:t>
            </w:r>
            <w:r w:rsidRPr="00160C23" w:rsidR="0025037D">
              <w:rPr>
                <w:bCs/>
                <w:color w:val="000000" w:themeColor="text1"/>
                <w:sz w:val="24"/>
                <w:szCs w:val="24"/>
              </w:rPr>
              <w:t>22,200</w:t>
            </w:r>
          </w:p>
        </w:tc>
      </w:tr>
      <w:tr w:rsidRPr="00160C23" w:rsidR="00E42494" w:rsidTr="006C58B4" w14:paraId="25B8C506" w14:textId="77777777">
        <w:trPr>
          <w:trHeight w:val="257"/>
        </w:trPr>
        <w:tc>
          <w:tcPr>
            <w:tcW w:w="8604" w:type="dxa"/>
            <w:gridSpan w:val="4"/>
            <w:vAlign w:val="center"/>
          </w:tcPr>
          <w:p w:rsidRPr="00160C23" w:rsidR="00E42494" w:rsidP="006C58B4" w:rsidRDefault="00E42494" w14:paraId="626A5E83" w14:textId="77777777">
            <w:pPr>
              <w:pStyle w:val="P1-StandPara"/>
              <w:spacing w:line="240" w:lineRule="auto"/>
              <w:ind w:firstLine="0"/>
              <w:rPr>
                <w:bCs/>
                <w:color w:val="000000" w:themeColor="text1"/>
                <w:sz w:val="24"/>
                <w:szCs w:val="24"/>
              </w:rPr>
            </w:pPr>
            <w:r w:rsidRPr="00160C23">
              <w:rPr>
                <w:bCs/>
                <w:color w:val="000000" w:themeColor="text1"/>
                <w:sz w:val="24"/>
                <w:szCs w:val="24"/>
              </w:rPr>
              <w:t>POST OMB Approval Costs</w:t>
            </w:r>
          </w:p>
        </w:tc>
      </w:tr>
      <w:tr w:rsidRPr="00160C23" w:rsidR="00E42494" w:rsidTr="006C58B4" w14:paraId="76B1FC4E" w14:textId="77777777">
        <w:trPr>
          <w:trHeight w:val="275"/>
        </w:trPr>
        <w:tc>
          <w:tcPr>
            <w:tcW w:w="8604" w:type="dxa"/>
            <w:gridSpan w:val="4"/>
            <w:shd w:val="clear" w:color="auto" w:fill="D9D9D9"/>
            <w:vAlign w:val="center"/>
          </w:tcPr>
          <w:p w:rsidRPr="00160C23" w:rsidR="00E42494" w:rsidP="006C58B4" w:rsidRDefault="00E42494" w14:paraId="3C6B2D34" w14:textId="77777777">
            <w:pPr>
              <w:pStyle w:val="P1-StandPara"/>
              <w:spacing w:line="240" w:lineRule="auto"/>
              <w:ind w:firstLine="0"/>
              <w:jc w:val="center"/>
              <w:rPr>
                <w:bCs/>
                <w:color w:val="000000" w:themeColor="text1"/>
                <w:sz w:val="24"/>
                <w:szCs w:val="24"/>
              </w:rPr>
            </w:pPr>
            <w:r w:rsidRPr="00160C23">
              <w:rPr>
                <w:bCs/>
                <w:color w:val="000000" w:themeColor="text1"/>
                <w:sz w:val="24"/>
                <w:szCs w:val="24"/>
              </w:rPr>
              <w:t>Government Personnel Costs</w:t>
            </w:r>
          </w:p>
        </w:tc>
      </w:tr>
      <w:tr w:rsidRPr="00160C23" w:rsidR="00E42494" w:rsidTr="0025037D" w14:paraId="0A48881C" w14:textId="77777777">
        <w:trPr>
          <w:trHeight w:val="311"/>
        </w:trPr>
        <w:tc>
          <w:tcPr>
            <w:tcW w:w="4495" w:type="dxa"/>
            <w:vAlign w:val="center"/>
          </w:tcPr>
          <w:p w:rsidRPr="00160C23" w:rsidR="00E42494" w:rsidP="00FA485B" w:rsidRDefault="00E42494" w14:paraId="25292311" w14:textId="44B9F84B">
            <w:pPr>
              <w:pStyle w:val="P1-StandPara"/>
              <w:spacing w:line="240" w:lineRule="auto"/>
              <w:ind w:firstLine="0"/>
              <w:rPr>
                <w:bCs/>
                <w:color w:val="000000" w:themeColor="text1"/>
                <w:sz w:val="24"/>
                <w:szCs w:val="24"/>
              </w:rPr>
            </w:pPr>
            <w:r w:rsidRPr="00160C23">
              <w:rPr>
                <w:color w:val="000000" w:themeColor="text1"/>
                <w:sz w:val="24"/>
                <w:szCs w:val="24"/>
              </w:rPr>
              <w:t xml:space="preserve">Social Science Analyst </w:t>
            </w:r>
            <w:r w:rsidRPr="00160C23">
              <w:rPr>
                <w:bCs/>
                <w:color w:val="000000" w:themeColor="text1"/>
                <w:sz w:val="24"/>
                <w:szCs w:val="24"/>
              </w:rPr>
              <w:t xml:space="preserve">– GS15*, Step </w:t>
            </w:r>
            <w:r w:rsidRPr="00160C23" w:rsidR="00FA485B">
              <w:rPr>
                <w:bCs/>
                <w:color w:val="000000" w:themeColor="text1"/>
                <w:sz w:val="24"/>
                <w:szCs w:val="24"/>
              </w:rPr>
              <w:t>10</w:t>
            </w:r>
          </w:p>
        </w:tc>
        <w:tc>
          <w:tcPr>
            <w:tcW w:w="1710" w:type="dxa"/>
            <w:vAlign w:val="center"/>
          </w:tcPr>
          <w:p w:rsidRPr="00160C23" w:rsidR="00E42494" w:rsidP="00A15EE4" w:rsidRDefault="00A15EE4" w14:paraId="3632F7DA" w14:textId="681D122D">
            <w:pPr>
              <w:pStyle w:val="P1-StandPara"/>
              <w:spacing w:line="240" w:lineRule="auto"/>
              <w:ind w:firstLine="0"/>
              <w:rPr>
                <w:bCs/>
                <w:color w:val="000000" w:themeColor="text1"/>
                <w:sz w:val="24"/>
                <w:szCs w:val="24"/>
              </w:rPr>
            </w:pPr>
            <w:r w:rsidRPr="00160C23">
              <w:rPr>
                <w:bCs/>
                <w:color w:val="000000" w:themeColor="text1"/>
                <w:sz w:val="24"/>
                <w:szCs w:val="24"/>
              </w:rPr>
              <w:t>$166,5</w:t>
            </w:r>
            <w:r w:rsidRPr="00160C23" w:rsidR="00E42494">
              <w:rPr>
                <w:bCs/>
                <w:color w:val="000000" w:themeColor="text1"/>
                <w:sz w:val="24"/>
                <w:szCs w:val="24"/>
              </w:rPr>
              <w:t>00</w:t>
            </w:r>
          </w:p>
        </w:tc>
        <w:tc>
          <w:tcPr>
            <w:tcW w:w="1350" w:type="dxa"/>
            <w:vAlign w:val="center"/>
          </w:tcPr>
          <w:p w:rsidRPr="00160C23" w:rsidR="00E42494" w:rsidP="006C58B4" w:rsidRDefault="00FA485B" w14:paraId="5C5B3445" w14:textId="17D46C70">
            <w:pPr>
              <w:pStyle w:val="P1-StandPara"/>
              <w:spacing w:line="240" w:lineRule="auto"/>
              <w:ind w:firstLine="0"/>
              <w:rPr>
                <w:bCs/>
                <w:color w:val="000000" w:themeColor="text1"/>
                <w:sz w:val="24"/>
                <w:szCs w:val="24"/>
              </w:rPr>
            </w:pPr>
            <w:r w:rsidRPr="00160C23">
              <w:rPr>
                <w:bCs/>
                <w:color w:val="000000" w:themeColor="text1"/>
                <w:sz w:val="24"/>
                <w:szCs w:val="24"/>
              </w:rPr>
              <w:t>10%</w:t>
            </w:r>
          </w:p>
        </w:tc>
        <w:tc>
          <w:tcPr>
            <w:tcW w:w="1049" w:type="dxa"/>
            <w:vAlign w:val="center"/>
          </w:tcPr>
          <w:p w:rsidRPr="00160C23" w:rsidR="00E42494" w:rsidP="006C58B4" w:rsidRDefault="0025037D" w14:paraId="31F11F3F" w14:textId="590F89E2">
            <w:pPr>
              <w:pStyle w:val="P1-StandPara"/>
              <w:spacing w:line="240" w:lineRule="auto"/>
              <w:ind w:firstLine="0"/>
              <w:rPr>
                <w:bCs/>
                <w:color w:val="000000" w:themeColor="text1"/>
                <w:sz w:val="24"/>
                <w:szCs w:val="24"/>
              </w:rPr>
            </w:pPr>
            <w:r w:rsidRPr="00160C23">
              <w:rPr>
                <w:bCs/>
                <w:color w:val="000000" w:themeColor="text1"/>
                <w:sz w:val="24"/>
                <w:szCs w:val="24"/>
              </w:rPr>
              <w:t>$27,750</w:t>
            </w:r>
          </w:p>
        </w:tc>
      </w:tr>
      <w:tr w:rsidRPr="00160C23" w:rsidR="00E42494" w:rsidTr="0025037D" w14:paraId="03122839" w14:textId="77777777">
        <w:trPr>
          <w:trHeight w:val="320"/>
        </w:trPr>
        <w:tc>
          <w:tcPr>
            <w:tcW w:w="4495" w:type="dxa"/>
            <w:vAlign w:val="center"/>
          </w:tcPr>
          <w:p w:rsidRPr="00160C23" w:rsidR="00E42494" w:rsidP="006C58B4" w:rsidRDefault="00E42494" w14:paraId="1B9A53F2" w14:textId="77777777">
            <w:pPr>
              <w:pStyle w:val="P1-StandPara"/>
              <w:spacing w:line="240" w:lineRule="auto"/>
              <w:ind w:firstLine="0"/>
              <w:rPr>
                <w:b/>
                <w:bCs/>
                <w:color w:val="000000" w:themeColor="text1"/>
                <w:sz w:val="24"/>
                <w:szCs w:val="24"/>
              </w:rPr>
            </w:pPr>
            <w:r w:rsidRPr="00160C23">
              <w:rPr>
                <w:b/>
                <w:bCs/>
                <w:color w:val="000000" w:themeColor="text1"/>
                <w:sz w:val="24"/>
                <w:szCs w:val="24"/>
              </w:rPr>
              <w:t>Grand Total</w:t>
            </w:r>
          </w:p>
        </w:tc>
        <w:tc>
          <w:tcPr>
            <w:tcW w:w="1710" w:type="dxa"/>
          </w:tcPr>
          <w:p w:rsidRPr="00160C23" w:rsidR="00E42494" w:rsidP="006C58B4" w:rsidRDefault="00E42494" w14:paraId="0A93201E" w14:textId="77777777">
            <w:pPr>
              <w:pStyle w:val="P1-StandPara"/>
              <w:spacing w:line="240" w:lineRule="auto"/>
              <w:ind w:firstLine="0"/>
              <w:rPr>
                <w:b/>
                <w:bCs/>
                <w:color w:val="000000" w:themeColor="text1"/>
                <w:sz w:val="24"/>
                <w:szCs w:val="24"/>
              </w:rPr>
            </w:pPr>
          </w:p>
        </w:tc>
        <w:tc>
          <w:tcPr>
            <w:tcW w:w="1350" w:type="dxa"/>
          </w:tcPr>
          <w:p w:rsidRPr="00160C23" w:rsidR="00E42494" w:rsidP="006C58B4" w:rsidRDefault="00E42494" w14:paraId="4943D106" w14:textId="77777777">
            <w:pPr>
              <w:pStyle w:val="P1-StandPara"/>
              <w:spacing w:line="240" w:lineRule="auto"/>
              <w:ind w:firstLine="0"/>
              <w:rPr>
                <w:b/>
                <w:bCs/>
                <w:color w:val="000000" w:themeColor="text1"/>
                <w:sz w:val="24"/>
                <w:szCs w:val="24"/>
              </w:rPr>
            </w:pPr>
          </w:p>
        </w:tc>
        <w:tc>
          <w:tcPr>
            <w:tcW w:w="1049" w:type="dxa"/>
            <w:vAlign w:val="center"/>
          </w:tcPr>
          <w:p w:rsidRPr="00160C23" w:rsidR="00E42494" w:rsidP="006C58B4" w:rsidRDefault="002A63BB" w14:paraId="49B6C0E0" w14:textId="39D1487E">
            <w:pPr>
              <w:pStyle w:val="P1-StandPara"/>
              <w:spacing w:line="240" w:lineRule="auto"/>
              <w:ind w:firstLine="0"/>
              <w:rPr>
                <w:b/>
                <w:bCs/>
                <w:color w:val="000000" w:themeColor="text1"/>
                <w:sz w:val="24"/>
                <w:szCs w:val="24"/>
              </w:rPr>
            </w:pPr>
            <w:r w:rsidRPr="00160C23">
              <w:rPr>
                <w:b/>
                <w:bCs/>
                <w:color w:val="000000" w:themeColor="text1"/>
                <w:sz w:val="24"/>
                <w:szCs w:val="24"/>
              </w:rPr>
              <w:t>$49,950</w:t>
            </w:r>
          </w:p>
        </w:tc>
      </w:tr>
    </w:tbl>
    <w:p w:rsidRPr="00160C23" w:rsidR="00E42494" w:rsidP="000B7EBE" w:rsidRDefault="00E42494" w14:paraId="6A9DB3D3" w14:textId="2E45CC23">
      <w:pPr>
        <w:ind w:left="360" w:hanging="360"/>
        <w:rPr>
          <w:sz w:val="18"/>
          <w:szCs w:val="18"/>
        </w:rPr>
      </w:pPr>
      <w:r w:rsidRPr="00160C23">
        <w:rPr>
          <w:sz w:val="18"/>
          <w:szCs w:val="18"/>
        </w:rPr>
        <w:t>*</w:t>
      </w:r>
      <w:r w:rsidRPr="00160C23" w:rsidR="00A15EE4">
        <w:rPr>
          <w:sz w:val="18"/>
          <w:szCs w:val="18"/>
        </w:rPr>
        <w:tab/>
        <w:t xml:space="preserve">Salary Table 2019-DCB, General Schedule (GS) Locality Pay Tables for the </w:t>
      </w:r>
      <w:r w:rsidRPr="00160C23">
        <w:rPr>
          <w:sz w:val="18"/>
          <w:szCs w:val="18"/>
        </w:rPr>
        <w:t>Washington</w:t>
      </w:r>
      <w:r w:rsidRPr="00160C23" w:rsidR="00A15EE4">
        <w:rPr>
          <w:sz w:val="18"/>
          <w:szCs w:val="18"/>
        </w:rPr>
        <w:t xml:space="preserve"> DC area.</w:t>
      </w:r>
      <w:r w:rsidRPr="00160C23">
        <w:rPr>
          <w:sz w:val="18"/>
          <w:szCs w:val="18"/>
        </w:rPr>
        <w:t xml:space="preserve"> </w:t>
      </w:r>
      <w:r w:rsidRPr="00160C23" w:rsidR="00A15EE4">
        <w:rPr>
          <w:sz w:val="18"/>
          <w:szCs w:val="18"/>
        </w:rPr>
        <w:t xml:space="preserve">Accessed from </w:t>
      </w:r>
      <w:hyperlink w:history="1" r:id="rId10">
        <w:r w:rsidRPr="00160C23" w:rsidR="00A15EE4">
          <w:rPr>
            <w:rStyle w:val="Hyperlink"/>
            <w:b/>
            <w:i/>
            <w:sz w:val="18"/>
            <w:szCs w:val="18"/>
          </w:rPr>
          <w:t>https://www.opm.gov/policy-data-oversight/pay-leave/salaries-wages/2019/general-schedule/</w:t>
        </w:r>
      </w:hyperlink>
      <w:r w:rsidRPr="00160C23" w:rsidR="00A15EE4">
        <w:rPr>
          <w:sz w:val="18"/>
          <w:szCs w:val="18"/>
        </w:rPr>
        <w:t xml:space="preserve"> on October 1, 2019.</w:t>
      </w:r>
    </w:p>
    <w:p w:rsidRPr="00160C23" w:rsidR="009B633D" w:rsidP="00E42494" w:rsidRDefault="009B633D" w14:paraId="3F088A6F" w14:textId="468F5D31">
      <w:pPr>
        <w:pStyle w:val="Heading2"/>
        <w:rPr>
          <w:sz w:val="24"/>
        </w:rPr>
      </w:pPr>
      <w:bookmarkStart w:name="_Toc29459933" w:id="54"/>
      <w:r w:rsidRPr="00160C23">
        <w:rPr>
          <w:sz w:val="24"/>
        </w:rPr>
        <w:t>15. Changes in Hour Burden</w:t>
      </w:r>
      <w:bookmarkEnd w:id="52"/>
      <w:bookmarkEnd w:id="53"/>
      <w:bookmarkEnd w:id="54"/>
    </w:p>
    <w:p w:rsidRPr="00160C23" w:rsidR="00E42494" w:rsidP="00E42494" w:rsidRDefault="00E42494" w14:paraId="45B39A91" w14:textId="441DC081">
      <w:bookmarkStart w:name="_Toc267696114" w:id="55"/>
      <w:bookmarkStart w:name="_Toc267696539" w:id="56"/>
      <w:r w:rsidRPr="00160C23">
        <w:t xml:space="preserve">This </w:t>
      </w:r>
      <w:r w:rsidRPr="00160C23" w:rsidR="00DA2C55">
        <w:t>section addresses</w:t>
      </w:r>
      <w:r w:rsidRPr="00160C23">
        <w:t xml:space="preserve"> new information collection.</w:t>
      </w:r>
      <w:bookmarkEnd w:id="55"/>
      <w:bookmarkEnd w:id="56"/>
    </w:p>
    <w:p w:rsidRPr="00160C23" w:rsidR="00AC5C8E" w:rsidP="00AC5C8E" w:rsidRDefault="009B633D" w14:paraId="5FFA7B9D" w14:textId="342A97B0">
      <w:pPr>
        <w:pStyle w:val="Heading2"/>
        <w:rPr>
          <w:i w:val="0"/>
          <w:sz w:val="24"/>
        </w:rPr>
      </w:pPr>
      <w:bookmarkStart w:name="_Toc151782191" w:id="57"/>
      <w:bookmarkStart w:name="_Toc158526231" w:id="58"/>
      <w:bookmarkStart w:name="_Toc29459934" w:id="59"/>
      <w:r w:rsidRPr="00160C23">
        <w:rPr>
          <w:sz w:val="24"/>
        </w:rPr>
        <w:t>16. Time Schedule, Publication and Analysis Plans</w:t>
      </w:r>
      <w:bookmarkEnd w:id="57"/>
      <w:bookmarkEnd w:id="58"/>
      <w:bookmarkEnd w:id="59"/>
      <w:r w:rsidRPr="00160C23" w:rsidR="006258C3">
        <w:rPr>
          <w:sz w:val="24"/>
        </w:rPr>
        <w:t xml:space="preserve">  </w:t>
      </w:r>
      <w:bookmarkStart w:name="_Toc151782196" w:id="60"/>
      <w:bookmarkStart w:name="_Toc158526232" w:id="61"/>
    </w:p>
    <w:p w:rsidRPr="00160C23" w:rsidR="00FB6C9B" w:rsidP="000B7EBE" w:rsidRDefault="00FB6C9B" w14:paraId="10FC5CDE" w14:textId="1A3FD34C">
      <w:r w:rsidRPr="00160C23">
        <w:t>Exhibit 6 presents the project timeline.</w:t>
      </w:r>
    </w:p>
    <w:p w:rsidRPr="00160C23" w:rsidR="000B7EBE" w:rsidP="000B7EBE" w:rsidRDefault="000B7EBE" w14:paraId="3E3AE87A" w14:textId="77777777"/>
    <w:p w:rsidRPr="00160C23" w:rsidR="0013447B" w:rsidP="000B7EBE" w:rsidRDefault="00AC5C8E" w14:paraId="3C8F18B0" w14:textId="632034EF">
      <w:pPr>
        <w:rPr>
          <w:b/>
        </w:rPr>
      </w:pPr>
      <w:r w:rsidRPr="00160C23">
        <w:rPr>
          <w:b/>
        </w:rPr>
        <w:t xml:space="preserve">Exhibit </w:t>
      </w:r>
      <w:r w:rsidRPr="00160C23" w:rsidR="00FB6C9B">
        <w:rPr>
          <w:b/>
        </w:rPr>
        <w:t xml:space="preserve">6. </w:t>
      </w:r>
      <w:r w:rsidRPr="00160C23">
        <w:rPr>
          <w:b/>
        </w:rPr>
        <w:t>Project Timeline</w:t>
      </w:r>
    </w:p>
    <w:tbl>
      <w:tblPr>
        <w:tblStyle w:val="TableGrid17"/>
        <w:tblW w:w="8460" w:type="dxa"/>
        <w:tblInd w:w="-5" w:type="dxa"/>
        <w:tblCellMar>
          <w:left w:w="0" w:type="dxa"/>
          <w:right w:w="0" w:type="dxa"/>
        </w:tblCellMar>
        <w:tblLook w:val="04A0" w:firstRow="1" w:lastRow="0" w:firstColumn="1" w:lastColumn="0" w:noHBand="0" w:noVBand="1"/>
      </w:tblPr>
      <w:tblGrid>
        <w:gridCol w:w="4738"/>
        <w:gridCol w:w="3722"/>
      </w:tblGrid>
      <w:tr w:rsidRPr="00160C23" w:rsidR="00DA2C55" w:rsidTr="000559B1" w14:paraId="19BB27AD" w14:textId="77777777">
        <w:trPr>
          <w:tblHeader/>
        </w:trPr>
        <w:tc>
          <w:tcPr>
            <w:tcW w:w="4738" w:type="dxa"/>
            <w:shd w:val="clear" w:color="auto" w:fill="auto"/>
            <w:vAlign w:val="center"/>
          </w:tcPr>
          <w:p w:rsidRPr="00160C23" w:rsidR="00DA2C55" w:rsidP="00E97B17" w:rsidRDefault="00DA2C55" w14:paraId="7D0DCFEC" w14:textId="5D846E39">
            <w:pPr>
              <w:ind w:left="67"/>
              <w:rPr>
                <w:b/>
                <w:color w:val="000000" w:themeColor="text1"/>
              </w:rPr>
            </w:pPr>
            <w:r w:rsidRPr="00160C23">
              <w:rPr>
                <w:b/>
                <w:color w:val="000000" w:themeColor="text1"/>
              </w:rPr>
              <w:t>Description (in chronological order</w:t>
            </w:r>
            <w:r w:rsidRPr="00160C23" w:rsidR="00E97B17">
              <w:rPr>
                <w:b/>
                <w:color w:val="000000" w:themeColor="text1"/>
              </w:rPr>
              <w:t xml:space="preserve"> of start</w:t>
            </w:r>
            <w:r w:rsidRPr="00160C23">
              <w:rPr>
                <w:b/>
                <w:color w:val="000000" w:themeColor="text1"/>
              </w:rPr>
              <w:t>)</w:t>
            </w:r>
          </w:p>
        </w:tc>
        <w:tc>
          <w:tcPr>
            <w:tcW w:w="3722" w:type="dxa"/>
            <w:shd w:val="clear" w:color="auto" w:fill="auto"/>
            <w:vAlign w:val="center"/>
          </w:tcPr>
          <w:p w:rsidRPr="00160C23" w:rsidR="00DA2C55" w:rsidP="00DA2C55" w:rsidRDefault="00DA2C55" w14:paraId="7B32A4D4" w14:textId="776C83DB">
            <w:pPr>
              <w:ind w:left="122"/>
              <w:rPr>
                <w:b/>
                <w:color w:val="000000" w:themeColor="text1"/>
              </w:rPr>
            </w:pPr>
            <w:r w:rsidRPr="00160C23">
              <w:rPr>
                <w:b/>
                <w:color w:val="000000" w:themeColor="text1"/>
              </w:rPr>
              <w:t>Due Date</w:t>
            </w:r>
          </w:p>
        </w:tc>
      </w:tr>
      <w:tr w:rsidRPr="00160C23" w:rsidR="00F545A7" w:rsidTr="00C17C8A" w14:paraId="6DE2145F" w14:textId="77777777">
        <w:tc>
          <w:tcPr>
            <w:tcW w:w="8460" w:type="dxa"/>
            <w:gridSpan w:val="2"/>
            <w:shd w:val="clear" w:color="auto" w:fill="FFFFFF"/>
          </w:tcPr>
          <w:p w:rsidRPr="00160C23" w:rsidR="00F545A7" w:rsidP="00DA2C55" w:rsidRDefault="00F545A7" w14:paraId="7D9C3D21" w14:textId="0FB50959">
            <w:pPr>
              <w:ind w:left="122"/>
              <w:rPr>
                <w:color w:val="000000" w:themeColor="text1"/>
              </w:rPr>
            </w:pPr>
            <w:r w:rsidRPr="00160C23">
              <w:rPr>
                <w:smallCaps/>
                <w:color w:val="000000" w:themeColor="text1"/>
              </w:rPr>
              <w:t>Implementation Activities</w:t>
            </w:r>
          </w:p>
        </w:tc>
      </w:tr>
      <w:tr w:rsidRPr="00160C23" w:rsidR="00F545A7" w:rsidTr="000559B1" w14:paraId="62E840E8" w14:textId="77777777">
        <w:tc>
          <w:tcPr>
            <w:tcW w:w="4738" w:type="dxa"/>
            <w:shd w:val="clear" w:color="auto" w:fill="FFFFFF"/>
          </w:tcPr>
          <w:p w:rsidRPr="00160C23" w:rsidR="00F545A7" w:rsidP="00F545A7" w:rsidRDefault="00F545A7" w14:paraId="5AEC1D78" w14:textId="030EE3D2">
            <w:pPr>
              <w:ind w:left="90"/>
              <w:rPr>
                <w:color w:val="000000" w:themeColor="text1"/>
              </w:rPr>
            </w:pPr>
            <w:r w:rsidRPr="00160C23">
              <w:rPr>
                <w:color w:val="000000" w:themeColor="text1"/>
              </w:rPr>
              <w:t>TEP active</w:t>
            </w:r>
          </w:p>
        </w:tc>
        <w:tc>
          <w:tcPr>
            <w:tcW w:w="3722" w:type="dxa"/>
            <w:shd w:val="clear" w:color="auto" w:fill="FFFFFF"/>
          </w:tcPr>
          <w:p w:rsidRPr="00160C23" w:rsidR="00F545A7" w:rsidP="00DA2C55" w:rsidRDefault="00F545A7" w14:paraId="2F336CF8" w14:textId="51688759">
            <w:pPr>
              <w:ind w:left="122"/>
              <w:rPr>
                <w:color w:val="000000" w:themeColor="text1"/>
              </w:rPr>
            </w:pPr>
            <w:r w:rsidRPr="00160C23">
              <w:rPr>
                <w:color w:val="000000" w:themeColor="text1"/>
              </w:rPr>
              <w:t>May 2019 – March 2021</w:t>
            </w:r>
          </w:p>
        </w:tc>
      </w:tr>
      <w:tr w:rsidRPr="00160C23" w:rsidR="00F545A7" w:rsidTr="000559B1" w14:paraId="568CFB4C" w14:textId="77777777">
        <w:tc>
          <w:tcPr>
            <w:tcW w:w="4738" w:type="dxa"/>
            <w:shd w:val="clear" w:color="auto" w:fill="FFFFFF"/>
          </w:tcPr>
          <w:p w:rsidRPr="00160C23" w:rsidR="00F545A7" w:rsidP="00F545A7" w:rsidRDefault="00F545A7" w14:paraId="608AF8CB" w14:textId="5D496445">
            <w:pPr>
              <w:ind w:left="90"/>
              <w:rPr>
                <w:color w:val="000000" w:themeColor="text1"/>
              </w:rPr>
            </w:pPr>
            <w:r w:rsidRPr="00160C23">
              <w:rPr>
                <w:color w:val="000000" w:themeColor="text1"/>
              </w:rPr>
              <w:t>Development and management of website to raise awareness and recruit hospitals</w:t>
            </w:r>
          </w:p>
        </w:tc>
        <w:tc>
          <w:tcPr>
            <w:tcW w:w="3722" w:type="dxa"/>
            <w:shd w:val="clear" w:color="auto" w:fill="FFFFFF"/>
          </w:tcPr>
          <w:p w:rsidRPr="00160C23" w:rsidR="00F545A7" w:rsidRDefault="00F545A7" w14:paraId="4E776C92" w14:textId="5A69A38F">
            <w:pPr>
              <w:ind w:left="122"/>
              <w:rPr>
                <w:color w:val="000000" w:themeColor="text1"/>
              </w:rPr>
            </w:pPr>
            <w:r w:rsidRPr="00160C23">
              <w:rPr>
                <w:color w:val="000000" w:themeColor="text1"/>
              </w:rPr>
              <w:t>May 2019 – October 2021</w:t>
            </w:r>
          </w:p>
        </w:tc>
      </w:tr>
      <w:tr w:rsidRPr="00160C23" w:rsidR="00F545A7" w:rsidTr="000559B1" w14:paraId="0F4B4020" w14:textId="77777777">
        <w:tc>
          <w:tcPr>
            <w:tcW w:w="4738" w:type="dxa"/>
            <w:shd w:val="clear" w:color="auto" w:fill="FFFFFF"/>
          </w:tcPr>
          <w:p w:rsidRPr="00160C23" w:rsidR="00F545A7" w:rsidRDefault="00F545A7" w14:paraId="203E6621" w14:textId="21CC69ED">
            <w:pPr>
              <w:ind w:left="90"/>
              <w:rPr>
                <w:color w:val="000000" w:themeColor="text1"/>
              </w:rPr>
            </w:pPr>
            <w:r w:rsidRPr="00160C23">
              <w:rPr>
                <w:color w:val="000000" w:themeColor="text1"/>
              </w:rPr>
              <w:t>Partner Hospital cohort 1 active</w:t>
            </w:r>
          </w:p>
        </w:tc>
        <w:tc>
          <w:tcPr>
            <w:tcW w:w="3722" w:type="dxa"/>
            <w:shd w:val="clear" w:color="auto" w:fill="FFFFFF"/>
          </w:tcPr>
          <w:p w:rsidRPr="00160C23" w:rsidR="00F545A7" w:rsidP="00DA2C55" w:rsidRDefault="00F545A7" w14:paraId="14E0CDFE" w14:textId="2EB25E27">
            <w:pPr>
              <w:ind w:left="122"/>
              <w:rPr>
                <w:color w:val="000000" w:themeColor="text1"/>
              </w:rPr>
            </w:pPr>
            <w:r w:rsidRPr="00160C23">
              <w:rPr>
                <w:color w:val="000000" w:themeColor="text1"/>
              </w:rPr>
              <w:t>January 2020 – December 2020</w:t>
            </w:r>
          </w:p>
        </w:tc>
      </w:tr>
      <w:tr w:rsidRPr="00160C23" w:rsidR="00F545A7" w:rsidTr="000559B1" w14:paraId="73F34217" w14:textId="77777777">
        <w:tc>
          <w:tcPr>
            <w:tcW w:w="4738" w:type="dxa"/>
            <w:shd w:val="clear" w:color="auto" w:fill="FFFFFF"/>
          </w:tcPr>
          <w:p w:rsidRPr="00160C23" w:rsidR="00F545A7" w:rsidP="00DA2C55" w:rsidRDefault="00F545A7" w14:paraId="33ED44C6" w14:textId="6E97BC47">
            <w:pPr>
              <w:ind w:left="90"/>
              <w:rPr>
                <w:color w:val="000000" w:themeColor="text1"/>
              </w:rPr>
            </w:pPr>
            <w:r w:rsidRPr="00160C23">
              <w:rPr>
                <w:color w:val="000000" w:themeColor="text1"/>
              </w:rPr>
              <w:t>Learning Community active</w:t>
            </w:r>
          </w:p>
        </w:tc>
        <w:tc>
          <w:tcPr>
            <w:tcW w:w="3722" w:type="dxa"/>
            <w:shd w:val="clear" w:color="auto" w:fill="FFFFFF"/>
          </w:tcPr>
          <w:p w:rsidRPr="00160C23" w:rsidR="00F545A7" w:rsidP="00DA2C55" w:rsidRDefault="00F545A7" w14:paraId="30742D1B" w14:textId="530A9D7C">
            <w:pPr>
              <w:ind w:left="122"/>
              <w:rPr>
                <w:color w:val="000000" w:themeColor="text1"/>
              </w:rPr>
            </w:pPr>
            <w:r w:rsidRPr="00160C23">
              <w:rPr>
                <w:color w:val="000000" w:themeColor="text1"/>
              </w:rPr>
              <w:t>January 2020 – October 2021</w:t>
            </w:r>
          </w:p>
        </w:tc>
      </w:tr>
      <w:tr w:rsidRPr="00160C23" w:rsidR="00F545A7" w:rsidTr="000559B1" w14:paraId="16A5790A" w14:textId="77777777">
        <w:tc>
          <w:tcPr>
            <w:tcW w:w="4738" w:type="dxa"/>
            <w:shd w:val="clear" w:color="auto" w:fill="FFFFFF"/>
          </w:tcPr>
          <w:p w:rsidRPr="00160C23" w:rsidR="00F545A7" w:rsidRDefault="00F545A7" w14:paraId="1A73B144" w14:textId="12183056">
            <w:pPr>
              <w:ind w:left="90"/>
              <w:rPr>
                <w:color w:val="000000" w:themeColor="text1"/>
              </w:rPr>
            </w:pPr>
            <w:r w:rsidRPr="00160C23">
              <w:rPr>
                <w:color w:val="000000" w:themeColor="text1"/>
              </w:rPr>
              <w:t>Partner Hospital cohort 2 active</w:t>
            </w:r>
          </w:p>
        </w:tc>
        <w:tc>
          <w:tcPr>
            <w:tcW w:w="3722" w:type="dxa"/>
            <w:shd w:val="clear" w:color="auto" w:fill="FFFFFF"/>
          </w:tcPr>
          <w:p w:rsidRPr="00160C23" w:rsidR="00F545A7" w:rsidP="00DA2C55" w:rsidRDefault="00F545A7" w14:paraId="6364372C" w14:textId="7C7BE89A">
            <w:pPr>
              <w:ind w:left="122"/>
              <w:rPr>
                <w:color w:val="000000" w:themeColor="text1"/>
              </w:rPr>
            </w:pPr>
            <w:r w:rsidRPr="00160C23">
              <w:rPr>
                <w:color w:val="000000" w:themeColor="text1"/>
              </w:rPr>
              <w:t>November 2020 – October 2021</w:t>
            </w:r>
          </w:p>
        </w:tc>
      </w:tr>
      <w:tr w:rsidRPr="00160C23" w:rsidR="00F545A7" w:rsidTr="000559B1" w14:paraId="30FD0B24" w14:textId="77777777">
        <w:tc>
          <w:tcPr>
            <w:tcW w:w="4738" w:type="dxa"/>
            <w:shd w:val="clear" w:color="auto" w:fill="FFFFFF"/>
          </w:tcPr>
          <w:p w:rsidRPr="00160C23" w:rsidR="00F545A7" w:rsidP="00DA2C55" w:rsidRDefault="00F545A7" w14:paraId="077242C5" w14:textId="26C3E249">
            <w:pPr>
              <w:ind w:left="90"/>
              <w:rPr>
                <w:color w:val="000000" w:themeColor="text1"/>
              </w:rPr>
            </w:pPr>
            <w:r w:rsidRPr="00160C23">
              <w:rPr>
                <w:color w:val="000000" w:themeColor="text1"/>
              </w:rPr>
              <w:t>Develop a permanent web page</w:t>
            </w:r>
          </w:p>
        </w:tc>
        <w:tc>
          <w:tcPr>
            <w:tcW w:w="3722" w:type="dxa"/>
            <w:shd w:val="clear" w:color="auto" w:fill="FFFFFF"/>
          </w:tcPr>
          <w:p w:rsidRPr="00160C23" w:rsidR="00F545A7" w:rsidP="00DA2C55" w:rsidRDefault="00F545A7" w14:paraId="45783E5B" w14:textId="208DC7A6">
            <w:pPr>
              <w:ind w:left="122"/>
              <w:rPr>
                <w:color w:val="000000" w:themeColor="text1"/>
              </w:rPr>
            </w:pPr>
            <w:r w:rsidRPr="00160C23">
              <w:rPr>
                <w:color w:val="000000" w:themeColor="text1"/>
              </w:rPr>
              <w:t>September 2021 – March 2022</w:t>
            </w:r>
          </w:p>
        </w:tc>
      </w:tr>
      <w:tr w:rsidRPr="00160C23" w:rsidR="00F545A7" w:rsidTr="00C17C8A" w14:paraId="48FB5583" w14:textId="77777777">
        <w:tc>
          <w:tcPr>
            <w:tcW w:w="8460" w:type="dxa"/>
            <w:gridSpan w:val="2"/>
            <w:shd w:val="clear" w:color="auto" w:fill="FFFFFF"/>
          </w:tcPr>
          <w:p w:rsidRPr="00160C23" w:rsidR="00F545A7" w:rsidP="00DA2C55" w:rsidRDefault="00F545A7" w14:paraId="6DCC12D5" w14:textId="3AF6556D">
            <w:pPr>
              <w:ind w:left="122"/>
              <w:rPr>
                <w:color w:val="000000" w:themeColor="text1"/>
              </w:rPr>
            </w:pPr>
            <w:r w:rsidRPr="00160C23">
              <w:rPr>
                <w:smallCaps/>
                <w:color w:val="000000" w:themeColor="text1"/>
              </w:rPr>
              <w:t>Evaluation Activities</w:t>
            </w:r>
          </w:p>
        </w:tc>
      </w:tr>
      <w:tr w:rsidRPr="00160C23" w:rsidR="00BC1D0C" w:rsidTr="000559B1" w14:paraId="3F4A2C8C" w14:textId="77777777">
        <w:tc>
          <w:tcPr>
            <w:tcW w:w="4738" w:type="dxa"/>
            <w:shd w:val="clear" w:color="auto" w:fill="FFFFFF"/>
          </w:tcPr>
          <w:p w:rsidRPr="00160C23" w:rsidR="00BC1D0C" w:rsidP="00BC1D0C" w:rsidRDefault="00BC1D0C" w14:paraId="72285D9F" w14:textId="1B9BBCD8">
            <w:pPr>
              <w:ind w:left="90"/>
              <w:rPr>
                <w:color w:val="000000" w:themeColor="text1"/>
              </w:rPr>
            </w:pPr>
            <w:r w:rsidRPr="00160C23">
              <w:rPr>
                <w:color w:val="000000" w:themeColor="text1"/>
              </w:rPr>
              <w:t>Analysis of recruitment activity and early Partner Hospital participation</w:t>
            </w:r>
          </w:p>
        </w:tc>
        <w:tc>
          <w:tcPr>
            <w:tcW w:w="3722" w:type="dxa"/>
            <w:shd w:val="clear" w:color="auto" w:fill="FFFFFF"/>
          </w:tcPr>
          <w:p w:rsidRPr="00160C23" w:rsidR="00BC1D0C" w:rsidP="00BC1D0C" w:rsidRDefault="00BC1D0C" w14:paraId="119C9699" w14:textId="256F6AE8">
            <w:pPr>
              <w:ind w:left="122"/>
              <w:rPr>
                <w:color w:val="000000" w:themeColor="text1"/>
              </w:rPr>
            </w:pPr>
            <w:r w:rsidRPr="00160C23">
              <w:rPr>
                <w:color w:val="000000" w:themeColor="text1"/>
              </w:rPr>
              <w:t>February 2020 – March 2020</w:t>
            </w:r>
          </w:p>
        </w:tc>
      </w:tr>
      <w:tr w:rsidRPr="00160C23" w:rsidR="00AF36DC" w:rsidTr="00AF36DC" w14:paraId="1C93E842" w14:textId="77777777">
        <w:tc>
          <w:tcPr>
            <w:tcW w:w="4738" w:type="dxa"/>
            <w:shd w:val="clear" w:color="auto" w:fill="FFFFFF"/>
            <w:vAlign w:val="center"/>
          </w:tcPr>
          <w:p w:rsidRPr="00160C23" w:rsidR="00AF36DC" w:rsidP="00AF36DC" w:rsidRDefault="00AF36DC" w14:paraId="25B74436" w14:textId="77777777">
            <w:pPr>
              <w:ind w:left="90"/>
              <w:rPr>
                <w:color w:val="000000" w:themeColor="text1"/>
              </w:rPr>
            </w:pPr>
            <w:r w:rsidRPr="00160C23">
              <w:rPr>
                <w:color w:val="000000" w:themeColor="text1"/>
              </w:rPr>
              <w:t xml:space="preserve">Interviews with Partner Hospital </w:t>
            </w:r>
          </w:p>
          <w:p w:rsidRPr="00160C23" w:rsidR="00AF36DC" w:rsidP="00AF36DC" w:rsidRDefault="00AF36DC" w14:paraId="1DB2D3B3" w14:textId="02C0A34A">
            <w:pPr>
              <w:ind w:left="90"/>
              <w:rPr>
                <w:color w:val="000000" w:themeColor="text1"/>
              </w:rPr>
            </w:pPr>
            <w:r w:rsidRPr="00160C23">
              <w:rPr>
                <w:color w:val="000000" w:themeColor="text1"/>
              </w:rPr>
              <w:t xml:space="preserve">cardiologists </w:t>
            </w:r>
          </w:p>
        </w:tc>
        <w:tc>
          <w:tcPr>
            <w:tcW w:w="3722" w:type="dxa"/>
            <w:shd w:val="clear" w:color="auto" w:fill="FFFFFF"/>
            <w:vAlign w:val="center"/>
          </w:tcPr>
          <w:p w:rsidRPr="00160C23" w:rsidR="00AF36DC" w:rsidP="00AF36DC" w:rsidRDefault="00AF36DC" w14:paraId="70703AFD" w14:textId="3344EEED">
            <w:pPr>
              <w:ind w:left="122"/>
              <w:rPr>
                <w:color w:val="000000" w:themeColor="text1"/>
              </w:rPr>
            </w:pPr>
            <w:r w:rsidRPr="00160C23">
              <w:rPr>
                <w:color w:val="000000" w:themeColor="text1"/>
              </w:rPr>
              <w:t>February 2020 – November 2021</w:t>
            </w:r>
          </w:p>
        </w:tc>
      </w:tr>
      <w:tr w:rsidRPr="00160C23" w:rsidR="00AF36DC" w:rsidTr="000559B1" w14:paraId="314ABD9A" w14:textId="77777777">
        <w:tc>
          <w:tcPr>
            <w:tcW w:w="4738" w:type="dxa"/>
            <w:shd w:val="clear" w:color="auto" w:fill="FFFFFF"/>
          </w:tcPr>
          <w:p w:rsidRPr="00160C23" w:rsidR="00AF36DC" w:rsidP="00AF36DC" w:rsidRDefault="00AF36DC" w14:paraId="1B8F8B5B" w14:textId="5E4BA8B1">
            <w:pPr>
              <w:ind w:left="90"/>
              <w:rPr>
                <w:color w:val="000000" w:themeColor="text1"/>
              </w:rPr>
            </w:pPr>
            <w:r w:rsidRPr="00160C23">
              <w:rPr>
                <w:color w:val="000000" w:themeColor="text1"/>
              </w:rPr>
              <w:t>Interviews with Partner Hospitals that withdraw</w:t>
            </w:r>
          </w:p>
        </w:tc>
        <w:tc>
          <w:tcPr>
            <w:tcW w:w="3722" w:type="dxa"/>
            <w:shd w:val="clear" w:color="auto" w:fill="FFFFFF"/>
          </w:tcPr>
          <w:p w:rsidRPr="00160C23" w:rsidR="00AF36DC" w:rsidP="00AF36DC" w:rsidRDefault="00AF36DC" w14:paraId="6CE1E63E" w14:textId="47618E86">
            <w:pPr>
              <w:ind w:left="122"/>
              <w:rPr>
                <w:color w:val="000000" w:themeColor="text1"/>
              </w:rPr>
            </w:pPr>
            <w:r w:rsidRPr="00160C23">
              <w:rPr>
                <w:color w:val="000000" w:themeColor="text1"/>
              </w:rPr>
              <w:t>February 2020 – September 2021 (as needed)</w:t>
            </w:r>
          </w:p>
        </w:tc>
      </w:tr>
      <w:tr w:rsidRPr="00160C23" w:rsidR="00AF36DC" w:rsidTr="000559B1" w14:paraId="729541A7" w14:textId="77777777">
        <w:tc>
          <w:tcPr>
            <w:tcW w:w="4738" w:type="dxa"/>
            <w:shd w:val="clear" w:color="auto" w:fill="FFFFFF"/>
          </w:tcPr>
          <w:p w:rsidRPr="00160C23" w:rsidR="00AF36DC" w:rsidP="00AF36DC" w:rsidRDefault="00AF36DC" w14:paraId="0347ADF8" w14:textId="2BFCC0DC">
            <w:pPr>
              <w:ind w:left="90"/>
              <w:rPr>
                <w:color w:val="000000" w:themeColor="text1"/>
              </w:rPr>
            </w:pPr>
            <w:r w:rsidRPr="00160C23">
              <w:rPr>
                <w:color w:val="000000" w:themeColor="text1"/>
              </w:rPr>
              <w:t>Memorandum on Partner Hospitals that withdraw</w:t>
            </w:r>
          </w:p>
        </w:tc>
        <w:tc>
          <w:tcPr>
            <w:tcW w:w="3722" w:type="dxa"/>
            <w:shd w:val="clear" w:color="auto" w:fill="FFFFFF"/>
          </w:tcPr>
          <w:p w:rsidRPr="00160C23" w:rsidR="00AF36DC" w:rsidP="00AF36DC" w:rsidRDefault="00AF36DC" w14:paraId="6FE9ACC0" w14:textId="35B0D1BD">
            <w:pPr>
              <w:ind w:left="122"/>
              <w:rPr>
                <w:color w:val="000000" w:themeColor="text1"/>
              </w:rPr>
            </w:pPr>
            <w:r w:rsidRPr="00160C23">
              <w:rPr>
                <w:color w:val="000000" w:themeColor="text1"/>
              </w:rPr>
              <w:t>February 2020 – September 2021 (as needed)</w:t>
            </w:r>
          </w:p>
        </w:tc>
      </w:tr>
      <w:tr w:rsidRPr="00160C23" w:rsidR="00AF36DC" w:rsidTr="000559B1" w14:paraId="3683069B" w14:textId="77777777">
        <w:tc>
          <w:tcPr>
            <w:tcW w:w="4738" w:type="dxa"/>
            <w:shd w:val="clear" w:color="auto" w:fill="FFFFFF"/>
          </w:tcPr>
          <w:p w:rsidRPr="00160C23" w:rsidR="00AF36DC" w:rsidP="00AF36DC" w:rsidRDefault="00AF36DC" w14:paraId="701276BB" w14:textId="0387CD2B">
            <w:pPr>
              <w:ind w:left="90"/>
              <w:rPr>
                <w:color w:val="000000" w:themeColor="text1"/>
              </w:rPr>
            </w:pPr>
            <w:r w:rsidRPr="00160C23">
              <w:rPr>
                <w:color w:val="000000" w:themeColor="text1"/>
              </w:rPr>
              <w:t xml:space="preserve">Collect cardiac rehabilitation referral, enrollment, and retention data from Partner Hospitals </w:t>
            </w:r>
          </w:p>
        </w:tc>
        <w:tc>
          <w:tcPr>
            <w:tcW w:w="3722" w:type="dxa"/>
            <w:shd w:val="clear" w:color="auto" w:fill="FFFFFF"/>
          </w:tcPr>
          <w:p w:rsidRPr="00160C23" w:rsidR="00AF36DC" w:rsidP="00AF36DC" w:rsidRDefault="00AF36DC" w14:paraId="0F61D05C" w14:textId="75A8DD55">
            <w:pPr>
              <w:ind w:left="122"/>
              <w:rPr>
                <w:color w:val="000000" w:themeColor="text1"/>
              </w:rPr>
            </w:pPr>
            <w:r w:rsidRPr="00160C23">
              <w:rPr>
                <w:color w:val="000000" w:themeColor="text1"/>
              </w:rPr>
              <w:t>April 2020 – November 2021 (quarterly)</w:t>
            </w:r>
          </w:p>
        </w:tc>
      </w:tr>
      <w:tr w:rsidRPr="00160C23" w:rsidR="00BB1369" w:rsidTr="000559B1" w14:paraId="7DB276F2" w14:textId="77777777">
        <w:tc>
          <w:tcPr>
            <w:tcW w:w="4738" w:type="dxa"/>
            <w:shd w:val="clear" w:color="auto" w:fill="FFFFFF"/>
          </w:tcPr>
          <w:p w:rsidRPr="00160C23" w:rsidR="00BB1369" w:rsidP="00AF36DC" w:rsidRDefault="00BB1369" w14:paraId="1C4568B8" w14:textId="47343407">
            <w:pPr>
              <w:ind w:left="90"/>
              <w:rPr>
                <w:color w:val="000000" w:themeColor="text1"/>
              </w:rPr>
            </w:pPr>
            <w:r w:rsidRPr="00160C23">
              <w:t>Individualized feedback reports to each reporting hospital</w:t>
            </w:r>
          </w:p>
        </w:tc>
        <w:tc>
          <w:tcPr>
            <w:tcW w:w="3722" w:type="dxa"/>
            <w:shd w:val="clear" w:color="auto" w:fill="FFFFFF"/>
          </w:tcPr>
          <w:p w:rsidRPr="00160C23" w:rsidR="00BB1369" w:rsidP="00AF36DC" w:rsidRDefault="00BB1369" w14:paraId="2DCF1DAE" w14:textId="6D0A805C">
            <w:pPr>
              <w:ind w:left="122"/>
              <w:rPr>
                <w:color w:val="000000" w:themeColor="text1"/>
              </w:rPr>
            </w:pPr>
            <w:r w:rsidRPr="00160C23">
              <w:rPr>
                <w:color w:val="000000" w:themeColor="text1"/>
              </w:rPr>
              <w:t>May 2020 – December 2021 (quarterly)</w:t>
            </w:r>
          </w:p>
        </w:tc>
      </w:tr>
      <w:tr w:rsidRPr="00160C23" w:rsidR="00AF36DC" w:rsidTr="000559B1" w14:paraId="06263696" w14:textId="77777777">
        <w:tc>
          <w:tcPr>
            <w:tcW w:w="4738" w:type="dxa"/>
            <w:shd w:val="clear" w:color="auto" w:fill="FFFFFF"/>
          </w:tcPr>
          <w:p w:rsidRPr="00160C23" w:rsidR="00AF36DC" w:rsidP="00AF36DC" w:rsidRDefault="00AF36DC" w14:paraId="576E203C" w14:textId="0FBB8EE8">
            <w:pPr>
              <w:ind w:left="90"/>
              <w:rPr>
                <w:color w:val="000000" w:themeColor="text1"/>
              </w:rPr>
            </w:pPr>
            <w:r w:rsidRPr="00160C23">
              <w:rPr>
                <w:color w:val="000000" w:themeColor="text1"/>
              </w:rPr>
              <w:t>Annual and Final Reports</w:t>
            </w:r>
          </w:p>
        </w:tc>
        <w:tc>
          <w:tcPr>
            <w:tcW w:w="3722" w:type="dxa"/>
            <w:shd w:val="clear" w:color="auto" w:fill="FFFFFF"/>
          </w:tcPr>
          <w:p w:rsidRPr="00160C23" w:rsidR="00AF36DC" w:rsidP="00AF36DC" w:rsidRDefault="00AF36DC" w14:paraId="36D78C18" w14:textId="06649F92">
            <w:pPr>
              <w:ind w:left="122"/>
              <w:rPr>
                <w:color w:val="000000" w:themeColor="text1"/>
              </w:rPr>
            </w:pPr>
            <w:r w:rsidRPr="00160C23">
              <w:rPr>
                <w:color w:val="000000" w:themeColor="text1"/>
              </w:rPr>
              <w:t>May 2020, May 2021, March 2022</w:t>
            </w:r>
          </w:p>
        </w:tc>
      </w:tr>
      <w:tr w:rsidRPr="00160C23" w:rsidR="00AF36DC" w:rsidTr="000559B1" w14:paraId="075114BD" w14:textId="77777777">
        <w:tc>
          <w:tcPr>
            <w:tcW w:w="4738" w:type="dxa"/>
            <w:shd w:val="clear" w:color="auto" w:fill="FFFFFF"/>
          </w:tcPr>
          <w:p w:rsidRPr="00160C23" w:rsidR="00AF36DC" w:rsidP="00AF36DC" w:rsidRDefault="00AF36DC" w14:paraId="43FC6253" w14:textId="4C953FA5">
            <w:pPr>
              <w:ind w:left="90"/>
              <w:rPr>
                <w:color w:val="000000" w:themeColor="text1"/>
              </w:rPr>
            </w:pPr>
            <w:r w:rsidRPr="00160C23">
              <w:t>Memorandum on Webinar and website statistics</w:t>
            </w:r>
          </w:p>
        </w:tc>
        <w:tc>
          <w:tcPr>
            <w:tcW w:w="3722" w:type="dxa"/>
            <w:shd w:val="clear" w:color="auto" w:fill="FFFFFF"/>
          </w:tcPr>
          <w:p w:rsidRPr="00160C23" w:rsidR="00AF36DC" w:rsidP="00AF36DC" w:rsidRDefault="00AF36DC" w14:paraId="4454E139" w14:textId="14B7847F">
            <w:pPr>
              <w:ind w:left="122"/>
              <w:rPr>
                <w:color w:val="000000" w:themeColor="text1"/>
              </w:rPr>
            </w:pPr>
            <w:r w:rsidRPr="00160C23">
              <w:rPr>
                <w:color w:val="000000" w:themeColor="text1"/>
              </w:rPr>
              <w:t>July 2020, November 2020, May 2021, Jan 2022</w:t>
            </w:r>
          </w:p>
        </w:tc>
      </w:tr>
      <w:tr w:rsidRPr="00160C23" w:rsidR="00AF36DC" w:rsidTr="000559B1" w14:paraId="3FB9F6BF" w14:textId="77777777">
        <w:tc>
          <w:tcPr>
            <w:tcW w:w="4738" w:type="dxa"/>
            <w:shd w:val="clear" w:color="auto" w:fill="FFFFFF"/>
          </w:tcPr>
          <w:p w:rsidRPr="00160C23" w:rsidR="00AF36DC" w:rsidP="00AF36DC" w:rsidRDefault="00AF36DC" w14:paraId="54D6524F" w14:textId="4AA147D7">
            <w:pPr>
              <w:ind w:left="90"/>
              <w:rPr>
                <w:color w:val="000000" w:themeColor="text1"/>
              </w:rPr>
            </w:pPr>
            <w:r w:rsidRPr="00160C23">
              <w:rPr>
                <w:color w:val="000000" w:themeColor="text1"/>
              </w:rPr>
              <w:t xml:space="preserve">Partner Hospital Champion Survey </w:t>
            </w:r>
          </w:p>
        </w:tc>
        <w:tc>
          <w:tcPr>
            <w:tcW w:w="3722" w:type="dxa"/>
            <w:shd w:val="clear" w:color="auto" w:fill="FFFFFF"/>
          </w:tcPr>
          <w:p w:rsidRPr="00160C23" w:rsidR="00AF36DC" w:rsidP="00AF36DC" w:rsidRDefault="00AF36DC" w14:paraId="209FA21A" w14:textId="7F5527E8">
            <w:pPr>
              <w:ind w:left="122"/>
              <w:rPr>
                <w:color w:val="000000" w:themeColor="text1"/>
              </w:rPr>
            </w:pPr>
            <w:r w:rsidRPr="00160C23">
              <w:rPr>
                <w:color w:val="000000" w:themeColor="text1"/>
              </w:rPr>
              <w:t>August 2020, January 2021, June 2021, November 2021</w:t>
            </w:r>
          </w:p>
        </w:tc>
      </w:tr>
      <w:tr w:rsidRPr="00160C23" w:rsidR="00AF36DC" w:rsidTr="000559B1" w14:paraId="7C36C645" w14:textId="77777777">
        <w:tc>
          <w:tcPr>
            <w:tcW w:w="4738" w:type="dxa"/>
            <w:shd w:val="clear" w:color="auto" w:fill="FFFFFF"/>
          </w:tcPr>
          <w:p w:rsidRPr="00160C23" w:rsidR="00AF36DC" w:rsidP="00AF36DC" w:rsidRDefault="00AF36DC" w14:paraId="62DD7F7A" w14:textId="3DC3E497">
            <w:pPr>
              <w:ind w:left="90"/>
              <w:rPr>
                <w:color w:val="000000" w:themeColor="text1"/>
              </w:rPr>
            </w:pPr>
            <w:r w:rsidRPr="00160C23">
              <w:rPr>
                <w:color w:val="000000" w:themeColor="text1"/>
              </w:rPr>
              <w:t>Learning Community Surveys</w:t>
            </w:r>
          </w:p>
        </w:tc>
        <w:tc>
          <w:tcPr>
            <w:tcW w:w="3722" w:type="dxa"/>
            <w:shd w:val="clear" w:color="auto" w:fill="FFFFFF"/>
          </w:tcPr>
          <w:p w:rsidRPr="00160C23" w:rsidR="00AF36DC" w:rsidP="00AF36DC" w:rsidRDefault="00AF36DC" w14:paraId="667045E8" w14:textId="1F253E70">
            <w:pPr>
              <w:ind w:left="122"/>
              <w:rPr>
                <w:color w:val="000000" w:themeColor="text1"/>
              </w:rPr>
            </w:pPr>
            <w:r w:rsidRPr="00160C23">
              <w:rPr>
                <w:color w:val="000000" w:themeColor="text1"/>
              </w:rPr>
              <w:t>September 2020, October 2021</w:t>
            </w:r>
          </w:p>
        </w:tc>
      </w:tr>
      <w:tr w:rsidRPr="00160C23" w:rsidR="00AF36DC" w:rsidTr="00AF36DC" w14:paraId="362E2E9B" w14:textId="77777777">
        <w:tc>
          <w:tcPr>
            <w:tcW w:w="4738" w:type="dxa"/>
            <w:shd w:val="clear" w:color="auto" w:fill="FFFFFF"/>
            <w:vAlign w:val="center"/>
          </w:tcPr>
          <w:p w:rsidRPr="00160C23" w:rsidR="00AF36DC" w:rsidP="00AF36DC" w:rsidRDefault="00AF36DC" w14:paraId="013B1960" w14:textId="520E1219">
            <w:pPr>
              <w:ind w:left="90"/>
              <w:rPr>
                <w:color w:val="000000" w:themeColor="text1"/>
              </w:rPr>
            </w:pPr>
            <w:r w:rsidRPr="00160C23">
              <w:rPr>
                <w:color w:val="000000" w:themeColor="text1"/>
              </w:rPr>
              <w:t xml:space="preserve">Memorandum on </w:t>
            </w:r>
            <w:r w:rsidRPr="00160C23" w:rsidR="00BB1369">
              <w:rPr>
                <w:color w:val="000000" w:themeColor="text1"/>
              </w:rPr>
              <w:t xml:space="preserve">the </w:t>
            </w:r>
            <w:r w:rsidRPr="00160C23">
              <w:rPr>
                <w:color w:val="000000" w:themeColor="text1"/>
              </w:rPr>
              <w:t>Learning Community</w:t>
            </w:r>
          </w:p>
        </w:tc>
        <w:tc>
          <w:tcPr>
            <w:tcW w:w="3722" w:type="dxa"/>
            <w:shd w:val="clear" w:color="auto" w:fill="FFFFFF"/>
            <w:vAlign w:val="center"/>
          </w:tcPr>
          <w:p w:rsidRPr="00160C23" w:rsidR="00AF36DC" w:rsidP="00AF36DC" w:rsidRDefault="00AF36DC" w14:paraId="53491818" w14:textId="094B0B8B">
            <w:pPr>
              <w:ind w:left="122"/>
              <w:rPr>
                <w:color w:val="000000" w:themeColor="text1"/>
              </w:rPr>
            </w:pPr>
            <w:r w:rsidRPr="00160C23">
              <w:rPr>
                <w:color w:val="000000" w:themeColor="text1"/>
              </w:rPr>
              <w:t>November 2020, January 2022</w:t>
            </w:r>
          </w:p>
        </w:tc>
      </w:tr>
      <w:tr w:rsidRPr="00160C23" w:rsidR="00AF36DC" w:rsidTr="000559B1" w14:paraId="3E8111D4" w14:textId="77777777">
        <w:tc>
          <w:tcPr>
            <w:tcW w:w="4738" w:type="dxa"/>
            <w:shd w:val="clear" w:color="auto" w:fill="FFFFFF"/>
          </w:tcPr>
          <w:p w:rsidRPr="00160C23" w:rsidR="00AF36DC" w:rsidP="00AF36DC" w:rsidRDefault="00AF36DC" w14:paraId="7354CA97" w14:textId="629ACBA4">
            <w:pPr>
              <w:ind w:left="90"/>
              <w:rPr>
                <w:color w:val="000000" w:themeColor="text1"/>
              </w:rPr>
            </w:pPr>
            <w:r w:rsidRPr="00160C23">
              <w:rPr>
                <w:color w:val="000000" w:themeColor="text1"/>
              </w:rPr>
              <w:t xml:space="preserve">Interviews with Partner Hospital Champions </w:t>
            </w:r>
          </w:p>
        </w:tc>
        <w:tc>
          <w:tcPr>
            <w:tcW w:w="3722" w:type="dxa"/>
            <w:shd w:val="clear" w:color="auto" w:fill="FFFFFF"/>
          </w:tcPr>
          <w:p w:rsidRPr="00160C23" w:rsidR="00AF36DC" w:rsidP="00AF36DC" w:rsidRDefault="00AF36DC" w14:paraId="1E394129" w14:textId="3CB0DA8E">
            <w:pPr>
              <w:ind w:left="122"/>
              <w:rPr>
                <w:color w:val="000000" w:themeColor="text1"/>
              </w:rPr>
            </w:pPr>
            <w:r w:rsidRPr="00160C23">
              <w:rPr>
                <w:color w:val="000000" w:themeColor="text1"/>
              </w:rPr>
              <w:t>November 2020 – September 2021</w:t>
            </w:r>
          </w:p>
        </w:tc>
      </w:tr>
      <w:tr w:rsidRPr="00160C23" w:rsidR="00AF36DC" w:rsidTr="000559B1" w14:paraId="209812EF" w14:textId="77777777">
        <w:tc>
          <w:tcPr>
            <w:tcW w:w="4738" w:type="dxa"/>
            <w:shd w:val="clear" w:color="auto" w:fill="FFFFFF"/>
          </w:tcPr>
          <w:p w:rsidRPr="00160C23" w:rsidR="00AF36DC" w:rsidP="00AF36DC" w:rsidRDefault="00AF36DC" w14:paraId="3D815695" w14:textId="14E0B482">
            <w:pPr>
              <w:ind w:left="90"/>
              <w:rPr>
                <w:color w:val="000000" w:themeColor="text1"/>
              </w:rPr>
            </w:pPr>
            <w:r w:rsidRPr="00160C23">
              <w:rPr>
                <w:color w:val="000000" w:themeColor="text1"/>
              </w:rPr>
              <w:t xml:space="preserve">Memorandum on Partner Hospitals </w:t>
            </w:r>
          </w:p>
        </w:tc>
        <w:tc>
          <w:tcPr>
            <w:tcW w:w="3722" w:type="dxa"/>
            <w:shd w:val="clear" w:color="auto" w:fill="FFFFFF"/>
          </w:tcPr>
          <w:p w:rsidRPr="00160C23" w:rsidR="00AF36DC" w:rsidP="00AF36DC" w:rsidRDefault="00AF36DC" w14:paraId="25E36B4C" w14:textId="3C82C253">
            <w:pPr>
              <w:ind w:left="122"/>
              <w:rPr>
                <w:color w:val="000000" w:themeColor="text1"/>
              </w:rPr>
            </w:pPr>
            <w:r w:rsidRPr="00160C23">
              <w:rPr>
                <w:color w:val="000000" w:themeColor="text1"/>
              </w:rPr>
              <w:t>August 2020, August 2021</w:t>
            </w:r>
          </w:p>
        </w:tc>
      </w:tr>
    </w:tbl>
    <w:p w:rsidRPr="00160C23" w:rsidR="0013447B" w:rsidP="0013447B" w:rsidRDefault="0013447B" w14:paraId="14154658" w14:textId="77777777">
      <w:pPr>
        <w:spacing w:before="120"/>
      </w:pPr>
    </w:p>
    <w:p w:rsidRPr="00160C23" w:rsidR="0013447B" w:rsidP="0013447B" w:rsidRDefault="0013447B" w14:paraId="0F386873" w14:textId="77777777">
      <w:pPr>
        <w:rPr>
          <w:b/>
          <w:color w:val="000000"/>
        </w:rPr>
      </w:pPr>
      <w:r w:rsidRPr="00160C23">
        <w:rPr>
          <w:b/>
          <w:color w:val="000000"/>
        </w:rPr>
        <w:t>Publication Plan:</w:t>
      </w:r>
    </w:p>
    <w:p w:rsidRPr="00160C23" w:rsidR="0013447B" w:rsidP="0013447B" w:rsidRDefault="0013447B" w14:paraId="020BCC63" w14:textId="7CBF8951">
      <w:pPr>
        <w:adjustRightInd w:val="0"/>
      </w:pPr>
      <w:r w:rsidRPr="00160C23">
        <w:t xml:space="preserve">Study results will be disseminated through a peer-reviewed publication. The final </w:t>
      </w:r>
      <w:r w:rsidRPr="00160C23" w:rsidR="008366BE">
        <w:t xml:space="preserve">materials will </w:t>
      </w:r>
      <w:r w:rsidRPr="00160C23">
        <w:t xml:space="preserve">posted on </w:t>
      </w:r>
      <w:r w:rsidRPr="00160C23" w:rsidR="008366BE">
        <w:t xml:space="preserve">a new website which we will develop for </w:t>
      </w:r>
      <w:r w:rsidRPr="00160C23">
        <w:t xml:space="preserve">AHRQ and disseminated via AHRQ’s Office of Communication and Knowledge Transfer (e.g., e-mails to relevant professional associations and postings on listservs). </w:t>
      </w:r>
    </w:p>
    <w:p w:rsidRPr="00160C23" w:rsidR="009B633D" w:rsidP="009B633D" w:rsidRDefault="009B633D" w14:paraId="2040100D" w14:textId="55F92644">
      <w:pPr>
        <w:pStyle w:val="Heading2"/>
        <w:rPr>
          <w:sz w:val="24"/>
        </w:rPr>
      </w:pPr>
      <w:bookmarkStart w:name="_Toc29459935" w:id="62"/>
      <w:r w:rsidRPr="00160C23">
        <w:rPr>
          <w:sz w:val="24"/>
        </w:rPr>
        <w:t>17. Exemption for Display of Expiration Date</w:t>
      </w:r>
      <w:bookmarkEnd w:id="60"/>
      <w:bookmarkEnd w:id="61"/>
      <w:bookmarkEnd w:id="62"/>
    </w:p>
    <w:p w:rsidRPr="00160C23" w:rsidR="009B633D" w:rsidP="009B633D" w:rsidRDefault="009B633D" w14:paraId="54B48AE1" w14:textId="77777777">
      <w:r w:rsidRPr="00160C23">
        <w:t>AHRQ does not seek this exemption.</w:t>
      </w:r>
    </w:p>
    <w:p w:rsidRPr="00160C23" w:rsidR="00016560" w:rsidP="00450538" w:rsidRDefault="00904CC3" w14:paraId="2D40B082" w14:textId="77777777">
      <w:pPr>
        <w:pStyle w:val="NormalWeb"/>
        <w:rPr>
          <w:rFonts w:ascii="Arial" w:hAnsi="Arial" w:cs="Arial"/>
          <w:b/>
        </w:rPr>
      </w:pPr>
      <w:r w:rsidRPr="00160C23">
        <w:rPr>
          <w:rFonts w:ascii="Arial" w:hAnsi="Arial" w:cs="Arial"/>
          <w:b/>
        </w:rPr>
        <w:t xml:space="preserve">List of </w:t>
      </w:r>
      <w:r w:rsidRPr="00160C23" w:rsidR="00016560">
        <w:rPr>
          <w:rFonts w:ascii="Arial" w:hAnsi="Arial" w:cs="Arial"/>
          <w:b/>
        </w:rPr>
        <w:t>Attachments:</w:t>
      </w:r>
    </w:p>
    <w:p w:rsidRPr="00160C23" w:rsidR="002C539F" w:rsidP="002C539F" w:rsidRDefault="002C539F" w14:paraId="1070BC2F" w14:textId="787BAC92">
      <w:r w:rsidRPr="00160C23">
        <w:t xml:space="preserve">Attachment A – Acronyms </w:t>
      </w:r>
    </w:p>
    <w:p w:rsidRPr="00160C23" w:rsidR="002C539F" w:rsidP="002C539F" w:rsidRDefault="002C539F" w14:paraId="4FF00049" w14:textId="77777777"/>
    <w:p w:rsidRPr="00160C23" w:rsidR="002C539F" w:rsidP="002C539F" w:rsidRDefault="002C539F" w14:paraId="5DBF9186" w14:textId="611C231F">
      <w:r w:rsidRPr="00160C23">
        <w:t>Attachment B – Federal Register Notice</w:t>
      </w:r>
    </w:p>
    <w:p w:rsidRPr="00160C23" w:rsidR="002C539F" w:rsidP="008573ED" w:rsidRDefault="002C539F" w14:paraId="193EB85E" w14:textId="77777777"/>
    <w:p w:rsidRPr="00160C23" w:rsidR="008573ED" w:rsidP="008573ED" w:rsidRDefault="00247465" w14:paraId="25C02BBE" w14:textId="0F7C3B33">
      <w:r w:rsidRPr="00160C23">
        <w:t xml:space="preserve">Attachment </w:t>
      </w:r>
      <w:r w:rsidRPr="00160C23" w:rsidR="002C539F">
        <w:t>C</w:t>
      </w:r>
      <w:r w:rsidRPr="00160C23">
        <w:t xml:space="preserve"> – Partner Hospital Champion Survey</w:t>
      </w:r>
    </w:p>
    <w:p w:rsidRPr="00160C23" w:rsidR="003428CE" w:rsidP="008573ED" w:rsidRDefault="003428CE" w14:paraId="585ADA8F" w14:textId="77777777"/>
    <w:p w:rsidRPr="00160C23" w:rsidR="003428CE" w:rsidP="008573ED" w:rsidRDefault="00247465" w14:paraId="307F852E" w14:textId="3F110531">
      <w:r w:rsidRPr="00160C23">
        <w:t xml:space="preserve">Attachment </w:t>
      </w:r>
      <w:r w:rsidRPr="00160C23" w:rsidR="002C539F">
        <w:t>D</w:t>
      </w:r>
      <w:r w:rsidRPr="00160C23">
        <w:t xml:space="preserve"> – </w:t>
      </w:r>
      <w:r w:rsidRPr="00160C23" w:rsidR="000559B1">
        <w:t>Interviews with Partner Hospital Champions</w:t>
      </w:r>
    </w:p>
    <w:p w:rsidRPr="00160C23" w:rsidR="003428CE" w:rsidP="008573ED" w:rsidRDefault="003428CE" w14:paraId="2724F866" w14:textId="77777777"/>
    <w:p w:rsidRPr="00160C23" w:rsidR="003428CE" w:rsidP="008573ED" w:rsidRDefault="003428CE" w14:paraId="505A2DDB" w14:textId="5C6659DA">
      <w:r w:rsidRPr="00160C23">
        <w:t xml:space="preserve">Attachment </w:t>
      </w:r>
      <w:r w:rsidRPr="00160C23" w:rsidR="002C539F">
        <w:t>E</w:t>
      </w:r>
      <w:r w:rsidRPr="00160C23">
        <w:t xml:space="preserve"> </w:t>
      </w:r>
      <w:r w:rsidRPr="00160C23" w:rsidR="00247465">
        <w:t>– Interviews with Partner Hospital cardiologists</w:t>
      </w:r>
    </w:p>
    <w:p w:rsidRPr="00160C23" w:rsidR="00016560" w:rsidP="007208E0" w:rsidRDefault="00016560" w14:paraId="2E9E0B5E" w14:textId="77777777"/>
    <w:p w:rsidRPr="00160C23" w:rsidR="00A15D49" w:rsidP="007208E0" w:rsidRDefault="003428CE" w14:paraId="0026E2B4" w14:textId="5D91E7E5">
      <w:r w:rsidRPr="00160C23">
        <w:t xml:space="preserve">Attachment </w:t>
      </w:r>
      <w:r w:rsidRPr="00160C23" w:rsidR="002C539F">
        <w:t>F</w:t>
      </w:r>
      <w:r w:rsidRPr="00160C23" w:rsidR="008E4FC9">
        <w:t xml:space="preserve"> </w:t>
      </w:r>
      <w:r w:rsidRPr="00160C23" w:rsidR="00247465">
        <w:t>– Interviews with Partner Hospitals that withdraw</w:t>
      </w:r>
    </w:p>
    <w:p w:rsidRPr="00160C23" w:rsidR="00247465" w:rsidP="007208E0" w:rsidRDefault="00247465" w14:paraId="7B84C395" w14:textId="77777777"/>
    <w:p w:rsidRPr="00160C23" w:rsidR="00247465" w:rsidP="007208E0" w:rsidRDefault="00247465" w14:paraId="2B568B85" w14:textId="6E26148D">
      <w:r w:rsidRPr="00160C23">
        <w:t xml:space="preserve">Attachment </w:t>
      </w:r>
      <w:r w:rsidRPr="00160C23" w:rsidR="00763CD7">
        <w:t>G</w:t>
      </w:r>
      <w:r w:rsidRPr="00160C23">
        <w:t xml:space="preserve"> – Learning Community Participant Survey</w:t>
      </w:r>
    </w:p>
    <w:p w:rsidRPr="00160C23" w:rsidR="00763CD7" w:rsidP="007208E0" w:rsidRDefault="00763CD7" w14:paraId="45EF67AC" w14:textId="77777777"/>
    <w:p w:rsidRPr="00160C23" w:rsidR="000559B1" w:rsidRDefault="00763CD7" w14:paraId="175D98E7" w14:textId="694E0610">
      <w:pPr>
        <w:rPr>
          <w:noProof/>
        </w:rPr>
      </w:pPr>
      <w:r w:rsidRPr="00160C23">
        <w:t>Attachment H – Learning Community Follow-up Survey</w:t>
      </w:r>
      <w:r w:rsidRPr="00160C23" w:rsidR="000559B1">
        <w:br w:type="page"/>
      </w:r>
    </w:p>
    <w:p w:rsidRPr="00160C23" w:rsidR="00DF7AF8" w:rsidP="00DF7AF8" w:rsidRDefault="008546A0" w14:paraId="1976A8EF" w14:textId="4D17712D">
      <w:pPr>
        <w:pStyle w:val="EndNoteBibliography"/>
        <w:ind w:left="720" w:hanging="720"/>
      </w:pPr>
      <w:r w:rsidRPr="00160C23">
        <w:fldChar w:fldCharType="begin"/>
      </w:r>
      <w:r w:rsidRPr="00160C23">
        <w:instrText xml:space="preserve"> ADDIN EN.REFLIST </w:instrText>
      </w:r>
      <w:r w:rsidRPr="00160C23">
        <w:fldChar w:fldCharType="separate"/>
      </w:r>
      <w:r w:rsidRPr="00160C23" w:rsidR="00DF7AF8">
        <w:rPr>
          <w:b/>
        </w:rPr>
        <w:t>1.</w:t>
      </w:r>
      <w:r w:rsidRPr="00160C23" w:rsidR="00DF7AF8">
        <w:tab/>
      </w:r>
      <w:r w:rsidRPr="00160C23" w:rsidR="00752932">
        <w:t>Cardiac Rehabilitation Change Package. Accessed at https://millionhearts.hhs.gov/tools-protocols/action-guides/cardiac-change-package/index.html October 7, 2019. No update date available.</w:t>
      </w:r>
    </w:p>
    <w:p w:rsidRPr="00160C23" w:rsidR="00DF7AF8" w:rsidP="00DF7AF8" w:rsidRDefault="00DF7AF8" w14:paraId="60E2DFB0" w14:textId="77777777">
      <w:pPr>
        <w:pStyle w:val="EndNoteBibliography"/>
        <w:ind w:left="720" w:hanging="720"/>
      </w:pPr>
      <w:r w:rsidRPr="00160C23">
        <w:rPr>
          <w:b/>
        </w:rPr>
        <w:t>2.</w:t>
      </w:r>
      <w:r w:rsidRPr="00160C23">
        <w:tab/>
        <w:t xml:space="preserve">Ades PA, Keteyian SJ, Wright JS, Hamm LF, Lui K, Newlin K, Shepard DS, Thomas RJ. Increasing Cardiac Rehabilitation Participation From 20% to 70%: A Road Map From the Million Hearts Cardiac Rehabilitation Collaborative. </w:t>
      </w:r>
      <w:r w:rsidRPr="00160C23">
        <w:rPr>
          <w:i/>
        </w:rPr>
        <w:t xml:space="preserve">Mayo Clin Proc. </w:t>
      </w:r>
      <w:r w:rsidRPr="00160C23">
        <w:t>2017;92(2):234-242.</w:t>
      </w:r>
    </w:p>
    <w:p w:rsidRPr="00535B56" w:rsidR="000E4044" w:rsidP="00F94B00" w:rsidRDefault="008546A0" w14:paraId="6FB4FABC" w14:textId="4A8DE3D0">
      <w:pPr>
        <w:pStyle w:val="EndnoteText"/>
        <w:tabs>
          <w:tab w:val="left" w:pos="360"/>
          <w:tab w:val="left" w:pos="720"/>
          <w:tab w:val="left" w:pos="1080"/>
          <w:tab w:val="left" w:pos="4680"/>
          <w:tab w:val="left" w:pos="5940"/>
        </w:tabs>
        <w:rPr>
          <w:sz w:val="24"/>
          <w:szCs w:val="24"/>
        </w:rPr>
      </w:pPr>
      <w:r w:rsidRPr="00160C23">
        <w:rPr>
          <w:sz w:val="24"/>
          <w:szCs w:val="24"/>
        </w:rPr>
        <w:fldChar w:fldCharType="end"/>
      </w:r>
    </w:p>
    <w:sectPr w:rsidRPr="00535B56" w:rsidR="000E4044" w:rsidSect="00705510">
      <w:footerReference w:type="even" r:id="rId11"/>
      <w:footerReference w:type="default" r:id="rId12"/>
      <w:endnotePr>
        <w:numFmt w:val="decimal"/>
      </w:endnotePr>
      <w:type w:val="continuous"/>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F1A01" w14:textId="77777777" w:rsidR="00A462A0" w:rsidRDefault="00A462A0">
      <w:r>
        <w:separator/>
      </w:r>
    </w:p>
    <w:p w14:paraId="711AC57F" w14:textId="77777777" w:rsidR="00A462A0" w:rsidRDefault="00A462A0"/>
  </w:endnote>
  <w:endnote w:type="continuationSeparator" w:id="0">
    <w:p w14:paraId="1443C122" w14:textId="77777777" w:rsidR="00A462A0" w:rsidRDefault="00A462A0">
      <w:r>
        <w:continuationSeparator/>
      </w:r>
    </w:p>
    <w:p w14:paraId="521028CE" w14:textId="77777777" w:rsidR="00A462A0" w:rsidRDefault="00A4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F23" w14:textId="77777777" w:rsidR="00A462A0" w:rsidRDefault="00A462A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CCCA5" w14:textId="77777777" w:rsidR="00A462A0" w:rsidRDefault="00A462A0">
    <w:pPr>
      <w:pStyle w:val="Footer"/>
    </w:pPr>
  </w:p>
  <w:p w14:paraId="7B112B34" w14:textId="77777777" w:rsidR="00A462A0" w:rsidRDefault="00A462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F5D0" w14:textId="3403EFFA" w:rsidR="00A462A0" w:rsidRDefault="00A462A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9FF">
      <w:rPr>
        <w:rStyle w:val="PageNumber"/>
        <w:noProof/>
      </w:rPr>
      <w:t>- 18 -</w:t>
    </w:r>
    <w:r>
      <w:rPr>
        <w:rStyle w:val="PageNumber"/>
      </w:rPr>
      <w:fldChar w:fldCharType="end"/>
    </w:r>
  </w:p>
  <w:p w14:paraId="2A82F672" w14:textId="77777777" w:rsidR="00A462A0" w:rsidRDefault="00A462A0">
    <w:pPr>
      <w:pStyle w:val="Footer"/>
    </w:pPr>
  </w:p>
  <w:p w14:paraId="0A7F83A7" w14:textId="77777777" w:rsidR="00A462A0" w:rsidRDefault="00A462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7580" w14:textId="77777777" w:rsidR="00A462A0" w:rsidRDefault="00A462A0">
      <w:r>
        <w:separator/>
      </w:r>
    </w:p>
    <w:p w14:paraId="0C088FAD" w14:textId="77777777" w:rsidR="00A462A0" w:rsidRDefault="00A462A0"/>
  </w:footnote>
  <w:footnote w:type="continuationSeparator" w:id="0">
    <w:p w14:paraId="0CACFC96" w14:textId="77777777" w:rsidR="00A462A0" w:rsidRDefault="00A462A0">
      <w:r>
        <w:continuationSeparator/>
      </w:r>
    </w:p>
    <w:p w14:paraId="76340EC4" w14:textId="77777777" w:rsidR="00A462A0" w:rsidRDefault="00A462A0"/>
  </w:footnote>
  <w:footnote w:id="1">
    <w:p w14:paraId="4F9A86CE" w14:textId="77777777" w:rsidR="00A462A0" w:rsidRPr="00DC513F" w:rsidRDefault="00A462A0" w:rsidP="00DA2C55">
      <w:pPr>
        <w:pStyle w:val="FootnoteText"/>
      </w:pPr>
      <w:r>
        <w:rPr>
          <w:rStyle w:val="FootnoteReference"/>
        </w:rPr>
        <w:footnoteRef/>
      </w:r>
      <w:r>
        <w:t xml:space="preserve"> Hung DY, Harrison, MI, Truong Q, and Du X. E</w:t>
      </w:r>
      <w:r w:rsidRPr="00DC513F">
        <w:t>xperiences of primary care physicians and staff following lean workflow redesign</w:t>
      </w:r>
      <w:r>
        <w:t xml:space="preserve">. </w:t>
      </w:r>
      <w:r>
        <w:rPr>
          <w:i/>
        </w:rPr>
        <w:t>BMC Health Services Research</w:t>
      </w:r>
      <w:r>
        <w:t xml:space="preserve"> (2018) 18:274.</w:t>
      </w:r>
    </w:p>
  </w:footnote>
  <w:footnote w:id="2">
    <w:p w14:paraId="76325B6F" w14:textId="77777777" w:rsidR="00A462A0" w:rsidRDefault="00A462A0" w:rsidP="00DA2C55">
      <w:pPr>
        <w:pStyle w:val="FootnoteText"/>
      </w:pPr>
      <w:r>
        <w:rPr>
          <w:rStyle w:val="FootnoteReference"/>
        </w:rPr>
        <w:footnoteRef/>
      </w:r>
      <w:r>
        <w:t xml:space="preserve"> </w:t>
      </w:r>
      <w:r w:rsidRPr="00400D71">
        <w:t>Legewie N. An Introduction to Applied Data Analysis with Qualitative Comparative Analysis (QCA). Forum: Qualitative Social Research. 2013;14(3):Article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572"/>
    <w:multiLevelType w:val="multilevel"/>
    <w:tmpl w:val="E18EB7AE"/>
    <w:lvl w:ilvl="0">
      <w:start w:val="1"/>
      <w:numFmt w:val="decimal"/>
      <w:lvlText w:val="%1"/>
      <w:lvlJc w:val="left"/>
      <w:pPr>
        <w:ind w:left="432" w:hanging="432"/>
      </w:pPr>
    </w:lvl>
    <w:lvl w:ilvl="1">
      <w:start w:val="1"/>
      <w:numFmt w:val="decimal"/>
      <w:lvlText w:val="%1.%2"/>
      <w:lvlJc w:val="left"/>
      <w:pPr>
        <w:ind w:left="576" w:hanging="576"/>
      </w:pPr>
      <w:rPr>
        <w:color w:val="C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0988"/>
    <w:multiLevelType w:val="hybridMultilevel"/>
    <w:tmpl w:val="90C0A6E8"/>
    <w:lvl w:ilvl="0" w:tplc="C55CF63E">
      <w:numFmt w:val="bullet"/>
      <w:pStyle w:val="Tabletextbullets"/>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86D0E"/>
    <w:multiLevelType w:val="hybridMultilevel"/>
    <w:tmpl w:val="AFF84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E81199"/>
    <w:multiLevelType w:val="hybridMultilevel"/>
    <w:tmpl w:val="3676C40E"/>
    <w:lvl w:ilvl="0" w:tplc="97869B4A">
      <w:numFmt w:val="bullet"/>
      <w:lvlText w:val="•"/>
      <w:lvlJc w:val="left"/>
      <w:pPr>
        <w:ind w:left="1080" w:hanging="720"/>
      </w:pPr>
      <w:rPr>
        <w:rFonts w:ascii="Times New Roman" w:eastAsia="Times New Roman" w:hAnsi="Times New Roman" w:cs="Times New Roman" w:hint="default"/>
      </w:rPr>
    </w:lvl>
    <w:lvl w:ilvl="1" w:tplc="BE287F3C">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2637"/>
    <w:multiLevelType w:val="hybridMultilevel"/>
    <w:tmpl w:val="8A22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534E48"/>
    <w:multiLevelType w:val="hybridMultilevel"/>
    <w:tmpl w:val="9D02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54AE"/>
    <w:multiLevelType w:val="hybridMultilevel"/>
    <w:tmpl w:val="4CC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6030E"/>
    <w:multiLevelType w:val="hybridMultilevel"/>
    <w:tmpl w:val="A2C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376E"/>
    <w:multiLevelType w:val="hybridMultilevel"/>
    <w:tmpl w:val="74404166"/>
    <w:lvl w:ilvl="0" w:tplc="97869B4A">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115B3"/>
    <w:multiLevelType w:val="hybridMultilevel"/>
    <w:tmpl w:val="6F663D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E7561D"/>
    <w:multiLevelType w:val="hybridMultilevel"/>
    <w:tmpl w:val="A88A4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16657B"/>
    <w:multiLevelType w:val="hybridMultilevel"/>
    <w:tmpl w:val="E976E758"/>
    <w:lvl w:ilvl="0" w:tplc="386291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25AC4"/>
    <w:multiLevelType w:val="hybridMultilevel"/>
    <w:tmpl w:val="D738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1E4241"/>
    <w:multiLevelType w:val="hybridMultilevel"/>
    <w:tmpl w:val="ECBA1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05A13"/>
    <w:multiLevelType w:val="hybridMultilevel"/>
    <w:tmpl w:val="C140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862C8"/>
    <w:multiLevelType w:val="hybridMultilevel"/>
    <w:tmpl w:val="CFD25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A092B"/>
    <w:multiLevelType w:val="hybridMultilevel"/>
    <w:tmpl w:val="C9E855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31012"/>
    <w:multiLevelType w:val="hybridMultilevel"/>
    <w:tmpl w:val="84DC8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30C3F"/>
    <w:multiLevelType w:val="hybridMultilevel"/>
    <w:tmpl w:val="FF1697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46CC9"/>
    <w:multiLevelType w:val="hybridMultilevel"/>
    <w:tmpl w:val="9D02F5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9D16E9"/>
    <w:multiLevelType w:val="hybridMultilevel"/>
    <w:tmpl w:val="48C4E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D4802"/>
    <w:multiLevelType w:val="hybridMultilevel"/>
    <w:tmpl w:val="A9885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B6E0B"/>
    <w:multiLevelType w:val="hybridMultilevel"/>
    <w:tmpl w:val="BFBE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15:restartNumberingAfterBreak="0">
    <w:nsid w:val="68BD5704"/>
    <w:multiLevelType w:val="hybridMultilevel"/>
    <w:tmpl w:val="EB26C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07F56"/>
    <w:multiLevelType w:val="hybridMultilevel"/>
    <w:tmpl w:val="A41EA77C"/>
    <w:lvl w:ilvl="0" w:tplc="04090005">
      <w:start w:val="1"/>
      <w:numFmt w:val="bullet"/>
      <w:lvlText w:val=""/>
      <w:lvlJc w:val="left"/>
      <w:pPr>
        <w:ind w:left="381" w:hanging="360"/>
      </w:pPr>
      <w:rPr>
        <w:rFonts w:ascii="Wingdings" w:hAnsi="Wingdings"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33" w15:restartNumberingAfterBreak="0">
    <w:nsid w:val="7AD63DA6"/>
    <w:multiLevelType w:val="singleLevel"/>
    <w:tmpl w:val="CD34EBDE"/>
    <w:lvl w:ilvl="0">
      <w:start w:val="1"/>
      <w:numFmt w:val="bullet"/>
      <w:pStyle w:val="Bullets"/>
      <w:lvlText w:val=""/>
      <w:lvlJc w:val="left"/>
      <w:pPr>
        <w:ind w:left="360" w:hanging="360"/>
      </w:pPr>
      <w:rPr>
        <w:rFonts w:ascii="Symbol" w:hAnsi="Symbol" w:hint="default"/>
        <w:color w:val="DA291C"/>
        <w:sz w:val="22"/>
      </w:rPr>
    </w:lvl>
  </w:abstractNum>
  <w:abstractNum w:abstractNumId="34" w15:restartNumberingAfterBreak="0">
    <w:nsid w:val="7AFE25AF"/>
    <w:multiLevelType w:val="hybridMultilevel"/>
    <w:tmpl w:val="42F637FC"/>
    <w:lvl w:ilvl="0" w:tplc="38629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831E4"/>
    <w:multiLevelType w:val="hybridMultilevel"/>
    <w:tmpl w:val="4E08E470"/>
    <w:lvl w:ilvl="0" w:tplc="0409000F">
      <w:start w:val="1"/>
      <w:numFmt w:val="decimal"/>
      <w:lvlText w:val="%1."/>
      <w:lvlJc w:val="left"/>
      <w:pPr>
        <w:ind w:left="1080" w:hanging="720"/>
      </w:pPr>
      <w:rPr>
        <w:rFonts w:hint="default"/>
      </w:rPr>
    </w:lvl>
    <w:lvl w:ilvl="1" w:tplc="BE287F3C">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BA8627A8">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961FD"/>
    <w:multiLevelType w:val="hybridMultilevel"/>
    <w:tmpl w:val="B8F2C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37"/>
  </w:num>
  <w:num w:numId="2">
    <w:abstractNumId w:val="29"/>
  </w:num>
  <w:num w:numId="3">
    <w:abstractNumId w:val="27"/>
  </w:num>
  <w:num w:numId="4">
    <w:abstractNumId w:val="25"/>
  </w:num>
  <w:num w:numId="5">
    <w:abstractNumId w:val="1"/>
  </w:num>
  <w:num w:numId="6">
    <w:abstractNumId w:val="5"/>
  </w:num>
  <w:num w:numId="7">
    <w:abstractNumId w:val="22"/>
  </w:num>
  <w:num w:numId="8">
    <w:abstractNumId w:val="31"/>
  </w:num>
  <w:num w:numId="9">
    <w:abstractNumId w:val="4"/>
  </w:num>
  <w:num w:numId="10">
    <w:abstractNumId w:val="10"/>
  </w:num>
  <w:num w:numId="11">
    <w:abstractNumId w:val="35"/>
  </w:num>
  <w:num w:numId="12">
    <w:abstractNumId w:val="30"/>
  </w:num>
  <w:num w:numId="13">
    <w:abstractNumId w:val="28"/>
  </w:num>
  <w:num w:numId="14">
    <w:abstractNumId w:val="33"/>
  </w:num>
  <w:num w:numId="15">
    <w:abstractNumId w:val="6"/>
  </w:num>
  <w:num w:numId="16">
    <w:abstractNumId w:val="21"/>
  </w:num>
  <w:num w:numId="17">
    <w:abstractNumId w:val="32"/>
  </w:num>
  <w:num w:numId="18">
    <w:abstractNumId w:val="36"/>
  </w:num>
  <w:num w:numId="19">
    <w:abstractNumId w:val="15"/>
  </w:num>
  <w:num w:numId="20">
    <w:abstractNumId w:val="12"/>
  </w:num>
  <w:num w:numId="21">
    <w:abstractNumId w:val="17"/>
  </w:num>
  <w:num w:numId="22">
    <w:abstractNumId w:val="26"/>
  </w:num>
  <w:num w:numId="23">
    <w:abstractNumId w:val="19"/>
  </w:num>
  <w:num w:numId="24">
    <w:abstractNumId w:val="11"/>
  </w:num>
  <w:num w:numId="25">
    <w:abstractNumId w:val="34"/>
  </w:num>
  <w:num w:numId="26">
    <w:abstractNumId w:val="13"/>
  </w:num>
  <w:num w:numId="27">
    <w:abstractNumId w:val="23"/>
  </w:num>
  <w:num w:numId="28">
    <w:abstractNumId w:val="9"/>
  </w:num>
  <w:num w:numId="29">
    <w:abstractNumId w:val="8"/>
  </w:num>
  <w:num w:numId="30">
    <w:abstractNumId w:val="20"/>
  </w:num>
  <w:num w:numId="31">
    <w:abstractNumId w:val="18"/>
  </w:num>
  <w:num w:numId="32">
    <w:abstractNumId w:val="16"/>
  </w:num>
  <w:num w:numId="33">
    <w:abstractNumId w:val="24"/>
  </w:num>
  <w:num w:numId="34">
    <w:abstractNumId w:val="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
  </w:num>
  <w:num w:numId="38">
    <w:abstractNumId w:val="7"/>
  </w:num>
  <w:num w:numId="3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rchives Gen Psy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2xfe50br95xre0ft2v2zp4e0dttwxd5rfa&quot;&gt;CardiacRehab&lt;record-ids&gt;&lt;item&gt;5&lt;/item&gt;&lt;item&gt;44&lt;/item&gt;&lt;/record-ids&gt;&lt;/item&gt;&lt;/Libraries&gt;"/>
  </w:docVars>
  <w:rsids>
    <w:rsidRoot w:val="00873F74"/>
    <w:rsid w:val="000055ED"/>
    <w:rsid w:val="00011E68"/>
    <w:rsid w:val="00011E85"/>
    <w:rsid w:val="00012921"/>
    <w:rsid w:val="00012FB9"/>
    <w:rsid w:val="00015AAF"/>
    <w:rsid w:val="00016560"/>
    <w:rsid w:val="00024FEE"/>
    <w:rsid w:val="00033301"/>
    <w:rsid w:val="00037998"/>
    <w:rsid w:val="00043473"/>
    <w:rsid w:val="00045959"/>
    <w:rsid w:val="00046359"/>
    <w:rsid w:val="00050C27"/>
    <w:rsid w:val="000559B1"/>
    <w:rsid w:val="0006207D"/>
    <w:rsid w:val="0006722B"/>
    <w:rsid w:val="00070096"/>
    <w:rsid w:val="000769F7"/>
    <w:rsid w:val="000779A9"/>
    <w:rsid w:val="000810AE"/>
    <w:rsid w:val="00082047"/>
    <w:rsid w:val="00094648"/>
    <w:rsid w:val="000A025B"/>
    <w:rsid w:val="000A0975"/>
    <w:rsid w:val="000A140E"/>
    <w:rsid w:val="000A3475"/>
    <w:rsid w:val="000A6E87"/>
    <w:rsid w:val="000A733C"/>
    <w:rsid w:val="000B0A7A"/>
    <w:rsid w:val="000B3C48"/>
    <w:rsid w:val="000B78CB"/>
    <w:rsid w:val="000B7EBE"/>
    <w:rsid w:val="000D429E"/>
    <w:rsid w:val="000E01D1"/>
    <w:rsid w:val="000E3310"/>
    <w:rsid w:val="000E4044"/>
    <w:rsid w:val="000E4300"/>
    <w:rsid w:val="000F0555"/>
    <w:rsid w:val="000F1328"/>
    <w:rsid w:val="000F2B59"/>
    <w:rsid w:val="00110577"/>
    <w:rsid w:val="00112DF2"/>
    <w:rsid w:val="001143F6"/>
    <w:rsid w:val="00120A0C"/>
    <w:rsid w:val="00124007"/>
    <w:rsid w:val="00124917"/>
    <w:rsid w:val="001301AA"/>
    <w:rsid w:val="00131443"/>
    <w:rsid w:val="00133B65"/>
    <w:rsid w:val="0013447B"/>
    <w:rsid w:val="00141CA9"/>
    <w:rsid w:val="00146217"/>
    <w:rsid w:val="00147C22"/>
    <w:rsid w:val="00160C23"/>
    <w:rsid w:val="001659FF"/>
    <w:rsid w:val="00166A69"/>
    <w:rsid w:val="00171E7C"/>
    <w:rsid w:val="0017605B"/>
    <w:rsid w:val="0017737F"/>
    <w:rsid w:val="001864C2"/>
    <w:rsid w:val="001868E0"/>
    <w:rsid w:val="00187A50"/>
    <w:rsid w:val="001A0694"/>
    <w:rsid w:val="001A09D2"/>
    <w:rsid w:val="001A1C0D"/>
    <w:rsid w:val="001A1CA6"/>
    <w:rsid w:val="001A28C0"/>
    <w:rsid w:val="001A6DAD"/>
    <w:rsid w:val="001B1C61"/>
    <w:rsid w:val="001B21B9"/>
    <w:rsid w:val="001C59E4"/>
    <w:rsid w:val="001D6F61"/>
    <w:rsid w:val="001E38D4"/>
    <w:rsid w:val="001E63C6"/>
    <w:rsid w:val="001E778B"/>
    <w:rsid w:val="001F05F9"/>
    <w:rsid w:val="001F7349"/>
    <w:rsid w:val="002012BC"/>
    <w:rsid w:val="00204509"/>
    <w:rsid w:val="00205C64"/>
    <w:rsid w:val="00211E70"/>
    <w:rsid w:val="002144FC"/>
    <w:rsid w:val="0022366A"/>
    <w:rsid w:val="0023347D"/>
    <w:rsid w:val="00233AC5"/>
    <w:rsid w:val="00244B59"/>
    <w:rsid w:val="00246AD7"/>
    <w:rsid w:val="00247465"/>
    <w:rsid w:val="0025037D"/>
    <w:rsid w:val="00261E03"/>
    <w:rsid w:val="0026424E"/>
    <w:rsid w:val="00272E29"/>
    <w:rsid w:val="00291B73"/>
    <w:rsid w:val="0029620E"/>
    <w:rsid w:val="0029734C"/>
    <w:rsid w:val="002A17C1"/>
    <w:rsid w:val="002A4A1E"/>
    <w:rsid w:val="002A63BB"/>
    <w:rsid w:val="002B382B"/>
    <w:rsid w:val="002B7635"/>
    <w:rsid w:val="002C539F"/>
    <w:rsid w:val="002C7D07"/>
    <w:rsid w:val="002D41A1"/>
    <w:rsid w:val="002D72A3"/>
    <w:rsid w:val="002E1DAC"/>
    <w:rsid w:val="002E1F67"/>
    <w:rsid w:val="002E54EF"/>
    <w:rsid w:val="002E7031"/>
    <w:rsid w:val="002F49EC"/>
    <w:rsid w:val="002F4DE8"/>
    <w:rsid w:val="002F5B12"/>
    <w:rsid w:val="00303366"/>
    <w:rsid w:val="003068BA"/>
    <w:rsid w:val="00306D75"/>
    <w:rsid w:val="00311394"/>
    <w:rsid w:val="00320A7D"/>
    <w:rsid w:val="00321BF6"/>
    <w:rsid w:val="00323D9E"/>
    <w:rsid w:val="00325B9C"/>
    <w:rsid w:val="003270FA"/>
    <w:rsid w:val="0033343C"/>
    <w:rsid w:val="00340D97"/>
    <w:rsid w:val="003428CE"/>
    <w:rsid w:val="0034325D"/>
    <w:rsid w:val="00350E4E"/>
    <w:rsid w:val="00361F52"/>
    <w:rsid w:val="00365B7B"/>
    <w:rsid w:val="0037254D"/>
    <w:rsid w:val="00373370"/>
    <w:rsid w:val="0037427A"/>
    <w:rsid w:val="003759DB"/>
    <w:rsid w:val="00375E6A"/>
    <w:rsid w:val="00377301"/>
    <w:rsid w:val="0037771B"/>
    <w:rsid w:val="0038217D"/>
    <w:rsid w:val="00384B88"/>
    <w:rsid w:val="00387C99"/>
    <w:rsid w:val="00390DE5"/>
    <w:rsid w:val="0039630A"/>
    <w:rsid w:val="003A0672"/>
    <w:rsid w:val="003B2951"/>
    <w:rsid w:val="003B5859"/>
    <w:rsid w:val="003B6B41"/>
    <w:rsid w:val="003C60BD"/>
    <w:rsid w:val="003D21A7"/>
    <w:rsid w:val="003D3937"/>
    <w:rsid w:val="003D73D8"/>
    <w:rsid w:val="003E2801"/>
    <w:rsid w:val="003E3B22"/>
    <w:rsid w:val="003E3CA1"/>
    <w:rsid w:val="003E70E3"/>
    <w:rsid w:val="003F5921"/>
    <w:rsid w:val="00403C04"/>
    <w:rsid w:val="00411454"/>
    <w:rsid w:val="0041433A"/>
    <w:rsid w:val="00414C80"/>
    <w:rsid w:val="00415543"/>
    <w:rsid w:val="004155E1"/>
    <w:rsid w:val="0042071B"/>
    <w:rsid w:val="00422E49"/>
    <w:rsid w:val="00425974"/>
    <w:rsid w:val="0043596B"/>
    <w:rsid w:val="00436970"/>
    <w:rsid w:val="00443427"/>
    <w:rsid w:val="00446F74"/>
    <w:rsid w:val="0044769A"/>
    <w:rsid w:val="00450538"/>
    <w:rsid w:val="00452268"/>
    <w:rsid w:val="00454448"/>
    <w:rsid w:val="00456179"/>
    <w:rsid w:val="004670C2"/>
    <w:rsid w:val="00467163"/>
    <w:rsid w:val="0046731D"/>
    <w:rsid w:val="0047504D"/>
    <w:rsid w:val="00480523"/>
    <w:rsid w:val="004807AA"/>
    <w:rsid w:val="004811AD"/>
    <w:rsid w:val="00483267"/>
    <w:rsid w:val="00490AA7"/>
    <w:rsid w:val="00491842"/>
    <w:rsid w:val="00494C7A"/>
    <w:rsid w:val="004A4612"/>
    <w:rsid w:val="004A624D"/>
    <w:rsid w:val="004B3C31"/>
    <w:rsid w:val="004B598D"/>
    <w:rsid w:val="004C082F"/>
    <w:rsid w:val="004C3BA7"/>
    <w:rsid w:val="004C4A74"/>
    <w:rsid w:val="004D0770"/>
    <w:rsid w:val="004D1BAB"/>
    <w:rsid w:val="004D4C79"/>
    <w:rsid w:val="004E0EC8"/>
    <w:rsid w:val="004E16F6"/>
    <w:rsid w:val="004E3A1B"/>
    <w:rsid w:val="004E6323"/>
    <w:rsid w:val="004F5105"/>
    <w:rsid w:val="00501308"/>
    <w:rsid w:val="0050172B"/>
    <w:rsid w:val="00502316"/>
    <w:rsid w:val="005033A0"/>
    <w:rsid w:val="00510909"/>
    <w:rsid w:val="00510D42"/>
    <w:rsid w:val="00520CE0"/>
    <w:rsid w:val="0052715A"/>
    <w:rsid w:val="00527BBD"/>
    <w:rsid w:val="00531857"/>
    <w:rsid w:val="00532EA4"/>
    <w:rsid w:val="00535B56"/>
    <w:rsid w:val="00554C96"/>
    <w:rsid w:val="00555BFE"/>
    <w:rsid w:val="00556066"/>
    <w:rsid w:val="0056102D"/>
    <w:rsid w:val="0056238F"/>
    <w:rsid w:val="00564A89"/>
    <w:rsid w:val="00566187"/>
    <w:rsid w:val="00575640"/>
    <w:rsid w:val="00581FD2"/>
    <w:rsid w:val="0058724A"/>
    <w:rsid w:val="00587CA4"/>
    <w:rsid w:val="00593E67"/>
    <w:rsid w:val="005A3A42"/>
    <w:rsid w:val="005B032B"/>
    <w:rsid w:val="005B2955"/>
    <w:rsid w:val="005B3C01"/>
    <w:rsid w:val="005B62CF"/>
    <w:rsid w:val="005B6FAA"/>
    <w:rsid w:val="005B715B"/>
    <w:rsid w:val="005C07BE"/>
    <w:rsid w:val="005D267C"/>
    <w:rsid w:val="005D2974"/>
    <w:rsid w:val="005D5E42"/>
    <w:rsid w:val="005E49B8"/>
    <w:rsid w:val="005F45ED"/>
    <w:rsid w:val="005F4B12"/>
    <w:rsid w:val="005F6A99"/>
    <w:rsid w:val="005F7411"/>
    <w:rsid w:val="0060047D"/>
    <w:rsid w:val="006014DB"/>
    <w:rsid w:val="00602C8A"/>
    <w:rsid w:val="00604437"/>
    <w:rsid w:val="00606400"/>
    <w:rsid w:val="00607068"/>
    <w:rsid w:val="00613C05"/>
    <w:rsid w:val="00620B93"/>
    <w:rsid w:val="006217E5"/>
    <w:rsid w:val="006258C3"/>
    <w:rsid w:val="00625C1B"/>
    <w:rsid w:val="00626D1D"/>
    <w:rsid w:val="00631C81"/>
    <w:rsid w:val="00635119"/>
    <w:rsid w:val="00636A0C"/>
    <w:rsid w:val="00644F76"/>
    <w:rsid w:val="00645DDD"/>
    <w:rsid w:val="0064661E"/>
    <w:rsid w:val="00647A2C"/>
    <w:rsid w:val="00650CFA"/>
    <w:rsid w:val="00655A17"/>
    <w:rsid w:val="00656BC6"/>
    <w:rsid w:val="00673146"/>
    <w:rsid w:val="00673643"/>
    <w:rsid w:val="006750B0"/>
    <w:rsid w:val="006823A7"/>
    <w:rsid w:val="006A11ED"/>
    <w:rsid w:val="006A28E1"/>
    <w:rsid w:val="006A4752"/>
    <w:rsid w:val="006A49F0"/>
    <w:rsid w:val="006A4D4E"/>
    <w:rsid w:val="006A7F99"/>
    <w:rsid w:val="006B1231"/>
    <w:rsid w:val="006B5615"/>
    <w:rsid w:val="006C45D0"/>
    <w:rsid w:val="006C58B4"/>
    <w:rsid w:val="006D0FC6"/>
    <w:rsid w:val="006D154C"/>
    <w:rsid w:val="006D1C5E"/>
    <w:rsid w:val="0070072D"/>
    <w:rsid w:val="0070234A"/>
    <w:rsid w:val="00703383"/>
    <w:rsid w:val="00703573"/>
    <w:rsid w:val="00704586"/>
    <w:rsid w:val="00705348"/>
    <w:rsid w:val="00705510"/>
    <w:rsid w:val="007109B1"/>
    <w:rsid w:val="00710C91"/>
    <w:rsid w:val="0071553A"/>
    <w:rsid w:val="0071664F"/>
    <w:rsid w:val="007208E0"/>
    <w:rsid w:val="00723075"/>
    <w:rsid w:val="0072770B"/>
    <w:rsid w:val="00732422"/>
    <w:rsid w:val="00733931"/>
    <w:rsid w:val="00744466"/>
    <w:rsid w:val="00744D19"/>
    <w:rsid w:val="00747A7E"/>
    <w:rsid w:val="00747D2F"/>
    <w:rsid w:val="00751CDB"/>
    <w:rsid w:val="00752932"/>
    <w:rsid w:val="00752EA8"/>
    <w:rsid w:val="00754AF7"/>
    <w:rsid w:val="00756351"/>
    <w:rsid w:val="00760D73"/>
    <w:rsid w:val="00762222"/>
    <w:rsid w:val="00762CE3"/>
    <w:rsid w:val="00763CD7"/>
    <w:rsid w:val="00765D1A"/>
    <w:rsid w:val="007700A7"/>
    <w:rsid w:val="007721F3"/>
    <w:rsid w:val="00776654"/>
    <w:rsid w:val="00777791"/>
    <w:rsid w:val="007A265C"/>
    <w:rsid w:val="007A31C4"/>
    <w:rsid w:val="007B0CF3"/>
    <w:rsid w:val="007B3A8E"/>
    <w:rsid w:val="007C1ECB"/>
    <w:rsid w:val="007C2CDB"/>
    <w:rsid w:val="007D012D"/>
    <w:rsid w:val="007D1B1D"/>
    <w:rsid w:val="007D4F9F"/>
    <w:rsid w:val="007D725B"/>
    <w:rsid w:val="007E0697"/>
    <w:rsid w:val="007E384A"/>
    <w:rsid w:val="007E4359"/>
    <w:rsid w:val="007F21D5"/>
    <w:rsid w:val="007F2A23"/>
    <w:rsid w:val="008015C1"/>
    <w:rsid w:val="00804AF8"/>
    <w:rsid w:val="0080612B"/>
    <w:rsid w:val="0080710D"/>
    <w:rsid w:val="00811735"/>
    <w:rsid w:val="0081180A"/>
    <w:rsid w:val="00812F09"/>
    <w:rsid w:val="00817DA0"/>
    <w:rsid w:val="00822681"/>
    <w:rsid w:val="00825DA9"/>
    <w:rsid w:val="0082687A"/>
    <w:rsid w:val="0083145C"/>
    <w:rsid w:val="008363B9"/>
    <w:rsid w:val="008366BE"/>
    <w:rsid w:val="00841047"/>
    <w:rsid w:val="008450C0"/>
    <w:rsid w:val="00854533"/>
    <w:rsid w:val="008546A0"/>
    <w:rsid w:val="008573ED"/>
    <w:rsid w:val="0085767D"/>
    <w:rsid w:val="00861E61"/>
    <w:rsid w:val="008628B0"/>
    <w:rsid w:val="00872A7A"/>
    <w:rsid w:val="00873F74"/>
    <w:rsid w:val="0087618C"/>
    <w:rsid w:val="00880DFE"/>
    <w:rsid w:val="00885B4B"/>
    <w:rsid w:val="00886D2E"/>
    <w:rsid w:val="00887F65"/>
    <w:rsid w:val="00891699"/>
    <w:rsid w:val="00892655"/>
    <w:rsid w:val="0089365B"/>
    <w:rsid w:val="00895E9D"/>
    <w:rsid w:val="00896548"/>
    <w:rsid w:val="008A003B"/>
    <w:rsid w:val="008A20F7"/>
    <w:rsid w:val="008A30B9"/>
    <w:rsid w:val="008B593F"/>
    <w:rsid w:val="008C41A7"/>
    <w:rsid w:val="008C580E"/>
    <w:rsid w:val="008D028E"/>
    <w:rsid w:val="008D798B"/>
    <w:rsid w:val="008E1394"/>
    <w:rsid w:val="008E4FC9"/>
    <w:rsid w:val="008E567E"/>
    <w:rsid w:val="008F0B8B"/>
    <w:rsid w:val="00904CC3"/>
    <w:rsid w:val="00922272"/>
    <w:rsid w:val="00922339"/>
    <w:rsid w:val="00932DB4"/>
    <w:rsid w:val="00934D8B"/>
    <w:rsid w:val="009374DF"/>
    <w:rsid w:val="00955553"/>
    <w:rsid w:val="009706DB"/>
    <w:rsid w:val="009746A1"/>
    <w:rsid w:val="0097628E"/>
    <w:rsid w:val="00993162"/>
    <w:rsid w:val="009943E2"/>
    <w:rsid w:val="009943E4"/>
    <w:rsid w:val="00994C16"/>
    <w:rsid w:val="0099646C"/>
    <w:rsid w:val="00996C3B"/>
    <w:rsid w:val="009A01E1"/>
    <w:rsid w:val="009A1E67"/>
    <w:rsid w:val="009A237A"/>
    <w:rsid w:val="009A49A7"/>
    <w:rsid w:val="009B18CA"/>
    <w:rsid w:val="009B3622"/>
    <w:rsid w:val="009B4BFB"/>
    <w:rsid w:val="009B633D"/>
    <w:rsid w:val="009C4881"/>
    <w:rsid w:val="009D3DBB"/>
    <w:rsid w:val="009E2CBB"/>
    <w:rsid w:val="009E6CF8"/>
    <w:rsid w:val="009F299E"/>
    <w:rsid w:val="009F43EA"/>
    <w:rsid w:val="009F4779"/>
    <w:rsid w:val="009F597D"/>
    <w:rsid w:val="00A01E41"/>
    <w:rsid w:val="00A10C77"/>
    <w:rsid w:val="00A13D8D"/>
    <w:rsid w:val="00A15D49"/>
    <w:rsid w:val="00A15EE4"/>
    <w:rsid w:val="00A160E5"/>
    <w:rsid w:val="00A20751"/>
    <w:rsid w:val="00A30D9A"/>
    <w:rsid w:val="00A37DDE"/>
    <w:rsid w:val="00A4462D"/>
    <w:rsid w:val="00A44855"/>
    <w:rsid w:val="00A462A0"/>
    <w:rsid w:val="00A4694A"/>
    <w:rsid w:val="00A64E80"/>
    <w:rsid w:val="00A65884"/>
    <w:rsid w:val="00A76B2B"/>
    <w:rsid w:val="00A76E0A"/>
    <w:rsid w:val="00A777E1"/>
    <w:rsid w:val="00A835E4"/>
    <w:rsid w:val="00A905D8"/>
    <w:rsid w:val="00A94219"/>
    <w:rsid w:val="00AA0B6B"/>
    <w:rsid w:val="00AA1DDC"/>
    <w:rsid w:val="00AA3F0B"/>
    <w:rsid w:val="00AA4B28"/>
    <w:rsid w:val="00AA788A"/>
    <w:rsid w:val="00AB1EB8"/>
    <w:rsid w:val="00AC36AF"/>
    <w:rsid w:val="00AC3D99"/>
    <w:rsid w:val="00AC5C8E"/>
    <w:rsid w:val="00AD38AF"/>
    <w:rsid w:val="00AD6516"/>
    <w:rsid w:val="00AE4551"/>
    <w:rsid w:val="00AE4702"/>
    <w:rsid w:val="00AF36DC"/>
    <w:rsid w:val="00AF61FD"/>
    <w:rsid w:val="00B238AD"/>
    <w:rsid w:val="00B257FE"/>
    <w:rsid w:val="00B318DA"/>
    <w:rsid w:val="00B40A46"/>
    <w:rsid w:val="00B47636"/>
    <w:rsid w:val="00B52533"/>
    <w:rsid w:val="00B55CD8"/>
    <w:rsid w:val="00B61FEB"/>
    <w:rsid w:val="00B620D9"/>
    <w:rsid w:val="00B62CD1"/>
    <w:rsid w:val="00B645ED"/>
    <w:rsid w:val="00B65556"/>
    <w:rsid w:val="00B720EC"/>
    <w:rsid w:val="00B762E0"/>
    <w:rsid w:val="00B76532"/>
    <w:rsid w:val="00B76CD5"/>
    <w:rsid w:val="00B825D0"/>
    <w:rsid w:val="00B82963"/>
    <w:rsid w:val="00B82BA5"/>
    <w:rsid w:val="00B83929"/>
    <w:rsid w:val="00B907E0"/>
    <w:rsid w:val="00B915F1"/>
    <w:rsid w:val="00B92543"/>
    <w:rsid w:val="00BA7DEC"/>
    <w:rsid w:val="00BB1369"/>
    <w:rsid w:val="00BB1C2F"/>
    <w:rsid w:val="00BB2479"/>
    <w:rsid w:val="00BB3F69"/>
    <w:rsid w:val="00BB48AE"/>
    <w:rsid w:val="00BB7136"/>
    <w:rsid w:val="00BC1D0C"/>
    <w:rsid w:val="00BC1DE5"/>
    <w:rsid w:val="00BC2E2E"/>
    <w:rsid w:val="00BD357C"/>
    <w:rsid w:val="00BD727A"/>
    <w:rsid w:val="00BE0430"/>
    <w:rsid w:val="00BE611F"/>
    <w:rsid w:val="00BE7A61"/>
    <w:rsid w:val="00BF60EB"/>
    <w:rsid w:val="00BF6140"/>
    <w:rsid w:val="00BF67F5"/>
    <w:rsid w:val="00BF735E"/>
    <w:rsid w:val="00C00054"/>
    <w:rsid w:val="00C0644C"/>
    <w:rsid w:val="00C134BF"/>
    <w:rsid w:val="00C163C6"/>
    <w:rsid w:val="00C17C8A"/>
    <w:rsid w:val="00C205C8"/>
    <w:rsid w:val="00C27DCF"/>
    <w:rsid w:val="00C4006D"/>
    <w:rsid w:val="00C5399A"/>
    <w:rsid w:val="00C54C1D"/>
    <w:rsid w:val="00C57073"/>
    <w:rsid w:val="00C64E7B"/>
    <w:rsid w:val="00C65B05"/>
    <w:rsid w:val="00C73F08"/>
    <w:rsid w:val="00C77433"/>
    <w:rsid w:val="00C7759F"/>
    <w:rsid w:val="00C84911"/>
    <w:rsid w:val="00C86A38"/>
    <w:rsid w:val="00C929D4"/>
    <w:rsid w:val="00C933ED"/>
    <w:rsid w:val="00C953C6"/>
    <w:rsid w:val="00C96591"/>
    <w:rsid w:val="00CA136B"/>
    <w:rsid w:val="00CA7470"/>
    <w:rsid w:val="00CC2FEA"/>
    <w:rsid w:val="00CC6736"/>
    <w:rsid w:val="00CD3817"/>
    <w:rsid w:val="00CD655B"/>
    <w:rsid w:val="00CE74FC"/>
    <w:rsid w:val="00CF3861"/>
    <w:rsid w:val="00D02283"/>
    <w:rsid w:val="00D027CA"/>
    <w:rsid w:val="00D0660C"/>
    <w:rsid w:val="00D0722F"/>
    <w:rsid w:val="00D11271"/>
    <w:rsid w:val="00D150A9"/>
    <w:rsid w:val="00D2521F"/>
    <w:rsid w:val="00D27D52"/>
    <w:rsid w:val="00D3341F"/>
    <w:rsid w:val="00D40AE8"/>
    <w:rsid w:val="00D44D4E"/>
    <w:rsid w:val="00D474B5"/>
    <w:rsid w:val="00D50D91"/>
    <w:rsid w:val="00D52D7F"/>
    <w:rsid w:val="00D543D5"/>
    <w:rsid w:val="00D6193B"/>
    <w:rsid w:val="00D62247"/>
    <w:rsid w:val="00D66E74"/>
    <w:rsid w:val="00D70E16"/>
    <w:rsid w:val="00D71264"/>
    <w:rsid w:val="00D75095"/>
    <w:rsid w:val="00D75852"/>
    <w:rsid w:val="00D849E4"/>
    <w:rsid w:val="00D91657"/>
    <w:rsid w:val="00D95F8A"/>
    <w:rsid w:val="00D97671"/>
    <w:rsid w:val="00DA097F"/>
    <w:rsid w:val="00DA2C55"/>
    <w:rsid w:val="00DA3E7C"/>
    <w:rsid w:val="00DA4179"/>
    <w:rsid w:val="00DA4E5A"/>
    <w:rsid w:val="00DA73A3"/>
    <w:rsid w:val="00DA7D2D"/>
    <w:rsid w:val="00DB3948"/>
    <w:rsid w:val="00DB49A0"/>
    <w:rsid w:val="00DD0A49"/>
    <w:rsid w:val="00DD44AB"/>
    <w:rsid w:val="00DE56FB"/>
    <w:rsid w:val="00DF4F3C"/>
    <w:rsid w:val="00DF4F6F"/>
    <w:rsid w:val="00DF7AF8"/>
    <w:rsid w:val="00E076A3"/>
    <w:rsid w:val="00E10157"/>
    <w:rsid w:val="00E14FC3"/>
    <w:rsid w:val="00E2421B"/>
    <w:rsid w:val="00E2592B"/>
    <w:rsid w:val="00E27E69"/>
    <w:rsid w:val="00E302FB"/>
    <w:rsid w:val="00E329EE"/>
    <w:rsid w:val="00E363B4"/>
    <w:rsid w:val="00E37387"/>
    <w:rsid w:val="00E37EA9"/>
    <w:rsid w:val="00E42494"/>
    <w:rsid w:val="00E435CE"/>
    <w:rsid w:val="00E47851"/>
    <w:rsid w:val="00E52235"/>
    <w:rsid w:val="00E56716"/>
    <w:rsid w:val="00E706B3"/>
    <w:rsid w:val="00E717CF"/>
    <w:rsid w:val="00E7422B"/>
    <w:rsid w:val="00E74320"/>
    <w:rsid w:val="00E83A2B"/>
    <w:rsid w:val="00E85286"/>
    <w:rsid w:val="00E97584"/>
    <w:rsid w:val="00E97B17"/>
    <w:rsid w:val="00EA5CF2"/>
    <w:rsid w:val="00EB58F3"/>
    <w:rsid w:val="00EC24D1"/>
    <w:rsid w:val="00EC4EAC"/>
    <w:rsid w:val="00EC6845"/>
    <w:rsid w:val="00ED0EBB"/>
    <w:rsid w:val="00ED6F95"/>
    <w:rsid w:val="00EE2296"/>
    <w:rsid w:val="00EE4455"/>
    <w:rsid w:val="00EE5B3E"/>
    <w:rsid w:val="00EF65C9"/>
    <w:rsid w:val="00F00EF3"/>
    <w:rsid w:val="00F04055"/>
    <w:rsid w:val="00F122B9"/>
    <w:rsid w:val="00F21CD9"/>
    <w:rsid w:val="00F22750"/>
    <w:rsid w:val="00F257B0"/>
    <w:rsid w:val="00F3207F"/>
    <w:rsid w:val="00F3541A"/>
    <w:rsid w:val="00F36913"/>
    <w:rsid w:val="00F405D8"/>
    <w:rsid w:val="00F42706"/>
    <w:rsid w:val="00F45CD2"/>
    <w:rsid w:val="00F46275"/>
    <w:rsid w:val="00F545A7"/>
    <w:rsid w:val="00F5665F"/>
    <w:rsid w:val="00F60488"/>
    <w:rsid w:val="00F631B6"/>
    <w:rsid w:val="00F63BC0"/>
    <w:rsid w:val="00F640FB"/>
    <w:rsid w:val="00F70715"/>
    <w:rsid w:val="00F719B8"/>
    <w:rsid w:val="00F83D21"/>
    <w:rsid w:val="00F94B00"/>
    <w:rsid w:val="00F94F66"/>
    <w:rsid w:val="00FA03AD"/>
    <w:rsid w:val="00FA18F6"/>
    <w:rsid w:val="00FA29CD"/>
    <w:rsid w:val="00FA2E89"/>
    <w:rsid w:val="00FA485B"/>
    <w:rsid w:val="00FB10DA"/>
    <w:rsid w:val="00FB4BFF"/>
    <w:rsid w:val="00FB6413"/>
    <w:rsid w:val="00FB6500"/>
    <w:rsid w:val="00FB6C9B"/>
    <w:rsid w:val="00FC430C"/>
    <w:rsid w:val="00FC7332"/>
    <w:rsid w:val="00FD1D9C"/>
    <w:rsid w:val="00FD5298"/>
    <w:rsid w:val="00FE0D9B"/>
    <w:rsid w:val="00FF42BD"/>
    <w:rsid w:val="00FF6D85"/>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1E0BC"/>
  <w15:chartTrackingRefBased/>
  <w15:docId w15:val="{5A9B63B1-BF63-48A6-8F95-33828882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B1"/>
    <w:rPr>
      <w:sz w:val="24"/>
      <w:szCs w:val="24"/>
    </w:rPr>
  </w:style>
  <w:style w:type="paragraph" w:styleId="Heading1">
    <w:name w:val="heading 1"/>
    <w:basedOn w:val="Normal"/>
    <w:next w:val="Normal"/>
    <w:uiPriority w:val="9"/>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7D470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E83A2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143F6"/>
    <w:pPr>
      <w:keepNext/>
      <w:keepLines/>
      <w:spacing w:before="40" w:line="264" w:lineRule="auto"/>
      <w:ind w:left="1152" w:hanging="1152"/>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semiHidden/>
    <w:unhideWhenUsed/>
    <w:qFormat/>
    <w:rsid w:val="001143F6"/>
    <w:pPr>
      <w:keepNext/>
      <w:keepLines/>
      <w:spacing w:before="40" w:line="264" w:lineRule="auto"/>
      <w:ind w:left="1296" w:hanging="1296"/>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semiHidden/>
    <w:unhideWhenUsed/>
    <w:qFormat/>
    <w:rsid w:val="001143F6"/>
    <w:pPr>
      <w:keepNext/>
      <w:keepLines/>
      <w:spacing w:before="40" w:line="264"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43F6"/>
    <w:pPr>
      <w:keepNext/>
      <w:keepLines/>
      <w:spacing w:before="40" w:line="264"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705510"/>
    <w:pPr>
      <w:tabs>
        <w:tab w:val="right" w:leader="dot" w:pos="8640"/>
      </w:tabs>
    </w:pPr>
  </w:style>
  <w:style w:type="paragraph" w:styleId="TOC2">
    <w:name w:val="toc 2"/>
    <w:basedOn w:val="Normal"/>
    <w:next w:val="Normal"/>
    <w:autoRedefine/>
    <w:uiPriority w:val="39"/>
    <w:rsid w:val="00705510"/>
    <w:pPr>
      <w:tabs>
        <w:tab w:val="right" w:leader="dot" w:pos="13130"/>
      </w:tabs>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character" w:customStyle="1" w:styleId="Heading5Char">
    <w:name w:val="Heading 5 Char"/>
    <w:link w:val="Heading5"/>
    <w:semiHidden/>
    <w:rsid w:val="00E83A2B"/>
    <w:rPr>
      <w:rFonts w:ascii="Calibri" w:eastAsia="Times New Roman" w:hAnsi="Calibri" w:cs="Times New Roman"/>
      <w:b/>
      <w:bCs/>
      <w:i/>
      <w:iCs/>
      <w:sz w:val="26"/>
      <w:szCs w:val="26"/>
    </w:rPr>
  </w:style>
  <w:style w:type="paragraph" w:styleId="BodyText">
    <w:name w:val="Body Text"/>
    <w:aliases w:val="Char, Char Char"/>
    <w:basedOn w:val="Normal"/>
    <w:link w:val="BodyTextChar"/>
    <w:rsid w:val="00443427"/>
    <w:pPr>
      <w:spacing w:after="120"/>
    </w:pPr>
  </w:style>
  <w:style w:type="character" w:customStyle="1" w:styleId="BodyTextChar">
    <w:name w:val="Body Text Char"/>
    <w:aliases w:val="Char Char, Char Char Char"/>
    <w:link w:val="BodyText"/>
    <w:rsid w:val="00443427"/>
    <w:rPr>
      <w:sz w:val="24"/>
      <w:szCs w:val="24"/>
    </w:rPr>
  </w:style>
  <w:style w:type="paragraph" w:customStyle="1" w:styleId="BulletsLast">
    <w:name w:val="BulletsLast"/>
    <w:basedOn w:val="Bullets"/>
    <w:rsid w:val="00443427"/>
    <w:pPr>
      <w:spacing w:after="180"/>
    </w:pPr>
  </w:style>
  <w:style w:type="paragraph" w:customStyle="1" w:styleId="Bullets">
    <w:name w:val="Bullets"/>
    <w:basedOn w:val="BodyText"/>
    <w:rsid w:val="00443427"/>
    <w:pPr>
      <w:numPr>
        <w:numId w:val="14"/>
      </w:numPr>
      <w:spacing w:after="60" w:line="264" w:lineRule="auto"/>
    </w:pPr>
    <w:rPr>
      <w:sz w:val="22"/>
      <w:szCs w:val="20"/>
    </w:rPr>
  </w:style>
  <w:style w:type="character" w:customStyle="1" w:styleId="FootnoteTextChar">
    <w:name w:val="Footnote Text Char"/>
    <w:link w:val="FootnoteText"/>
    <w:rsid w:val="00443427"/>
    <w:rPr>
      <w:lang w:bidi="ar-QA"/>
    </w:rPr>
  </w:style>
  <w:style w:type="paragraph" w:customStyle="1" w:styleId="P1-StandPara">
    <w:name w:val="P1-Stand Para"/>
    <w:link w:val="P1-StandParaChar"/>
    <w:rsid w:val="00E42494"/>
    <w:pPr>
      <w:spacing w:line="480" w:lineRule="auto"/>
      <w:ind w:firstLine="720"/>
    </w:pPr>
    <w:rPr>
      <w:sz w:val="22"/>
    </w:rPr>
  </w:style>
  <w:style w:type="character" w:customStyle="1" w:styleId="P1-StandParaChar">
    <w:name w:val="P1-Stand Para Char"/>
    <w:link w:val="P1-StandPara"/>
    <w:rsid w:val="00E42494"/>
    <w:rPr>
      <w:sz w:val="22"/>
    </w:rPr>
  </w:style>
  <w:style w:type="paragraph" w:styleId="ListParagraph">
    <w:name w:val="List Paragraph"/>
    <w:basedOn w:val="Normal"/>
    <w:uiPriority w:val="34"/>
    <w:qFormat/>
    <w:rsid w:val="00510D42"/>
    <w:pPr>
      <w:widowControl w:val="0"/>
      <w:autoSpaceDE w:val="0"/>
      <w:autoSpaceDN w:val="0"/>
      <w:adjustRightInd w:val="0"/>
      <w:ind w:left="720"/>
      <w:contextualSpacing/>
    </w:pPr>
    <w:rPr>
      <w:rFonts w:ascii="Courier" w:hAnsi="Courier" w:cs="Courier"/>
    </w:rPr>
  </w:style>
  <w:style w:type="paragraph" w:customStyle="1" w:styleId="EndNoteBibliographyTitle">
    <w:name w:val="EndNote Bibliography Title"/>
    <w:basedOn w:val="Normal"/>
    <w:link w:val="EndNoteBibliographyTitleChar"/>
    <w:rsid w:val="008546A0"/>
    <w:pPr>
      <w:jc w:val="center"/>
    </w:pPr>
    <w:rPr>
      <w:noProof/>
    </w:rPr>
  </w:style>
  <w:style w:type="character" w:customStyle="1" w:styleId="EndNoteBibliographyTitleChar">
    <w:name w:val="EndNote Bibliography Title Char"/>
    <w:basedOn w:val="DefaultParagraphFont"/>
    <w:link w:val="EndNoteBibliographyTitle"/>
    <w:rsid w:val="008546A0"/>
    <w:rPr>
      <w:noProof/>
      <w:sz w:val="24"/>
      <w:szCs w:val="24"/>
    </w:rPr>
  </w:style>
  <w:style w:type="paragraph" w:customStyle="1" w:styleId="EndNoteBibliography">
    <w:name w:val="EndNote Bibliography"/>
    <w:basedOn w:val="Normal"/>
    <w:link w:val="EndNoteBibliographyChar"/>
    <w:rsid w:val="008546A0"/>
    <w:rPr>
      <w:noProof/>
    </w:rPr>
  </w:style>
  <w:style w:type="character" w:customStyle="1" w:styleId="EndNoteBibliographyChar">
    <w:name w:val="EndNote Bibliography Char"/>
    <w:basedOn w:val="DefaultParagraphFont"/>
    <w:link w:val="EndNoteBibliography"/>
    <w:rsid w:val="008546A0"/>
    <w:rPr>
      <w:noProof/>
      <w:sz w:val="24"/>
      <w:szCs w:val="24"/>
    </w:rPr>
  </w:style>
  <w:style w:type="character" w:customStyle="1" w:styleId="EndnoteTextChar">
    <w:name w:val="Endnote Text Char"/>
    <w:basedOn w:val="DefaultParagraphFont"/>
    <w:link w:val="EndnoteText"/>
    <w:semiHidden/>
    <w:rsid w:val="001F05F9"/>
  </w:style>
  <w:style w:type="character" w:customStyle="1" w:styleId="st">
    <w:name w:val="st"/>
    <w:basedOn w:val="DefaultParagraphFont"/>
    <w:rsid w:val="0072770B"/>
  </w:style>
  <w:style w:type="paragraph" w:customStyle="1" w:styleId="Default">
    <w:name w:val="Default"/>
    <w:rsid w:val="0064661E"/>
    <w:pPr>
      <w:autoSpaceDE w:val="0"/>
      <w:autoSpaceDN w:val="0"/>
      <w:adjustRightInd w:val="0"/>
    </w:pPr>
    <w:rPr>
      <w:color w:val="000000"/>
      <w:sz w:val="24"/>
      <w:szCs w:val="24"/>
    </w:rPr>
  </w:style>
  <w:style w:type="paragraph" w:customStyle="1" w:styleId="Tabletextbullets">
    <w:name w:val="Table text bullets"/>
    <w:basedOn w:val="Normal"/>
    <w:qFormat/>
    <w:rsid w:val="001143F6"/>
    <w:pPr>
      <w:numPr>
        <w:numId w:val="34"/>
      </w:numPr>
      <w:tabs>
        <w:tab w:val="left" w:pos="144"/>
      </w:tabs>
      <w:ind w:left="144" w:hanging="144"/>
    </w:pPr>
    <w:rPr>
      <w:rFonts w:asciiTheme="minorHAnsi" w:eastAsiaTheme="minorHAnsi" w:hAnsiTheme="minorHAnsi" w:cstheme="minorBidi"/>
      <w:color w:val="000000" w:themeColor="text1"/>
      <w:sz w:val="20"/>
      <w:szCs w:val="22"/>
    </w:rPr>
  </w:style>
  <w:style w:type="paragraph" w:customStyle="1" w:styleId="Bodytextbullets">
    <w:name w:val="Body text bullets"/>
    <w:basedOn w:val="Tabletextbullets"/>
    <w:qFormat/>
    <w:rsid w:val="001143F6"/>
    <w:pPr>
      <w:tabs>
        <w:tab w:val="clear" w:pos="144"/>
        <w:tab w:val="left" w:pos="1080"/>
      </w:tabs>
      <w:ind w:left="1080" w:hanging="360"/>
    </w:pPr>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1143F6"/>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uiPriority w:val="9"/>
    <w:semiHidden/>
    <w:rsid w:val="001143F6"/>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uiPriority w:val="9"/>
    <w:semiHidden/>
    <w:rsid w:val="001143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43F6"/>
    <w:rPr>
      <w:rFonts w:asciiTheme="majorHAnsi" w:eastAsiaTheme="majorEastAsia" w:hAnsiTheme="majorHAnsi" w:cstheme="majorBidi"/>
      <w:i/>
      <w:iCs/>
      <w:color w:val="272727" w:themeColor="text1" w:themeTint="D8"/>
      <w:sz w:val="21"/>
      <w:szCs w:val="21"/>
    </w:rPr>
  </w:style>
  <w:style w:type="paragraph" w:customStyle="1" w:styleId="Tabletext">
    <w:name w:val="Table text"/>
    <w:basedOn w:val="Normal"/>
    <w:qFormat/>
    <w:rsid w:val="001143F6"/>
    <w:rPr>
      <w:rFonts w:asciiTheme="minorHAnsi" w:eastAsiaTheme="minorHAnsi" w:hAnsiTheme="minorHAnsi" w:cstheme="minorBidi"/>
      <w:color w:val="000000" w:themeColor="text1"/>
      <w:sz w:val="20"/>
      <w:szCs w:val="22"/>
    </w:rPr>
  </w:style>
  <w:style w:type="paragraph" w:customStyle="1" w:styleId="Tableheaderrow-white">
    <w:name w:val="Table header row-white"/>
    <w:basedOn w:val="Normal"/>
    <w:qFormat/>
    <w:rsid w:val="001143F6"/>
    <w:rPr>
      <w:rFonts w:asciiTheme="minorHAnsi" w:eastAsiaTheme="minorHAnsi" w:hAnsiTheme="minorHAnsi" w:cstheme="minorBidi"/>
      <w:b/>
      <w:color w:val="FFFFFF" w:themeColor="background1"/>
      <w:sz w:val="22"/>
      <w:szCs w:val="22"/>
    </w:rPr>
  </w:style>
  <w:style w:type="paragraph" w:customStyle="1" w:styleId="Tablenote">
    <w:name w:val="Table note"/>
    <w:basedOn w:val="Normal"/>
    <w:qFormat/>
    <w:rsid w:val="001143F6"/>
    <w:pPr>
      <w:tabs>
        <w:tab w:val="left" w:pos="432"/>
      </w:tabs>
      <w:spacing w:line="264" w:lineRule="auto"/>
      <w:ind w:left="432" w:hanging="432"/>
    </w:pPr>
    <w:rPr>
      <w:rFonts w:asciiTheme="minorHAnsi" w:eastAsiaTheme="minorHAnsi" w:hAnsiTheme="minorHAnsi" w:cstheme="minorBidi"/>
      <w:sz w:val="20"/>
      <w:szCs w:val="20"/>
    </w:rPr>
  </w:style>
  <w:style w:type="paragraph" w:customStyle="1" w:styleId="Tableheaderrow-black">
    <w:name w:val="Table header row-black"/>
    <w:basedOn w:val="Tableheaderrow-white"/>
    <w:next w:val="Tabletext"/>
    <w:qFormat/>
    <w:rsid w:val="001143F6"/>
    <w:rPr>
      <w:color w:val="4BACC6"/>
    </w:rPr>
  </w:style>
  <w:style w:type="table" w:customStyle="1" w:styleId="TableGrid17">
    <w:name w:val="Table Grid17"/>
    <w:basedOn w:val="TableNormal"/>
    <w:next w:val="TableGrid"/>
    <w:uiPriority w:val="59"/>
    <w:rsid w:val="00AC5C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3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86397326">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07287091">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52833097">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42502005">
      <w:bodyDiv w:val="1"/>
      <w:marLeft w:val="0"/>
      <w:marRight w:val="0"/>
      <w:marTop w:val="0"/>
      <w:marBottom w:val="0"/>
      <w:divBdr>
        <w:top w:val="none" w:sz="0" w:space="0" w:color="auto"/>
        <w:left w:val="none" w:sz="0" w:space="0" w:color="auto"/>
        <w:bottom w:val="none" w:sz="0" w:space="0" w:color="auto"/>
        <w:right w:val="none" w:sz="0" w:space="0" w:color="auto"/>
      </w:divBdr>
    </w:div>
    <w:div w:id="193917048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llionhearts.hhs.gov/tools-protocols/action-guides/cardiac-change-package/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2019/general-schedule/" TargetMode="External"/><Relationship Id="rId4" Type="http://schemas.openxmlformats.org/officeDocument/2006/relationships/settings" Target="settings.xml"/><Relationship Id="rId9" Type="http://schemas.openxmlformats.org/officeDocument/2006/relationships/hyperlink" Target="https://www.bls.gov/oes/current/oes_stru.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2004A-93AC-40B7-A7FB-9F4DD529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5532</Words>
  <Characters>34130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39583</CharactersWithSpaces>
  <SharedDoc>false</SharedDoc>
  <HLinks>
    <vt:vector size="6" baseType="variant">
      <vt:variant>
        <vt:i4>3014750</vt:i4>
      </vt:variant>
      <vt:variant>
        <vt:i4>3</vt:i4>
      </vt:variant>
      <vt:variant>
        <vt:i4>0</vt:i4>
      </vt:variant>
      <vt:variant>
        <vt:i4>5</vt:i4>
      </vt:variant>
      <vt:variant>
        <vt:lpwstr>http://www.bls.gov/oes/current/oes_nat.htm</vt:lpwstr>
      </vt:variant>
      <vt:variant>
        <vt:lpwstr>b29-0000.htm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Brown, Erwin (AHRQ/CFACT)</cp:lastModifiedBy>
  <cp:revision>6</cp:revision>
  <cp:lastPrinted>2019-02-01T13:22:00Z</cp:lastPrinted>
  <dcterms:created xsi:type="dcterms:W3CDTF">2020-01-09T15:56:00Z</dcterms:created>
  <dcterms:modified xsi:type="dcterms:W3CDTF">2020-04-14T17:08:00Z</dcterms:modified>
</cp:coreProperties>
</file>