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64AC5" w:rsidR="00172658" w:rsidP="00172658" w:rsidRDefault="00172658" w14:paraId="13D1A4E8" w14:textId="77777777">
      <w:pPr>
        <w:jc w:val="center"/>
      </w:pPr>
    </w:p>
    <w:p w:rsidRPr="00064AC5" w:rsidR="00172658" w:rsidP="00172658" w:rsidRDefault="00172658" w14:paraId="6CB00F20" w14:textId="77777777">
      <w:pPr>
        <w:jc w:val="center"/>
      </w:pPr>
    </w:p>
    <w:p w:rsidRPr="00064AC5" w:rsidR="00172658" w:rsidP="00172658" w:rsidRDefault="00172658" w14:paraId="39413D54" w14:textId="77777777">
      <w:pPr>
        <w:jc w:val="center"/>
      </w:pPr>
    </w:p>
    <w:p w:rsidRPr="00064AC5" w:rsidR="00172658" w:rsidP="00172658" w:rsidRDefault="00172658" w14:paraId="16DA9F5A" w14:textId="77777777">
      <w:pPr>
        <w:jc w:val="center"/>
      </w:pPr>
    </w:p>
    <w:p w:rsidRPr="008C5951" w:rsidR="00172658" w:rsidP="008C5951" w:rsidRDefault="00172658" w14:paraId="5C1FFF62" w14:textId="28FD596C">
      <w:pPr>
        <w:spacing w:line="360" w:lineRule="auto"/>
        <w:jc w:val="center"/>
        <w:rPr>
          <w:b/>
        </w:rPr>
      </w:pPr>
      <w:r w:rsidRPr="008C5951">
        <w:rPr>
          <w:b/>
        </w:rPr>
        <w:t>Supporting Statement</w:t>
      </w:r>
      <w:r w:rsidRPr="008C5951" w:rsidR="00E15EAC">
        <w:rPr>
          <w:b/>
        </w:rPr>
        <w:t xml:space="preserve">: </w:t>
      </w:r>
      <w:r w:rsidR="005C5747">
        <w:rPr>
          <w:b/>
        </w:rPr>
        <w:t>Part</w:t>
      </w:r>
      <w:r w:rsidRPr="008C5951" w:rsidR="005917D2">
        <w:rPr>
          <w:b/>
        </w:rPr>
        <w:t xml:space="preserve"> </w:t>
      </w:r>
      <w:r w:rsidRPr="008C5951" w:rsidR="00E15EAC">
        <w:rPr>
          <w:b/>
        </w:rPr>
        <w:t>A</w:t>
      </w:r>
    </w:p>
    <w:p w:rsidRPr="008C5951" w:rsidR="00172658" w:rsidP="008C5951" w:rsidRDefault="00172658" w14:paraId="52953B93" w14:textId="77777777">
      <w:pPr>
        <w:spacing w:line="360" w:lineRule="auto"/>
        <w:jc w:val="center"/>
        <w:rPr>
          <w:b/>
        </w:rPr>
      </w:pPr>
    </w:p>
    <w:p w:rsidRPr="008321B2" w:rsidR="00F875E0" w:rsidP="008C5951" w:rsidRDefault="00C70462" w14:paraId="421B6299" w14:textId="77777777">
      <w:pPr>
        <w:spacing w:line="360" w:lineRule="auto"/>
        <w:jc w:val="center"/>
        <w:rPr>
          <w:b/>
        </w:rPr>
      </w:pPr>
      <w:r>
        <w:rPr>
          <w:b/>
        </w:rPr>
        <w:t>Assessment</w:t>
      </w:r>
      <w:r w:rsidRPr="004915EF" w:rsidR="002E5E8A">
        <w:rPr>
          <w:b/>
        </w:rPr>
        <w:t xml:space="preserve"> of Technical Assistance and Training Approaches to Accelerate Comprehensive Cancer Control Outcomes</w:t>
      </w:r>
      <w:r w:rsidRPr="008321B2" w:rsidDel="002E5E8A" w:rsidR="002E5E8A">
        <w:rPr>
          <w:b/>
        </w:rPr>
        <w:t xml:space="preserve"> </w:t>
      </w:r>
    </w:p>
    <w:p w:rsidRPr="009134F5" w:rsidR="00F875E0" w:rsidP="008C5951" w:rsidRDefault="00F875E0" w14:paraId="2FA26C83" w14:textId="77777777">
      <w:pPr>
        <w:spacing w:line="360" w:lineRule="auto"/>
        <w:jc w:val="center"/>
      </w:pPr>
    </w:p>
    <w:p w:rsidRPr="009134F5" w:rsidR="007550B3" w:rsidP="008C5951" w:rsidRDefault="00424C9D" w14:paraId="0529AAC5" w14:textId="3D1A49BF">
      <w:pPr>
        <w:spacing w:line="360" w:lineRule="auto"/>
        <w:jc w:val="center"/>
        <w:rPr>
          <w:b/>
        </w:rPr>
      </w:pPr>
      <w:r>
        <w:t>May 27, 2020</w:t>
      </w:r>
    </w:p>
    <w:p w:rsidRPr="008C5951" w:rsidR="00D86C4A" w:rsidP="008C5951" w:rsidRDefault="00D86C4A" w14:paraId="2A88FE7E" w14:textId="77777777">
      <w:pPr>
        <w:spacing w:line="360" w:lineRule="auto"/>
        <w:jc w:val="center"/>
        <w:rPr>
          <w:b/>
        </w:rPr>
      </w:pPr>
    </w:p>
    <w:p w:rsidRPr="009134F5" w:rsidR="002D215F" w:rsidP="008C5951" w:rsidRDefault="002D215F" w14:paraId="6497E0B8" w14:textId="77777777">
      <w:pPr>
        <w:spacing w:line="360" w:lineRule="auto"/>
      </w:pPr>
    </w:p>
    <w:p w:rsidRPr="006A261D" w:rsidR="002D215F" w:rsidP="008C5951" w:rsidRDefault="002D215F" w14:paraId="3194CE7B" w14:textId="77777777">
      <w:pPr>
        <w:spacing w:line="360" w:lineRule="auto"/>
      </w:pPr>
    </w:p>
    <w:p w:rsidRPr="006A261D" w:rsidR="002D215F" w:rsidP="008C5951" w:rsidRDefault="002D215F" w14:paraId="34C22425" w14:textId="77777777">
      <w:pPr>
        <w:spacing w:line="360" w:lineRule="auto"/>
      </w:pPr>
    </w:p>
    <w:p w:rsidRPr="00064AC5" w:rsidR="002D215F" w:rsidP="008C5951" w:rsidRDefault="002D215F" w14:paraId="16F162A8" w14:textId="77777777">
      <w:pPr>
        <w:spacing w:line="360" w:lineRule="auto"/>
      </w:pPr>
    </w:p>
    <w:p w:rsidRPr="00064AC5" w:rsidR="002D215F" w:rsidP="008C5951" w:rsidRDefault="002D215F" w14:paraId="456277E2" w14:textId="77777777">
      <w:pPr>
        <w:spacing w:line="360" w:lineRule="auto"/>
      </w:pPr>
    </w:p>
    <w:p w:rsidRPr="00064AC5" w:rsidR="00D86C4A" w:rsidP="008C5951" w:rsidRDefault="005917D2" w14:paraId="6D9E036C" w14:textId="77777777">
      <w:pPr>
        <w:spacing w:line="360" w:lineRule="auto"/>
        <w:jc w:val="center"/>
      </w:pPr>
      <w:r>
        <w:t>Program Official/</w:t>
      </w:r>
      <w:r w:rsidRPr="00064AC5" w:rsidR="00D86C4A">
        <w:t>Project Officer:</w:t>
      </w:r>
    </w:p>
    <w:p w:rsidRPr="00064AC5" w:rsidR="008A7EEA" w:rsidP="008C5951" w:rsidRDefault="009358C2" w14:paraId="61F63CC5" w14:textId="77777777">
      <w:pPr>
        <w:spacing w:line="360" w:lineRule="auto"/>
        <w:jc w:val="center"/>
      </w:pPr>
      <w:r>
        <w:t>Angela Moore</w:t>
      </w:r>
      <w:r w:rsidRPr="00064AC5" w:rsidR="008A7EEA">
        <w:t xml:space="preserve">, </w:t>
      </w:r>
      <w:r w:rsidR="004033E7">
        <w:t>MPH</w:t>
      </w:r>
    </w:p>
    <w:p w:rsidRPr="00064AC5" w:rsidR="008A7EEA" w:rsidP="008C5951" w:rsidRDefault="004033E7" w14:paraId="3E863931" w14:textId="77777777">
      <w:pPr>
        <w:spacing w:line="360" w:lineRule="auto"/>
        <w:jc w:val="center"/>
      </w:pPr>
      <w:r>
        <w:t xml:space="preserve">Lead </w:t>
      </w:r>
      <w:r w:rsidR="009358C2">
        <w:t>Public Health Advisor</w:t>
      </w:r>
    </w:p>
    <w:p w:rsidRPr="00064AC5" w:rsidR="008A7EEA" w:rsidP="008C5951" w:rsidRDefault="008A7EEA" w14:paraId="3E4CEEA8" w14:textId="77777777">
      <w:pPr>
        <w:spacing w:line="360" w:lineRule="auto"/>
        <w:jc w:val="center"/>
      </w:pPr>
      <w:r>
        <w:t xml:space="preserve">Division </w:t>
      </w:r>
      <w:r w:rsidR="009358C2">
        <w:t>of Cancer Prevention and Control</w:t>
      </w:r>
    </w:p>
    <w:p w:rsidRPr="00064AC5" w:rsidR="008A7EEA" w:rsidP="008C5951" w:rsidRDefault="008A7EEA" w14:paraId="286C856A" w14:textId="77777777">
      <w:pPr>
        <w:spacing w:line="360" w:lineRule="auto"/>
        <w:jc w:val="center"/>
      </w:pPr>
      <w:r w:rsidRPr="00064AC5">
        <w:t>National Center for Chronic Disease Prevention and Health Promotion</w:t>
      </w:r>
    </w:p>
    <w:p w:rsidRPr="00DF416D" w:rsidR="008A7EEA" w:rsidP="008C5951" w:rsidRDefault="008A7EEA" w14:paraId="6646F9F0" w14:textId="77777777">
      <w:pPr>
        <w:spacing w:line="360" w:lineRule="auto"/>
        <w:jc w:val="center"/>
      </w:pPr>
      <w:r w:rsidRPr="00DF416D">
        <w:t>Centers for Disease Control and Prevention</w:t>
      </w:r>
    </w:p>
    <w:p w:rsidR="008A7EEA" w:rsidP="008C5951" w:rsidRDefault="008A7EEA" w14:paraId="4BEF6280" w14:textId="77777777">
      <w:pPr>
        <w:spacing w:line="360" w:lineRule="auto"/>
        <w:jc w:val="center"/>
      </w:pPr>
      <w:r>
        <w:t>4770 Buford Hwy NE, MS-F75</w:t>
      </w:r>
    </w:p>
    <w:p w:rsidR="008A7EEA" w:rsidP="008C5951" w:rsidRDefault="008A7EEA" w14:paraId="39A29B12" w14:textId="77777777">
      <w:pPr>
        <w:spacing w:line="360" w:lineRule="auto"/>
        <w:jc w:val="center"/>
      </w:pPr>
      <w:r>
        <w:t>Atlanta, GA 30341-3717</w:t>
      </w:r>
    </w:p>
    <w:p w:rsidRPr="00064AC5" w:rsidR="008A7EEA" w:rsidP="008C5951" w:rsidRDefault="008A7EEA" w14:paraId="2E23E1D3" w14:textId="77777777">
      <w:pPr>
        <w:spacing w:line="360" w:lineRule="auto"/>
        <w:jc w:val="center"/>
      </w:pPr>
      <w:r w:rsidRPr="00064AC5">
        <w:t xml:space="preserve">OFFICE: </w:t>
      </w:r>
      <w:r w:rsidR="009358C2">
        <w:t>770-488-3094</w:t>
      </w:r>
    </w:p>
    <w:p w:rsidRPr="00064AC5" w:rsidR="00D86C4A" w:rsidP="008C5951" w:rsidRDefault="009358C2" w14:paraId="319B1ECA" w14:textId="77777777">
      <w:pPr>
        <w:spacing w:line="360" w:lineRule="auto"/>
        <w:jc w:val="center"/>
        <w:rPr>
          <w:b/>
        </w:rPr>
      </w:pPr>
      <w:r>
        <w:t>FAX: 770-488-4335</w:t>
      </w:r>
      <w:r w:rsidRPr="00064AC5" w:rsidR="00220B70">
        <w:br w:type="page"/>
      </w:r>
      <w:r w:rsidRPr="00064AC5" w:rsidR="00220B70">
        <w:rPr>
          <w:b/>
        </w:rPr>
        <w:lastRenderedPageBreak/>
        <w:t>Table of Contents</w:t>
      </w:r>
    </w:p>
    <w:p w:rsidRPr="00064AC5" w:rsidR="00220B70" w:rsidP="00220B70" w:rsidRDefault="00220B70" w14:paraId="26F8FBA2" w14:textId="77777777">
      <w:pPr>
        <w:jc w:val="center"/>
      </w:pPr>
    </w:p>
    <w:p w:rsidRPr="00064AC5" w:rsidR="000A28A3" w:rsidP="00220B70" w:rsidRDefault="000A28A3" w14:paraId="38DA3DEF" w14:textId="77777777">
      <w:pPr>
        <w:jc w:val="center"/>
      </w:pPr>
    </w:p>
    <w:p w:rsidRPr="00064AC5" w:rsidR="007F2905" w:rsidP="007F428F" w:rsidRDefault="007F2905" w14:paraId="2786C9A0" w14:textId="77777777">
      <w:pPr>
        <w:spacing w:line="360" w:lineRule="auto"/>
        <w:rPr>
          <w:b/>
        </w:rPr>
      </w:pPr>
      <w:r w:rsidRPr="00064AC5">
        <w:rPr>
          <w:b/>
        </w:rPr>
        <w:t>Part A:  Justification</w:t>
      </w:r>
    </w:p>
    <w:p w:rsidR="005917D2" w:rsidP="005917D2" w:rsidRDefault="005917D2" w14:paraId="78F1C3C2" w14:textId="77777777">
      <w:pPr>
        <w:spacing w:line="360" w:lineRule="auto"/>
        <w:ind w:left="540" w:hanging="540"/>
      </w:pPr>
      <w:r>
        <w:t>A1.  Circumstances Making the Collection of Information Necessary</w:t>
      </w:r>
    </w:p>
    <w:p w:rsidR="005917D2" w:rsidP="005917D2" w:rsidRDefault="005917D2" w14:paraId="6DEFD200" w14:textId="77777777">
      <w:pPr>
        <w:spacing w:line="360" w:lineRule="auto"/>
        <w:ind w:left="540" w:hanging="540"/>
      </w:pPr>
      <w:r>
        <w:t>A2.  Purpose and Use of the Information Collection</w:t>
      </w:r>
    </w:p>
    <w:p w:rsidR="005917D2" w:rsidP="005917D2" w:rsidRDefault="005917D2" w14:paraId="245832D4" w14:textId="77777777">
      <w:pPr>
        <w:spacing w:line="360" w:lineRule="auto"/>
        <w:ind w:left="540" w:hanging="540"/>
      </w:pPr>
      <w:r>
        <w:t>A3.  Use of Improved Information Technology and Burden Reduction</w:t>
      </w:r>
    </w:p>
    <w:p w:rsidR="005917D2" w:rsidP="005917D2" w:rsidRDefault="005917D2" w14:paraId="66A2A6FC" w14:textId="77777777">
      <w:pPr>
        <w:spacing w:line="360" w:lineRule="auto"/>
        <w:ind w:left="540" w:hanging="540"/>
      </w:pPr>
      <w:r>
        <w:t>A4.  Efforts to Identify Duplication and Use of Similar Information</w:t>
      </w:r>
    </w:p>
    <w:p w:rsidR="005917D2" w:rsidP="005917D2" w:rsidRDefault="005917D2" w14:paraId="08ED05B0" w14:textId="77777777">
      <w:pPr>
        <w:spacing w:line="360" w:lineRule="auto"/>
        <w:ind w:left="540" w:hanging="540"/>
      </w:pPr>
      <w:r>
        <w:t>A5.  Impact on Small Businesses or Other Small Entities</w:t>
      </w:r>
    </w:p>
    <w:p w:rsidR="005917D2" w:rsidP="005917D2" w:rsidRDefault="005917D2" w14:paraId="07FFF93F" w14:textId="77777777">
      <w:pPr>
        <w:spacing w:line="360" w:lineRule="auto"/>
        <w:ind w:left="540" w:hanging="540"/>
      </w:pPr>
      <w:r>
        <w:t xml:space="preserve">A6.  Consequences of Collecting the Information Less Frequently    </w:t>
      </w:r>
    </w:p>
    <w:p w:rsidR="005917D2" w:rsidP="005917D2" w:rsidRDefault="005917D2" w14:paraId="0209A43B" w14:textId="77777777">
      <w:pPr>
        <w:spacing w:line="360" w:lineRule="auto"/>
        <w:ind w:left="540" w:hanging="540"/>
      </w:pPr>
      <w:r>
        <w:t>A7.  Special Circumstances Relating to the Guidelines of 5 CFR 1320.5</w:t>
      </w:r>
    </w:p>
    <w:p w:rsidR="005917D2" w:rsidP="005917D2" w:rsidRDefault="005917D2" w14:paraId="46EE23B4" w14:textId="77777777">
      <w:pPr>
        <w:spacing w:line="360" w:lineRule="auto"/>
        <w:ind w:left="540" w:hanging="540"/>
      </w:pPr>
      <w:r>
        <w:t>A8.  Comments in Response to the Federal Register Notice and Efforts to Consult Outside the Agency</w:t>
      </w:r>
    </w:p>
    <w:p w:rsidR="005917D2" w:rsidP="005917D2" w:rsidRDefault="005917D2" w14:paraId="38DC9A0B" w14:textId="77777777">
      <w:pPr>
        <w:spacing w:line="360" w:lineRule="auto"/>
        <w:ind w:left="540" w:hanging="540"/>
      </w:pPr>
      <w:r>
        <w:t>A9.  Explanation of Any Payment or Gift to Respondents</w:t>
      </w:r>
    </w:p>
    <w:p w:rsidR="005917D2" w:rsidP="005917D2" w:rsidRDefault="005917D2" w14:paraId="020E66D3" w14:textId="77777777">
      <w:pPr>
        <w:spacing w:line="360" w:lineRule="auto"/>
        <w:ind w:left="540" w:hanging="540"/>
      </w:pPr>
      <w:r>
        <w:t xml:space="preserve">A10. </w:t>
      </w:r>
      <w:r w:rsidR="00450954">
        <w:t>Assurance of</w:t>
      </w:r>
      <w:r>
        <w:t xml:space="preserve"> Confidentiality </w:t>
      </w:r>
      <w:r w:rsidR="00316CF5">
        <w:t>of</w:t>
      </w:r>
      <w:r>
        <w:t xml:space="preserve"> Respondents</w:t>
      </w:r>
    </w:p>
    <w:p w:rsidR="005917D2" w:rsidP="005917D2" w:rsidRDefault="005917D2" w14:paraId="7D8B636C" w14:textId="15AF6817">
      <w:pPr>
        <w:spacing w:line="360" w:lineRule="auto"/>
        <w:ind w:left="540" w:hanging="540"/>
      </w:pPr>
      <w:r w:rsidRPr="000F5969">
        <w:t xml:space="preserve">A11. </w:t>
      </w:r>
      <w:r w:rsidRPr="000F5969" w:rsidR="000F5969">
        <w:t xml:space="preserve">Institutional Review Board (IRB) and </w:t>
      </w:r>
      <w:r w:rsidRPr="000F5969">
        <w:t>Justification for Sensitive Questions</w:t>
      </w:r>
    </w:p>
    <w:p w:rsidR="005917D2" w:rsidP="005917D2" w:rsidRDefault="005917D2" w14:paraId="67721DF8" w14:textId="77777777">
      <w:pPr>
        <w:spacing w:line="360" w:lineRule="auto"/>
        <w:ind w:left="540" w:hanging="540"/>
      </w:pPr>
      <w:r>
        <w:t>A12. Estimates of Annualized Burden Hours and Costs</w:t>
      </w:r>
    </w:p>
    <w:p w:rsidR="005917D2" w:rsidP="005917D2" w:rsidRDefault="005917D2" w14:paraId="1FF4AE0E" w14:textId="77777777">
      <w:pPr>
        <w:spacing w:line="360" w:lineRule="auto"/>
        <w:ind w:left="540" w:hanging="540"/>
      </w:pPr>
      <w:r>
        <w:t>A13. Estimates of Other Total Annual Cost Burden to Respondents or Record Keepers</w:t>
      </w:r>
    </w:p>
    <w:p w:rsidR="005917D2" w:rsidP="005917D2" w:rsidRDefault="005917D2" w14:paraId="08C60556" w14:textId="77777777">
      <w:pPr>
        <w:spacing w:line="360" w:lineRule="auto"/>
        <w:ind w:left="540" w:hanging="540"/>
      </w:pPr>
      <w:r>
        <w:t xml:space="preserve">A14. Annualized Cost to the Government </w:t>
      </w:r>
    </w:p>
    <w:p w:rsidR="005917D2" w:rsidP="005917D2" w:rsidRDefault="005917D2" w14:paraId="2FC77B33" w14:textId="77777777">
      <w:pPr>
        <w:spacing w:line="360" w:lineRule="auto"/>
        <w:ind w:left="540" w:hanging="540"/>
      </w:pPr>
      <w:r>
        <w:t>A15. Explanation for Program Changes or Adjustments</w:t>
      </w:r>
    </w:p>
    <w:p w:rsidR="005917D2" w:rsidP="005917D2" w:rsidRDefault="005917D2" w14:paraId="12CE2DE5" w14:textId="77777777">
      <w:pPr>
        <w:spacing w:line="360" w:lineRule="auto"/>
        <w:ind w:left="540" w:hanging="540"/>
      </w:pPr>
      <w:r>
        <w:t>A16. Plans for Tabulation and Publication and Project Time Schedule</w:t>
      </w:r>
    </w:p>
    <w:p w:rsidR="005917D2" w:rsidP="005917D2" w:rsidRDefault="005917D2" w14:paraId="0AC35FEB" w14:textId="77777777">
      <w:pPr>
        <w:spacing w:line="360" w:lineRule="auto"/>
        <w:ind w:left="540" w:hanging="540"/>
      </w:pPr>
      <w:r>
        <w:t>A17. Reason(s) Display of OMB Expiration Date is Inappropriate</w:t>
      </w:r>
    </w:p>
    <w:p w:rsidR="00646006" w:rsidP="00646006" w:rsidRDefault="005917D2" w14:paraId="044376EB" w14:textId="77777777">
      <w:pPr>
        <w:spacing w:line="360" w:lineRule="auto"/>
        <w:rPr>
          <w:b/>
        </w:rPr>
      </w:pPr>
      <w:r>
        <w:t>A18. Exceptions to Certification for Paperwork Reduction Act Submissions</w:t>
      </w:r>
    </w:p>
    <w:p w:rsidR="00587052" w:rsidP="00587052" w:rsidRDefault="00F669EF" w14:paraId="2B35BFDB" w14:textId="77777777">
      <w:pPr>
        <w:spacing w:line="360" w:lineRule="auto"/>
      </w:pPr>
      <w:r>
        <w:rPr>
          <w:b/>
        </w:rPr>
        <w:br w:type="page"/>
      </w:r>
      <w:r w:rsidRPr="00282F3A" w:rsidR="007F428F">
        <w:rPr>
          <w:b/>
        </w:rPr>
        <w:lastRenderedPageBreak/>
        <w:t>A</w:t>
      </w:r>
      <w:r w:rsidRPr="00282F3A" w:rsidR="00D5014D">
        <w:rPr>
          <w:b/>
        </w:rPr>
        <w:t>ttachments</w:t>
      </w:r>
    </w:p>
    <w:p w:rsidRPr="00B65CA5" w:rsidR="00587052" w:rsidP="00AA6A5C" w:rsidRDefault="00B65CA5" w14:paraId="480E0E06" w14:textId="45B6BBB3">
      <w:pPr>
        <w:spacing w:after="120"/>
        <w:ind w:left="360" w:hanging="360"/>
      </w:pPr>
      <w:r>
        <w:rPr>
          <w:color w:val="000000"/>
        </w:rPr>
        <w:t>1</w:t>
      </w:r>
      <w:r>
        <w:rPr>
          <w:color w:val="000000"/>
        </w:rPr>
        <w:tab/>
      </w:r>
      <w:r>
        <w:rPr>
          <w:color w:val="000000"/>
        </w:rPr>
        <w:tab/>
      </w:r>
      <w:r w:rsidRPr="00B65CA5" w:rsidR="00A40E51">
        <w:rPr>
          <w:color w:val="000000"/>
        </w:rPr>
        <w:t xml:space="preserve">Authorizing </w:t>
      </w:r>
      <w:r w:rsidRPr="00B65CA5" w:rsidR="00700CE2">
        <w:rPr>
          <w:color w:val="000000"/>
        </w:rPr>
        <w:t>Legislation</w:t>
      </w:r>
    </w:p>
    <w:p w:rsidR="0016559C" w:rsidP="009010B6" w:rsidRDefault="00B65CA5" w14:paraId="0F841391" w14:textId="675AE02E">
      <w:pPr>
        <w:spacing w:after="120"/>
        <w:rPr>
          <w:bCs/>
          <w:color w:val="000000"/>
        </w:rPr>
      </w:pPr>
      <w:r>
        <w:rPr>
          <w:bCs/>
          <w:color w:val="000000"/>
        </w:rPr>
        <w:t>2</w:t>
      </w:r>
      <w:r>
        <w:rPr>
          <w:bCs/>
          <w:color w:val="000000"/>
        </w:rPr>
        <w:tab/>
      </w:r>
      <w:r w:rsidRPr="0016559C" w:rsidR="0016559C">
        <w:rPr>
          <w:bCs/>
          <w:color w:val="000000"/>
        </w:rPr>
        <w:t>60</w:t>
      </w:r>
      <w:r w:rsidR="00055FA5">
        <w:rPr>
          <w:bCs/>
          <w:color w:val="000000"/>
        </w:rPr>
        <w:t>-</w:t>
      </w:r>
      <w:r w:rsidRPr="0016559C" w:rsidR="0016559C">
        <w:rPr>
          <w:bCs/>
          <w:color w:val="000000"/>
        </w:rPr>
        <w:t xml:space="preserve">day </w:t>
      </w:r>
      <w:r w:rsidRPr="00B65CA5" w:rsidR="00055FA5">
        <w:rPr>
          <w:bCs/>
          <w:color w:val="000000"/>
        </w:rPr>
        <w:t>Federal Register Notice</w:t>
      </w:r>
      <w:r w:rsidRPr="0016559C" w:rsidR="0016559C">
        <w:rPr>
          <w:bCs/>
          <w:color w:val="000000"/>
        </w:rPr>
        <w:t xml:space="preserve"> publication</w:t>
      </w:r>
    </w:p>
    <w:p w:rsidR="003E1FB2" w:rsidP="009010B6" w:rsidRDefault="0016559C" w14:paraId="5E3CD15F" w14:textId="2204B91F">
      <w:pPr>
        <w:spacing w:after="120"/>
        <w:rPr>
          <w:bCs/>
          <w:color w:val="000000"/>
        </w:rPr>
      </w:pPr>
      <w:r>
        <w:rPr>
          <w:bCs/>
          <w:color w:val="000000"/>
        </w:rPr>
        <w:t xml:space="preserve">2a </w:t>
      </w:r>
      <w:r>
        <w:rPr>
          <w:bCs/>
          <w:color w:val="000000"/>
        </w:rPr>
        <w:tab/>
      </w:r>
      <w:r w:rsidRPr="0016559C">
        <w:rPr>
          <w:bCs/>
          <w:color w:val="000000"/>
        </w:rPr>
        <w:t>60</w:t>
      </w:r>
      <w:r w:rsidR="00055FA5">
        <w:rPr>
          <w:bCs/>
          <w:color w:val="000000"/>
        </w:rPr>
        <w:t>-</w:t>
      </w:r>
      <w:r w:rsidRPr="0016559C">
        <w:rPr>
          <w:bCs/>
          <w:color w:val="000000"/>
        </w:rPr>
        <w:t>day</w:t>
      </w:r>
      <w:r w:rsidRPr="00B65CA5">
        <w:rPr>
          <w:bCs/>
          <w:color w:val="000000"/>
        </w:rPr>
        <w:t xml:space="preserve"> </w:t>
      </w:r>
      <w:r w:rsidRPr="00B65CA5" w:rsidR="00A40E51">
        <w:rPr>
          <w:bCs/>
          <w:color w:val="000000"/>
        </w:rPr>
        <w:t>Federal Register Notice</w:t>
      </w:r>
      <w:r w:rsidR="00A22E41">
        <w:rPr>
          <w:bCs/>
          <w:color w:val="000000"/>
        </w:rPr>
        <w:t xml:space="preserve"> </w:t>
      </w:r>
      <w:r w:rsidRPr="00A22E41" w:rsidR="00A22E41">
        <w:rPr>
          <w:bCs/>
          <w:color w:val="000000"/>
        </w:rPr>
        <w:t>Response to Comments</w:t>
      </w:r>
    </w:p>
    <w:p w:rsidRPr="00B65CA5" w:rsidR="00FB6B8B" w:rsidP="00173193" w:rsidRDefault="00ED02EF" w14:paraId="5E391781" w14:textId="77777777">
      <w:pPr>
        <w:spacing w:after="120"/>
        <w:ind w:left="360" w:hanging="360"/>
      </w:pPr>
      <w:r>
        <w:t>3a</w:t>
      </w:r>
      <w:r w:rsidR="00FB6B8B">
        <w:tab/>
      </w:r>
      <w:r w:rsidR="00FB6B8B">
        <w:tab/>
      </w:r>
      <w:r w:rsidR="00301BAF">
        <w:t>Conceptual Framework</w:t>
      </w:r>
      <w:r w:rsidR="00173193">
        <w:t xml:space="preserve"> for</w:t>
      </w:r>
      <w:r w:rsidR="00301BAF">
        <w:t xml:space="preserve"> </w:t>
      </w:r>
      <w:r w:rsidR="00173193">
        <w:t>DP18-1805</w:t>
      </w:r>
    </w:p>
    <w:p w:rsidRPr="00B65CA5" w:rsidR="00000217" w:rsidP="00AA6A5C" w:rsidRDefault="00ED02EF" w14:paraId="4F47A294" w14:textId="77777777">
      <w:pPr>
        <w:spacing w:after="120"/>
        <w:ind w:left="360" w:hanging="360"/>
      </w:pPr>
      <w:r>
        <w:t>3b</w:t>
      </w:r>
      <w:r w:rsidR="00B65CA5">
        <w:tab/>
      </w:r>
      <w:r w:rsidR="00B65CA5">
        <w:tab/>
      </w:r>
      <w:r w:rsidR="00301BAF">
        <w:t>Evaluation Matrix</w:t>
      </w:r>
      <w:r w:rsidR="00D00F51">
        <w:t xml:space="preserve"> for DP18-1805</w:t>
      </w:r>
    </w:p>
    <w:p w:rsidR="00000217" w:rsidP="00AA6A5C" w:rsidRDefault="00ED02EF" w14:paraId="0A34E521" w14:textId="77777777">
      <w:pPr>
        <w:spacing w:after="120"/>
        <w:ind w:left="360" w:hanging="360"/>
      </w:pPr>
      <w:r>
        <w:t>4a</w:t>
      </w:r>
      <w:r w:rsidR="00B65CA5">
        <w:tab/>
      </w:r>
      <w:r w:rsidR="008F61F1">
        <w:tab/>
      </w:r>
      <w:r w:rsidR="00B65CA5">
        <w:t xml:space="preserve">Case </w:t>
      </w:r>
      <w:r w:rsidR="00000217">
        <w:t>Study Interview Introductory Letter</w:t>
      </w:r>
    </w:p>
    <w:p w:rsidR="008F61F1" w:rsidP="008F61F1" w:rsidRDefault="0031325E" w14:paraId="2A46E2E7" w14:textId="77777777">
      <w:pPr>
        <w:spacing w:after="120"/>
        <w:ind w:left="360" w:hanging="360"/>
      </w:pPr>
      <w:r>
        <w:t>4</w:t>
      </w:r>
      <w:r w:rsidR="008F61F1">
        <w:t>b</w:t>
      </w:r>
      <w:r w:rsidR="008F61F1">
        <w:tab/>
      </w:r>
      <w:r w:rsidR="008F61F1">
        <w:tab/>
        <w:t>Worksheet for Identifying Case Study Interviewees</w:t>
      </w:r>
    </w:p>
    <w:p w:rsidR="00DB01F7" w:rsidP="008F61F1" w:rsidRDefault="0031325E" w14:paraId="7C7B8F6E" w14:textId="77777777">
      <w:pPr>
        <w:spacing w:after="120"/>
      </w:pPr>
      <w:r>
        <w:t>4</w:t>
      </w:r>
      <w:r w:rsidR="00E8568A">
        <w:t>c</w:t>
      </w:r>
      <w:r w:rsidR="00DB01F7">
        <w:tab/>
      </w:r>
      <w:r w:rsidR="00204F14">
        <w:t>Case Study Interview Introductory Email</w:t>
      </w:r>
    </w:p>
    <w:p w:rsidR="005B76B5" w:rsidP="008D7B28" w:rsidRDefault="0031325E" w14:paraId="2B3A7529" w14:textId="77777777">
      <w:pPr>
        <w:spacing w:after="120"/>
        <w:ind w:left="360" w:hanging="360"/>
      </w:pPr>
      <w:r>
        <w:t>4d</w:t>
      </w:r>
      <w:r w:rsidR="00B65CA5">
        <w:tab/>
      </w:r>
      <w:r w:rsidR="00B65CA5">
        <w:tab/>
      </w:r>
      <w:r w:rsidRPr="00724A34" w:rsidR="00000217">
        <w:t xml:space="preserve">Case Study Interview Guide for </w:t>
      </w:r>
      <w:r w:rsidRPr="00724A34" w:rsidR="002C7B76">
        <w:t>TTA Provider</w:t>
      </w:r>
      <w:r w:rsidRPr="00724A34" w:rsidR="008D7B28">
        <w:t xml:space="preserve"> </w:t>
      </w:r>
      <w:r w:rsidRPr="00724A34" w:rsidR="00000217">
        <w:t xml:space="preserve">Program </w:t>
      </w:r>
      <w:r w:rsidRPr="00724A34" w:rsidR="00957E26">
        <w:t>Directors</w:t>
      </w:r>
      <w:r w:rsidRPr="00724A34" w:rsidR="00D15556">
        <w:t xml:space="preserve"> or </w:t>
      </w:r>
      <w:r w:rsidRPr="00724A34" w:rsidR="00000217">
        <w:t>Managers</w:t>
      </w:r>
      <w:r w:rsidR="00000217">
        <w:t xml:space="preserve"> </w:t>
      </w:r>
      <w:r w:rsidR="005B76B5">
        <w:t xml:space="preserve"> </w:t>
      </w:r>
    </w:p>
    <w:p w:rsidR="00B65CA5" w:rsidP="004915EF" w:rsidRDefault="0031325E" w14:paraId="7CAD65A8" w14:textId="77777777">
      <w:pPr>
        <w:spacing w:after="120"/>
        <w:ind w:left="360" w:hanging="360"/>
      </w:pPr>
      <w:r>
        <w:t>4e</w:t>
      </w:r>
      <w:r w:rsidR="00B65CA5">
        <w:tab/>
      </w:r>
      <w:r w:rsidR="00B65CA5">
        <w:tab/>
      </w:r>
      <w:r w:rsidR="00000217">
        <w:t xml:space="preserve">Case Study Interview Guide for </w:t>
      </w:r>
      <w:r w:rsidR="002C7B76">
        <w:t>TTA Provider</w:t>
      </w:r>
      <w:r w:rsidR="00000217">
        <w:t xml:space="preserve"> Evaluators</w:t>
      </w:r>
    </w:p>
    <w:p w:rsidR="00000217" w:rsidP="008D7B28" w:rsidRDefault="0031325E" w14:paraId="2321CDFA" w14:textId="77777777">
      <w:pPr>
        <w:spacing w:after="120"/>
        <w:ind w:left="360" w:hanging="360"/>
      </w:pPr>
      <w:r>
        <w:t>4f</w:t>
      </w:r>
      <w:r w:rsidR="00B65CA5">
        <w:tab/>
      </w:r>
      <w:r w:rsidR="00B65CA5">
        <w:tab/>
      </w:r>
      <w:r w:rsidR="00000217">
        <w:t xml:space="preserve">Case Study Interview Guide for </w:t>
      </w:r>
      <w:r w:rsidR="002C7B76">
        <w:t>TTA Provider</w:t>
      </w:r>
      <w:r w:rsidR="008D7B28">
        <w:t xml:space="preserve"> </w:t>
      </w:r>
      <w:r w:rsidR="00000217">
        <w:t>Partners</w:t>
      </w:r>
    </w:p>
    <w:p w:rsidR="0031325E" w:rsidP="0031325E" w:rsidRDefault="0031325E" w14:paraId="62E7B1AE" w14:textId="77777777">
      <w:pPr>
        <w:spacing w:after="120"/>
        <w:ind w:left="360" w:hanging="360"/>
      </w:pPr>
      <w:r>
        <w:t>4g</w:t>
      </w:r>
      <w:r>
        <w:tab/>
      </w:r>
      <w:r>
        <w:tab/>
        <w:t>Case Study Interview Informed Consent</w:t>
      </w:r>
    </w:p>
    <w:p w:rsidR="00000217" w:rsidP="00AA6A5C" w:rsidRDefault="0031325E" w14:paraId="6D985373" w14:textId="77777777">
      <w:pPr>
        <w:spacing w:after="120"/>
        <w:ind w:left="360" w:hanging="360"/>
      </w:pPr>
      <w:r>
        <w:t>5</w:t>
      </w:r>
      <w:r w:rsidR="00404DF2">
        <w:t>a</w:t>
      </w:r>
      <w:r w:rsidR="005F635E">
        <w:tab/>
      </w:r>
      <w:r w:rsidR="00B65CA5">
        <w:tab/>
      </w:r>
      <w:r w:rsidR="005F7216">
        <w:t>Web-based survey</w:t>
      </w:r>
      <w:r w:rsidR="00000217">
        <w:t xml:space="preserve"> Pre-notification Email</w:t>
      </w:r>
    </w:p>
    <w:p w:rsidR="00000217" w:rsidP="00AA6A5C" w:rsidRDefault="0031325E" w14:paraId="07C64A8F" w14:textId="77777777">
      <w:pPr>
        <w:spacing w:after="120"/>
        <w:ind w:left="360" w:hanging="360"/>
      </w:pPr>
      <w:r>
        <w:t>5</w:t>
      </w:r>
      <w:r w:rsidR="00404DF2">
        <w:t>b</w:t>
      </w:r>
      <w:r w:rsidR="008D7B28">
        <w:tab/>
      </w:r>
      <w:r w:rsidR="00B65CA5">
        <w:tab/>
      </w:r>
      <w:r w:rsidR="005F7216">
        <w:t>Web-based survey</w:t>
      </w:r>
      <w:r w:rsidR="00000217">
        <w:t xml:space="preserve"> Invitation Email</w:t>
      </w:r>
    </w:p>
    <w:p w:rsidR="00000217" w:rsidP="00AA6A5C" w:rsidRDefault="0031325E" w14:paraId="5D26F317" w14:textId="77777777">
      <w:pPr>
        <w:spacing w:after="120"/>
        <w:ind w:left="360" w:hanging="360"/>
      </w:pPr>
      <w:r>
        <w:t>5</w:t>
      </w:r>
      <w:r w:rsidR="00404DF2">
        <w:t>c</w:t>
      </w:r>
      <w:r w:rsidR="00B65CA5">
        <w:tab/>
      </w:r>
      <w:r w:rsidR="005F635E">
        <w:t xml:space="preserve">      </w:t>
      </w:r>
      <w:r w:rsidR="005F7216">
        <w:t>Web-based survey</w:t>
      </w:r>
      <w:r w:rsidR="00000217">
        <w:t xml:space="preserve"> First</w:t>
      </w:r>
      <w:r w:rsidR="00CA498C">
        <w:t xml:space="preserve"> and Second</w:t>
      </w:r>
      <w:r w:rsidR="00000217">
        <w:t xml:space="preserve"> Reminder Email</w:t>
      </w:r>
      <w:r w:rsidR="00CA498C">
        <w:t>s</w:t>
      </w:r>
    </w:p>
    <w:p w:rsidR="00000217" w:rsidP="00AA6A5C" w:rsidRDefault="0031325E" w14:paraId="3A489A77" w14:textId="77777777">
      <w:pPr>
        <w:spacing w:after="120"/>
        <w:ind w:left="360" w:hanging="360"/>
      </w:pPr>
      <w:r>
        <w:t>5</w:t>
      </w:r>
      <w:r w:rsidR="00BA35B3">
        <w:t>d</w:t>
      </w:r>
      <w:r w:rsidR="00B65CA5">
        <w:tab/>
      </w:r>
      <w:r w:rsidR="005F635E">
        <w:tab/>
      </w:r>
      <w:r w:rsidR="005F7216">
        <w:t xml:space="preserve">Web-based </w:t>
      </w:r>
      <w:r w:rsidR="00B931A4">
        <w:t>S</w:t>
      </w:r>
      <w:r w:rsidR="005F7216">
        <w:t>urvey</w:t>
      </w:r>
      <w:r w:rsidR="00B931A4">
        <w:t xml:space="preserve"> </w:t>
      </w:r>
      <w:r w:rsidR="00BA35B3">
        <w:t>(Word format)</w:t>
      </w:r>
    </w:p>
    <w:p w:rsidR="00BA35B3" w:rsidP="00AA6A5C" w:rsidRDefault="00BA35B3" w14:paraId="0E5A8A4B" w14:textId="77777777">
      <w:pPr>
        <w:spacing w:after="120"/>
        <w:ind w:left="360" w:hanging="360"/>
      </w:pPr>
      <w:r>
        <w:t>5e</w:t>
      </w:r>
      <w:r>
        <w:tab/>
      </w:r>
      <w:r>
        <w:tab/>
        <w:t>Web-based Survey (screenshots)</w:t>
      </w:r>
    </w:p>
    <w:p w:rsidR="008F61F1" w:rsidP="008F61F1" w:rsidRDefault="0031325E" w14:paraId="42782887" w14:textId="77777777">
      <w:pPr>
        <w:spacing w:after="120"/>
        <w:ind w:left="360" w:hanging="360"/>
      </w:pPr>
      <w:r>
        <w:t>5</w:t>
      </w:r>
      <w:r w:rsidR="006C2133">
        <w:t>f</w:t>
      </w:r>
      <w:r w:rsidR="008D7B28">
        <w:tab/>
      </w:r>
      <w:r w:rsidR="008F61F1">
        <w:tab/>
      </w:r>
      <w:r w:rsidR="008D7B28">
        <w:t>Web-based survey</w:t>
      </w:r>
      <w:r w:rsidR="008F61F1">
        <w:t xml:space="preserve"> Informed Consent </w:t>
      </w:r>
    </w:p>
    <w:p w:rsidR="00BA35B3" w:rsidP="00BA35B3" w:rsidRDefault="00BA35B3" w14:paraId="16B78F3F" w14:textId="77777777">
      <w:pPr>
        <w:spacing w:after="120"/>
        <w:ind w:left="360" w:hanging="360"/>
      </w:pPr>
      <w:r>
        <w:t>5</w:t>
      </w:r>
      <w:r w:rsidR="006C2133">
        <w:t>g</w:t>
      </w:r>
      <w:r>
        <w:tab/>
      </w:r>
      <w:r>
        <w:tab/>
        <w:t>Web-based survey Thank You Email</w:t>
      </w:r>
    </w:p>
    <w:p w:rsidRPr="003B115D" w:rsidR="00965262" w:rsidP="00AA6A5C" w:rsidRDefault="0031325E" w14:paraId="1AFF3350" w14:textId="09942511">
      <w:pPr>
        <w:spacing w:after="120"/>
        <w:ind w:left="360" w:hanging="360"/>
      </w:pPr>
      <w:r>
        <w:t>6</w:t>
      </w:r>
      <w:r w:rsidR="00965262">
        <w:tab/>
      </w:r>
      <w:r w:rsidR="00965262">
        <w:tab/>
      </w:r>
      <w:r w:rsidRPr="00907455" w:rsidR="00907455">
        <w:t>ICF Institutional Review Board</w:t>
      </w:r>
      <w:r w:rsidR="00965262">
        <w:t xml:space="preserve"> Approval Letter</w:t>
      </w:r>
    </w:p>
    <w:p w:rsidR="006621FE" w:rsidP="00AA6A5C" w:rsidRDefault="006621FE" w14:paraId="4B604C38" w14:textId="77777777">
      <w:pPr>
        <w:pStyle w:val="ListParagraph"/>
        <w:spacing w:after="120" w:line="240" w:lineRule="auto"/>
        <w:ind w:left="0"/>
        <w:rPr>
          <w:rFonts w:ascii="Times New Roman" w:hAnsi="Times New Roman"/>
          <w:color w:val="000000"/>
        </w:rPr>
      </w:pPr>
    </w:p>
    <w:p w:rsidR="006621FE" w:rsidP="00AA6A5C" w:rsidRDefault="006621FE" w14:paraId="4858D71C" w14:textId="77777777">
      <w:pPr>
        <w:pStyle w:val="ListParagraph"/>
        <w:spacing w:after="120" w:line="240" w:lineRule="auto"/>
        <w:ind w:left="0"/>
        <w:rPr>
          <w:rFonts w:ascii="Times New Roman" w:hAnsi="Times New Roman"/>
          <w:color w:val="000000"/>
        </w:rPr>
      </w:pPr>
    </w:p>
    <w:p w:rsidR="006621FE" w:rsidP="00AA6A5C" w:rsidRDefault="006621FE" w14:paraId="1341340D" w14:textId="77777777">
      <w:pPr>
        <w:pStyle w:val="ListParagraph"/>
        <w:spacing w:after="120" w:line="240" w:lineRule="auto"/>
        <w:ind w:left="0"/>
        <w:rPr>
          <w:rFonts w:ascii="Times New Roman" w:hAnsi="Times New Roman"/>
          <w:color w:val="000000"/>
        </w:rPr>
      </w:pPr>
    </w:p>
    <w:p w:rsidR="006621FE" w:rsidP="00AA6A5C" w:rsidRDefault="006621FE" w14:paraId="47769942" w14:textId="77777777">
      <w:pPr>
        <w:pStyle w:val="ListParagraph"/>
        <w:spacing w:after="120" w:line="240" w:lineRule="auto"/>
        <w:ind w:left="0"/>
        <w:rPr>
          <w:rFonts w:ascii="Times New Roman" w:hAnsi="Times New Roman"/>
          <w:color w:val="000000"/>
        </w:rPr>
      </w:pPr>
    </w:p>
    <w:p w:rsidR="006621FE" w:rsidP="004E013B" w:rsidRDefault="006621FE" w14:paraId="2BE25E35" w14:textId="77777777">
      <w:pPr>
        <w:pStyle w:val="ListParagraph"/>
        <w:spacing w:after="120" w:line="240" w:lineRule="auto"/>
        <w:ind w:left="0"/>
        <w:rPr>
          <w:color w:val="000000"/>
        </w:rPr>
      </w:pPr>
    </w:p>
    <w:p w:rsidRPr="00064AC5" w:rsidR="00172658" w:rsidP="004E013B" w:rsidRDefault="006621FE" w14:paraId="2644D9F1" w14:textId="77777777">
      <w:pPr>
        <w:pStyle w:val="ListParagraph"/>
        <w:spacing w:after="120" w:line="240" w:lineRule="auto"/>
        <w:ind w:left="0"/>
      </w:pPr>
      <w:r>
        <w:rPr>
          <w:noProof/>
        </w:rPr>
        <w:lastRenderedPageBreak/>
        <mc:AlternateContent>
          <mc:Choice Requires="wps">
            <w:drawing>
              <wp:anchor distT="45720" distB="45720" distL="114300" distR="114300" simplePos="0" relativeHeight="251658240" behindDoc="0" locked="0" layoutInCell="1" allowOverlap="1" wp14:editId="55D2F293" wp14:anchorId="34705E00">
                <wp:simplePos x="0" y="0"/>
                <wp:positionH relativeFrom="column">
                  <wp:posOffset>9525</wp:posOffset>
                </wp:positionH>
                <wp:positionV relativeFrom="paragraph">
                  <wp:posOffset>302895</wp:posOffset>
                </wp:positionV>
                <wp:extent cx="5819775" cy="2162175"/>
                <wp:effectExtent l="0" t="0" r="28575" b="2857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162175"/>
                        </a:xfrm>
                        <a:prstGeom prst="rect">
                          <a:avLst/>
                        </a:prstGeom>
                        <a:solidFill>
                          <a:srgbClr val="FFFFFF"/>
                        </a:solidFill>
                        <a:ln w="9525">
                          <a:solidFill>
                            <a:srgbClr val="000000"/>
                          </a:solidFill>
                          <a:miter lim="800000"/>
                          <a:headEnd/>
                          <a:tailEnd/>
                        </a:ln>
                      </wps:spPr>
                      <wps:txbx>
                        <w:txbxContent>
                          <w:p w:rsidRPr="000D7962" w:rsidR="00602062" w:rsidP="004E013B" w:rsidRDefault="00602062" w14:paraId="61E482F6" w14:textId="77777777">
                            <w:r w:rsidRPr="00A674F5">
                              <w:rPr>
                                <w:u w:val="single"/>
                              </w:rPr>
                              <w:t>Goal of the study.</w:t>
                            </w:r>
                            <w:r w:rsidRPr="00D34777">
                              <w:t xml:space="preserve"> D</w:t>
                            </w:r>
                            <w:r w:rsidRPr="000D7962">
                              <w:t xml:space="preserve">ocument the implementation of training and technical assistance (TTA) administered for National Comprehensive Cancer Control Program (NCCCP) awardees and explore how TTA implementation is associated with </w:t>
                            </w:r>
                            <w:r>
                              <w:t>NCCCP</w:t>
                            </w:r>
                            <w:r w:rsidRPr="000D7962">
                              <w:t xml:space="preserve"> outcomes.    </w:t>
                            </w:r>
                          </w:p>
                          <w:p w:rsidRPr="000D7962" w:rsidR="00602062" w:rsidP="004E013B" w:rsidRDefault="00602062" w14:paraId="16810584" w14:textId="77777777">
                            <w:r w:rsidRPr="000D7962">
                              <w:rPr>
                                <w:u w:val="single"/>
                              </w:rPr>
                              <w:t>Intended use of the resulting data.</w:t>
                            </w:r>
                            <w:r w:rsidRPr="004E013B">
                              <w:t xml:space="preserve"> </w:t>
                            </w:r>
                            <w:r w:rsidRPr="000D7962">
                              <w:t>Monitor TTA and inform the development of future TTA models for NCCCP awardees.</w:t>
                            </w:r>
                          </w:p>
                          <w:p w:rsidRPr="000D7962" w:rsidR="00602062" w:rsidP="004E013B" w:rsidRDefault="00602062" w14:paraId="6EBD4CE0" w14:textId="77777777">
                            <w:r w:rsidRPr="000D7962">
                              <w:rPr>
                                <w:u w:val="single"/>
                              </w:rPr>
                              <w:t>Methods to be used to collect information.</w:t>
                            </w:r>
                            <w:r w:rsidRPr="004E013B">
                              <w:t xml:space="preserve"> </w:t>
                            </w:r>
                            <w:r w:rsidRPr="000D7962">
                              <w:t xml:space="preserve">Mixed-methods approach using case studies (qualitative) and a </w:t>
                            </w:r>
                            <w:r>
                              <w:t>w</w:t>
                            </w:r>
                            <w:r w:rsidRPr="000D7962">
                              <w:t xml:space="preserve">eb-based survey (quantitative).  </w:t>
                            </w:r>
                          </w:p>
                          <w:p w:rsidRPr="000D7962" w:rsidR="00602062" w:rsidP="004E013B" w:rsidRDefault="00602062" w14:paraId="6F3B28DB" w14:textId="77777777">
                            <w:r w:rsidRPr="000D7962">
                              <w:rPr>
                                <w:u w:val="single"/>
                              </w:rPr>
                              <w:t>The subpopulation to be studied</w:t>
                            </w:r>
                            <w:r w:rsidRPr="000D7962">
                              <w:t xml:space="preserve">. Organizations </w:t>
                            </w:r>
                            <w:r>
                              <w:t>administering</w:t>
                            </w:r>
                            <w:r w:rsidRPr="000D7962">
                              <w:t xml:space="preserve"> TTA and</w:t>
                            </w:r>
                            <w:r w:rsidRPr="000D7962" w:rsidDel="004E0041">
                              <w:t xml:space="preserve"> </w:t>
                            </w:r>
                            <w:r w:rsidRPr="000D7962">
                              <w:t>organizations receiving TTA (NCCCP awardees, partners, and coalition members)</w:t>
                            </w:r>
                            <w:r w:rsidRPr="008E4D02">
                              <w:t>.</w:t>
                            </w:r>
                          </w:p>
                          <w:p w:rsidRPr="000D7962" w:rsidR="00602062" w:rsidP="004E013B" w:rsidRDefault="00602062" w14:paraId="4B9B4096" w14:textId="77777777">
                            <w:r w:rsidRPr="000D7962">
                              <w:rPr>
                                <w:u w:val="single"/>
                              </w:rPr>
                              <w:t>How data will be analyzed.</w:t>
                            </w:r>
                            <w:r w:rsidRPr="004E013B">
                              <w:t xml:space="preserve"> </w:t>
                            </w:r>
                            <w:r w:rsidRPr="000D7962">
                              <w:t>Qualitative (thematic) analysis and quantitative (descriptive statistics</w:t>
                            </w:r>
                            <w:r>
                              <w:t xml:space="preserve"> for survey responses</w:t>
                            </w:r>
                            <w:r w:rsidRPr="000D7962">
                              <w:t xml:space="preserve">) analysis.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4705E00">
                <v:stroke joinstyle="miter"/>
                <v:path gradientshapeok="t" o:connecttype="rect"/>
              </v:shapetype>
              <v:shape id="Text Box 2" style="position:absolute;margin-left:.75pt;margin-top:23.85pt;width:458.25pt;height:170.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">
                <v:textbox>
                  <w:txbxContent>
                    <w:p w:rsidRPr="000D7962" w:rsidR="00602062" w:rsidP="004E013B" w:rsidRDefault="00602062" w14:paraId="61E482F6" w14:textId="77777777">
                      <w:r w:rsidRPr="00A674F5">
                        <w:rPr>
                          <w:u w:val="single"/>
                        </w:rPr>
                        <w:t>Goal of the study.</w:t>
                      </w:r>
                      <w:r w:rsidRPr="00D34777">
                        <w:t xml:space="preserve"> D</w:t>
                      </w:r>
                      <w:r w:rsidRPr="000D7962">
                        <w:t xml:space="preserve">ocument the implementation of training and technical assistance (TTA) administered for National Comprehensive Cancer Control Program (NCCCP) awardees and explore how TTA implementation is associated with </w:t>
                      </w:r>
                      <w:r>
                        <w:t>NCCCP</w:t>
                      </w:r>
                      <w:r w:rsidRPr="000D7962">
                        <w:t xml:space="preserve"> outcomes.    </w:t>
                      </w:r>
                    </w:p>
                    <w:p w:rsidRPr="000D7962" w:rsidR="00602062" w:rsidP="004E013B" w:rsidRDefault="00602062" w14:paraId="16810584" w14:textId="77777777">
                      <w:r w:rsidRPr="000D7962">
                        <w:rPr>
                          <w:u w:val="single"/>
                        </w:rPr>
                        <w:t>Intended use of the resulting data.</w:t>
                      </w:r>
                      <w:r w:rsidRPr="004E013B">
                        <w:t xml:space="preserve"> </w:t>
                      </w:r>
                      <w:r w:rsidRPr="000D7962">
                        <w:t>Monitor TTA and inform the development of future TTA models for NCCCP awardees.</w:t>
                      </w:r>
                    </w:p>
                    <w:p w:rsidRPr="000D7962" w:rsidR="00602062" w:rsidP="004E013B" w:rsidRDefault="00602062" w14:paraId="6EBD4CE0" w14:textId="77777777">
                      <w:r w:rsidRPr="000D7962">
                        <w:rPr>
                          <w:u w:val="single"/>
                        </w:rPr>
                        <w:t>Methods to be used to collect information.</w:t>
                      </w:r>
                      <w:r w:rsidRPr="004E013B">
                        <w:t xml:space="preserve"> </w:t>
                      </w:r>
                      <w:r w:rsidRPr="000D7962">
                        <w:t xml:space="preserve">Mixed-methods approach using case studies (qualitative) and a </w:t>
                      </w:r>
                      <w:r>
                        <w:t>w</w:t>
                      </w:r>
                      <w:r w:rsidRPr="000D7962">
                        <w:t xml:space="preserve">eb-based survey (quantitative).  </w:t>
                      </w:r>
                    </w:p>
                    <w:p w:rsidRPr="000D7962" w:rsidR="00602062" w:rsidP="004E013B" w:rsidRDefault="00602062" w14:paraId="6F3B28DB" w14:textId="77777777">
                      <w:r w:rsidRPr="000D7962">
                        <w:rPr>
                          <w:u w:val="single"/>
                        </w:rPr>
                        <w:t>The subpopulation to be studied</w:t>
                      </w:r>
                      <w:r w:rsidRPr="000D7962">
                        <w:t xml:space="preserve">. Organizations </w:t>
                      </w:r>
                      <w:r>
                        <w:t>administering</w:t>
                      </w:r>
                      <w:r w:rsidRPr="000D7962">
                        <w:t xml:space="preserve"> TTA and</w:t>
                      </w:r>
                      <w:r w:rsidRPr="000D7962" w:rsidDel="004E0041">
                        <w:t xml:space="preserve"> </w:t>
                      </w:r>
                      <w:r w:rsidRPr="000D7962">
                        <w:t>organizations receiving TTA (NCCCP awardees, partners, and coalition members)</w:t>
                      </w:r>
                      <w:r w:rsidRPr="008E4D02">
                        <w:t>.</w:t>
                      </w:r>
                    </w:p>
                    <w:p w:rsidRPr="000D7962" w:rsidR="00602062" w:rsidP="004E013B" w:rsidRDefault="00602062" w14:paraId="4B9B4096" w14:textId="77777777">
                      <w:r w:rsidRPr="000D7962">
                        <w:rPr>
                          <w:u w:val="single"/>
                        </w:rPr>
                        <w:t>How data will be analyzed.</w:t>
                      </w:r>
                      <w:r w:rsidRPr="004E013B">
                        <w:t xml:space="preserve"> </w:t>
                      </w:r>
                      <w:r w:rsidRPr="000D7962">
                        <w:t>Qualitative (thematic) analysis and quantitative (descriptive statistics</w:t>
                      </w:r>
                      <w:r>
                        <w:t xml:space="preserve"> for survey responses</w:t>
                      </w:r>
                      <w:r w:rsidRPr="000D7962">
                        <w:t xml:space="preserve">) analysis. </w:t>
                      </w:r>
                    </w:p>
                  </w:txbxContent>
                </v:textbox>
                <w10:wrap type="topAndBottom"/>
              </v:shape>
            </w:pict>
          </mc:Fallback>
        </mc:AlternateContent>
      </w:r>
    </w:p>
    <w:p w:rsidRPr="00064AC5" w:rsidR="00D86C4A" w:rsidP="00D16418" w:rsidRDefault="00D86C4A" w14:paraId="05DEC082" w14:textId="77777777">
      <w:pPr>
        <w:jc w:val="center"/>
      </w:pPr>
    </w:p>
    <w:p w:rsidRPr="00064AC5" w:rsidR="00D86C4A" w:rsidP="00D86C4A" w:rsidRDefault="00D86C4A" w14:paraId="4D8BE26A" w14:textId="77777777">
      <w:pPr>
        <w:numPr>
          <w:ilvl w:val="0"/>
          <w:numId w:val="1"/>
        </w:numPr>
        <w:tabs>
          <w:tab w:val="clear" w:pos="945"/>
          <w:tab w:val="num" w:pos="540"/>
        </w:tabs>
        <w:ind w:hanging="945"/>
        <w:rPr>
          <w:b/>
        </w:rPr>
      </w:pPr>
      <w:r w:rsidRPr="00064AC5">
        <w:rPr>
          <w:b/>
        </w:rPr>
        <w:t>Justification</w:t>
      </w:r>
    </w:p>
    <w:p w:rsidRPr="00064AC5" w:rsidR="00D86C4A" w:rsidP="00D86C4A" w:rsidRDefault="00D86C4A" w14:paraId="0A79D647" w14:textId="77777777">
      <w:pPr>
        <w:rPr>
          <w:b/>
        </w:rPr>
      </w:pPr>
    </w:p>
    <w:p w:rsidRPr="00833ECA" w:rsidR="00D86C4A" w:rsidP="00261513" w:rsidRDefault="00D86C4A" w14:paraId="7F1E0621" w14:textId="77777777">
      <w:pPr>
        <w:jc w:val="both"/>
        <w:rPr>
          <w:b/>
        </w:rPr>
      </w:pPr>
      <w:r w:rsidRPr="00833ECA">
        <w:rPr>
          <w:b/>
        </w:rPr>
        <w:t>A1.  Circumstances Making the Collection of Information Necessary</w:t>
      </w:r>
    </w:p>
    <w:p w:rsidRPr="00424C9D" w:rsidR="00EF2547" w:rsidP="001A511B" w:rsidRDefault="0044293E" w14:paraId="3DDE23DD" w14:textId="75521592">
      <w:r w:rsidRPr="00424C9D">
        <w:t xml:space="preserve">CDC requests reinstatement, with changes, of a previously approved Information Collection Request (Assessing the Impact of Targeted Training and Technical Assistance Efforts on the Implementation of Comprehensive Cancer Control Outcomes, OMB# 0920-1193; expiration date 7/31/2019). During the period of reinstatement CDC will collect information needed to monitor and inform the delivery of training and technical assistance (TTA) administered for the National Comprehensive Cancer Control Program (NCCCP). CDC is authorized to collect the information by the Public Health Service Act </w:t>
      </w:r>
      <w:r w:rsidRPr="00424C9D">
        <w:rPr>
          <w:b/>
        </w:rPr>
        <w:t xml:space="preserve">(Attachment 1). </w:t>
      </w:r>
      <w:r w:rsidRPr="00424C9D">
        <w:t xml:space="preserve">The 60-day Federal Register Notice was published on December 6, 2019 </w:t>
      </w:r>
      <w:r w:rsidRPr="00424C9D">
        <w:rPr>
          <w:b/>
        </w:rPr>
        <w:t>(Attachment 2</w:t>
      </w:r>
      <w:r w:rsidRPr="00424C9D">
        <w:t>) and is further discussed in Section A8. OMB approval is requested for three years.</w:t>
      </w:r>
      <w:r w:rsidRPr="00424C9D" w:rsidR="000F19AE">
        <w:t xml:space="preserve"> </w:t>
      </w:r>
    </w:p>
    <w:p w:rsidRPr="00833ECA" w:rsidR="00DD34DF" w:rsidP="001A511B" w:rsidRDefault="00DD34DF" w14:paraId="0E12A324" w14:textId="77777777">
      <w:pPr>
        <w:pStyle w:val="DocumentBodyText"/>
        <w:spacing w:after="0" w:line="240" w:lineRule="auto"/>
        <w:jc w:val="left"/>
      </w:pPr>
    </w:p>
    <w:p w:rsidRPr="00833ECA" w:rsidR="000D5C27" w:rsidP="001A511B" w:rsidRDefault="003D1295" w14:paraId="7C0944FC" w14:textId="77777777">
      <w:pPr>
        <w:pStyle w:val="DocumentBodyText"/>
        <w:spacing w:after="0" w:line="240" w:lineRule="auto"/>
        <w:jc w:val="left"/>
      </w:pPr>
      <w:r w:rsidRPr="00833ECA">
        <w:t>C</w:t>
      </w:r>
      <w:r w:rsidRPr="00833ECA" w:rsidR="000D5C27">
        <w:t xml:space="preserve">ancer </w:t>
      </w:r>
      <w:r w:rsidRPr="00833ECA">
        <w:t xml:space="preserve">is </w:t>
      </w:r>
      <w:r w:rsidRPr="00833ECA" w:rsidR="000D5C27">
        <w:t>the second leading cause of death</w:t>
      </w:r>
      <w:r w:rsidRPr="00833ECA" w:rsidR="005C7BD7">
        <w:t xml:space="preserve"> in the United States, </w:t>
      </w:r>
      <w:r w:rsidRPr="00833ECA" w:rsidR="000D5C27">
        <w:t>and health care costs for cancer care are expected to rise to $158 billion by 2020.</w:t>
      </w:r>
      <w:r w:rsidRPr="00833ECA" w:rsidR="000D5C27">
        <w:rPr>
          <w:rStyle w:val="FootnoteReference"/>
        </w:rPr>
        <w:footnoteReference w:id="2"/>
      </w:r>
      <w:r w:rsidRPr="00833ECA" w:rsidR="000D5C27">
        <w:rPr>
          <w:vertAlign w:val="superscript"/>
        </w:rPr>
        <w:t>,</w:t>
      </w:r>
      <w:r w:rsidRPr="00833ECA" w:rsidR="000D5C27">
        <w:rPr>
          <w:rStyle w:val="FootnoteReference"/>
        </w:rPr>
        <w:footnoteReference w:id="3"/>
      </w:r>
      <w:r w:rsidRPr="00833ECA" w:rsidR="000D5C27">
        <w:t xml:space="preserve"> Addressing this public health problem requires primary prevention, early detection and treatment, cancer survivorship support systems, and a reduction in health disparities. </w:t>
      </w:r>
      <w:r w:rsidR="00965392">
        <w:t>T</w:t>
      </w:r>
      <w:r w:rsidRPr="00833ECA" w:rsidR="00965392">
        <w:t>he coordination of resources and activities</w:t>
      </w:r>
      <w:r w:rsidR="00965392">
        <w:t xml:space="preserve"> can</w:t>
      </w:r>
      <w:r w:rsidRPr="00833ECA" w:rsidR="00965392">
        <w:t xml:space="preserve"> </w:t>
      </w:r>
      <w:r w:rsidR="00965392">
        <w:t>p</w:t>
      </w:r>
      <w:r w:rsidRPr="00833ECA" w:rsidR="00965392">
        <w:t xml:space="preserve">osition </w:t>
      </w:r>
      <w:r w:rsidRPr="00833ECA" w:rsidR="000D5C27">
        <w:t xml:space="preserve">state, tribal, territorial and local entities to implement evidence-based </w:t>
      </w:r>
      <w:r w:rsidR="00D032ED">
        <w:t>interventions</w:t>
      </w:r>
      <w:r w:rsidR="00965392">
        <w:t>, which may</w:t>
      </w:r>
      <w:r w:rsidRPr="00833ECA" w:rsidR="000D5C27">
        <w:t xml:space="preserve"> impact population-level cancer outcomes and reduce the burden of cancer. </w:t>
      </w:r>
    </w:p>
    <w:p w:rsidRPr="00833ECA" w:rsidR="005C7BD7" w:rsidP="001A511B" w:rsidRDefault="005C7BD7" w14:paraId="0AA87E7F" w14:textId="77777777">
      <w:pPr>
        <w:pStyle w:val="DocumentBodyText"/>
        <w:spacing w:after="0" w:line="240" w:lineRule="auto"/>
        <w:jc w:val="left"/>
      </w:pPr>
    </w:p>
    <w:p w:rsidR="001F4EB8" w:rsidP="001A511B" w:rsidRDefault="005C7BD7" w14:paraId="7D0986DB" w14:textId="77777777">
      <w:pPr>
        <w:pStyle w:val="DocumentBodyText"/>
        <w:spacing w:after="0" w:line="240" w:lineRule="auto"/>
        <w:jc w:val="left"/>
        <w:rPr>
          <w:rFonts w:cs="Times New Roman"/>
          <w:szCs w:val="24"/>
        </w:rPr>
      </w:pPr>
      <w:r w:rsidRPr="00833ECA">
        <w:t xml:space="preserve">The </w:t>
      </w:r>
      <w:r w:rsidRPr="00833ECA" w:rsidR="000D5C27">
        <w:t>Centers for Disease Control and Prevention</w:t>
      </w:r>
      <w:r w:rsidR="00965392">
        <w:t>’s</w:t>
      </w:r>
      <w:r w:rsidRPr="00833ECA" w:rsidR="000D5C27">
        <w:t xml:space="preserve"> (CDC) </w:t>
      </w:r>
      <w:r w:rsidRPr="00833ECA" w:rsidR="000D5C27">
        <w:rPr>
          <w:rFonts w:cs="Times New Roman"/>
          <w:szCs w:val="24"/>
        </w:rPr>
        <w:t>National Comprehensive Cancer Control Program (</w:t>
      </w:r>
      <w:r w:rsidRPr="00833ECA" w:rsidR="000D5C27">
        <w:t>NCCCP) has been a primary funder for state and community-based cancer control interventions since its inception in the late 1990s. The program supports states and communities in developing a comprehensive approach to cancer prevention and control</w:t>
      </w:r>
      <w:r w:rsidR="00965392">
        <w:t>, which</w:t>
      </w:r>
      <w:r w:rsidRPr="00833ECA" w:rsidR="000D5C27">
        <w:t xml:space="preserve"> includes infrastructure for state, local, and population-based interventions</w:t>
      </w:r>
      <w:r w:rsidR="00965392">
        <w:t>,</w:t>
      </w:r>
      <w:r w:rsidRPr="00833ECA" w:rsidR="000D5C27">
        <w:t xml:space="preserve"> multi-sectoral partnerships</w:t>
      </w:r>
      <w:r w:rsidR="00965392">
        <w:t>,</w:t>
      </w:r>
      <w:r w:rsidRPr="00833ECA" w:rsidR="000D5C27">
        <w:t xml:space="preserve"> and coalitions. </w:t>
      </w:r>
      <w:r w:rsidRPr="00833ECA" w:rsidR="00881557">
        <w:rPr>
          <w:rFonts w:cs="Times New Roman"/>
          <w:szCs w:val="24"/>
        </w:rPr>
        <w:t>Currently, NCCCP supports 6</w:t>
      </w:r>
      <w:r w:rsidRPr="00833ECA" w:rsidR="00B902A7">
        <w:rPr>
          <w:rFonts w:cs="Times New Roman"/>
          <w:szCs w:val="24"/>
        </w:rPr>
        <w:t>6</w:t>
      </w:r>
      <w:r w:rsidRPr="00833ECA" w:rsidR="00881557">
        <w:rPr>
          <w:rFonts w:cs="Times New Roman"/>
          <w:szCs w:val="24"/>
        </w:rPr>
        <w:t xml:space="preserve"> cancer control program </w:t>
      </w:r>
      <w:r w:rsidR="001F4EB8">
        <w:rPr>
          <w:rFonts w:cs="Times New Roman"/>
          <w:szCs w:val="24"/>
        </w:rPr>
        <w:t>awardees</w:t>
      </w:r>
      <w:r w:rsidRPr="00833ECA" w:rsidR="001F4EB8">
        <w:rPr>
          <w:rFonts w:cs="Times New Roman"/>
          <w:szCs w:val="24"/>
        </w:rPr>
        <w:t xml:space="preserve"> </w:t>
      </w:r>
      <w:r w:rsidRPr="00833ECA" w:rsidR="00881557">
        <w:rPr>
          <w:rFonts w:cs="Times New Roman"/>
          <w:szCs w:val="24"/>
        </w:rPr>
        <w:lastRenderedPageBreak/>
        <w:t xml:space="preserve">including programs in all 50 states, the District of Columbia, and in </w:t>
      </w:r>
      <w:proofErr w:type="gramStart"/>
      <w:r w:rsidRPr="00833ECA" w:rsidR="00881557">
        <w:rPr>
          <w:rFonts w:cs="Times New Roman"/>
          <w:szCs w:val="24"/>
        </w:rPr>
        <w:t>a number of</w:t>
      </w:r>
      <w:proofErr w:type="gramEnd"/>
      <w:r w:rsidRPr="00833ECA" w:rsidR="00881557">
        <w:rPr>
          <w:rFonts w:cs="Times New Roman"/>
          <w:szCs w:val="24"/>
        </w:rPr>
        <w:t xml:space="preserve"> tribes, tribal organizations, and U.S. Associated Pacific Islands/territories. </w:t>
      </w:r>
    </w:p>
    <w:p w:rsidR="001F4EB8" w:rsidP="001A511B" w:rsidRDefault="001F4EB8" w14:paraId="71876CA7" w14:textId="77777777">
      <w:pPr>
        <w:pStyle w:val="DocumentBodyText"/>
        <w:spacing w:after="0" w:line="240" w:lineRule="auto"/>
        <w:jc w:val="left"/>
        <w:rPr>
          <w:rFonts w:cs="Times New Roman"/>
          <w:szCs w:val="24"/>
        </w:rPr>
      </w:pPr>
    </w:p>
    <w:p w:rsidRPr="00424C9D" w:rsidR="001F766E" w:rsidP="00BB51BF" w:rsidRDefault="0077403D" w14:paraId="20A121A2" w14:textId="77777777">
      <w:r>
        <w:t>Through p</w:t>
      </w:r>
      <w:r w:rsidR="001A511B">
        <w:t xml:space="preserve">revious </w:t>
      </w:r>
      <w:r w:rsidRPr="00833ECA" w:rsidR="000D5C27">
        <w:t xml:space="preserve">training and technical assistance (TTA) </w:t>
      </w:r>
      <w:r>
        <w:t xml:space="preserve">programs to NCCCP awardees (DP13-1315), CDC has supported </w:t>
      </w:r>
      <w:r w:rsidR="002C102E">
        <w:t xml:space="preserve">states and communities </w:t>
      </w:r>
      <w:r>
        <w:t xml:space="preserve">in </w:t>
      </w:r>
      <w:r w:rsidRPr="00833ECA" w:rsidR="000D5C27">
        <w:t>the implementation of local programs and contribute</w:t>
      </w:r>
      <w:r w:rsidR="00BB51BF">
        <w:t>d</w:t>
      </w:r>
      <w:r w:rsidRPr="00833ECA" w:rsidR="000D5C27">
        <w:t xml:space="preserve"> to the achievement of local program aims</w:t>
      </w:r>
      <w:r w:rsidRPr="00424C9D" w:rsidR="000D5C27">
        <w:t xml:space="preserve">. </w:t>
      </w:r>
      <w:r w:rsidRPr="00424C9D" w:rsidR="00B93370">
        <w:t xml:space="preserve">From 2017-2019, CDC collected information from 10 organizations (awardees) that delivered TTA and from the recipients of the TTA (NCCCP and NSBT grantees, partners, and coalition members). Some recipients of CDC-funded organizations also received TTA from national networks. </w:t>
      </w:r>
      <w:r w:rsidRPr="00424C9D" w:rsidR="00271D3E">
        <w:t>Published evidence, though limited, suggests that easily accessible, collaborative TTA approaches are best suited to build the capacity of TTA recipients</w:t>
      </w:r>
      <w:r w:rsidRPr="00424C9D" w:rsidR="00A7542E">
        <w:t>.</w:t>
      </w:r>
      <w:r w:rsidRPr="00424C9D" w:rsidR="00A7542E">
        <w:rPr>
          <w:rStyle w:val="FootnoteReference"/>
        </w:rPr>
        <w:footnoteReference w:id="4"/>
      </w:r>
      <w:r w:rsidRPr="00424C9D" w:rsidR="00271D3E">
        <w:t xml:space="preserve"> </w:t>
      </w:r>
    </w:p>
    <w:p w:rsidRPr="00424C9D" w:rsidR="001F766E" w:rsidP="00BB51BF" w:rsidRDefault="001F766E" w14:paraId="2844BA86" w14:textId="77777777"/>
    <w:p w:rsidRPr="00424C9D" w:rsidR="00FE27BF" w:rsidP="00BB51BF" w:rsidRDefault="00271D3E" w14:paraId="73602E7D" w14:textId="745CFB53">
      <w:r w:rsidRPr="00424C9D">
        <w:t xml:space="preserve">To continue improvement and </w:t>
      </w:r>
      <w:r w:rsidRPr="00424C9D" w:rsidR="00B46ECE">
        <w:t>enhancements of TTA</w:t>
      </w:r>
      <w:r w:rsidRPr="00424C9D" w:rsidR="001F4EB8">
        <w:t xml:space="preserve"> for NCCCP awardees</w:t>
      </w:r>
      <w:r w:rsidRPr="00424C9D" w:rsidR="00B46ECE">
        <w:t xml:space="preserve">, CDC is continuing </w:t>
      </w:r>
      <w:r w:rsidRPr="00424C9D" w:rsidR="009157E4">
        <w:t xml:space="preserve">its </w:t>
      </w:r>
      <w:r w:rsidRPr="00424C9D" w:rsidR="00B46ECE">
        <w:t xml:space="preserve">TTA efforts </w:t>
      </w:r>
      <w:r w:rsidRPr="00424C9D" w:rsidR="009157E4">
        <w:t>with</w:t>
      </w:r>
      <w:r w:rsidRPr="00424C9D" w:rsidR="00B46ECE">
        <w:t xml:space="preserve"> a </w:t>
      </w:r>
      <w:r w:rsidRPr="00424C9D" w:rsidR="001F4EB8">
        <w:t xml:space="preserve">five year </w:t>
      </w:r>
      <w:r w:rsidRPr="00424C9D" w:rsidR="00B76E7B">
        <w:t>cooperative agreement</w:t>
      </w:r>
      <w:r w:rsidRPr="00424C9D" w:rsidR="001F4EB8">
        <w:t xml:space="preserve"> titled</w:t>
      </w:r>
      <w:r w:rsidRPr="00424C9D" w:rsidR="00652FAF">
        <w:t xml:space="preserve">, </w:t>
      </w:r>
      <w:r w:rsidRPr="00424C9D" w:rsidR="00B902A7">
        <w:rPr>
          <w:i/>
        </w:rPr>
        <w:t>Provision of Technical Assistance and Training Activities to Assure Comprehensive Cancer Control Outcomes</w:t>
      </w:r>
      <w:r w:rsidRPr="00424C9D" w:rsidR="00DE7B6E">
        <w:rPr>
          <w:i/>
        </w:rPr>
        <w:t xml:space="preserve">, </w:t>
      </w:r>
      <w:r w:rsidRPr="00424C9D" w:rsidR="00B902A7">
        <w:rPr>
          <w:i/>
        </w:rPr>
        <w:t>(</w:t>
      </w:r>
      <w:r w:rsidRPr="00424C9D" w:rsidR="00DE7B6E">
        <w:rPr>
          <w:i/>
        </w:rPr>
        <w:t>DP</w:t>
      </w:r>
      <w:r w:rsidRPr="00424C9D" w:rsidR="00652FAF">
        <w:rPr>
          <w:i/>
        </w:rPr>
        <w:t>18-1805</w:t>
      </w:r>
      <w:r w:rsidRPr="00424C9D" w:rsidR="00B902A7">
        <w:rPr>
          <w:i/>
        </w:rPr>
        <w:t>)</w:t>
      </w:r>
      <w:r w:rsidRPr="00424C9D" w:rsidR="00652FAF">
        <w:rPr>
          <w:i/>
        </w:rPr>
        <w:t xml:space="preserve"> </w:t>
      </w:r>
      <w:r w:rsidRPr="00424C9D" w:rsidR="00B76E7B">
        <w:t>(hereafter referred to as DP1</w:t>
      </w:r>
      <w:r w:rsidRPr="00424C9D" w:rsidR="00652FAF">
        <w:t>8</w:t>
      </w:r>
      <w:r w:rsidRPr="00424C9D" w:rsidR="00B76E7B">
        <w:t>-1</w:t>
      </w:r>
      <w:r w:rsidRPr="00424C9D" w:rsidR="00652FAF">
        <w:t>80</w:t>
      </w:r>
      <w:r w:rsidRPr="00424C9D" w:rsidR="00B76E7B">
        <w:t>5)</w:t>
      </w:r>
      <w:r w:rsidRPr="00424C9D" w:rsidR="00182C88">
        <w:t xml:space="preserve">. </w:t>
      </w:r>
      <w:r w:rsidRPr="00424C9D" w:rsidR="0080144F">
        <w:t>Lessons learned from previous TTA cooperative agreements were incorporated in DP18-1805</w:t>
      </w:r>
      <w:r w:rsidRPr="00424C9D" w:rsidR="009A2765">
        <w:t>, and the number of organizations funded to provide TTA has been reduced from 10 to 2</w:t>
      </w:r>
      <w:r w:rsidRPr="00424C9D" w:rsidR="0080144F">
        <w:t xml:space="preserve">. </w:t>
      </w:r>
      <w:r w:rsidRPr="00424C9D" w:rsidR="00C70462">
        <w:t>T</w:t>
      </w:r>
      <w:r w:rsidRPr="00424C9D" w:rsidR="00C339E1">
        <w:t xml:space="preserve">he TTA </w:t>
      </w:r>
      <w:r w:rsidRPr="00424C9D" w:rsidR="00C70462">
        <w:t xml:space="preserve">activities </w:t>
      </w:r>
      <w:r w:rsidRPr="00424C9D" w:rsidR="00B46ECE">
        <w:t xml:space="preserve">for </w:t>
      </w:r>
      <w:r w:rsidRPr="00424C9D" w:rsidR="00C339E1">
        <w:t>DP1</w:t>
      </w:r>
      <w:r w:rsidRPr="00424C9D" w:rsidR="006D08D9">
        <w:t>8</w:t>
      </w:r>
      <w:r w:rsidRPr="00424C9D" w:rsidR="00C339E1">
        <w:t>-1</w:t>
      </w:r>
      <w:r w:rsidRPr="00424C9D" w:rsidR="006D08D9">
        <w:t>80</w:t>
      </w:r>
      <w:r w:rsidRPr="00424C9D" w:rsidR="00C339E1">
        <w:t xml:space="preserve">5 </w:t>
      </w:r>
      <w:r w:rsidRPr="00424C9D" w:rsidR="00C70462">
        <w:t>include</w:t>
      </w:r>
      <w:r w:rsidRPr="00424C9D" w:rsidR="002C102E">
        <w:t>:</w:t>
      </w:r>
      <w:r w:rsidRPr="00424C9D" w:rsidR="00C339E1">
        <w:t xml:space="preserve"> </w:t>
      </w:r>
      <w:r w:rsidRPr="00424C9D" w:rsidR="00C70462">
        <w:t>1) conduct</w:t>
      </w:r>
      <w:r w:rsidRPr="00424C9D" w:rsidR="004D0C61">
        <w:t xml:space="preserve">ing a </w:t>
      </w:r>
      <w:r w:rsidRPr="00424C9D" w:rsidR="00C70462">
        <w:t>needs assessment</w:t>
      </w:r>
      <w:r w:rsidRPr="00424C9D" w:rsidR="006A63CB">
        <w:t xml:space="preserve">, </w:t>
      </w:r>
      <w:r w:rsidRPr="00424C9D" w:rsidR="00C70462">
        <w:t>2) develop</w:t>
      </w:r>
      <w:r w:rsidRPr="00424C9D" w:rsidR="004D0C61">
        <w:t>ing</w:t>
      </w:r>
      <w:r w:rsidRPr="00424C9D" w:rsidR="00C70462">
        <w:t xml:space="preserve"> </w:t>
      </w:r>
      <w:r w:rsidRPr="00424C9D" w:rsidR="00D412EB">
        <w:t xml:space="preserve">a </w:t>
      </w:r>
      <w:r w:rsidRPr="00424C9D" w:rsidR="00C70462">
        <w:t>framework for building CCC capacity</w:t>
      </w:r>
      <w:r w:rsidRPr="00424C9D" w:rsidR="006A63CB">
        <w:t xml:space="preserve">, </w:t>
      </w:r>
      <w:r w:rsidRPr="00424C9D" w:rsidR="00C70462">
        <w:t xml:space="preserve">3) </w:t>
      </w:r>
      <w:r w:rsidRPr="00424C9D" w:rsidR="00F11809">
        <w:t>coordinat</w:t>
      </w:r>
      <w:r w:rsidRPr="00424C9D" w:rsidR="004D0C61">
        <w:t>ing</w:t>
      </w:r>
      <w:r w:rsidRPr="00424C9D" w:rsidR="00C70462">
        <w:t xml:space="preserve"> and collaborat</w:t>
      </w:r>
      <w:r w:rsidRPr="00424C9D" w:rsidR="004D0C61">
        <w:t>ing</w:t>
      </w:r>
      <w:r w:rsidRPr="00424C9D" w:rsidR="00C70462">
        <w:t xml:space="preserve"> with existing </w:t>
      </w:r>
      <w:r w:rsidRPr="00424C9D" w:rsidR="00F11809">
        <w:t>partners</w:t>
      </w:r>
      <w:r w:rsidRPr="00424C9D" w:rsidR="006A63CB">
        <w:t xml:space="preserve">, </w:t>
      </w:r>
      <w:r w:rsidRPr="00424C9D" w:rsidR="00C70462">
        <w:t>4) develop</w:t>
      </w:r>
      <w:r w:rsidRPr="00424C9D" w:rsidR="004D0C61">
        <w:t xml:space="preserve">ing </w:t>
      </w:r>
      <w:r w:rsidRPr="00424C9D" w:rsidR="00C70462">
        <w:t>a TTA plan</w:t>
      </w:r>
      <w:r w:rsidRPr="00424C9D" w:rsidR="006A63CB">
        <w:t xml:space="preserve">, </w:t>
      </w:r>
      <w:r w:rsidRPr="00424C9D" w:rsidR="00C70462">
        <w:t>5) implement</w:t>
      </w:r>
      <w:r w:rsidRPr="00424C9D" w:rsidR="004D0C61">
        <w:t>ing</w:t>
      </w:r>
      <w:r w:rsidRPr="00424C9D" w:rsidR="00C70462">
        <w:t xml:space="preserve"> a TTA plan and con</w:t>
      </w:r>
      <w:r w:rsidRPr="00424C9D" w:rsidR="001107F7">
        <w:t>d</w:t>
      </w:r>
      <w:r w:rsidRPr="00424C9D" w:rsidR="00C70462">
        <w:t>uct</w:t>
      </w:r>
      <w:r w:rsidRPr="00424C9D" w:rsidR="002458B9">
        <w:t>ing</w:t>
      </w:r>
      <w:r w:rsidRPr="00424C9D" w:rsidR="00C70462">
        <w:t xml:space="preserve"> performance monitoring and continuous quality improvement; and 6) conduct</w:t>
      </w:r>
      <w:r w:rsidRPr="00424C9D" w:rsidR="004D0C61">
        <w:t>ing</w:t>
      </w:r>
      <w:r w:rsidRPr="00424C9D" w:rsidR="00C70462">
        <w:t xml:space="preserve"> a comprehensive </w:t>
      </w:r>
      <w:r w:rsidRPr="00424C9D" w:rsidR="006A63CB">
        <w:t xml:space="preserve">evaluation </w:t>
      </w:r>
      <w:r w:rsidRPr="00424C9D" w:rsidR="00C70462">
        <w:t>of TTA</w:t>
      </w:r>
      <w:r w:rsidRPr="00424C9D" w:rsidR="006A63CB">
        <w:t xml:space="preserve">.  </w:t>
      </w:r>
    </w:p>
    <w:p w:rsidRPr="00424C9D" w:rsidR="004915EF" w:rsidP="00BB51BF" w:rsidRDefault="004915EF" w14:paraId="4BE459EF" w14:textId="77777777">
      <w:pPr>
        <w:pStyle w:val="DocumentBodyText"/>
        <w:spacing w:after="0" w:line="240" w:lineRule="auto"/>
      </w:pPr>
    </w:p>
    <w:p w:rsidR="006452BC" w:rsidP="006452BC" w:rsidRDefault="00896265" w14:paraId="32884C09" w14:textId="62A5834B">
      <w:pPr>
        <w:pStyle w:val="DocumentBodyText"/>
        <w:spacing w:after="0" w:line="240" w:lineRule="auto"/>
        <w:jc w:val="left"/>
        <w:rPr>
          <w:rFonts w:cs="Times New Roman"/>
        </w:rPr>
      </w:pPr>
      <w:r w:rsidRPr="00424C9D">
        <w:rPr>
          <w:rFonts w:cs="Times New Roman"/>
        </w:rPr>
        <w:t>The current ICR reflects</w:t>
      </w:r>
      <w:r w:rsidRPr="00424C9D" w:rsidDel="00893157">
        <w:rPr>
          <w:rFonts w:cs="Times New Roman"/>
        </w:rPr>
        <w:t xml:space="preserve"> </w:t>
      </w:r>
      <w:r w:rsidRPr="00424C9D" w:rsidR="006452BC">
        <w:rPr>
          <w:rFonts w:cs="Times New Roman"/>
        </w:rPr>
        <w:t xml:space="preserve">programmatic </w:t>
      </w:r>
      <w:r w:rsidRPr="0065782B" w:rsidR="006452BC">
        <w:rPr>
          <w:rFonts w:cs="Times New Roman"/>
        </w:rPr>
        <w:t xml:space="preserve">changes </w:t>
      </w:r>
      <w:r w:rsidR="006452BC">
        <w:rPr>
          <w:rFonts w:cs="Times New Roman"/>
        </w:rPr>
        <w:t xml:space="preserve">that </w:t>
      </w:r>
      <w:r w:rsidRPr="0065782B" w:rsidR="006452BC">
        <w:rPr>
          <w:rFonts w:cs="Times New Roman"/>
        </w:rPr>
        <w:t>have led to a</w:t>
      </w:r>
      <w:r w:rsidR="006452BC">
        <w:rPr>
          <w:rFonts w:cs="Times New Roman"/>
        </w:rPr>
        <w:t>n</w:t>
      </w:r>
      <w:r w:rsidRPr="0065782B" w:rsidR="006452BC">
        <w:rPr>
          <w:rFonts w:cs="Times New Roman"/>
        </w:rPr>
        <w:t xml:space="preserve"> adjust</w:t>
      </w:r>
      <w:r w:rsidR="006452BC">
        <w:rPr>
          <w:rFonts w:cs="Times New Roman"/>
        </w:rPr>
        <w:t>ment of the evaluation design, m</w:t>
      </w:r>
      <w:r w:rsidRPr="0065782B" w:rsidR="006452BC">
        <w:rPr>
          <w:rFonts w:cs="Times New Roman"/>
        </w:rPr>
        <w:t>odific</w:t>
      </w:r>
      <w:r w:rsidR="006452BC">
        <w:rPr>
          <w:rFonts w:cs="Times New Roman"/>
        </w:rPr>
        <w:t xml:space="preserve">ations in the case study design, and removal of </w:t>
      </w:r>
      <w:r w:rsidRPr="0065782B" w:rsidR="006452BC">
        <w:rPr>
          <w:rFonts w:cs="Times New Roman"/>
        </w:rPr>
        <w:t>in-depth interviews with TTA consumers who used both national network</w:t>
      </w:r>
      <w:r w:rsidR="006452BC">
        <w:rPr>
          <w:rFonts w:cs="Times New Roman"/>
        </w:rPr>
        <w:t>s</w:t>
      </w:r>
      <w:r w:rsidRPr="0065782B" w:rsidR="006452BC">
        <w:rPr>
          <w:rFonts w:cs="Times New Roman"/>
        </w:rPr>
        <w:t xml:space="preserve"> and </w:t>
      </w:r>
      <w:r w:rsidR="006452BC">
        <w:rPr>
          <w:rFonts w:cs="Times New Roman"/>
        </w:rPr>
        <w:t xml:space="preserve">the previous cooperative agreement (DP13-1315). </w:t>
      </w:r>
    </w:p>
    <w:p w:rsidR="0080144F" w:rsidP="00BB51BF" w:rsidRDefault="0080144F" w14:paraId="125B0EA7" w14:textId="31D9B363">
      <w:pPr>
        <w:pStyle w:val="DocumentBodyText"/>
        <w:spacing w:after="0" w:line="240" w:lineRule="auto"/>
        <w:jc w:val="left"/>
        <w:rPr>
          <w:rFonts w:cs="Times New Roman"/>
        </w:rPr>
      </w:pPr>
    </w:p>
    <w:p w:rsidRPr="00833ECA" w:rsidR="004617B8" w:rsidP="00B46ECE" w:rsidRDefault="00F11809" w14:paraId="26E0857C" w14:textId="77777777">
      <w:pPr>
        <w:pStyle w:val="DocumentBodyText"/>
        <w:spacing w:after="0" w:line="240" w:lineRule="auto"/>
        <w:jc w:val="left"/>
      </w:pPr>
      <w:r w:rsidRPr="00833ECA">
        <w:rPr>
          <w:rFonts w:cs="Times New Roman"/>
        </w:rPr>
        <w:t>To</w:t>
      </w:r>
      <w:r w:rsidRPr="00833ECA" w:rsidR="004617B8">
        <w:rPr>
          <w:rFonts w:cs="Times New Roman"/>
        </w:rPr>
        <w:t xml:space="preserve"> assess whether th</w:t>
      </w:r>
      <w:r w:rsidRPr="00833ECA" w:rsidR="00D16056">
        <w:rPr>
          <w:rFonts w:cs="Times New Roman"/>
        </w:rPr>
        <w:t>is</w:t>
      </w:r>
      <w:r w:rsidRPr="00833ECA" w:rsidR="004617B8">
        <w:rPr>
          <w:rFonts w:cs="Times New Roman"/>
        </w:rPr>
        <w:t xml:space="preserve"> cooperative </w:t>
      </w:r>
      <w:r w:rsidRPr="00833ECA" w:rsidR="000F4759">
        <w:rPr>
          <w:rFonts w:cs="Times New Roman"/>
        </w:rPr>
        <w:t>agreement</w:t>
      </w:r>
      <w:r w:rsidRPr="00833ECA" w:rsidR="004617B8">
        <w:rPr>
          <w:rFonts w:cs="Times New Roman"/>
        </w:rPr>
        <w:t xml:space="preserve"> ha</w:t>
      </w:r>
      <w:r w:rsidRPr="00833ECA" w:rsidR="00D16056">
        <w:rPr>
          <w:rFonts w:cs="Times New Roman"/>
        </w:rPr>
        <w:t>s</w:t>
      </w:r>
      <w:r w:rsidRPr="00833ECA" w:rsidR="004617B8">
        <w:rPr>
          <w:rFonts w:cs="Times New Roman"/>
        </w:rPr>
        <w:t xml:space="preserve"> been implemented as intended and contributed to NCCCP </w:t>
      </w:r>
      <w:r w:rsidR="009B1B35">
        <w:rPr>
          <w:rFonts w:cs="Times New Roman"/>
        </w:rPr>
        <w:t>award</w:t>
      </w:r>
      <w:r w:rsidRPr="00833ECA" w:rsidR="009B1B35">
        <w:rPr>
          <w:rFonts w:cs="Times New Roman"/>
        </w:rPr>
        <w:t xml:space="preserve">ees’ </w:t>
      </w:r>
      <w:r w:rsidRPr="00833ECA" w:rsidR="00040227">
        <w:rPr>
          <w:rFonts w:cs="Times New Roman"/>
        </w:rPr>
        <w:t xml:space="preserve">achievements in </w:t>
      </w:r>
      <w:r w:rsidRPr="00833ECA" w:rsidR="004617B8">
        <w:rPr>
          <w:rFonts w:cs="Times New Roman"/>
        </w:rPr>
        <w:t>program goals</w:t>
      </w:r>
      <w:r w:rsidRPr="00833ECA" w:rsidR="00040227">
        <w:rPr>
          <w:rFonts w:cs="Times New Roman"/>
        </w:rPr>
        <w:t xml:space="preserve"> and</w:t>
      </w:r>
      <w:r w:rsidRPr="00833ECA" w:rsidR="004617B8">
        <w:rPr>
          <w:rFonts w:cs="Times New Roman"/>
        </w:rPr>
        <w:t xml:space="preserve"> </w:t>
      </w:r>
      <w:r w:rsidRPr="00833ECA" w:rsidR="00912117">
        <w:rPr>
          <w:rFonts w:cs="Times New Roman"/>
        </w:rPr>
        <w:t xml:space="preserve">outcomes, CDC is conducting a mixed-method </w:t>
      </w:r>
      <w:r w:rsidR="0077403D">
        <w:rPr>
          <w:rFonts w:cs="Times New Roman"/>
        </w:rPr>
        <w:t>study</w:t>
      </w:r>
      <w:r w:rsidRPr="00833ECA" w:rsidR="004617B8">
        <w:rPr>
          <w:rFonts w:cs="Times New Roman"/>
        </w:rPr>
        <w:t xml:space="preserve">. </w:t>
      </w:r>
      <w:r w:rsidR="00D032ED">
        <w:t xml:space="preserve">This </w:t>
      </w:r>
      <w:r w:rsidR="00173193">
        <w:t>data collection</w:t>
      </w:r>
      <w:r w:rsidRPr="00833ECA" w:rsidR="00173193">
        <w:t xml:space="preserve"> </w:t>
      </w:r>
      <w:r w:rsidRPr="00833ECA" w:rsidR="004617B8">
        <w:t xml:space="preserve">will provide a better understanding of the TTA provided and help identify the extent to which core elements of TTA were administered and most effective. This </w:t>
      </w:r>
      <w:r w:rsidR="00173193">
        <w:t xml:space="preserve">data collection </w:t>
      </w:r>
      <w:r w:rsidRPr="00833ECA" w:rsidR="004617B8">
        <w:t>will also provide the information and guidance needed to develop future TTA</w:t>
      </w:r>
      <w:r w:rsidRPr="00833ECA" w:rsidR="009B664F">
        <w:t xml:space="preserve"> </w:t>
      </w:r>
      <w:r w:rsidRPr="00833ECA" w:rsidR="00040227">
        <w:t xml:space="preserve">efforts </w:t>
      </w:r>
      <w:r w:rsidRPr="00833ECA" w:rsidR="004617B8">
        <w:t>to more effectivel</w:t>
      </w:r>
      <w:r w:rsidRPr="00833ECA" w:rsidR="00912117">
        <w:t xml:space="preserve">y and efficiently support NCCCP </w:t>
      </w:r>
      <w:r w:rsidR="001A5471">
        <w:t>awardees</w:t>
      </w:r>
      <w:r w:rsidRPr="00833ECA" w:rsidR="004617B8">
        <w:t>.</w:t>
      </w:r>
    </w:p>
    <w:p w:rsidRPr="00833ECA" w:rsidR="00096D24" w:rsidP="00D34777" w:rsidRDefault="00096D24" w14:paraId="0E6DB27A" w14:textId="77777777">
      <w:pPr>
        <w:tabs>
          <w:tab w:val="left" w:pos="3735"/>
        </w:tabs>
        <w:jc w:val="both"/>
        <w:rPr>
          <w:b/>
          <w:bCs/>
        </w:rPr>
      </w:pPr>
    </w:p>
    <w:p w:rsidRPr="00833ECA" w:rsidR="002E031C" w:rsidP="00D34777" w:rsidRDefault="00F30F5B" w14:paraId="2164B04A" w14:textId="77777777">
      <w:pPr>
        <w:tabs>
          <w:tab w:val="left" w:pos="3735"/>
        </w:tabs>
        <w:jc w:val="both"/>
        <w:rPr>
          <w:b/>
          <w:bCs/>
        </w:rPr>
      </w:pPr>
      <w:r w:rsidRPr="00833ECA">
        <w:rPr>
          <w:b/>
          <w:bCs/>
        </w:rPr>
        <w:t>A2.  Purpose and Use of Information Collection</w:t>
      </w:r>
    </w:p>
    <w:p w:rsidRPr="00833ECA" w:rsidR="00D725EB" w:rsidP="000D7962" w:rsidRDefault="00D725EB" w14:paraId="2ECBC2AD" w14:textId="77777777">
      <w:pPr>
        <w:tabs>
          <w:tab w:val="left" w:pos="3735"/>
        </w:tabs>
        <w:jc w:val="both"/>
        <w:rPr>
          <w:b/>
          <w:bCs/>
        </w:rPr>
      </w:pPr>
    </w:p>
    <w:p w:rsidRPr="00833ECA" w:rsidR="000344AC" w:rsidP="00F26905" w:rsidRDefault="00DD34DF" w14:paraId="59F83EBD" w14:textId="77777777">
      <w:r w:rsidRPr="00833ECA">
        <w:t>The purpose of this data collection is to</w:t>
      </w:r>
      <w:r w:rsidRPr="00833ECA" w:rsidR="00D725EB">
        <w:t xml:space="preserve">: (1) document </w:t>
      </w:r>
      <w:r w:rsidRPr="00833ECA" w:rsidR="008A1BD6">
        <w:t xml:space="preserve">the nature of the </w:t>
      </w:r>
      <w:r w:rsidRPr="00833ECA" w:rsidR="00D725EB">
        <w:t xml:space="preserve">TTA provided </w:t>
      </w:r>
      <w:r w:rsidR="00D032ED">
        <w:t>and</w:t>
      </w:r>
      <w:r w:rsidRPr="00833ECA" w:rsidR="00E926C2">
        <w:t xml:space="preserve"> was </w:t>
      </w:r>
      <w:r w:rsidRPr="00833ECA" w:rsidR="00D725EB">
        <w:t xml:space="preserve">able to achieve planned short-term outcomes; </w:t>
      </w:r>
      <w:r w:rsidR="00D032ED">
        <w:t xml:space="preserve">and </w:t>
      </w:r>
      <w:r w:rsidRPr="00833ECA" w:rsidR="00D725EB">
        <w:t>(2) identify the extent to which TTA efforts contributed to NCCCP</w:t>
      </w:r>
      <w:r w:rsidRPr="00833ECA" w:rsidR="008A1BD6">
        <w:t xml:space="preserve"> </w:t>
      </w:r>
      <w:r w:rsidR="00B340BC">
        <w:t>awardees</w:t>
      </w:r>
      <w:r w:rsidRPr="00833ECA" w:rsidR="008A1BD6">
        <w:t>’ achievement in program outcomes</w:t>
      </w:r>
      <w:r w:rsidRPr="00833ECA" w:rsidR="00D725EB">
        <w:t xml:space="preserve">. </w:t>
      </w:r>
      <w:r w:rsidRPr="00833ECA" w:rsidR="00040227">
        <w:t xml:space="preserve">The team </w:t>
      </w:r>
      <w:r w:rsidRPr="00833ECA" w:rsidR="009B664F">
        <w:t>created</w:t>
      </w:r>
      <w:r w:rsidRPr="00833ECA" w:rsidR="00040227">
        <w:t xml:space="preserve"> a</w:t>
      </w:r>
      <w:r w:rsidRPr="00833ECA" w:rsidR="008D76BA">
        <w:t>n evaluation</w:t>
      </w:r>
      <w:r w:rsidRPr="00833ECA" w:rsidR="00040227">
        <w:t xml:space="preserve"> conceptual framework </w:t>
      </w:r>
      <w:r w:rsidRPr="00833ECA" w:rsidR="00040227">
        <w:rPr>
          <w:b/>
        </w:rPr>
        <w:t xml:space="preserve">(Attachment </w:t>
      </w:r>
      <w:r w:rsidRPr="00833ECA" w:rsidR="00B340BC">
        <w:rPr>
          <w:b/>
        </w:rPr>
        <w:t>3</w:t>
      </w:r>
      <w:r w:rsidR="00B340BC">
        <w:rPr>
          <w:b/>
        </w:rPr>
        <w:t>a</w:t>
      </w:r>
      <w:r w:rsidRPr="00833ECA" w:rsidR="00040227">
        <w:rPr>
          <w:b/>
        </w:rPr>
        <w:t>)</w:t>
      </w:r>
      <w:r w:rsidRPr="00833ECA" w:rsidR="00040227">
        <w:t xml:space="preserve"> that was used to develop </w:t>
      </w:r>
      <w:r w:rsidRPr="00833ECA" w:rsidR="008A1BD6">
        <w:t>4</w:t>
      </w:r>
      <w:r w:rsidRPr="00833ECA" w:rsidR="00D725EB">
        <w:t xml:space="preserve"> primary process- and outcome-</w:t>
      </w:r>
      <w:r w:rsidRPr="00833ECA" w:rsidR="00772088">
        <w:t>related evaluation</w:t>
      </w:r>
      <w:r w:rsidRPr="00833ECA" w:rsidR="00D725EB">
        <w:t xml:space="preserve"> questions</w:t>
      </w:r>
      <w:r w:rsidRPr="00833ECA" w:rsidR="008D76BA">
        <w:t xml:space="preserve"> and an evaluation matrix to map all </w:t>
      </w:r>
      <w:r w:rsidRPr="00833ECA" w:rsidR="00D56E72">
        <w:t>corresponding</w:t>
      </w:r>
      <w:r w:rsidRPr="00833ECA" w:rsidR="008D76BA">
        <w:t xml:space="preserve"> evaluation questions to appropriate indicators, data sources, and potential analysis (</w:t>
      </w:r>
      <w:r w:rsidRPr="00833ECA" w:rsidR="008D76BA">
        <w:rPr>
          <w:b/>
        </w:rPr>
        <w:t xml:space="preserve">Attachment </w:t>
      </w:r>
      <w:r w:rsidR="00B340BC">
        <w:rPr>
          <w:b/>
        </w:rPr>
        <w:t>3b</w:t>
      </w:r>
      <w:r w:rsidRPr="00833ECA" w:rsidR="008D76BA">
        <w:t>)</w:t>
      </w:r>
      <w:r w:rsidRPr="00833ECA" w:rsidR="00040227">
        <w:t xml:space="preserve">.  </w:t>
      </w:r>
      <w:r w:rsidRPr="00833ECA" w:rsidR="000344AC">
        <w:t xml:space="preserve">The evaluation questions are: </w:t>
      </w:r>
    </w:p>
    <w:p w:rsidRPr="00833ECA" w:rsidR="000344AC" w:rsidP="00F26905" w:rsidRDefault="000344AC" w14:paraId="238BB4F9" w14:textId="77777777">
      <w:pPr>
        <w:pStyle w:val="DocumentNumberedList"/>
        <w:numPr>
          <w:ilvl w:val="0"/>
          <w:numId w:val="14"/>
        </w:numPr>
        <w:spacing w:after="0" w:line="240" w:lineRule="auto"/>
        <w:rPr>
          <w:rFonts w:cs="Times New Roman"/>
          <w:szCs w:val="24"/>
        </w:rPr>
      </w:pPr>
      <w:bookmarkStart w:name="_Hlk5365740" w:id="0"/>
      <w:r w:rsidRPr="00833ECA">
        <w:rPr>
          <w:rFonts w:cs="Times New Roman"/>
          <w:szCs w:val="24"/>
        </w:rPr>
        <w:t xml:space="preserve">How are </w:t>
      </w:r>
      <w:r w:rsidR="00B340BC">
        <w:t>TTA</w:t>
      </w:r>
      <w:r w:rsidR="009B1B35">
        <w:t xml:space="preserve"> providers</w:t>
      </w:r>
      <w:r w:rsidRPr="00833ECA">
        <w:rPr>
          <w:rFonts w:cs="Times New Roman"/>
          <w:szCs w:val="24"/>
        </w:rPr>
        <w:t xml:space="preserve"> build</w:t>
      </w:r>
      <w:r w:rsidR="00173193">
        <w:rPr>
          <w:rFonts w:cs="Times New Roman"/>
          <w:szCs w:val="24"/>
        </w:rPr>
        <w:t>ing</w:t>
      </w:r>
      <w:r w:rsidRPr="00833ECA">
        <w:rPr>
          <w:rFonts w:cs="Times New Roman"/>
          <w:szCs w:val="24"/>
        </w:rPr>
        <w:t xml:space="preserve"> capacity among NCCCP</w:t>
      </w:r>
      <w:r w:rsidR="00303077">
        <w:rPr>
          <w:rFonts w:cs="Times New Roman"/>
          <w:szCs w:val="24"/>
        </w:rPr>
        <w:t xml:space="preserve"> awardee</w:t>
      </w:r>
      <w:r w:rsidRPr="00833ECA" w:rsidR="008A1BD6">
        <w:rPr>
          <w:rFonts w:cs="Times New Roman"/>
          <w:szCs w:val="24"/>
        </w:rPr>
        <w:t xml:space="preserve"> </w:t>
      </w:r>
      <w:r w:rsidRPr="00833ECA">
        <w:rPr>
          <w:rFonts w:cs="Times New Roman"/>
          <w:szCs w:val="24"/>
        </w:rPr>
        <w:t xml:space="preserve">programs? </w:t>
      </w:r>
    </w:p>
    <w:p w:rsidRPr="00833ECA" w:rsidR="000344AC" w:rsidP="00F26905" w:rsidRDefault="000344AC" w14:paraId="41AA85E8" w14:textId="77777777">
      <w:pPr>
        <w:pStyle w:val="DocumentNumberedList"/>
        <w:spacing w:after="0" w:line="240" w:lineRule="auto"/>
        <w:rPr>
          <w:rFonts w:cs="Times New Roman"/>
          <w:szCs w:val="24"/>
        </w:rPr>
      </w:pPr>
      <w:r w:rsidRPr="00833ECA">
        <w:rPr>
          <w:rFonts w:cs="Times New Roman"/>
          <w:szCs w:val="24"/>
        </w:rPr>
        <w:lastRenderedPageBreak/>
        <w:t xml:space="preserve">To what extent did </w:t>
      </w:r>
      <w:r w:rsidR="00B340BC">
        <w:t xml:space="preserve"> TTA</w:t>
      </w:r>
      <w:r w:rsidR="009B1B35">
        <w:t xml:space="preserve"> providers</w:t>
      </w:r>
      <w:r w:rsidRPr="00833ECA">
        <w:rPr>
          <w:rFonts w:cs="Times New Roman"/>
          <w:szCs w:val="24"/>
        </w:rPr>
        <w:t xml:space="preserve"> achieve </w:t>
      </w:r>
      <w:r w:rsidR="00B340BC">
        <w:rPr>
          <w:rFonts w:cs="Times New Roman"/>
          <w:szCs w:val="24"/>
        </w:rPr>
        <w:t xml:space="preserve">the </w:t>
      </w:r>
      <w:r w:rsidRPr="00833ECA">
        <w:rPr>
          <w:rFonts w:cs="Times New Roman"/>
          <w:szCs w:val="24"/>
        </w:rPr>
        <w:t>planned short-term outcomes?</w:t>
      </w:r>
    </w:p>
    <w:p w:rsidRPr="00833ECA" w:rsidR="000344AC" w:rsidP="00F26905" w:rsidRDefault="000344AC" w14:paraId="45DFD9C4" w14:textId="77777777">
      <w:pPr>
        <w:pStyle w:val="DocumentNumberedList"/>
        <w:spacing w:after="0" w:line="240" w:lineRule="auto"/>
        <w:rPr>
          <w:rFonts w:cs="Times New Roman"/>
          <w:szCs w:val="24"/>
        </w:rPr>
      </w:pPr>
      <w:r w:rsidRPr="00833ECA">
        <w:rPr>
          <w:rFonts w:cs="Times New Roman"/>
          <w:szCs w:val="24"/>
        </w:rPr>
        <w:t>To what extent did TT</w:t>
      </w:r>
      <w:r w:rsidRPr="00833ECA" w:rsidR="0088701A">
        <w:rPr>
          <w:rFonts w:cs="Times New Roman"/>
          <w:szCs w:val="24"/>
        </w:rPr>
        <w:t xml:space="preserve">A activities contribute to </w:t>
      </w:r>
      <w:r w:rsidRPr="00833ECA" w:rsidR="008A1BD6">
        <w:rPr>
          <w:rFonts w:cs="Times New Roman"/>
          <w:szCs w:val="24"/>
        </w:rPr>
        <w:t xml:space="preserve">NCCCP </w:t>
      </w:r>
      <w:r w:rsidRPr="00833ECA">
        <w:rPr>
          <w:rFonts w:cs="Times New Roman"/>
          <w:szCs w:val="24"/>
        </w:rPr>
        <w:t>implementation and achievement in NCCCP priorities and goals?</w:t>
      </w:r>
    </w:p>
    <w:p w:rsidRPr="00833ECA" w:rsidR="000344AC" w:rsidP="00F26905" w:rsidRDefault="000344AC" w14:paraId="37B20ECB" w14:textId="77777777">
      <w:pPr>
        <w:pStyle w:val="DocumentNumberedList"/>
        <w:spacing w:after="0" w:line="240" w:lineRule="auto"/>
        <w:rPr>
          <w:rFonts w:cs="Times New Roman"/>
          <w:szCs w:val="24"/>
        </w:rPr>
      </w:pPr>
      <w:r w:rsidRPr="00833ECA">
        <w:rPr>
          <w:rFonts w:cs="Times New Roman"/>
          <w:szCs w:val="24"/>
        </w:rPr>
        <w:t xml:space="preserve">What </w:t>
      </w:r>
      <w:r w:rsidRPr="00833ECA" w:rsidR="008A1BD6">
        <w:rPr>
          <w:rFonts w:cs="Times New Roman"/>
          <w:szCs w:val="24"/>
        </w:rPr>
        <w:t xml:space="preserve">elements of </w:t>
      </w:r>
      <w:r w:rsidRPr="00833ECA">
        <w:rPr>
          <w:rFonts w:cs="Times New Roman"/>
          <w:szCs w:val="24"/>
        </w:rPr>
        <w:t xml:space="preserve">TTA </w:t>
      </w:r>
      <w:r w:rsidRPr="00833ECA" w:rsidR="008A1BD6">
        <w:rPr>
          <w:rFonts w:cs="Times New Roman"/>
          <w:szCs w:val="24"/>
        </w:rPr>
        <w:t>were most effective in</w:t>
      </w:r>
      <w:r w:rsidRPr="00833ECA">
        <w:rPr>
          <w:rFonts w:cs="Times New Roman"/>
          <w:szCs w:val="24"/>
        </w:rPr>
        <w:t xml:space="preserve"> build</w:t>
      </w:r>
      <w:r w:rsidRPr="00833ECA" w:rsidR="008A1BD6">
        <w:rPr>
          <w:rFonts w:cs="Times New Roman"/>
          <w:szCs w:val="24"/>
        </w:rPr>
        <w:t>ing</w:t>
      </w:r>
      <w:r w:rsidRPr="00833ECA">
        <w:rPr>
          <w:rFonts w:cs="Times New Roman"/>
          <w:szCs w:val="24"/>
        </w:rPr>
        <w:t xml:space="preserve"> the capacity of NCCCP</w:t>
      </w:r>
      <w:r w:rsidR="00303077">
        <w:rPr>
          <w:rFonts w:cs="Times New Roman"/>
          <w:szCs w:val="24"/>
        </w:rPr>
        <w:t xml:space="preserve"> awardee</w:t>
      </w:r>
      <w:r w:rsidRPr="00833ECA" w:rsidR="008A1BD6">
        <w:rPr>
          <w:rFonts w:cs="Times New Roman"/>
          <w:szCs w:val="24"/>
        </w:rPr>
        <w:t xml:space="preserve"> programs</w:t>
      </w:r>
      <w:r w:rsidRPr="00833ECA">
        <w:rPr>
          <w:rFonts w:cs="Times New Roman"/>
          <w:szCs w:val="24"/>
        </w:rPr>
        <w:t>?</w:t>
      </w:r>
    </w:p>
    <w:bookmarkEnd w:id="0"/>
    <w:p w:rsidRPr="00833ECA" w:rsidR="000344AC" w:rsidP="00F26905" w:rsidRDefault="000344AC" w14:paraId="44EE4C60" w14:textId="77777777">
      <w:pPr>
        <w:pStyle w:val="DocumentBodyText"/>
        <w:spacing w:after="0" w:line="240" w:lineRule="auto"/>
        <w:jc w:val="left"/>
        <w:rPr>
          <w:szCs w:val="24"/>
        </w:rPr>
      </w:pPr>
    </w:p>
    <w:p w:rsidRPr="00833ECA" w:rsidR="00912117" w:rsidP="00F26905" w:rsidRDefault="00CA682E" w14:paraId="3FAC3BD8" w14:textId="77777777">
      <w:pPr>
        <w:pStyle w:val="DocumentBodyText"/>
        <w:spacing w:after="0" w:line="240" w:lineRule="auto"/>
        <w:jc w:val="left"/>
        <w:rPr>
          <w:szCs w:val="24"/>
        </w:rPr>
      </w:pPr>
      <w:r w:rsidRPr="00833ECA">
        <w:rPr>
          <w:szCs w:val="24"/>
        </w:rPr>
        <w:t>This</w:t>
      </w:r>
      <w:r w:rsidRPr="00833ECA" w:rsidR="00912117">
        <w:rPr>
          <w:szCs w:val="24"/>
        </w:rPr>
        <w:t xml:space="preserve"> proposed</w:t>
      </w:r>
      <w:r w:rsidRPr="00833ECA">
        <w:rPr>
          <w:szCs w:val="24"/>
        </w:rPr>
        <w:t xml:space="preserve"> data collection will involve </w:t>
      </w:r>
      <w:r w:rsidRPr="00833ECA" w:rsidR="008337DB">
        <w:rPr>
          <w:szCs w:val="24"/>
        </w:rPr>
        <w:t xml:space="preserve">two </w:t>
      </w:r>
      <w:r w:rsidRPr="00833ECA">
        <w:rPr>
          <w:szCs w:val="24"/>
        </w:rPr>
        <w:t>complementary efforts</w:t>
      </w:r>
      <w:r w:rsidRPr="00833ECA" w:rsidR="009B664F">
        <w:rPr>
          <w:szCs w:val="24"/>
        </w:rPr>
        <w:t xml:space="preserve">: </w:t>
      </w:r>
      <w:r w:rsidRPr="00833ECA" w:rsidR="00062F2D">
        <w:rPr>
          <w:szCs w:val="24"/>
        </w:rPr>
        <w:t xml:space="preserve">1) </w:t>
      </w:r>
      <w:r w:rsidRPr="00833ECA">
        <w:rPr>
          <w:szCs w:val="24"/>
        </w:rPr>
        <w:t xml:space="preserve">case studies of </w:t>
      </w:r>
      <w:r w:rsidR="00B340BC">
        <w:t>TTA</w:t>
      </w:r>
      <w:r w:rsidR="009B1B35">
        <w:t xml:space="preserve"> providers</w:t>
      </w:r>
      <w:r w:rsidRPr="00833ECA" w:rsidR="00E04B7C">
        <w:rPr>
          <w:szCs w:val="24"/>
        </w:rPr>
        <w:t>;</w:t>
      </w:r>
      <w:r w:rsidRPr="00833ECA">
        <w:rPr>
          <w:szCs w:val="24"/>
        </w:rPr>
        <w:t xml:space="preserve"> </w:t>
      </w:r>
      <w:r w:rsidRPr="00833ECA" w:rsidR="00062F2D">
        <w:rPr>
          <w:szCs w:val="24"/>
        </w:rPr>
        <w:t xml:space="preserve">2) </w:t>
      </w:r>
      <w:r w:rsidRPr="00833ECA">
        <w:rPr>
          <w:szCs w:val="24"/>
        </w:rPr>
        <w:t xml:space="preserve">a web survey with NCCCP </w:t>
      </w:r>
      <w:r w:rsidR="009B1B35">
        <w:rPr>
          <w:szCs w:val="24"/>
        </w:rPr>
        <w:t>award</w:t>
      </w:r>
      <w:r w:rsidRPr="00833ECA" w:rsidR="009B1B35">
        <w:rPr>
          <w:szCs w:val="24"/>
        </w:rPr>
        <w:t>ees</w:t>
      </w:r>
      <w:r w:rsidRPr="00833ECA">
        <w:rPr>
          <w:szCs w:val="24"/>
        </w:rPr>
        <w:t xml:space="preserve">, </w:t>
      </w:r>
      <w:r w:rsidRPr="00833ECA" w:rsidR="000F4759">
        <w:rPr>
          <w:szCs w:val="24"/>
        </w:rPr>
        <w:t>partners</w:t>
      </w:r>
      <w:r w:rsidRPr="00833ECA" w:rsidR="008337DB">
        <w:rPr>
          <w:szCs w:val="24"/>
        </w:rPr>
        <w:t>,</w:t>
      </w:r>
      <w:r w:rsidRPr="00833ECA" w:rsidR="00E926C2">
        <w:rPr>
          <w:szCs w:val="24"/>
        </w:rPr>
        <w:t xml:space="preserve"> and </w:t>
      </w:r>
      <w:r w:rsidRPr="00833ECA" w:rsidR="000F4759">
        <w:rPr>
          <w:szCs w:val="24"/>
        </w:rPr>
        <w:t>coalition</w:t>
      </w:r>
      <w:r w:rsidRPr="00833ECA" w:rsidR="00E926C2">
        <w:rPr>
          <w:szCs w:val="24"/>
        </w:rPr>
        <w:t xml:space="preserve"> members</w:t>
      </w:r>
      <w:r w:rsidR="00B340BC">
        <w:rPr>
          <w:szCs w:val="24"/>
        </w:rPr>
        <w:t xml:space="preserve"> receiving TTA</w:t>
      </w:r>
      <w:r w:rsidRPr="00833ECA" w:rsidR="00E25116">
        <w:rPr>
          <w:szCs w:val="24"/>
        </w:rPr>
        <w:t>.</w:t>
      </w:r>
      <w:r w:rsidRPr="00833ECA" w:rsidR="008337DB">
        <w:rPr>
          <w:szCs w:val="24"/>
        </w:rPr>
        <w:t xml:space="preserve"> </w:t>
      </w:r>
    </w:p>
    <w:p w:rsidRPr="00833ECA" w:rsidR="00912117" w:rsidP="00F26905" w:rsidRDefault="00912117" w14:paraId="4D809C5E" w14:textId="77777777">
      <w:pPr>
        <w:pStyle w:val="DocumentBodyText"/>
        <w:spacing w:after="0" w:line="240" w:lineRule="auto"/>
        <w:jc w:val="left"/>
        <w:rPr>
          <w:szCs w:val="24"/>
        </w:rPr>
      </w:pPr>
    </w:p>
    <w:p w:rsidR="00402196" w:rsidP="0077403D" w:rsidRDefault="00CA682E" w14:paraId="59FBA640" w14:textId="77777777">
      <w:pPr>
        <w:pStyle w:val="DocumentBodyText"/>
        <w:spacing w:line="240" w:lineRule="auto"/>
        <w:jc w:val="left"/>
        <w:rPr>
          <w:szCs w:val="24"/>
        </w:rPr>
      </w:pPr>
      <w:r w:rsidRPr="00833ECA">
        <w:rPr>
          <w:szCs w:val="24"/>
        </w:rPr>
        <w:t xml:space="preserve">The case studies will </w:t>
      </w:r>
      <w:r w:rsidRPr="00833ECA" w:rsidR="00912117">
        <w:rPr>
          <w:szCs w:val="24"/>
        </w:rPr>
        <w:t xml:space="preserve">entail document review and interviews with staff and partners involved </w:t>
      </w:r>
      <w:r w:rsidR="00B340BC">
        <w:rPr>
          <w:szCs w:val="24"/>
        </w:rPr>
        <w:t>in</w:t>
      </w:r>
      <w:r w:rsidRPr="00833ECA" w:rsidR="00B340BC">
        <w:rPr>
          <w:szCs w:val="24"/>
        </w:rPr>
        <w:t xml:space="preserve"> </w:t>
      </w:r>
      <w:r w:rsidRPr="00833ECA" w:rsidR="00912117">
        <w:rPr>
          <w:szCs w:val="24"/>
        </w:rPr>
        <w:t>administering TTA</w:t>
      </w:r>
      <w:r w:rsidRPr="00833ECA" w:rsidR="00E04B7C">
        <w:rPr>
          <w:szCs w:val="24"/>
        </w:rPr>
        <w:t>.</w:t>
      </w:r>
      <w:r w:rsidRPr="00833ECA" w:rsidR="00E04B7C">
        <w:rPr>
          <w:b/>
          <w:szCs w:val="24"/>
        </w:rPr>
        <w:t xml:space="preserve"> </w:t>
      </w:r>
      <w:r w:rsidRPr="00833ECA" w:rsidR="005B76B5">
        <w:t xml:space="preserve">The </w:t>
      </w:r>
      <w:r w:rsidR="009416C5">
        <w:t>evaluato</w:t>
      </w:r>
      <w:r w:rsidRPr="00833ECA" w:rsidR="005B76B5">
        <w:t xml:space="preserve">r </w:t>
      </w:r>
      <w:r w:rsidRPr="00833ECA" w:rsidR="00E04B7C">
        <w:t xml:space="preserve">will work with a program </w:t>
      </w:r>
      <w:r w:rsidRPr="00833ECA" w:rsidR="00803AD3">
        <w:t xml:space="preserve">administrator </w:t>
      </w:r>
      <w:r w:rsidRPr="00833ECA" w:rsidR="00E04B7C">
        <w:t xml:space="preserve">from each </w:t>
      </w:r>
      <w:r w:rsidR="009B1B35">
        <w:t xml:space="preserve">TTA provider </w:t>
      </w:r>
      <w:r w:rsidRPr="00833ECA" w:rsidR="004A0FBC">
        <w:t>organization</w:t>
      </w:r>
      <w:r w:rsidR="00B340BC">
        <w:t xml:space="preserve"> </w:t>
      </w:r>
      <w:r w:rsidRPr="00833ECA" w:rsidR="009B664F">
        <w:t>to</w:t>
      </w:r>
      <w:r w:rsidRPr="00833ECA" w:rsidR="00E04B7C">
        <w:t xml:space="preserve"> </w:t>
      </w:r>
      <w:r w:rsidRPr="00833ECA" w:rsidR="002779C7">
        <w:t>recruit</w:t>
      </w:r>
      <w:r w:rsidRPr="00833ECA" w:rsidR="008337DB">
        <w:t>,</w:t>
      </w:r>
      <w:r w:rsidRPr="00833ECA" w:rsidR="002779C7">
        <w:t xml:space="preserve"> </w:t>
      </w:r>
      <w:r w:rsidRPr="00833ECA" w:rsidR="00E04B7C">
        <w:t>identify</w:t>
      </w:r>
      <w:r w:rsidR="00B340BC">
        <w:t>,</w:t>
      </w:r>
      <w:r w:rsidRPr="00833ECA" w:rsidR="00E04B7C">
        <w:t xml:space="preserve"> select</w:t>
      </w:r>
      <w:r w:rsidR="00B340BC">
        <w:t>, and contact</w:t>
      </w:r>
      <w:r w:rsidRPr="00833ECA" w:rsidR="00E04B7C">
        <w:t xml:space="preserve"> appropriate interview respondents </w:t>
      </w:r>
      <w:r w:rsidRPr="00833ECA" w:rsidR="00DA4251">
        <w:t>and schedule interviews</w:t>
      </w:r>
      <w:r w:rsidRPr="00833ECA" w:rsidR="003A5F53">
        <w:t xml:space="preserve"> using an introductory letter</w:t>
      </w:r>
      <w:r w:rsidR="00B340BC">
        <w:t xml:space="preserve"> (</w:t>
      </w:r>
      <w:r w:rsidRPr="008E4D02" w:rsidR="00B340BC">
        <w:rPr>
          <w:b/>
        </w:rPr>
        <w:t>Attachment 4a</w:t>
      </w:r>
      <w:r w:rsidR="00B340BC">
        <w:t>)</w:t>
      </w:r>
      <w:r w:rsidRPr="00833ECA" w:rsidR="003A5F53">
        <w:t xml:space="preserve">, a worksheet for </w:t>
      </w:r>
      <w:r w:rsidRPr="00833ECA" w:rsidR="00D56E72">
        <w:t>identifying</w:t>
      </w:r>
      <w:r w:rsidRPr="00833ECA" w:rsidR="003A5F53">
        <w:t xml:space="preserve"> interviewees</w:t>
      </w:r>
      <w:r w:rsidR="00B340BC">
        <w:t xml:space="preserve"> (</w:t>
      </w:r>
      <w:r w:rsidRPr="008E4D02" w:rsidR="00B340BC">
        <w:rPr>
          <w:b/>
        </w:rPr>
        <w:t>Attachment 4b</w:t>
      </w:r>
      <w:r w:rsidR="00B340BC">
        <w:t>)</w:t>
      </w:r>
      <w:r w:rsidRPr="00833ECA" w:rsidR="003A5F53">
        <w:t>, and a prepa</w:t>
      </w:r>
      <w:r w:rsidRPr="00833ECA" w:rsidR="00D56E72">
        <w:t>ra</w:t>
      </w:r>
      <w:r w:rsidRPr="00833ECA" w:rsidR="003A5F53">
        <w:t xml:space="preserve">tory </w:t>
      </w:r>
      <w:r w:rsidRPr="00833ECA" w:rsidR="00D56E72">
        <w:t>call (</w:t>
      </w:r>
      <w:r w:rsidRPr="00833ECA" w:rsidR="005B76B5">
        <w:rPr>
          <w:b/>
        </w:rPr>
        <w:t>Attachment</w:t>
      </w:r>
      <w:r w:rsidR="00B340BC">
        <w:rPr>
          <w:b/>
        </w:rPr>
        <w:t xml:space="preserve"> 4c</w:t>
      </w:r>
      <w:r w:rsidRPr="00833ECA" w:rsidR="005B76B5">
        <w:rPr>
          <w:b/>
        </w:rPr>
        <w:t xml:space="preserve">). </w:t>
      </w:r>
      <w:r w:rsidRPr="00833ECA" w:rsidR="00E04B7C">
        <w:rPr>
          <w:szCs w:val="24"/>
        </w:rPr>
        <w:t xml:space="preserve">Interview guides </w:t>
      </w:r>
      <w:r w:rsidRPr="00833ECA" w:rsidR="00DB01F7">
        <w:rPr>
          <w:szCs w:val="24"/>
        </w:rPr>
        <w:t xml:space="preserve">are </w:t>
      </w:r>
      <w:r w:rsidRPr="00833ECA" w:rsidR="00E04B7C">
        <w:rPr>
          <w:szCs w:val="24"/>
        </w:rPr>
        <w:t xml:space="preserve">tailored for each respondent type </w:t>
      </w:r>
      <w:r w:rsidRPr="00833ECA" w:rsidR="00DB01F7">
        <w:rPr>
          <w:szCs w:val="24"/>
        </w:rPr>
        <w:t>and include questions and probes designed to gather the most pertinent information across respondent types</w:t>
      </w:r>
      <w:r w:rsidR="00B340BC">
        <w:rPr>
          <w:szCs w:val="24"/>
        </w:rPr>
        <w:t>.</w:t>
      </w:r>
      <w:r w:rsidRPr="00833ECA" w:rsidR="00DB01F7">
        <w:rPr>
          <w:szCs w:val="24"/>
        </w:rPr>
        <w:t xml:space="preserve"> </w:t>
      </w:r>
      <w:r w:rsidR="00B340BC">
        <w:rPr>
          <w:szCs w:val="24"/>
        </w:rPr>
        <w:t>S</w:t>
      </w:r>
      <w:r w:rsidRPr="00833ECA" w:rsidR="00B340BC">
        <w:rPr>
          <w:szCs w:val="24"/>
        </w:rPr>
        <w:t xml:space="preserve">ome </w:t>
      </w:r>
      <w:r w:rsidRPr="00833ECA" w:rsidR="00DB01F7">
        <w:rPr>
          <w:szCs w:val="24"/>
        </w:rPr>
        <w:t xml:space="preserve">questions and probes </w:t>
      </w:r>
      <w:r w:rsidR="009416C5">
        <w:rPr>
          <w:szCs w:val="24"/>
        </w:rPr>
        <w:t xml:space="preserve">are </w:t>
      </w:r>
      <w:r w:rsidRPr="00833ECA" w:rsidR="00DB01F7">
        <w:rPr>
          <w:szCs w:val="24"/>
        </w:rPr>
        <w:t xml:space="preserve">asked across all respondent types and </w:t>
      </w:r>
      <w:r w:rsidR="00B340BC">
        <w:rPr>
          <w:szCs w:val="24"/>
        </w:rPr>
        <w:t>others are</w:t>
      </w:r>
      <w:r w:rsidRPr="00833ECA" w:rsidR="00DB01F7">
        <w:rPr>
          <w:szCs w:val="24"/>
        </w:rPr>
        <w:t xml:space="preserve"> specific to individual respondent types</w:t>
      </w:r>
      <w:r w:rsidRPr="00833ECA" w:rsidR="001C26B1">
        <w:rPr>
          <w:b/>
          <w:szCs w:val="24"/>
        </w:rPr>
        <w:t xml:space="preserve">. </w:t>
      </w:r>
      <w:r w:rsidRPr="00833ECA" w:rsidR="00412387">
        <w:rPr>
          <w:szCs w:val="24"/>
        </w:rPr>
        <w:t xml:space="preserve">All respondents will be interviewed once in Year 3 </w:t>
      </w:r>
      <w:r w:rsidRPr="00833ECA" w:rsidR="001C5E76">
        <w:rPr>
          <w:szCs w:val="24"/>
        </w:rPr>
        <w:t xml:space="preserve">of </w:t>
      </w:r>
      <w:r w:rsidRPr="00833ECA" w:rsidR="00E04B7C">
        <w:rPr>
          <w:szCs w:val="24"/>
        </w:rPr>
        <w:t xml:space="preserve">the evaluation period </w:t>
      </w:r>
      <w:r w:rsidRPr="00833ECA" w:rsidR="00E04B7C">
        <w:rPr>
          <w:b/>
          <w:szCs w:val="24"/>
        </w:rPr>
        <w:t>(see Attachment</w:t>
      </w:r>
      <w:r w:rsidRPr="00833ECA" w:rsidR="008F61F1">
        <w:rPr>
          <w:b/>
          <w:szCs w:val="24"/>
        </w:rPr>
        <w:t xml:space="preserve">s </w:t>
      </w:r>
      <w:r w:rsidR="005172A9">
        <w:rPr>
          <w:rFonts w:cs="Times New Roman"/>
          <w:b/>
          <w:szCs w:val="24"/>
        </w:rPr>
        <w:t>4d</w:t>
      </w:r>
      <w:r w:rsidRPr="00833ECA" w:rsidR="00AD2821">
        <w:rPr>
          <w:rFonts w:cs="Times New Roman"/>
          <w:b/>
          <w:szCs w:val="24"/>
        </w:rPr>
        <w:t xml:space="preserve">, </w:t>
      </w:r>
      <w:r w:rsidR="005172A9">
        <w:rPr>
          <w:rFonts w:cs="Times New Roman"/>
          <w:b/>
          <w:szCs w:val="24"/>
        </w:rPr>
        <w:t>4e</w:t>
      </w:r>
      <w:r w:rsidRPr="00833ECA" w:rsidR="00AD2821">
        <w:rPr>
          <w:rFonts w:cs="Times New Roman"/>
          <w:b/>
          <w:szCs w:val="24"/>
        </w:rPr>
        <w:t xml:space="preserve">, and </w:t>
      </w:r>
      <w:r w:rsidR="005172A9">
        <w:rPr>
          <w:rFonts w:cs="Times New Roman"/>
          <w:b/>
          <w:szCs w:val="24"/>
        </w:rPr>
        <w:t>4f</w:t>
      </w:r>
      <w:r w:rsidRPr="00833ECA" w:rsidR="008F61F1">
        <w:rPr>
          <w:rFonts w:cs="Times New Roman"/>
          <w:b/>
          <w:szCs w:val="24"/>
        </w:rPr>
        <w:t xml:space="preserve">).  </w:t>
      </w:r>
      <w:r w:rsidR="00402196">
        <w:rPr>
          <w:szCs w:val="24"/>
        </w:rPr>
        <w:t>A</w:t>
      </w:r>
      <w:r w:rsidRPr="00833ECA" w:rsidR="00402196">
        <w:rPr>
          <w:szCs w:val="24"/>
        </w:rPr>
        <w:t xml:space="preserve">ll participants will be read an informed consent statement prior to participating in the interviews </w:t>
      </w:r>
      <w:r w:rsidRPr="00833ECA" w:rsidR="00402196">
        <w:rPr>
          <w:b/>
          <w:szCs w:val="24"/>
        </w:rPr>
        <w:t xml:space="preserve">(Attachment </w:t>
      </w:r>
      <w:r w:rsidR="00402196">
        <w:rPr>
          <w:b/>
          <w:szCs w:val="24"/>
        </w:rPr>
        <w:t>4g</w:t>
      </w:r>
      <w:r w:rsidRPr="00833ECA" w:rsidR="00402196">
        <w:rPr>
          <w:b/>
          <w:szCs w:val="24"/>
        </w:rPr>
        <w:t xml:space="preserve">). </w:t>
      </w:r>
      <w:r w:rsidRPr="00833ECA" w:rsidR="00912117">
        <w:rPr>
          <w:szCs w:val="24"/>
        </w:rPr>
        <w:t xml:space="preserve">Information gathered via case studies will be used </w:t>
      </w:r>
      <w:r w:rsidRPr="00833ECA">
        <w:rPr>
          <w:szCs w:val="24"/>
        </w:rPr>
        <w:t xml:space="preserve">to describe implementation of TTA </w:t>
      </w:r>
      <w:r w:rsidR="00B340BC">
        <w:rPr>
          <w:szCs w:val="24"/>
        </w:rPr>
        <w:t xml:space="preserve">and its </w:t>
      </w:r>
      <w:r w:rsidRPr="00833ECA">
        <w:rPr>
          <w:szCs w:val="24"/>
        </w:rPr>
        <w:t xml:space="preserve">components, the factors that affect implementation, and perceived effectiveness of activities. </w:t>
      </w:r>
    </w:p>
    <w:p w:rsidRPr="00833ECA" w:rsidR="00B230DB" w:rsidP="006C2133" w:rsidRDefault="00E04B7C" w14:paraId="2625D8DE" w14:textId="77777777">
      <w:pPr>
        <w:pStyle w:val="DocumentBodyText"/>
        <w:spacing w:line="240" w:lineRule="auto"/>
        <w:jc w:val="left"/>
        <w:rPr>
          <w:szCs w:val="24"/>
        </w:rPr>
      </w:pPr>
      <w:r w:rsidRPr="00833ECA">
        <w:rPr>
          <w:szCs w:val="24"/>
        </w:rPr>
        <w:t>T</w:t>
      </w:r>
      <w:r w:rsidRPr="00833ECA" w:rsidR="00CA682E">
        <w:rPr>
          <w:szCs w:val="24"/>
        </w:rPr>
        <w:t xml:space="preserve">he web-survey </w:t>
      </w:r>
      <w:r w:rsidRPr="00833ECA" w:rsidR="000F4759">
        <w:rPr>
          <w:szCs w:val="24"/>
        </w:rPr>
        <w:t>will</w:t>
      </w:r>
      <w:r w:rsidRPr="00833ECA" w:rsidR="00CA682E">
        <w:rPr>
          <w:szCs w:val="24"/>
        </w:rPr>
        <w:t xml:space="preserve"> assess </w:t>
      </w:r>
      <w:r w:rsidRPr="00833ECA" w:rsidR="00E926C2">
        <w:rPr>
          <w:szCs w:val="24"/>
        </w:rPr>
        <w:t xml:space="preserve">the </w:t>
      </w:r>
      <w:r w:rsidRPr="00833ECA" w:rsidR="00CA682E">
        <w:rPr>
          <w:szCs w:val="24"/>
        </w:rPr>
        <w:t xml:space="preserve">amount and type of TTA received and </w:t>
      </w:r>
      <w:r w:rsidRPr="00833ECA" w:rsidR="00912117">
        <w:rPr>
          <w:szCs w:val="24"/>
        </w:rPr>
        <w:t>the</w:t>
      </w:r>
      <w:r w:rsidRPr="00833ECA" w:rsidR="00CA682E">
        <w:rPr>
          <w:szCs w:val="24"/>
        </w:rPr>
        <w:t xml:space="preserve"> perceived effectiveness</w:t>
      </w:r>
      <w:r w:rsidRPr="00833ECA" w:rsidR="00912117">
        <w:rPr>
          <w:szCs w:val="24"/>
        </w:rPr>
        <w:t xml:space="preserve"> of TTA</w:t>
      </w:r>
      <w:r w:rsidRPr="00402196" w:rsidR="00402196">
        <w:rPr>
          <w:szCs w:val="24"/>
        </w:rPr>
        <w:t xml:space="preserve"> </w:t>
      </w:r>
      <w:r w:rsidRPr="00833ECA" w:rsidR="00402196">
        <w:rPr>
          <w:szCs w:val="24"/>
        </w:rPr>
        <w:t>from NCCCP</w:t>
      </w:r>
      <w:r w:rsidR="00402196">
        <w:rPr>
          <w:szCs w:val="24"/>
        </w:rPr>
        <w:t xml:space="preserve"> awardee</w:t>
      </w:r>
      <w:r w:rsidRPr="00833ECA" w:rsidR="00402196">
        <w:rPr>
          <w:szCs w:val="24"/>
        </w:rPr>
        <w:t xml:space="preserve"> programs, partners, and coalition member organizations</w:t>
      </w:r>
      <w:r w:rsidRPr="00833ECA" w:rsidR="005B76B5">
        <w:rPr>
          <w:szCs w:val="24"/>
        </w:rPr>
        <w:t xml:space="preserve">. </w:t>
      </w:r>
      <w:r w:rsidRPr="00833ECA" w:rsidR="005F635E">
        <w:t xml:space="preserve">The </w:t>
      </w:r>
      <w:r w:rsidR="009416C5">
        <w:t>evaluato</w:t>
      </w:r>
      <w:r w:rsidRPr="00833ECA" w:rsidR="005F635E">
        <w:t xml:space="preserve">r will recruit </w:t>
      </w:r>
      <w:r w:rsidRPr="00833ECA" w:rsidR="007C503F">
        <w:t xml:space="preserve">and communicate with </w:t>
      </w:r>
      <w:r w:rsidRPr="00833ECA" w:rsidR="005F7216">
        <w:t>web-based survey</w:t>
      </w:r>
      <w:r w:rsidRPr="00833ECA" w:rsidR="005F635E">
        <w:t xml:space="preserve"> </w:t>
      </w:r>
      <w:r w:rsidRPr="00833ECA" w:rsidR="00825EB7">
        <w:t>participants</w:t>
      </w:r>
      <w:r w:rsidR="006C2133">
        <w:t xml:space="preserve"> with a pre-notification e-mail (</w:t>
      </w:r>
      <w:r w:rsidRPr="008E4D02" w:rsidR="006C2133">
        <w:rPr>
          <w:b/>
        </w:rPr>
        <w:t>Attachment 5a</w:t>
      </w:r>
      <w:r w:rsidR="006C2133">
        <w:t>), an invitation e-mail (</w:t>
      </w:r>
      <w:r w:rsidRPr="008E4D02" w:rsidR="006C2133">
        <w:rPr>
          <w:b/>
        </w:rPr>
        <w:t>Attachment 5b</w:t>
      </w:r>
      <w:r w:rsidR="006C2133">
        <w:t xml:space="preserve">), </w:t>
      </w:r>
      <w:r w:rsidR="00FC60B7">
        <w:t xml:space="preserve">and </w:t>
      </w:r>
      <w:r w:rsidR="006C2133">
        <w:t xml:space="preserve">reminder e-mails </w:t>
      </w:r>
      <w:r w:rsidR="00B83E1A">
        <w:t>(</w:t>
      </w:r>
      <w:r w:rsidRPr="00FB5803" w:rsidR="00B83E1A">
        <w:rPr>
          <w:b/>
        </w:rPr>
        <w:t xml:space="preserve">Attachment </w:t>
      </w:r>
      <w:r w:rsidR="00402196">
        <w:rPr>
          <w:b/>
        </w:rPr>
        <w:t>5</w:t>
      </w:r>
      <w:r w:rsidR="006C2133">
        <w:rPr>
          <w:b/>
        </w:rPr>
        <w:t>c</w:t>
      </w:r>
      <w:r w:rsidR="00B83E1A">
        <w:t>)</w:t>
      </w:r>
      <w:r w:rsidR="006C2133">
        <w:t>.</w:t>
      </w:r>
      <w:r w:rsidR="00B83E1A">
        <w:t xml:space="preserve"> </w:t>
      </w:r>
      <w:r w:rsidR="006C2133">
        <w:rPr>
          <w:szCs w:val="24"/>
        </w:rPr>
        <w:t>T</w:t>
      </w:r>
      <w:r w:rsidRPr="00833ECA" w:rsidR="005F635E">
        <w:rPr>
          <w:szCs w:val="24"/>
        </w:rPr>
        <w:t xml:space="preserve">he </w:t>
      </w:r>
      <w:r w:rsidRPr="00833ECA" w:rsidR="005F7216">
        <w:rPr>
          <w:szCs w:val="24"/>
        </w:rPr>
        <w:t>web-based survey</w:t>
      </w:r>
      <w:r w:rsidRPr="00833ECA" w:rsidR="005F635E">
        <w:rPr>
          <w:szCs w:val="24"/>
        </w:rPr>
        <w:t xml:space="preserve"> </w:t>
      </w:r>
      <w:r w:rsidR="006C2133">
        <w:rPr>
          <w:szCs w:val="24"/>
        </w:rPr>
        <w:t>(</w:t>
      </w:r>
      <w:r w:rsidRPr="008E4D02" w:rsidR="006C2133">
        <w:rPr>
          <w:b/>
          <w:szCs w:val="24"/>
        </w:rPr>
        <w:t>Attachments 5d-5e</w:t>
      </w:r>
      <w:r w:rsidR="006C2133">
        <w:rPr>
          <w:szCs w:val="24"/>
        </w:rPr>
        <w:t xml:space="preserve">) will be administered </w:t>
      </w:r>
      <w:r w:rsidRPr="00833ECA" w:rsidR="00DA4251">
        <w:rPr>
          <w:szCs w:val="24"/>
        </w:rPr>
        <w:t xml:space="preserve">with recruited individuals </w:t>
      </w:r>
      <w:r w:rsidRPr="00833ECA" w:rsidR="001C5E76">
        <w:rPr>
          <w:szCs w:val="24"/>
        </w:rPr>
        <w:t xml:space="preserve">two </w:t>
      </w:r>
      <w:r w:rsidRPr="00833ECA" w:rsidR="00DA4251">
        <w:rPr>
          <w:szCs w:val="24"/>
        </w:rPr>
        <w:t>time</w:t>
      </w:r>
      <w:r w:rsidRPr="00833ECA" w:rsidR="001C5E76">
        <w:rPr>
          <w:szCs w:val="24"/>
        </w:rPr>
        <w:t>s</w:t>
      </w:r>
      <w:r w:rsidRPr="00833ECA" w:rsidR="00DA4251">
        <w:rPr>
          <w:szCs w:val="24"/>
        </w:rPr>
        <w:t xml:space="preserve"> </w:t>
      </w:r>
      <w:r w:rsidRPr="00833ECA" w:rsidR="00912117">
        <w:rPr>
          <w:szCs w:val="24"/>
        </w:rPr>
        <w:t>during the study period</w:t>
      </w:r>
      <w:r w:rsidRPr="00833ECA" w:rsidR="001C5E76">
        <w:rPr>
          <w:szCs w:val="24"/>
        </w:rPr>
        <w:t>—once in Year 2, and once in Year 4</w:t>
      </w:r>
      <w:r w:rsidRPr="00833ECA" w:rsidR="008F61F1">
        <w:rPr>
          <w:b/>
          <w:szCs w:val="24"/>
        </w:rPr>
        <w:t xml:space="preserve">. </w:t>
      </w:r>
      <w:r w:rsidRPr="00833ECA" w:rsidR="006C2133">
        <w:rPr>
          <w:szCs w:val="24"/>
        </w:rPr>
        <w:t xml:space="preserve">An informed consent statement will be included on the cover page of the survey instrument prior to the instrument questions </w:t>
      </w:r>
      <w:r w:rsidRPr="00833ECA" w:rsidR="006C2133">
        <w:rPr>
          <w:b/>
          <w:szCs w:val="24"/>
        </w:rPr>
        <w:t xml:space="preserve">(Attachment </w:t>
      </w:r>
      <w:r w:rsidR="006C2133">
        <w:rPr>
          <w:b/>
          <w:szCs w:val="24"/>
        </w:rPr>
        <w:t>5</w:t>
      </w:r>
      <w:r w:rsidR="0046587D">
        <w:rPr>
          <w:b/>
          <w:szCs w:val="24"/>
        </w:rPr>
        <w:t>f</w:t>
      </w:r>
      <w:r w:rsidRPr="00833ECA" w:rsidR="006C2133">
        <w:rPr>
          <w:b/>
          <w:szCs w:val="24"/>
        </w:rPr>
        <w:t>)</w:t>
      </w:r>
      <w:r w:rsidR="0046587D">
        <w:rPr>
          <w:b/>
          <w:szCs w:val="24"/>
        </w:rPr>
        <w:t xml:space="preserve"> </w:t>
      </w:r>
      <w:r w:rsidR="0046587D">
        <w:rPr>
          <w:szCs w:val="24"/>
        </w:rPr>
        <w:t>and a thank you e-mail will be sent if the survey is completed (</w:t>
      </w:r>
      <w:r w:rsidR="0046587D">
        <w:rPr>
          <w:b/>
          <w:szCs w:val="24"/>
        </w:rPr>
        <w:t>Attachment 5g</w:t>
      </w:r>
      <w:r w:rsidR="0046587D">
        <w:rPr>
          <w:szCs w:val="24"/>
        </w:rPr>
        <w:t>)</w:t>
      </w:r>
      <w:r w:rsidRPr="00833ECA" w:rsidR="006C2133">
        <w:rPr>
          <w:szCs w:val="24"/>
        </w:rPr>
        <w:t>.</w:t>
      </w:r>
    </w:p>
    <w:p w:rsidRPr="00833ECA" w:rsidR="00B230DB" w:rsidP="00FB5803" w:rsidRDefault="00DA71F8" w14:paraId="14FD7A8B" w14:textId="77777777">
      <w:r w:rsidRPr="00833ECA">
        <w:t xml:space="preserve">Collectively, the proposed information collection activities </w:t>
      </w:r>
      <w:r w:rsidRPr="00833ECA" w:rsidR="008E0705">
        <w:t xml:space="preserve">and tools have been designed specifically to meet the aims of this assessment and </w:t>
      </w:r>
      <w:r w:rsidRPr="00833ECA">
        <w:t xml:space="preserve">will contribute to </w:t>
      </w:r>
      <w:r w:rsidRPr="00833ECA" w:rsidR="00E04B7C">
        <w:t>CDC’s ability</w:t>
      </w:r>
      <w:r w:rsidRPr="00833ECA" w:rsidR="008E0705">
        <w:t xml:space="preserve"> </w:t>
      </w:r>
      <w:r w:rsidRPr="00833ECA">
        <w:t xml:space="preserve">to demonstrate </w:t>
      </w:r>
      <w:r w:rsidRPr="00833ECA" w:rsidR="00E04B7C">
        <w:t xml:space="preserve">the </w:t>
      </w:r>
      <w:r w:rsidRPr="00833ECA">
        <w:t>results</w:t>
      </w:r>
      <w:r w:rsidRPr="00833ECA" w:rsidR="00E04B7C">
        <w:t xml:space="preserve"> of TTA administered</w:t>
      </w:r>
      <w:r w:rsidRPr="00833ECA">
        <w:t>.</w:t>
      </w:r>
      <w:r w:rsidRPr="00833ECA" w:rsidR="00E04B7C">
        <w:t xml:space="preserve"> This</w:t>
      </w:r>
      <w:r w:rsidRPr="00833ECA">
        <w:t xml:space="preserve"> </w:t>
      </w:r>
      <w:r w:rsidRPr="00833ECA" w:rsidR="00E04B7C">
        <w:t xml:space="preserve">information </w:t>
      </w:r>
      <w:r w:rsidRPr="00833ECA">
        <w:t xml:space="preserve">will also help </w:t>
      </w:r>
      <w:r w:rsidR="0054300E">
        <w:t>with the</w:t>
      </w:r>
      <w:r w:rsidRPr="00833ECA" w:rsidR="008E0705">
        <w:t xml:space="preserve"> types of TTA activities that best enhance NCCCP </w:t>
      </w:r>
      <w:r w:rsidRPr="00833ECA" w:rsidR="001107F7">
        <w:t>awardees</w:t>
      </w:r>
      <w:r w:rsidRPr="00833ECA" w:rsidR="008E0705">
        <w:t xml:space="preserve">’ capacity to implement high-quality, evidence-based strategies for cancer prevention and control.  </w:t>
      </w:r>
      <w:r w:rsidR="0054300E">
        <w:t>This</w:t>
      </w:r>
      <w:r w:rsidRPr="00833ECA" w:rsidR="00A84516">
        <w:t xml:space="preserve"> information </w:t>
      </w:r>
      <w:r w:rsidR="0054300E">
        <w:t>can</w:t>
      </w:r>
      <w:r w:rsidRPr="00833ECA" w:rsidR="0054300E">
        <w:t xml:space="preserve"> </w:t>
      </w:r>
      <w:r w:rsidRPr="00833ECA" w:rsidR="00A84516">
        <w:t xml:space="preserve">develop new </w:t>
      </w:r>
      <w:r w:rsidR="0054300E">
        <w:t xml:space="preserve">or enhance existing </w:t>
      </w:r>
      <w:r w:rsidRPr="00833ECA" w:rsidR="00A84516">
        <w:t xml:space="preserve">TTA support systems </w:t>
      </w:r>
      <w:r w:rsidRPr="00833ECA" w:rsidR="009B664F">
        <w:t>for NCCCP</w:t>
      </w:r>
      <w:r w:rsidRPr="00833ECA" w:rsidR="00A84516">
        <w:t xml:space="preserve"> </w:t>
      </w:r>
      <w:r w:rsidRPr="00833ECA" w:rsidR="001107F7">
        <w:t xml:space="preserve">awardees </w:t>
      </w:r>
      <w:r w:rsidRPr="00833ECA" w:rsidR="00A84516">
        <w:t>in the future.</w:t>
      </w:r>
    </w:p>
    <w:p w:rsidRPr="00833ECA" w:rsidR="009F3397" w:rsidP="000D7962" w:rsidRDefault="009F3397" w14:paraId="5B52DB52" w14:textId="77777777">
      <w:pPr>
        <w:jc w:val="both"/>
      </w:pPr>
    </w:p>
    <w:p w:rsidRPr="00833ECA" w:rsidR="0060474F" w:rsidP="000D7962" w:rsidRDefault="00AC6064" w14:paraId="14B4B4CE" w14:textId="77777777">
      <w:pPr>
        <w:rPr>
          <w:b/>
          <w:bCs/>
        </w:rPr>
      </w:pPr>
      <w:r w:rsidRPr="00833ECA">
        <w:rPr>
          <w:b/>
          <w:bCs/>
        </w:rPr>
        <w:t>A3.  Use of Improved Information Technology and Burden Reduction</w:t>
      </w:r>
    </w:p>
    <w:p w:rsidRPr="00833ECA" w:rsidR="00AC6064" w:rsidP="000D7962" w:rsidRDefault="00AC6064" w14:paraId="7388F868" w14:textId="77777777">
      <w:pPr>
        <w:rPr>
          <w:b/>
          <w:bCs/>
        </w:rPr>
      </w:pPr>
    </w:p>
    <w:p w:rsidRPr="00833ECA" w:rsidR="00625FC9" w:rsidP="00F26905" w:rsidRDefault="00625FC9" w14:paraId="68AEA91C" w14:textId="77777777">
      <w:r w:rsidRPr="00833ECA">
        <w:t>All information collecti</w:t>
      </w:r>
      <w:r w:rsidRPr="00833ECA" w:rsidR="00EE44B5">
        <w:t>on will be conducted remotely</w:t>
      </w:r>
      <w:r w:rsidRPr="00833ECA" w:rsidR="00AA6A5C">
        <w:t xml:space="preserve"> – </w:t>
      </w:r>
      <w:r w:rsidRPr="00833ECA" w:rsidR="00095FBA">
        <w:t>case study</w:t>
      </w:r>
      <w:r w:rsidRPr="00833ECA">
        <w:t xml:space="preserve"> interviews will be conducted via phone </w:t>
      </w:r>
      <w:r w:rsidR="00BA35B3">
        <w:t>(</w:t>
      </w:r>
      <w:r w:rsidRPr="004D666A" w:rsidR="00BA35B3">
        <w:rPr>
          <w:b/>
        </w:rPr>
        <w:t>Attachments 4</w:t>
      </w:r>
      <w:r w:rsidR="008E4D02">
        <w:rPr>
          <w:b/>
        </w:rPr>
        <w:t>d</w:t>
      </w:r>
      <w:r w:rsidRPr="004D666A" w:rsidR="00BA35B3">
        <w:rPr>
          <w:b/>
        </w:rPr>
        <w:t>-4</w:t>
      </w:r>
      <w:r w:rsidR="008E4D02">
        <w:rPr>
          <w:b/>
        </w:rPr>
        <w:t>f</w:t>
      </w:r>
      <w:r w:rsidR="00BA35B3">
        <w:t xml:space="preserve">) </w:t>
      </w:r>
      <w:r w:rsidRPr="00833ECA">
        <w:t>and the survey</w:t>
      </w:r>
      <w:r w:rsidRPr="00833ECA" w:rsidR="00EE44B5">
        <w:t xml:space="preserve"> will be conducted via </w:t>
      </w:r>
      <w:r w:rsidRPr="00833ECA" w:rsidR="00C049B3">
        <w:t>the Web</w:t>
      </w:r>
      <w:r w:rsidRPr="00833ECA" w:rsidR="00836C01">
        <w:t xml:space="preserve"> (</w:t>
      </w:r>
      <w:r w:rsidRPr="00833ECA" w:rsidR="00836C01">
        <w:rPr>
          <w:b/>
        </w:rPr>
        <w:t xml:space="preserve">Attachment </w:t>
      </w:r>
      <w:r w:rsidR="00BA35B3">
        <w:rPr>
          <w:b/>
        </w:rPr>
        <w:t>5</w:t>
      </w:r>
      <w:r w:rsidR="006C2133">
        <w:rPr>
          <w:b/>
        </w:rPr>
        <w:t>d-5e</w:t>
      </w:r>
      <w:r w:rsidRPr="00833ECA" w:rsidR="007275DF">
        <w:rPr>
          <w:b/>
        </w:rPr>
        <w:t>)</w:t>
      </w:r>
      <w:r w:rsidRPr="00833ECA" w:rsidR="006B47BD">
        <w:t xml:space="preserve">. </w:t>
      </w:r>
      <w:r w:rsidRPr="00833ECA" w:rsidR="00836C01">
        <w:t>Both methods use pre-existing web infrastructure and were chosen to reduce the overall burden on respondents.</w:t>
      </w:r>
      <w:r w:rsidRPr="00833ECA" w:rsidR="004915EF">
        <w:t xml:space="preserve"> </w:t>
      </w:r>
      <w:r w:rsidRPr="00833ECA" w:rsidR="001E05F9">
        <w:t xml:space="preserve">Conducting case study interviews by phone will allow respondents to </w:t>
      </w:r>
      <w:r w:rsidRPr="00833ECA" w:rsidR="001E05F9">
        <w:lastRenderedPageBreak/>
        <w:t>participate from whatever location is most convenient to them</w:t>
      </w:r>
      <w:r w:rsidRPr="00833ECA" w:rsidR="002A4608">
        <w:t>,</w:t>
      </w:r>
      <w:r w:rsidRPr="00833ECA" w:rsidR="001E05F9">
        <w:t xml:space="preserve"> and </w:t>
      </w:r>
      <w:r w:rsidRPr="00833ECA" w:rsidR="002A4608">
        <w:t xml:space="preserve">likely </w:t>
      </w:r>
      <w:r w:rsidRPr="00833ECA" w:rsidR="001E05F9">
        <w:t xml:space="preserve">requires less </w:t>
      </w:r>
      <w:r w:rsidRPr="00833ECA" w:rsidR="002A4608">
        <w:t xml:space="preserve">time and resources to coordinate </w:t>
      </w:r>
      <w:r w:rsidRPr="00833ECA" w:rsidR="001E05F9">
        <w:t xml:space="preserve">in-person </w:t>
      </w:r>
      <w:r w:rsidRPr="00833ECA" w:rsidR="002A4608">
        <w:t>interviews</w:t>
      </w:r>
      <w:r w:rsidRPr="00833ECA" w:rsidR="001E05F9">
        <w:t xml:space="preserve">. </w:t>
      </w:r>
      <w:r w:rsidRPr="00833ECA" w:rsidR="004915EF">
        <w:t>The web-based platform for the survey allows respondents flexibility, in that they are not required to complete the survey all at once; respondents can return to the survey a</w:t>
      </w:r>
      <w:r w:rsidR="001D28E8">
        <w:t>t</w:t>
      </w:r>
      <w:r w:rsidRPr="00833ECA" w:rsidR="004915EF">
        <w:t xml:space="preserve"> different time points that are convenient to their schedule in order to complete the survey.  </w:t>
      </w:r>
    </w:p>
    <w:p w:rsidRPr="00833ECA" w:rsidR="00E12D52" w:rsidP="000D7962" w:rsidRDefault="00E12D52" w14:paraId="0F9A96C7" w14:textId="77777777">
      <w:pPr>
        <w:pStyle w:val="bodytextCharCharChar"/>
        <w:spacing w:after="0"/>
        <w:ind w:firstLine="0"/>
      </w:pPr>
    </w:p>
    <w:p w:rsidRPr="00833ECA" w:rsidR="00823B35" w:rsidP="000D7962" w:rsidRDefault="00823B35" w14:paraId="38971095" w14:textId="77777777">
      <w:pPr>
        <w:rPr>
          <w:b/>
          <w:bCs/>
        </w:rPr>
      </w:pPr>
      <w:r w:rsidRPr="00833ECA">
        <w:rPr>
          <w:b/>
          <w:bCs/>
        </w:rPr>
        <w:t>A4.  Efforts to Identify Duplication and Use of Similar Information</w:t>
      </w:r>
    </w:p>
    <w:p w:rsidRPr="00833ECA" w:rsidR="00823B35" w:rsidP="000D7962" w:rsidRDefault="00823B35" w14:paraId="1663F820" w14:textId="77777777">
      <w:pPr>
        <w:rPr>
          <w:b/>
          <w:bCs/>
        </w:rPr>
      </w:pPr>
    </w:p>
    <w:p w:rsidRPr="00833ECA" w:rsidR="00B64BBC" w:rsidP="00F26905" w:rsidRDefault="00272027" w14:paraId="1432AEDB" w14:textId="77777777">
      <w:pPr>
        <w:pStyle w:val="Header"/>
        <w:tabs>
          <w:tab w:val="left" w:pos="720"/>
        </w:tabs>
        <w:jc w:val="both"/>
        <w:rPr>
          <w:i/>
        </w:rPr>
      </w:pPr>
      <w:r w:rsidRPr="00833ECA">
        <w:t xml:space="preserve">The </w:t>
      </w:r>
      <w:r w:rsidRPr="00833ECA" w:rsidR="00942B8B">
        <w:t>proposed information collection</w:t>
      </w:r>
      <w:r w:rsidRPr="00833ECA" w:rsidR="00121C68">
        <w:t xml:space="preserve"> </w:t>
      </w:r>
      <w:r w:rsidRPr="00833ECA" w:rsidR="00942B8B">
        <w:t xml:space="preserve">is unique in that </w:t>
      </w:r>
      <w:r w:rsidRPr="00833ECA" w:rsidR="00E81BE7">
        <w:t xml:space="preserve">it is the only data collection effort </w:t>
      </w:r>
      <w:r w:rsidRPr="00833ECA" w:rsidR="00FE57B0">
        <w:t xml:space="preserve">to assess implementation </w:t>
      </w:r>
      <w:r w:rsidRPr="00833ECA" w:rsidR="00E81BE7">
        <w:t xml:space="preserve">and efficacy </w:t>
      </w:r>
      <w:r w:rsidRPr="00833ECA" w:rsidR="00AC1CBF">
        <w:t xml:space="preserve">of </w:t>
      </w:r>
      <w:r w:rsidRPr="00833ECA" w:rsidR="00FE57B0">
        <w:t xml:space="preserve">TTA </w:t>
      </w:r>
      <w:r w:rsidRPr="00833ECA" w:rsidR="00E81BE7">
        <w:t>under DP18-1805</w:t>
      </w:r>
      <w:r w:rsidRPr="00833ECA" w:rsidR="00FE57B0">
        <w:t>.</w:t>
      </w:r>
      <w:r w:rsidRPr="00833ECA" w:rsidR="00ED5D36">
        <w:t xml:space="preserve"> Document review was conducted on progress reports, work plans and evaluation plans to ensure information collected through the case study interviews</w:t>
      </w:r>
      <w:r w:rsidR="00BA35B3">
        <w:t>,</w:t>
      </w:r>
      <w:r w:rsidRPr="00833ECA" w:rsidR="00E81BE7">
        <w:t xml:space="preserve"> and</w:t>
      </w:r>
      <w:r w:rsidRPr="00833ECA" w:rsidR="00ED5D36">
        <w:t xml:space="preserve"> </w:t>
      </w:r>
      <w:r w:rsidRPr="00833ECA" w:rsidR="00E25116">
        <w:t xml:space="preserve">the </w:t>
      </w:r>
      <w:r w:rsidRPr="00833ECA" w:rsidR="00ED5D36">
        <w:t>web-based survey was not duplicative.</w:t>
      </w:r>
    </w:p>
    <w:p w:rsidRPr="00833ECA" w:rsidR="00413F69" w:rsidP="00D34777" w:rsidRDefault="00413F69" w14:paraId="776AC91E" w14:textId="77777777">
      <w:pPr>
        <w:rPr>
          <w:b/>
          <w:bCs/>
        </w:rPr>
      </w:pPr>
    </w:p>
    <w:p w:rsidRPr="00833ECA" w:rsidR="0059184B" w:rsidP="000D7962" w:rsidRDefault="0059184B" w14:paraId="56B281A1" w14:textId="77777777">
      <w:pPr>
        <w:rPr>
          <w:b/>
          <w:bCs/>
        </w:rPr>
      </w:pPr>
      <w:r w:rsidRPr="00833ECA">
        <w:rPr>
          <w:b/>
          <w:bCs/>
        </w:rPr>
        <w:t xml:space="preserve">A5.  Impact on Small Businesses or Other </w:t>
      </w:r>
      <w:r w:rsidRPr="00833ECA" w:rsidR="00DF4A27">
        <w:rPr>
          <w:b/>
          <w:bCs/>
        </w:rPr>
        <w:t xml:space="preserve">Small </w:t>
      </w:r>
      <w:r w:rsidRPr="00833ECA">
        <w:rPr>
          <w:b/>
          <w:bCs/>
        </w:rPr>
        <w:t>Entities</w:t>
      </w:r>
    </w:p>
    <w:p w:rsidRPr="00833ECA" w:rsidR="0059184B" w:rsidP="000D7962" w:rsidRDefault="0059184B" w14:paraId="1923CF8A" w14:textId="77777777">
      <w:pPr>
        <w:rPr>
          <w:b/>
          <w:bCs/>
        </w:rPr>
      </w:pPr>
    </w:p>
    <w:p w:rsidRPr="00833ECA" w:rsidR="001F3646" w:rsidP="00F26905" w:rsidRDefault="00E926C2" w14:paraId="0DDD90A4" w14:textId="77777777">
      <w:pPr>
        <w:jc w:val="both"/>
      </w:pPr>
      <w:r w:rsidRPr="00833ECA">
        <w:t xml:space="preserve">No small businesses will be involved in this data collection.  </w:t>
      </w:r>
    </w:p>
    <w:p w:rsidRPr="00833ECA" w:rsidR="00E926C2" w:rsidP="00D34777" w:rsidRDefault="00E926C2" w14:paraId="08029D34" w14:textId="77777777">
      <w:pPr>
        <w:jc w:val="both"/>
      </w:pPr>
    </w:p>
    <w:p w:rsidRPr="00833ECA" w:rsidR="00D02593" w:rsidP="000D7962" w:rsidRDefault="00D02593" w14:paraId="67557B27" w14:textId="77777777">
      <w:pPr>
        <w:rPr>
          <w:b/>
          <w:bCs/>
        </w:rPr>
      </w:pPr>
      <w:r w:rsidRPr="00833ECA">
        <w:rPr>
          <w:b/>
          <w:bCs/>
        </w:rPr>
        <w:t>A6.  Consequences of Collecting the Information Less Frequently</w:t>
      </w:r>
    </w:p>
    <w:p w:rsidRPr="00833ECA" w:rsidR="00D02593" w:rsidP="000D7962" w:rsidRDefault="00D02593" w14:paraId="556267E6" w14:textId="77777777">
      <w:pPr>
        <w:rPr>
          <w:b/>
          <w:bCs/>
        </w:rPr>
      </w:pPr>
    </w:p>
    <w:p w:rsidRPr="00833ECA" w:rsidR="00A21966" w:rsidP="00F26905" w:rsidRDefault="00B02370" w14:paraId="3B38CF80" w14:textId="77777777">
      <w:pPr>
        <w:rPr>
          <w:bCs/>
        </w:rPr>
      </w:pPr>
      <w:r w:rsidRPr="00833ECA">
        <w:rPr>
          <w:bCs/>
        </w:rPr>
        <w:t xml:space="preserve">This information collection is critical to expanding CDC’s </w:t>
      </w:r>
      <w:r w:rsidRPr="00833ECA" w:rsidR="005B6849">
        <w:rPr>
          <w:bCs/>
        </w:rPr>
        <w:t xml:space="preserve">understanding of </w:t>
      </w:r>
      <w:r w:rsidRPr="00833ECA" w:rsidR="00DA4251">
        <w:rPr>
          <w:bCs/>
        </w:rPr>
        <w:t xml:space="preserve">how </w:t>
      </w:r>
      <w:r w:rsidRPr="00833ECA" w:rsidR="005B6849">
        <w:rPr>
          <w:bCs/>
        </w:rPr>
        <w:t xml:space="preserve">TTA </w:t>
      </w:r>
      <w:r w:rsidRPr="00833ECA" w:rsidR="001F2AEB">
        <w:rPr>
          <w:bCs/>
        </w:rPr>
        <w:t xml:space="preserve">under </w:t>
      </w:r>
      <w:r w:rsidRPr="00833ECA" w:rsidR="002E5E8A">
        <w:rPr>
          <w:bCs/>
        </w:rPr>
        <w:t>DP18-1805</w:t>
      </w:r>
      <w:r w:rsidRPr="00833ECA" w:rsidR="001F2AEB">
        <w:rPr>
          <w:bCs/>
        </w:rPr>
        <w:t xml:space="preserve"> </w:t>
      </w:r>
      <w:r w:rsidRPr="00833ECA" w:rsidR="00A84516">
        <w:rPr>
          <w:bCs/>
        </w:rPr>
        <w:t xml:space="preserve">is </w:t>
      </w:r>
      <w:r w:rsidRPr="00833ECA" w:rsidR="005B6849">
        <w:rPr>
          <w:bCs/>
        </w:rPr>
        <w:t xml:space="preserve">being implemented and </w:t>
      </w:r>
      <w:r w:rsidRPr="00833ECA" w:rsidR="00E0494A">
        <w:rPr>
          <w:bCs/>
        </w:rPr>
        <w:t>to what extent the TTA efforts contributed to achievement in NCCCP</w:t>
      </w:r>
      <w:r w:rsidRPr="00833ECA" w:rsidR="002E5E8A">
        <w:rPr>
          <w:bCs/>
        </w:rPr>
        <w:t xml:space="preserve"> </w:t>
      </w:r>
      <w:r w:rsidRPr="00833ECA" w:rsidR="00E0494A">
        <w:rPr>
          <w:bCs/>
        </w:rPr>
        <w:t>program outcomes</w:t>
      </w:r>
      <w:r w:rsidRPr="00833ECA" w:rsidR="005B6849">
        <w:rPr>
          <w:bCs/>
        </w:rPr>
        <w:t xml:space="preserve">. </w:t>
      </w:r>
      <w:r w:rsidRPr="00833ECA" w:rsidR="00650F3F">
        <w:rPr>
          <w:bCs/>
        </w:rPr>
        <w:t>Without this information</w:t>
      </w:r>
      <w:r w:rsidRPr="00833ECA" w:rsidR="001F3646">
        <w:rPr>
          <w:bCs/>
        </w:rPr>
        <w:t xml:space="preserve"> collection</w:t>
      </w:r>
      <w:r w:rsidRPr="00833ECA" w:rsidR="00650F3F">
        <w:rPr>
          <w:bCs/>
        </w:rPr>
        <w:t xml:space="preserve">, </w:t>
      </w:r>
      <w:r w:rsidRPr="00833ECA" w:rsidR="009E0A3A">
        <w:rPr>
          <w:bCs/>
        </w:rPr>
        <w:t xml:space="preserve">CDC </w:t>
      </w:r>
      <w:r w:rsidRPr="00833ECA" w:rsidR="00650F3F">
        <w:rPr>
          <w:bCs/>
        </w:rPr>
        <w:t>w</w:t>
      </w:r>
      <w:r w:rsidRPr="00833ECA" w:rsidR="00BF680D">
        <w:rPr>
          <w:bCs/>
        </w:rPr>
        <w:t xml:space="preserve">ill have limited </w:t>
      </w:r>
      <w:r w:rsidRPr="00833ECA" w:rsidR="007E778D">
        <w:rPr>
          <w:bCs/>
        </w:rPr>
        <w:t>insight</w:t>
      </w:r>
      <w:r w:rsidRPr="00833ECA" w:rsidR="00650F3F">
        <w:rPr>
          <w:bCs/>
        </w:rPr>
        <w:t xml:space="preserve"> to plan</w:t>
      </w:r>
      <w:r w:rsidRPr="00833ECA" w:rsidR="00394A68">
        <w:rPr>
          <w:bCs/>
        </w:rPr>
        <w:t xml:space="preserve"> </w:t>
      </w:r>
      <w:r w:rsidRPr="00833ECA" w:rsidR="009E0A3A">
        <w:rPr>
          <w:bCs/>
        </w:rPr>
        <w:t xml:space="preserve">and </w:t>
      </w:r>
      <w:r w:rsidRPr="00833ECA" w:rsidR="00650F3F">
        <w:rPr>
          <w:bCs/>
        </w:rPr>
        <w:t>provide comprehensive</w:t>
      </w:r>
      <w:r w:rsidRPr="00833ECA" w:rsidR="001D0C95">
        <w:rPr>
          <w:bCs/>
        </w:rPr>
        <w:t xml:space="preserve"> </w:t>
      </w:r>
      <w:r w:rsidRPr="00833ECA" w:rsidR="009E0A3A">
        <w:rPr>
          <w:bCs/>
        </w:rPr>
        <w:t>T</w:t>
      </w:r>
      <w:r w:rsidRPr="00833ECA" w:rsidR="00650F3F">
        <w:rPr>
          <w:bCs/>
        </w:rPr>
        <w:t xml:space="preserve">TA </w:t>
      </w:r>
      <w:r w:rsidRPr="00833ECA" w:rsidR="005B6849">
        <w:rPr>
          <w:bCs/>
        </w:rPr>
        <w:t>to</w:t>
      </w:r>
      <w:r w:rsidRPr="00833ECA" w:rsidR="00394A68">
        <w:rPr>
          <w:bCs/>
        </w:rPr>
        <w:t xml:space="preserve"> </w:t>
      </w:r>
      <w:r w:rsidRPr="00833ECA" w:rsidR="006F47C1">
        <w:rPr>
          <w:bCs/>
        </w:rPr>
        <w:t>NCCCP</w:t>
      </w:r>
      <w:r w:rsidRPr="00833ECA" w:rsidR="008A36FD">
        <w:rPr>
          <w:bCs/>
        </w:rPr>
        <w:t xml:space="preserve"> </w:t>
      </w:r>
      <w:r w:rsidR="00DC7927">
        <w:rPr>
          <w:bCs/>
        </w:rPr>
        <w:t>award</w:t>
      </w:r>
      <w:r w:rsidRPr="00833ECA" w:rsidR="00DC7927">
        <w:rPr>
          <w:bCs/>
        </w:rPr>
        <w:t xml:space="preserve">ees </w:t>
      </w:r>
      <w:r w:rsidRPr="00833ECA" w:rsidR="008A1720">
        <w:rPr>
          <w:bCs/>
        </w:rPr>
        <w:t xml:space="preserve">which </w:t>
      </w:r>
      <w:r w:rsidRPr="00833ECA" w:rsidR="00A84516">
        <w:rPr>
          <w:bCs/>
        </w:rPr>
        <w:t xml:space="preserve">will limit CDC’s ability </w:t>
      </w:r>
      <w:r w:rsidRPr="00833ECA" w:rsidR="008A1720">
        <w:rPr>
          <w:bCs/>
        </w:rPr>
        <w:t xml:space="preserve">to </w:t>
      </w:r>
      <w:r w:rsidRPr="00833ECA" w:rsidR="00A84516">
        <w:rPr>
          <w:bCs/>
        </w:rPr>
        <w:t>adequately account for federal dollars spent on this public program</w:t>
      </w:r>
      <w:r w:rsidRPr="00833ECA" w:rsidR="005B6849">
        <w:rPr>
          <w:bCs/>
        </w:rPr>
        <w:t>.</w:t>
      </w:r>
      <w:r w:rsidRPr="00833ECA" w:rsidR="001A2018">
        <w:rPr>
          <w:bCs/>
        </w:rPr>
        <w:t xml:space="preserve"> </w:t>
      </w:r>
      <w:r w:rsidRPr="00833ECA" w:rsidR="001A2018">
        <w:t xml:space="preserve">Less frequent data collection would compromise CDC’s ability to fully understand </w:t>
      </w:r>
      <w:r w:rsidRPr="00833ECA" w:rsidR="00A84516">
        <w:t xml:space="preserve">and document changes in </w:t>
      </w:r>
      <w:r w:rsidRPr="00833ECA" w:rsidR="009B664F">
        <w:t>the implementation</w:t>
      </w:r>
      <w:r w:rsidRPr="00833ECA" w:rsidR="001A2018">
        <w:t xml:space="preserve"> </w:t>
      </w:r>
      <w:r w:rsidRPr="00833ECA" w:rsidR="00A84516">
        <w:t xml:space="preserve">of TTA over time </w:t>
      </w:r>
      <w:r w:rsidRPr="00833ECA" w:rsidR="001A2018">
        <w:t xml:space="preserve">and </w:t>
      </w:r>
      <w:r w:rsidRPr="00833ECA" w:rsidR="00A84516">
        <w:t xml:space="preserve">the </w:t>
      </w:r>
      <w:r w:rsidRPr="00833ECA" w:rsidR="001A2018">
        <w:t xml:space="preserve">potential success of </w:t>
      </w:r>
      <w:r w:rsidRPr="00833ECA" w:rsidR="00E0494A">
        <w:t xml:space="preserve">the </w:t>
      </w:r>
      <w:r w:rsidRPr="00833ECA" w:rsidR="001A2018">
        <w:t xml:space="preserve">cooperative agreement. </w:t>
      </w:r>
    </w:p>
    <w:p w:rsidRPr="00833ECA" w:rsidR="00A21966" w:rsidP="00F26905" w:rsidRDefault="00A21966" w14:paraId="0D7D3F63" w14:textId="77777777">
      <w:pPr>
        <w:rPr>
          <w:bCs/>
        </w:rPr>
      </w:pPr>
    </w:p>
    <w:p w:rsidRPr="00833ECA" w:rsidR="00816CB7" w:rsidP="00F26905" w:rsidRDefault="00CA0A4D" w14:paraId="18F5834C" w14:textId="77777777">
      <w:pPr>
        <w:rPr>
          <w:b/>
          <w:bCs/>
        </w:rPr>
      </w:pPr>
      <w:r w:rsidRPr="00833ECA">
        <w:rPr>
          <w:b/>
          <w:bCs/>
        </w:rPr>
        <w:t>A7.  Special Circumstances Relating to the Guidelines of 5 CFR 1320.5</w:t>
      </w:r>
    </w:p>
    <w:p w:rsidRPr="00833ECA" w:rsidR="00F349DB" w:rsidP="00F26905" w:rsidRDefault="00F349DB" w14:paraId="1DBAB548" w14:textId="77777777">
      <w:pPr>
        <w:rPr>
          <w:b/>
          <w:bCs/>
        </w:rPr>
      </w:pPr>
    </w:p>
    <w:p w:rsidRPr="00833ECA" w:rsidR="00406261" w:rsidP="00F26905" w:rsidRDefault="00406261" w14:paraId="1EC94740" w14:textId="77777777">
      <w:pPr>
        <w:rPr>
          <w:bCs/>
        </w:rPr>
      </w:pPr>
      <w:r w:rsidRPr="00833ECA">
        <w:rPr>
          <w:bCs/>
        </w:rPr>
        <w:t>There are no special circumstances relating to the guidelines of 5 CFR 1320.5</w:t>
      </w:r>
      <w:r w:rsidRPr="00833ECA" w:rsidR="00821D95">
        <w:rPr>
          <w:bCs/>
        </w:rPr>
        <w:t>,</w:t>
      </w:r>
      <w:r w:rsidRPr="00833ECA">
        <w:rPr>
          <w:bCs/>
        </w:rPr>
        <w:t xml:space="preserve"> and the project fully complies</w:t>
      </w:r>
      <w:r w:rsidRPr="00833ECA" w:rsidR="00821D95">
        <w:rPr>
          <w:bCs/>
        </w:rPr>
        <w:t xml:space="preserve"> with the regulation</w:t>
      </w:r>
      <w:r w:rsidRPr="00833ECA">
        <w:rPr>
          <w:bCs/>
        </w:rPr>
        <w:t>.</w:t>
      </w:r>
    </w:p>
    <w:p w:rsidRPr="00833ECA" w:rsidR="00A54550" w:rsidP="00D34777" w:rsidRDefault="00A54550" w14:paraId="2ABF2FA7" w14:textId="77777777">
      <w:pPr>
        <w:rPr>
          <w:bCs/>
        </w:rPr>
      </w:pPr>
    </w:p>
    <w:p w:rsidRPr="00833ECA" w:rsidR="00F349DB" w:rsidP="000D7962" w:rsidRDefault="00F349DB" w14:paraId="0393E580" w14:textId="77777777">
      <w:pPr>
        <w:rPr>
          <w:b/>
          <w:bCs/>
        </w:rPr>
      </w:pPr>
      <w:r w:rsidRPr="00833ECA">
        <w:rPr>
          <w:b/>
          <w:bCs/>
        </w:rPr>
        <w:t>A8.  Comments in Response to the Federal Register Notice and Efforts to Consult Outside the Agency</w:t>
      </w:r>
    </w:p>
    <w:p w:rsidRPr="00833ECA" w:rsidR="00CF50AC" w:rsidP="00F26905" w:rsidRDefault="00CF50AC" w14:paraId="5BD80C15" w14:textId="77777777">
      <w:pPr>
        <w:rPr>
          <w:b/>
          <w:bCs/>
        </w:rPr>
      </w:pPr>
    </w:p>
    <w:p w:rsidRPr="0028133B" w:rsidR="003F0455" w:rsidP="003F0455" w:rsidRDefault="003F0455" w14:paraId="143C47A1" w14:textId="5ACC2A2A">
      <w:pPr>
        <w:spacing w:before="120" w:after="120"/>
      </w:pPr>
      <w:r w:rsidRPr="0028133B">
        <w:t xml:space="preserve">As required by 5 CFR 1320.8(d), CDC published a 60-day Notice in the </w:t>
      </w:r>
      <w:r w:rsidRPr="0028133B">
        <w:rPr>
          <w:i/>
        </w:rPr>
        <w:t>Federal Register</w:t>
      </w:r>
      <w:r w:rsidRPr="0028133B">
        <w:t xml:space="preserve"> on </w:t>
      </w:r>
      <w:r>
        <w:t>December 6</w:t>
      </w:r>
      <w:r w:rsidRPr="0028133B">
        <w:t xml:space="preserve">, 2019, </w:t>
      </w:r>
      <w:r w:rsidRPr="00006BC3" w:rsidR="009F0BBA">
        <w:t>Vol. 84, No. 235, pages 66901-66902 (see Attachment 2).</w:t>
      </w:r>
      <w:r w:rsidRPr="0028133B">
        <w:t xml:space="preserve"> </w:t>
      </w:r>
      <w:r w:rsidRPr="00006BC3" w:rsidR="000622B1">
        <w:t>One public comment was received on 12/06/2019 and posted on 12/09/2019.</w:t>
      </w:r>
      <w:r w:rsidRPr="0028133B">
        <w:t xml:space="preserve"> </w:t>
      </w:r>
      <w:r w:rsidR="00670251">
        <w:t>A</w:t>
      </w:r>
      <w:r w:rsidRPr="0028133B">
        <w:rPr>
          <w:rStyle w:val="Footer1"/>
        </w:rPr>
        <w:t xml:space="preserve"> formal response </w:t>
      </w:r>
      <w:r w:rsidR="009127E5">
        <w:rPr>
          <w:rStyle w:val="Footer1"/>
        </w:rPr>
        <w:t>along with the full comment are include</w:t>
      </w:r>
      <w:r w:rsidR="00424C9D">
        <w:rPr>
          <w:rStyle w:val="Footer1"/>
        </w:rPr>
        <w:t>d</w:t>
      </w:r>
      <w:r w:rsidR="009127E5">
        <w:rPr>
          <w:rStyle w:val="Footer1"/>
        </w:rPr>
        <w:t xml:space="preserve"> in</w:t>
      </w:r>
      <w:r w:rsidRPr="00174B42">
        <w:rPr>
          <w:rStyle w:val="Footer1"/>
        </w:rPr>
        <w:t xml:space="preserve"> Attachment </w:t>
      </w:r>
      <w:r>
        <w:rPr>
          <w:rStyle w:val="Footer1"/>
        </w:rPr>
        <w:t>2a</w:t>
      </w:r>
      <w:r w:rsidRPr="00174B42">
        <w:rPr>
          <w:rStyle w:val="Footer1"/>
        </w:rPr>
        <w:t>.</w:t>
      </w:r>
      <w:r w:rsidRPr="0028133B">
        <w:rPr>
          <w:rStyle w:val="Footer1"/>
        </w:rPr>
        <w:t xml:space="preserve"> </w:t>
      </w:r>
    </w:p>
    <w:p w:rsidRPr="00833ECA" w:rsidR="00CF21C7" w:rsidP="00D34777" w:rsidRDefault="00CF21C7" w14:paraId="61B5F738" w14:textId="77777777">
      <w:pPr>
        <w:rPr>
          <w:bCs/>
        </w:rPr>
      </w:pPr>
    </w:p>
    <w:p w:rsidRPr="00833ECA" w:rsidR="00F349DB" w:rsidP="000D7962" w:rsidRDefault="00B52EC2" w14:paraId="1CDA17D5" w14:textId="77777777">
      <w:pPr>
        <w:rPr>
          <w:b/>
          <w:bCs/>
        </w:rPr>
      </w:pPr>
      <w:r w:rsidRPr="00833ECA">
        <w:rPr>
          <w:b/>
          <w:bCs/>
        </w:rPr>
        <w:t xml:space="preserve">A9.  </w:t>
      </w:r>
      <w:r w:rsidRPr="00833ECA" w:rsidR="00F349DB">
        <w:rPr>
          <w:b/>
          <w:bCs/>
        </w:rPr>
        <w:t>Explanation of Any Payment or Gift to Respondents</w:t>
      </w:r>
    </w:p>
    <w:p w:rsidRPr="00833ECA" w:rsidR="00F349DB" w:rsidP="000D7962" w:rsidRDefault="00F349DB" w14:paraId="75D0FCD9" w14:textId="77777777">
      <w:pPr>
        <w:rPr>
          <w:b/>
          <w:bCs/>
        </w:rPr>
      </w:pPr>
    </w:p>
    <w:p w:rsidRPr="00833ECA" w:rsidR="006518F9" w:rsidP="00F26905" w:rsidRDefault="005B6849" w14:paraId="6D81130E" w14:textId="77777777">
      <w:pPr>
        <w:tabs>
          <w:tab w:val="left" w:pos="720"/>
          <w:tab w:val="left" w:pos="1080"/>
          <w:tab w:val="left" w:pos="1440"/>
          <w:tab w:val="left" w:pos="1800"/>
        </w:tabs>
        <w:rPr>
          <w:rFonts w:eastAsia="Batang"/>
        </w:rPr>
      </w:pPr>
      <w:r w:rsidRPr="00833ECA">
        <w:rPr>
          <w:rFonts w:eastAsia="Batang"/>
        </w:rPr>
        <w:t>Respondents</w:t>
      </w:r>
      <w:r w:rsidRPr="00833ECA" w:rsidR="00B325B1">
        <w:rPr>
          <w:rFonts w:eastAsia="Batang"/>
        </w:rPr>
        <w:t xml:space="preserve"> will not receive any payment or gifts for their participation in th</w:t>
      </w:r>
      <w:r w:rsidRPr="00833ECA" w:rsidR="00680D9C">
        <w:rPr>
          <w:rFonts w:eastAsia="Batang"/>
        </w:rPr>
        <w:t xml:space="preserve">is data collection effort. </w:t>
      </w:r>
    </w:p>
    <w:p w:rsidRPr="00833ECA" w:rsidR="00EB0200" w:rsidP="00D34777" w:rsidRDefault="00EB0200" w14:paraId="0BC4F49A" w14:textId="77777777">
      <w:pPr>
        <w:rPr>
          <w:b/>
          <w:bCs/>
        </w:rPr>
      </w:pPr>
    </w:p>
    <w:p w:rsidRPr="00833ECA" w:rsidR="00EB0200" w:rsidP="000D7962" w:rsidRDefault="00EB0200" w14:paraId="1DE87CCF" w14:textId="77777777">
      <w:pPr>
        <w:rPr>
          <w:b/>
          <w:bCs/>
        </w:rPr>
      </w:pPr>
      <w:r w:rsidRPr="00833ECA">
        <w:rPr>
          <w:b/>
          <w:bCs/>
        </w:rPr>
        <w:t xml:space="preserve">A10. </w:t>
      </w:r>
      <w:r w:rsidRPr="00833ECA" w:rsidR="00B52EC2">
        <w:rPr>
          <w:b/>
          <w:bCs/>
        </w:rPr>
        <w:t xml:space="preserve"> </w:t>
      </w:r>
      <w:r w:rsidR="00450954">
        <w:rPr>
          <w:b/>
        </w:rPr>
        <w:t>Assurance of</w:t>
      </w:r>
      <w:r w:rsidRPr="00833ECA" w:rsidR="00B52EC2">
        <w:rPr>
          <w:b/>
        </w:rPr>
        <w:t xml:space="preserve"> Confidentiality </w:t>
      </w:r>
      <w:r w:rsidR="00316CF5">
        <w:rPr>
          <w:b/>
        </w:rPr>
        <w:t>of</w:t>
      </w:r>
      <w:r w:rsidRPr="00833ECA" w:rsidR="00B52EC2">
        <w:rPr>
          <w:b/>
        </w:rPr>
        <w:t xml:space="preserve"> Respondents</w:t>
      </w:r>
    </w:p>
    <w:p w:rsidRPr="00833ECA" w:rsidR="007012BF" w:rsidP="000D7962" w:rsidRDefault="007012BF" w14:paraId="7B08C1E6" w14:textId="77777777">
      <w:pPr>
        <w:jc w:val="both"/>
      </w:pPr>
    </w:p>
    <w:p w:rsidRPr="00833ECA" w:rsidR="009C1EFF" w:rsidP="00F26905" w:rsidRDefault="009C1EFF" w14:paraId="1A03974F" w14:textId="77777777">
      <w:pPr>
        <w:autoSpaceDE w:val="0"/>
        <w:autoSpaceDN w:val="0"/>
        <w:adjustRightInd w:val="0"/>
      </w:pPr>
      <w:r w:rsidRPr="00833ECA">
        <w:t xml:space="preserve">This submission has been reviewed by CDC’s Information System Security Office, which determined that the Privacy Act does not apply. </w:t>
      </w:r>
      <w:r w:rsidRPr="00833ECA" w:rsidR="00461D2A">
        <w:t xml:space="preserve">The proposed study involves a minimum amount of information in identifiable form (IIF).  </w:t>
      </w:r>
    </w:p>
    <w:p w:rsidRPr="00833ECA" w:rsidR="009C1EFF" w:rsidP="00F26905" w:rsidRDefault="009C1EFF" w14:paraId="16D063D4" w14:textId="77777777">
      <w:pPr>
        <w:autoSpaceDE w:val="0"/>
        <w:autoSpaceDN w:val="0"/>
        <w:adjustRightInd w:val="0"/>
      </w:pPr>
    </w:p>
    <w:p w:rsidRPr="00833ECA" w:rsidR="00461D2A" w:rsidP="00F26905" w:rsidRDefault="00461D2A" w14:paraId="53928359" w14:textId="77777777">
      <w:pPr>
        <w:autoSpaceDE w:val="0"/>
        <w:autoSpaceDN w:val="0"/>
        <w:adjustRightInd w:val="0"/>
      </w:pPr>
      <w:r w:rsidRPr="00833ECA">
        <w:t xml:space="preserve">Respondents will be recruited from </w:t>
      </w:r>
      <w:r w:rsidR="00DC7927">
        <w:t>TTA provider</w:t>
      </w:r>
      <w:r w:rsidRPr="00833ECA" w:rsidR="00910BFB">
        <w:t xml:space="preserve"> organization</w:t>
      </w:r>
      <w:r w:rsidRPr="00833ECA" w:rsidR="00210FE5">
        <w:t>s</w:t>
      </w:r>
      <w:r w:rsidRPr="00833ECA" w:rsidR="008052B8">
        <w:t xml:space="preserve"> (i.e., program </w:t>
      </w:r>
      <w:r w:rsidRPr="00833ECA" w:rsidR="00D15556">
        <w:t xml:space="preserve">directors or </w:t>
      </w:r>
      <w:r w:rsidRPr="00833ECA" w:rsidR="008052B8">
        <w:t>managers, evaluators, and partners)</w:t>
      </w:r>
      <w:r w:rsidRPr="00833ECA">
        <w:t>,</w:t>
      </w:r>
      <w:r w:rsidRPr="00833ECA" w:rsidR="008052B8">
        <w:t xml:space="preserve"> as well as NCCCP</w:t>
      </w:r>
      <w:r w:rsidR="00DC7927">
        <w:t xml:space="preserve"> awardees</w:t>
      </w:r>
      <w:r w:rsidRPr="00833ECA" w:rsidR="008052B8">
        <w:t xml:space="preserve"> (i.e., program directors,</w:t>
      </w:r>
      <w:r w:rsidRPr="00833ECA" w:rsidR="00957E26">
        <w:t xml:space="preserve"> managers,</w:t>
      </w:r>
      <w:r w:rsidRPr="00833ECA" w:rsidR="008052B8">
        <w:t xml:space="preserve"> coalition members, and partners)</w:t>
      </w:r>
      <w:r w:rsidRPr="00833ECA">
        <w:t xml:space="preserve">. The </w:t>
      </w:r>
      <w:r w:rsidRPr="00833ECA" w:rsidR="0084404F">
        <w:t xml:space="preserve">data collection contractor, ICF, </w:t>
      </w:r>
      <w:r w:rsidRPr="00833ECA">
        <w:t xml:space="preserve">will have access to </w:t>
      </w:r>
      <w:r w:rsidRPr="00833ECA" w:rsidR="00FE0433">
        <w:t xml:space="preserve">professional </w:t>
      </w:r>
      <w:r w:rsidRPr="00833ECA">
        <w:t>contact information for the program director</w:t>
      </w:r>
      <w:r w:rsidRPr="00833ECA" w:rsidR="00D15556">
        <w:t xml:space="preserve"> or </w:t>
      </w:r>
      <w:r w:rsidRPr="00833ECA" w:rsidR="00957E26">
        <w:t>manager</w:t>
      </w:r>
      <w:r w:rsidRPr="00833ECA">
        <w:t xml:space="preserve">, evaluator, and key partners from each selected organization, including </w:t>
      </w:r>
      <w:r w:rsidRPr="00833ECA" w:rsidR="00FE0433">
        <w:t xml:space="preserve">work </w:t>
      </w:r>
      <w:r w:rsidRPr="00833ECA">
        <w:t xml:space="preserve">telephone numbers and e-mail addresses, </w:t>
      </w:r>
      <w:r w:rsidRPr="00833ECA" w:rsidR="00BF7567">
        <w:t>to</w:t>
      </w:r>
      <w:r w:rsidRPr="00833ECA">
        <w:t xml:space="preserve"> recruit and schedule their participation </w:t>
      </w:r>
      <w:r w:rsidRPr="00833ECA" w:rsidR="0084404F">
        <w:t xml:space="preserve">in </w:t>
      </w:r>
      <w:r w:rsidRPr="00833ECA" w:rsidR="004C283C">
        <w:t>case study</w:t>
      </w:r>
      <w:r w:rsidRPr="00833ECA" w:rsidR="0084404F">
        <w:t xml:space="preserve"> interviews</w:t>
      </w:r>
      <w:r w:rsidRPr="00833ECA" w:rsidR="00C5182E">
        <w:t>.</w:t>
      </w:r>
      <w:r w:rsidRPr="00833ECA">
        <w:t xml:space="preserve"> </w:t>
      </w:r>
    </w:p>
    <w:p w:rsidRPr="00833ECA" w:rsidR="00461D2A" w:rsidP="00F26905" w:rsidRDefault="00461D2A" w14:paraId="36C5C42D" w14:textId="77777777">
      <w:pPr>
        <w:pStyle w:val="ListParagraph"/>
        <w:spacing w:after="0" w:line="240" w:lineRule="auto"/>
        <w:ind w:left="0"/>
        <w:rPr>
          <w:rFonts w:ascii="Times New Roman" w:hAnsi="Times New Roman"/>
          <w:sz w:val="24"/>
          <w:szCs w:val="24"/>
        </w:rPr>
      </w:pPr>
    </w:p>
    <w:p w:rsidRPr="00833ECA" w:rsidR="00461D2A" w:rsidP="00F26905" w:rsidRDefault="00461D2A" w14:paraId="5C03B9D4" w14:textId="77777777">
      <w:pPr>
        <w:pStyle w:val="ListParagraph"/>
        <w:spacing w:after="0" w:line="240" w:lineRule="auto"/>
        <w:ind w:left="0"/>
        <w:rPr>
          <w:rFonts w:ascii="Times New Roman" w:hAnsi="Times New Roman"/>
          <w:sz w:val="24"/>
          <w:szCs w:val="24"/>
        </w:rPr>
      </w:pPr>
      <w:r w:rsidRPr="00833ECA">
        <w:rPr>
          <w:rFonts w:ascii="Times New Roman" w:hAnsi="Times New Roman"/>
          <w:sz w:val="24"/>
          <w:szCs w:val="24"/>
        </w:rPr>
        <w:t>IIF will be stored separately from response data.  A linking file will be created and available only to senior project management at ICF.  This information will only be used to ensure completeness of the data files. The linking file will include the role of the respondent and their organization (and will not include the individual’s name or contact information), the date of interview/survey completion, and the code assigned to the data file.  This will ensure that no personally identifiable information, outside of the individual’s role and organization, is re-linkable</w:t>
      </w:r>
      <w:r w:rsidRPr="00833ECA" w:rsidR="00BF7567">
        <w:rPr>
          <w:rFonts w:ascii="Times New Roman" w:hAnsi="Times New Roman"/>
          <w:sz w:val="24"/>
          <w:szCs w:val="24"/>
        </w:rPr>
        <w:t xml:space="preserve">. </w:t>
      </w:r>
      <w:r w:rsidRPr="00833ECA" w:rsidR="00E25116">
        <w:rPr>
          <w:rFonts w:ascii="Times New Roman" w:hAnsi="Times New Roman"/>
          <w:sz w:val="24"/>
          <w:szCs w:val="24"/>
        </w:rPr>
        <w:t>P</w:t>
      </w:r>
      <w:r w:rsidRPr="00833ECA">
        <w:rPr>
          <w:rFonts w:ascii="Times New Roman" w:hAnsi="Times New Roman"/>
          <w:sz w:val="24"/>
          <w:szCs w:val="24"/>
        </w:rPr>
        <w:t xml:space="preserve">rior to conducting data </w:t>
      </w:r>
      <w:proofErr w:type="spellStart"/>
      <w:proofErr w:type="gramStart"/>
      <w:r w:rsidRPr="00833ECA">
        <w:rPr>
          <w:rFonts w:ascii="Times New Roman" w:hAnsi="Times New Roman"/>
          <w:sz w:val="24"/>
          <w:szCs w:val="24"/>
        </w:rPr>
        <w:t>collection</w:t>
      </w:r>
      <w:r w:rsidRPr="00833ECA" w:rsidR="00897094">
        <w:rPr>
          <w:rFonts w:ascii="Times New Roman" w:hAnsi="Times New Roman"/>
          <w:sz w:val="24"/>
          <w:szCs w:val="24"/>
        </w:rPr>
        <w:t>,</w:t>
      </w:r>
      <w:r w:rsidRPr="00833ECA" w:rsidR="00E25116">
        <w:rPr>
          <w:rFonts w:ascii="Times New Roman" w:hAnsi="Times New Roman"/>
          <w:sz w:val="24"/>
          <w:szCs w:val="24"/>
        </w:rPr>
        <w:t>data</w:t>
      </w:r>
      <w:proofErr w:type="spellEnd"/>
      <w:proofErr w:type="gramEnd"/>
      <w:r w:rsidRPr="00833ECA" w:rsidR="00E25116">
        <w:rPr>
          <w:rFonts w:ascii="Times New Roman" w:hAnsi="Times New Roman"/>
          <w:sz w:val="24"/>
          <w:szCs w:val="24"/>
        </w:rPr>
        <w:t xml:space="preserve"> </w:t>
      </w:r>
      <w:r w:rsidRPr="00833ECA" w:rsidR="00BF7567">
        <w:rPr>
          <w:rFonts w:ascii="Times New Roman" w:hAnsi="Times New Roman"/>
          <w:sz w:val="24"/>
          <w:szCs w:val="24"/>
        </w:rPr>
        <w:t>collectors</w:t>
      </w:r>
      <w:r w:rsidRPr="00833ECA" w:rsidR="00BF7567">
        <w:rPr>
          <w:rFonts w:ascii="Times New Roman" w:hAnsi="Times New Roman"/>
          <w:b/>
          <w:sz w:val="24"/>
          <w:szCs w:val="24"/>
        </w:rPr>
        <w:t xml:space="preserve"> </w:t>
      </w:r>
      <w:r w:rsidRPr="00833ECA" w:rsidR="00BF7567">
        <w:rPr>
          <w:rFonts w:ascii="Times New Roman" w:hAnsi="Times New Roman"/>
          <w:sz w:val="24"/>
          <w:szCs w:val="24"/>
        </w:rPr>
        <w:t>will</w:t>
      </w:r>
      <w:r w:rsidRPr="00833ECA">
        <w:rPr>
          <w:rFonts w:ascii="Times New Roman" w:hAnsi="Times New Roman"/>
          <w:sz w:val="24"/>
          <w:szCs w:val="24"/>
        </w:rPr>
        <w:t xml:space="preserve"> be trained on the project’s protocol and procedures related to security requirements and privacy. </w:t>
      </w:r>
    </w:p>
    <w:p w:rsidRPr="00833ECA" w:rsidR="00D67C5B" w:rsidP="00F26905" w:rsidRDefault="00D67C5B" w14:paraId="15FCDECC" w14:textId="77777777">
      <w:pPr>
        <w:pStyle w:val="ListParagraph"/>
        <w:spacing w:after="0" w:line="240" w:lineRule="auto"/>
        <w:ind w:left="0"/>
        <w:rPr>
          <w:rFonts w:ascii="Times New Roman" w:hAnsi="Times New Roman"/>
          <w:sz w:val="24"/>
          <w:szCs w:val="24"/>
        </w:rPr>
      </w:pPr>
    </w:p>
    <w:p w:rsidRPr="00833ECA" w:rsidR="00461D2A" w:rsidP="00F26905" w:rsidRDefault="009863BD" w14:paraId="20FBF75A" w14:textId="77777777">
      <w:pPr>
        <w:pStyle w:val="ListParagraph"/>
        <w:spacing w:after="0" w:line="240" w:lineRule="auto"/>
        <w:ind w:left="0"/>
        <w:rPr>
          <w:rFonts w:ascii="Times New Roman" w:hAnsi="Times New Roman"/>
          <w:sz w:val="24"/>
          <w:szCs w:val="24"/>
        </w:rPr>
      </w:pPr>
      <w:r w:rsidRPr="00833ECA">
        <w:rPr>
          <w:rFonts w:ascii="Times New Roman" w:hAnsi="Times New Roman"/>
          <w:sz w:val="24"/>
          <w:szCs w:val="24"/>
        </w:rPr>
        <w:t xml:space="preserve">Key individuals from </w:t>
      </w:r>
      <w:r w:rsidR="00DC7927">
        <w:rPr>
          <w:rFonts w:ascii="Times New Roman" w:hAnsi="Times New Roman"/>
          <w:sz w:val="24"/>
          <w:szCs w:val="24"/>
        </w:rPr>
        <w:t>the TTA provider</w:t>
      </w:r>
      <w:r w:rsidRPr="00833ECA" w:rsidR="00910BFB">
        <w:rPr>
          <w:rFonts w:ascii="Times New Roman" w:hAnsi="Times New Roman"/>
          <w:sz w:val="24"/>
          <w:szCs w:val="24"/>
        </w:rPr>
        <w:t xml:space="preserve"> organization</w:t>
      </w:r>
      <w:r w:rsidRPr="00833ECA">
        <w:rPr>
          <w:rFonts w:ascii="Times New Roman" w:hAnsi="Times New Roman"/>
          <w:sz w:val="24"/>
          <w:szCs w:val="24"/>
        </w:rPr>
        <w:t>s (i.e.</w:t>
      </w:r>
      <w:r w:rsidRPr="00833ECA" w:rsidR="00FE0433">
        <w:rPr>
          <w:rFonts w:ascii="Times New Roman" w:hAnsi="Times New Roman"/>
          <w:sz w:val="24"/>
          <w:szCs w:val="24"/>
        </w:rPr>
        <w:t>,</w:t>
      </w:r>
      <w:r w:rsidRPr="00833ECA">
        <w:rPr>
          <w:rFonts w:ascii="Times New Roman" w:hAnsi="Times New Roman"/>
          <w:sz w:val="24"/>
          <w:szCs w:val="24"/>
        </w:rPr>
        <w:t xml:space="preserve"> program directors</w:t>
      </w:r>
      <w:r w:rsidRPr="00833ECA" w:rsidR="00D15556">
        <w:rPr>
          <w:rFonts w:ascii="Times New Roman" w:hAnsi="Times New Roman"/>
          <w:sz w:val="24"/>
          <w:szCs w:val="24"/>
        </w:rPr>
        <w:t xml:space="preserve"> or </w:t>
      </w:r>
      <w:r w:rsidRPr="00833ECA" w:rsidR="00957E26">
        <w:rPr>
          <w:rFonts w:ascii="Times New Roman" w:hAnsi="Times New Roman"/>
          <w:sz w:val="24"/>
          <w:szCs w:val="24"/>
        </w:rPr>
        <w:t>managers</w:t>
      </w:r>
      <w:r w:rsidRPr="00833ECA">
        <w:rPr>
          <w:rFonts w:ascii="Times New Roman" w:hAnsi="Times New Roman"/>
          <w:sz w:val="24"/>
          <w:szCs w:val="24"/>
        </w:rPr>
        <w:t>, evaluators, and partners), and NCCCP</w:t>
      </w:r>
      <w:r w:rsidR="00303077">
        <w:rPr>
          <w:rFonts w:ascii="Times New Roman" w:hAnsi="Times New Roman"/>
          <w:sz w:val="24"/>
          <w:szCs w:val="24"/>
        </w:rPr>
        <w:t xml:space="preserve"> </w:t>
      </w:r>
      <w:r w:rsidR="00DC7927">
        <w:rPr>
          <w:rFonts w:ascii="Times New Roman" w:hAnsi="Times New Roman"/>
          <w:sz w:val="24"/>
          <w:szCs w:val="24"/>
        </w:rPr>
        <w:t>awardees</w:t>
      </w:r>
      <w:r w:rsidRPr="00833ECA">
        <w:rPr>
          <w:rFonts w:ascii="Times New Roman" w:hAnsi="Times New Roman"/>
          <w:sz w:val="24"/>
          <w:szCs w:val="24"/>
        </w:rPr>
        <w:t xml:space="preserve"> (i.e., program </w:t>
      </w:r>
      <w:r w:rsidRPr="00833ECA" w:rsidR="00957E26">
        <w:rPr>
          <w:rFonts w:ascii="Times New Roman" w:hAnsi="Times New Roman"/>
          <w:sz w:val="24"/>
          <w:szCs w:val="24"/>
        </w:rPr>
        <w:t xml:space="preserve">directors, </w:t>
      </w:r>
      <w:r w:rsidRPr="00833ECA">
        <w:rPr>
          <w:rFonts w:ascii="Times New Roman" w:hAnsi="Times New Roman"/>
          <w:sz w:val="24"/>
          <w:szCs w:val="24"/>
        </w:rPr>
        <w:t xml:space="preserve">staff, </w:t>
      </w:r>
      <w:r w:rsidRPr="00833ECA" w:rsidR="004958D7">
        <w:rPr>
          <w:rFonts w:ascii="Times New Roman" w:hAnsi="Times New Roman"/>
          <w:sz w:val="24"/>
          <w:szCs w:val="24"/>
        </w:rPr>
        <w:t xml:space="preserve">coalition members, </w:t>
      </w:r>
      <w:r w:rsidRPr="00833ECA">
        <w:rPr>
          <w:rFonts w:ascii="Times New Roman" w:hAnsi="Times New Roman"/>
          <w:sz w:val="24"/>
          <w:szCs w:val="24"/>
        </w:rPr>
        <w:t>and partners) will be recruited to participate in this information collection. Participation in data collection is voluntary for all participants; respondents who decline participation will not face penalty of any kind. All informed consent statements inform participants that their participation in data collection is voluntary, and they can choose not to answer individual questions, end the interview/survey at any time, or decline participation without penalty</w:t>
      </w:r>
      <w:r w:rsidR="00450954">
        <w:rPr>
          <w:rFonts w:ascii="Times New Roman" w:hAnsi="Times New Roman"/>
          <w:sz w:val="24"/>
          <w:szCs w:val="24"/>
        </w:rPr>
        <w:t xml:space="preserve"> (</w:t>
      </w:r>
      <w:r w:rsidRPr="008D1A84" w:rsidR="00450954">
        <w:rPr>
          <w:rFonts w:ascii="Times New Roman" w:hAnsi="Times New Roman"/>
          <w:b/>
          <w:sz w:val="24"/>
          <w:szCs w:val="24"/>
        </w:rPr>
        <w:t>Attachments 4g and 5</w:t>
      </w:r>
      <w:r w:rsidRPr="008D1A84" w:rsidR="008E4D02">
        <w:rPr>
          <w:rFonts w:ascii="Times New Roman" w:hAnsi="Times New Roman"/>
          <w:b/>
          <w:sz w:val="24"/>
          <w:szCs w:val="24"/>
        </w:rPr>
        <w:t>f</w:t>
      </w:r>
      <w:r w:rsidR="00450954">
        <w:rPr>
          <w:rFonts w:ascii="Times New Roman" w:hAnsi="Times New Roman"/>
          <w:sz w:val="24"/>
          <w:szCs w:val="24"/>
        </w:rPr>
        <w:t>)</w:t>
      </w:r>
      <w:r w:rsidRPr="00833ECA">
        <w:rPr>
          <w:rFonts w:ascii="Times New Roman" w:hAnsi="Times New Roman"/>
          <w:sz w:val="24"/>
          <w:szCs w:val="24"/>
        </w:rPr>
        <w:t xml:space="preserve">. Whether or not individuals choose to participate will not impact current or future funding.  Respondents will be required to either agree to or decline participation prior to participating in data collection. </w:t>
      </w:r>
      <w:r w:rsidRPr="00833ECA" w:rsidR="00461D2A">
        <w:rPr>
          <w:rFonts w:ascii="Times New Roman" w:hAnsi="Times New Roman"/>
          <w:sz w:val="24"/>
          <w:szCs w:val="24"/>
        </w:rPr>
        <w:t xml:space="preserve">During interviews, respondents may be asked to identify and describe entities and key staff members or partners who have familiarity with </w:t>
      </w:r>
      <w:proofErr w:type="spellStart"/>
      <w:r w:rsidR="00DC7927">
        <w:rPr>
          <w:rFonts w:ascii="Times New Roman" w:hAnsi="Times New Roman"/>
          <w:sz w:val="24"/>
          <w:szCs w:val="24"/>
        </w:rPr>
        <w:t>tha</w:t>
      </w:r>
      <w:proofErr w:type="spellEnd"/>
      <w:r w:rsidR="00DC7927">
        <w:rPr>
          <w:rFonts w:ascii="Times New Roman" w:hAnsi="Times New Roman"/>
          <w:sz w:val="24"/>
          <w:szCs w:val="24"/>
        </w:rPr>
        <w:t xml:space="preserve"> TTA provided under </w:t>
      </w:r>
      <w:r w:rsidRPr="00833ECA" w:rsidR="008321B2">
        <w:rPr>
          <w:rFonts w:ascii="Times New Roman" w:hAnsi="Times New Roman"/>
          <w:sz w:val="24"/>
          <w:szCs w:val="24"/>
        </w:rPr>
        <w:t>DP18-1805</w:t>
      </w:r>
      <w:r w:rsidRPr="00833ECA" w:rsidR="00461D2A">
        <w:rPr>
          <w:rFonts w:ascii="Times New Roman" w:hAnsi="Times New Roman"/>
          <w:sz w:val="24"/>
          <w:szCs w:val="24"/>
        </w:rPr>
        <w:t xml:space="preserve">. No contact information will be collected for individuals who are </w:t>
      </w:r>
      <w:r w:rsidRPr="00833ECA" w:rsidR="00AD669B">
        <w:rPr>
          <w:rFonts w:ascii="Times New Roman" w:hAnsi="Times New Roman"/>
          <w:sz w:val="24"/>
          <w:szCs w:val="24"/>
        </w:rPr>
        <w:t xml:space="preserve">discussed during the interviews. </w:t>
      </w:r>
      <w:r w:rsidRPr="00833ECA" w:rsidR="00461D2A">
        <w:rPr>
          <w:rFonts w:ascii="Times New Roman" w:hAnsi="Times New Roman"/>
          <w:sz w:val="24"/>
          <w:szCs w:val="24"/>
        </w:rPr>
        <w:t xml:space="preserve">The purpose of collecting information about key staff and partners is to guide CDC in identifying the number and types of individuals that should be engaged in similar efforts across various settings. The information collected will be concentrated on planning and implementation of the </w:t>
      </w:r>
      <w:r w:rsidR="0046587D">
        <w:rPr>
          <w:rFonts w:ascii="Times New Roman" w:hAnsi="Times New Roman"/>
          <w:sz w:val="24"/>
          <w:szCs w:val="24"/>
        </w:rPr>
        <w:t>cooperative agreement</w:t>
      </w:r>
      <w:r w:rsidRPr="00833ECA" w:rsidR="00461D2A">
        <w:rPr>
          <w:rFonts w:ascii="Times New Roman" w:hAnsi="Times New Roman"/>
          <w:sz w:val="24"/>
          <w:szCs w:val="24"/>
        </w:rPr>
        <w:t xml:space="preserve">, not personal information about the individual in any specific role.   </w:t>
      </w:r>
    </w:p>
    <w:p w:rsidRPr="00833ECA" w:rsidR="00C75998" w:rsidP="00F26905" w:rsidRDefault="00C75998" w14:paraId="7D4CF6DB" w14:textId="77777777">
      <w:pPr>
        <w:rPr>
          <w:bCs/>
        </w:rPr>
      </w:pPr>
    </w:p>
    <w:p w:rsidRPr="00833ECA" w:rsidR="0087078B" w:rsidP="00F26905" w:rsidRDefault="0087078B" w14:paraId="0CA7347C" w14:textId="77777777">
      <w:pPr>
        <w:pStyle w:val="bodytextCharCharChar"/>
        <w:spacing w:after="0"/>
        <w:ind w:firstLine="0"/>
      </w:pPr>
      <w:r w:rsidRPr="00833ECA">
        <w:t xml:space="preserve">Although </w:t>
      </w:r>
      <w:r w:rsidRPr="00833ECA" w:rsidR="008A1720">
        <w:t xml:space="preserve">the </w:t>
      </w:r>
      <w:r w:rsidRPr="00833ECA">
        <w:t>data collection contracto</w:t>
      </w:r>
      <w:r w:rsidRPr="00833ECA" w:rsidR="009863BD">
        <w:t>r</w:t>
      </w:r>
      <w:r w:rsidRPr="00833ECA" w:rsidR="008321B2">
        <w:t xml:space="preserve"> </w:t>
      </w:r>
      <w:r w:rsidRPr="00833ECA">
        <w:t xml:space="preserve">will have temporary access to identifiable information for recruitment and scheduling purposes, response data will not be </w:t>
      </w:r>
      <w:r w:rsidRPr="00833ECA" w:rsidR="00342FDE">
        <w:t>recorded</w:t>
      </w:r>
      <w:r w:rsidRPr="00833ECA">
        <w:t xml:space="preserve"> in a manner that </w:t>
      </w:r>
      <w:r w:rsidRPr="00833ECA" w:rsidR="00680D9C">
        <w:t xml:space="preserve">can be </w:t>
      </w:r>
      <w:r w:rsidRPr="00833ECA" w:rsidR="00700CE2">
        <w:t>linked to</w:t>
      </w:r>
      <w:r w:rsidRPr="00833ECA">
        <w:t xml:space="preserve"> respondent identifiers. </w:t>
      </w:r>
      <w:r w:rsidRPr="00833ECA" w:rsidR="007E377D">
        <w:t>The contractor will assign e</w:t>
      </w:r>
      <w:r w:rsidRPr="00833ECA" w:rsidR="00680D9C">
        <w:t xml:space="preserve">ach </w:t>
      </w:r>
      <w:r w:rsidRPr="00833ECA" w:rsidR="00CC2878">
        <w:t xml:space="preserve">interview </w:t>
      </w:r>
      <w:r w:rsidRPr="00833ECA" w:rsidR="00680D9C">
        <w:t xml:space="preserve">respondent </w:t>
      </w:r>
      <w:r w:rsidRPr="00833ECA">
        <w:t xml:space="preserve">a unique identifier </w:t>
      </w:r>
      <w:proofErr w:type="gramStart"/>
      <w:r w:rsidRPr="00833ECA">
        <w:t>code</w:t>
      </w:r>
      <w:r w:rsidRPr="00833ECA" w:rsidR="00D67C5B">
        <w:t>, and</w:t>
      </w:r>
      <w:proofErr w:type="gramEnd"/>
      <w:r w:rsidRPr="00833ECA" w:rsidR="00D67C5B">
        <w:t xml:space="preserve"> will store and analyze </w:t>
      </w:r>
      <w:r w:rsidRPr="00833ECA" w:rsidR="00CC2878">
        <w:t>interview</w:t>
      </w:r>
      <w:r w:rsidRPr="00833ECA" w:rsidR="00D67C5B">
        <w:t xml:space="preserve"> data</w:t>
      </w:r>
      <w:r w:rsidRPr="00833ECA">
        <w:t xml:space="preserve"> by identifier code. The personal contact information for respondents will not </w:t>
      </w:r>
      <w:r w:rsidRPr="00833ECA" w:rsidR="00D67C5B">
        <w:t xml:space="preserve">be </w:t>
      </w:r>
      <w:r w:rsidRPr="00833ECA">
        <w:t xml:space="preserve">used for </w:t>
      </w:r>
      <w:r w:rsidRPr="00833ECA" w:rsidR="00465411">
        <w:t xml:space="preserve">analysis or </w:t>
      </w:r>
      <w:r w:rsidRPr="00833ECA">
        <w:t xml:space="preserve">reporting purposes. </w:t>
      </w:r>
      <w:r w:rsidRPr="00833ECA" w:rsidR="00CC2878">
        <w:t xml:space="preserve">Survey data will not be linked with individual respondents. </w:t>
      </w:r>
      <w:r w:rsidRPr="00833ECA">
        <w:rPr>
          <w:bCs/>
        </w:rPr>
        <w:t xml:space="preserve">All data collected will be </w:t>
      </w:r>
      <w:r w:rsidRPr="00833ECA" w:rsidR="00465411">
        <w:rPr>
          <w:bCs/>
        </w:rPr>
        <w:t xml:space="preserve">analyzed in aggregate and discussed </w:t>
      </w:r>
      <w:r w:rsidRPr="00833ECA" w:rsidR="00D50584">
        <w:rPr>
          <w:bCs/>
        </w:rPr>
        <w:t xml:space="preserve">in </w:t>
      </w:r>
      <w:r w:rsidRPr="00833ECA" w:rsidR="00342FDE">
        <w:rPr>
          <w:bCs/>
        </w:rPr>
        <w:t xml:space="preserve">summary </w:t>
      </w:r>
      <w:r w:rsidRPr="00833ECA" w:rsidR="00D50584">
        <w:rPr>
          <w:bCs/>
        </w:rPr>
        <w:t>reports that do</w:t>
      </w:r>
      <w:r w:rsidRPr="00833ECA">
        <w:rPr>
          <w:bCs/>
        </w:rPr>
        <w:t xml:space="preserve"> not contain any personal identifiers.</w:t>
      </w:r>
      <w:r w:rsidRPr="00833ECA" w:rsidR="00D67C5B">
        <w:rPr>
          <w:bCs/>
        </w:rPr>
        <w:t xml:space="preserve"> </w:t>
      </w:r>
    </w:p>
    <w:p w:rsidRPr="00833ECA" w:rsidR="0087078B" w:rsidP="00F26905" w:rsidRDefault="0087078B" w14:paraId="05953585" w14:textId="77777777">
      <w:pPr>
        <w:pStyle w:val="bodytextCharCharChar"/>
        <w:spacing w:after="0"/>
        <w:ind w:firstLine="0"/>
      </w:pPr>
    </w:p>
    <w:p w:rsidRPr="00833ECA" w:rsidR="0087078B" w:rsidP="00F26905" w:rsidRDefault="00342FDE" w14:paraId="4832D2D5" w14:textId="1315213C">
      <w:pPr>
        <w:pStyle w:val="bodytextCharCharChar"/>
        <w:spacing w:after="0"/>
        <w:ind w:firstLine="0"/>
      </w:pPr>
      <w:r w:rsidRPr="00833ECA">
        <w:t xml:space="preserve">Study information and data, including contact information for respondents, linking identifiers, and </w:t>
      </w:r>
      <w:r w:rsidRPr="00833ECA" w:rsidR="00AB1CD5">
        <w:t xml:space="preserve">interview and </w:t>
      </w:r>
      <w:r w:rsidRPr="00833ECA">
        <w:t xml:space="preserve">survey responses, will be destroyed within 3 years of the project end date. </w:t>
      </w:r>
      <w:r w:rsidRPr="00833ECA" w:rsidR="0087078B">
        <w:t xml:space="preserve">All electronic </w:t>
      </w:r>
      <w:r w:rsidRPr="00833ECA" w:rsidR="00D67C5B">
        <w:t xml:space="preserve">data </w:t>
      </w:r>
      <w:r w:rsidRPr="00833ECA" w:rsidR="0087078B">
        <w:t>files (e.g.</w:t>
      </w:r>
      <w:r w:rsidR="00353399">
        <w:t>,</w:t>
      </w:r>
      <w:r w:rsidRPr="00833ECA" w:rsidR="0087078B">
        <w:t xml:space="preserve"> </w:t>
      </w:r>
      <w:r w:rsidRPr="00833ECA" w:rsidR="00AB1CD5">
        <w:t xml:space="preserve">interview notes, </w:t>
      </w:r>
      <w:r w:rsidRPr="00833ECA">
        <w:t>exported survey responses</w:t>
      </w:r>
      <w:r w:rsidRPr="00833ECA" w:rsidR="0087078B">
        <w:t xml:space="preserve">) will be stored at ICF on a project shared drive on ICF’s secure network servers; only project staff who have been authorized by the project manager </w:t>
      </w:r>
      <w:r w:rsidRPr="00833ECA" w:rsidR="0028702C">
        <w:t xml:space="preserve">will </w:t>
      </w:r>
      <w:r w:rsidRPr="00833ECA" w:rsidR="000F4759">
        <w:t>have access</w:t>
      </w:r>
      <w:r w:rsidRPr="00833ECA" w:rsidR="0087078B">
        <w:t xml:space="preserve"> the shared drive. </w:t>
      </w:r>
    </w:p>
    <w:p w:rsidRPr="00833ECA" w:rsidR="00B80785" w:rsidP="00D34777" w:rsidRDefault="00B80785" w14:paraId="60CF12F6" w14:textId="77777777">
      <w:pPr>
        <w:rPr>
          <w:bCs/>
        </w:rPr>
      </w:pPr>
    </w:p>
    <w:p w:rsidRPr="00575A85" w:rsidR="009650E0" w:rsidP="000D7962" w:rsidRDefault="009650E0" w14:paraId="0317628E" w14:textId="66F67ACB">
      <w:pPr>
        <w:rPr>
          <w:b/>
          <w:bCs/>
        </w:rPr>
      </w:pPr>
      <w:r w:rsidRPr="00575A85">
        <w:rPr>
          <w:b/>
          <w:bCs/>
        </w:rPr>
        <w:t xml:space="preserve">A11.  </w:t>
      </w:r>
      <w:r w:rsidRPr="00575A85" w:rsidR="00575A85">
        <w:rPr>
          <w:b/>
          <w:bCs/>
        </w:rPr>
        <w:t xml:space="preserve">Institutional Review Board (IRB) and </w:t>
      </w:r>
      <w:r w:rsidRPr="00575A85" w:rsidR="00B52EC2">
        <w:rPr>
          <w:b/>
          <w:bCs/>
        </w:rPr>
        <w:t>Justification for Sensitive Questions</w:t>
      </w:r>
    </w:p>
    <w:p w:rsidRPr="00833ECA" w:rsidR="000740DD" w:rsidP="00F26905" w:rsidRDefault="000740DD" w14:paraId="332C8660" w14:textId="77777777">
      <w:pPr>
        <w:pStyle w:val="bodytextCharCharChar"/>
        <w:spacing w:after="0"/>
        <w:ind w:firstLine="0"/>
        <w:rPr>
          <w:b/>
          <w:bCs/>
        </w:rPr>
      </w:pPr>
    </w:p>
    <w:p w:rsidRPr="00833ECA" w:rsidR="0087078B" w:rsidP="00F26905" w:rsidRDefault="000740DD" w14:paraId="4E2BF1D6" w14:textId="1E54DD30">
      <w:pPr>
        <w:pStyle w:val="bodytextCharCharChar"/>
        <w:spacing w:after="0"/>
        <w:ind w:firstLine="0"/>
        <w:rPr>
          <w:bCs/>
        </w:rPr>
      </w:pPr>
      <w:r w:rsidRPr="00833ECA" w:rsidDel="0046587D">
        <w:rPr>
          <w:bCs/>
        </w:rPr>
        <w:t>No sensitive information is requested.</w:t>
      </w:r>
      <w:r w:rsidRPr="00833ECA" w:rsidDel="0046587D">
        <w:rPr>
          <w:b/>
          <w:bCs/>
        </w:rPr>
        <w:t xml:space="preserve"> </w:t>
      </w:r>
      <w:r w:rsidRPr="00833ECA">
        <w:t xml:space="preserve">CDC’s information collection contractor obtained </w:t>
      </w:r>
      <w:r w:rsidRPr="00833ECA" w:rsidR="00C51A7E">
        <w:t xml:space="preserve">IRB approval </w:t>
      </w:r>
      <w:r w:rsidRPr="00833ECA" w:rsidR="009F4C36">
        <w:t xml:space="preserve">to </w:t>
      </w:r>
      <w:r w:rsidRPr="00833ECA" w:rsidR="00C51A7E">
        <w:t xml:space="preserve">conduct this assessment </w:t>
      </w:r>
      <w:r w:rsidRPr="00833ECA" w:rsidR="00C51A7E">
        <w:rPr>
          <w:b/>
        </w:rPr>
        <w:t xml:space="preserve">(Attachment </w:t>
      </w:r>
      <w:r w:rsidR="0046587D">
        <w:rPr>
          <w:b/>
        </w:rPr>
        <w:t>6</w:t>
      </w:r>
      <w:r w:rsidRPr="00833ECA" w:rsidR="00C51A7E">
        <w:rPr>
          <w:b/>
        </w:rPr>
        <w:t>)</w:t>
      </w:r>
      <w:r w:rsidRPr="00833ECA" w:rsidR="00C51A7E">
        <w:t>.</w:t>
      </w:r>
    </w:p>
    <w:p w:rsidRPr="00833ECA" w:rsidR="0046587D" w:rsidP="0046587D" w:rsidRDefault="0046587D" w14:paraId="06E96AE0" w14:textId="77777777">
      <w:pPr>
        <w:rPr>
          <w:bCs/>
        </w:rPr>
      </w:pPr>
    </w:p>
    <w:p w:rsidRPr="00833ECA" w:rsidR="00413A4D" w:rsidP="000D7962" w:rsidRDefault="00413A4D" w14:paraId="43B5B578" w14:textId="77777777">
      <w:pPr>
        <w:rPr>
          <w:b/>
          <w:bCs/>
        </w:rPr>
      </w:pPr>
      <w:r w:rsidRPr="00833ECA">
        <w:rPr>
          <w:b/>
          <w:bCs/>
        </w:rPr>
        <w:t>A12.  Estimate of Annualized Burden Hours and Costs</w:t>
      </w:r>
    </w:p>
    <w:p w:rsidRPr="00833ECA" w:rsidR="00FC74EB" w:rsidP="000D7962" w:rsidRDefault="00FC74EB" w14:paraId="2CFF88DF" w14:textId="77777777">
      <w:pPr>
        <w:jc w:val="both"/>
        <w:rPr>
          <w:b/>
          <w:bCs/>
        </w:rPr>
      </w:pPr>
    </w:p>
    <w:p w:rsidRPr="00833ECA" w:rsidR="00D62369" w:rsidP="00F26905" w:rsidRDefault="000C2E3A" w14:paraId="6232A967" w14:textId="1FF9BF7B">
      <w:r w:rsidRPr="00833ECA">
        <w:rPr>
          <w:bCs/>
        </w:rPr>
        <w:t xml:space="preserve">OMB approval is requested for </w:t>
      </w:r>
      <w:r w:rsidRPr="00833ECA" w:rsidR="007173FA">
        <w:rPr>
          <w:bCs/>
        </w:rPr>
        <w:t>three</w:t>
      </w:r>
      <w:r w:rsidRPr="00833ECA">
        <w:rPr>
          <w:bCs/>
        </w:rPr>
        <w:t xml:space="preserve"> years. Information will be collected via </w:t>
      </w:r>
      <w:r w:rsidRPr="00833ECA" w:rsidR="008321B2">
        <w:rPr>
          <w:bCs/>
        </w:rPr>
        <w:t xml:space="preserve">two </w:t>
      </w:r>
      <w:r w:rsidRPr="00833ECA">
        <w:rPr>
          <w:bCs/>
        </w:rPr>
        <w:t>methods</w:t>
      </w:r>
      <w:r w:rsidR="0046587D">
        <w:rPr>
          <w:bCs/>
        </w:rPr>
        <w:t xml:space="preserve">: 1) </w:t>
      </w:r>
      <w:r w:rsidRPr="00833ECA">
        <w:rPr>
          <w:bCs/>
        </w:rPr>
        <w:t>case studies and</w:t>
      </w:r>
      <w:r w:rsidRPr="00833ECA" w:rsidR="001E77E9">
        <w:rPr>
          <w:bCs/>
        </w:rPr>
        <w:t xml:space="preserve"> </w:t>
      </w:r>
      <w:r w:rsidR="0046587D">
        <w:rPr>
          <w:bCs/>
        </w:rPr>
        <w:t xml:space="preserve">2) </w:t>
      </w:r>
      <w:r w:rsidRPr="00833ECA" w:rsidR="001E77E9">
        <w:rPr>
          <w:bCs/>
        </w:rPr>
        <w:t xml:space="preserve">a </w:t>
      </w:r>
      <w:r w:rsidRPr="00833ECA" w:rsidR="001E77E9">
        <w:t>web</w:t>
      </w:r>
      <w:r w:rsidRPr="00833ECA" w:rsidR="008321B2">
        <w:t xml:space="preserve"> </w:t>
      </w:r>
      <w:r w:rsidRPr="00833ECA" w:rsidR="001E77E9">
        <w:rPr>
          <w:bCs/>
        </w:rPr>
        <w:t>survey</w:t>
      </w:r>
      <w:r w:rsidRPr="00833ECA">
        <w:rPr>
          <w:bCs/>
        </w:rPr>
        <w:t>.</w:t>
      </w:r>
      <w:r w:rsidRPr="00833ECA" w:rsidR="000F7886">
        <w:rPr>
          <w:bCs/>
        </w:rPr>
        <w:t xml:space="preserve"> </w:t>
      </w:r>
      <w:r w:rsidRPr="00833ECA" w:rsidR="00437F5E">
        <w:t xml:space="preserve">The estimate for </w:t>
      </w:r>
      <w:r w:rsidRPr="00833ECA" w:rsidR="00992312">
        <w:t xml:space="preserve">all </w:t>
      </w:r>
      <w:r w:rsidRPr="00833ECA" w:rsidR="00437F5E">
        <w:t xml:space="preserve">burden hours for the identification of case study participants and </w:t>
      </w:r>
      <w:r w:rsidRPr="00833ECA" w:rsidR="004F39CA">
        <w:t xml:space="preserve">conduct of </w:t>
      </w:r>
      <w:r w:rsidRPr="00833ECA" w:rsidR="00437F5E">
        <w:t xml:space="preserve">interviews </w:t>
      </w:r>
      <w:r w:rsidRPr="00833ECA" w:rsidR="004F39CA">
        <w:t>is</w:t>
      </w:r>
      <w:r w:rsidRPr="00833ECA" w:rsidR="00437F5E">
        <w:t xml:space="preserve"> based on previous experience with similar data collection efforts by the project staff. For the </w:t>
      </w:r>
      <w:r w:rsidRPr="00833ECA" w:rsidR="00992312">
        <w:t>case studies</w:t>
      </w:r>
      <w:r w:rsidRPr="00833ECA" w:rsidR="00437F5E">
        <w:t xml:space="preserve">, </w:t>
      </w:r>
      <w:r w:rsidRPr="00833ECA" w:rsidR="008321B2">
        <w:t xml:space="preserve">the contractor </w:t>
      </w:r>
      <w:r w:rsidRPr="00833ECA" w:rsidR="00992312">
        <w:rPr>
          <w:bCs/>
        </w:rPr>
        <w:t xml:space="preserve">will work with a program </w:t>
      </w:r>
      <w:r w:rsidRPr="00833ECA" w:rsidR="00D56E72">
        <w:rPr>
          <w:bCs/>
        </w:rPr>
        <w:t>administrator</w:t>
      </w:r>
      <w:r w:rsidRPr="00833ECA" w:rsidR="00803AD3">
        <w:rPr>
          <w:bCs/>
        </w:rPr>
        <w:t xml:space="preserve"> </w:t>
      </w:r>
      <w:r w:rsidRPr="00833ECA" w:rsidR="00992312">
        <w:rPr>
          <w:bCs/>
        </w:rPr>
        <w:t xml:space="preserve">from each </w:t>
      </w:r>
      <w:r w:rsidR="00DC7927">
        <w:rPr>
          <w:bCs/>
        </w:rPr>
        <w:t>TTA provider</w:t>
      </w:r>
      <w:r w:rsidRPr="00833ECA" w:rsidR="00992312">
        <w:rPr>
          <w:bCs/>
        </w:rPr>
        <w:t xml:space="preserve"> organization to identify appropriate case study interview respondents and schedule interviews (estimated burden per response is one hour)</w:t>
      </w:r>
      <w:r w:rsidRPr="00833ECA" w:rsidR="002C5512">
        <w:rPr>
          <w:bCs/>
        </w:rPr>
        <w:t xml:space="preserve"> </w:t>
      </w:r>
      <w:r w:rsidRPr="00833ECA" w:rsidR="002C5512">
        <w:rPr>
          <w:b/>
          <w:bCs/>
        </w:rPr>
        <w:t xml:space="preserve">(Attachment </w:t>
      </w:r>
      <w:r w:rsidR="0089759C">
        <w:rPr>
          <w:b/>
          <w:bCs/>
        </w:rPr>
        <w:t>4</w:t>
      </w:r>
      <w:r w:rsidRPr="00833ECA" w:rsidR="0089759C">
        <w:rPr>
          <w:b/>
          <w:bCs/>
        </w:rPr>
        <w:t>b</w:t>
      </w:r>
      <w:r w:rsidRPr="00833ECA" w:rsidR="002C5512">
        <w:rPr>
          <w:b/>
          <w:bCs/>
        </w:rPr>
        <w:t>)</w:t>
      </w:r>
      <w:r w:rsidRPr="00833ECA" w:rsidR="00992312">
        <w:rPr>
          <w:bCs/>
        </w:rPr>
        <w:t xml:space="preserve">.  </w:t>
      </w:r>
      <w:r w:rsidRPr="00833ECA" w:rsidR="008321B2">
        <w:rPr>
          <w:bCs/>
        </w:rPr>
        <w:t xml:space="preserve">The contractor </w:t>
      </w:r>
      <w:r w:rsidRPr="00833ECA" w:rsidR="00437F5E">
        <w:t xml:space="preserve">will conduct interviews with </w:t>
      </w:r>
      <w:r w:rsidRPr="00833ECA" w:rsidR="004C283C">
        <w:t>up to 8</w:t>
      </w:r>
      <w:r w:rsidRPr="00833ECA" w:rsidR="00B51B84">
        <w:t xml:space="preserve"> </w:t>
      </w:r>
      <w:r w:rsidRPr="00833ECA" w:rsidR="00437F5E">
        <w:t xml:space="preserve">individuals </w:t>
      </w:r>
      <w:r w:rsidRPr="00833ECA" w:rsidR="004C283C">
        <w:t xml:space="preserve">from each </w:t>
      </w:r>
      <w:r w:rsidR="00DC7927">
        <w:t>TTA provider</w:t>
      </w:r>
      <w:r w:rsidRPr="00833ECA" w:rsidR="00DC7927">
        <w:t xml:space="preserve"> </w:t>
      </w:r>
      <w:r w:rsidRPr="00833ECA" w:rsidR="004C283C">
        <w:t xml:space="preserve">organization </w:t>
      </w:r>
      <w:r w:rsidRPr="00833ECA" w:rsidR="00437F5E">
        <w:t>(</w:t>
      </w:r>
      <w:r w:rsidRPr="00833ECA" w:rsidR="004C283C">
        <w:t>i.e.</w:t>
      </w:r>
      <w:r w:rsidR="00353399">
        <w:t>,</w:t>
      </w:r>
      <w:r w:rsidRPr="00833ECA" w:rsidR="004C283C">
        <w:t xml:space="preserve"> up to 2</w:t>
      </w:r>
      <w:r w:rsidRPr="00833ECA" w:rsidR="00EF379A">
        <w:t xml:space="preserve"> program director</w:t>
      </w:r>
      <w:r w:rsidRPr="00833ECA" w:rsidR="004C283C">
        <w:t>s</w:t>
      </w:r>
      <w:r w:rsidRPr="00833ECA" w:rsidR="00D15556">
        <w:t xml:space="preserve"> or </w:t>
      </w:r>
      <w:r w:rsidRPr="00833ECA" w:rsidR="00EF379A">
        <w:t>manager</w:t>
      </w:r>
      <w:r w:rsidRPr="00833ECA" w:rsidR="004C283C">
        <w:t>s</w:t>
      </w:r>
      <w:r w:rsidRPr="00833ECA" w:rsidR="00437F5E">
        <w:t xml:space="preserve">, </w:t>
      </w:r>
      <w:r w:rsidRPr="00833ECA" w:rsidR="004C283C">
        <w:t>up to 2</w:t>
      </w:r>
      <w:r w:rsidRPr="00833ECA" w:rsidR="00EF379A">
        <w:t xml:space="preserve"> program evaluator</w:t>
      </w:r>
      <w:r w:rsidRPr="00833ECA" w:rsidR="004C283C">
        <w:t>s</w:t>
      </w:r>
      <w:r w:rsidRPr="00833ECA" w:rsidR="00437F5E">
        <w:t xml:space="preserve">, and </w:t>
      </w:r>
      <w:r w:rsidRPr="00833ECA" w:rsidR="004C283C">
        <w:t>up to 4</w:t>
      </w:r>
      <w:r w:rsidRPr="00833ECA" w:rsidR="00437F5E">
        <w:t xml:space="preserve"> </w:t>
      </w:r>
      <w:r w:rsidRPr="00833ECA" w:rsidR="004C283C">
        <w:t xml:space="preserve">affiliated </w:t>
      </w:r>
      <w:r w:rsidRPr="00833ECA" w:rsidR="00437F5E">
        <w:t>partners</w:t>
      </w:r>
      <w:r w:rsidRPr="00833ECA" w:rsidR="004C283C">
        <w:t xml:space="preserve">, including </w:t>
      </w:r>
      <w:r w:rsidRPr="00833ECA" w:rsidR="00910BFB">
        <w:t xml:space="preserve">Comprehensive Cancer Control </w:t>
      </w:r>
      <w:r w:rsidRPr="00833ECA" w:rsidR="004C283C">
        <w:t>coalition members</w:t>
      </w:r>
      <w:r w:rsidRPr="00833ECA" w:rsidR="00437F5E">
        <w:t>)</w:t>
      </w:r>
      <w:r w:rsidRPr="00833ECA" w:rsidR="00992312">
        <w:t xml:space="preserve">. The estimate for burden hours per respondent for the program </w:t>
      </w:r>
      <w:r w:rsidRPr="00833ECA" w:rsidR="00957E26">
        <w:t>director</w:t>
      </w:r>
      <w:r w:rsidRPr="00833ECA" w:rsidR="00D15556">
        <w:t xml:space="preserve"> or </w:t>
      </w:r>
      <w:r w:rsidRPr="00833ECA" w:rsidR="00957E26">
        <w:t>manager</w:t>
      </w:r>
      <w:r w:rsidRPr="00833ECA" w:rsidR="00992312">
        <w:t xml:space="preserve"> interviews is 90 minutes</w:t>
      </w:r>
      <w:r w:rsidRPr="00833ECA" w:rsidR="002C5512">
        <w:t xml:space="preserve"> </w:t>
      </w:r>
      <w:r w:rsidRPr="00833ECA" w:rsidR="002C5512">
        <w:rPr>
          <w:b/>
        </w:rPr>
        <w:t xml:space="preserve">(Attachment </w:t>
      </w:r>
      <w:r w:rsidR="0089759C">
        <w:rPr>
          <w:b/>
        </w:rPr>
        <w:t>4d</w:t>
      </w:r>
      <w:r w:rsidRPr="00833ECA" w:rsidR="002C5512">
        <w:rPr>
          <w:b/>
        </w:rPr>
        <w:t>)</w:t>
      </w:r>
      <w:r w:rsidRPr="00833ECA" w:rsidR="00992312">
        <w:t>, and the estimate of burden per respondent for all other case study interviews is 60 minutes</w:t>
      </w:r>
      <w:r w:rsidRPr="00833ECA" w:rsidR="002C5512">
        <w:t xml:space="preserve"> </w:t>
      </w:r>
      <w:r w:rsidRPr="00833ECA" w:rsidR="002C5512">
        <w:rPr>
          <w:b/>
        </w:rPr>
        <w:t xml:space="preserve">(Attachment </w:t>
      </w:r>
      <w:r w:rsidR="0089759C">
        <w:rPr>
          <w:b/>
        </w:rPr>
        <w:t>4e</w:t>
      </w:r>
      <w:r w:rsidRPr="00833ECA" w:rsidR="0089759C">
        <w:rPr>
          <w:b/>
        </w:rPr>
        <w:t xml:space="preserve"> </w:t>
      </w:r>
      <w:r w:rsidRPr="00833ECA" w:rsidR="00833ECA">
        <w:rPr>
          <w:b/>
        </w:rPr>
        <w:t xml:space="preserve">and </w:t>
      </w:r>
      <w:r w:rsidR="0089759C">
        <w:rPr>
          <w:b/>
        </w:rPr>
        <w:t>4</w:t>
      </w:r>
      <w:r w:rsidR="00232F61">
        <w:rPr>
          <w:b/>
        </w:rPr>
        <w:t>f</w:t>
      </w:r>
      <w:r w:rsidRPr="00833ECA" w:rsidR="002C5512">
        <w:rPr>
          <w:b/>
        </w:rPr>
        <w:t>)</w:t>
      </w:r>
      <w:r w:rsidRPr="00833ECA" w:rsidR="00992312">
        <w:t xml:space="preserve">. </w:t>
      </w:r>
      <w:r w:rsidRPr="00833ECA" w:rsidR="00D62369">
        <w:t>Interviews are tailored for each respondent type and include questions and probes designed to gather the most pertinent information across respondent types, with some questions and probes asked across all respondent types and some questions and probes specific to individual respondent types</w:t>
      </w:r>
      <w:r w:rsidRPr="00232F61" w:rsidR="001E6BBF">
        <w:t>.</w:t>
      </w:r>
    </w:p>
    <w:p w:rsidRPr="00833ECA" w:rsidR="00D62369" w:rsidP="00F26905" w:rsidRDefault="00D62369" w14:paraId="4C99BED1" w14:textId="77777777"/>
    <w:p w:rsidR="000C2E3A" w:rsidP="00F26905" w:rsidRDefault="001E77E9" w14:paraId="413A2F11" w14:textId="1AD1D856">
      <w:pPr>
        <w:rPr>
          <w:bCs/>
        </w:rPr>
      </w:pPr>
      <w:r w:rsidRPr="00833ECA">
        <w:t>The estimate for burden hours for the web-</w:t>
      </w:r>
      <w:r w:rsidRPr="00833ECA" w:rsidR="00D62369">
        <w:t>based</w:t>
      </w:r>
      <w:r w:rsidRPr="00833ECA">
        <w:t xml:space="preserve"> survey is </w:t>
      </w:r>
      <w:r w:rsidRPr="00833ECA" w:rsidR="00D62369">
        <w:t xml:space="preserve">guided by </w:t>
      </w:r>
      <w:r w:rsidRPr="00833ECA">
        <w:t xml:space="preserve">a pilot test of the information collection instrument by 6 public health professionals. In the pilot test, the average time to complete the instrument including time for reviewing instructions was 15 minutes. </w:t>
      </w:r>
      <w:r w:rsidR="008D1A84">
        <w:t>T</w:t>
      </w:r>
      <w:r w:rsidRPr="008D1A84" w:rsidR="008D1A84">
        <w:t xml:space="preserve">o administer the </w:t>
      </w:r>
      <w:r w:rsidR="008D1A84">
        <w:t xml:space="preserve">web-based </w:t>
      </w:r>
      <w:r w:rsidRPr="008D1A84" w:rsidR="008D1A84">
        <w:t>survey</w:t>
      </w:r>
      <w:r w:rsidR="008D1A84">
        <w:t>, t</w:t>
      </w:r>
      <w:r w:rsidRPr="008D1A84" w:rsidR="008D1A84">
        <w:t>he team will employ convenience sampling. CDC program consultants who work with NCCCP awardees will reach out to all 66 NCCCP awardee program directors and ask them to identify up to three additional individuals from their staff, coalition, or partners that may have received TT</w:t>
      </w:r>
      <w:r w:rsidR="008D1A84">
        <w:t>A from one of the TTA providers</w:t>
      </w:r>
      <w:r w:rsidRPr="008D1A84" w:rsidR="008D1A84">
        <w:t>. CDC will share those contacts with the contractor. Therefore, the sample will include 66 NCCCP awardee program directors, plus up to 198 additional individuals</w:t>
      </w:r>
      <w:r w:rsidR="000D1B8B">
        <w:t xml:space="preserve"> including NCC</w:t>
      </w:r>
      <w:r w:rsidR="0053484B">
        <w:t>C</w:t>
      </w:r>
      <w:r w:rsidR="000D1B8B">
        <w:t>P</w:t>
      </w:r>
      <w:r w:rsidR="0053484B">
        <w:t xml:space="preserve"> program staff, </w:t>
      </w:r>
      <w:r w:rsidRPr="008D1A84" w:rsidR="0053484B">
        <w:t>NCCCP</w:t>
      </w:r>
      <w:r w:rsidR="0053484B">
        <w:t xml:space="preserve"> coalition members, and </w:t>
      </w:r>
      <w:r w:rsidRPr="008D1A84" w:rsidR="0053484B">
        <w:t>NCCCP</w:t>
      </w:r>
      <w:r w:rsidR="0053484B">
        <w:t xml:space="preserve"> partners</w:t>
      </w:r>
      <w:r w:rsidRPr="008D1A84" w:rsidR="008D1A84">
        <w:t xml:space="preserve">. The survey will be administered </w:t>
      </w:r>
      <w:r w:rsidR="008D1A84">
        <w:t xml:space="preserve">twice during </w:t>
      </w:r>
      <w:r w:rsidRPr="008D1A84" w:rsidR="008D1A84">
        <w:t xml:space="preserve">the cooperative agreement. In total, we will collect information from up to 264 individuals </w:t>
      </w:r>
      <w:r w:rsidRPr="00833ECA" w:rsidR="00910BFB">
        <w:t>(i.e.</w:t>
      </w:r>
      <w:r w:rsidR="00353399">
        <w:t>,</w:t>
      </w:r>
      <w:r w:rsidRPr="00833ECA" w:rsidR="00910BFB">
        <w:t xml:space="preserve"> 66 NCCCP</w:t>
      </w:r>
      <w:r w:rsidR="00303077">
        <w:t xml:space="preserve"> awardee</w:t>
      </w:r>
      <w:r w:rsidRPr="00833ECA" w:rsidR="00910BFB">
        <w:t xml:space="preserve"> program directors or managers, plus 198 additional respondents that the program directors may potentially identify) </w:t>
      </w:r>
      <w:r w:rsidRPr="00833ECA" w:rsidR="002C5512">
        <w:rPr>
          <w:b/>
        </w:rPr>
        <w:t xml:space="preserve">(Attachment </w:t>
      </w:r>
      <w:r w:rsidR="0089759C">
        <w:rPr>
          <w:b/>
        </w:rPr>
        <w:t>5d and 5e</w:t>
      </w:r>
      <w:r w:rsidRPr="00833ECA" w:rsidR="002C5512">
        <w:rPr>
          <w:b/>
        </w:rPr>
        <w:t>)</w:t>
      </w:r>
      <w:r w:rsidRPr="00833ECA">
        <w:t xml:space="preserve">.  </w:t>
      </w:r>
      <w:r w:rsidRPr="00833ECA" w:rsidR="00825EB7">
        <w:t>The</w:t>
      </w:r>
      <w:r w:rsidRPr="00833ECA" w:rsidR="000F7886">
        <w:rPr>
          <w:bCs/>
        </w:rPr>
        <w:t xml:space="preserve"> total </w:t>
      </w:r>
      <w:r w:rsidRPr="00833ECA" w:rsidR="00773DEA">
        <w:rPr>
          <w:bCs/>
        </w:rPr>
        <w:t xml:space="preserve">annualized estimated burden is </w:t>
      </w:r>
      <w:r w:rsidR="002D7021">
        <w:rPr>
          <w:bCs/>
        </w:rPr>
        <w:t>5</w:t>
      </w:r>
      <w:r w:rsidR="0026623B">
        <w:rPr>
          <w:bCs/>
        </w:rPr>
        <w:t>1</w:t>
      </w:r>
      <w:r w:rsidR="000E0A31">
        <w:rPr>
          <w:bCs/>
        </w:rPr>
        <w:t xml:space="preserve"> </w:t>
      </w:r>
      <w:r w:rsidR="002D7021">
        <w:rPr>
          <w:bCs/>
        </w:rPr>
        <w:t>hours</w:t>
      </w:r>
      <w:r w:rsidRPr="00833ECA" w:rsidR="00773DEA">
        <w:rPr>
          <w:bCs/>
        </w:rPr>
        <w:t>.</w:t>
      </w:r>
    </w:p>
    <w:p w:rsidR="00694E42" w:rsidP="00F26905" w:rsidRDefault="00694E42" w14:paraId="702C8287" w14:textId="77777777">
      <w:pPr>
        <w:rPr>
          <w:bCs/>
        </w:rPr>
      </w:pPr>
    </w:p>
    <w:p w:rsidRPr="00833ECA" w:rsidR="009010B6" w:rsidP="00D34777" w:rsidRDefault="009010B6" w14:paraId="56C16260" w14:textId="77777777">
      <w:pPr>
        <w:pStyle w:val="Default"/>
        <w:tabs>
          <w:tab w:val="left" w:pos="0"/>
        </w:tabs>
        <w:rPr>
          <w:rFonts w:ascii="Times New Roman" w:hAnsi="Times New Roman" w:cs="Times New Roman"/>
          <w:b/>
          <w:u w:val="single"/>
        </w:rPr>
      </w:pPr>
      <w:bookmarkStart w:name="OLE_LINK7" w:id="1"/>
      <w:bookmarkStart w:name="OLE_LINK8" w:id="2"/>
    </w:p>
    <w:p w:rsidRPr="00833ECA" w:rsidR="00D13C40" w:rsidP="000D7962" w:rsidRDefault="00D13C40" w14:paraId="53E7D896" w14:textId="77777777">
      <w:pPr>
        <w:pStyle w:val="Default"/>
        <w:tabs>
          <w:tab w:val="left" w:pos="0"/>
        </w:tabs>
        <w:rPr>
          <w:rFonts w:ascii="Times New Roman" w:hAnsi="Times New Roman" w:cs="Times New Roman"/>
          <w:b/>
        </w:rPr>
      </w:pPr>
      <w:r w:rsidRPr="00833ECA">
        <w:rPr>
          <w:rFonts w:ascii="Times New Roman" w:hAnsi="Times New Roman" w:cs="Times New Roman"/>
          <w:b/>
        </w:rPr>
        <w:lastRenderedPageBreak/>
        <w:t>Table A12-1. Estimated Annualized Burden Hours</w:t>
      </w:r>
    </w:p>
    <w:p w:rsidRPr="00833ECA" w:rsidR="009C312E" w:rsidP="000D7962" w:rsidRDefault="009C312E" w14:paraId="006CD8EC" w14:textId="77777777">
      <w:pPr>
        <w:pStyle w:val="Default"/>
        <w:tabs>
          <w:tab w:val="left" w:pos="0"/>
        </w:tabs>
        <w:rPr>
          <w:rFonts w:ascii="Times New Roman" w:hAnsi="Times New Roman" w:cs="Times New Roman"/>
          <w:b/>
          <w:u w:val="single"/>
        </w:rPr>
      </w:pPr>
    </w:p>
    <w:tbl>
      <w:tblPr>
        <w:tblW w:w="482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78"/>
        <w:gridCol w:w="1657"/>
        <w:gridCol w:w="1442"/>
        <w:gridCol w:w="1417"/>
        <w:gridCol w:w="1560"/>
        <w:gridCol w:w="1161"/>
      </w:tblGrid>
      <w:tr w:rsidRPr="008F465C" w:rsidR="00957E26" w:rsidTr="00EC6629" w14:paraId="06635CDC" w14:textId="77777777">
        <w:trPr>
          <w:cantSplit/>
        </w:trPr>
        <w:tc>
          <w:tcPr>
            <w:tcW w:w="986" w:type="pct"/>
            <w:tcBorders>
              <w:top w:val="single" w:color="auto" w:sz="4" w:space="0"/>
              <w:left w:val="single" w:color="auto" w:sz="4" w:space="0"/>
              <w:bottom w:val="single" w:color="auto" w:sz="4" w:space="0"/>
              <w:right w:val="single" w:color="auto" w:sz="4" w:space="0"/>
            </w:tcBorders>
            <w:vAlign w:val="center"/>
          </w:tcPr>
          <w:p w:rsidRPr="00424C9D" w:rsidR="00B817FA" w:rsidP="00EC6629" w:rsidRDefault="00B817FA" w14:paraId="6ACA94D2" w14:textId="77777777">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color w:val="auto"/>
                <w:sz w:val="22"/>
                <w:szCs w:val="22"/>
              </w:rPr>
              <w:t>Type of Respondents</w:t>
            </w:r>
          </w:p>
        </w:tc>
        <w:tc>
          <w:tcPr>
            <w:tcW w:w="919" w:type="pct"/>
            <w:tcBorders>
              <w:top w:val="single" w:color="auto" w:sz="4" w:space="0"/>
              <w:left w:val="single" w:color="auto" w:sz="4" w:space="0"/>
              <w:bottom w:val="single" w:color="auto" w:sz="4" w:space="0"/>
              <w:right w:val="single" w:color="auto" w:sz="4" w:space="0"/>
            </w:tcBorders>
            <w:vAlign w:val="center"/>
          </w:tcPr>
          <w:p w:rsidRPr="00424C9D" w:rsidR="00B817FA" w:rsidP="00EC6629" w:rsidRDefault="00B817FA" w14:paraId="78BC3A3E" w14:textId="77777777">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color w:val="auto"/>
                <w:sz w:val="22"/>
                <w:szCs w:val="22"/>
              </w:rPr>
              <w:t>Form Name</w:t>
            </w:r>
          </w:p>
        </w:tc>
        <w:tc>
          <w:tcPr>
            <w:tcW w:w="800" w:type="pct"/>
            <w:tcBorders>
              <w:top w:val="single" w:color="auto" w:sz="4" w:space="0"/>
              <w:left w:val="single" w:color="auto" w:sz="4" w:space="0"/>
              <w:bottom w:val="single" w:color="auto" w:sz="4" w:space="0"/>
              <w:right w:val="single" w:color="auto" w:sz="4" w:space="0"/>
            </w:tcBorders>
            <w:vAlign w:val="center"/>
            <w:hideMark/>
          </w:tcPr>
          <w:p w:rsidRPr="00424C9D" w:rsidR="00B817FA" w:rsidP="00EC6629" w:rsidRDefault="00B817FA" w14:paraId="68134EF0" w14:textId="77777777">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color w:val="auto"/>
                <w:sz w:val="22"/>
                <w:szCs w:val="22"/>
              </w:rPr>
              <w:t>Number of Respondents</w:t>
            </w:r>
          </w:p>
        </w:tc>
        <w:tc>
          <w:tcPr>
            <w:tcW w:w="786" w:type="pct"/>
            <w:tcBorders>
              <w:top w:val="single" w:color="auto" w:sz="4" w:space="0"/>
              <w:left w:val="single" w:color="auto" w:sz="4" w:space="0"/>
              <w:bottom w:val="single" w:color="auto" w:sz="4" w:space="0"/>
              <w:right w:val="single" w:color="auto" w:sz="4" w:space="0"/>
            </w:tcBorders>
            <w:vAlign w:val="center"/>
            <w:hideMark/>
          </w:tcPr>
          <w:p w:rsidRPr="00424C9D" w:rsidR="00B817FA" w:rsidP="00EC6629" w:rsidRDefault="00B817FA" w14:paraId="47C8351D" w14:textId="77777777">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color w:val="auto"/>
                <w:sz w:val="22"/>
                <w:szCs w:val="22"/>
              </w:rPr>
              <w:t>Number of Responses per Respondent</w:t>
            </w:r>
          </w:p>
        </w:tc>
        <w:tc>
          <w:tcPr>
            <w:tcW w:w="865" w:type="pct"/>
            <w:tcBorders>
              <w:top w:val="single" w:color="auto" w:sz="4" w:space="0"/>
              <w:left w:val="single" w:color="auto" w:sz="4" w:space="0"/>
              <w:bottom w:val="single" w:color="auto" w:sz="4" w:space="0"/>
              <w:right w:val="single" w:color="auto" w:sz="4" w:space="0"/>
            </w:tcBorders>
            <w:vAlign w:val="center"/>
            <w:hideMark/>
          </w:tcPr>
          <w:p w:rsidRPr="00424C9D" w:rsidR="00B817FA" w:rsidP="00EC6629" w:rsidRDefault="00B817FA" w14:paraId="66AA70E6" w14:textId="77777777">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color w:val="auto"/>
                <w:sz w:val="22"/>
                <w:szCs w:val="22"/>
              </w:rPr>
              <w:t xml:space="preserve">Average Burden per Response (in </w:t>
            </w:r>
            <w:proofErr w:type="spellStart"/>
            <w:r w:rsidRPr="00424C9D">
              <w:rPr>
                <w:rFonts w:ascii="Times New Roman" w:hAnsi="Times New Roman" w:cs="Times New Roman"/>
                <w:color w:val="auto"/>
                <w:sz w:val="22"/>
                <w:szCs w:val="22"/>
              </w:rPr>
              <w:t>hr</w:t>
            </w:r>
            <w:r w:rsidRPr="00424C9D" w:rsidR="009B664F">
              <w:rPr>
                <w:rFonts w:ascii="Times New Roman" w:hAnsi="Times New Roman" w:cs="Times New Roman"/>
                <w:color w:val="auto"/>
                <w:sz w:val="22"/>
                <w:szCs w:val="22"/>
              </w:rPr>
              <w:t>s</w:t>
            </w:r>
            <w:proofErr w:type="spellEnd"/>
            <w:r w:rsidRPr="00424C9D">
              <w:rPr>
                <w:rFonts w:ascii="Times New Roman" w:hAnsi="Times New Roman" w:cs="Times New Roman"/>
                <w:color w:val="auto"/>
                <w:sz w:val="22"/>
                <w:szCs w:val="22"/>
              </w:rPr>
              <w:t>)</w:t>
            </w:r>
          </w:p>
        </w:tc>
        <w:tc>
          <w:tcPr>
            <w:tcW w:w="644" w:type="pct"/>
            <w:tcBorders>
              <w:top w:val="single" w:color="auto" w:sz="4" w:space="0"/>
              <w:left w:val="single" w:color="auto" w:sz="4" w:space="0"/>
              <w:bottom w:val="single" w:color="auto" w:sz="4" w:space="0"/>
              <w:right w:val="single" w:color="auto" w:sz="4" w:space="0"/>
            </w:tcBorders>
            <w:vAlign w:val="center"/>
            <w:hideMark/>
          </w:tcPr>
          <w:p w:rsidRPr="00424C9D" w:rsidR="00B817FA" w:rsidP="00EC6629" w:rsidRDefault="00B817FA" w14:paraId="33BA1FD1" w14:textId="77777777">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color w:val="auto"/>
                <w:sz w:val="22"/>
                <w:szCs w:val="22"/>
              </w:rPr>
              <w:t xml:space="preserve">Total Burden (in </w:t>
            </w:r>
            <w:proofErr w:type="spellStart"/>
            <w:r w:rsidRPr="00424C9D">
              <w:rPr>
                <w:rFonts w:ascii="Times New Roman" w:hAnsi="Times New Roman" w:cs="Times New Roman"/>
                <w:color w:val="auto"/>
                <w:sz w:val="22"/>
                <w:szCs w:val="22"/>
              </w:rPr>
              <w:t>hr</w:t>
            </w:r>
            <w:r w:rsidRPr="00424C9D" w:rsidR="009B664F">
              <w:rPr>
                <w:rFonts w:ascii="Times New Roman" w:hAnsi="Times New Roman" w:cs="Times New Roman"/>
                <w:color w:val="auto"/>
                <w:sz w:val="22"/>
                <w:szCs w:val="22"/>
              </w:rPr>
              <w:t>s</w:t>
            </w:r>
            <w:proofErr w:type="spellEnd"/>
            <w:r w:rsidRPr="00424C9D">
              <w:rPr>
                <w:rFonts w:ascii="Times New Roman" w:hAnsi="Times New Roman" w:cs="Times New Roman"/>
                <w:color w:val="auto"/>
                <w:sz w:val="22"/>
                <w:szCs w:val="22"/>
              </w:rPr>
              <w:t>)</w:t>
            </w:r>
          </w:p>
        </w:tc>
      </w:tr>
      <w:tr w:rsidRPr="008F465C" w:rsidR="0001584A" w:rsidTr="00EC6629" w14:paraId="41A44EDD" w14:textId="77777777">
        <w:trPr>
          <w:cantSplit/>
        </w:trPr>
        <w:tc>
          <w:tcPr>
            <w:tcW w:w="986" w:type="pct"/>
            <w:tcBorders>
              <w:top w:val="single" w:color="auto" w:sz="4" w:space="0"/>
              <w:left w:val="single" w:color="auto" w:sz="4" w:space="0"/>
              <w:bottom w:val="single" w:color="auto" w:sz="4" w:space="0"/>
              <w:right w:val="single" w:color="auto" w:sz="4" w:space="0"/>
            </w:tcBorders>
            <w:vAlign w:val="center"/>
          </w:tcPr>
          <w:p w:rsidRPr="00424C9D" w:rsidR="0001584A" w:rsidP="0001584A" w:rsidRDefault="0001584A" w14:paraId="2CEE25C9" w14:textId="7F65141C">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sz w:val="22"/>
                <w:szCs w:val="22"/>
              </w:rPr>
              <w:t xml:space="preserve">NCCCP Awardee Program Directors, </w:t>
            </w:r>
            <w:r w:rsidRPr="00424C9D" w:rsidR="00514840">
              <w:rPr>
                <w:rFonts w:ascii="Times New Roman" w:hAnsi="Times New Roman" w:cs="Times New Roman"/>
                <w:sz w:val="22"/>
                <w:szCs w:val="22"/>
              </w:rPr>
              <w:t xml:space="preserve">and </w:t>
            </w:r>
            <w:r w:rsidRPr="00424C9D">
              <w:rPr>
                <w:rFonts w:ascii="Times New Roman" w:hAnsi="Times New Roman" w:cs="Times New Roman"/>
                <w:sz w:val="22"/>
                <w:szCs w:val="22"/>
              </w:rPr>
              <w:t>Staff</w:t>
            </w:r>
          </w:p>
        </w:tc>
        <w:tc>
          <w:tcPr>
            <w:tcW w:w="919" w:type="pct"/>
            <w:tcBorders>
              <w:top w:val="single" w:color="auto" w:sz="4" w:space="0"/>
              <w:left w:val="single" w:color="auto" w:sz="4" w:space="0"/>
              <w:bottom w:val="single" w:color="auto" w:sz="4" w:space="0"/>
              <w:right w:val="single" w:color="auto" w:sz="4" w:space="0"/>
            </w:tcBorders>
            <w:vAlign w:val="center"/>
          </w:tcPr>
          <w:p w:rsidRPr="00424C9D" w:rsidR="0001584A" w:rsidP="0001584A" w:rsidRDefault="0001584A" w14:paraId="2EB92892" w14:textId="77777777">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color w:val="auto"/>
                <w:sz w:val="22"/>
                <w:szCs w:val="22"/>
              </w:rPr>
              <w:t>Web-based survey</w:t>
            </w:r>
          </w:p>
          <w:p w:rsidRPr="00424C9D" w:rsidR="0001584A" w:rsidP="0001584A" w:rsidRDefault="0001584A" w14:paraId="472C5CE5" w14:textId="567F08AA">
            <w:pPr>
              <w:pStyle w:val="Default"/>
              <w:tabs>
                <w:tab w:val="left" w:pos="0"/>
              </w:tabs>
              <w:jc w:val="center"/>
              <w:rPr>
                <w:rFonts w:ascii="Times New Roman" w:hAnsi="Times New Roman" w:cs="Times New Roman"/>
                <w:color w:val="auto"/>
                <w:sz w:val="22"/>
                <w:szCs w:val="22"/>
              </w:rPr>
            </w:pPr>
          </w:p>
        </w:tc>
        <w:tc>
          <w:tcPr>
            <w:tcW w:w="800" w:type="pct"/>
            <w:tcBorders>
              <w:top w:val="single" w:color="auto" w:sz="4" w:space="0"/>
              <w:left w:val="single" w:color="auto" w:sz="4" w:space="0"/>
              <w:bottom w:val="single" w:color="auto" w:sz="4" w:space="0"/>
              <w:right w:val="single" w:color="auto" w:sz="4" w:space="0"/>
            </w:tcBorders>
            <w:vAlign w:val="center"/>
          </w:tcPr>
          <w:p w:rsidRPr="00424C9D" w:rsidR="0001584A" w:rsidP="0001584A" w:rsidRDefault="000307ED" w14:paraId="0BF4A4F8" w14:textId="63C17134">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color w:val="auto"/>
                <w:sz w:val="22"/>
                <w:szCs w:val="22"/>
              </w:rPr>
              <w:t>88</w:t>
            </w:r>
          </w:p>
        </w:tc>
        <w:tc>
          <w:tcPr>
            <w:tcW w:w="786" w:type="pct"/>
            <w:tcBorders>
              <w:top w:val="single" w:color="auto" w:sz="4" w:space="0"/>
              <w:left w:val="single" w:color="auto" w:sz="4" w:space="0"/>
              <w:bottom w:val="single" w:color="auto" w:sz="4" w:space="0"/>
              <w:right w:val="single" w:color="auto" w:sz="4" w:space="0"/>
            </w:tcBorders>
            <w:vAlign w:val="center"/>
          </w:tcPr>
          <w:p w:rsidRPr="00424C9D" w:rsidR="0001584A" w:rsidP="0001584A" w:rsidRDefault="0001584A" w14:paraId="43698786" w14:textId="58114641">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color w:val="auto"/>
                <w:sz w:val="22"/>
                <w:szCs w:val="22"/>
              </w:rPr>
              <w:t>1</w:t>
            </w:r>
          </w:p>
        </w:tc>
        <w:tc>
          <w:tcPr>
            <w:tcW w:w="865" w:type="pct"/>
            <w:tcBorders>
              <w:top w:val="single" w:color="auto" w:sz="4" w:space="0"/>
              <w:left w:val="single" w:color="auto" w:sz="4" w:space="0"/>
              <w:bottom w:val="single" w:color="auto" w:sz="4" w:space="0"/>
              <w:right w:val="single" w:color="auto" w:sz="4" w:space="0"/>
            </w:tcBorders>
            <w:vAlign w:val="center"/>
          </w:tcPr>
          <w:p w:rsidRPr="00424C9D" w:rsidR="0001584A" w:rsidP="0001584A" w:rsidRDefault="0001584A" w14:paraId="4280F9D2" w14:textId="29C112F1">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color w:val="auto"/>
                <w:sz w:val="22"/>
                <w:szCs w:val="22"/>
              </w:rPr>
              <w:t>0.25</w:t>
            </w:r>
          </w:p>
        </w:tc>
        <w:tc>
          <w:tcPr>
            <w:tcW w:w="644" w:type="pct"/>
            <w:tcBorders>
              <w:top w:val="single" w:color="auto" w:sz="4" w:space="0"/>
              <w:left w:val="single" w:color="auto" w:sz="4" w:space="0"/>
              <w:bottom w:val="single" w:color="auto" w:sz="4" w:space="0"/>
              <w:right w:val="single" w:color="auto" w:sz="4" w:space="0"/>
            </w:tcBorders>
            <w:vAlign w:val="center"/>
          </w:tcPr>
          <w:p w:rsidRPr="00424C9D" w:rsidR="0001584A" w:rsidP="0001584A" w:rsidRDefault="000307ED" w14:paraId="68FCB478" w14:textId="0F20BBA0">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color w:val="auto"/>
                <w:sz w:val="22"/>
                <w:szCs w:val="22"/>
              </w:rPr>
              <w:t>22</w:t>
            </w:r>
          </w:p>
        </w:tc>
      </w:tr>
      <w:tr w:rsidRPr="008F465C" w:rsidR="00821815" w:rsidTr="00EC6629" w14:paraId="20BC7DAE" w14:textId="77777777">
        <w:trPr>
          <w:cantSplit/>
        </w:trPr>
        <w:tc>
          <w:tcPr>
            <w:tcW w:w="986" w:type="pct"/>
            <w:tcBorders>
              <w:top w:val="single" w:color="auto" w:sz="4" w:space="0"/>
              <w:left w:val="single" w:color="auto" w:sz="4" w:space="0"/>
              <w:bottom w:val="single" w:color="auto" w:sz="4" w:space="0"/>
              <w:right w:val="single" w:color="auto" w:sz="4" w:space="0"/>
            </w:tcBorders>
            <w:vAlign w:val="center"/>
          </w:tcPr>
          <w:p w:rsidRPr="00424C9D" w:rsidR="00821815" w:rsidP="00821815" w:rsidRDefault="00821815" w14:paraId="4AE624BB" w14:textId="48FC6965">
            <w:pPr>
              <w:pStyle w:val="Default"/>
              <w:tabs>
                <w:tab w:val="left" w:pos="0"/>
              </w:tabs>
              <w:jc w:val="center"/>
              <w:rPr>
                <w:rFonts w:ascii="Times New Roman" w:hAnsi="Times New Roman" w:cs="Times New Roman"/>
                <w:sz w:val="22"/>
                <w:szCs w:val="22"/>
              </w:rPr>
            </w:pPr>
            <w:r w:rsidRPr="00424C9D">
              <w:rPr>
                <w:rFonts w:ascii="Times New Roman" w:hAnsi="Times New Roman" w:cs="Times New Roman"/>
                <w:sz w:val="22"/>
                <w:szCs w:val="22"/>
              </w:rPr>
              <w:t>NCCCP Coalition Members, and NCCCP Partners</w:t>
            </w:r>
          </w:p>
        </w:tc>
        <w:tc>
          <w:tcPr>
            <w:tcW w:w="919" w:type="pct"/>
            <w:tcBorders>
              <w:top w:val="single" w:color="auto" w:sz="4" w:space="0"/>
              <w:left w:val="single" w:color="auto" w:sz="4" w:space="0"/>
              <w:bottom w:val="single" w:color="auto" w:sz="4" w:space="0"/>
              <w:right w:val="single" w:color="auto" w:sz="4" w:space="0"/>
            </w:tcBorders>
            <w:vAlign w:val="center"/>
          </w:tcPr>
          <w:p w:rsidRPr="00424C9D" w:rsidR="00821815" w:rsidP="00821815" w:rsidRDefault="00821815" w14:paraId="320713C3" w14:textId="77777777">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color w:val="auto"/>
                <w:sz w:val="22"/>
                <w:szCs w:val="22"/>
              </w:rPr>
              <w:t>Web-based survey</w:t>
            </w:r>
          </w:p>
          <w:p w:rsidRPr="00424C9D" w:rsidR="00821815" w:rsidP="00821815" w:rsidRDefault="00821815" w14:paraId="7A1BE562" w14:textId="77777777">
            <w:pPr>
              <w:pStyle w:val="Default"/>
              <w:tabs>
                <w:tab w:val="left" w:pos="0"/>
              </w:tabs>
              <w:jc w:val="center"/>
              <w:rPr>
                <w:rFonts w:ascii="Times New Roman" w:hAnsi="Times New Roman" w:cs="Times New Roman"/>
                <w:color w:val="auto"/>
                <w:sz w:val="22"/>
                <w:szCs w:val="22"/>
              </w:rPr>
            </w:pPr>
          </w:p>
        </w:tc>
        <w:tc>
          <w:tcPr>
            <w:tcW w:w="800" w:type="pct"/>
            <w:tcBorders>
              <w:top w:val="single" w:color="auto" w:sz="4" w:space="0"/>
              <w:left w:val="single" w:color="auto" w:sz="4" w:space="0"/>
              <w:bottom w:val="single" w:color="auto" w:sz="4" w:space="0"/>
              <w:right w:val="single" w:color="auto" w:sz="4" w:space="0"/>
            </w:tcBorders>
            <w:vAlign w:val="center"/>
          </w:tcPr>
          <w:p w:rsidRPr="00424C9D" w:rsidR="00821815" w:rsidP="00821815" w:rsidRDefault="000307ED" w14:paraId="1B3BDD6F" w14:textId="1CD0D924">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color w:val="auto"/>
                <w:sz w:val="22"/>
                <w:szCs w:val="22"/>
              </w:rPr>
              <w:t>88</w:t>
            </w:r>
          </w:p>
        </w:tc>
        <w:tc>
          <w:tcPr>
            <w:tcW w:w="786" w:type="pct"/>
            <w:tcBorders>
              <w:top w:val="single" w:color="auto" w:sz="4" w:space="0"/>
              <w:left w:val="single" w:color="auto" w:sz="4" w:space="0"/>
              <w:bottom w:val="single" w:color="auto" w:sz="4" w:space="0"/>
              <w:right w:val="single" w:color="auto" w:sz="4" w:space="0"/>
            </w:tcBorders>
            <w:vAlign w:val="center"/>
          </w:tcPr>
          <w:p w:rsidRPr="00424C9D" w:rsidR="00821815" w:rsidP="00821815" w:rsidRDefault="00821815" w14:paraId="62AAB67A" w14:textId="61944937">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color w:val="auto"/>
                <w:sz w:val="22"/>
                <w:szCs w:val="22"/>
              </w:rPr>
              <w:t>1</w:t>
            </w:r>
          </w:p>
        </w:tc>
        <w:tc>
          <w:tcPr>
            <w:tcW w:w="865" w:type="pct"/>
            <w:tcBorders>
              <w:top w:val="single" w:color="auto" w:sz="4" w:space="0"/>
              <w:left w:val="single" w:color="auto" w:sz="4" w:space="0"/>
              <w:bottom w:val="single" w:color="auto" w:sz="4" w:space="0"/>
              <w:right w:val="single" w:color="auto" w:sz="4" w:space="0"/>
            </w:tcBorders>
            <w:vAlign w:val="center"/>
          </w:tcPr>
          <w:p w:rsidRPr="00424C9D" w:rsidR="00821815" w:rsidP="00821815" w:rsidRDefault="00821815" w14:paraId="4A274747" w14:textId="10C9A883">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color w:val="auto"/>
                <w:sz w:val="22"/>
                <w:szCs w:val="22"/>
              </w:rPr>
              <w:t>0.25</w:t>
            </w:r>
          </w:p>
        </w:tc>
        <w:tc>
          <w:tcPr>
            <w:tcW w:w="644" w:type="pct"/>
            <w:tcBorders>
              <w:top w:val="single" w:color="auto" w:sz="4" w:space="0"/>
              <w:left w:val="single" w:color="auto" w:sz="4" w:space="0"/>
              <w:bottom w:val="single" w:color="auto" w:sz="4" w:space="0"/>
              <w:right w:val="single" w:color="auto" w:sz="4" w:space="0"/>
            </w:tcBorders>
            <w:vAlign w:val="center"/>
          </w:tcPr>
          <w:p w:rsidRPr="00424C9D" w:rsidR="00821815" w:rsidP="00821815" w:rsidRDefault="000307ED" w14:paraId="5FE64A47" w14:textId="10442A92">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color w:val="auto"/>
                <w:sz w:val="22"/>
                <w:szCs w:val="22"/>
              </w:rPr>
              <w:t>22</w:t>
            </w:r>
          </w:p>
        </w:tc>
      </w:tr>
      <w:tr w:rsidRPr="008F465C" w:rsidR="0001584A" w:rsidTr="00EC6629" w14:paraId="0EFBB7D9" w14:textId="77777777">
        <w:trPr>
          <w:cantSplit/>
        </w:trPr>
        <w:tc>
          <w:tcPr>
            <w:tcW w:w="986" w:type="pct"/>
            <w:tcBorders>
              <w:left w:val="single" w:color="auto" w:sz="4" w:space="0"/>
              <w:right w:val="single" w:color="auto" w:sz="4" w:space="0"/>
            </w:tcBorders>
            <w:vAlign w:val="center"/>
          </w:tcPr>
          <w:p w:rsidRPr="00424C9D" w:rsidR="0001584A" w:rsidP="0001584A" w:rsidRDefault="0001584A" w14:paraId="55A7E4C1" w14:textId="6F006D88">
            <w:pPr>
              <w:jc w:val="center"/>
              <w:rPr>
                <w:sz w:val="22"/>
                <w:szCs w:val="22"/>
              </w:rPr>
            </w:pPr>
            <w:r w:rsidRPr="00424C9D">
              <w:rPr>
                <w:sz w:val="22"/>
                <w:szCs w:val="22"/>
              </w:rPr>
              <w:t>TTA Provider Organizations</w:t>
            </w:r>
          </w:p>
        </w:tc>
        <w:tc>
          <w:tcPr>
            <w:tcW w:w="919" w:type="pct"/>
            <w:tcBorders>
              <w:left w:val="single" w:color="auto" w:sz="4" w:space="0"/>
              <w:right w:val="single" w:color="auto" w:sz="4" w:space="0"/>
            </w:tcBorders>
          </w:tcPr>
          <w:p w:rsidRPr="00424C9D" w:rsidR="0001584A" w:rsidP="0001584A" w:rsidRDefault="0001584A" w14:paraId="7F9376D9" w14:textId="7E76ED45">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color w:val="auto"/>
                <w:sz w:val="22"/>
                <w:szCs w:val="22"/>
              </w:rPr>
              <w:t>Worksheet for Identifying Case Study Interviewees</w:t>
            </w:r>
          </w:p>
        </w:tc>
        <w:tc>
          <w:tcPr>
            <w:tcW w:w="800" w:type="pct"/>
            <w:tcBorders>
              <w:top w:val="single" w:color="auto" w:sz="4" w:space="0"/>
              <w:left w:val="single" w:color="auto" w:sz="4" w:space="0"/>
              <w:bottom w:val="single" w:color="auto" w:sz="4" w:space="0"/>
              <w:right w:val="single" w:color="auto" w:sz="4" w:space="0"/>
            </w:tcBorders>
            <w:vAlign w:val="center"/>
          </w:tcPr>
          <w:p w:rsidRPr="00424C9D" w:rsidR="0001584A" w:rsidP="0001584A" w:rsidRDefault="0001584A" w14:paraId="57436402" w14:textId="33795B71">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color w:val="auto"/>
                <w:sz w:val="22"/>
                <w:szCs w:val="22"/>
              </w:rPr>
              <w:t>1</w:t>
            </w:r>
          </w:p>
        </w:tc>
        <w:tc>
          <w:tcPr>
            <w:tcW w:w="786" w:type="pct"/>
            <w:tcBorders>
              <w:top w:val="single" w:color="auto" w:sz="4" w:space="0"/>
              <w:left w:val="single" w:color="auto" w:sz="4" w:space="0"/>
              <w:bottom w:val="single" w:color="auto" w:sz="4" w:space="0"/>
              <w:right w:val="single" w:color="auto" w:sz="4" w:space="0"/>
            </w:tcBorders>
            <w:vAlign w:val="center"/>
          </w:tcPr>
          <w:p w:rsidRPr="00424C9D" w:rsidR="0001584A" w:rsidP="0001584A" w:rsidRDefault="0001584A" w14:paraId="4F608042" w14:textId="51B5BCC4">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color w:val="auto"/>
                <w:sz w:val="22"/>
                <w:szCs w:val="22"/>
              </w:rPr>
              <w:t>1</w:t>
            </w:r>
          </w:p>
        </w:tc>
        <w:tc>
          <w:tcPr>
            <w:tcW w:w="865" w:type="pct"/>
            <w:tcBorders>
              <w:top w:val="single" w:color="auto" w:sz="4" w:space="0"/>
              <w:left w:val="single" w:color="auto" w:sz="4" w:space="0"/>
              <w:bottom w:val="single" w:color="auto" w:sz="4" w:space="0"/>
              <w:right w:val="single" w:color="auto" w:sz="4" w:space="0"/>
            </w:tcBorders>
            <w:vAlign w:val="center"/>
          </w:tcPr>
          <w:p w:rsidRPr="00424C9D" w:rsidR="0001584A" w:rsidP="0001584A" w:rsidRDefault="0001584A" w14:paraId="44255485" w14:textId="44178651">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color w:val="auto"/>
                <w:sz w:val="22"/>
                <w:szCs w:val="22"/>
              </w:rPr>
              <w:t>1</w:t>
            </w:r>
          </w:p>
        </w:tc>
        <w:tc>
          <w:tcPr>
            <w:tcW w:w="644" w:type="pct"/>
            <w:tcBorders>
              <w:top w:val="single" w:color="auto" w:sz="4" w:space="0"/>
              <w:left w:val="single" w:color="auto" w:sz="4" w:space="0"/>
              <w:bottom w:val="single" w:color="auto" w:sz="4" w:space="0"/>
              <w:right w:val="single" w:color="auto" w:sz="4" w:space="0"/>
            </w:tcBorders>
            <w:vAlign w:val="center"/>
          </w:tcPr>
          <w:p w:rsidRPr="00424C9D" w:rsidR="0001584A" w:rsidP="0001584A" w:rsidRDefault="008F465C" w14:paraId="67284569" w14:textId="0D89D6BB">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color w:val="auto"/>
                <w:sz w:val="22"/>
                <w:szCs w:val="22"/>
              </w:rPr>
              <w:t>1</w:t>
            </w:r>
          </w:p>
        </w:tc>
      </w:tr>
      <w:tr w:rsidRPr="008F465C" w:rsidR="0001584A" w:rsidTr="00EC6629" w14:paraId="18BBCB50" w14:textId="77777777">
        <w:trPr>
          <w:cantSplit/>
        </w:trPr>
        <w:tc>
          <w:tcPr>
            <w:tcW w:w="986" w:type="pct"/>
            <w:tcBorders>
              <w:left w:val="single" w:color="auto" w:sz="4" w:space="0"/>
              <w:bottom w:val="single" w:color="auto" w:sz="4" w:space="0"/>
              <w:right w:val="single" w:color="auto" w:sz="4" w:space="0"/>
            </w:tcBorders>
            <w:vAlign w:val="center"/>
          </w:tcPr>
          <w:p w:rsidRPr="00424C9D" w:rsidR="0001584A" w:rsidP="0001584A" w:rsidRDefault="0001584A" w14:paraId="5588A678" w14:textId="77777777">
            <w:pPr>
              <w:jc w:val="center"/>
              <w:rPr>
                <w:sz w:val="22"/>
                <w:szCs w:val="22"/>
              </w:rPr>
            </w:pPr>
            <w:r w:rsidRPr="00424C9D">
              <w:rPr>
                <w:sz w:val="22"/>
                <w:szCs w:val="22"/>
              </w:rPr>
              <w:t>TTA Provider Directors or</w:t>
            </w:r>
          </w:p>
          <w:p w:rsidRPr="00424C9D" w:rsidR="0001584A" w:rsidP="0001584A" w:rsidRDefault="0001584A" w14:paraId="5199C622" w14:textId="766729A6">
            <w:pPr>
              <w:jc w:val="center"/>
              <w:rPr>
                <w:sz w:val="22"/>
                <w:szCs w:val="22"/>
              </w:rPr>
            </w:pPr>
            <w:r w:rsidRPr="00424C9D">
              <w:rPr>
                <w:sz w:val="22"/>
                <w:szCs w:val="22"/>
              </w:rPr>
              <w:t>Managers</w:t>
            </w:r>
          </w:p>
        </w:tc>
        <w:tc>
          <w:tcPr>
            <w:tcW w:w="919" w:type="pct"/>
            <w:tcBorders>
              <w:left w:val="single" w:color="auto" w:sz="4" w:space="0"/>
              <w:bottom w:val="single" w:color="auto" w:sz="4" w:space="0"/>
              <w:right w:val="single" w:color="auto" w:sz="4" w:space="0"/>
            </w:tcBorders>
          </w:tcPr>
          <w:p w:rsidRPr="00424C9D" w:rsidR="0001584A" w:rsidP="0001584A" w:rsidRDefault="0001584A" w14:paraId="6EB5C042" w14:textId="77777777">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color w:val="auto"/>
                <w:sz w:val="22"/>
                <w:szCs w:val="22"/>
              </w:rPr>
              <w:t>Case Study Interview Guide for TTA Provider Program Directors or</w:t>
            </w:r>
          </w:p>
          <w:p w:rsidRPr="00424C9D" w:rsidR="0001584A" w:rsidP="0001584A" w:rsidRDefault="0001584A" w14:paraId="1352DC26" w14:textId="4D9DA707">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color w:val="auto"/>
                <w:sz w:val="22"/>
                <w:szCs w:val="22"/>
              </w:rPr>
              <w:t>Managers</w:t>
            </w:r>
          </w:p>
        </w:tc>
        <w:tc>
          <w:tcPr>
            <w:tcW w:w="800" w:type="pct"/>
            <w:tcBorders>
              <w:top w:val="single" w:color="auto" w:sz="4" w:space="0"/>
              <w:left w:val="single" w:color="auto" w:sz="4" w:space="0"/>
              <w:bottom w:val="single" w:color="auto" w:sz="4" w:space="0"/>
              <w:right w:val="single" w:color="auto" w:sz="4" w:space="0"/>
            </w:tcBorders>
            <w:vAlign w:val="center"/>
          </w:tcPr>
          <w:p w:rsidRPr="00424C9D" w:rsidR="0001584A" w:rsidP="0001584A" w:rsidRDefault="0001584A" w14:paraId="6CD45074" w14:textId="341D858B">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color w:val="auto"/>
                <w:sz w:val="22"/>
                <w:szCs w:val="22"/>
              </w:rPr>
              <w:t>1</w:t>
            </w:r>
          </w:p>
        </w:tc>
        <w:tc>
          <w:tcPr>
            <w:tcW w:w="786" w:type="pct"/>
            <w:tcBorders>
              <w:top w:val="single" w:color="auto" w:sz="4" w:space="0"/>
              <w:left w:val="single" w:color="auto" w:sz="4" w:space="0"/>
              <w:bottom w:val="single" w:color="auto" w:sz="4" w:space="0"/>
              <w:right w:val="single" w:color="auto" w:sz="4" w:space="0"/>
            </w:tcBorders>
            <w:vAlign w:val="center"/>
          </w:tcPr>
          <w:p w:rsidRPr="00424C9D" w:rsidR="0001584A" w:rsidP="0001584A" w:rsidRDefault="0001584A" w14:paraId="281F6A41" w14:textId="6B9902B4">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color w:val="auto"/>
                <w:sz w:val="22"/>
                <w:szCs w:val="22"/>
              </w:rPr>
              <w:t>1</w:t>
            </w:r>
          </w:p>
        </w:tc>
        <w:tc>
          <w:tcPr>
            <w:tcW w:w="865" w:type="pct"/>
            <w:tcBorders>
              <w:top w:val="single" w:color="auto" w:sz="4" w:space="0"/>
              <w:left w:val="single" w:color="auto" w:sz="4" w:space="0"/>
              <w:bottom w:val="single" w:color="auto" w:sz="4" w:space="0"/>
              <w:right w:val="single" w:color="auto" w:sz="4" w:space="0"/>
            </w:tcBorders>
            <w:vAlign w:val="center"/>
          </w:tcPr>
          <w:p w:rsidRPr="00424C9D" w:rsidR="0001584A" w:rsidP="0001584A" w:rsidRDefault="00705676" w14:paraId="583BF9AE" w14:textId="49BC9CE7">
            <w:pPr>
              <w:pStyle w:val="Default"/>
              <w:tabs>
                <w:tab w:val="left" w:pos="0"/>
              </w:tabs>
              <w:jc w:val="center"/>
              <w:rPr>
                <w:rFonts w:ascii="Times New Roman" w:hAnsi="Times New Roman" w:cs="Times New Roman"/>
                <w:color w:val="auto"/>
                <w:sz w:val="22"/>
                <w:szCs w:val="22"/>
              </w:rPr>
            </w:pPr>
            <w:r>
              <w:rPr>
                <w:rFonts w:ascii="Times New Roman" w:hAnsi="Times New Roman" w:cs="Times New Roman"/>
                <w:color w:val="auto"/>
                <w:sz w:val="22"/>
                <w:szCs w:val="22"/>
              </w:rPr>
              <w:t>1.5</w:t>
            </w:r>
            <w:bookmarkStart w:name="_GoBack" w:id="3"/>
            <w:bookmarkEnd w:id="3"/>
          </w:p>
        </w:tc>
        <w:tc>
          <w:tcPr>
            <w:tcW w:w="644" w:type="pct"/>
            <w:tcBorders>
              <w:top w:val="single" w:color="auto" w:sz="4" w:space="0"/>
              <w:left w:val="single" w:color="auto" w:sz="4" w:space="0"/>
              <w:bottom w:val="single" w:color="auto" w:sz="4" w:space="0"/>
              <w:right w:val="single" w:color="auto" w:sz="4" w:space="0"/>
            </w:tcBorders>
            <w:vAlign w:val="center"/>
          </w:tcPr>
          <w:p w:rsidRPr="00424C9D" w:rsidR="0001584A" w:rsidP="0001584A" w:rsidRDefault="000307ED" w14:paraId="0FE67FA6" w14:textId="778AC143">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color w:val="auto"/>
                <w:sz w:val="22"/>
                <w:szCs w:val="22"/>
              </w:rPr>
              <w:t>2</w:t>
            </w:r>
          </w:p>
        </w:tc>
      </w:tr>
      <w:tr w:rsidRPr="008F465C" w:rsidR="0001584A" w:rsidTr="00EC6629" w14:paraId="1828AFFC" w14:textId="77777777">
        <w:trPr>
          <w:cantSplit/>
        </w:trPr>
        <w:tc>
          <w:tcPr>
            <w:tcW w:w="986" w:type="pct"/>
            <w:tcBorders>
              <w:left w:val="single" w:color="auto" w:sz="4" w:space="0"/>
              <w:bottom w:val="single" w:color="auto" w:sz="4" w:space="0"/>
              <w:right w:val="single" w:color="auto" w:sz="4" w:space="0"/>
            </w:tcBorders>
            <w:vAlign w:val="center"/>
          </w:tcPr>
          <w:p w:rsidRPr="00424C9D" w:rsidR="0001584A" w:rsidP="0001584A" w:rsidRDefault="0001584A" w14:paraId="5702228D" w14:textId="77777777">
            <w:pPr>
              <w:jc w:val="center"/>
              <w:rPr>
                <w:sz w:val="22"/>
                <w:szCs w:val="22"/>
              </w:rPr>
            </w:pPr>
            <w:r w:rsidRPr="00424C9D">
              <w:rPr>
                <w:sz w:val="22"/>
                <w:szCs w:val="22"/>
              </w:rPr>
              <w:t>TTA Provider Evaluators</w:t>
            </w:r>
          </w:p>
          <w:p w:rsidRPr="00424C9D" w:rsidR="0001584A" w:rsidP="0001584A" w:rsidRDefault="0001584A" w14:paraId="777384E4" w14:textId="1A6DB186">
            <w:pPr>
              <w:jc w:val="center"/>
              <w:rPr>
                <w:sz w:val="22"/>
                <w:szCs w:val="22"/>
              </w:rPr>
            </w:pPr>
          </w:p>
        </w:tc>
        <w:tc>
          <w:tcPr>
            <w:tcW w:w="919" w:type="pct"/>
            <w:tcBorders>
              <w:left w:val="single" w:color="auto" w:sz="4" w:space="0"/>
              <w:bottom w:val="single" w:color="auto" w:sz="4" w:space="0"/>
              <w:right w:val="single" w:color="auto" w:sz="4" w:space="0"/>
            </w:tcBorders>
          </w:tcPr>
          <w:p w:rsidRPr="00424C9D" w:rsidR="0001584A" w:rsidP="0001584A" w:rsidRDefault="0001584A" w14:paraId="25BE0DF3" w14:textId="07F46147">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color w:val="auto"/>
                <w:sz w:val="22"/>
                <w:szCs w:val="22"/>
              </w:rPr>
              <w:t>Case Study Interview Guide for TTA Provider Evaluators</w:t>
            </w:r>
          </w:p>
        </w:tc>
        <w:tc>
          <w:tcPr>
            <w:tcW w:w="800" w:type="pct"/>
            <w:tcBorders>
              <w:top w:val="single" w:color="auto" w:sz="4" w:space="0"/>
              <w:left w:val="single" w:color="auto" w:sz="4" w:space="0"/>
              <w:bottom w:val="single" w:color="auto" w:sz="4" w:space="0"/>
              <w:right w:val="single" w:color="auto" w:sz="4" w:space="0"/>
            </w:tcBorders>
            <w:vAlign w:val="center"/>
          </w:tcPr>
          <w:p w:rsidRPr="00424C9D" w:rsidR="0001584A" w:rsidP="0001584A" w:rsidRDefault="0001584A" w14:paraId="0729E525" w14:textId="4544A367">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color w:val="auto"/>
                <w:sz w:val="22"/>
                <w:szCs w:val="22"/>
              </w:rPr>
              <w:t>1</w:t>
            </w:r>
          </w:p>
        </w:tc>
        <w:tc>
          <w:tcPr>
            <w:tcW w:w="786" w:type="pct"/>
            <w:tcBorders>
              <w:top w:val="single" w:color="auto" w:sz="4" w:space="0"/>
              <w:left w:val="single" w:color="auto" w:sz="4" w:space="0"/>
              <w:bottom w:val="single" w:color="auto" w:sz="4" w:space="0"/>
              <w:right w:val="single" w:color="auto" w:sz="4" w:space="0"/>
            </w:tcBorders>
            <w:vAlign w:val="center"/>
          </w:tcPr>
          <w:p w:rsidRPr="00424C9D" w:rsidR="0001584A" w:rsidP="0001584A" w:rsidRDefault="0001584A" w14:paraId="6D4862F4" w14:textId="753D929D">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color w:val="auto"/>
                <w:sz w:val="22"/>
                <w:szCs w:val="22"/>
              </w:rPr>
              <w:t>1</w:t>
            </w:r>
          </w:p>
        </w:tc>
        <w:tc>
          <w:tcPr>
            <w:tcW w:w="865" w:type="pct"/>
            <w:tcBorders>
              <w:top w:val="single" w:color="auto" w:sz="4" w:space="0"/>
              <w:left w:val="single" w:color="auto" w:sz="4" w:space="0"/>
              <w:bottom w:val="single" w:color="auto" w:sz="4" w:space="0"/>
              <w:right w:val="single" w:color="auto" w:sz="4" w:space="0"/>
            </w:tcBorders>
            <w:vAlign w:val="center"/>
          </w:tcPr>
          <w:p w:rsidRPr="00424C9D" w:rsidR="0001584A" w:rsidP="0001584A" w:rsidRDefault="0001584A" w14:paraId="0D09126B" w14:textId="562E75F6">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color w:val="auto"/>
                <w:sz w:val="22"/>
                <w:szCs w:val="22"/>
              </w:rPr>
              <w:t>1</w:t>
            </w:r>
          </w:p>
        </w:tc>
        <w:tc>
          <w:tcPr>
            <w:tcW w:w="644" w:type="pct"/>
            <w:tcBorders>
              <w:top w:val="single" w:color="auto" w:sz="4" w:space="0"/>
              <w:left w:val="single" w:color="auto" w:sz="4" w:space="0"/>
              <w:bottom w:val="single" w:color="auto" w:sz="4" w:space="0"/>
              <w:right w:val="single" w:color="auto" w:sz="4" w:space="0"/>
            </w:tcBorders>
            <w:vAlign w:val="center"/>
          </w:tcPr>
          <w:p w:rsidRPr="00424C9D" w:rsidR="0001584A" w:rsidP="0001584A" w:rsidRDefault="008F465C" w14:paraId="30145C61" w14:textId="0DDEFDB4">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color w:val="auto"/>
                <w:sz w:val="22"/>
                <w:szCs w:val="22"/>
              </w:rPr>
              <w:t>1</w:t>
            </w:r>
          </w:p>
        </w:tc>
      </w:tr>
      <w:tr w:rsidRPr="008F465C" w:rsidR="0001584A" w:rsidTr="00EC6629" w14:paraId="112E8020" w14:textId="77777777">
        <w:trPr>
          <w:cantSplit/>
        </w:trPr>
        <w:tc>
          <w:tcPr>
            <w:tcW w:w="986" w:type="pct"/>
            <w:tcBorders>
              <w:left w:val="single" w:color="auto" w:sz="4" w:space="0"/>
              <w:bottom w:val="single" w:color="auto" w:sz="4" w:space="0"/>
              <w:right w:val="single" w:color="auto" w:sz="4" w:space="0"/>
            </w:tcBorders>
            <w:vAlign w:val="center"/>
          </w:tcPr>
          <w:p w:rsidRPr="00424C9D" w:rsidR="0001584A" w:rsidP="0001584A" w:rsidRDefault="0001584A" w14:paraId="6BF4199B" w14:textId="4F7051FB">
            <w:pPr>
              <w:jc w:val="center"/>
              <w:rPr>
                <w:sz w:val="22"/>
                <w:szCs w:val="22"/>
              </w:rPr>
            </w:pPr>
            <w:r w:rsidRPr="00424C9D">
              <w:rPr>
                <w:sz w:val="22"/>
                <w:szCs w:val="22"/>
              </w:rPr>
              <w:t>TTA Provider Partners</w:t>
            </w:r>
          </w:p>
        </w:tc>
        <w:tc>
          <w:tcPr>
            <w:tcW w:w="919" w:type="pct"/>
            <w:tcBorders>
              <w:left w:val="single" w:color="auto" w:sz="4" w:space="0"/>
              <w:bottom w:val="single" w:color="auto" w:sz="4" w:space="0"/>
              <w:right w:val="single" w:color="auto" w:sz="4" w:space="0"/>
            </w:tcBorders>
          </w:tcPr>
          <w:p w:rsidRPr="00424C9D" w:rsidR="0001584A" w:rsidP="0001584A" w:rsidRDefault="0001584A" w14:paraId="7586E2FD" w14:textId="2305EE71">
            <w:pPr>
              <w:pStyle w:val="Default"/>
              <w:tabs>
                <w:tab w:val="left" w:pos="0"/>
              </w:tabs>
              <w:rPr>
                <w:rFonts w:ascii="Times New Roman" w:hAnsi="Times New Roman" w:cs="Times New Roman"/>
                <w:color w:val="auto"/>
                <w:sz w:val="22"/>
                <w:szCs w:val="22"/>
              </w:rPr>
            </w:pPr>
            <w:r w:rsidRPr="00424C9D">
              <w:rPr>
                <w:rFonts w:ascii="Times New Roman" w:hAnsi="Times New Roman" w:cs="Times New Roman"/>
                <w:color w:val="auto"/>
                <w:sz w:val="22"/>
                <w:szCs w:val="22"/>
              </w:rPr>
              <w:t>Case Study Interview Guide for TTA Provider Partners</w:t>
            </w:r>
          </w:p>
        </w:tc>
        <w:tc>
          <w:tcPr>
            <w:tcW w:w="800" w:type="pct"/>
            <w:tcBorders>
              <w:top w:val="single" w:color="auto" w:sz="4" w:space="0"/>
              <w:left w:val="single" w:color="auto" w:sz="4" w:space="0"/>
              <w:bottom w:val="single" w:color="auto" w:sz="4" w:space="0"/>
              <w:right w:val="single" w:color="auto" w:sz="4" w:space="0"/>
            </w:tcBorders>
            <w:vAlign w:val="center"/>
          </w:tcPr>
          <w:p w:rsidRPr="00424C9D" w:rsidR="0001584A" w:rsidP="0001584A" w:rsidRDefault="0001584A" w14:paraId="52BF07A2" w14:textId="359919E0">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color w:val="auto"/>
                <w:sz w:val="22"/>
                <w:szCs w:val="22"/>
              </w:rPr>
              <w:t>3</w:t>
            </w:r>
          </w:p>
        </w:tc>
        <w:tc>
          <w:tcPr>
            <w:tcW w:w="786" w:type="pct"/>
            <w:tcBorders>
              <w:top w:val="single" w:color="auto" w:sz="4" w:space="0"/>
              <w:left w:val="single" w:color="auto" w:sz="4" w:space="0"/>
              <w:bottom w:val="single" w:color="auto" w:sz="4" w:space="0"/>
              <w:right w:val="single" w:color="auto" w:sz="4" w:space="0"/>
            </w:tcBorders>
            <w:vAlign w:val="center"/>
          </w:tcPr>
          <w:p w:rsidRPr="00424C9D" w:rsidR="0001584A" w:rsidP="0001584A" w:rsidRDefault="0001584A" w14:paraId="0594B848" w14:textId="4D828263">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color w:val="auto"/>
                <w:sz w:val="22"/>
                <w:szCs w:val="22"/>
              </w:rPr>
              <w:t>1</w:t>
            </w:r>
          </w:p>
        </w:tc>
        <w:tc>
          <w:tcPr>
            <w:tcW w:w="865" w:type="pct"/>
            <w:tcBorders>
              <w:top w:val="single" w:color="auto" w:sz="4" w:space="0"/>
              <w:left w:val="single" w:color="auto" w:sz="4" w:space="0"/>
              <w:bottom w:val="single" w:color="auto" w:sz="4" w:space="0"/>
              <w:right w:val="single" w:color="auto" w:sz="4" w:space="0"/>
            </w:tcBorders>
            <w:vAlign w:val="center"/>
          </w:tcPr>
          <w:p w:rsidRPr="00424C9D" w:rsidR="0001584A" w:rsidP="0001584A" w:rsidRDefault="0001584A" w14:paraId="356E613F" w14:textId="22D0EBE7">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color w:val="auto"/>
                <w:sz w:val="22"/>
                <w:szCs w:val="22"/>
              </w:rPr>
              <w:t>1</w:t>
            </w:r>
          </w:p>
        </w:tc>
        <w:tc>
          <w:tcPr>
            <w:tcW w:w="644" w:type="pct"/>
            <w:tcBorders>
              <w:top w:val="single" w:color="auto" w:sz="4" w:space="0"/>
              <w:left w:val="single" w:color="auto" w:sz="4" w:space="0"/>
              <w:bottom w:val="single" w:color="auto" w:sz="4" w:space="0"/>
              <w:right w:val="single" w:color="auto" w:sz="4" w:space="0"/>
            </w:tcBorders>
            <w:vAlign w:val="center"/>
          </w:tcPr>
          <w:p w:rsidRPr="00424C9D" w:rsidR="0001584A" w:rsidP="0001584A" w:rsidRDefault="008F465C" w14:paraId="6695857A" w14:textId="3EB7AA19">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color w:val="auto"/>
                <w:sz w:val="22"/>
                <w:szCs w:val="22"/>
              </w:rPr>
              <w:t>3</w:t>
            </w:r>
          </w:p>
        </w:tc>
      </w:tr>
      <w:tr w:rsidRPr="008F465C" w:rsidR="000E0A31" w:rsidTr="00F235DC" w14:paraId="444071F8" w14:textId="77777777">
        <w:trPr>
          <w:cantSplit/>
        </w:trPr>
        <w:tc>
          <w:tcPr>
            <w:tcW w:w="4356" w:type="pct"/>
            <w:gridSpan w:val="5"/>
            <w:tcBorders>
              <w:top w:val="single" w:color="auto" w:sz="4" w:space="0"/>
              <w:left w:val="single" w:color="auto" w:sz="4" w:space="0"/>
              <w:bottom w:val="single" w:color="auto" w:sz="4" w:space="0"/>
              <w:right w:val="single" w:color="auto" w:sz="4" w:space="0"/>
            </w:tcBorders>
            <w:vAlign w:val="center"/>
          </w:tcPr>
          <w:p w:rsidRPr="00424C9D" w:rsidR="000E0A31" w:rsidP="000E0A31" w:rsidRDefault="000E0A31" w14:paraId="23E75D02" w14:textId="3BDC169B">
            <w:pPr>
              <w:jc w:val="right"/>
              <w:rPr>
                <w:b/>
                <w:color w:val="000000"/>
                <w:sz w:val="22"/>
                <w:szCs w:val="22"/>
              </w:rPr>
            </w:pPr>
            <w:r w:rsidRPr="00424C9D">
              <w:rPr>
                <w:b/>
                <w:color w:val="000000"/>
                <w:sz w:val="22"/>
                <w:szCs w:val="22"/>
              </w:rPr>
              <w:t xml:space="preserve">Total </w:t>
            </w:r>
          </w:p>
        </w:tc>
        <w:tc>
          <w:tcPr>
            <w:tcW w:w="644" w:type="pct"/>
            <w:tcBorders>
              <w:top w:val="single" w:color="auto" w:sz="4" w:space="0"/>
              <w:left w:val="single" w:color="auto" w:sz="4" w:space="0"/>
              <w:bottom w:val="single" w:color="auto" w:sz="4" w:space="0"/>
              <w:right w:val="single" w:color="auto" w:sz="4" w:space="0"/>
            </w:tcBorders>
          </w:tcPr>
          <w:p w:rsidRPr="00424C9D" w:rsidR="000E0A31" w:rsidP="000D7962" w:rsidRDefault="0026623B" w14:paraId="7DE7E4C6" w14:textId="21252718">
            <w:pPr>
              <w:jc w:val="center"/>
              <w:rPr>
                <w:b/>
                <w:color w:val="000000"/>
                <w:sz w:val="22"/>
                <w:szCs w:val="22"/>
              </w:rPr>
            </w:pPr>
            <w:r w:rsidRPr="00424C9D">
              <w:rPr>
                <w:b/>
                <w:color w:val="000000"/>
                <w:sz w:val="22"/>
                <w:szCs w:val="22"/>
              </w:rPr>
              <w:t>51</w:t>
            </w:r>
          </w:p>
        </w:tc>
      </w:tr>
    </w:tbl>
    <w:p w:rsidRPr="00833ECA" w:rsidR="00DB089F" w:rsidP="00F26905" w:rsidRDefault="00DB089F" w14:paraId="7761229D" w14:textId="77777777">
      <w:pPr>
        <w:pStyle w:val="BodyText"/>
        <w:spacing w:after="0"/>
        <w:rPr>
          <w:rFonts w:ascii="Times New Roman" w:hAnsi="Times New Roman"/>
        </w:rPr>
      </w:pPr>
    </w:p>
    <w:p w:rsidRPr="00833ECA" w:rsidR="00E528DC" w:rsidP="00F26905" w:rsidRDefault="00DC76A0" w14:paraId="6479D3F9" w14:textId="7FD66A35">
      <w:pPr>
        <w:pStyle w:val="BodyText"/>
        <w:spacing w:after="0"/>
        <w:rPr>
          <w:rFonts w:ascii="Times New Roman" w:hAnsi="Times New Roman"/>
        </w:rPr>
      </w:pPr>
      <w:r w:rsidRPr="00833ECA">
        <w:rPr>
          <w:rFonts w:ascii="Times New Roman" w:hAnsi="Times New Roman"/>
        </w:rPr>
        <w:t>Table A12-</w:t>
      </w:r>
      <w:r w:rsidRPr="00833ECA" w:rsidR="00025FA1">
        <w:rPr>
          <w:rFonts w:ascii="Times New Roman" w:hAnsi="Times New Roman"/>
        </w:rPr>
        <w:t>2</w:t>
      </w:r>
      <w:r w:rsidRPr="00833ECA">
        <w:rPr>
          <w:rFonts w:ascii="Times New Roman" w:hAnsi="Times New Roman"/>
        </w:rPr>
        <w:t xml:space="preserve"> presents the calculations for cost of annualized burden hours. </w:t>
      </w:r>
      <w:r w:rsidRPr="00833ECA" w:rsidR="004A6805">
        <w:rPr>
          <w:rFonts w:ascii="Times New Roman" w:hAnsi="Times New Roman"/>
        </w:rPr>
        <w:t xml:space="preserve">Average hourly wage estimates were obtained from the U.S. Department of Labor, Bureau of Labor Statistics.  </w:t>
      </w:r>
    </w:p>
    <w:p w:rsidRPr="00833ECA" w:rsidR="00B06111" w:rsidP="00D34777" w:rsidRDefault="00B06111" w14:paraId="30C5E9E0" w14:textId="77777777">
      <w:pPr>
        <w:pStyle w:val="BodyText"/>
        <w:numPr>
          <w:ilvl w:val="0"/>
          <w:numId w:val="8"/>
        </w:numPr>
        <w:rPr>
          <w:rFonts w:ascii="Times New Roman" w:hAnsi="Times New Roman"/>
        </w:rPr>
      </w:pPr>
      <w:r w:rsidRPr="00833ECA">
        <w:rPr>
          <w:rFonts w:ascii="Times New Roman" w:hAnsi="Times New Roman"/>
        </w:rPr>
        <w:t xml:space="preserve">The average </w:t>
      </w:r>
      <w:r w:rsidRPr="00833ECA" w:rsidR="0009233F">
        <w:rPr>
          <w:rFonts w:ascii="Times New Roman" w:hAnsi="Times New Roman"/>
        </w:rPr>
        <w:t xml:space="preserve">annual </w:t>
      </w:r>
      <w:r w:rsidRPr="00833ECA">
        <w:rPr>
          <w:rFonts w:ascii="Times New Roman" w:hAnsi="Times New Roman"/>
        </w:rPr>
        <w:t xml:space="preserve">salary of </w:t>
      </w:r>
      <w:r w:rsidRPr="00833ECA" w:rsidR="002105AD">
        <w:rPr>
          <w:rFonts w:ascii="Times New Roman" w:hAnsi="Times New Roman"/>
        </w:rPr>
        <w:t>$59,010</w:t>
      </w:r>
      <w:r w:rsidRPr="00833ECA" w:rsidDel="002105AD" w:rsidR="002105AD">
        <w:rPr>
          <w:rFonts w:ascii="Times New Roman" w:hAnsi="Times New Roman"/>
        </w:rPr>
        <w:t xml:space="preserve"> </w:t>
      </w:r>
      <w:r w:rsidRPr="00833ECA">
        <w:rPr>
          <w:rFonts w:ascii="Times New Roman" w:hAnsi="Times New Roman"/>
        </w:rPr>
        <w:t>for health educators and community health workers was used to calculate the hourly wage of $</w:t>
      </w:r>
      <w:r w:rsidRPr="00833ECA" w:rsidR="002105AD">
        <w:t xml:space="preserve"> </w:t>
      </w:r>
      <w:r w:rsidRPr="00833ECA" w:rsidR="002105AD">
        <w:rPr>
          <w:rFonts w:ascii="Times New Roman" w:hAnsi="Times New Roman"/>
        </w:rPr>
        <w:t>$28.37</w:t>
      </w:r>
      <w:r w:rsidRPr="00833ECA" w:rsidDel="002105AD" w:rsidR="002105AD">
        <w:rPr>
          <w:rFonts w:ascii="Times New Roman" w:hAnsi="Times New Roman"/>
        </w:rPr>
        <w:t xml:space="preserve"> </w:t>
      </w:r>
      <w:r w:rsidRPr="00833ECA">
        <w:rPr>
          <w:rFonts w:ascii="Times New Roman" w:hAnsi="Times New Roman"/>
        </w:rPr>
        <w:t xml:space="preserve">for </w:t>
      </w:r>
      <w:r w:rsidR="00694E42">
        <w:rPr>
          <w:rFonts w:ascii="Times New Roman" w:hAnsi="Times New Roman"/>
        </w:rPr>
        <w:t>TTA provider</w:t>
      </w:r>
      <w:r w:rsidRPr="00833ECA" w:rsidR="005551FB">
        <w:rPr>
          <w:rFonts w:ascii="Times New Roman" w:hAnsi="Times New Roman"/>
        </w:rPr>
        <w:t xml:space="preserve"> </w:t>
      </w:r>
      <w:r w:rsidRPr="00833ECA">
        <w:rPr>
          <w:rFonts w:ascii="Times New Roman" w:hAnsi="Times New Roman"/>
        </w:rPr>
        <w:t xml:space="preserve">program </w:t>
      </w:r>
      <w:r w:rsidRPr="00833ECA" w:rsidR="00803AD3">
        <w:rPr>
          <w:rFonts w:ascii="Times New Roman" w:hAnsi="Times New Roman"/>
        </w:rPr>
        <w:t>administrators</w:t>
      </w:r>
      <w:r w:rsidRPr="00833ECA">
        <w:rPr>
          <w:rFonts w:ascii="Times New Roman" w:hAnsi="Times New Roman"/>
        </w:rPr>
        <w:t xml:space="preserve">. </w:t>
      </w:r>
    </w:p>
    <w:p w:rsidRPr="00833ECA" w:rsidR="00E528DC" w:rsidP="000D7962" w:rsidRDefault="004A76E2" w14:paraId="33A9F7DD" w14:textId="77777777">
      <w:pPr>
        <w:pStyle w:val="BodyText"/>
        <w:numPr>
          <w:ilvl w:val="0"/>
          <w:numId w:val="8"/>
        </w:numPr>
        <w:rPr>
          <w:rFonts w:ascii="Times New Roman" w:hAnsi="Times New Roman"/>
        </w:rPr>
      </w:pPr>
      <w:r w:rsidRPr="00833ECA">
        <w:rPr>
          <w:rFonts w:ascii="Times New Roman" w:hAnsi="Times New Roman"/>
        </w:rPr>
        <w:t xml:space="preserve">The average annual salary of </w:t>
      </w:r>
      <w:r w:rsidRPr="00833ECA" w:rsidR="002105AD">
        <w:rPr>
          <w:rFonts w:ascii="Times New Roman" w:hAnsi="Times New Roman"/>
        </w:rPr>
        <w:t>$60,700</w:t>
      </w:r>
      <w:r w:rsidRPr="00833ECA" w:rsidDel="002105AD" w:rsidR="002105AD">
        <w:rPr>
          <w:rFonts w:ascii="Times New Roman" w:hAnsi="Times New Roman"/>
        </w:rPr>
        <w:t xml:space="preserve"> </w:t>
      </w:r>
      <w:r w:rsidRPr="00833ECA">
        <w:rPr>
          <w:rFonts w:ascii="Times New Roman" w:hAnsi="Times New Roman"/>
        </w:rPr>
        <w:t xml:space="preserve">for </w:t>
      </w:r>
      <w:r w:rsidRPr="00833ECA" w:rsidR="00A015C9">
        <w:rPr>
          <w:rFonts w:ascii="Times New Roman" w:hAnsi="Times New Roman"/>
        </w:rPr>
        <w:t>survey researchers</w:t>
      </w:r>
      <w:r w:rsidRPr="00833ECA">
        <w:rPr>
          <w:rFonts w:ascii="Times New Roman" w:hAnsi="Times New Roman"/>
        </w:rPr>
        <w:t xml:space="preserve"> was used to calculate the hourly wage of </w:t>
      </w:r>
      <w:r w:rsidRPr="00833ECA" w:rsidR="002105AD">
        <w:rPr>
          <w:rFonts w:ascii="Times New Roman" w:hAnsi="Times New Roman"/>
        </w:rPr>
        <w:t xml:space="preserve">$29.18 </w:t>
      </w:r>
      <w:r w:rsidRPr="00833ECA">
        <w:rPr>
          <w:rFonts w:ascii="Times New Roman" w:hAnsi="Times New Roman"/>
        </w:rPr>
        <w:t xml:space="preserve">for </w:t>
      </w:r>
      <w:r w:rsidR="00694E42">
        <w:rPr>
          <w:rFonts w:ascii="Times New Roman" w:hAnsi="Times New Roman"/>
        </w:rPr>
        <w:t>TTA provider</w:t>
      </w:r>
      <w:r w:rsidRPr="00833ECA" w:rsidR="005551FB">
        <w:rPr>
          <w:rFonts w:ascii="Times New Roman" w:hAnsi="Times New Roman"/>
        </w:rPr>
        <w:t xml:space="preserve"> </w:t>
      </w:r>
      <w:r w:rsidRPr="00833ECA">
        <w:rPr>
          <w:rFonts w:ascii="Times New Roman" w:hAnsi="Times New Roman"/>
        </w:rPr>
        <w:t xml:space="preserve">program evaluators. </w:t>
      </w:r>
    </w:p>
    <w:p w:rsidRPr="00833ECA" w:rsidR="00B817FA" w:rsidP="000D7962" w:rsidRDefault="00B817FA" w14:paraId="1A96A9B0" w14:textId="77777777">
      <w:pPr>
        <w:pStyle w:val="BodyText"/>
        <w:numPr>
          <w:ilvl w:val="0"/>
          <w:numId w:val="8"/>
        </w:numPr>
        <w:rPr>
          <w:rFonts w:ascii="Times New Roman" w:hAnsi="Times New Roman"/>
        </w:rPr>
      </w:pPr>
      <w:r w:rsidRPr="00833ECA">
        <w:rPr>
          <w:rFonts w:ascii="Times New Roman" w:hAnsi="Times New Roman"/>
        </w:rPr>
        <w:t xml:space="preserve">The average annual salary of </w:t>
      </w:r>
      <w:r w:rsidRPr="00833ECA" w:rsidR="005551FB">
        <w:rPr>
          <w:rFonts w:ascii="Times New Roman" w:hAnsi="Times New Roman"/>
        </w:rPr>
        <w:t>$70,530</w:t>
      </w:r>
      <w:r w:rsidRPr="00833ECA" w:rsidDel="005551FB" w:rsidR="005551FB">
        <w:rPr>
          <w:rFonts w:ascii="Times New Roman" w:hAnsi="Times New Roman"/>
        </w:rPr>
        <w:t xml:space="preserve"> </w:t>
      </w:r>
      <w:r w:rsidRPr="00833ECA">
        <w:rPr>
          <w:rFonts w:ascii="Times New Roman" w:hAnsi="Times New Roman"/>
        </w:rPr>
        <w:t xml:space="preserve">for </w:t>
      </w:r>
      <w:r w:rsidRPr="00833ECA" w:rsidR="005551FB">
        <w:rPr>
          <w:rFonts w:ascii="Times New Roman" w:hAnsi="Times New Roman"/>
        </w:rPr>
        <w:t>social and community service m</w:t>
      </w:r>
      <w:r w:rsidRPr="00833ECA" w:rsidR="002105AD">
        <w:rPr>
          <w:rFonts w:ascii="Times New Roman" w:hAnsi="Times New Roman"/>
        </w:rPr>
        <w:t>anagers</w:t>
      </w:r>
      <w:r w:rsidRPr="00833ECA" w:rsidDel="002105AD" w:rsidR="002105AD">
        <w:rPr>
          <w:rFonts w:ascii="Times New Roman" w:hAnsi="Times New Roman"/>
        </w:rPr>
        <w:t xml:space="preserve"> </w:t>
      </w:r>
      <w:r w:rsidRPr="00833ECA">
        <w:rPr>
          <w:rFonts w:ascii="Times New Roman" w:hAnsi="Times New Roman"/>
        </w:rPr>
        <w:t xml:space="preserve">was used to calculate the hourly wage of </w:t>
      </w:r>
      <w:r w:rsidRPr="00833ECA" w:rsidR="005551FB">
        <w:rPr>
          <w:rFonts w:ascii="Times New Roman" w:hAnsi="Times New Roman"/>
        </w:rPr>
        <w:t>$33.91</w:t>
      </w:r>
      <w:r w:rsidRPr="00833ECA" w:rsidDel="005551FB" w:rsidR="005551FB">
        <w:rPr>
          <w:rFonts w:ascii="Times New Roman" w:hAnsi="Times New Roman"/>
        </w:rPr>
        <w:t xml:space="preserve"> </w:t>
      </w:r>
      <w:r w:rsidRPr="00833ECA">
        <w:rPr>
          <w:rFonts w:ascii="Times New Roman" w:hAnsi="Times New Roman"/>
        </w:rPr>
        <w:t xml:space="preserve">for </w:t>
      </w:r>
      <w:r w:rsidRPr="00833ECA" w:rsidR="00955DCA">
        <w:rPr>
          <w:rFonts w:ascii="Times New Roman" w:hAnsi="Times New Roman"/>
        </w:rPr>
        <w:t xml:space="preserve">all other </w:t>
      </w:r>
      <w:r w:rsidR="00694E42">
        <w:rPr>
          <w:rFonts w:ascii="Times New Roman" w:hAnsi="Times New Roman"/>
        </w:rPr>
        <w:t>TTA provider</w:t>
      </w:r>
      <w:r w:rsidRPr="00833ECA" w:rsidR="005551FB">
        <w:rPr>
          <w:rFonts w:ascii="Times New Roman" w:hAnsi="Times New Roman"/>
        </w:rPr>
        <w:t xml:space="preserve"> </w:t>
      </w:r>
      <w:r w:rsidRPr="00833ECA" w:rsidR="006E6FD6">
        <w:rPr>
          <w:rFonts w:ascii="Times New Roman" w:hAnsi="Times New Roman"/>
        </w:rPr>
        <w:t>partners.</w:t>
      </w:r>
    </w:p>
    <w:p w:rsidRPr="00833ECA" w:rsidR="005551FB" w:rsidP="00F26905" w:rsidRDefault="005551FB" w14:paraId="20F87498" w14:textId="77777777">
      <w:pPr>
        <w:pStyle w:val="ListParagraph"/>
        <w:numPr>
          <w:ilvl w:val="0"/>
          <w:numId w:val="8"/>
        </w:numPr>
        <w:spacing w:line="240" w:lineRule="auto"/>
        <w:rPr>
          <w:rFonts w:ascii="Times New Roman" w:hAnsi="Times New Roman"/>
        </w:rPr>
      </w:pPr>
      <w:r w:rsidRPr="00833ECA">
        <w:rPr>
          <w:rFonts w:ascii="Times New Roman" w:hAnsi="Times New Roman" w:eastAsia="Times New Roman"/>
          <w:sz w:val="24"/>
          <w:szCs w:val="24"/>
        </w:rPr>
        <w:lastRenderedPageBreak/>
        <w:t>The average annual salary of $123,460 for general and operational managers was used to calculate the hourly wage of $59.</w:t>
      </w:r>
      <w:r w:rsidRPr="00833ECA" w:rsidR="00A05021">
        <w:rPr>
          <w:rFonts w:ascii="Times New Roman" w:hAnsi="Times New Roman" w:eastAsia="Times New Roman"/>
          <w:sz w:val="24"/>
          <w:szCs w:val="24"/>
        </w:rPr>
        <w:t>3</w:t>
      </w:r>
      <w:r w:rsidR="00A05021">
        <w:rPr>
          <w:rFonts w:ascii="Times New Roman" w:hAnsi="Times New Roman" w:eastAsia="Times New Roman"/>
          <w:sz w:val="24"/>
          <w:szCs w:val="24"/>
        </w:rPr>
        <w:t>6</w:t>
      </w:r>
      <w:r w:rsidRPr="00833ECA" w:rsidR="00A05021">
        <w:rPr>
          <w:rFonts w:ascii="Times New Roman" w:hAnsi="Times New Roman" w:eastAsia="Times New Roman"/>
          <w:sz w:val="24"/>
          <w:szCs w:val="24"/>
        </w:rPr>
        <w:t xml:space="preserve"> </w:t>
      </w:r>
      <w:r w:rsidRPr="00833ECA">
        <w:rPr>
          <w:rFonts w:ascii="Times New Roman" w:hAnsi="Times New Roman" w:eastAsia="Times New Roman"/>
          <w:sz w:val="24"/>
          <w:szCs w:val="24"/>
        </w:rPr>
        <w:t xml:space="preserve">for NCCCP Program Directors, Staff, Coalition Members, and Partners. </w:t>
      </w:r>
    </w:p>
    <w:p w:rsidRPr="00833ECA" w:rsidR="004A6805" w:rsidP="00D34777" w:rsidRDefault="004A6805" w14:paraId="769DB2C6" w14:textId="215FCC91">
      <w:pPr>
        <w:pStyle w:val="BodyText"/>
        <w:rPr>
          <w:rFonts w:ascii="Times New Roman" w:hAnsi="Times New Roman"/>
        </w:rPr>
      </w:pPr>
      <w:r w:rsidRPr="00833ECA">
        <w:rPr>
          <w:rFonts w:ascii="Times New Roman" w:hAnsi="Times New Roman"/>
        </w:rPr>
        <w:t xml:space="preserve">The estimated annualized cost to respondents </w:t>
      </w:r>
      <w:r w:rsidR="003F7584">
        <w:rPr>
          <w:rFonts w:ascii="Times New Roman" w:hAnsi="Times New Roman"/>
        </w:rPr>
        <w:t>is</w:t>
      </w:r>
      <w:r w:rsidR="000F1C24">
        <w:rPr>
          <w:rFonts w:ascii="Times New Roman" w:hAnsi="Times New Roman"/>
        </w:rPr>
        <w:t xml:space="preserve"> </w:t>
      </w:r>
      <w:r w:rsidR="003F7584">
        <w:rPr>
          <w:rFonts w:ascii="Times New Roman" w:hAnsi="Times New Roman"/>
        </w:rPr>
        <w:t>$2</w:t>
      </w:r>
      <w:r w:rsidR="000F1C24">
        <w:rPr>
          <w:rFonts w:ascii="Times New Roman" w:hAnsi="Times New Roman"/>
        </w:rPr>
        <w:t>,814,</w:t>
      </w:r>
      <w:r w:rsidR="00F422D4">
        <w:rPr>
          <w:rFonts w:ascii="Times New Roman" w:hAnsi="Times New Roman"/>
          <w:color w:val="000000"/>
        </w:rPr>
        <w:t xml:space="preserve"> </w:t>
      </w:r>
      <w:r w:rsidRPr="00833ECA">
        <w:rPr>
          <w:rFonts w:ascii="Times New Roman" w:hAnsi="Times New Roman"/>
        </w:rPr>
        <w:t>as summarized below in Table A.12-2.</w:t>
      </w:r>
    </w:p>
    <w:p w:rsidRPr="00833ECA" w:rsidR="00413A4D" w:rsidP="000D7962" w:rsidRDefault="00413A4D" w14:paraId="1AE041AE" w14:textId="511DAA2D">
      <w:pPr>
        <w:rPr>
          <w:b/>
          <w:bCs/>
          <w:u w:val="single"/>
        </w:rPr>
      </w:pPr>
      <w:r w:rsidRPr="00833ECA">
        <w:rPr>
          <w:b/>
          <w:bCs/>
          <w:u w:val="single"/>
        </w:rPr>
        <w:t>Table A12-2.  Estimated Annualized Cost to Respondents</w:t>
      </w:r>
    </w:p>
    <w:p w:rsidRPr="00833ECA" w:rsidR="00126C9B" w:rsidP="000D7962" w:rsidRDefault="00126C9B" w14:paraId="28446B7B" w14:textId="77777777">
      <w:pPr>
        <w:rPr>
          <w:b/>
          <w:bCs/>
          <w:u w:val="single"/>
        </w:rPr>
      </w:pPr>
    </w:p>
    <w:tbl>
      <w:tblPr>
        <w:tblW w:w="509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13"/>
        <w:gridCol w:w="1613"/>
        <w:gridCol w:w="1442"/>
        <w:gridCol w:w="1444"/>
        <w:gridCol w:w="1350"/>
        <w:gridCol w:w="1079"/>
        <w:gridCol w:w="894"/>
      </w:tblGrid>
      <w:tr w:rsidRPr="004E4C29" w:rsidR="0026242F" w:rsidTr="00424C9D" w14:paraId="53175116" w14:textId="77777777">
        <w:trPr>
          <w:cantSplit/>
        </w:trPr>
        <w:tc>
          <w:tcPr>
            <w:tcW w:w="898" w:type="pct"/>
            <w:tcBorders>
              <w:top w:val="single" w:color="auto" w:sz="4" w:space="0"/>
              <w:left w:val="single" w:color="auto" w:sz="4" w:space="0"/>
              <w:bottom w:val="single" w:color="auto" w:sz="4" w:space="0"/>
              <w:right w:val="single" w:color="auto" w:sz="4" w:space="0"/>
            </w:tcBorders>
            <w:vAlign w:val="center"/>
          </w:tcPr>
          <w:p w:rsidRPr="00424C9D" w:rsidR="00307434" w:rsidP="00E61C84" w:rsidRDefault="00307434" w14:paraId="63DC1B28" w14:textId="77777777">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color w:val="auto"/>
                <w:sz w:val="22"/>
                <w:szCs w:val="22"/>
              </w:rPr>
              <w:t>Type of Respondents</w:t>
            </w:r>
          </w:p>
        </w:tc>
        <w:tc>
          <w:tcPr>
            <w:tcW w:w="845" w:type="pct"/>
            <w:tcBorders>
              <w:top w:val="single" w:color="auto" w:sz="4" w:space="0"/>
              <w:left w:val="single" w:color="auto" w:sz="4" w:space="0"/>
              <w:bottom w:val="single" w:color="auto" w:sz="4" w:space="0"/>
              <w:right w:val="single" w:color="auto" w:sz="4" w:space="0"/>
            </w:tcBorders>
            <w:vAlign w:val="center"/>
          </w:tcPr>
          <w:p w:rsidRPr="00424C9D" w:rsidR="00307434" w:rsidP="00E61C84" w:rsidRDefault="00307434" w14:paraId="0E0AC6B2" w14:textId="77777777">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color w:val="auto"/>
                <w:sz w:val="22"/>
                <w:szCs w:val="22"/>
              </w:rPr>
              <w:t>Form Name</w:t>
            </w:r>
          </w:p>
        </w:tc>
        <w:tc>
          <w:tcPr>
            <w:tcW w:w="756" w:type="pct"/>
            <w:tcBorders>
              <w:top w:val="single" w:color="auto" w:sz="4" w:space="0"/>
              <w:left w:val="single" w:color="auto" w:sz="4" w:space="0"/>
              <w:bottom w:val="single" w:color="auto" w:sz="4" w:space="0"/>
              <w:right w:val="single" w:color="auto" w:sz="4" w:space="0"/>
            </w:tcBorders>
            <w:vAlign w:val="center"/>
            <w:hideMark/>
          </w:tcPr>
          <w:p w:rsidRPr="00424C9D" w:rsidR="00307434" w:rsidP="00E61C84" w:rsidRDefault="00307434" w14:paraId="4E754320" w14:textId="77777777">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color w:val="auto"/>
                <w:sz w:val="22"/>
                <w:szCs w:val="22"/>
              </w:rPr>
              <w:t>No. of Respondents</w:t>
            </w:r>
          </w:p>
        </w:tc>
        <w:tc>
          <w:tcPr>
            <w:tcW w:w="757" w:type="pct"/>
            <w:tcBorders>
              <w:top w:val="single" w:color="auto" w:sz="4" w:space="0"/>
              <w:left w:val="single" w:color="auto" w:sz="4" w:space="0"/>
              <w:bottom w:val="single" w:color="auto" w:sz="4" w:space="0"/>
              <w:right w:val="single" w:color="auto" w:sz="4" w:space="0"/>
            </w:tcBorders>
            <w:vAlign w:val="center"/>
            <w:hideMark/>
          </w:tcPr>
          <w:p w:rsidRPr="00424C9D" w:rsidR="00307434" w:rsidP="00E61C84" w:rsidRDefault="00307434" w14:paraId="039CFFC4" w14:textId="77777777">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color w:val="auto"/>
                <w:sz w:val="22"/>
                <w:szCs w:val="22"/>
              </w:rPr>
              <w:t>No. of Responses per Respondent</w:t>
            </w:r>
          </w:p>
        </w:tc>
        <w:tc>
          <w:tcPr>
            <w:tcW w:w="708" w:type="pct"/>
            <w:tcBorders>
              <w:top w:val="single" w:color="auto" w:sz="4" w:space="0"/>
              <w:left w:val="single" w:color="auto" w:sz="4" w:space="0"/>
              <w:bottom w:val="single" w:color="auto" w:sz="4" w:space="0"/>
              <w:right w:val="single" w:color="auto" w:sz="4" w:space="0"/>
            </w:tcBorders>
            <w:vAlign w:val="center"/>
          </w:tcPr>
          <w:p w:rsidRPr="00424C9D" w:rsidR="00307434" w:rsidP="00E61C84" w:rsidRDefault="00307434" w14:paraId="390CAD36" w14:textId="77777777">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color w:val="auto"/>
                <w:sz w:val="22"/>
                <w:szCs w:val="22"/>
              </w:rPr>
              <w:t xml:space="preserve">Average Burden per Response (in </w:t>
            </w:r>
            <w:proofErr w:type="spellStart"/>
            <w:r w:rsidRPr="00424C9D">
              <w:rPr>
                <w:rFonts w:ascii="Times New Roman" w:hAnsi="Times New Roman" w:cs="Times New Roman"/>
                <w:color w:val="auto"/>
                <w:sz w:val="22"/>
                <w:szCs w:val="22"/>
              </w:rPr>
              <w:t>hrs</w:t>
            </w:r>
            <w:proofErr w:type="spellEnd"/>
            <w:r w:rsidRPr="00424C9D">
              <w:rPr>
                <w:rFonts w:ascii="Times New Roman" w:hAnsi="Times New Roman" w:cs="Times New Roman"/>
                <w:color w:val="auto"/>
                <w:sz w:val="22"/>
                <w:szCs w:val="22"/>
              </w:rPr>
              <w:t>)</w:t>
            </w:r>
          </w:p>
        </w:tc>
        <w:tc>
          <w:tcPr>
            <w:tcW w:w="566" w:type="pct"/>
            <w:tcBorders>
              <w:top w:val="single" w:color="auto" w:sz="4" w:space="0"/>
              <w:left w:val="single" w:color="auto" w:sz="4" w:space="0"/>
              <w:bottom w:val="single" w:color="auto" w:sz="4" w:space="0"/>
              <w:right w:val="single" w:color="auto" w:sz="4" w:space="0"/>
            </w:tcBorders>
            <w:vAlign w:val="center"/>
          </w:tcPr>
          <w:p w:rsidRPr="00424C9D" w:rsidR="00307434" w:rsidP="00E61C84" w:rsidRDefault="00307434" w14:paraId="365DD47F" w14:textId="77777777">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color w:val="auto"/>
                <w:sz w:val="22"/>
                <w:szCs w:val="22"/>
              </w:rPr>
              <w:t>Average Hourly Wage</w:t>
            </w:r>
          </w:p>
        </w:tc>
        <w:tc>
          <w:tcPr>
            <w:tcW w:w="470" w:type="pct"/>
            <w:tcBorders>
              <w:top w:val="single" w:color="auto" w:sz="4" w:space="0"/>
              <w:left w:val="single" w:color="auto" w:sz="4" w:space="0"/>
              <w:bottom w:val="single" w:color="auto" w:sz="4" w:space="0"/>
              <w:right w:val="single" w:color="auto" w:sz="4" w:space="0"/>
            </w:tcBorders>
            <w:vAlign w:val="center"/>
            <w:hideMark/>
          </w:tcPr>
          <w:p w:rsidRPr="00424C9D" w:rsidR="00307434" w:rsidP="00E61C84" w:rsidRDefault="00307434" w14:paraId="48ADEAD9" w14:textId="77777777">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color w:val="auto"/>
                <w:sz w:val="22"/>
                <w:szCs w:val="22"/>
              </w:rPr>
              <w:t>Total Cost</w:t>
            </w:r>
          </w:p>
        </w:tc>
      </w:tr>
      <w:tr w:rsidRPr="004E4C29" w:rsidR="0026242F" w:rsidTr="00424C9D" w14:paraId="16ACE920" w14:textId="77777777">
        <w:trPr>
          <w:cantSplit/>
        </w:trPr>
        <w:tc>
          <w:tcPr>
            <w:tcW w:w="898" w:type="pct"/>
            <w:tcBorders>
              <w:top w:val="single" w:color="auto" w:sz="4" w:space="0"/>
              <w:left w:val="single" w:color="auto" w:sz="4" w:space="0"/>
              <w:bottom w:val="single" w:color="auto" w:sz="4" w:space="0"/>
              <w:right w:val="single" w:color="auto" w:sz="4" w:space="0"/>
            </w:tcBorders>
            <w:vAlign w:val="center"/>
          </w:tcPr>
          <w:p w:rsidRPr="00424C9D" w:rsidR="00012E74" w:rsidP="00E61C84" w:rsidRDefault="00012E74" w14:paraId="5856E8F4" w14:textId="4B3360C4">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sz w:val="22"/>
                <w:szCs w:val="22"/>
              </w:rPr>
              <w:t>NCCCP Awardee Program Directors</w:t>
            </w:r>
            <w:r w:rsidRPr="00424C9D" w:rsidR="00514840">
              <w:rPr>
                <w:rFonts w:ascii="Times New Roman" w:hAnsi="Times New Roman" w:cs="Times New Roman"/>
                <w:sz w:val="22"/>
                <w:szCs w:val="22"/>
              </w:rPr>
              <w:t xml:space="preserve"> and</w:t>
            </w:r>
            <w:r w:rsidRPr="00424C9D">
              <w:rPr>
                <w:rFonts w:ascii="Times New Roman" w:hAnsi="Times New Roman" w:cs="Times New Roman"/>
                <w:sz w:val="22"/>
                <w:szCs w:val="22"/>
              </w:rPr>
              <w:t xml:space="preserve"> Staff</w:t>
            </w:r>
          </w:p>
        </w:tc>
        <w:tc>
          <w:tcPr>
            <w:tcW w:w="845" w:type="pct"/>
            <w:tcBorders>
              <w:top w:val="single" w:color="auto" w:sz="4" w:space="0"/>
              <w:left w:val="single" w:color="auto" w:sz="4" w:space="0"/>
              <w:bottom w:val="single" w:color="auto" w:sz="4" w:space="0"/>
              <w:right w:val="single" w:color="auto" w:sz="4" w:space="0"/>
            </w:tcBorders>
            <w:vAlign w:val="center"/>
          </w:tcPr>
          <w:p w:rsidRPr="00424C9D" w:rsidR="00012E74" w:rsidP="00E61C84" w:rsidRDefault="00012E74" w14:paraId="78BF563A" w14:textId="77777777">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color w:val="auto"/>
                <w:sz w:val="22"/>
                <w:szCs w:val="22"/>
              </w:rPr>
              <w:t>Web-based Survey</w:t>
            </w:r>
          </w:p>
          <w:p w:rsidRPr="00424C9D" w:rsidR="00012E74" w:rsidP="00E61C84" w:rsidRDefault="00012E74" w14:paraId="1933CB0F" w14:textId="77777777">
            <w:pPr>
              <w:pStyle w:val="Default"/>
              <w:tabs>
                <w:tab w:val="left" w:pos="0"/>
              </w:tabs>
              <w:jc w:val="center"/>
              <w:rPr>
                <w:rFonts w:ascii="Times New Roman" w:hAnsi="Times New Roman" w:cs="Times New Roman"/>
                <w:color w:val="auto"/>
                <w:sz w:val="22"/>
                <w:szCs w:val="22"/>
              </w:rPr>
            </w:pPr>
          </w:p>
        </w:tc>
        <w:tc>
          <w:tcPr>
            <w:tcW w:w="756" w:type="pct"/>
            <w:tcBorders>
              <w:top w:val="single" w:color="auto" w:sz="4" w:space="0"/>
              <w:left w:val="single" w:color="auto" w:sz="4" w:space="0"/>
              <w:bottom w:val="single" w:color="auto" w:sz="4" w:space="0"/>
              <w:right w:val="single" w:color="auto" w:sz="4" w:space="0"/>
            </w:tcBorders>
            <w:vAlign w:val="center"/>
          </w:tcPr>
          <w:p w:rsidRPr="00424C9D" w:rsidR="00012E74" w:rsidP="00E61C84" w:rsidRDefault="00213C13" w14:paraId="7301BFEF" w14:textId="0D142D6D">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sz w:val="22"/>
                <w:szCs w:val="22"/>
              </w:rPr>
              <w:t>88</w:t>
            </w:r>
          </w:p>
        </w:tc>
        <w:tc>
          <w:tcPr>
            <w:tcW w:w="757" w:type="pct"/>
            <w:tcBorders>
              <w:top w:val="single" w:color="auto" w:sz="4" w:space="0"/>
              <w:left w:val="single" w:color="auto" w:sz="4" w:space="0"/>
              <w:bottom w:val="single" w:color="auto" w:sz="4" w:space="0"/>
              <w:right w:val="single" w:color="auto" w:sz="4" w:space="0"/>
            </w:tcBorders>
            <w:vAlign w:val="center"/>
          </w:tcPr>
          <w:p w:rsidRPr="00424C9D" w:rsidR="00012E74" w:rsidP="00E61C84" w:rsidRDefault="00012E74" w14:paraId="252D2A96" w14:textId="52C3A425">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sz w:val="22"/>
                <w:szCs w:val="22"/>
              </w:rPr>
              <w:t>1</w:t>
            </w:r>
          </w:p>
        </w:tc>
        <w:tc>
          <w:tcPr>
            <w:tcW w:w="708" w:type="pct"/>
            <w:tcBorders>
              <w:top w:val="single" w:color="auto" w:sz="4" w:space="0"/>
              <w:left w:val="single" w:color="auto" w:sz="4" w:space="0"/>
              <w:bottom w:val="single" w:color="auto" w:sz="4" w:space="0"/>
              <w:right w:val="single" w:color="auto" w:sz="4" w:space="0"/>
            </w:tcBorders>
            <w:vAlign w:val="center"/>
          </w:tcPr>
          <w:p w:rsidRPr="00424C9D" w:rsidR="00012E74" w:rsidP="00E61C84" w:rsidRDefault="00012E74" w14:paraId="50C79296" w14:textId="76932CDF">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sz w:val="22"/>
                <w:szCs w:val="22"/>
              </w:rPr>
              <w:t>0.25</w:t>
            </w:r>
          </w:p>
        </w:tc>
        <w:tc>
          <w:tcPr>
            <w:tcW w:w="566" w:type="pct"/>
            <w:tcBorders>
              <w:top w:val="single" w:color="auto" w:sz="4" w:space="0"/>
              <w:left w:val="single" w:color="auto" w:sz="4" w:space="0"/>
              <w:bottom w:val="single" w:color="auto" w:sz="4" w:space="0"/>
              <w:right w:val="single" w:color="auto" w:sz="4" w:space="0"/>
            </w:tcBorders>
            <w:vAlign w:val="center"/>
          </w:tcPr>
          <w:p w:rsidRPr="00424C9D" w:rsidR="00012E74" w:rsidP="00E61C84" w:rsidRDefault="00012E74" w14:paraId="134F5305" w14:textId="71EC3496">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sz w:val="22"/>
                <w:szCs w:val="22"/>
              </w:rPr>
              <w:t>$59.36</w:t>
            </w:r>
          </w:p>
        </w:tc>
        <w:tc>
          <w:tcPr>
            <w:tcW w:w="470" w:type="pct"/>
            <w:tcBorders>
              <w:top w:val="single" w:color="auto" w:sz="4" w:space="0"/>
              <w:left w:val="single" w:color="auto" w:sz="4" w:space="0"/>
              <w:bottom w:val="single" w:color="auto" w:sz="4" w:space="0"/>
              <w:right w:val="single" w:color="auto" w:sz="4" w:space="0"/>
            </w:tcBorders>
            <w:vAlign w:val="center"/>
          </w:tcPr>
          <w:p w:rsidRPr="00424C9D" w:rsidR="00012E74" w:rsidP="00E61C84" w:rsidRDefault="00012E74" w14:paraId="6530A814" w14:textId="021ED7C6">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sz w:val="22"/>
                <w:szCs w:val="22"/>
              </w:rPr>
              <w:t>$</w:t>
            </w:r>
            <w:r w:rsidRPr="00424C9D" w:rsidR="002D080E">
              <w:rPr>
                <w:rFonts w:ascii="Times New Roman" w:hAnsi="Times New Roman" w:cs="Times New Roman"/>
                <w:sz w:val="22"/>
                <w:szCs w:val="22"/>
              </w:rPr>
              <w:t>1</w:t>
            </w:r>
            <w:r w:rsidRPr="00424C9D">
              <w:rPr>
                <w:rFonts w:ascii="Times New Roman" w:hAnsi="Times New Roman" w:cs="Times New Roman"/>
                <w:sz w:val="22"/>
                <w:szCs w:val="22"/>
              </w:rPr>
              <w:t>,</w:t>
            </w:r>
            <w:r w:rsidRPr="00424C9D" w:rsidR="00D02E37">
              <w:rPr>
                <w:rFonts w:ascii="Times New Roman" w:hAnsi="Times New Roman" w:cs="Times New Roman"/>
                <w:sz w:val="22"/>
                <w:szCs w:val="22"/>
              </w:rPr>
              <w:t>306</w:t>
            </w:r>
          </w:p>
        </w:tc>
      </w:tr>
      <w:tr w:rsidRPr="004E4C29" w:rsidR="00213C13" w:rsidTr="00424C9D" w14:paraId="08FA3150" w14:textId="77777777">
        <w:trPr>
          <w:cantSplit/>
        </w:trPr>
        <w:tc>
          <w:tcPr>
            <w:tcW w:w="898" w:type="pct"/>
            <w:tcBorders>
              <w:top w:val="single" w:color="auto" w:sz="4" w:space="0"/>
              <w:left w:val="single" w:color="auto" w:sz="4" w:space="0"/>
              <w:bottom w:val="single" w:color="auto" w:sz="4" w:space="0"/>
              <w:right w:val="single" w:color="auto" w:sz="4" w:space="0"/>
            </w:tcBorders>
            <w:vAlign w:val="center"/>
          </w:tcPr>
          <w:p w:rsidRPr="00424C9D" w:rsidR="00213C13" w:rsidP="00213C13" w:rsidRDefault="00213C13" w14:paraId="19D717A5" w14:textId="1FF962E2">
            <w:pPr>
              <w:pStyle w:val="Default"/>
              <w:tabs>
                <w:tab w:val="left" w:pos="0"/>
              </w:tabs>
              <w:jc w:val="center"/>
              <w:rPr>
                <w:rFonts w:ascii="Times New Roman" w:hAnsi="Times New Roman" w:cs="Times New Roman"/>
                <w:sz w:val="22"/>
                <w:szCs w:val="22"/>
              </w:rPr>
            </w:pPr>
            <w:r w:rsidRPr="00424C9D">
              <w:rPr>
                <w:rFonts w:ascii="Times New Roman" w:hAnsi="Times New Roman" w:cs="Times New Roman"/>
                <w:sz w:val="22"/>
                <w:szCs w:val="22"/>
              </w:rPr>
              <w:t>NCCCP Coalition Members, and NCCCP Partners</w:t>
            </w:r>
          </w:p>
        </w:tc>
        <w:tc>
          <w:tcPr>
            <w:tcW w:w="845" w:type="pct"/>
            <w:tcBorders>
              <w:top w:val="single" w:color="auto" w:sz="4" w:space="0"/>
              <w:left w:val="single" w:color="auto" w:sz="4" w:space="0"/>
              <w:bottom w:val="single" w:color="auto" w:sz="4" w:space="0"/>
              <w:right w:val="single" w:color="auto" w:sz="4" w:space="0"/>
            </w:tcBorders>
            <w:vAlign w:val="center"/>
          </w:tcPr>
          <w:p w:rsidRPr="00424C9D" w:rsidR="00213C13" w:rsidP="00213C13" w:rsidRDefault="00213C13" w14:paraId="51B8A813" w14:textId="77777777">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color w:val="auto"/>
                <w:sz w:val="22"/>
                <w:szCs w:val="22"/>
              </w:rPr>
              <w:t>Web-based Survey</w:t>
            </w:r>
          </w:p>
          <w:p w:rsidRPr="00424C9D" w:rsidR="00213C13" w:rsidP="00213C13" w:rsidRDefault="00213C13" w14:paraId="6BB2DB26" w14:textId="77777777">
            <w:pPr>
              <w:pStyle w:val="Default"/>
              <w:tabs>
                <w:tab w:val="left" w:pos="0"/>
              </w:tabs>
              <w:jc w:val="center"/>
              <w:rPr>
                <w:rFonts w:ascii="Times New Roman" w:hAnsi="Times New Roman" w:cs="Times New Roman"/>
                <w:color w:val="auto"/>
                <w:sz w:val="22"/>
                <w:szCs w:val="22"/>
              </w:rPr>
            </w:pPr>
          </w:p>
        </w:tc>
        <w:tc>
          <w:tcPr>
            <w:tcW w:w="756" w:type="pct"/>
            <w:tcBorders>
              <w:top w:val="single" w:color="auto" w:sz="4" w:space="0"/>
              <w:left w:val="single" w:color="auto" w:sz="4" w:space="0"/>
              <w:bottom w:val="single" w:color="auto" w:sz="4" w:space="0"/>
              <w:right w:val="single" w:color="auto" w:sz="4" w:space="0"/>
            </w:tcBorders>
            <w:vAlign w:val="center"/>
          </w:tcPr>
          <w:p w:rsidRPr="00424C9D" w:rsidR="00213C13" w:rsidP="00213C13" w:rsidRDefault="00213C13" w14:paraId="478E2236" w14:textId="3493D734">
            <w:pPr>
              <w:pStyle w:val="Default"/>
              <w:tabs>
                <w:tab w:val="left" w:pos="0"/>
              </w:tabs>
              <w:jc w:val="center"/>
              <w:rPr>
                <w:rFonts w:ascii="Times New Roman" w:hAnsi="Times New Roman" w:cs="Times New Roman"/>
                <w:sz w:val="22"/>
                <w:szCs w:val="22"/>
              </w:rPr>
            </w:pPr>
            <w:r w:rsidRPr="00424C9D">
              <w:rPr>
                <w:rFonts w:ascii="Times New Roman" w:hAnsi="Times New Roman" w:cs="Times New Roman"/>
                <w:sz w:val="22"/>
                <w:szCs w:val="22"/>
              </w:rPr>
              <w:t>88</w:t>
            </w:r>
          </w:p>
        </w:tc>
        <w:tc>
          <w:tcPr>
            <w:tcW w:w="757" w:type="pct"/>
            <w:tcBorders>
              <w:top w:val="single" w:color="auto" w:sz="4" w:space="0"/>
              <w:left w:val="single" w:color="auto" w:sz="4" w:space="0"/>
              <w:bottom w:val="single" w:color="auto" w:sz="4" w:space="0"/>
              <w:right w:val="single" w:color="auto" w:sz="4" w:space="0"/>
            </w:tcBorders>
            <w:vAlign w:val="center"/>
          </w:tcPr>
          <w:p w:rsidRPr="00424C9D" w:rsidR="00213C13" w:rsidP="00213C13" w:rsidRDefault="00213C13" w14:paraId="32C3508D" w14:textId="1A21BEA3">
            <w:pPr>
              <w:pStyle w:val="Default"/>
              <w:tabs>
                <w:tab w:val="left" w:pos="0"/>
              </w:tabs>
              <w:jc w:val="center"/>
              <w:rPr>
                <w:rFonts w:ascii="Times New Roman" w:hAnsi="Times New Roman" w:cs="Times New Roman"/>
                <w:sz w:val="22"/>
                <w:szCs w:val="22"/>
              </w:rPr>
            </w:pPr>
            <w:r w:rsidRPr="00424C9D">
              <w:rPr>
                <w:rFonts w:ascii="Times New Roman" w:hAnsi="Times New Roman" w:cs="Times New Roman"/>
                <w:sz w:val="22"/>
                <w:szCs w:val="22"/>
              </w:rPr>
              <w:t>1</w:t>
            </w:r>
          </w:p>
        </w:tc>
        <w:tc>
          <w:tcPr>
            <w:tcW w:w="708" w:type="pct"/>
            <w:tcBorders>
              <w:top w:val="single" w:color="auto" w:sz="4" w:space="0"/>
              <w:left w:val="single" w:color="auto" w:sz="4" w:space="0"/>
              <w:bottom w:val="single" w:color="auto" w:sz="4" w:space="0"/>
              <w:right w:val="single" w:color="auto" w:sz="4" w:space="0"/>
            </w:tcBorders>
            <w:vAlign w:val="center"/>
          </w:tcPr>
          <w:p w:rsidRPr="00424C9D" w:rsidR="00213C13" w:rsidP="00213C13" w:rsidRDefault="00213C13" w14:paraId="09F61063" w14:textId="1B9B3DB2">
            <w:pPr>
              <w:pStyle w:val="Default"/>
              <w:tabs>
                <w:tab w:val="left" w:pos="0"/>
              </w:tabs>
              <w:jc w:val="center"/>
              <w:rPr>
                <w:rFonts w:ascii="Times New Roman" w:hAnsi="Times New Roman" w:cs="Times New Roman"/>
                <w:sz w:val="22"/>
                <w:szCs w:val="22"/>
              </w:rPr>
            </w:pPr>
            <w:r w:rsidRPr="00424C9D">
              <w:rPr>
                <w:rFonts w:ascii="Times New Roman" w:hAnsi="Times New Roman" w:cs="Times New Roman"/>
                <w:sz w:val="22"/>
                <w:szCs w:val="22"/>
              </w:rPr>
              <w:t>0.25</w:t>
            </w:r>
          </w:p>
        </w:tc>
        <w:tc>
          <w:tcPr>
            <w:tcW w:w="566" w:type="pct"/>
            <w:tcBorders>
              <w:top w:val="single" w:color="auto" w:sz="4" w:space="0"/>
              <w:left w:val="single" w:color="auto" w:sz="4" w:space="0"/>
              <w:bottom w:val="single" w:color="auto" w:sz="4" w:space="0"/>
              <w:right w:val="single" w:color="auto" w:sz="4" w:space="0"/>
            </w:tcBorders>
            <w:vAlign w:val="center"/>
          </w:tcPr>
          <w:p w:rsidRPr="00424C9D" w:rsidR="00213C13" w:rsidP="00213C13" w:rsidRDefault="00213C13" w14:paraId="3FDF4D4D" w14:textId="2D9A9E45">
            <w:pPr>
              <w:pStyle w:val="Default"/>
              <w:tabs>
                <w:tab w:val="left" w:pos="0"/>
              </w:tabs>
              <w:jc w:val="center"/>
              <w:rPr>
                <w:rFonts w:ascii="Times New Roman" w:hAnsi="Times New Roman" w:cs="Times New Roman"/>
                <w:sz w:val="22"/>
                <w:szCs w:val="22"/>
              </w:rPr>
            </w:pPr>
            <w:r w:rsidRPr="00424C9D">
              <w:rPr>
                <w:rFonts w:ascii="Times New Roman" w:hAnsi="Times New Roman" w:cs="Times New Roman"/>
                <w:sz w:val="22"/>
                <w:szCs w:val="22"/>
              </w:rPr>
              <w:t>$59.36</w:t>
            </w:r>
          </w:p>
        </w:tc>
        <w:tc>
          <w:tcPr>
            <w:tcW w:w="470" w:type="pct"/>
            <w:tcBorders>
              <w:top w:val="single" w:color="auto" w:sz="4" w:space="0"/>
              <w:left w:val="single" w:color="auto" w:sz="4" w:space="0"/>
              <w:bottom w:val="single" w:color="auto" w:sz="4" w:space="0"/>
              <w:right w:val="single" w:color="auto" w:sz="4" w:space="0"/>
            </w:tcBorders>
            <w:vAlign w:val="center"/>
          </w:tcPr>
          <w:p w:rsidRPr="00424C9D" w:rsidR="00213C13" w:rsidP="00213C13" w:rsidRDefault="00213C13" w14:paraId="74A56AAC" w14:textId="38206588">
            <w:pPr>
              <w:pStyle w:val="Default"/>
              <w:tabs>
                <w:tab w:val="left" w:pos="0"/>
              </w:tabs>
              <w:jc w:val="center"/>
              <w:rPr>
                <w:rFonts w:ascii="Times New Roman" w:hAnsi="Times New Roman" w:cs="Times New Roman"/>
                <w:sz w:val="22"/>
                <w:szCs w:val="22"/>
              </w:rPr>
            </w:pPr>
            <w:r w:rsidRPr="00424C9D">
              <w:rPr>
                <w:rFonts w:ascii="Times New Roman" w:hAnsi="Times New Roman" w:cs="Times New Roman"/>
                <w:sz w:val="22"/>
                <w:szCs w:val="22"/>
              </w:rPr>
              <w:t>$</w:t>
            </w:r>
            <w:r w:rsidRPr="00424C9D" w:rsidR="005C2C86">
              <w:rPr>
                <w:rFonts w:ascii="Times New Roman" w:hAnsi="Times New Roman" w:cs="Times New Roman"/>
                <w:sz w:val="22"/>
                <w:szCs w:val="22"/>
              </w:rPr>
              <w:t>1</w:t>
            </w:r>
            <w:r w:rsidRPr="00424C9D">
              <w:rPr>
                <w:rFonts w:ascii="Times New Roman" w:hAnsi="Times New Roman" w:cs="Times New Roman"/>
                <w:sz w:val="22"/>
                <w:szCs w:val="22"/>
              </w:rPr>
              <w:t>,</w:t>
            </w:r>
            <w:r w:rsidRPr="00424C9D" w:rsidR="005C2C86">
              <w:rPr>
                <w:rFonts w:ascii="Times New Roman" w:hAnsi="Times New Roman" w:cs="Times New Roman"/>
                <w:sz w:val="22"/>
                <w:szCs w:val="22"/>
              </w:rPr>
              <w:t>306</w:t>
            </w:r>
          </w:p>
        </w:tc>
      </w:tr>
      <w:tr w:rsidRPr="004E4C29" w:rsidR="0026242F" w:rsidTr="00424C9D" w14:paraId="0DA111A7" w14:textId="77777777">
        <w:trPr>
          <w:cantSplit/>
        </w:trPr>
        <w:tc>
          <w:tcPr>
            <w:tcW w:w="898" w:type="pct"/>
            <w:tcBorders>
              <w:top w:val="single" w:color="auto" w:sz="4" w:space="0"/>
              <w:left w:val="single" w:color="auto" w:sz="4" w:space="0"/>
              <w:bottom w:val="single" w:color="auto" w:sz="4" w:space="0"/>
              <w:right w:val="single" w:color="auto" w:sz="4" w:space="0"/>
            </w:tcBorders>
            <w:vAlign w:val="center"/>
          </w:tcPr>
          <w:p w:rsidRPr="00424C9D" w:rsidR="00DC00DA" w:rsidP="00E61C84" w:rsidRDefault="00DC00DA" w14:paraId="408E930E" w14:textId="77777777">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color w:val="auto"/>
                <w:sz w:val="22"/>
                <w:szCs w:val="22"/>
              </w:rPr>
              <w:t>TTA Provider Organizations</w:t>
            </w:r>
          </w:p>
        </w:tc>
        <w:tc>
          <w:tcPr>
            <w:tcW w:w="845" w:type="pct"/>
            <w:tcBorders>
              <w:top w:val="single" w:color="auto" w:sz="4" w:space="0"/>
              <w:left w:val="single" w:color="auto" w:sz="4" w:space="0"/>
              <w:bottom w:val="single" w:color="auto" w:sz="4" w:space="0"/>
              <w:right w:val="single" w:color="auto" w:sz="4" w:space="0"/>
            </w:tcBorders>
            <w:vAlign w:val="center"/>
          </w:tcPr>
          <w:p w:rsidRPr="00424C9D" w:rsidR="00DC00DA" w:rsidP="00E61C84" w:rsidRDefault="00DC00DA" w14:paraId="38AC66AA" w14:textId="77777777">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color w:val="auto"/>
                <w:sz w:val="22"/>
                <w:szCs w:val="22"/>
              </w:rPr>
              <w:t>Worksheet for Identifying Case Study Interviewees</w:t>
            </w:r>
          </w:p>
        </w:tc>
        <w:tc>
          <w:tcPr>
            <w:tcW w:w="756" w:type="pct"/>
            <w:tcBorders>
              <w:top w:val="single" w:color="auto" w:sz="4" w:space="0"/>
              <w:left w:val="single" w:color="auto" w:sz="4" w:space="0"/>
              <w:bottom w:val="single" w:color="auto" w:sz="4" w:space="0"/>
              <w:right w:val="single" w:color="auto" w:sz="4" w:space="0"/>
            </w:tcBorders>
            <w:vAlign w:val="center"/>
          </w:tcPr>
          <w:p w:rsidRPr="00424C9D" w:rsidR="00DC00DA" w:rsidP="00E61C84" w:rsidRDefault="00DC00DA" w14:paraId="48EB54C9" w14:textId="34B8A609">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sz w:val="22"/>
                <w:szCs w:val="22"/>
              </w:rPr>
              <w:t>1</w:t>
            </w:r>
          </w:p>
        </w:tc>
        <w:tc>
          <w:tcPr>
            <w:tcW w:w="757" w:type="pct"/>
            <w:tcBorders>
              <w:top w:val="single" w:color="auto" w:sz="4" w:space="0"/>
              <w:left w:val="single" w:color="auto" w:sz="4" w:space="0"/>
              <w:bottom w:val="single" w:color="auto" w:sz="4" w:space="0"/>
              <w:right w:val="single" w:color="auto" w:sz="4" w:space="0"/>
            </w:tcBorders>
            <w:vAlign w:val="center"/>
          </w:tcPr>
          <w:p w:rsidRPr="00424C9D" w:rsidR="00DC00DA" w:rsidP="00E61C84" w:rsidRDefault="00DC00DA" w14:paraId="0720725F" w14:textId="1A9C14A2">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sz w:val="22"/>
                <w:szCs w:val="22"/>
              </w:rPr>
              <w:t>1</w:t>
            </w:r>
          </w:p>
        </w:tc>
        <w:tc>
          <w:tcPr>
            <w:tcW w:w="708" w:type="pct"/>
            <w:tcBorders>
              <w:top w:val="single" w:color="auto" w:sz="4" w:space="0"/>
              <w:left w:val="single" w:color="auto" w:sz="4" w:space="0"/>
              <w:bottom w:val="single" w:color="auto" w:sz="4" w:space="0"/>
              <w:right w:val="single" w:color="auto" w:sz="4" w:space="0"/>
            </w:tcBorders>
            <w:vAlign w:val="center"/>
          </w:tcPr>
          <w:p w:rsidRPr="00424C9D" w:rsidR="00DC00DA" w:rsidP="00E61C84" w:rsidRDefault="00DC00DA" w14:paraId="02D067B4" w14:textId="0263B221">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sz w:val="22"/>
                <w:szCs w:val="22"/>
              </w:rPr>
              <w:t>1</w:t>
            </w:r>
          </w:p>
        </w:tc>
        <w:tc>
          <w:tcPr>
            <w:tcW w:w="566" w:type="pct"/>
            <w:tcBorders>
              <w:top w:val="single" w:color="auto" w:sz="4" w:space="0"/>
              <w:left w:val="single" w:color="auto" w:sz="4" w:space="0"/>
              <w:bottom w:val="single" w:color="auto" w:sz="4" w:space="0"/>
              <w:right w:val="single" w:color="auto" w:sz="4" w:space="0"/>
            </w:tcBorders>
            <w:vAlign w:val="center"/>
          </w:tcPr>
          <w:p w:rsidRPr="00424C9D" w:rsidR="00DC00DA" w:rsidP="00E61C84" w:rsidRDefault="00DC00DA" w14:paraId="102718EB" w14:textId="59FA3BB0">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sz w:val="22"/>
                <w:szCs w:val="22"/>
              </w:rPr>
              <w:t>$28.37</w:t>
            </w:r>
          </w:p>
        </w:tc>
        <w:tc>
          <w:tcPr>
            <w:tcW w:w="470" w:type="pct"/>
            <w:tcBorders>
              <w:top w:val="single" w:color="auto" w:sz="4" w:space="0"/>
              <w:left w:val="single" w:color="auto" w:sz="4" w:space="0"/>
              <w:bottom w:val="single" w:color="auto" w:sz="4" w:space="0"/>
              <w:right w:val="single" w:color="auto" w:sz="4" w:space="0"/>
            </w:tcBorders>
            <w:vAlign w:val="center"/>
          </w:tcPr>
          <w:p w:rsidRPr="00424C9D" w:rsidR="00DC00DA" w:rsidP="00E61C84" w:rsidRDefault="00DC00DA" w14:paraId="46F3AF83" w14:textId="6FD0BC2E">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sz w:val="22"/>
                <w:szCs w:val="22"/>
              </w:rPr>
              <w:t>$28</w:t>
            </w:r>
          </w:p>
        </w:tc>
      </w:tr>
      <w:tr w:rsidRPr="004E4C29" w:rsidR="0026242F" w:rsidTr="00424C9D" w14:paraId="23F56A97" w14:textId="77777777">
        <w:trPr>
          <w:cantSplit/>
        </w:trPr>
        <w:tc>
          <w:tcPr>
            <w:tcW w:w="898" w:type="pct"/>
            <w:tcBorders>
              <w:left w:val="single" w:color="auto" w:sz="4" w:space="0"/>
              <w:right w:val="single" w:color="auto" w:sz="4" w:space="0"/>
            </w:tcBorders>
            <w:vAlign w:val="center"/>
          </w:tcPr>
          <w:p w:rsidRPr="00424C9D" w:rsidR="00DC00DA" w:rsidP="00E61C84" w:rsidRDefault="00DC00DA" w14:paraId="772EFE12" w14:textId="77777777">
            <w:pPr>
              <w:jc w:val="center"/>
              <w:rPr>
                <w:sz w:val="22"/>
                <w:szCs w:val="22"/>
              </w:rPr>
            </w:pPr>
            <w:r w:rsidRPr="00424C9D">
              <w:rPr>
                <w:sz w:val="22"/>
                <w:szCs w:val="22"/>
              </w:rPr>
              <w:t>TTA Provider Program Directors/</w:t>
            </w:r>
          </w:p>
          <w:p w:rsidRPr="00424C9D" w:rsidR="00DC00DA" w:rsidP="00E61C84" w:rsidRDefault="00DC00DA" w14:paraId="60D5E08A" w14:textId="77777777">
            <w:pPr>
              <w:jc w:val="center"/>
              <w:rPr>
                <w:sz w:val="22"/>
                <w:szCs w:val="22"/>
              </w:rPr>
            </w:pPr>
            <w:r w:rsidRPr="00424C9D">
              <w:rPr>
                <w:sz w:val="22"/>
                <w:szCs w:val="22"/>
              </w:rPr>
              <w:t>Managers</w:t>
            </w:r>
          </w:p>
        </w:tc>
        <w:tc>
          <w:tcPr>
            <w:tcW w:w="845" w:type="pct"/>
            <w:tcBorders>
              <w:left w:val="single" w:color="auto" w:sz="4" w:space="0"/>
              <w:right w:val="single" w:color="auto" w:sz="4" w:space="0"/>
            </w:tcBorders>
            <w:vAlign w:val="center"/>
          </w:tcPr>
          <w:p w:rsidRPr="00424C9D" w:rsidR="00DC00DA" w:rsidP="00E61C84" w:rsidRDefault="00DC00DA" w14:paraId="0813EC79" w14:textId="77777777">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color w:val="auto"/>
                <w:sz w:val="22"/>
                <w:szCs w:val="22"/>
              </w:rPr>
              <w:t>Case Study Interview Guide for TTA Provider Program Directors or</w:t>
            </w:r>
          </w:p>
          <w:p w:rsidRPr="00424C9D" w:rsidR="00DC00DA" w:rsidP="00E61C84" w:rsidRDefault="00DC00DA" w14:paraId="7F63855E" w14:textId="77777777">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color w:val="auto"/>
                <w:sz w:val="22"/>
                <w:szCs w:val="22"/>
              </w:rPr>
              <w:t>Managers</w:t>
            </w:r>
          </w:p>
        </w:tc>
        <w:tc>
          <w:tcPr>
            <w:tcW w:w="756" w:type="pct"/>
            <w:tcBorders>
              <w:top w:val="single" w:color="auto" w:sz="4" w:space="0"/>
              <w:left w:val="single" w:color="auto" w:sz="4" w:space="0"/>
              <w:bottom w:val="single" w:color="auto" w:sz="4" w:space="0"/>
              <w:right w:val="single" w:color="auto" w:sz="4" w:space="0"/>
            </w:tcBorders>
            <w:vAlign w:val="center"/>
          </w:tcPr>
          <w:p w:rsidRPr="00424C9D" w:rsidR="00DC00DA" w:rsidP="00E61C84" w:rsidRDefault="00DC00DA" w14:paraId="280055D2" w14:textId="59753BC4">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sz w:val="22"/>
                <w:szCs w:val="22"/>
              </w:rPr>
              <w:t>1</w:t>
            </w:r>
          </w:p>
        </w:tc>
        <w:tc>
          <w:tcPr>
            <w:tcW w:w="757" w:type="pct"/>
            <w:tcBorders>
              <w:top w:val="single" w:color="auto" w:sz="4" w:space="0"/>
              <w:left w:val="single" w:color="auto" w:sz="4" w:space="0"/>
              <w:bottom w:val="single" w:color="auto" w:sz="4" w:space="0"/>
              <w:right w:val="single" w:color="auto" w:sz="4" w:space="0"/>
            </w:tcBorders>
            <w:vAlign w:val="center"/>
          </w:tcPr>
          <w:p w:rsidRPr="00424C9D" w:rsidR="00DC00DA" w:rsidP="00E61C84" w:rsidRDefault="00DC00DA" w14:paraId="2FE917B5" w14:textId="0C6CE00F">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sz w:val="22"/>
                <w:szCs w:val="22"/>
              </w:rPr>
              <w:t>1</w:t>
            </w:r>
          </w:p>
        </w:tc>
        <w:tc>
          <w:tcPr>
            <w:tcW w:w="708" w:type="pct"/>
            <w:tcBorders>
              <w:top w:val="single" w:color="auto" w:sz="4" w:space="0"/>
              <w:left w:val="single" w:color="auto" w:sz="4" w:space="0"/>
              <w:bottom w:val="single" w:color="auto" w:sz="4" w:space="0"/>
              <w:right w:val="single" w:color="auto" w:sz="4" w:space="0"/>
            </w:tcBorders>
            <w:vAlign w:val="center"/>
          </w:tcPr>
          <w:p w:rsidRPr="00424C9D" w:rsidR="00DC00DA" w:rsidP="00E61C84" w:rsidRDefault="00DC00DA" w14:paraId="1C3F39FF" w14:textId="6C2F36B5">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sz w:val="22"/>
                <w:szCs w:val="22"/>
              </w:rPr>
              <w:t>1.5</w:t>
            </w:r>
          </w:p>
        </w:tc>
        <w:tc>
          <w:tcPr>
            <w:tcW w:w="566" w:type="pct"/>
            <w:tcBorders>
              <w:top w:val="single" w:color="auto" w:sz="4" w:space="0"/>
              <w:left w:val="single" w:color="auto" w:sz="4" w:space="0"/>
              <w:bottom w:val="single" w:color="auto" w:sz="4" w:space="0"/>
              <w:right w:val="single" w:color="auto" w:sz="4" w:space="0"/>
            </w:tcBorders>
            <w:vAlign w:val="center"/>
          </w:tcPr>
          <w:p w:rsidRPr="00424C9D" w:rsidR="00DC00DA" w:rsidP="00E61C84" w:rsidRDefault="00DC00DA" w14:paraId="40A0AACD" w14:textId="35D02A78">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sz w:val="22"/>
                <w:szCs w:val="22"/>
              </w:rPr>
              <w:t>$28.37</w:t>
            </w:r>
          </w:p>
        </w:tc>
        <w:tc>
          <w:tcPr>
            <w:tcW w:w="470" w:type="pct"/>
            <w:tcBorders>
              <w:top w:val="single" w:color="auto" w:sz="4" w:space="0"/>
              <w:left w:val="single" w:color="auto" w:sz="4" w:space="0"/>
              <w:bottom w:val="single" w:color="auto" w:sz="4" w:space="0"/>
              <w:right w:val="single" w:color="auto" w:sz="4" w:space="0"/>
            </w:tcBorders>
            <w:vAlign w:val="center"/>
          </w:tcPr>
          <w:p w:rsidRPr="00424C9D" w:rsidR="00DC00DA" w:rsidP="00E61C84" w:rsidRDefault="00DC00DA" w14:paraId="6EC55908" w14:textId="0DFA1DE1">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sz w:val="22"/>
                <w:szCs w:val="22"/>
              </w:rPr>
              <w:t>$43</w:t>
            </w:r>
          </w:p>
        </w:tc>
      </w:tr>
      <w:tr w:rsidRPr="004E4C29" w:rsidR="0026242F" w:rsidTr="00424C9D" w14:paraId="181A9CD6" w14:textId="77777777">
        <w:trPr>
          <w:cantSplit/>
        </w:trPr>
        <w:tc>
          <w:tcPr>
            <w:tcW w:w="898" w:type="pct"/>
            <w:tcBorders>
              <w:left w:val="single" w:color="auto" w:sz="4" w:space="0"/>
              <w:bottom w:val="single" w:color="auto" w:sz="4" w:space="0"/>
              <w:right w:val="single" w:color="auto" w:sz="4" w:space="0"/>
            </w:tcBorders>
            <w:vAlign w:val="center"/>
          </w:tcPr>
          <w:p w:rsidRPr="00424C9D" w:rsidR="00DC00DA" w:rsidP="00E61C84" w:rsidRDefault="00DC00DA" w14:paraId="1906DEE0" w14:textId="77777777">
            <w:pPr>
              <w:jc w:val="center"/>
              <w:rPr>
                <w:sz w:val="22"/>
                <w:szCs w:val="22"/>
              </w:rPr>
            </w:pPr>
            <w:r w:rsidRPr="00424C9D">
              <w:rPr>
                <w:sz w:val="22"/>
                <w:szCs w:val="22"/>
              </w:rPr>
              <w:t>TTA Provider Evaluators</w:t>
            </w:r>
          </w:p>
          <w:p w:rsidRPr="00424C9D" w:rsidR="00DC00DA" w:rsidP="00E61C84" w:rsidRDefault="00DC00DA" w14:paraId="37A0FDCF" w14:textId="77777777">
            <w:pPr>
              <w:jc w:val="center"/>
              <w:rPr>
                <w:sz w:val="22"/>
                <w:szCs w:val="22"/>
              </w:rPr>
            </w:pPr>
          </w:p>
        </w:tc>
        <w:tc>
          <w:tcPr>
            <w:tcW w:w="845" w:type="pct"/>
            <w:tcBorders>
              <w:left w:val="single" w:color="auto" w:sz="4" w:space="0"/>
              <w:bottom w:val="single" w:color="auto" w:sz="4" w:space="0"/>
              <w:right w:val="single" w:color="auto" w:sz="4" w:space="0"/>
            </w:tcBorders>
            <w:vAlign w:val="center"/>
          </w:tcPr>
          <w:p w:rsidRPr="00424C9D" w:rsidR="00DC00DA" w:rsidP="00E61C84" w:rsidRDefault="00DC00DA" w14:paraId="3635BE26" w14:textId="77777777">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color w:val="auto"/>
                <w:sz w:val="22"/>
                <w:szCs w:val="22"/>
              </w:rPr>
              <w:t>Case Study Interview Guide for TTA Provider Evaluators</w:t>
            </w:r>
          </w:p>
        </w:tc>
        <w:tc>
          <w:tcPr>
            <w:tcW w:w="756" w:type="pct"/>
            <w:tcBorders>
              <w:top w:val="single" w:color="auto" w:sz="4" w:space="0"/>
              <w:left w:val="single" w:color="auto" w:sz="4" w:space="0"/>
              <w:bottom w:val="single" w:color="auto" w:sz="4" w:space="0"/>
              <w:right w:val="single" w:color="auto" w:sz="4" w:space="0"/>
            </w:tcBorders>
            <w:vAlign w:val="center"/>
          </w:tcPr>
          <w:p w:rsidRPr="00424C9D" w:rsidR="00DC00DA" w:rsidP="00E61C84" w:rsidRDefault="00DC00DA" w14:paraId="46CC8A60" w14:textId="0C4693B1">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sz w:val="22"/>
                <w:szCs w:val="22"/>
              </w:rPr>
              <w:t>1</w:t>
            </w:r>
          </w:p>
        </w:tc>
        <w:tc>
          <w:tcPr>
            <w:tcW w:w="757" w:type="pct"/>
            <w:tcBorders>
              <w:top w:val="single" w:color="auto" w:sz="4" w:space="0"/>
              <w:left w:val="single" w:color="auto" w:sz="4" w:space="0"/>
              <w:bottom w:val="single" w:color="auto" w:sz="4" w:space="0"/>
              <w:right w:val="single" w:color="auto" w:sz="4" w:space="0"/>
            </w:tcBorders>
            <w:vAlign w:val="center"/>
          </w:tcPr>
          <w:p w:rsidRPr="00424C9D" w:rsidR="00DC00DA" w:rsidP="00E61C84" w:rsidRDefault="00DC00DA" w14:paraId="2FE56529" w14:textId="36F5F6C6">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sz w:val="22"/>
                <w:szCs w:val="22"/>
              </w:rPr>
              <w:t>1</w:t>
            </w:r>
          </w:p>
        </w:tc>
        <w:tc>
          <w:tcPr>
            <w:tcW w:w="708" w:type="pct"/>
            <w:tcBorders>
              <w:top w:val="single" w:color="auto" w:sz="4" w:space="0"/>
              <w:left w:val="single" w:color="auto" w:sz="4" w:space="0"/>
              <w:bottom w:val="single" w:color="auto" w:sz="4" w:space="0"/>
              <w:right w:val="single" w:color="auto" w:sz="4" w:space="0"/>
            </w:tcBorders>
            <w:vAlign w:val="center"/>
          </w:tcPr>
          <w:p w:rsidRPr="00424C9D" w:rsidR="00DC00DA" w:rsidP="00E61C84" w:rsidRDefault="00DC00DA" w14:paraId="0E669909" w14:textId="1144CC2C">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sz w:val="22"/>
                <w:szCs w:val="22"/>
              </w:rPr>
              <w:t>1</w:t>
            </w:r>
          </w:p>
        </w:tc>
        <w:tc>
          <w:tcPr>
            <w:tcW w:w="566" w:type="pct"/>
            <w:tcBorders>
              <w:top w:val="single" w:color="auto" w:sz="4" w:space="0"/>
              <w:left w:val="single" w:color="auto" w:sz="4" w:space="0"/>
              <w:bottom w:val="single" w:color="auto" w:sz="4" w:space="0"/>
              <w:right w:val="single" w:color="auto" w:sz="4" w:space="0"/>
            </w:tcBorders>
            <w:vAlign w:val="center"/>
          </w:tcPr>
          <w:p w:rsidRPr="00424C9D" w:rsidR="00DC00DA" w:rsidP="00E61C84" w:rsidRDefault="00DC00DA" w14:paraId="11099828" w14:textId="4F5903E0">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sz w:val="22"/>
                <w:szCs w:val="22"/>
              </w:rPr>
              <w:t>$29.18</w:t>
            </w:r>
          </w:p>
        </w:tc>
        <w:tc>
          <w:tcPr>
            <w:tcW w:w="470" w:type="pct"/>
            <w:tcBorders>
              <w:top w:val="single" w:color="auto" w:sz="4" w:space="0"/>
              <w:left w:val="single" w:color="auto" w:sz="4" w:space="0"/>
              <w:bottom w:val="single" w:color="auto" w:sz="4" w:space="0"/>
              <w:right w:val="single" w:color="auto" w:sz="4" w:space="0"/>
            </w:tcBorders>
            <w:vAlign w:val="center"/>
          </w:tcPr>
          <w:p w:rsidRPr="00424C9D" w:rsidR="00DC00DA" w:rsidP="00E61C84" w:rsidRDefault="00DC00DA" w14:paraId="381EFE9D" w14:textId="24F678A0">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sz w:val="22"/>
                <w:szCs w:val="22"/>
              </w:rPr>
              <w:t>$29</w:t>
            </w:r>
          </w:p>
        </w:tc>
      </w:tr>
      <w:tr w:rsidRPr="004E4C29" w:rsidR="0026242F" w:rsidTr="00424C9D" w14:paraId="7A26BEAA" w14:textId="77777777">
        <w:trPr>
          <w:cantSplit/>
        </w:trPr>
        <w:tc>
          <w:tcPr>
            <w:tcW w:w="898" w:type="pct"/>
            <w:tcBorders>
              <w:left w:val="single" w:color="auto" w:sz="4" w:space="0"/>
              <w:bottom w:val="single" w:color="auto" w:sz="4" w:space="0"/>
              <w:right w:val="single" w:color="auto" w:sz="4" w:space="0"/>
            </w:tcBorders>
            <w:vAlign w:val="center"/>
          </w:tcPr>
          <w:p w:rsidRPr="00424C9D" w:rsidR="00DC00DA" w:rsidP="00E61C84" w:rsidRDefault="00DC00DA" w14:paraId="4FFF8260" w14:textId="77777777">
            <w:pPr>
              <w:jc w:val="center"/>
              <w:rPr>
                <w:sz w:val="22"/>
                <w:szCs w:val="22"/>
              </w:rPr>
            </w:pPr>
            <w:r w:rsidRPr="00424C9D">
              <w:rPr>
                <w:sz w:val="22"/>
                <w:szCs w:val="22"/>
              </w:rPr>
              <w:t>TTA Provider Partners</w:t>
            </w:r>
          </w:p>
        </w:tc>
        <w:tc>
          <w:tcPr>
            <w:tcW w:w="845" w:type="pct"/>
            <w:tcBorders>
              <w:left w:val="single" w:color="auto" w:sz="4" w:space="0"/>
              <w:bottom w:val="single" w:color="auto" w:sz="4" w:space="0"/>
              <w:right w:val="single" w:color="auto" w:sz="4" w:space="0"/>
            </w:tcBorders>
            <w:vAlign w:val="center"/>
          </w:tcPr>
          <w:p w:rsidRPr="00424C9D" w:rsidR="00DC00DA" w:rsidP="00E61C84" w:rsidRDefault="00DC00DA" w14:paraId="18398567" w14:textId="77777777">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color w:val="auto"/>
                <w:sz w:val="22"/>
                <w:szCs w:val="22"/>
              </w:rPr>
              <w:t>Case Study Interview Guide for TTA Provider Partners</w:t>
            </w:r>
          </w:p>
        </w:tc>
        <w:tc>
          <w:tcPr>
            <w:tcW w:w="756" w:type="pct"/>
            <w:tcBorders>
              <w:top w:val="single" w:color="auto" w:sz="4" w:space="0"/>
              <w:left w:val="single" w:color="auto" w:sz="4" w:space="0"/>
              <w:bottom w:val="single" w:color="auto" w:sz="4" w:space="0"/>
              <w:right w:val="single" w:color="auto" w:sz="4" w:space="0"/>
            </w:tcBorders>
            <w:vAlign w:val="center"/>
          </w:tcPr>
          <w:p w:rsidRPr="00424C9D" w:rsidR="00DC00DA" w:rsidP="00E61C84" w:rsidRDefault="00DC00DA" w14:paraId="71BF82CD" w14:textId="726F7655">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sz w:val="22"/>
                <w:szCs w:val="22"/>
              </w:rPr>
              <w:t>3</w:t>
            </w:r>
          </w:p>
        </w:tc>
        <w:tc>
          <w:tcPr>
            <w:tcW w:w="757" w:type="pct"/>
            <w:tcBorders>
              <w:top w:val="single" w:color="auto" w:sz="4" w:space="0"/>
              <w:left w:val="single" w:color="auto" w:sz="4" w:space="0"/>
              <w:bottom w:val="single" w:color="auto" w:sz="4" w:space="0"/>
              <w:right w:val="single" w:color="auto" w:sz="4" w:space="0"/>
            </w:tcBorders>
            <w:vAlign w:val="center"/>
          </w:tcPr>
          <w:p w:rsidRPr="00424C9D" w:rsidR="00DC00DA" w:rsidP="00E61C84" w:rsidRDefault="00DC00DA" w14:paraId="5B09F020" w14:textId="72A64B8C">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sz w:val="22"/>
                <w:szCs w:val="22"/>
              </w:rPr>
              <w:t>1</w:t>
            </w:r>
          </w:p>
        </w:tc>
        <w:tc>
          <w:tcPr>
            <w:tcW w:w="708" w:type="pct"/>
            <w:tcBorders>
              <w:top w:val="single" w:color="auto" w:sz="4" w:space="0"/>
              <w:left w:val="single" w:color="auto" w:sz="4" w:space="0"/>
              <w:bottom w:val="single" w:color="auto" w:sz="4" w:space="0"/>
              <w:right w:val="single" w:color="auto" w:sz="4" w:space="0"/>
            </w:tcBorders>
            <w:vAlign w:val="center"/>
          </w:tcPr>
          <w:p w:rsidRPr="00424C9D" w:rsidR="00DC00DA" w:rsidP="00E61C84" w:rsidRDefault="00DC00DA" w14:paraId="274DECFE" w14:textId="3D888CF1">
            <w:pPr>
              <w:pStyle w:val="Default"/>
              <w:tabs>
                <w:tab w:val="left" w:pos="0"/>
              </w:tabs>
              <w:jc w:val="center"/>
              <w:rPr>
                <w:rFonts w:ascii="Times New Roman" w:hAnsi="Times New Roman" w:cs="Times New Roman"/>
                <w:sz w:val="22"/>
                <w:szCs w:val="22"/>
              </w:rPr>
            </w:pPr>
            <w:r w:rsidRPr="00424C9D">
              <w:rPr>
                <w:rFonts w:ascii="Times New Roman" w:hAnsi="Times New Roman" w:cs="Times New Roman"/>
                <w:sz w:val="22"/>
                <w:szCs w:val="22"/>
              </w:rPr>
              <w:t>1</w:t>
            </w:r>
          </w:p>
        </w:tc>
        <w:tc>
          <w:tcPr>
            <w:tcW w:w="566" w:type="pct"/>
            <w:tcBorders>
              <w:top w:val="single" w:color="auto" w:sz="4" w:space="0"/>
              <w:left w:val="single" w:color="auto" w:sz="4" w:space="0"/>
              <w:bottom w:val="single" w:color="auto" w:sz="4" w:space="0"/>
              <w:right w:val="single" w:color="auto" w:sz="4" w:space="0"/>
            </w:tcBorders>
            <w:vAlign w:val="center"/>
          </w:tcPr>
          <w:p w:rsidRPr="00424C9D" w:rsidR="00DC00DA" w:rsidP="00E61C84" w:rsidRDefault="00DC00DA" w14:paraId="73899F4B" w14:textId="1E7E5A35">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sz w:val="22"/>
                <w:szCs w:val="22"/>
              </w:rPr>
              <w:t>$33.91</w:t>
            </w:r>
          </w:p>
        </w:tc>
        <w:tc>
          <w:tcPr>
            <w:tcW w:w="470" w:type="pct"/>
            <w:tcBorders>
              <w:top w:val="single" w:color="auto" w:sz="4" w:space="0"/>
              <w:left w:val="single" w:color="auto" w:sz="4" w:space="0"/>
              <w:bottom w:val="single" w:color="auto" w:sz="4" w:space="0"/>
              <w:right w:val="single" w:color="auto" w:sz="4" w:space="0"/>
            </w:tcBorders>
            <w:vAlign w:val="center"/>
          </w:tcPr>
          <w:p w:rsidRPr="00424C9D" w:rsidR="00DC00DA" w:rsidP="00E61C84" w:rsidRDefault="00DC00DA" w14:paraId="01B0E3FB" w14:textId="7057730D">
            <w:pPr>
              <w:pStyle w:val="Default"/>
              <w:tabs>
                <w:tab w:val="left" w:pos="0"/>
              </w:tabs>
              <w:jc w:val="center"/>
              <w:rPr>
                <w:rFonts w:ascii="Times New Roman" w:hAnsi="Times New Roman" w:cs="Times New Roman"/>
                <w:color w:val="auto"/>
                <w:sz w:val="22"/>
                <w:szCs w:val="22"/>
              </w:rPr>
            </w:pPr>
            <w:r w:rsidRPr="00424C9D">
              <w:rPr>
                <w:rFonts w:ascii="Times New Roman" w:hAnsi="Times New Roman" w:cs="Times New Roman"/>
                <w:sz w:val="22"/>
                <w:szCs w:val="22"/>
              </w:rPr>
              <w:t>$102</w:t>
            </w:r>
          </w:p>
        </w:tc>
      </w:tr>
      <w:tr w:rsidRPr="004E4C29" w:rsidR="0026242F" w:rsidTr="00424C9D" w14:paraId="37EBBC03" w14:textId="77777777">
        <w:trPr>
          <w:cantSplit/>
          <w:trHeight w:val="350"/>
        </w:trPr>
        <w:tc>
          <w:tcPr>
            <w:tcW w:w="1744" w:type="pct"/>
            <w:gridSpan w:val="2"/>
            <w:tcBorders>
              <w:top w:val="single" w:color="auto" w:sz="4" w:space="0"/>
              <w:left w:val="single" w:color="auto" w:sz="4" w:space="0"/>
              <w:bottom w:val="single" w:color="auto" w:sz="4" w:space="0"/>
              <w:right w:val="single" w:color="auto" w:sz="4" w:space="0"/>
            </w:tcBorders>
            <w:vAlign w:val="center"/>
          </w:tcPr>
          <w:p w:rsidRPr="00424C9D" w:rsidR="008A1C9E" w:rsidP="00E61C84" w:rsidRDefault="008A1C9E" w14:paraId="42236F2D" w14:textId="7C670EBC">
            <w:pPr>
              <w:jc w:val="center"/>
              <w:rPr>
                <w:color w:val="000000"/>
                <w:sz w:val="22"/>
                <w:szCs w:val="22"/>
              </w:rPr>
            </w:pPr>
            <w:r w:rsidRPr="00424C9D">
              <w:rPr>
                <w:color w:val="000000"/>
                <w:sz w:val="22"/>
                <w:szCs w:val="22"/>
              </w:rPr>
              <w:t>TOTAL</w:t>
            </w:r>
          </w:p>
        </w:tc>
        <w:tc>
          <w:tcPr>
            <w:tcW w:w="756" w:type="pct"/>
            <w:tcBorders>
              <w:top w:val="single" w:color="auto" w:sz="4" w:space="0"/>
              <w:left w:val="single" w:color="auto" w:sz="4" w:space="0"/>
              <w:bottom w:val="single" w:color="auto" w:sz="4" w:space="0"/>
              <w:right w:val="single" w:color="auto" w:sz="4" w:space="0"/>
            </w:tcBorders>
            <w:vAlign w:val="center"/>
          </w:tcPr>
          <w:p w:rsidRPr="00424C9D" w:rsidR="008A1C9E" w:rsidP="00E61C84" w:rsidRDefault="00D76B87" w14:paraId="646CED22" w14:textId="3CF0D7A4">
            <w:pPr>
              <w:jc w:val="center"/>
              <w:rPr>
                <w:color w:val="000000"/>
                <w:sz w:val="22"/>
                <w:szCs w:val="22"/>
              </w:rPr>
            </w:pPr>
            <w:r w:rsidRPr="00424C9D">
              <w:rPr>
                <w:color w:val="000000"/>
                <w:sz w:val="22"/>
                <w:szCs w:val="22"/>
              </w:rPr>
              <w:t>1</w:t>
            </w:r>
            <w:r w:rsidRPr="00424C9D" w:rsidR="008A1C9E">
              <w:rPr>
                <w:color w:val="000000"/>
                <w:sz w:val="22"/>
                <w:szCs w:val="22"/>
              </w:rPr>
              <w:t>82</w:t>
            </w:r>
          </w:p>
        </w:tc>
        <w:tc>
          <w:tcPr>
            <w:tcW w:w="757" w:type="pct"/>
            <w:tcBorders>
              <w:top w:val="single" w:color="auto" w:sz="4" w:space="0"/>
              <w:left w:val="single" w:color="auto" w:sz="4" w:space="0"/>
              <w:bottom w:val="single" w:color="auto" w:sz="4" w:space="0"/>
              <w:right w:val="single" w:color="auto" w:sz="4" w:space="0"/>
            </w:tcBorders>
            <w:vAlign w:val="center"/>
          </w:tcPr>
          <w:p w:rsidRPr="00424C9D" w:rsidR="008A1C9E" w:rsidP="00E61C84" w:rsidRDefault="008A1C9E" w14:paraId="41D21EBF" w14:textId="77777777">
            <w:pPr>
              <w:jc w:val="center"/>
              <w:rPr>
                <w:color w:val="000000"/>
                <w:sz w:val="22"/>
                <w:szCs w:val="22"/>
              </w:rPr>
            </w:pPr>
          </w:p>
        </w:tc>
        <w:tc>
          <w:tcPr>
            <w:tcW w:w="708" w:type="pct"/>
            <w:tcBorders>
              <w:top w:val="single" w:color="auto" w:sz="4" w:space="0"/>
              <w:left w:val="single" w:color="auto" w:sz="4" w:space="0"/>
              <w:bottom w:val="single" w:color="auto" w:sz="4" w:space="0"/>
              <w:right w:val="single" w:color="auto" w:sz="4" w:space="0"/>
            </w:tcBorders>
            <w:vAlign w:val="center"/>
          </w:tcPr>
          <w:p w:rsidRPr="00424C9D" w:rsidR="008A1C9E" w:rsidP="00E61C84" w:rsidRDefault="008A1C9E" w14:paraId="34F266B8" w14:textId="77777777">
            <w:pPr>
              <w:jc w:val="center"/>
              <w:rPr>
                <w:color w:val="000000"/>
                <w:sz w:val="22"/>
                <w:szCs w:val="22"/>
              </w:rPr>
            </w:pPr>
          </w:p>
        </w:tc>
        <w:tc>
          <w:tcPr>
            <w:tcW w:w="566" w:type="pct"/>
            <w:tcBorders>
              <w:top w:val="single" w:color="auto" w:sz="4" w:space="0"/>
              <w:left w:val="single" w:color="auto" w:sz="4" w:space="0"/>
              <w:bottom w:val="single" w:color="auto" w:sz="4" w:space="0"/>
              <w:right w:val="single" w:color="auto" w:sz="4" w:space="0"/>
            </w:tcBorders>
            <w:vAlign w:val="center"/>
          </w:tcPr>
          <w:p w:rsidRPr="00424C9D" w:rsidR="008A1C9E" w:rsidP="00E61C84" w:rsidRDefault="008A1C9E" w14:paraId="525B78CF" w14:textId="77777777">
            <w:pPr>
              <w:jc w:val="center"/>
              <w:rPr>
                <w:color w:val="000000"/>
                <w:sz w:val="22"/>
                <w:szCs w:val="22"/>
              </w:rPr>
            </w:pPr>
          </w:p>
        </w:tc>
        <w:tc>
          <w:tcPr>
            <w:tcW w:w="470" w:type="pct"/>
            <w:tcBorders>
              <w:top w:val="single" w:color="auto" w:sz="4" w:space="0"/>
              <w:left w:val="single" w:color="auto" w:sz="4" w:space="0"/>
              <w:bottom w:val="single" w:color="auto" w:sz="4" w:space="0"/>
              <w:right w:val="single" w:color="auto" w:sz="4" w:space="0"/>
            </w:tcBorders>
            <w:vAlign w:val="center"/>
          </w:tcPr>
          <w:p w:rsidRPr="00424C9D" w:rsidR="008A1C9E" w:rsidP="00E61C84" w:rsidRDefault="00D76B87" w14:paraId="1A36807B" w14:textId="65E5A4B8">
            <w:pPr>
              <w:jc w:val="center"/>
              <w:rPr>
                <w:color w:val="000000"/>
                <w:sz w:val="22"/>
                <w:szCs w:val="22"/>
              </w:rPr>
            </w:pPr>
            <w:r w:rsidRPr="00424C9D">
              <w:rPr>
                <w:color w:val="000000"/>
                <w:sz w:val="22"/>
                <w:szCs w:val="22"/>
              </w:rPr>
              <w:t>$2,814</w:t>
            </w:r>
          </w:p>
        </w:tc>
      </w:tr>
    </w:tbl>
    <w:p w:rsidRPr="00833ECA" w:rsidR="00B817FA" w:rsidP="00D34777" w:rsidRDefault="00B817FA" w14:paraId="31E981FE" w14:textId="77777777">
      <w:pPr>
        <w:rPr>
          <w:b/>
          <w:bCs/>
          <w:u w:val="single"/>
        </w:rPr>
      </w:pPr>
    </w:p>
    <w:p w:rsidRPr="00833ECA" w:rsidR="00DC76A0" w:rsidP="000D7962" w:rsidRDefault="00DC76A0" w14:paraId="662CC3AA" w14:textId="77777777">
      <w:pPr>
        <w:rPr>
          <w:bCs/>
        </w:rPr>
      </w:pPr>
    </w:p>
    <w:bookmarkEnd w:id="1"/>
    <w:bookmarkEnd w:id="2"/>
    <w:p w:rsidR="00424C9D" w:rsidRDefault="00424C9D" w14:paraId="14FB21EE" w14:textId="77777777">
      <w:pPr>
        <w:rPr>
          <w:b/>
          <w:bCs/>
        </w:rPr>
      </w:pPr>
      <w:r>
        <w:rPr>
          <w:b/>
          <w:bCs/>
        </w:rPr>
        <w:br w:type="page"/>
      </w:r>
    </w:p>
    <w:p w:rsidRPr="00833ECA" w:rsidR="007D0954" w:rsidP="000D7962" w:rsidRDefault="007D0954" w14:paraId="5E5B3B28" w14:textId="015780F7">
      <w:pPr>
        <w:rPr>
          <w:b/>
          <w:bCs/>
        </w:rPr>
      </w:pPr>
      <w:r w:rsidRPr="00833ECA">
        <w:rPr>
          <w:b/>
          <w:bCs/>
        </w:rPr>
        <w:lastRenderedPageBreak/>
        <w:t>A13.  Estimate of Other Total Annual Cost Burden to Respondents or Record Keepers</w:t>
      </w:r>
    </w:p>
    <w:p w:rsidRPr="00833ECA" w:rsidR="007D0954" w:rsidP="00F26905" w:rsidRDefault="007D0954" w14:paraId="6CF944AC" w14:textId="77777777">
      <w:pPr>
        <w:rPr>
          <w:b/>
          <w:bCs/>
        </w:rPr>
      </w:pPr>
    </w:p>
    <w:p w:rsidRPr="00833ECA" w:rsidR="007D0954" w:rsidP="00F26905" w:rsidRDefault="0009233F" w14:paraId="31CC5DD7" w14:textId="77777777">
      <w:pPr>
        <w:rPr>
          <w:bCs/>
        </w:rPr>
      </w:pPr>
      <w:r w:rsidRPr="00833ECA">
        <w:rPr>
          <w:bCs/>
        </w:rPr>
        <w:t xml:space="preserve">There will be no direct </w:t>
      </w:r>
      <w:r w:rsidRPr="00833ECA" w:rsidR="00E97704">
        <w:rPr>
          <w:bCs/>
        </w:rPr>
        <w:t>costs to respondents</w:t>
      </w:r>
      <w:r w:rsidRPr="00833ECA" w:rsidR="00155464">
        <w:rPr>
          <w:bCs/>
        </w:rPr>
        <w:t xml:space="preserve"> </w:t>
      </w:r>
      <w:r w:rsidRPr="00833ECA">
        <w:rPr>
          <w:bCs/>
        </w:rPr>
        <w:t>other than their time to participate in each information collection</w:t>
      </w:r>
      <w:r w:rsidRPr="00833ECA" w:rsidR="00E97704">
        <w:rPr>
          <w:bCs/>
        </w:rPr>
        <w:t>.</w:t>
      </w:r>
    </w:p>
    <w:p w:rsidRPr="00833ECA" w:rsidR="009E6715" w:rsidP="00D34777" w:rsidRDefault="009E6715" w14:paraId="0838D58E" w14:textId="77777777"/>
    <w:p w:rsidRPr="00833ECA" w:rsidR="00E97704" w:rsidP="000D7962" w:rsidRDefault="00E97704" w14:paraId="076550E7" w14:textId="77777777">
      <w:pPr>
        <w:rPr>
          <w:b/>
        </w:rPr>
      </w:pPr>
      <w:r w:rsidRPr="00833ECA">
        <w:rPr>
          <w:b/>
        </w:rPr>
        <w:t>A14.  Annualized Cost to the Government</w:t>
      </w:r>
    </w:p>
    <w:p w:rsidRPr="00833ECA" w:rsidR="00E97704" w:rsidP="000D7962" w:rsidRDefault="00E97704" w14:paraId="54DD56C1" w14:textId="77777777">
      <w:pPr>
        <w:rPr>
          <w:b/>
        </w:rPr>
      </w:pPr>
    </w:p>
    <w:p w:rsidRPr="00833ECA" w:rsidR="00EF1380" w:rsidP="00F26905" w:rsidRDefault="0009233F" w14:paraId="4A5603BA" w14:textId="11C94235">
      <w:r w:rsidRPr="00833ECA">
        <w:t xml:space="preserve">Total operations and maintenance costs includes work performed by both the contractor and CDC personnel. </w:t>
      </w:r>
      <w:r w:rsidRPr="00833ECA" w:rsidR="00E97704">
        <w:t xml:space="preserve">Governmental costs for this project include </w:t>
      </w:r>
      <w:r w:rsidRPr="00833ECA" w:rsidR="00872118">
        <w:t xml:space="preserve">CDC </w:t>
      </w:r>
      <w:r w:rsidRPr="00833ECA" w:rsidR="00E97704">
        <w:t>personnel costs</w:t>
      </w:r>
      <w:r w:rsidRPr="00833ECA" w:rsidR="00872118">
        <w:t>, including an FTE GS-</w:t>
      </w:r>
      <w:r w:rsidRPr="00A00B0B" w:rsidR="00872118">
        <w:t>14</w:t>
      </w:r>
      <w:r w:rsidRPr="00A00B0B" w:rsidR="00A00B0B">
        <w:t xml:space="preserve"> ($47.86 hourly rate</w:t>
      </w:r>
      <w:r w:rsidRPr="00A00B0B" w:rsidR="00872118">
        <w:t>) to lead the project and coordinate all related activities of each information collection as well as another FTE GS-13</w:t>
      </w:r>
      <w:r w:rsidRPr="00A00B0B" w:rsidR="00A00B0B">
        <w:t xml:space="preserve"> ($39.31 hourly rate</w:t>
      </w:r>
      <w:r w:rsidRPr="00A00B0B" w:rsidR="00872118">
        <w:t>)</w:t>
      </w:r>
      <w:r w:rsidRPr="00833ECA" w:rsidR="00872118">
        <w:t xml:space="preserve"> to help with data management, analysis, and reporting. </w:t>
      </w:r>
      <w:r w:rsidR="00A05021">
        <w:t>Two hundred eight (</w:t>
      </w:r>
      <w:r w:rsidRPr="00833ECA" w:rsidR="00BD1D62">
        <w:t>208</w:t>
      </w:r>
      <w:r w:rsidR="00A05021">
        <w:t>)</w:t>
      </w:r>
      <w:r w:rsidRPr="00833ECA" w:rsidR="009B664F">
        <w:t xml:space="preserve"> </w:t>
      </w:r>
      <w:r w:rsidRPr="00833ECA" w:rsidR="00872118">
        <w:t xml:space="preserve">hours of staff time </w:t>
      </w:r>
      <w:r w:rsidRPr="00833ECA" w:rsidR="00A05021">
        <w:t>w</w:t>
      </w:r>
      <w:r w:rsidR="00A05021">
        <w:t>ere</w:t>
      </w:r>
      <w:r w:rsidRPr="00833ECA" w:rsidR="00A05021">
        <w:t xml:space="preserve"> </w:t>
      </w:r>
      <w:r w:rsidRPr="00833ECA" w:rsidR="00872118">
        <w:t>estimated for each</w:t>
      </w:r>
      <w:r w:rsidR="00A00B0B">
        <w:t xml:space="preserve"> CDC</w:t>
      </w:r>
      <w:r w:rsidRPr="00833ECA" w:rsidR="00872118">
        <w:t xml:space="preserve"> FTE </w:t>
      </w:r>
      <w:r w:rsidR="00A00B0B">
        <w:t xml:space="preserve">staff </w:t>
      </w:r>
      <w:r w:rsidRPr="00833ECA" w:rsidR="00872118">
        <w:t xml:space="preserve">annually for this information collection. </w:t>
      </w:r>
      <w:r w:rsidR="00095403">
        <w:t>Total c</w:t>
      </w:r>
      <w:r w:rsidRPr="00833ECA">
        <w:t xml:space="preserve">ontractor </w:t>
      </w:r>
      <w:r w:rsidR="00B1098E">
        <w:t xml:space="preserve">cost for evaluation activities </w:t>
      </w:r>
      <w:r w:rsidRPr="00833ECA">
        <w:t>represents an estimated 75% (</w:t>
      </w:r>
      <w:r w:rsidRPr="00833ECA" w:rsidR="00025097">
        <w:t>$244,911</w:t>
      </w:r>
      <w:r w:rsidRPr="00833ECA">
        <w:t>)</w:t>
      </w:r>
      <w:r w:rsidRPr="00833ECA" w:rsidR="005334F9">
        <w:t xml:space="preserve"> </w:t>
      </w:r>
      <w:r w:rsidRPr="00833ECA" w:rsidR="000516AD">
        <w:t xml:space="preserve">of </w:t>
      </w:r>
      <w:r w:rsidRPr="00833ECA">
        <w:t>total contract funds (</w:t>
      </w:r>
      <w:r w:rsidRPr="00833ECA" w:rsidR="00025097">
        <w:t>$326,762</w:t>
      </w:r>
      <w:r w:rsidRPr="00833ECA">
        <w:t>)</w:t>
      </w:r>
      <w:r w:rsidRPr="00833ECA" w:rsidR="000516AD">
        <w:t xml:space="preserve">. </w:t>
      </w:r>
      <w:r w:rsidRPr="00833ECA" w:rsidR="00B677A2">
        <w:t xml:space="preserve">The contractor is responsible for leading all data collection, including recruitment, scheduling of interviews, collecting and </w:t>
      </w:r>
      <w:r w:rsidRPr="00EE0761" w:rsidR="00B677A2">
        <w:t xml:space="preserve">analyzing data. </w:t>
      </w:r>
      <w:r w:rsidRPr="00EE0761" w:rsidR="00872118">
        <w:t xml:space="preserve">The estimated </w:t>
      </w:r>
      <w:r w:rsidR="00301E43">
        <w:t xml:space="preserve">annualized </w:t>
      </w:r>
      <w:r w:rsidRPr="00EE0761" w:rsidR="00872118">
        <w:t xml:space="preserve">total cost </w:t>
      </w:r>
      <w:r w:rsidRPr="00EE0761" w:rsidR="00C54F9B">
        <w:t xml:space="preserve">(CDC FTEs plus </w:t>
      </w:r>
      <w:r w:rsidR="00A86781">
        <w:t xml:space="preserve">annualized </w:t>
      </w:r>
      <w:r w:rsidRPr="00EE0761" w:rsidR="00C54F9B">
        <w:t xml:space="preserve">contract costs) </w:t>
      </w:r>
      <w:r w:rsidRPr="00EE0761" w:rsidR="00872118">
        <w:t>to the federal government is $</w:t>
      </w:r>
      <w:r w:rsidRPr="00B1098E" w:rsidR="00B1098E">
        <w:t>99,768</w:t>
      </w:r>
      <w:r w:rsidRPr="00B1098E" w:rsidR="00C54F9B">
        <w:t>.</w:t>
      </w:r>
      <w:r w:rsidRPr="00833ECA" w:rsidR="00C54F9B">
        <w:t xml:space="preserve"> </w:t>
      </w:r>
      <w:r w:rsidRPr="00833ECA" w:rsidR="00872118">
        <w:t xml:space="preserve">Table A.14 </w:t>
      </w:r>
      <w:r w:rsidR="004D2664">
        <w:t>shows</w:t>
      </w:r>
      <w:r w:rsidRPr="00833ECA" w:rsidR="00872118">
        <w:t xml:space="preserve"> </w:t>
      </w:r>
      <w:r w:rsidR="004D2664">
        <w:t xml:space="preserve">how </w:t>
      </w:r>
      <w:r w:rsidRPr="00833ECA" w:rsidR="00872118">
        <w:t>the</w:t>
      </w:r>
      <w:r w:rsidR="004D2664">
        <w:t xml:space="preserve"> annualized</w:t>
      </w:r>
      <w:r w:rsidRPr="00833ECA" w:rsidR="00872118">
        <w:t xml:space="preserve"> cost estimate was calculated.</w:t>
      </w:r>
      <w:r w:rsidRPr="00833ECA" w:rsidR="000516AD">
        <w:t xml:space="preserve"> </w:t>
      </w:r>
    </w:p>
    <w:p w:rsidRPr="00833ECA" w:rsidR="00EE4185" w:rsidP="00D34777" w:rsidRDefault="00EE4185" w14:paraId="60D9D9B3" w14:textId="77777777"/>
    <w:p w:rsidR="003E3235" w:rsidP="000D7962" w:rsidRDefault="005B0735" w14:paraId="20818DC8" w14:textId="7EA3A84B">
      <w:pPr>
        <w:rPr>
          <w:b/>
        </w:rPr>
      </w:pPr>
      <w:r w:rsidRPr="00833ECA">
        <w:rPr>
          <w:b/>
        </w:rPr>
        <w:t>Table A14-1.  Estimated Annualized Cost to the Federal Government</w:t>
      </w:r>
    </w:p>
    <w:p w:rsidRPr="00833ECA" w:rsidR="005F4324" w:rsidP="000D7962" w:rsidRDefault="005F4324" w14:paraId="677C4359" w14:textId="77777777">
      <w:pPr>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75"/>
        <w:gridCol w:w="1890"/>
        <w:gridCol w:w="1890"/>
        <w:gridCol w:w="1980"/>
      </w:tblGrid>
      <w:tr w:rsidRPr="00860B82" w:rsidR="005B0735" w:rsidTr="00B47BBA" w14:paraId="2B07C5A7" w14:textId="77777777">
        <w:tc>
          <w:tcPr>
            <w:tcW w:w="2875" w:type="dxa"/>
            <w:vAlign w:val="center"/>
          </w:tcPr>
          <w:p w:rsidRPr="00424C9D" w:rsidR="005B0735" w:rsidP="00C61C6D" w:rsidRDefault="005B0735" w14:paraId="2528FEC2" w14:textId="77777777">
            <w:pPr>
              <w:jc w:val="center"/>
              <w:rPr>
                <w:b/>
                <w:sz w:val="22"/>
                <w:szCs w:val="22"/>
              </w:rPr>
            </w:pPr>
            <w:r w:rsidRPr="00424C9D">
              <w:rPr>
                <w:b/>
                <w:sz w:val="22"/>
                <w:szCs w:val="22"/>
              </w:rPr>
              <w:t>Staff (FTE)</w:t>
            </w:r>
          </w:p>
        </w:tc>
        <w:tc>
          <w:tcPr>
            <w:tcW w:w="1890" w:type="dxa"/>
            <w:vAlign w:val="center"/>
          </w:tcPr>
          <w:p w:rsidRPr="00424C9D" w:rsidR="005B0735" w:rsidP="00C61C6D" w:rsidRDefault="005B0735" w14:paraId="30C22ECC" w14:textId="77777777">
            <w:pPr>
              <w:jc w:val="center"/>
              <w:rPr>
                <w:b/>
                <w:sz w:val="22"/>
                <w:szCs w:val="22"/>
              </w:rPr>
            </w:pPr>
            <w:r w:rsidRPr="00424C9D">
              <w:rPr>
                <w:b/>
                <w:sz w:val="22"/>
                <w:szCs w:val="22"/>
              </w:rPr>
              <w:t>Average Hours per Collection</w:t>
            </w:r>
          </w:p>
        </w:tc>
        <w:tc>
          <w:tcPr>
            <w:tcW w:w="1890" w:type="dxa"/>
            <w:vAlign w:val="center"/>
          </w:tcPr>
          <w:p w:rsidRPr="00424C9D" w:rsidR="005B0735" w:rsidP="00C61C6D" w:rsidRDefault="005B0735" w14:paraId="248A052E" w14:textId="77777777">
            <w:pPr>
              <w:jc w:val="center"/>
              <w:rPr>
                <w:b/>
                <w:sz w:val="22"/>
                <w:szCs w:val="22"/>
              </w:rPr>
            </w:pPr>
            <w:r w:rsidRPr="00424C9D">
              <w:rPr>
                <w:b/>
                <w:sz w:val="22"/>
                <w:szCs w:val="22"/>
              </w:rPr>
              <w:t>Average Hourly Rate</w:t>
            </w:r>
          </w:p>
        </w:tc>
        <w:tc>
          <w:tcPr>
            <w:tcW w:w="1980" w:type="dxa"/>
            <w:vAlign w:val="center"/>
          </w:tcPr>
          <w:p w:rsidRPr="00424C9D" w:rsidR="005B0735" w:rsidP="00C61C6D" w:rsidRDefault="00065229" w14:paraId="5DF56A9C" w14:textId="03A8D297">
            <w:pPr>
              <w:jc w:val="center"/>
              <w:rPr>
                <w:b/>
                <w:sz w:val="22"/>
                <w:szCs w:val="22"/>
              </w:rPr>
            </w:pPr>
            <w:r w:rsidRPr="00424C9D">
              <w:rPr>
                <w:b/>
                <w:sz w:val="22"/>
                <w:szCs w:val="22"/>
              </w:rPr>
              <w:t xml:space="preserve">Annualized </w:t>
            </w:r>
            <w:r w:rsidRPr="00424C9D" w:rsidR="005B0735">
              <w:rPr>
                <w:b/>
                <w:sz w:val="22"/>
                <w:szCs w:val="22"/>
              </w:rPr>
              <w:t>Cost</w:t>
            </w:r>
          </w:p>
        </w:tc>
      </w:tr>
      <w:tr w:rsidRPr="00860B82" w:rsidR="00E84A80" w:rsidTr="00B47BBA" w14:paraId="6CF82DF0" w14:textId="77777777">
        <w:trPr>
          <w:trHeight w:val="386"/>
        </w:trPr>
        <w:tc>
          <w:tcPr>
            <w:tcW w:w="2875" w:type="dxa"/>
            <w:vAlign w:val="center"/>
          </w:tcPr>
          <w:p w:rsidRPr="00424C9D" w:rsidR="00E84A80" w:rsidP="00C61C6D" w:rsidRDefault="00E84A80" w14:paraId="5535A651" w14:textId="3DC82D2F">
            <w:pPr>
              <w:rPr>
                <w:sz w:val="22"/>
                <w:szCs w:val="22"/>
              </w:rPr>
            </w:pPr>
            <w:r w:rsidRPr="00424C9D">
              <w:rPr>
                <w:sz w:val="22"/>
                <w:szCs w:val="22"/>
              </w:rPr>
              <w:t>Contractor</w:t>
            </w:r>
          </w:p>
        </w:tc>
        <w:tc>
          <w:tcPr>
            <w:tcW w:w="1890" w:type="dxa"/>
            <w:vAlign w:val="center"/>
          </w:tcPr>
          <w:p w:rsidRPr="00424C9D" w:rsidR="00E84A80" w:rsidP="00EF30A6" w:rsidRDefault="00E84A80" w14:paraId="063A669E" w14:textId="188F34AB">
            <w:pPr>
              <w:rPr>
                <w:sz w:val="22"/>
                <w:szCs w:val="22"/>
              </w:rPr>
            </w:pPr>
          </w:p>
        </w:tc>
        <w:tc>
          <w:tcPr>
            <w:tcW w:w="1890" w:type="dxa"/>
            <w:vAlign w:val="center"/>
          </w:tcPr>
          <w:p w:rsidRPr="00424C9D" w:rsidR="00E84A80" w:rsidP="00EF30A6" w:rsidRDefault="00E84A80" w14:paraId="097F722D" w14:textId="77777777">
            <w:pPr>
              <w:rPr>
                <w:sz w:val="22"/>
                <w:szCs w:val="22"/>
              </w:rPr>
            </w:pPr>
          </w:p>
        </w:tc>
        <w:tc>
          <w:tcPr>
            <w:tcW w:w="1980" w:type="dxa"/>
            <w:vAlign w:val="center"/>
          </w:tcPr>
          <w:p w:rsidRPr="00424C9D" w:rsidR="00E84A80" w:rsidP="00C61C6D" w:rsidRDefault="00E84A80" w14:paraId="794BD35A" w14:textId="4E78ECDF">
            <w:pPr>
              <w:jc w:val="center"/>
              <w:rPr>
                <w:sz w:val="22"/>
                <w:szCs w:val="22"/>
              </w:rPr>
            </w:pPr>
            <w:r w:rsidRPr="00424C9D">
              <w:rPr>
                <w:sz w:val="22"/>
                <w:szCs w:val="22"/>
              </w:rPr>
              <w:t>$</w:t>
            </w:r>
            <w:r w:rsidRPr="00424C9D" w:rsidR="00282273">
              <w:rPr>
                <w:sz w:val="22"/>
                <w:szCs w:val="22"/>
              </w:rPr>
              <w:t>81</w:t>
            </w:r>
            <w:r w:rsidRPr="00424C9D" w:rsidR="001D77F9">
              <w:rPr>
                <w:sz w:val="22"/>
                <w:szCs w:val="22"/>
              </w:rPr>
              <w:t>,</w:t>
            </w:r>
            <w:r w:rsidRPr="00424C9D" w:rsidR="00282273">
              <w:rPr>
                <w:sz w:val="22"/>
                <w:szCs w:val="22"/>
              </w:rPr>
              <w:t>637</w:t>
            </w:r>
          </w:p>
        </w:tc>
      </w:tr>
      <w:tr w:rsidRPr="00860B82" w:rsidR="005B0735" w:rsidTr="00B47BBA" w14:paraId="46BB90DE" w14:textId="77777777">
        <w:trPr>
          <w:trHeight w:val="1250"/>
        </w:trPr>
        <w:tc>
          <w:tcPr>
            <w:tcW w:w="2875" w:type="dxa"/>
            <w:vAlign w:val="center"/>
          </w:tcPr>
          <w:p w:rsidRPr="00424C9D" w:rsidR="005B0735" w:rsidP="00C61C6D" w:rsidRDefault="00BD1D62" w14:paraId="64366F7B" w14:textId="77777777">
            <w:pPr>
              <w:rPr>
                <w:sz w:val="22"/>
                <w:szCs w:val="22"/>
              </w:rPr>
            </w:pPr>
            <w:r w:rsidRPr="00424C9D">
              <w:rPr>
                <w:sz w:val="22"/>
                <w:szCs w:val="22"/>
              </w:rPr>
              <w:t>Public Health Advisor (GS-14</w:t>
            </w:r>
            <w:r w:rsidRPr="00424C9D" w:rsidR="005B0735">
              <w:rPr>
                <w:sz w:val="22"/>
                <w:szCs w:val="22"/>
              </w:rPr>
              <w:t>) Project planning, management, OMB review, analysis of findings, and report writing</w:t>
            </w:r>
          </w:p>
        </w:tc>
        <w:tc>
          <w:tcPr>
            <w:tcW w:w="1890" w:type="dxa"/>
            <w:vAlign w:val="center"/>
          </w:tcPr>
          <w:p w:rsidRPr="00424C9D" w:rsidR="005B0735" w:rsidP="00C61C6D" w:rsidRDefault="001D77F9" w14:paraId="175FBD65" w14:textId="1668504C">
            <w:pPr>
              <w:jc w:val="center"/>
              <w:rPr>
                <w:sz w:val="22"/>
                <w:szCs w:val="22"/>
              </w:rPr>
            </w:pPr>
            <w:r w:rsidRPr="00424C9D">
              <w:rPr>
                <w:sz w:val="22"/>
                <w:szCs w:val="22"/>
              </w:rPr>
              <w:t>208</w:t>
            </w:r>
          </w:p>
        </w:tc>
        <w:tc>
          <w:tcPr>
            <w:tcW w:w="1890" w:type="dxa"/>
            <w:vAlign w:val="center"/>
          </w:tcPr>
          <w:p w:rsidRPr="00424C9D" w:rsidR="005B0735" w:rsidP="00C61C6D" w:rsidRDefault="005B0735" w14:paraId="4EF17AE5" w14:textId="77777777">
            <w:pPr>
              <w:jc w:val="center"/>
              <w:rPr>
                <w:sz w:val="22"/>
                <w:szCs w:val="22"/>
              </w:rPr>
            </w:pPr>
            <w:r w:rsidRPr="00424C9D">
              <w:rPr>
                <w:sz w:val="22"/>
                <w:szCs w:val="22"/>
              </w:rPr>
              <w:t>$</w:t>
            </w:r>
            <w:r w:rsidRPr="00424C9D" w:rsidR="00BD1D62">
              <w:rPr>
                <w:sz w:val="22"/>
                <w:szCs w:val="22"/>
              </w:rPr>
              <w:t>47.86</w:t>
            </w:r>
          </w:p>
        </w:tc>
        <w:tc>
          <w:tcPr>
            <w:tcW w:w="1980" w:type="dxa"/>
            <w:vAlign w:val="center"/>
          </w:tcPr>
          <w:p w:rsidRPr="00424C9D" w:rsidR="005B0735" w:rsidP="00C61C6D" w:rsidRDefault="005B0735" w14:paraId="21048DAB" w14:textId="59C7C360">
            <w:pPr>
              <w:jc w:val="center"/>
              <w:rPr>
                <w:sz w:val="22"/>
                <w:szCs w:val="22"/>
              </w:rPr>
            </w:pPr>
            <w:r w:rsidRPr="00424C9D">
              <w:rPr>
                <w:sz w:val="22"/>
                <w:szCs w:val="22"/>
              </w:rPr>
              <w:t>$</w:t>
            </w:r>
            <w:r w:rsidRPr="00424C9D" w:rsidR="0060140E">
              <w:rPr>
                <w:sz w:val="22"/>
                <w:szCs w:val="22"/>
              </w:rPr>
              <w:t>9</w:t>
            </w:r>
            <w:r w:rsidRPr="00424C9D" w:rsidR="00BD1D62">
              <w:rPr>
                <w:sz w:val="22"/>
                <w:szCs w:val="22"/>
              </w:rPr>
              <w:t>,9</w:t>
            </w:r>
            <w:r w:rsidRPr="00424C9D" w:rsidR="003B2C83">
              <w:rPr>
                <w:sz w:val="22"/>
                <w:szCs w:val="22"/>
              </w:rPr>
              <w:t>55</w:t>
            </w:r>
          </w:p>
        </w:tc>
      </w:tr>
      <w:tr w:rsidRPr="00860B82" w:rsidR="005B0735" w:rsidTr="00B47BBA" w14:paraId="1C006052" w14:textId="77777777">
        <w:tc>
          <w:tcPr>
            <w:tcW w:w="2875" w:type="dxa"/>
            <w:vAlign w:val="center"/>
          </w:tcPr>
          <w:p w:rsidRPr="00424C9D" w:rsidR="005B0735" w:rsidP="00C61C6D" w:rsidRDefault="00BD1D62" w14:paraId="24B173E2" w14:textId="77777777">
            <w:pPr>
              <w:rPr>
                <w:sz w:val="22"/>
                <w:szCs w:val="22"/>
              </w:rPr>
            </w:pPr>
            <w:r w:rsidRPr="00424C9D">
              <w:rPr>
                <w:sz w:val="22"/>
                <w:szCs w:val="22"/>
              </w:rPr>
              <w:t>Public Health Advisor (GS13</w:t>
            </w:r>
            <w:r w:rsidRPr="00424C9D" w:rsidR="005B0735">
              <w:rPr>
                <w:sz w:val="22"/>
                <w:szCs w:val="22"/>
              </w:rPr>
              <w:t>) time for project planning, management, OMB review, analysis of findings, and report writing</w:t>
            </w:r>
          </w:p>
        </w:tc>
        <w:tc>
          <w:tcPr>
            <w:tcW w:w="1890" w:type="dxa"/>
            <w:vAlign w:val="center"/>
          </w:tcPr>
          <w:p w:rsidRPr="00424C9D" w:rsidR="005B0735" w:rsidP="00C61C6D" w:rsidRDefault="001D77F9" w14:paraId="46B779C5" w14:textId="6D69A494">
            <w:pPr>
              <w:jc w:val="center"/>
              <w:rPr>
                <w:sz w:val="22"/>
                <w:szCs w:val="22"/>
              </w:rPr>
            </w:pPr>
            <w:r w:rsidRPr="00424C9D">
              <w:rPr>
                <w:sz w:val="22"/>
                <w:szCs w:val="22"/>
              </w:rPr>
              <w:t>208</w:t>
            </w:r>
          </w:p>
        </w:tc>
        <w:tc>
          <w:tcPr>
            <w:tcW w:w="1890" w:type="dxa"/>
            <w:vAlign w:val="center"/>
          </w:tcPr>
          <w:p w:rsidRPr="00424C9D" w:rsidR="005B0735" w:rsidP="00C61C6D" w:rsidRDefault="005B0735" w14:paraId="07C75E26" w14:textId="77777777">
            <w:pPr>
              <w:jc w:val="center"/>
              <w:rPr>
                <w:sz w:val="22"/>
                <w:szCs w:val="22"/>
              </w:rPr>
            </w:pPr>
            <w:r w:rsidRPr="00424C9D">
              <w:rPr>
                <w:sz w:val="22"/>
                <w:szCs w:val="22"/>
              </w:rPr>
              <w:t>$</w:t>
            </w:r>
            <w:r w:rsidRPr="00424C9D" w:rsidR="00BD1D62">
              <w:rPr>
                <w:sz w:val="22"/>
                <w:szCs w:val="22"/>
              </w:rPr>
              <w:t>39.31</w:t>
            </w:r>
          </w:p>
        </w:tc>
        <w:tc>
          <w:tcPr>
            <w:tcW w:w="1980" w:type="dxa"/>
            <w:vAlign w:val="center"/>
          </w:tcPr>
          <w:p w:rsidRPr="00424C9D" w:rsidR="005B0735" w:rsidP="00C61C6D" w:rsidRDefault="005B0735" w14:paraId="06739AA5" w14:textId="0C02DC8F">
            <w:pPr>
              <w:jc w:val="center"/>
              <w:rPr>
                <w:sz w:val="22"/>
                <w:szCs w:val="22"/>
              </w:rPr>
            </w:pPr>
            <w:r w:rsidRPr="00424C9D">
              <w:rPr>
                <w:sz w:val="22"/>
                <w:szCs w:val="22"/>
              </w:rPr>
              <w:t>$</w:t>
            </w:r>
            <w:r w:rsidRPr="00424C9D" w:rsidR="003B2C83">
              <w:rPr>
                <w:sz w:val="22"/>
                <w:szCs w:val="22"/>
              </w:rPr>
              <w:t>8</w:t>
            </w:r>
            <w:r w:rsidRPr="00424C9D" w:rsidR="00BD1D62">
              <w:rPr>
                <w:sz w:val="22"/>
                <w:szCs w:val="22"/>
              </w:rPr>
              <w:t>,</w:t>
            </w:r>
            <w:r w:rsidRPr="00424C9D" w:rsidR="003B2C83">
              <w:rPr>
                <w:sz w:val="22"/>
                <w:szCs w:val="22"/>
              </w:rPr>
              <w:t>176</w:t>
            </w:r>
          </w:p>
        </w:tc>
      </w:tr>
      <w:tr w:rsidRPr="00860B82" w:rsidR="005B0735" w:rsidTr="00B47BBA" w14:paraId="067ADB89" w14:textId="77777777">
        <w:trPr>
          <w:trHeight w:val="476"/>
        </w:trPr>
        <w:tc>
          <w:tcPr>
            <w:tcW w:w="6655" w:type="dxa"/>
            <w:gridSpan w:val="3"/>
            <w:vAlign w:val="center"/>
          </w:tcPr>
          <w:p w:rsidRPr="00424C9D" w:rsidR="005B0735" w:rsidP="00940CBD" w:rsidRDefault="00EF30A6" w14:paraId="70672698" w14:textId="215FB7A8">
            <w:pPr>
              <w:rPr>
                <w:sz w:val="22"/>
                <w:szCs w:val="22"/>
              </w:rPr>
            </w:pPr>
            <w:r w:rsidRPr="00424C9D">
              <w:rPr>
                <w:sz w:val="22"/>
                <w:szCs w:val="22"/>
              </w:rPr>
              <w:t xml:space="preserve">Estimated </w:t>
            </w:r>
            <w:r w:rsidRPr="00424C9D" w:rsidR="00B47BBA">
              <w:rPr>
                <w:sz w:val="22"/>
                <w:szCs w:val="22"/>
              </w:rPr>
              <w:t>Annualized</w:t>
            </w:r>
            <w:r w:rsidRPr="00424C9D" w:rsidR="005B0735">
              <w:rPr>
                <w:sz w:val="22"/>
                <w:szCs w:val="22"/>
              </w:rPr>
              <w:t xml:space="preserve"> Cost</w:t>
            </w:r>
          </w:p>
        </w:tc>
        <w:tc>
          <w:tcPr>
            <w:tcW w:w="1980" w:type="dxa"/>
            <w:vAlign w:val="center"/>
          </w:tcPr>
          <w:p w:rsidRPr="00424C9D" w:rsidR="005B0735" w:rsidP="00C61C6D" w:rsidRDefault="00025097" w14:paraId="404086A9" w14:textId="21DDF8F1">
            <w:pPr>
              <w:jc w:val="center"/>
              <w:rPr>
                <w:sz w:val="22"/>
                <w:szCs w:val="22"/>
              </w:rPr>
            </w:pPr>
            <w:r w:rsidRPr="00424C9D">
              <w:rPr>
                <w:sz w:val="22"/>
                <w:szCs w:val="22"/>
              </w:rPr>
              <w:t>$</w:t>
            </w:r>
            <w:r w:rsidRPr="00424C9D" w:rsidR="009856E5">
              <w:rPr>
                <w:sz w:val="22"/>
                <w:szCs w:val="22"/>
              </w:rPr>
              <w:t>99</w:t>
            </w:r>
            <w:r w:rsidRPr="00424C9D" w:rsidR="003023DE">
              <w:rPr>
                <w:sz w:val="22"/>
                <w:szCs w:val="22"/>
              </w:rPr>
              <w:t>,</w:t>
            </w:r>
            <w:r w:rsidRPr="00424C9D" w:rsidR="009856E5">
              <w:rPr>
                <w:sz w:val="22"/>
                <w:szCs w:val="22"/>
              </w:rPr>
              <w:t>768</w:t>
            </w:r>
          </w:p>
        </w:tc>
      </w:tr>
    </w:tbl>
    <w:p w:rsidRPr="00833ECA" w:rsidR="0009233F" w:rsidP="000D7962" w:rsidRDefault="0009233F" w14:paraId="1703A28C" w14:textId="77777777">
      <w:pPr>
        <w:rPr>
          <w:b/>
        </w:rPr>
      </w:pPr>
    </w:p>
    <w:p w:rsidRPr="00833ECA" w:rsidR="00E97704" w:rsidP="000D7962" w:rsidRDefault="007B51F2" w14:paraId="017FA496" w14:textId="77777777">
      <w:pPr>
        <w:rPr>
          <w:b/>
        </w:rPr>
      </w:pPr>
      <w:r w:rsidRPr="00833ECA">
        <w:rPr>
          <w:b/>
        </w:rPr>
        <w:t xml:space="preserve">A15. </w:t>
      </w:r>
      <w:r w:rsidRPr="00833ECA">
        <w:t xml:space="preserve"> </w:t>
      </w:r>
      <w:r w:rsidRPr="00833ECA">
        <w:rPr>
          <w:b/>
        </w:rPr>
        <w:t>Explanation for Program Changes or Adjustments</w:t>
      </w:r>
    </w:p>
    <w:p w:rsidRPr="00833ECA" w:rsidR="007B51F2" w:rsidP="000D7962" w:rsidRDefault="007B51F2" w14:paraId="18D9CC29" w14:textId="77777777"/>
    <w:p w:rsidR="0035745A" w:rsidP="00094BF7" w:rsidRDefault="007B51F2" w14:paraId="05C0759E" w14:textId="442EC545">
      <w:pPr>
        <w:pStyle w:val="DocumentBodyText"/>
        <w:spacing w:after="0" w:line="240" w:lineRule="auto"/>
        <w:jc w:val="left"/>
      </w:pPr>
      <w:r w:rsidRPr="00833ECA">
        <w:t>This is a</w:t>
      </w:r>
      <w:r w:rsidRPr="00833ECA" w:rsidR="002A4608">
        <w:t xml:space="preserve"> </w:t>
      </w:r>
      <w:r w:rsidR="002C1597">
        <w:t>r</w:t>
      </w:r>
      <w:r w:rsidRPr="00342F0F" w:rsidR="002C1597">
        <w:t>einstatement with change</w:t>
      </w:r>
      <w:r w:rsidRPr="00833ECA">
        <w:t>.</w:t>
      </w:r>
      <w:r w:rsidRPr="00833ECA" w:rsidR="002A4608">
        <w:t xml:space="preserve"> </w:t>
      </w:r>
      <w:r w:rsidR="00246A88">
        <w:t xml:space="preserve">The title of the </w:t>
      </w:r>
      <w:r w:rsidRPr="00612272" w:rsidR="00246A88">
        <w:rPr>
          <w:rFonts w:cs="Times New Roman"/>
          <w:szCs w:val="24"/>
        </w:rPr>
        <w:t xml:space="preserve">this information collection request has been changed from </w:t>
      </w:r>
      <w:r w:rsidRPr="00612272" w:rsidR="00612272">
        <w:rPr>
          <w:rFonts w:cs="Times New Roman"/>
          <w:szCs w:val="24"/>
        </w:rPr>
        <w:t xml:space="preserve">“Assessing the Impact of Targeted Training and Technical Assistance Efforts on the Implementation of Comprehensive Cancer Control” to “Assessment of Technical Assistance and Training Approaches to Accelerate Comprehensive Cancer Control Outcomes” </w:t>
      </w:r>
      <w:r w:rsidR="00612272">
        <w:rPr>
          <w:rFonts w:cs="Times New Roman"/>
          <w:szCs w:val="24"/>
        </w:rPr>
        <w:t xml:space="preserve">to better </w:t>
      </w:r>
      <w:r w:rsidR="00FF58F3">
        <w:rPr>
          <w:rFonts w:cs="Times New Roman"/>
          <w:szCs w:val="24"/>
        </w:rPr>
        <w:t xml:space="preserve">align with how the program is being referred to. </w:t>
      </w:r>
      <w:r w:rsidR="00C86C2C">
        <w:rPr>
          <w:rFonts w:cs="Times New Roman"/>
          <w:szCs w:val="24"/>
        </w:rPr>
        <w:t>The</w:t>
      </w:r>
      <w:r w:rsidR="00297E2A">
        <w:rPr>
          <w:rFonts w:cs="Times New Roman"/>
          <w:szCs w:val="24"/>
        </w:rPr>
        <w:t xml:space="preserve"> program was expanded to include grantees from non-profit organizations</w:t>
      </w:r>
      <w:r w:rsidR="00FC49BF">
        <w:rPr>
          <w:rFonts w:cs="Times New Roman"/>
          <w:szCs w:val="24"/>
        </w:rPr>
        <w:t xml:space="preserve"> </w:t>
      </w:r>
      <w:r w:rsidR="00297E2A">
        <w:rPr>
          <w:rFonts w:cs="Times New Roman"/>
          <w:szCs w:val="24"/>
        </w:rPr>
        <w:t xml:space="preserve">and thus a new category </w:t>
      </w:r>
      <w:r w:rsidR="00E22C41">
        <w:rPr>
          <w:rFonts w:cs="Times New Roman"/>
          <w:szCs w:val="24"/>
        </w:rPr>
        <w:t>was added under</w:t>
      </w:r>
      <w:r w:rsidR="00297E2A">
        <w:rPr>
          <w:rFonts w:cs="Times New Roman"/>
          <w:szCs w:val="24"/>
        </w:rPr>
        <w:t xml:space="preserve"> </w:t>
      </w:r>
      <w:r w:rsidR="00FC49BF">
        <w:rPr>
          <w:rFonts w:cs="Times New Roman"/>
          <w:szCs w:val="24"/>
        </w:rPr>
        <w:t>“Affected Public”</w:t>
      </w:r>
      <w:r w:rsidR="00297E2A">
        <w:rPr>
          <w:rFonts w:cs="Times New Roman"/>
          <w:szCs w:val="24"/>
        </w:rPr>
        <w:t xml:space="preserve">. </w:t>
      </w:r>
      <w:r w:rsidRPr="00612272" w:rsidR="00CD713B">
        <w:rPr>
          <w:rFonts w:cs="Times New Roman"/>
          <w:szCs w:val="24"/>
        </w:rPr>
        <w:t>In the previous OMB approval period, the total estimated annualized burden was 231 hours</w:t>
      </w:r>
      <w:r w:rsidR="00CD713B">
        <w:t>. The bu</w:t>
      </w:r>
      <w:r w:rsidR="00232F61">
        <w:t>r</w:t>
      </w:r>
      <w:r w:rsidR="00CD713B">
        <w:t xml:space="preserve">den hours for this request is </w:t>
      </w:r>
      <w:r w:rsidR="00780220">
        <w:t>5</w:t>
      </w:r>
      <w:r w:rsidR="00DB5D12">
        <w:t>1</w:t>
      </w:r>
      <w:r w:rsidR="00CD713B">
        <w:t xml:space="preserve">hours, which is a decrease of </w:t>
      </w:r>
      <w:r w:rsidR="00E92153">
        <w:t>180</w:t>
      </w:r>
      <w:r w:rsidR="00CD713B">
        <w:t xml:space="preserve"> hours</w:t>
      </w:r>
      <w:r w:rsidR="005078AA">
        <w:t xml:space="preserve"> from our previous </w:t>
      </w:r>
      <w:r w:rsidR="005078AA">
        <w:lastRenderedPageBreak/>
        <w:t>request</w:t>
      </w:r>
      <w:r w:rsidR="00CD713B">
        <w:t>.</w:t>
      </w:r>
      <w:r w:rsidRPr="00833ECA" w:rsidR="002A4608">
        <w:t xml:space="preserve"> </w:t>
      </w:r>
      <w:r w:rsidR="0035745A">
        <w:rPr>
          <w:rFonts w:cs="Times New Roman"/>
        </w:rPr>
        <w:t>This decrease is due to various reasons. First, p</w:t>
      </w:r>
      <w:r w:rsidRPr="0065782B" w:rsidR="0035745A">
        <w:rPr>
          <w:rFonts w:cs="Times New Roman"/>
        </w:rPr>
        <w:t>rogrammatic changes have led to a</w:t>
      </w:r>
      <w:r w:rsidR="0035745A">
        <w:rPr>
          <w:rFonts w:cs="Times New Roman"/>
        </w:rPr>
        <w:t>n</w:t>
      </w:r>
      <w:r w:rsidRPr="0065782B" w:rsidR="0035745A">
        <w:rPr>
          <w:rFonts w:cs="Times New Roman"/>
        </w:rPr>
        <w:t xml:space="preserve"> adjustment of the evaluation design. Funding </w:t>
      </w:r>
      <w:r w:rsidR="00997015">
        <w:rPr>
          <w:rFonts w:cs="Times New Roman"/>
        </w:rPr>
        <w:t xml:space="preserve">has been moved to a separate cooperative agreement/funding </w:t>
      </w:r>
      <w:proofErr w:type="gramStart"/>
      <w:r w:rsidR="00997015">
        <w:rPr>
          <w:rFonts w:cs="Times New Roman"/>
        </w:rPr>
        <w:t>line,</w:t>
      </w:r>
      <w:proofErr w:type="gramEnd"/>
      <w:r w:rsidR="00997015">
        <w:rPr>
          <w:rFonts w:cs="Times New Roman"/>
        </w:rPr>
        <w:t xml:space="preserve"> therefore they are excluded from this reinstatement request and the in-depth interviews with TTA consumers who used both national networks and DP13-1315 have also been removed. Both actions decrease </w:t>
      </w:r>
      <w:r w:rsidRPr="00ED09BA" w:rsidR="00997015">
        <w:rPr>
          <w:rFonts w:cs="Times New Roman"/>
        </w:rPr>
        <w:t>overall burden for the reinstatement.</w:t>
      </w:r>
    </w:p>
    <w:p w:rsidR="0035745A" w:rsidP="00094BF7" w:rsidRDefault="0035745A" w14:paraId="415634BD" w14:textId="77777777">
      <w:pPr>
        <w:pStyle w:val="DocumentBodyText"/>
        <w:spacing w:after="0" w:line="240" w:lineRule="auto"/>
        <w:jc w:val="left"/>
      </w:pPr>
    </w:p>
    <w:p w:rsidRPr="00833ECA" w:rsidR="005858D0" w:rsidP="000D7962" w:rsidRDefault="005858D0" w14:paraId="26D5AA60" w14:textId="77777777">
      <w:pPr>
        <w:rPr>
          <w:b/>
        </w:rPr>
      </w:pPr>
      <w:r w:rsidRPr="00833ECA">
        <w:rPr>
          <w:b/>
        </w:rPr>
        <w:t xml:space="preserve">A16. </w:t>
      </w:r>
      <w:r w:rsidRPr="00833ECA">
        <w:t xml:space="preserve"> </w:t>
      </w:r>
      <w:r w:rsidRPr="00833ECA">
        <w:rPr>
          <w:b/>
        </w:rPr>
        <w:t>Plans for Tabulation and Publication and Project Time Schedule</w:t>
      </w:r>
    </w:p>
    <w:p w:rsidRPr="00833ECA" w:rsidR="005858D0" w:rsidP="00F26905" w:rsidRDefault="005858D0" w14:paraId="6DF5E8D5" w14:textId="77777777">
      <w:pPr>
        <w:rPr>
          <w:b/>
        </w:rPr>
      </w:pPr>
    </w:p>
    <w:p w:rsidR="0025695C" w:rsidP="00F26905" w:rsidRDefault="00B07C66" w14:paraId="0DF229EB" w14:textId="77777777">
      <w:r w:rsidRPr="00833ECA">
        <w:t>C</w:t>
      </w:r>
      <w:r w:rsidRPr="00833ECA" w:rsidR="00A85545">
        <w:t xml:space="preserve">ase study interviews will be completed one time </w:t>
      </w:r>
      <w:r w:rsidRPr="00833ECA">
        <w:t>in Year 3 of the evaluation study period</w:t>
      </w:r>
      <w:r w:rsidRPr="00833ECA" w:rsidR="007A1E28">
        <w:t xml:space="preserve">. </w:t>
      </w:r>
      <w:r w:rsidRPr="00833ECA" w:rsidR="00872118">
        <w:t>The web</w:t>
      </w:r>
      <w:r w:rsidRPr="00833ECA" w:rsidR="005F7216">
        <w:t xml:space="preserve">-based </w:t>
      </w:r>
      <w:r w:rsidRPr="00833ECA" w:rsidR="00872118">
        <w:t xml:space="preserve">survey will be completed </w:t>
      </w:r>
      <w:r w:rsidRPr="00833ECA">
        <w:t>two</w:t>
      </w:r>
      <w:r w:rsidRPr="00833ECA" w:rsidR="00617264">
        <w:t xml:space="preserve"> time</w:t>
      </w:r>
      <w:r w:rsidRPr="00833ECA">
        <w:t>s</w:t>
      </w:r>
      <w:r w:rsidRPr="00833ECA" w:rsidR="00617264">
        <w:t xml:space="preserve"> </w:t>
      </w:r>
      <w:r w:rsidRPr="00833ECA" w:rsidR="00872118">
        <w:t xml:space="preserve">within </w:t>
      </w:r>
      <w:r w:rsidRPr="00833ECA">
        <w:t>the evaluation study period—once in Year 2 and once in Year 4 of the evaluation study period</w:t>
      </w:r>
      <w:r w:rsidRPr="00833ECA" w:rsidR="00872118">
        <w:t>. Data validation, analysis, and report preparation will follow</w:t>
      </w:r>
      <w:r w:rsidRPr="00833ECA" w:rsidR="007A1E28">
        <w:t xml:space="preserve">. </w:t>
      </w:r>
      <w:r w:rsidRPr="00833ECA" w:rsidR="0065318D">
        <w:t xml:space="preserve">CDC plans to disseminate the outcomes of the study within </w:t>
      </w:r>
      <w:r w:rsidRPr="00833ECA" w:rsidR="00955DCA">
        <w:t xml:space="preserve">and outside </w:t>
      </w:r>
      <w:r w:rsidRPr="00833ECA" w:rsidR="0065318D">
        <w:t xml:space="preserve">the federal </w:t>
      </w:r>
      <w:r w:rsidRPr="00833ECA" w:rsidR="00825EB7">
        <w:t>government in</w:t>
      </w:r>
      <w:r w:rsidRPr="00833ECA" w:rsidR="00955DCA">
        <w:t xml:space="preserve"> the form </w:t>
      </w:r>
      <w:r w:rsidRPr="00833ECA" w:rsidR="00825EB7">
        <w:t>of scientific</w:t>
      </w:r>
      <w:r w:rsidRPr="00833ECA" w:rsidR="0065318D">
        <w:t xml:space="preserve"> presentations, peer-reviewed publications, and tools and resources developed for </w:t>
      </w:r>
      <w:r w:rsidRPr="00833ECA">
        <w:t xml:space="preserve">NCCCP </w:t>
      </w:r>
      <w:r w:rsidR="00345A79">
        <w:t>awardees</w:t>
      </w:r>
      <w:r w:rsidRPr="00833ECA" w:rsidR="0065318D">
        <w:t xml:space="preserve">. </w:t>
      </w:r>
    </w:p>
    <w:p w:rsidRPr="00833ECA" w:rsidR="00694E42" w:rsidP="00F26905" w:rsidRDefault="00694E42" w14:paraId="1E3EDDA3" w14:textId="77777777"/>
    <w:p w:rsidRPr="00312EC3" w:rsidR="00F04262" w:rsidP="00312EC3" w:rsidRDefault="00352698" w14:paraId="2CCEFF0F" w14:textId="29A2DF47">
      <w:pPr>
        <w:pStyle w:val="ListParagraph"/>
        <w:numPr>
          <w:ilvl w:val="0"/>
          <w:numId w:val="25"/>
        </w:numPr>
        <w:spacing w:after="160" w:line="259" w:lineRule="auto"/>
        <w:ind w:left="720"/>
        <w:rPr>
          <w:rFonts w:ascii="Times New Roman" w:hAnsi="Times New Roman"/>
          <w:sz w:val="24"/>
          <w:szCs w:val="24"/>
        </w:rPr>
      </w:pPr>
      <w:r w:rsidRPr="00312EC3">
        <w:rPr>
          <w:rFonts w:ascii="Times New Roman" w:hAnsi="Times New Roman"/>
          <w:sz w:val="24"/>
          <w:szCs w:val="24"/>
        </w:rPr>
        <w:t xml:space="preserve">The project timeline is outlined in Table A16-1. This timeline describes the ideal schedule for data collection over a 2-year period, with data analysis completed approximately 2 years after receiving OMB approval. However, to provide flexibility in implementing the data collection plan, we are requesting OMB approval for 3 years. The considerations underlying this request include the </w:t>
      </w:r>
      <w:proofErr w:type="spellStart"/>
      <w:r w:rsidRPr="00312EC3">
        <w:rPr>
          <w:rFonts w:ascii="Times New Roman" w:hAnsi="Times New Roman"/>
          <w:sz w:val="24"/>
          <w:szCs w:val="24"/>
        </w:rPr>
        <w:t>following.</w:t>
      </w:r>
      <w:r w:rsidRPr="00312EC3" w:rsidR="00F04262">
        <w:rPr>
          <w:rFonts w:ascii="Times New Roman" w:hAnsi="Times New Roman"/>
          <w:sz w:val="24"/>
          <w:szCs w:val="24"/>
        </w:rPr>
        <w:t>OMB</w:t>
      </w:r>
      <w:proofErr w:type="spellEnd"/>
      <w:r w:rsidRPr="00312EC3" w:rsidR="00F04262">
        <w:rPr>
          <w:rFonts w:ascii="Times New Roman" w:hAnsi="Times New Roman"/>
          <w:sz w:val="24"/>
          <w:szCs w:val="24"/>
        </w:rPr>
        <w:t xml:space="preserve"> review and approval may be delayed due to the COVID-19 pandemic or other factors. The availability of personnel at every stage of ICR review may be impacted by additional responsibilities.</w:t>
      </w:r>
    </w:p>
    <w:p w:rsidRPr="00312EC3" w:rsidR="00F04262" w:rsidP="00312EC3" w:rsidRDefault="00F04262" w14:paraId="1C1B9D92" w14:textId="77777777">
      <w:pPr>
        <w:pStyle w:val="ListParagraph"/>
        <w:numPr>
          <w:ilvl w:val="0"/>
          <w:numId w:val="25"/>
        </w:numPr>
        <w:spacing w:after="160" w:line="259" w:lineRule="auto"/>
        <w:ind w:left="720"/>
        <w:rPr>
          <w:rFonts w:ascii="Times New Roman" w:hAnsi="Times New Roman"/>
          <w:sz w:val="24"/>
          <w:szCs w:val="24"/>
        </w:rPr>
      </w:pPr>
      <w:r w:rsidRPr="00312EC3">
        <w:rPr>
          <w:rFonts w:ascii="Times New Roman" w:hAnsi="Times New Roman"/>
          <w:sz w:val="24"/>
          <w:szCs w:val="24"/>
        </w:rPr>
        <w:t>This information collection request does not utilize in-person data collection methods involving disease risks that must be mitigated (data will be collected via telephone interviews or web-based surveys). However, COVID-19-related considerations could delay or impact project implementation in unforeseen ways.</w:t>
      </w:r>
    </w:p>
    <w:p w:rsidRPr="00312EC3" w:rsidR="00F04262" w:rsidP="00312EC3" w:rsidRDefault="00F04262" w14:paraId="6E577327" w14:textId="77777777">
      <w:pPr>
        <w:pStyle w:val="ListParagraph"/>
        <w:numPr>
          <w:ilvl w:val="0"/>
          <w:numId w:val="25"/>
        </w:numPr>
        <w:spacing w:after="160" w:line="259" w:lineRule="auto"/>
        <w:ind w:left="720"/>
        <w:rPr>
          <w:rFonts w:ascii="Times New Roman" w:hAnsi="Times New Roman"/>
          <w:sz w:val="24"/>
          <w:szCs w:val="24"/>
        </w:rPr>
      </w:pPr>
      <w:r w:rsidRPr="00312EC3">
        <w:rPr>
          <w:rFonts w:ascii="Times New Roman" w:hAnsi="Times New Roman"/>
          <w:sz w:val="24"/>
          <w:szCs w:val="24"/>
        </w:rPr>
        <w:t xml:space="preserve">CDC prefers to initiate data collection in </w:t>
      </w:r>
      <w:r w:rsidRPr="00312EC3">
        <w:rPr>
          <w:rFonts w:ascii="Times New Roman" w:hAnsi="Times New Roman"/>
          <w:b/>
          <w:bCs/>
          <w:sz w:val="24"/>
          <w:szCs w:val="24"/>
        </w:rPr>
        <w:t>July 2020</w:t>
      </w:r>
      <w:r w:rsidRPr="00312EC3">
        <w:rPr>
          <w:rFonts w:ascii="Times New Roman" w:hAnsi="Times New Roman"/>
          <w:sz w:val="24"/>
          <w:szCs w:val="24"/>
        </w:rPr>
        <w:t>, if possible, as this will allow us to complete data collection and analysis as envisioned within the timeframe of the support contract.</w:t>
      </w:r>
    </w:p>
    <w:p w:rsidRPr="00312EC3" w:rsidR="00352698" w:rsidP="00312EC3" w:rsidRDefault="00F04262" w14:paraId="24DAD7C1" w14:textId="63772F1E">
      <w:pPr>
        <w:pStyle w:val="ListParagraph"/>
        <w:numPr>
          <w:ilvl w:val="0"/>
          <w:numId w:val="25"/>
        </w:numPr>
        <w:spacing w:after="160" w:line="259" w:lineRule="auto"/>
        <w:ind w:left="720"/>
        <w:rPr>
          <w:rFonts w:ascii="Times New Roman" w:hAnsi="Times New Roman"/>
          <w:sz w:val="24"/>
          <w:szCs w:val="24"/>
        </w:rPr>
      </w:pPr>
      <w:r w:rsidRPr="00312EC3">
        <w:rPr>
          <w:rFonts w:ascii="Times New Roman" w:hAnsi="Times New Roman"/>
          <w:sz w:val="24"/>
          <w:szCs w:val="24"/>
        </w:rPr>
        <w:t xml:space="preserve">If OMB approval is not obtained by the end of </w:t>
      </w:r>
      <w:r w:rsidRPr="00312EC3">
        <w:rPr>
          <w:rFonts w:ascii="Times New Roman" w:hAnsi="Times New Roman"/>
          <w:b/>
          <w:bCs/>
          <w:sz w:val="24"/>
          <w:szCs w:val="24"/>
        </w:rPr>
        <w:t>June 2020</w:t>
      </w:r>
      <w:r w:rsidRPr="00312EC3">
        <w:rPr>
          <w:rFonts w:ascii="Times New Roman" w:hAnsi="Times New Roman"/>
          <w:sz w:val="24"/>
          <w:szCs w:val="24"/>
        </w:rPr>
        <w:t>, CDC’s options are to (1) compress the follow-up timeline for the second survey, which may impact response rates and the quality of the follow-up data with less time to assess changes that occur over the period of the cooperative agreement, or (2) seek a contract modification to extend the period of performance.</w:t>
      </w:r>
    </w:p>
    <w:p w:rsidRPr="00312EC3" w:rsidR="00B677A2" w:rsidP="00F26905" w:rsidRDefault="00A149D7" w14:paraId="071C0F23" w14:textId="6A2B4EA8">
      <w:r w:rsidRPr="00312EC3">
        <w:t>Therefore, to provide flexibility in project management, CDC requests OMB approval for 3 years.</w:t>
      </w:r>
      <w:r w:rsidRPr="00312EC3" w:rsidR="00B677A2">
        <w:t xml:space="preserve"> </w:t>
      </w:r>
    </w:p>
    <w:p w:rsidRPr="00833ECA" w:rsidR="0055528A" w:rsidP="00F26905" w:rsidRDefault="0055528A" w14:paraId="5A7D7839" w14:textId="77777777"/>
    <w:p w:rsidR="00312EC3" w:rsidRDefault="00312EC3" w14:paraId="0A018718" w14:textId="77777777">
      <w:pPr>
        <w:rPr>
          <w:b/>
        </w:rPr>
      </w:pPr>
      <w:r>
        <w:rPr>
          <w:b/>
        </w:rPr>
        <w:br w:type="page"/>
      </w:r>
    </w:p>
    <w:p w:rsidRPr="00833ECA" w:rsidR="0065318D" w:rsidP="00D34777" w:rsidRDefault="007A1E28" w14:paraId="1A79F9A0" w14:textId="257B65EA">
      <w:r w:rsidRPr="00833ECA">
        <w:rPr>
          <w:b/>
        </w:rPr>
        <w:lastRenderedPageBreak/>
        <w:t>A16-1 Estimated Project Schedule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16"/>
        <w:gridCol w:w="4149"/>
        <w:gridCol w:w="1885"/>
      </w:tblGrid>
      <w:tr w:rsidRPr="00833ECA" w:rsidR="00663513" w:rsidTr="00C544EB" w14:paraId="4787019B" w14:textId="77777777">
        <w:tc>
          <w:tcPr>
            <w:tcW w:w="3316" w:type="dxa"/>
          </w:tcPr>
          <w:p w:rsidRPr="00833ECA" w:rsidR="00663513" w:rsidP="000D7962" w:rsidRDefault="00663513" w14:paraId="546A3D93" w14:textId="77777777">
            <w:pPr>
              <w:jc w:val="center"/>
              <w:rPr>
                <w:b/>
              </w:rPr>
            </w:pPr>
            <w:r w:rsidRPr="00833ECA">
              <w:rPr>
                <w:b/>
              </w:rPr>
              <w:t>Activity</w:t>
            </w:r>
          </w:p>
        </w:tc>
        <w:tc>
          <w:tcPr>
            <w:tcW w:w="4149" w:type="dxa"/>
          </w:tcPr>
          <w:p w:rsidRPr="00833ECA" w:rsidR="00663513" w:rsidP="000D7962" w:rsidRDefault="00663513" w14:paraId="0AC91110" w14:textId="77777777">
            <w:pPr>
              <w:jc w:val="center"/>
              <w:rPr>
                <w:b/>
              </w:rPr>
            </w:pPr>
            <w:r w:rsidRPr="00833ECA">
              <w:rPr>
                <w:b/>
              </w:rPr>
              <w:t>Time Schedule*</w:t>
            </w:r>
          </w:p>
        </w:tc>
        <w:tc>
          <w:tcPr>
            <w:tcW w:w="1885" w:type="dxa"/>
          </w:tcPr>
          <w:p w:rsidRPr="00833ECA" w:rsidR="00663513" w:rsidP="000D7962" w:rsidRDefault="00663513" w14:paraId="5EA0526D" w14:textId="77777777">
            <w:pPr>
              <w:jc w:val="center"/>
              <w:rPr>
                <w:b/>
              </w:rPr>
            </w:pPr>
            <w:r w:rsidRPr="00833ECA">
              <w:rPr>
                <w:b/>
              </w:rPr>
              <w:t>DP18-1805 Budget Year</w:t>
            </w:r>
          </w:p>
        </w:tc>
      </w:tr>
      <w:tr w:rsidRPr="00833ECA" w:rsidR="00663513" w:rsidTr="00C544EB" w14:paraId="0C5DB65C" w14:textId="77777777">
        <w:tc>
          <w:tcPr>
            <w:tcW w:w="3316" w:type="dxa"/>
          </w:tcPr>
          <w:p w:rsidRPr="00833ECA" w:rsidR="00663513" w:rsidP="00D34777" w:rsidRDefault="00663513" w14:paraId="21556144" w14:textId="77777777">
            <w:r w:rsidRPr="00833ECA">
              <w:t>Send web-based survey pre-notification email</w:t>
            </w:r>
          </w:p>
        </w:tc>
        <w:tc>
          <w:tcPr>
            <w:tcW w:w="4149" w:type="dxa"/>
          </w:tcPr>
          <w:p w:rsidRPr="00833ECA" w:rsidR="00663513" w:rsidDel="001B0E2E" w:rsidP="000D7962" w:rsidRDefault="00CA661D" w14:paraId="63812BE4" w14:textId="26588794">
            <w:proofErr w:type="gramStart"/>
            <w:r>
              <w:t>July</w:t>
            </w:r>
            <w:r w:rsidRPr="00833ECA" w:rsidR="00663513">
              <w:t xml:space="preserve">  </w:t>
            </w:r>
            <w:r w:rsidR="00B97C33">
              <w:t>6</w:t>
            </w:r>
            <w:proofErr w:type="gramEnd"/>
            <w:r w:rsidRPr="00833ECA" w:rsidR="00663513">
              <w:t>, 2020 (</w:t>
            </w:r>
            <w:r w:rsidR="00B97C33">
              <w:t>5 days</w:t>
            </w:r>
            <w:r w:rsidRPr="00833ECA" w:rsidR="00B97C33">
              <w:t xml:space="preserve"> </w:t>
            </w:r>
            <w:r w:rsidRPr="00833ECA" w:rsidR="00663513">
              <w:t>following OMB approval)</w:t>
            </w:r>
          </w:p>
        </w:tc>
        <w:tc>
          <w:tcPr>
            <w:tcW w:w="1885" w:type="dxa"/>
          </w:tcPr>
          <w:p w:rsidRPr="00833ECA" w:rsidR="00663513" w:rsidP="000D7962" w:rsidRDefault="00663513" w14:paraId="6D7DC0E3" w14:textId="77777777">
            <w:r w:rsidRPr="00833ECA">
              <w:t>Year 2</w:t>
            </w:r>
          </w:p>
        </w:tc>
      </w:tr>
      <w:tr w:rsidRPr="00833ECA" w:rsidR="00663513" w:rsidTr="00C544EB" w14:paraId="73E212D3" w14:textId="77777777">
        <w:tc>
          <w:tcPr>
            <w:tcW w:w="3316" w:type="dxa"/>
          </w:tcPr>
          <w:p w:rsidRPr="00833ECA" w:rsidR="00663513" w:rsidP="00D34777" w:rsidRDefault="00663513" w14:paraId="02299E80" w14:textId="77777777">
            <w:r w:rsidRPr="00833ECA">
              <w:t xml:space="preserve">Administer web-based survey – first wave </w:t>
            </w:r>
          </w:p>
        </w:tc>
        <w:tc>
          <w:tcPr>
            <w:tcW w:w="4149" w:type="dxa"/>
          </w:tcPr>
          <w:p w:rsidRPr="00833ECA" w:rsidR="00663513" w:rsidDel="001B0E2E" w:rsidP="000D7962" w:rsidRDefault="006D0327" w14:paraId="11B23506" w14:textId="572377DD">
            <w:r>
              <w:t>July</w:t>
            </w:r>
            <w:r w:rsidRPr="00833ECA" w:rsidR="00663513">
              <w:t xml:space="preserve"> </w:t>
            </w:r>
            <w:r w:rsidR="00EF213E">
              <w:t>9</w:t>
            </w:r>
            <w:r w:rsidRPr="00833ECA" w:rsidR="00663513">
              <w:t>, 2020 (</w:t>
            </w:r>
            <w:r w:rsidR="00EF213E">
              <w:t>8</w:t>
            </w:r>
            <w:r w:rsidRPr="00833ECA" w:rsidR="00EF213E">
              <w:t xml:space="preserve"> </w:t>
            </w:r>
            <w:r w:rsidRPr="00833ECA" w:rsidR="00663513">
              <w:t>following OMB approval)</w:t>
            </w:r>
          </w:p>
        </w:tc>
        <w:tc>
          <w:tcPr>
            <w:tcW w:w="1885" w:type="dxa"/>
          </w:tcPr>
          <w:p w:rsidRPr="00833ECA" w:rsidR="00663513" w:rsidP="000D7962" w:rsidRDefault="00663513" w14:paraId="7CA8D436" w14:textId="77777777">
            <w:r w:rsidRPr="00833ECA">
              <w:t>Year 2</w:t>
            </w:r>
          </w:p>
        </w:tc>
      </w:tr>
      <w:tr w:rsidRPr="00833ECA" w:rsidR="00663513" w:rsidTr="00C544EB" w14:paraId="1E8C491C" w14:textId="77777777">
        <w:tc>
          <w:tcPr>
            <w:tcW w:w="3316" w:type="dxa"/>
          </w:tcPr>
          <w:p w:rsidRPr="00833ECA" w:rsidR="00663513" w:rsidP="00D34777" w:rsidRDefault="00663513" w14:paraId="42F9288E" w14:textId="77777777">
            <w:r w:rsidRPr="00833ECA">
              <w:t xml:space="preserve">Analyze web-based survey data </w:t>
            </w:r>
          </w:p>
        </w:tc>
        <w:tc>
          <w:tcPr>
            <w:tcW w:w="4149" w:type="dxa"/>
          </w:tcPr>
          <w:p w:rsidRPr="00833ECA" w:rsidR="00663513" w:rsidP="000D7962" w:rsidRDefault="006D0327" w14:paraId="6B95ABD2" w14:textId="73668903">
            <w:r>
              <w:t>July</w:t>
            </w:r>
            <w:r w:rsidRPr="00833ECA" w:rsidR="00663513">
              <w:t xml:space="preserve"> </w:t>
            </w:r>
            <w:r w:rsidR="007E2420">
              <w:t>31</w:t>
            </w:r>
            <w:r w:rsidRPr="00833ECA" w:rsidR="00663513">
              <w:t>, 2020 (</w:t>
            </w:r>
            <w:r w:rsidR="007E2420">
              <w:t xml:space="preserve">30 </w:t>
            </w:r>
            <w:r w:rsidR="00066573">
              <w:t>days</w:t>
            </w:r>
            <w:r w:rsidRPr="00833ECA" w:rsidR="00663513">
              <w:t xml:space="preserve"> after OMB approval)</w:t>
            </w:r>
          </w:p>
        </w:tc>
        <w:tc>
          <w:tcPr>
            <w:tcW w:w="1885" w:type="dxa"/>
          </w:tcPr>
          <w:p w:rsidRPr="00833ECA" w:rsidR="00663513" w:rsidP="000D7962" w:rsidRDefault="00663513" w14:paraId="67ED8821" w14:textId="77777777">
            <w:r w:rsidRPr="00833ECA">
              <w:t>Year 2</w:t>
            </w:r>
          </w:p>
        </w:tc>
      </w:tr>
      <w:tr w:rsidRPr="00833ECA" w:rsidR="00663513" w:rsidTr="00C544EB" w14:paraId="1893D793" w14:textId="77777777">
        <w:tc>
          <w:tcPr>
            <w:tcW w:w="3316" w:type="dxa"/>
          </w:tcPr>
          <w:p w:rsidRPr="00833ECA" w:rsidR="00663513" w:rsidP="00D34777" w:rsidRDefault="00663513" w14:paraId="06DD78F6" w14:textId="77777777">
            <w:r w:rsidRPr="00833ECA">
              <w:t>Send case study introductory letter and email</w:t>
            </w:r>
          </w:p>
        </w:tc>
        <w:tc>
          <w:tcPr>
            <w:tcW w:w="4149" w:type="dxa"/>
          </w:tcPr>
          <w:p w:rsidRPr="00833ECA" w:rsidR="00663513" w:rsidP="000D7962" w:rsidRDefault="00663513" w14:paraId="79763B46" w14:textId="3FA320EA">
            <w:r w:rsidRPr="00833ECA">
              <w:t>April 1, 2021 (</w:t>
            </w:r>
            <w:r w:rsidR="007E2420">
              <w:t>9</w:t>
            </w:r>
            <w:r w:rsidRPr="00833ECA" w:rsidR="007E2420">
              <w:t xml:space="preserve"> </w:t>
            </w:r>
            <w:r w:rsidRPr="00833ECA">
              <w:t>months after OMB approval)</w:t>
            </w:r>
          </w:p>
        </w:tc>
        <w:tc>
          <w:tcPr>
            <w:tcW w:w="1885" w:type="dxa"/>
          </w:tcPr>
          <w:p w:rsidRPr="00833ECA" w:rsidR="00663513" w:rsidP="000D7962" w:rsidRDefault="00663513" w14:paraId="47CCD854" w14:textId="77777777">
            <w:r w:rsidRPr="00833ECA">
              <w:t>Year 3</w:t>
            </w:r>
          </w:p>
        </w:tc>
      </w:tr>
      <w:tr w:rsidRPr="00833ECA" w:rsidR="00663513" w:rsidTr="00C544EB" w14:paraId="27B80B48" w14:textId="77777777">
        <w:tc>
          <w:tcPr>
            <w:tcW w:w="3316" w:type="dxa"/>
          </w:tcPr>
          <w:p w:rsidRPr="00833ECA" w:rsidR="00663513" w:rsidP="00D34777" w:rsidRDefault="00663513" w14:paraId="7AC1D9B2" w14:textId="77777777">
            <w:r w:rsidRPr="00833ECA">
              <w:t>Select case study interview participants</w:t>
            </w:r>
          </w:p>
        </w:tc>
        <w:tc>
          <w:tcPr>
            <w:tcW w:w="4149" w:type="dxa"/>
          </w:tcPr>
          <w:p w:rsidRPr="00833ECA" w:rsidR="00663513" w:rsidP="000D7962" w:rsidRDefault="00663513" w14:paraId="79C983D0" w14:textId="5EB1F0BE">
            <w:proofErr w:type="gramStart"/>
            <w:r w:rsidRPr="00833ECA">
              <w:t>April  1</w:t>
            </w:r>
            <w:proofErr w:type="gramEnd"/>
            <w:r w:rsidRPr="00833ECA">
              <w:t>, 2021 (</w:t>
            </w:r>
            <w:r w:rsidR="007E2420">
              <w:t>9</w:t>
            </w:r>
            <w:r w:rsidRPr="00833ECA">
              <w:t xml:space="preserve"> month after OMB approval)</w:t>
            </w:r>
          </w:p>
        </w:tc>
        <w:tc>
          <w:tcPr>
            <w:tcW w:w="1885" w:type="dxa"/>
          </w:tcPr>
          <w:p w:rsidRPr="00833ECA" w:rsidR="00663513" w:rsidP="000D7962" w:rsidRDefault="00663513" w14:paraId="42D2B008" w14:textId="77777777">
            <w:r w:rsidRPr="00833ECA">
              <w:t>Year 3</w:t>
            </w:r>
          </w:p>
        </w:tc>
      </w:tr>
      <w:tr w:rsidRPr="00833ECA" w:rsidR="00663513" w:rsidTr="00C544EB" w14:paraId="797DB537" w14:textId="77777777">
        <w:tc>
          <w:tcPr>
            <w:tcW w:w="3316" w:type="dxa"/>
          </w:tcPr>
          <w:p w:rsidRPr="00833ECA" w:rsidR="00663513" w:rsidP="00D34777" w:rsidRDefault="00663513" w14:paraId="5A95A3F8" w14:textId="77777777">
            <w:r w:rsidRPr="00833ECA">
              <w:t xml:space="preserve">Conduct case study interviews </w:t>
            </w:r>
          </w:p>
        </w:tc>
        <w:tc>
          <w:tcPr>
            <w:tcW w:w="4149" w:type="dxa"/>
          </w:tcPr>
          <w:p w:rsidRPr="00833ECA" w:rsidR="00663513" w:rsidP="000D7962" w:rsidRDefault="00663513" w14:paraId="39C040A1" w14:textId="6B6D97D7">
            <w:r w:rsidRPr="00833ECA">
              <w:t>June 1, 2021 (</w:t>
            </w:r>
            <w:r w:rsidR="007E2420">
              <w:t>11</w:t>
            </w:r>
            <w:r w:rsidRPr="00833ECA" w:rsidR="007E2420">
              <w:t xml:space="preserve"> </w:t>
            </w:r>
            <w:r w:rsidRPr="00833ECA">
              <w:t>months after OMB approval)</w:t>
            </w:r>
          </w:p>
        </w:tc>
        <w:tc>
          <w:tcPr>
            <w:tcW w:w="1885" w:type="dxa"/>
          </w:tcPr>
          <w:p w:rsidRPr="00833ECA" w:rsidR="00663513" w:rsidP="000D7962" w:rsidRDefault="00663513" w14:paraId="1F7C2AAB" w14:textId="77777777">
            <w:r w:rsidRPr="00833ECA">
              <w:t>Year 3</w:t>
            </w:r>
          </w:p>
        </w:tc>
      </w:tr>
      <w:tr w:rsidRPr="00833ECA" w:rsidR="00663513" w:rsidTr="00C544EB" w14:paraId="1BCF0554" w14:textId="77777777">
        <w:tc>
          <w:tcPr>
            <w:tcW w:w="3316" w:type="dxa"/>
          </w:tcPr>
          <w:p w:rsidRPr="00833ECA" w:rsidR="00663513" w:rsidP="00D34777" w:rsidRDefault="00663513" w14:paraId="669DE9AD" w14:textId="77777777">
            <w:r w:rsidRPr="00833ECA">
              <w:t>Analyze case study interview data</w:t>
            </w:r>
          </w:p>
        </w:tc>
        <w:tc>
          <w:tcPr>
            <w:tcW w:w="4149" w:type="dxa"/>
          </w:tcPr>
          <w:p w:rsidRPr="00833ECA" w:rsidR="00663513" w:rsidDel="001B0E2E" w:rsidP="000D7962" w:rsidRDefault="00663513" w14:paraId="531A84DD" w14:textId="666705BE">
            <w:r w:rsidRPr="00833ECA">
              <w:t>August 1, 2021 (</w:t>
            </w:r>
            <w:r w:rsidRPr="00833ECA" w:rsidR="007E2420">
              <w:t>1</w:t>
            </w:r>
            <w:r w:rsidR="007E2420">
              <w:t>3</w:t>
            </w:r>
            <w:r w:rsidRPr="00833ECA" w:rsidR="007E2420">
              <w:t xml:space="preserve"> </w:t>
            </w:r>
            <w:r w:rsidRPr="00833ECA">
              <w:t>months after OMB approval)</w:t>
            </w:r>
          </w:p>
        </w:tc>
        <w:tc>
          <w:tcPr>
            <w:tcW w:w="1885" w:type="dxa"/>
          </w:tcPr>
          <w:p w:rsidRPr="00833ECA" w:rsidR="00663513" w:rsidP="000D7962" w:rsidRDefault="00663513" w14:paraId="3B67E528" w14:textId="77777777">
            <w:r w:rsidRPr="00833ECA">
              <w:t>Year 3</w:t>
            </w:r>
          </w:p>
        </w:tc>
      </w:tr>
      <w:tr w:rsidRPr="00833ECA" w:rsidR="00663513" w:rsidTr="00C544EB" w14:paraId="7E95A033" w14:textId="77777777">
        <w:tc>
          <w:tcPr>
            <w:tcW w:w="3316" w:type="dxa"/>
          </w:tcPr>
          <w:p w:rsidRPr="00833ECA" w:rsidR="00663513" w:rsidP="00D34777" w:rsidRDefault="00663513" w14:paraId="700C1A2A" w14:textId="77777777">
            <w:r w:rsidRPr="00833ECA">
              <w:t>Send web-based survey pre-notification email</w:t>
            </w:r>
          </w:p>
        </w:tc>
        <w:tc>
          <w:tcPr>
            <w:tcW w:w="4149" w:type="dxa"/>
          </w:tcPr>
          <w:p w:rsidRPr="00833ECA" w:rsidR="00663513" w:rsidP="000D7962" w:rsidRDefault="00663513" w14:paraId="1B54B55F" w14:textId="195446EE">
            <w:proofErr w:type="gramStart"/>
            <w:r w:rsidRPr="00833ECA">
              <w:t>April  1</w:t>
            </w:r>
            <w:proofErr w:type="gramEnd"/>
            <w:r w:rsidRPr="00833ECA">
              <w:t>, 2022 (</w:t>
            </w:r>
            <w:r w:rsidRPr="00833ECA" w:rsidR="007E2420">
              <w:t>2</w:t>
            </w:r>
            <w:r w:rsidR="007E2420">
              <w:t>1</w:t>
            </w:r>
            <w:r w:rsidRPr="00833ECA" w:rsidR="007E2420">
              <w:t xml:space="preserve"> </w:t>
            </w:r>
            <w:r w:rsidRPr="00833ECA">
              <w:t>months following OMB approval)</w:t>
            </w:r>
          </w:p>
        </w:tc>
        <w:tc>
          <w:tcPr>
            <w:tcW w:w="1885" w:type="dxa"/>
          </w:tcPr>
          <w:p w:rsidRPr="00833ECA" w:rsidR="00663513" w:rsidP="000D7962" w:rsidRDefault="00663513" w14:paraId="1BBEB795" w14:textId="77777777">
            <w:r w:rsidRPr="00833ECA">
              <w:t>Year 4</w:t>
            </w:r>
          </w:p>
        </w:tc>
      </w:tr>
      <w:tr w:rsidRPr="00833ECA" w:rsidR="00663513" w:rsidTr="00C544EB" w14:paraId="714304E2" w14:textId="77777777">
        <w:tc>
          <w:tcPr>
            <w:tcW w:w="3316" w:type="dxa"/>
          </w:tcPr>
          <w:p w:rsidRPr="00833ECA" w:rsidR="00663513" w:rsidP="00D34777" w:rsidRDefault="00663513" w14:paraId="4D2FB2E5" w14:textId="77777777">
            <w:r w:rsidRPr="00833ECA">
              <w:t xml:space="preserve">Administer web-based survey – first wave </w:t>
            </w:r>
          </w:p>
        </w:tc>
        <w:tc>
          <w:tcPr>
            <w:tcW w:w="4149" w:type="dxa"/>
          </w:tcPr>
          <w:p w:rsidRPr="00833ECA" w:rsidR="00663513" w:rsidP="000D7962" w:rsidRDefault="00663513" w14:paraId="39EEEA76" w14:textId="5131EA6F">
            <w:r w:rsidRPr="00833ECA">
              <w:t>April 15, 2022 (</w:t>
            </w:r>
            <w:r w:rsidRPr="00833ECA" w:rsidR="00C15137">
              <w:t>2</w:t>
            </w:r>
            <w:r w:rsidR="00C15137">
              <w:t>1</w:t>
            </w:r>
            <w:r w:rsidRPr="00833ECA" w:rsidR="00C15137">
              <w:t xml:space="preserve"> </w:t>
            </w:r>
            <w:r w:rsidRPr="00833ECA">
              <w:t>months following OMB approval)</w:t>
            </w:r>
          </w:p>
        </w:tc>
        <w:tc>
          <w:tcPr>
            <w:tcW w:w="1885" w:type="dxa"/>
          </w:tcPr>
          <w:p w:rsidRPr="00833ECA" w:rsidR="00663513" w:rsidP="000D7962" w:rsidRDefault="00663513" w14:paraId="1DA58098" w14:textId="77777777">
            <w:r w:rsidRPr="00833ECA">
              <w:t>Year 4</w:t>
            </w:r>
          </w:p>
        </w:tc>
      </w:tr>
      <w:tr w:rsidRPr="00833ECA" w:rsidR="00663513" w:rsidTr="00C544EB" w14:paraId="4C1FD5FC" w14:textId="77777777">
        <w:tc>
          <w:tcPr>
            <w:tcW w:w="3316" w:type="dxa"/>
          </w:tcPr>
          <w:p w:rsidRPr="00833ECA" w:rsidR="00663513" w:rsidP="00D34777" w:rsidRDefault="00663513" w14:paraId="331F3EC0" w14:textId="77777777">
            <w:r w:rsidRPr="00833ECA">
              <w:t xml:space="preserve">Analyze survey data </w:t>
            </w:r>
          </w:p>
        </w:tc>
        <w:tc>
          <w:tcPr>
            <w:tcW w:w="4149" w:type="dxa"/>
          </w:tcPr>
          <w:p w:rsidRPr="00833ECA" w:rsidR="00663513" w:rsidP="000D7962" w:rsidRDefault="00663513" w14:paraId="50B70DE9" w14:textId="02FB733A">
            <w:r w:rsidRPr="00833ECA">
              <w:t>June 1, 2022 (</w:t>
            </w:r>
            <w:r w:rsidRPr="00833ECA" w:rsidR="00274E27">
              <w:t>2</w:t>
            </w:r>
            <w:r w:rsidR="00274E27">
              <w:t>3</w:t>
            </w:r>
            <w:r w:rsidRPr="00833ECA" w:rsidR="00274E27">
              <w:t xml:space="preserve"> </w:t>
            </w:r>
            <w:r w:rsidRPr="00833ECA">
              <w:t>months after OMB approval)</w:t>
            </w:r>
          </w:p>
        </w:tc>
        <w:tc>
          <w:tcPr>
            <w:tcW w:w="1885" w:type="dxa"/>
          </w:tcPr>
          <w:p w:rsidRPr="00833ECA" w:rsidR="00663513" w:rsidP="000D7962" w:rsidRDefault="00663513" w14:paraId="199D8C66" w14:textId="77777777">
            <w:r w:rsidRPr="00833ECA">
              <w:t>Year 4</w:t>
            </w:r>
          </w:p>
        </w:tc>
      </w:tr>
      <w:tr w:rsidRPr="00833ECA" w:rsidR="00663513" w:rsidTr="00C544EB" w14:paraId="4A19130E" w14:textId="77777777">
        <w:tc>
          <w:tcPr>
            <w:tcW w:w="3316" w:type="dxa"/>
          </w:tcPr>
          <w:p w:rsidRPr="00833ECA" w:rsidR="00663513" w:rsidP="00D34777" w:rsidRDefault="00663513" w14:paraId="7C60EF79" w14:textId="77777777">
            <w:r w:rsidRPr="00833ECA">
              <w:t>Finalize data analysis, develop final report, and conduct dissemination activities on study findings</w:t>
            </w:r>
          </w:p>
        </w:tc>
        <w:tc>
          <w:tcPr>
            <w:tcW w:w="4149" w:type="dxa"/>
          </w:tcPr>
          <w:p w:rsidRPr="00833ECA" w:rsidR="00663513" w:rsidP="000D7962" w:rsidRDefault="00663513" w14:paraId="2DCFE760" w14:textId="689D39D0">
            <w:r w:rsidRPr="00833ECA">
              <w:t>July– September 2022 (</w:t>
            </w:r>
            <w:r w:rsidRPr="00833ECA" w:rsidR="00274E27">
              <w:t>2</w:t>
            </w:r>
            <w:r w:rsidR="00274E27">
              <w:t>4</w:t>
            </w:r>
            <w:r w:rsidRPr="00833ECA">
              <w:t>-</w:t>
            </w:r>
            <w:r w:rsidRPr="00833ECA" w:rsidR="00274E27">
              <w:t>2</w:t>
            </w:r>
            <w:r w:rsidR="00274E27">
              <w:t>6</w:t>
            </w:r>
            <w:r w:rsidRPr="00833ECA" w:rsidR="00274E27">
              <w:t xml:space="preserve"> </w:t>
            </w:r>
            <w:r w:rsidRPr="00833ECA">
              <w:t>months after OMB approval)</w:t>
            </w:r>
          </w:p>
        </w:tc>
        <w:tc>
          <w:tcPr>
            <w:tcW w:w="1885" w:type="dxa"/>
          </w:tcPr>
          <w:p w:rsidRPr="00833ECA" w:rsidR="00663513" w:rsidP="000D7962" w:rsidRDefault="00663513" w14:paraId="1BEC0F71" w14:textId="77777777">
            <w:r w:rsidRPr="00833ECA">
              <w:t>Year 4</w:t>
            </w:r>
          </w:p>
        </w:tc>
      </w:tr>
    </w:tbl>
    <w:p w:rsidRPr="00833ECA" w:rsidR="00C10C89" w:rsidP="00D34777" w:rsidRDefault="0065187C" w14:paraId="3EFCD1FC" w14:textId="7E66D126">
      <w:pPr>
        <w:rPr>
          <w:sz w:val="20"/>
          <w:szCs w:val="20"/>
        </w:rPr>
      </w:pPr>
      <w:r w:rsidRPr="00833ECA">
        <w:rPr>
          <w:sz w:val="20"/>
          <w:szCs w:val="20"/>
        </w:rPr>
        <w:t>*Assumes start date of Ju</w:t>
      </w:r>
      <w:r w:rsidR="00B32D78">
        <w:rPr>
          <w:sz w:val="20"/>
          <w:szCs w:val="20"/>
        </w:rPr>
        <w:t>ly</w:t>
      </w:r>
      <w:r w:rsidRPr="00833ECA">
        <w:rPr>
          <w:sz w:val="20"/>
          <w:szCs w:val="20"/>
        </w:rPr>
        <w:t xml:space="preserve"> 1, 20</w:t>
      </w:r>
      <w:r w:rsidR="00B32D78">
        <w:rPr>
          <w:sz w:val="20"/>
          <w:szCs w:val="20"/>
        </w:rPr>
        <w:t>20</w:t>
      </w:r>
    </w:p>
    <w:p w:rsidRPr="00833ECA" w:rsidR="0065187C" w:rsidP="000D7962" w:rsidRDefault="0065187C" w14:paraId="0410787B" w14:textId="77777777">
      <w:pPr>
        <w:rPr>
          <w:b/>
          <w:bCs/>
        </w:rPr>
      </w:pPr>
    </w:p>
    <w:p w:rsidRPr="00833ECA" w:rsidR="0045429A" w:rsidP="000D7962" w:rsidRDefault="0045429A" w14:paraId="06EAC88D" w14:textId="77777777">
      <w:pPr>
        <w:rPr>
          <w:b/>
          <w:bCs/>
        </w:rPr>
      </w:pPr>
      <w:r w:rsidRPr="00833ECA">
        <w:rPr>
          <w:b/>
          <w:bCs/>
        </w:rPr>
        <w:t>A17.  Reason(s) Display of OMB Expiration Date is Inappropriate</w:t>
      </w:r>
    </w:p>
    <w:p w:rsidRPr="00833ECA" w:rsidR="000B69BE" w:rsidP="000D7962" w:rsidRDefault="000B69BE" w14:paraId="781C6FBC" w14:textId="77777777">
      <w:pPr>
        <w:rPr>
          <w:b/>
          <w:bCs/>
        </w:rPr>
      </w:pPr>
    </w:p>
    <w:p w:rsidRPr="00833ECA" w:rsidR="00064AC5" w:rsidP="000D7962" w:rsidRDefault="00BB496A" w14:paraId="75F76712" w14:textId="77777777">
      <w:pPr>
        <w:pStyle w:val="BodyText"/>
        <w:rPr>
          <w:rFonts w:ascii="Times New Roman" w:hAnsi="Times New Roman"/>
        </w:rPr>
      </w:pPr>
      <w:r w:rsidRPr="00833ECA">
        <w:rPr>
          <w:rFonts w:ascii="Times New Roman" w:hAnsi="Times New Roman"/>
        </w:rPr>
        <w:t>T</w:t>
      </w:r>
      <w:r w:rsidRPr="00833ECA" w:rsidR="00064AC5">
        <w:rPr>
          <w:rFonts w:ascii="Times New Roman" w:hAnsi="Times New Roman"/>
        </w:rPr>
        <w:t xml:space="preserve">he OMB expiration date </w:t>
      </w:r>
      <w:r w:rsidRPr="00833ECA">
        <w:rPr>
          <w:rFonts w:ascii="Times New Roman" w:hAnsi="Times New Roman"/>
        </w:rPr>
        <w:t>will be displayed</w:t>
      </w:r>
      <w:r w:rsidRPr="00833ECA" w:rsidR="006D45BB">
        <w:rPr>
          <w:rFonts w:ascii="Times New Roman" w:hAnsi="Times New Roman"/>
        </w:rPr>
        <w:t xml:space="preserve"> on all information collection instruments</w:t>
      </w:r>
      <w:r w:rsidRPr="00833ECA">
        <w:rPr>
          <w:rFonts w:ascii="Times New Roman" w:hAnsi="Times New Roman"/>
        </w:rPr>
        <w:t xml:space="preserve">.  </w:t>
      </w:r>
    </w:p>
    <w:p w:rsidRPr="00833ECA" w:rsidR="008A4685" w:rsidP="000D7962" w:rsidRDefault="008A4685" w14:paraId="2F3A0D69" w14:textId="77777777">
      <w:pPr>
        <w:rPr>
          <w:b/>
          <w:bCs/>
        </w:rPr>
      </w:pPr>
      <w:r w:rsidRPr="00833ECA">
        <w:rPr>
          <w:b/>
          <w:bCs/>
        </w:rPr>
        <w:t xml:space="preserve">A18.  Exceptions to Certification for Paperwork Reduction Act </w:t>
      </w:r>
      <w:r w:rsidRPr="00833ECA" w:rsidR="00880F47">
        <w:rPr>
          <w:b/>
          <w:bCs/>
        </w:rPr>
        <w:t>Submissions</w:t>
      </w:r>
    </w:p>
    <w:p w:rsidRPr="00833ECA" w:rsidR="008A4685" w:rsidP="000D7962" w:rsidRDefault="008A4685" w14:paraId="61212FF6" w14:textId="77777777">
      <w:pPr>
        <w:rPr>
          <w:b/>
          <w:bCs/>
        </w:rPr>
      </w:pPr>
    </w:p>
    <w:p w:rsidRPr="00EC0307" w:rsidR="00627FA1" w:rsidP="000D7962" w:rsidRDefault="00872118" w14:paraId="5139E0C2" w14:textId="77777777">
      <w:pPr>
        <w:pStyle w:val="BodyText"/>
      </w:pPr>
      <w:r w:rsidRPr="00833ECA">
        <w:rPr>
          <w:rFonts w:ascii="Times New Roman" w:hAnsi="Times New Roman"/>
        </w:rPr>
        <w:t xml:space="preserve">There are no exceptions to the </w:t>
      </w:r>
      <w:r w:rsidRPr="00833ECA" w:rsidR="00825EB7">
        <w:rPr>
          <w:rFonts w:ascii="Times New Roman" w:hAnsi="Times New Roman"/>
        </w:rPr>
        <w:t>certification. These</w:t>
      </w:r>
      <w:r w:rsidRPr="00833ECA">
        <w:rPr>
          <w:rFonts w:ascii="Times New Roman" w:hAnsi="Times New Roman"/>
        </w:rPr>
        <w:t xml:space="preserve"> activities comply with the requirements in 5 CFR 1320.9.</w:t>
      </w:r>
    </w:p>
    <w:sectPr w:rsidRPr="00EC0307" w:rsidR="00627FA1" w:rsidSect="002D215F">
      <w:headerReference w:type="default" r:id="rId12"/>
      <w:footerReference w:type="even" r:id="rId13"/>
      <w:footerReference w:type="default" r:id="rId14"/>
      <w:head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F7EBD" w14:textId="77777777" w:rsidR="001D0D3D" w:rsidRDefault="001D0D3D">
      <w:r>
        <w:separator/>
      </w:r>
    </w:p>
  </w:endnote>
  <w:endnote w:type="continuationSeparator" w:id="0">
    <w:p w14:paraId="10F0CD48" w14:textId="77777777" w:rsidR="001D0D3D" w:rsidRDefault="001D0D3D">
      <w:r>
        <w:continuationSeparator/>
      </w:r>
    </w:p>
  </w:endnote>
  <w:endnote w:type="continuationNotice" w:id="1">
    <w:p w14:paraId="77438F68" w14:textId="77777777" w:rsidR="001D0D3D" w:rsidRDefault="001D0D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EAGN D+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lama-Light">
    <w:altName w:val="Calibri"/>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1F787" w14:textId="77777777" w:rsidR="00602062" w:rsidRDefault="00602062" w:rsidP="00431D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1B535" w14:textId="77777777" w:rsidR="00602062" w:rsidRDefault="00602062" w:rsidP="00220B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D5E3F" w14:textId="77777777" w:rsidR="00602062" w:rsidRDefault="00602062" w:rsidP="00431D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0927">
      <w:rPr>
        <w:rStyle w:val="PageNumber"/>
        <w:noProof/>
      </w:rPr>
      <w:t>14</w:t>
    </w:r>
    <w:r>
      <w:rPr>
        <w:rStyle w:val="PageNumber"/>
      </w:rPr>
      <w:fldChar w:fldCharType="end"/>
    </w:r>
  </w:p>
  <w:p w14:paraId="035552D6" w14:textId="77777777" w:rsidR="00602062" w:rsidRDefault="00602062" w:rsidP="00220B7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A50F0" w14:textId="77777777" w:rsidR="001D0D3D" w:rsidRDefault="001D0D3D">
      <w:r>
        <w:separator/>
      </w:r>
    </w:p>
  </w:footnote>
  <w:footnote w:type="continuationSeparator" w:id="0">
    <w:p w14:paraId="24148246" w14:textId="77777777" w:rsidR="001D0D3D" w:rsidRDefault="001D0D3D">
      <w:r>
        <w:continuationSeparator/>
      </w:r>
    </w:p>
  </w:footnote>
  <w:footnote w:type="continuationNotice" w:id="1">
    <w:p w14:paraId="5C487B80" w14:textId="77777777" w:rsidR="001D0D3D" w:rsidRDefault="001D0D3D"/>
  </w:footnote>
  <w:footnote w:id="2">
    <w:p w14:paraId="10935FF2" w14:textId="77777777" w:rsidR="00602062" w:rsidRPr="00DC047C" w:rsidRDefault="00602062" w:rsidP="000D5C27">
      <w:pPr>
        <w:autoSpaceDE w:val="0"/>
        <w:autoSpaceDN w:val="0"/>
        <w:adjustRightInd w:val="0"/>
        <w:rPr>
          <w:sz w:val="16"/>
          <w:szCs w:val="18"/>
        </w:rPr>
      </w:pPr>
      <w:r w:rsidRPr="00DC047C">
        <w:rPr>
          <w:rStyle w:val="FootnoteReference"/>
          <w:sz w:val="18"/>
        </w:rPr>
        <w:footnoteRef/>
      </w:r>
      <w:r w:rsidRPr="00DC047C">
        <w:rPr>
          <w:sz w:val="18"/>
        </w:rPr>
        <w:t xml:space="preserve"> </w:t>
      </w:r>
      <w:r w:rsidRPr="00DC047C">
        <w:rPr>
          <w:sz w:val="16"/>
          <w:szCs w:val="18"/>
        </w:rPr>
        <w:t xml:space="preserve">Detailed tables for the National Vital Statistics Report </w:t>
      </w:r>
      <w:r w:rsidRPr="005200B0">
        <w:rPr>
          <w:i/>
          <w:sz w:val="16"/>
          <w:szCs w:val="18"/>
        </w:rPr>
        <w:t>D</w:t>
      </w:r>
      <w:r w:rsidRPr="00F049DE">
        <w:rPr>
          <w:i/>
          <w:iCs/>
          <w:sz w:val="16"/>
          <w:szCs w:val="18"/>
        </w:rPr>
        <w:t>eaths: Final data for 201</w:t>
      </w:r>
      <w:r>
        <w:rPr>
          <w:iCs/>
          <w:sz w:val="16"/>
          <w:szCs w:val="18"/>
        </w:rPr>
        <w:t>6</w:t>
      </w:r>
      <w:r w:rsidRPr="00F049DE">
        <w:rPr>
          <w:sz w:val="16"/>
          <w:szCs w:val="18"/>
        </w:rPr>
        <w:t>.</w:t>
      </w:r>
      <w:r w:rsidRPr="00DC047C">
        <w:rPr>
          <w:sz w:val="16"/>
          <w:szCs w:val="18"/>
        </w:rPr>
        <w:t xml:space="preserve"> </w:t>
      </w:r>
      <w:r w:rsidRPr="00DC047C">
        <w:rPr>
          <w:i/>
          <w:iCs/>
          <w:sz w:val="16"/>
          <w:szCs w:val="18"/>
        </w:rPr>
        <w:t>National Vital Statistics Report</w:t>
      </w:r>
      <w:r w:rsidRPr="00F049DE">
        <w:rPr>
          <w:i/>
          <w:iCs/>
          <w:sz w:val="16"/>
          <w:szCs w:val="18"/>
        </w:rPr>
        <w:t>64(2)</w:t>
      </w:r>
      <w:r w:rsidRPr="00F049DE">
        <w:rPr>
          <w:sz w:val="16"/>
          <w:szCs w:val="18"/>
        </w:rPr>
        <w:t>.</w:t>
      </w:r>
      <w:r w:rsidRPr="00DC047C">
        <w:rPr>
          <w:sz w:val="16"/>
          <w:szCs w:val="18"/>
        </w:rPr>
        <w:t xml:space="preserve"> Retrieved </w:t>
      </w:r>
      <w:r>
        <w:rPr>
          <w:sz w:val="16"/>
          <w:szCs w:val="18"/>
        </w:rPr>
        <w:t>January</w:t>
      </w:r>
      <w:r w:rsidRPr="00DC047C">
        <w:rPr>
          <w:sz w:val="16"/>
          <w:szCs w:val="18"/>
        </w:rPr>
        <w:t xml:space="preserve"> </w:t>
      </w:r>
      <w:r>
        <w:rPr>
          <w:sz w:val="16"/>
          <w:szCs w:val="18"/>
        </w:rPr>
        <w:t>10</w:t>
      </w:r>
      <w:r w:rsidRPr="00DC047C">
        <w:rPr>
          <w:sz w:val="16"/>
          <w:szCs w:val="18"/>
        </w:rPr>
        <w:t>, 201</w:t>
      </w:r>
      <w:r>
        <w:rPr>
          <w:sz w:val="16"/>
          <w:szCs w:val="18"/>
        </w:rPr>
        <w:t>9</w:t>
      </w:r>
      <w:r w:rsidRPr="00DC047C">
        <w:rPr>
          <w:sz w:val="16"/>
          <w:szCs w:val="18"/>
        </w:rPr>
        <w:t xml:space="preserve">, from </w:t>
      </w:r>
      <w:r w:rsidRPr="00F049DE">
        <w:rPr>
          <w:sz w:val="16"/>
          <w:szCs w:val="18"/>
        </w:rPr>
        <w:t>https://www.cdc.gov/nchs/data/nvsr/nvsr67/nvsr67_05.pdf</w:t>
      </w:r>
    </w:p>
  </w:footnote>
  <w:footnote w:id="3">
    <w:p w14:paraId="00D4717A" w14:textId="77777777" w:rsidR="00602062" w:rsidRPr="00CD5299" w:rsidRDefault="00602062" w:rsidP="000D5C27">
      <w:pPr>
        <w:autoSpaceDE w:val="0"/>
        <w:autoSpaceDN w:val="0"/>
        <w:adjustRightInd w:val="0"/>
        <w:rPr>
          <w:sz w:val="18"/>
          <w:szCs w:val="18"/>
        </w:rPr>
      </w:pPr>
      <w:r w:rsidRPr="00DC047C">
        <w:rPr>
          <w:rStyle w:val="FootnoteReference"/>
          <w:sz w:val="20"/>
        </w:rPr>
        <w:footnoteRef/>
      </w:r>
      <w:r w:rsidRPr="00DC047C">
        <w:rPr>
          <w:rStyle w:val="FootnoteReference"/>
        </w:rPr>
        <w:t xml:space="preserve"> </w:t>
      </w:r>
      <w:r w:rsidRPr="00DC047C">
        <w:rPr>
          <w:sz w:val="16"/>
          <w:szCs w:val="18"/>
        </w:rPr>
        <w:t>Mariotto, A. B., Yabroff, K. R., Shao, Y., Feuer, E. J., &amp; Brown, M. L. (2011, January). Projection of the cost of cancer care in the U.S.: 2010–2020. Journal of the National Cancer Institute.</w:t>
      </w:r>
    </w:p>
  </w:footnote>
  <w:footnote w:id="4">
    <w:p w14:paraId="71120F63" w14:textId="77777777" w:rsidR="00602062" w:rsidRPr="0061099C" w:rsidRDefault="00602062" w:rsidP="00A7542E">
      <w:pPr>
        <w:pStyle w:val="FootnoteText"/>
        <w:rPr>
          <w:sz w:val="18"/>
        </w:rPr>
      </w:pPr>
      <w:r>
        <w:rPr>
          <w:rStyle w:val="FootnoteReference"/>
        </w:rPr>
        <w:footnoteRef/>
      </w:r>
      <w:r>
        <w:t xml:space="preserve"> </w:t>
      </w:r>
      <w:r w:rsidRPr="00463443">
        <w:rPr>
          <w:sz w:val="18"/>
        </w:rPr>
        <w:t>West (2012)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54B19" w14:textId="77777777" w:rsidR="00602062" w:rsidRDefault="00602062" w:rsidP="00E23E6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392B0" w14:textId="77777777" w:rsidR="00602062" w:rsidRDefault="00602062" w:rsidP="00D4454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D74"/>
    <w:multiLevelType w:val="hybridMultilevel"/>
    <w:tmpl w:val="6E6CBD60"/>
    <w:lvl w:ilvl="0" w:tplc="5DD66440">
      <w:start w:val="1"/>
      <w:numFmt w:val="bullet"/>
      <w:lvlText w:val=""/>
      <w:lvlJc w:val="left"/>
      <w:pPr>
        <w:ind w:left="1087" w:hanging="360"/>
      </w:pPr>
      <w:rPr>
        <w:rFonts w:ascii="Symbol" w:hAnsi="Symbol"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1" w15:restartNumberingAfterBreak="0">
    <w:nsid w:val="04433BE2"/>
    <w:multiLevelType w:val="hybridMultilevel"/>
    <w:tmpl w:val="2872E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16A8E"/>
    <w:multiLevelType w:val="hybridMultilevel"/>
    <w:tmpl w:val="5308F55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CDE43C9"/>
    <w:multiLevelType w:val="hybridMultilevel"/>
    <w:tmpl w:val="5942A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B25E3"/>
    <w:multiLevelType w:val="hybridMultilevel"/>
    <w:tmpl w:val="60645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6529A"/>
    <w:multiLevelType w:val="hybridMultilevel"/>
    <w:tmpl w:val="3DE29290"/>
    <w:lvl w:ilvl="0" w:tplc="5420DD58">
      <w:start w:val="1"/>
      <w:numFmt w:val="upperLetter"/>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BA4CE8"/>
    <w:multiLevelType w:val="hybridMultilevel"/>
    <w:tmpl w:val="42D20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004489"/>
    <w:multiLevelType w:val="hybridMultilevel"/>
    <w:tmpl w:val="F59AC57E"/>
    <w:lvl w:ilvl="0" w:tplc="764A8E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B67F30"/>
    <w:multiLevelType w:val="hybridMultilevel"/>
    <w:tmpl w:val="A6DE0A92"/>
    <w:lvl w:ilvl="0" w:tplc="EDC4FE58">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221714"/>
    <w:multiLevelType w:val="hybridMultilevel"/>
    <w:tmpl w:val="3842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B06890"/>
    <w:multiLevelType w:val="hybridMultilevel"/>
    <w:tmpl w:val="E18C54CC"/>
    <w:lvl w:ilvl="0" w:tplc="7F9E3114">
      <w:start w:val="1"/>
      <w:numFmt w:val="decimal"/>
      <w:pStyle w:val="ReportBulletList"/>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C57CEF"/>
    <w:multiLevelType w:val="hybridMultilevel"/>
    <w:tmpl w:val="7810959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2" w15:restartNumberingAfterBreak="0">
    <w:nsid w:val="2C557ADF"/>
    <w:multiLevelType w:val="hybridMultilevel"/>
    <w:tmpl w:val="61B84DF4"/>
    <w:lvl w:ilvl="0" w:tplc="EE280FE4">
      <w:start w:val="1"/>
      <w:numFmt w:val="decimal"/>
      <w:pStyle w:val="Document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821485"/>
    <w:multiLevelType w:val="hybridMultilevel"/>
    <w:tmpl w:val="C642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563FCA"/>
    <w:multiLevelType w:val="hybridMultilevel"/>
    <w:tmpl w:val="B720D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872357"/>
    <w:multiLevelType w:val="hybridMultilevel"/>
    <w:tmpl w:val="0C848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24729E"/>
    <w:multiLevelType w:val="hybridMultilevel"/>
    <w:tmpl w:val="44DC0FC2"/>
    <w:lvl w:ilvl="0" w:tplc="A76A35D4">
      <w:start w:val="1"/>
      <w:numFmt w:val="bullet"/>
      <w:pStyle w:val="Eval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0B81665"/>
    <w:multiLevelType w:val="hybridMultilevel"/>
    <w:tmpl w:val="95F45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413BB7"/>
    <w:multiLevelType w:val="hybridMultilevel"/>
    <w:tmpl w:val="DCF42E82"/>
    <w:lvl w:ilvl="0" w:tplc="04090001">
      <w:start w:val="1"/>
      <w:numFmt w:val="decimal"/>
      <w:pStyle w:val="BodyTextNumbered"/>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15:restartNumberingAfterBreak="0">
    <w:nsid w:val="5341276E"/>
    <w:multiLevelType w:val="hybridMultilevel"/>
    <w:tmpl w:val="FA564052"/>
    <w:lvl w:ilvl="0" w:tplc="11AA295C">
      <w:start w:val="1"/>
      <w:numFmt w:val="decimal"/>
      <w:pStyle w:val="Report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A45A45"/>
    <w:multiLevelType w:val="hybridMultilevel"/>
    <w:tmpl w:val="E68AC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FC1853"/>
    <w:multiLevelType w:val="hybridMultilevel"/>
    <w:tmpl w:val="B6AA0A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561699"/>
    <w:multiLevelType w:val="hybridMultilevel"/>
    <w:tmpl w:val="58A08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6C73A3"/>
    <w:multiLevelType w:val="hybridMultilevel"/>
    <w:tmpl w:val="B38A2BD0"/>
    <w:lvl w:ilvl="0" w:tplc="6DE0C3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19"/>
  </w:num>
  <w:num w:numId="4">
    <w:abstractNumId w:val="10"/>
  </w:num>
  <w:num w:numId="5">
    <w:abstractNumId w:val="21"/>
  </w:num>
  <w:num w:numId="6">
    <w:abstractNumId w:val="16"/>
  </w:num>
  <w:num w:numId="7">
    <w:abstractNumId w:val="17"/>
  </w:num>
  <w:num w:numId="8">
    <w:abstractNumId w:val="0"/>
  </w:num>
  <w:num w:numId="9">
    <w:abstractNumId w:val="22"/>
  </w:num>
  <w:num w:numId="10">
    <w:abstractNumId w:val="15"/>
  </w:num>
  <w:num w:numId="11">
    <w:abstractNumId w:val="12"/>
  </w:num>
  <w:num w:numId="12">
    <w:abstractNumId w:val="8"/>
  </w:num>
  <w:num w:numId="13">
    <w:abstractNumId w:val="14"/>
  </w:num>
  <w:num w:numId="14">
    <w:abstractNumId w:val="12"/>
    <w:lvlOverride w:ilvl="0">
      <w:startOverride w:val="1"/>
    </w:lvlOverride>
  </w:num>
  <w:num w:numId="15">
    <w:abstractNumId w:val="13"/>
  </w:num>
  <w:num w:numId="16">
    <w:abstractNumId w:val="4"/>
  </w:num>
  <w:num w:numId="17">
    <w:abstractNumId w:val="3"/>
  </w:num>
  <w:num w:numId="18">
    <w:abstractNumId w:val="20"/>
  </w:num>
  <w:num w:numId="19">
    <w:abstractNumId w:val="6"/>
  </w:num>
  <w:num w:numId="20">
    <w:abstractNumId w:val="7"/>
  </w:num>
  <w:num w:numId="21">
    <w:abstractNumId w:val="23"/>
  </w:num>
  <w:num w:numId="22">
    <w:abstractNumId w:val="1"/>
  </w:num>
  <w:num w:numId="23">
    <w:abstractNumId w:val="9"/>
  </w:num>
  <w:num w:numId="24">
    <w:abstractNumId w:val="11"/>
  </w:num>
  <w:num w:numId="25">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658"/>
    <w:rsid w:val="00000217"/>
    <w:rsid w:val="000002A4"/>
    <w:rsid w:val="00001023"/>
    <w:rsid w:val="00001709"/>
    <w:rsid w:val="00003293"/>
    <w:rsid w:val="0000703E"/>
    <w:rsid w:val="00010CE6"/>
    <w:rsid w:val="00012235"/>
    <w:rsid w:val="00012E74"/>
    <w:rsid w:val="00013756"/>
    <w:rsid w:val="00013B8F"/>
    <w:rsid w:val="0001584A"/>
    <w:rsid w:val="000175C3"/>
    <w:rsid w:val="0002048F"/>
    <w:rsid w:val="00022120"/>
    <w:rsid w:val="000227C8"/>
    <w:rsid w:val="00025097"/>
    <w:rsid w:val="00025A43"/>
    <w:rsid w:val="00025FA1"/>
    <w:rsid w:val="000307ED"/>
    <w:rsid w:val="000320C1"/>
    <w:rsid w:val="000344AC"/>
    <w:rsid w:val="00034B27"/>
    <w:rsid w:val="00035669"/>
    <w:rsid w:val="00040227"/>
    <w:rsid w:val="0004089F"/>
    <w:rsid w:val="00042323"/>
    <w:rsid w:val="00044878"/>
    <w:rsid w:val="00045B67"/>
    <w:rsid w:val="0004615E"/>
    <w:rsid w:val="0004658C"/>
    <w:rsid w:val="000516AD"/>
    <w:rsid w:val="00051D97"/>
    <w:rsid w:val="000520F5"/>
    <w:rsid w:val="00052C71"/>
    <w:rsid w:val="000539A3"/>
    <w:rsid w:val="00054730"/>
    <w:rsid w:val="00055FA5"/>
    <w:rsid w:val="00056B0A"/>
    <w:rsid w:val="00057B03"/>
    <w:rsid w:val="000622B1"/>
    <w:rsid w:val="00062F2D"/>
    <w:rsid w:val="000636AE"/>
    <w:rsid w:val="00064AC5"/>
    <w:rsid w:val="00064E5F"/>
    <w:rsid w:val="00065229"/>
    <w:rsid w:val="000657AD"/>
    <w:rsid w:val="00066374"/>
    <w:rsid w:val="00066573"/>
    <w:rsid w:val="00066B36"/>
    <w:rsid w:val="000676D9"/>
    <w:rsid w:val="00070B5E"/>
    <w:rsid w:val="00072DA3"/>
    <w:rsid w:val="00073707"/>
    <w:rsid w:val="000740DD"/>
    <w:rsid w:val="00075A57"/>
    <w:rsid w:val="00075AEA"/>
    <w:rsid w:val="00077A24"/>
    <w:rsid w:val="000803C9"/>
    <w:rsid w:val="000811A3"/>
    <w:rsid w:val="000837E9"/>
    <w:rsid w:val="0008505C"/>
    <w:rsid w:val="0008671F"/>
    <w:rsid w:val="000908DF"/>
    <w:rsid w:val="000918F9"/>
    <w:rsid w:val="0009233F"/>
    <w:rsid w:val="00093D5C"/>
    <w:rsid w:val="00093EE3"/>
    <w:rsid w:val="00094BF7"/>
    <w:rsid w:val="00095403"/>
    <w:rsid w:val="00095FBA"/>
    <w:rsid w:val="00096D24"/>
    <w:rsid w:val="00097FAB"/>
    <w:rsid w:val="000A0A11"/>
    <w:rsid w:val="000A1326"/>
    <w:rsid w:val="000A28A3"/>
    <w:rsid w:val="000A2F81"/>
    <w:rsid w:val="000A65F3"/>
    <w:rsid w:val="000A662B"/>
    <w:rsid w:val="000A7A1A"/>
    <w:rsid w:val="000B0BDB"/>
    <w:rsid w:val="000B17EA"/>
    <w:rsid w:val="000B2EE3"/>
    <w:rsid w:val="000B41BB"/>
    <w:rsid w:val="000B69BE"/>
    <w:rsid w:val="000C059D"/>
    <w:rsid w:val="000C2E3A"/>
    <w:rsid w:val="000C4F52"/>
    <w:rsid w:val="000C6D9E"/>
    <w:rsid w:val="000C78B9"/>
    <w:rsid w:val="000D1B8B"/>
    <w:rsid w:val="000D5C27"/>
    <w:rsid w:val="000D762B"/>
    <w:rsid w:val="000D7962"/>
    <w:rsid w:val="000E0A31"/>
    <w:rsid w:val="000E39EC"/>
    <w:rsid w:val="000E5F19"/>
    <w:rsid w:val="000E662F"/>
    <w:rsid w:val="000E69AE"/>
    <w:rsid w:val="000E6C16"/>
    <w:rsid w:val="000E7030"/>
    <w:rsid w:val="000F0277"/>
    <w:rsid w:val="000F19AE"/>
    <w:rsid w:val="000F1C24"/>
    <w:rsid w:val="000F1DB6"/>
    <w:rsid w:val="000F4759"/>
    <w:rsid w:val="000F5969"/>
    <w:rsid w:val="000F7886"/>
    <w:rsid w:val="00100F39"/>
    <w:rsid w:val="00102F01"/>
    <w:rsid w:val="001066EF"/>
    <w:rsid w:val="001072EA"/>
    <w:rsid w:val="0010772B"/>
    <w:rsid w:val="001107F7"/>
    <w:rsid w:val="00111319"/>
    <w:rsid w:val="00114ADD"/>
    <w:rsid w:val="0011558D"/>
    <w:rsid w:val="00117FBD"/>
    <w:rsid w:val="00117FC3"/>
    <w:rsid w:val="00121A82"/>
    <w:rsid w:val="00121BC6"/>
    <w:rsid w:val="00121C68"/>
    <w:rsid w:val="00122EF6"/>
    <w:rsid w:val="00123A54"/>
    <w:rsid w:val="00124A9D"/>
    <w:rsid w:val="001250C5"/>
    <w:rsid w:val="00126C9B"/>
    <w:rsid w:val="00127122"/>
    <w:rsid w:val="001340D7"/>
    <w:rsid w:val="00136CAE"/>
    <w:rsid w:val="0013766A"/>
    <w:rsid w:val="00140144"/>
    <w:rsid w:val="001402F3"/>
    <w:rsid w:val="001403D4"/>
    <w:rsid w:val="0014048F"/>
    <w:rsid w:val="001440A1"/>
    <w:rsid w:val="00146C72"/>
    <w:rsid w:val="00146E5E"/>
    <w:rsid w:val="0015064D"/>
    <w:rsid w:val="001512F8"/>
    <w:rsid w:val="00153440"/>
    <w:rsid w:val="0015401D"/>
    <w:rsid w:val="00155464"/>
    <w:rsid w:val="0015594A"/>
    <w:rsid w:val="00155F23"/>
    <w:rsid w:val="00157EF3"/>
    <w:rsid w:val="00160785"/>
    <w:rsid w:val="001608B9"/>
    <w:rsid w:val="0016238C"/>
    <w:rsid w:val="00163C30"/>
    <w:rsid w:val="0016559C"/>
    <w:rsid w:val="00166BAB"/>
    <w:rsid w:val="001672D0"/>
    <w:rsid w:val="00167D8F"/>
    <w:rsid w:val="00170346"/>
    <w:rsid w:val="001703A9"/>
    <w:rsid w:val="00170FAF"/>
    <w:rsid w:val="00171371"/>
    <w:rsid w:val="001719AD"/>
    <w:rsid w:val="00172658"/>
    <w:rsid w:val="00173193"/>
    <w:rsid w:val="001738BF"/>
    <w:rsid w:val="0017482B"/>
    <w:rsid w:val="001778C2"/>
    <w:rsid w:val="00182151"/>
    <w:rsid w:val="00182C88"/>
    <w:rsid w:val="00183BE9"/>
    <w:rsid w:val="0018462C"/>
    <w:rsid w:val="00184A3E"/>
    <w:rsid w:val="00185060"/>
    <w:rsid w:val="00185EDE"/>
    <w:rsid w:val="00187BC3"/>
    <w:rsid w:val="00187D85"/>
    <w:rsid w:val="00197076"/>
    <w:rsid w:val="001A021F"/>
    <w:rsid w:val="001A05CD"/>
    <w:rsid w:val="001A180D"/>
    <w:rsid w:val="001A2018"/>
    <w:rsid w:val="001A35E2"/>
    <w:rsid w:val="001A4AAF"/>
    <w:rsid w:val="001A4C9C"/>
    <w:rsid w:val="001A511B"/>
    <w:rsid w:val="001A5471"/>
    <w:rsid w:val="001B0E2E"/>
    <w:rsid w:val="001B34DB"/>
    <w:rsid w:val="001B4A6E"/>
    <w:rsid w:val="001B7519"/>
    <w:rsid w:val="001C26B1"/>
    <w:rsid w:val="001C32FE"/>
    <w:rsid w:val="001C5200"/>
    <w:rsid w:val="001C5E76"/>
    <w:rsid w:val="001C7B0F"/>
    <w:rsid w:val="001D0C95"/>
    <w:rsid w:val="001D0D3D"/>
    <w:rsid w:val="001D28E8"/>
    <w:rsid w:val="001D2C1D"/>
    <w:rsid w:val="001D2FA2"/>
    <w:rsid w:val="001D4B93"/>
    <w:rsid w:val="001D4F34"/>
    <w:rsid w:val="001D648D"/>
    <w:rsid w:val="001D77F9"/>
    <w:rsid w:val="001E05F9"/>
    <w:rsid w:val="001E1FE5"/>
    <w:rsid w:val="001E2CC2"/>
    <w:rsid w:val="001E3BF9"/>
    <w:rsid w:val="001E5379"/>
    <w:rsid w:val="001E560E"/>
    <w:rsid w:val="001E6BBF"/>
    <w:rsid w:val="001E77E9"/>
    <w:rsid w:val="001E78D6"/>
    <w:rsid w:val="001F225F"/>
    <w:rsid w:val="001F2AEB"/>
    <w:rsid w:val="001F3646"/>
    <w:rsid w:val="001F4EB8"/>
    <w:rsid w:val="001F503E"/>
    <w:rsid w:val="001F55B4"/>
    <w:rsid w:val="001F766E"/>
    <w:rsid w:val="002010D5"/>
    <w:rsid w:val="002011C2"/>
    <w:rsid w:val="002027BB"/>
    <w:rsid w:val="00203792"/>
    <w:rsid w:val="00204F14"/>
    <w:rsid w:val="002054A5"/>
    <w:rsid w:val="002105AD"/>
    <w:rsid w:val="00210C08"/>
    <w:rsid w:val="00210FE5"/>
    <w:rsid w:val="00211043"/>
    <w:rsid w:val="00213C13"/>
    <w:rsid w:val="002156DE"/>
    <w:rsid w:val="0021702C"/>
    <w:rsid w:val="00220B70"/>
    <w:rsid w:val="00221854"/>
    <w:rsid w:val="0022207B"/>
    <w:rsid w:val="002248A0"/>
    <w:rsid w:val="00226263"/>
    <w:rsid w:val="00227036"/>
    <w:rsid w:val="002302B8"/>
    <w:rsid w:val="00230927"/>
    <w:rsid w:val="00231AE3"/>
    <w:rsid w:val="00232F61"/>
    <w:rsid w:val="002347DE"/>
    <w:rsid w:val="00234F23"/>
    <w:rsid w:val="00234FA6"/>
    <w:rsid w:val="00240580"/>
    <w:rsid w:val="002448E9"/>
    <w:rsid w:val="00244D63"/>
    <w:rsid w:val="002458B9"/>
    <w:rsid w:val="00246A88"/>
    <w:rsid w:val="00250889"/>
    <w:rsid w:val="00251879"/>
    <w:rsid w:val="00251B50"/>
    <w:rsid w:val="00254CC7"/>
    <w:rsid w:val="002558C9"/>
    <w:rsid w:val="0025695C"/>
    <w:rsid w:val="00261513"/>
    <w:rsid w:val="0026242F"/>
    <w:rsid w:val="002624C5"/>
    <w:rsid w:val="0026463E"/>
    <w:rsid w:val="002654F7"/>
    <w:rsid w:val="0026623B"/>
    <w:rsid w:val="00266584"/>
    <w:rsid w:val="00267252"/>
    <w:rsid w:val="00267723"/>
    <w:rsid w:val="00271D3E"/>
    <w:rsid w:val="00272027"/>
    <w:rsid w:val="00273427"/>
    <w:rsid w:val="00274E27"/>
    <w:rsid w:val="00277613"/>
    <w:rsid w:val="002779C7"/>
    <w:rsid w:val="00282273"/>
    <w:rsid w:val="00282F3A"/>
    <w:rsid w:val="00283895"/>
    <w:rsid w:val="00283A6F"/>
    <w:rsid w:val="00283E12"/>
    <w:rsid w:val="00286157"/>
    <w:rsid w:val="0028666F"/>
    <w:rsid w:val="00286D3E"/>
    <w:rsid w:val="0028702C"/>
    <w:rsid w:val="0028749E"/>
    <w:rsid w:val="0028766B"/>
    <w:rsid w:val="00292794"/>
    <w:rsid w:val="00292EE2"/>
    <w:rsid w:val="00296511"/>
    <w:rsid w:val="002974D1"/>
    <w:rsid w:val="00297563"/>
    <w:rsid w:val="00297E2A"/>
    <w:rsid w:val="002A217B"/>
    <w:rsid w:val="002A37C8"/>
    <w:rsid w:val="002A3E99"/>
    <w:rsid w:val="002A4608"/>
    <w:rsid w:val="002A5B14"/>
    <w:rsid w:val="002A77A4"/>
    <w:rsid w:val="002A7E1D"/>
    <w:rsid w:val="002B0C3D"/>
    <w:rsid w:val="002B3020"/>
    <w:rsid w:val="002B678E"/>
    <w:rsid w:val="002B6DAA"/>
    <w:rsid w:val="002B71E5"/>
    <w:rsid w:val="002B75B3"/>
    <w:rsid w:val="002B766B"/>
    <w:rsid w:val="002C0FBF"/>
    <w:rsid w:val="002C102E"/>
    <w:rsid w:val="002C1566"/>
    <w:rsid w:val="002C1597"/>
    <w:rsid w:val="002C3F5F"/>
    <w:rsid w:val="002C5512"/>
    <w:rsid w:val="002C7B76"/>
    <w:rsid w:val="002D080E"/>
    <w:rsid w:val="002D1C9D"/>
    <w:rsid w:val="002D215F"/>
    <w:rsid w:val="002D4302"/>
    <w:rsid w:val="002D526B"/>
    <w:rsid w:val="002D7021"/>
    <w:rsid w:val="002E031C"/>
    <w:rsid w:val="002E19AD"/>
    <w:rsid w:val="002E2AA9"/>
    <w:rsid w:val="002E5E8A"/>
    <w:rsid w:val="002E75EC"/>
    <w:rsid w:val="002E772B"/>
    <w:rsid w:val="002F1AEA"/>
    <w:rsid w:val="002F22ED"/>
    <w:rsid w:val="002F283C"/>
    <w:rsid w:val="002F3626"/>
    <w:rsid w:val="002F44D1"/>
    <w:rsid w:val="002F519C"/>
    <w:rsid w:val="0030035E"/>
    <w:rsid w:val="00301BAF"/>
    <w:rsid w:val="00301E43"/>
    <w:rsid w:val="003023DE"/>
    <w:rsid w:val="00303077"/>
    <w:rsid w:val="00307165"/>
    <w:rsid w:val="00307325"/>
    <w:rsid w:val="00307434"/>
    <w:rsid w:val="00307938"/>
    <w:rsid w:val="003105B7"/>
    <w:rsid w:val="00310C23"/>
    <w:rsid w:val="0031163B"/>
    <w:rsid w:val="003123D4"/>
    <w:rsid w:val="003129BA"/>
    <w:rsid w:val="00312EC3"/>
    <w:rsid w:val="0031325E"/>
    <w:rsid w:val="0031341E"/>
    <w:rsid w:val="00313761"/>
    <w:rsid w:val="00313FF6"/>
    <w:rsid w:val="00315004"/>
    <w:rsid w:val="00316CF5"/>
    <w:rsid w:val="00320F9B"/>
    <w:rsid w:val="00324250"/>
    <w:rsid w:val="00324812"/>
    <w:rsid w:val="00324AA8"/>
    <w:rsid w:val="0032580F"/>
    <w:rsid w:val="0033067B"/>
    <w:rsid w:val="00330D0D"/>
    <w:rsid w:val="00334771"/>
    <w:rsid w:val="003369B1"/>
    <w:rsid w:val="00337855"/>
    <w:rsid w:val="00340473"/>
    <w:rsid w:val="00340CA9"/>
    <w:rsid w:val="0034148C"/>
    <w:rsid w:val="00341EDE"/>
    <w:rsid w:val="00342FDE"/>
    <w:rsid w:val="0034381A"/>
    <w:rsid w:val="00343ECF"/>
    <w:rsid w:val="00345A79"/>
    <w:rsid w:val="00345B80"/>
    <w:rsid w:val="0034785E"/>
    <w:rsid w:val="003500B1"/>
    <w:rsid w:val="00350A0E"/>
    <w:rsid w:val="00351266"/>
    <w:rsid w:val="00351BF3"/>
    <w:rsid w:val="00352698"/>
    <w:rsid w:val="00353399"/>
    <w:rsid w:val="00354356"/>
    <w:rsid w:val="00355950"/>
    <w:rsid w:val="0035745A"/>
    <w:rsid w:val="003600BE"/>
    <w:rsid w:val="00361ECE"/>
    <w:rsid w:val="00361ED5"/>
    <w:rsid w:val="0036253A"/>
    <w:rsid w:val="00363E74"/>
    <w:rsid w:val="00366934"/>
    <w:rsid w:val="00367478"/>
    <w:rsid w:val="00367A29"/>
    <w:rsid w:val="0037040C"/>
    <w:rsid w:val="00371B65"/>
    <w:rsid w:val="003726D6"/>
    <w:rsid w:val="00373B87"/>
    <w:rsid w:val="00373FA2"/>
    <w:rsid w:val="0037583A"/>
    <w:rsid w:val="00380209"/>
    <w:rsid w:val="00380E5F"/>
    <w:rsid w:val="00383297"/>
    <w:rsid w:val="0038401D"/>
    <w:rsid w:val="00384797"/>
    <w:rsid w:val="00390951"/>
    <w:rsid w:val="0039296D"/>
    <w:rsid w:val="00394A68"/>
    <w:rsid w:val="0039592F"/>
    <w:rsid w:val="003979FF"/>
    <w:rsid w:val="003A033B"/>
    <w:rsid w:val="003A044A"/>
    <w:rsid w:val="003A326B"/>
    <w:rsid w:val="003A5F53"/>
    <w:rsid w:val="003A6C26"/>
    <w:rsid w:val="003B2481"/>
    <w:rsid w:val="003B28B1"/>
    <w:rsid w:val="003B2C83"/>
    <w:rsid w:val="003B42B1"/>
    <w:rsid w:val="003C02AB"/>
    <w:rsid w:val="003C13CC"/>
    <w:rsid w:val="003C2210"/>
    <w:rsid w:val="003C2ED2"/>
    <w:rsid w:val="003C2F15"/>
    <w:rsid w:val="003C4660"/>
    <w:rsid w:val="003C4C79"/>
    <w:rsid w:val="003C662A"/>
    <w:rsid w:val="003C6A8B"/>
    <w:rsid w:val="003D1295"/>
    <w:rsid w:val="003D2FAB"/>
    <w:rsid w:val="003D4317"/>
    <w:rsid w:val="003D5BC6"/>
    <w:rsid w:val="003E1932"/>
    <w:rsid w:val="003E1FB2"/>
    <w:rsid w:val="003E2BAE"/>
    <w:rsid w:val="003E3235"/>
    <w:rsid w:val="003E693D"/>
    <w:rsid w:val="003F0455"/>
    <w:rsid w:val="003F15E0"/>
    <w:rsid w:val="003F27E3"/>
    <w:rsid w:val="003F2EC2"/>
    <w:rsid w:val="003F47C4"/>
    <w:rsid w:val="003F4F23"/>
    <w:rsid w:val="003F5444"/>
    <w:rsid w:val="003F62DC"/>
    <w:rsid w:val="003F7584"/>
    <w:rsid w:val="0040005D"/>
    <w:rsid w:val="004001B5"/>
    <w:rsid w:val="00400E25"/>
    <w:rsid w:val="00402196"/>
    <w:rsid w:val="004024FB"/>
    <w:rsid w:val="004033E7"/>
    <w:rsid w:val="00404C55"/>
    <w:rsid w:val="00404DF2"/>
    <w:rsid w:val="00406261"/>
    <w:rsid w:val="004067FF"/>
    <w:rsid w:val="00412387"/>
    <w:rsid w:val="00413A4D"/>
    <w:rsid w:val="00413F69"/>
    <w:rsid w:val="004146F9"/>
    <w:rsid w:val="00416D50"/>
    <w:rsid w:val="004212C2"/>
    <w:rsid w:val="00422878"/>
    <w:rsid w:val="00423BFB"/>
    <w:rsid w:val="00424298"/>
    <w:rsid w:val="00424C9D"/>
    <w:rsid w:val="00425232"/>
    <w:rsid w:val="00431D62"/>
    <w:rsid w:val="0043540A"/>
    <w:rsid w:val="004370F7"/>
    <w:rsid w:val="00437F5E"/>
    <w:rsid w:val="00441577"/>
    <w:rsid w:val="00441F8E"/>
    <w:rsid w:val="00442013"/>
    <w:rsid w:val="00442767"/>
    <w:rsid w:val="0044293E"/>
    <w:rsid w:val="00443C9F"/>
    <w:rsid w:val="00445AAE"/>
    <w:rsid w:val="00445CA0"/>
    <w:rsid w:val="00446CAD"/>
    <w:rsid w:val="004471C9"/>
    <w:rsid w:val="00450954"/>
    <w:rsid w:val="0045140F"/>
    <w:rsid w:val="00451D8B"/>
    <w:rsid w:val="0045429A"/>
    <w:rsid w:val="00455299"/>
    <w:rsid w:val="00455EB2"/>
    <w:rsid w:val="00460DC5"/>
    <w:rsid w:val="004617B8"/>
    <w:rsid w:val="00461D2A"/>
    <w:rsid w:val="0046215B"/>
    <w:rsid w:val="00464211"/>
    <w:rsid w:val="00465411"/>
    <w:rsid w:val="0046587D"/>
    <w:rsid w:val="00470FC1"/>
    <w:rsid w:val="00472B91"/>
    <w:rsid w:val="004750D8"/>
    <w:rsid w:val="00482AEE"/>
    <w:rsid w:val="00482CE6"/>
    <w:rsid w:val="00483F9F"/>
    <w:rsid w:val="00484155"/>
    <w:rsid w:val="004859B7"/>
    <w:rsid w:val="00487183"/>
    <w:rsid w:val="0048720C"/>
    <w:rsid w:val="00487697"/>
    <w:rsid w:val="00490C3A"/>
    <w:rsid w:val="00491079"/>
    <w:rsid w:val="004915EF"/>
    <w:rsid w:val="00491F00"/>
    <w:rsid w:val="00493D9F"/>
    <w:rsid w:val="00493DD7"/>
    <w:rsid w:val="0049567B"/>
    <w:rsid w:val="004958D7"/>
    <w:rsid w:val="004A05DA"/>
    <w:rsid w:val="004A0FBC"/>
    <w:rsid w:val="004A57FA"/>
    <w:rsid w:val="004A5BAA"/>
    <w:rsid w:val="004A5C6F"/>
    <w:rsid w:val="004A6805"/>
    <w:rsid w:val="004A71BD"/>
    <w:rsid w:val="004A76E2"/>
    <w:rsid w:val="004B18BD"/>
    <w:rsid w:val="004B3194"/>
    <w:rsid w:val="004B37C2"/>
    <w:rsid w:val="004B690F"/>
    <w:rsid w:val="004C05D9"/>
    <w:rsid w:val="004C1A95"/>
    <w:rsid w:val="004C283C"/>
    <w:rsid w:val="004C4263"/>
    <w:rsid w:val="004C6B7F"/>
    <w:rsid w:val="004D04F0"/>
    <w:rsid w:val="004D0C61"/>
    <w:rsid w:val="004D0CEA"/>
    <w:rsid w:val="004D134C"/>
    <w:rsid w:val="004D2664"/>
    <w:rsid w:val="004D408E"/>
    <w:rsid w:val="004D4FFA"/>
    <w:rsid w:val="004D666A"/>
    <w:rsid w:val="004D7914"/>
    <w:rsid w:val="004E0041"/>
    <w:rsid w:val="004E013B"/>
    <w:rsid w:val="004E0257"/>
    <w:rsid w:val="004E1593"/>
    <w:rsid w:val="004E1E73"/>
    <w:rsid w:val="004E2638"/>
    <w:rsid w:val="004E3E7A"/>
    <w:rsid w:val="004E44FE"/>
    <w:rsid w:val="004E4990"/>
    <w:rsid w:val="004E4C29"/>
    <w:rsid w:val="004E4E3B"/>
    <w:rsid w:val="004E5D79"/>
    <w:rsid w:val="004E6B26"/>
    <w:rsid w:val="004E6F84"/>
    <w:rsid w:val="004F39CA"/>
    <w:rsid w:val="004F48BA"/>
    <w:rsid w:val="004F4FA9"/>
    <w:rsid w:val="004F5C6E"/>
    <w:rsid w:val="00500791"/>
    <w:rsid w:val="005032D6"/>
    <w:rsid w:val="00507822"/>
    <w:rsid w:val="005078AA"/>
    <w:rsid w:val="00510CFC"/>
    <w:rsid w:val="005114C8"/>
    <w:rsid w:val="005118D6"/>
    <w:rsid w:val="00514840"/>
    <w:rsid w:val="0051676A"/>
    <w:rsid w:val="00516E93"/>
    <w:rsid w:val="005172A9"/>
    <w:rsid w:val="0051789A"/>
    <w:rsid w:val="00520990"/>
    <w:rsid w:val="00520A01"/>
    <w:rsid w:val="005241CA"/>
    <w:rsid w:val="005257F7"/>
    <w:rsid w:val="00526C82"/>
    <w:rsid w:val="0053237C"/>
    <w:rsid w:val="00532F13"/>
    <w:rsid w:val="005334F9"/>
    <w:rsid w:val="0053484B"/>
    <w:rsid w:val="00540651"/>
    <w:rsid w:val="00542788"/>
    <w:rsid w:val="0054300E"/>
    <w:rsid w:val="00544005"/>
    <w:rsid w:val="005459E9"/>
    <w:rsid w:val="0054633E"/>
    <w:rsid w:val="0054717C"/>
    <w:rsid w:val="00547950"/>
    <w:rsid w:val="00551ACE"/>
    <w:rsid w:val="005526C7"/>
    <w:rsid w:val="005534FA"/>
    <w:rsid w:val="005551FB"/>
    <w:rsid w:val="0055528A"/>
    <w:rsid w:val="005574D5"/>
    <w:rsid w:val="0056066B"/>
    <w:rsid w:val="00560F49"/>
    <w:rsid w:val="00560FA6"/>
    <w:rsid w:val="00562E87"/>
    <w:rsid w:val="005653C6"/>
    <w:rsid w:val="00565908"/>
    <w:rsid w:val="00565CBF"/>
    <w:rsid w:val="00566514"/>
    <w:rsid w:val="00567783"/>
    <w:rsid w:val="0056780E"/>
    <w:rsid w:val="00567D90"/>
    <w:rsid w:val="0057407C"/>
    <w:rsid w:val="005749A2"/>
    <w:rsid w:val="00575A85"/>
    <w:rsid w:val="00577332"/>
    <w:rsid w:val="005777EA"/>
    <w:rsid w:val="0058009E"/>
    <w:rsid w:val="005814B1"/>
    <w:rsid w:val="00581F3F"/>
    <w:rsid w:val="00583202"/>
    <w:rsid w:val="00583967"/>
    <w:rsid w:val="0058533C"/>
    <w:rsid w:val="00585456"/>
    <w:rsid w:val="005858D0"/>
    <w:rsid w:val="005867C8"/>
    <w:rsid w:val="00587052"/>
    <w:rsid w:val="00590AD3"/>
    <w:rsid w:val="005916BC"/>
    <w:rsid w:val="005917D2"/>
    <w:rsid w:val="0059184B"/>
    <w:rsid w:val="005929D1"/>
    <w:rsid w:val="005936A4"/>
    <w:rsid w:val="00594643"/>
    <w:rsid w:val="00594F1E"/>
    <w:rsid w:val="00595581"/>
    <w:rsid w:val="00595742"/>
    <w:rsid w:val="00597230"/>
    <w:rsid w:val="005A018A"/>
    <w:rsid w:val="005A0402"/>
    <w:rsid w:val="005A07AE"/>
    <w:rsid w:val="005A07EB"/>
    <w:rsid w:val="005A2211"/>
    <w:rsid w:val="005A499B"/>
    <w:rsid w:val="005B03A5"/>
    <w:rsid w:val="005B0735"/>
    <w:rsid w:val="005B0B31"/>
    <w:rsid w:val="005B2EE8"/>
    <w:rsid w:val="005B5248"/>
    <w:rsid w:val="005B6849"/>
    <w:rsid w:val="005B6AA8"/>
    <w:rsid w:val="005B6EDD"/>
    <w:rsid w:val="005B71B2"/>
    <w:rsid w:val="005B74E3"/>
    <w:rsid w:val="005B76B5"/>
    <w:rsid w:val="005C2C86"/>
    <w:rsid w:val="005C2E01"/>
    <w:rsid w:val="005C392D"/>
    <w:rsid w:val="005C5629"/>
    <w:rsid w:val="005C5747"/>
    <w:rsid w:val="005C7BD7"/>
    <w:rsid w:val="005D3E20"/>
    <w:rsid w:val="005D4CBD"/>
    <w:rsid w:val="005D54F1"/>
    <w:rsid w:val="005D68B6"/>
    <w:rsid w:val="005D7940"/>
    <w:rsid w:val="005E25F2"/>
    <w:rsid w:val="005E2AB6"/>
    <w:rsid w:val="005E7033"/>
    <w:rsid w:val="005F22E4"/>
    <w:rsid w:val="005F38B8"/>
    <w:rsid w:val="005F4324"/>
    <w:rsid w:val="005F635E"/>
    <w:rsid w:val="005F7216"/>
    <w:rsid w:val="00600135"/>
    <w:rsid w:val="0060121E"/>
    <w:rsid w:val="0060140E"/>
    <w:rsid w:val="00602062"/>
    <w:rsid w:val="00602BC8"/>
    <w:rsid w:val="006043FC"/>
    <w:rsid w:val="0060474F"/>
    <w:rsid w:val="00604801"/>
    <w:rsid w:val="00605D40"/>
    <w:rsid w:val="006103C6"/>
    <w:rsid w:val="00612272"/>
    <w:rsid w:val="00613439"/>
    <w:rsid w:val="006152C8"/>
    <w:rsid w:val="00617264"/>
    <w:rsid w:val="00617330"/>
    <w:rsid w:val="006179EE"/>
    <w:rsid w:val="00617A43"/>
    <w:rsid w:val="00617D73"/>
    <w:rsid w:val="00617E55"/>
    <w:rsid w:val="00620CC7"/>
    <w:rsid w:val="00620DFF"/>
    <w:rsid w:val="006219FE"/>
    <w:rsid w:val="00622E27"/>
    <w:rsid w:val="006242A4"/>
    <w:rsid w:val="00624300"/>
    <w:rsid w:val="00624C1C"/>
    <w:rsid w:val="00625C06"/>
    <w:rsid w:val="00625FC9"/>
    <w:rsid w:val="006270B7"/>
    <w:rsid w:val="00627FA1"/>
    <w:rsid w:val="006341D5"/>
    <w:rsid w:val="006354AD"/>
    <w:rsid w:val="0064389B"/>
    <w:rsid w:val="00644A19"/>
    <w:rsid w:val="006450F6"/>
    <w:rsid w:val="006452BC"/>
    <w:rsid w:val="00646006"/>
    <w:rsid w:val="00647B56"/>
    <w:rsid w:val="00650B50"/>
    <w:rsid w:val="00650F3F"/>
    <w:rsid w:val="0065187C"/>
    <w:rsid w:val="006518F9"/>
    <w:rsid w:val="006528A7"/>
    <w:rsid w:val="00652FAF"/>
    <w:rsid w:val="0065318D"/>
    <w:rsid w:val="0065531F"/>
    <w:rsid w:val="006557D3"/>
    <w:rsid w:val="006558E9"/>
    <w:rsid w:val="00655A0B"/>
    <w:rsid w:val="0065782B"/>
    <w:rsid w:val="00660353"/>
    <w:rsid w:val="006619F9"/>
    <w:rsid w:val="006621FE"/>
    <w:rsid w:val="0066317B"/>
    <w:rsid w:val="00663513"/>
    <w:rsid w:val="0066553E"/>
    <w:rsid w:val="00670251"/>
    <w:rsid w:val="006714B5"/>
    <w:rsid w:val="0067244B"/>
    <w:rsid w:val="00676504"/>
    <w:rsid w:val="00676564"/>
    <w:rsid w:val="00677C74"/>
    <w:rsid w:val="00680C4F"/>
    <w:rsid w:val="00680D9C"/>
    <w:rsid w:val="006823D3"/>
    <w:rsid w:val="00682B36"/>
    <w:rsid w:val="006830C4"/>
    <w:rsid w:val="006876B8"/>
    <w:rsid w:val="00687788"/>
    <w:rsid w:val="00687A66"/>
    <w:rsid w:val="00687B5C"/>
    <w:rsid w:val="006901FE"/>
    <w:rsid w:val="0069044D"/>
    <w:rsid w:val="00691236"/>
    <w:rsid w:val="00693290"/>
    <w:rsid w:val="00694E42"/>
    <w:rsid w:val="00695151"/>
    <w:rsid w:val="00695F9E"/>
    <w:rsid w:val="00697502"/>
    <w:rsid w:val="006A261D"/>
    <w:rsid w:val="006A26FB"/>
    <w:rsid w:val="006A27B6"/>
    <w:rsid w:val="006A2ABA"/>
    <w:rsid w:val="006A48CC"/>
    <w:rsid w:val="006A4A71"/>
    <w:rsid w:val="006A63CB"/>
    <w:rsid w:val="006B1783"/>
    <w:rsid w:val="006B39EF"/>
    <w:rsid w:val="006B47BD"/>
    <w:rsid w:val="006B4CC3"/>
    <w:rsid w:val="006C03E0"/>
    <w:rsid w:val="006C06DA"/>
    <w:rsid w:val="006C2133"/>
    <w:rsid w:val="006C24F2"/>
    <w:rsid w:val="006C593B"/>
    <w:rsid w:val="006C6AE5"/>
    <w:rsid w:val="006C7424"/>
    <w:rsid w:val="006C7E9F"/>
    <w:rsid w:val="006C7EE5"/>
    <w:rsid w:val="006D0327"/>
    <w:rsid w:val="006D08D9"/>
    <w:rsid w:val="006D0ACC"/>
    <w:rsid w:val="006D16D1"/>
    <w:rsid w:val="006D1B1F"/>
    <w:rsid w:val="006D222A"/>
    <w:rsid w:val="006D45BB"/>
    <w:rsid w:val="006D4DD1"/>
    <w:rsid w:val="006D506C"/>
    <w:rsid w:val="006D56EF"/>
    <w:rsid w:val="006D5A1E"/>
    <w:rsid w:val="006E3725"/>
    <w:rsid w:val="006E4AD4"/>
    <w:rsid w:val="006E5EA9"/>
    <w:rsid w:val="006E6CB4"/>
    <w:rsid w:val="006E6FD6"/>
    <w:rsid w:val="006F18A7"/>
    <w:rsid w:val="006F1903"/>
    <w:rsid w:val="006F1C3C"/>
    <w:rsid w:val="006F21B6"/>
    <w:rsid w:val="006F47C1"/>
    <w:rsid w:val="006F56A9"/>
    <w:rsid w:val="006F62E1"/>
    <w:rsid w:val="006F65FE"/>
    <w:rsid w:val="006F6C29"/>
    <w:rsid w:val="00700CE2"/>
    <w:rsid w:val="007012BF"/>
    <w:rsid w:val="00703D57"/>
    <w:rsid w:val="00705676"/>
    <w:rsid w:val="00706805"/>
    <w:rsid w:val="00712D15"/>
    <w:rsid w:val="00713408"/>
    <w:rsid w:val="00713A59"/>
    <w:rsid w:val="00714878"/>
    <w:rsid w:val="007173FA"/>
    <w:rsid w:val="0071780D"/>
    <w:rsid w:val="00717C50"/>
    <w:rsid w:val="00721BB1"/>
    <w:rsid w:val="00724A34"/>
    <w:rsid w:val="00726636"/>
    <w:rsid w:val="007272B3"/>
    <w:rsid w:val="007275DF"/>
    <w:rsid w:val="00730B35"/>
    <w:rsid w:val="007406DC"/>
    <w:rsid w:val="007407CA"/>
    <w:rsid w:val="00745E3E"/>
    <w:rsid w:val="00750841"/>
    <w:rsid w:val="00750B2B"/>
    <w:rsid w:val="007550B3"/>
    <w:rsid w:val="007569F7"/>
    <w:rsid w:val="007577FE"/>
    <w:rsid w:val="00757850"/>
    <w:rsid w:val="00761B0E"/>
    <w:rsid w:val="0076306F"/>
    <w:rsid w:val="00763775"/>
    <w:rsid w:val="007643E6"/>
    <w:rsid w:val="0076498F"/>
    <w:rsid w:val="00764ED5"/>
    <w:rsid w:val="0076562C"/>
    <w:rsid w:val="00765CAA"/>
    <w:rsid w:val="00767AB3"/>
    <w:rsid w:val="007717CD"/>
    <w:rsid w:val="00771A5E"/>
    <w:rsid w:val="00772088"/>
    <w:rsid w:val="00772116"/>
    <w:rsid w:val="007725FC"/>
    <w:rsid w:val="00772EFF"/>
    <w:rsid w:val="00773DEA"/>
    <w:rsid w:val="00773F13"/>
    <w:rsid w:val="0077403D"/>
    <w:rsid w:val="007764B3"/>
    <w:rsid w:val="00780220"/>
    <w:rsid w:val="007809CA"/>
    <w:rsid w:val="00780A9B"/>
    <w:rsid w:val="00780AF3"/>
    <w:rsid w:val="00783E75"/>
    <w:rsid w:val="00786744"/>
    <w:rsid w:val="00790A83"/>
    <w:rsid w:val="00790CF7"/>
    <w:rsid w:val="00793A27"/>
    <w:rsid w:val="007958EA"/>
    <w:rsid w:val="0079691E"/>
    <w:rsid w:val="007A186E"/>
    <w:rsid w:val="007A1C61"/>
    <w:rsid w:val="007A1D5C"/>
    <w:rsid w:val="007A1E28"/>
    <w:rsid w:val="007B1E0E"/>
    <w:rsid w:val="007B3645"/>
    <w:rsid w:val="007B51F2"/>
    <w:rsid w:val="007C1071"/>
    <w:rsid w:val="007C1C67"/>
    <w:rsid w:val="007C2471"/>
    <w:rsid w:val="007C2B7A"/>
    <w:rsid w:val="007C503F"/>
    <w:rsid w:val="007D0954"/>
    <w:rsid w:val="007D4951"/>
    <w:rsid w:val="007D5771"/>
    <w:rsid w:val="007E0ED1"/>
    <w:rsid w:val="007E2420"/>
    <w:rsid w:val="007E377D"/>
    <w:rsid w:val="007E3A33"/>
    <w:rsid w:val="007E40D7"/>
    <w:rsid w:val="007E5E71"/>
    <w:rsid w:val="007E778D"/>
    <w:rsid w:val="007F1181"/>
    <w:rsid w:val="007F2905"/>
    <w:rsid w:val="007F2D54"/>
    <w:rsid w:val="007F405E"/>
    <w:rsid w:val="007F428F"/>
    <w:rsid w:val="007F4DBA"/>
    <w:rsid w:val="007F504C"/>
    <w:rsid w:val="007F6237"/>
    <w:rsid w:val="007F7A7D"/>
    <w:rsid w:val="0080144F"/>
    <w:rsid w:val="00801BE2"/>
    <w:rsid w:val="00803AD3"/>
    <w:rsid w:val="00804F8D"/>
    <w:rsid w:val="008052B8"/>
    <w:rsid w:val="008059AA"/>
    <w:rsid w:val="00811EE4"/>
    <w:rsid w:val="008121E5"/>
    <w:rsid w:val="0081424B"/>
    <w:rsid w:val="0081624C"/>
    <w:rsid w:val="00816CB7"/>
    <w:rsid w:val="00817A7B"/>
    <w:rsid w:val="00821815"/>
    <w:rsid w:val="00821D95"/>
    <w:rsid w:val="008239F0"/>
    <w:rsid w:val="00823B35"/>
    <w:rsid w:val="00823BC6"/>
    <w:rsid w:val="00825EB7"/>
    <w:rsid w:val="00831903"/>
    <w:rsid w:val="008321B2"/>
    <w:rsid w:val="008337DB"/>
    <w:rsid w:val="00833ECA"/>
    <w:rsid w:val="00835205"/>
    <w:rsid w:val="008356FD"/>
    <w:rsid w:val="0083574F"/>
    <w:rsid w:val="0083647D"/>
    <w:rsid w:val="00836C01"/>
    <w:rsid w:val="00837185"/>
    <w:rsid w:val="00842386"/>
    <w:rsid w:val="00843ED8"/>
    <w:rsid w:val="0084404F"/>
    <w:rsid w:val="00844722"/>
    <w:rsid w:val="00845E38"/>
    <w:rsid w:val="00847B08"/>
    <w:rsid w:val="00851825"/>
    <w:rsid w:val="008532F7"/>
    <w:rsid w:val="0085376E"/>
    <w:rsid w:val="008545F4"/>
    <w:rsid w:val="00854F42"/>
    <w:rsid w:val="00856602"/>
    <w:rsid w:val="008572D9"/>
    <w:rsid w:val="00857351"/>
    <w:rsid w:val="008577DD"/>
    <w:rsid w:val="00860AB9"/>
    <w:rsid w:val="00860B82"/>
    <w:rsid w:val="008622D2"/>
    <w:rsid w:val="00862CE0"/>
    <w:rsid w:val="00864078"/>
    <w:rsid w:val="00864FF9"/>
    <w:rsid w:val="00865DCC"/>
    <w:rsid w:val="00867113"/>
    <w:rsid w:val="0087078B"/>
    <w:rsid w:val="00872118"/>
    <w:rsid w:val="00876A92"/>
    <w:rsid w:val="008775F6"/>
    <w:rsid w:val="008803CA"/>
    <w:rsid w:val="0088080C"/>
    <w:rsid w:val="0088095F"/>
    <w:rsid w:val="00880F47"/>
    <w:rsid w:val="008814AE"/>
    <w:rsid w:val="00881557"/>
    <w:rsid w:val="008853CF"/>
    <w:rsid w:val="00885E36"/>
    <w:rsid w:val="00885FD5"/>
    <w:rsid w:val="0088701A"/>
    <w:rsid w:val="00887815"/>
    <w:rsid w:val="00890444"/>
    <w:rsid w:val="008908D8"/>
    <w:rsid w:val="00891428"/>
    <w:rsid w:val="008916AA"/>
    <w:rsid w:val="00892B19"/>
    <w:rsid w:val="00893157"/>
    <w:rsid w:val="0089345E"/>
    <w:rsid w:val="00896265"/>
    <w:rsid w:val="00897094"/>
    <w:rsid w:val="00897308"/>
    <w:rsid w:val="0089759C"/>
    <w:rsid w:val="0089781B"/>
    <w:rsid w:val="008A1720"/>
    <w:rsid w:val="008A1BD6"/>
    <w:rsid w:val="008A1C9E"/>
    <w:rsid w:val="008A3597"/>
    <w:rsid w:val="008A36FD"/>
    <w:rsid w:val="008A402E"/>
    <w:rsid w:val="008A4685"/>
    <w:rsid w:val="008A47CE"/>
    <w:rsid w:val="008A4E49"/>
    <w:rsid w:val="008A612D"/>
    <w:rsid w:val="008A7EEA"/>
    <w:rsid w:val="008B0339"/>
    <w:rsid w:val="008B1130"/>
    <w:rsid w:val="008B138F"/>
    <w:rsid w:val="008B507C"/>
    <w:rsid w:val="008B55D0"/>
    <w:rsid w:val="008B5687"/>
    <w:rsid w:val="008B56A2"/>
    <w:rsid w:val="008B6625"/>
    <w:rsid w:val="008B6769"/>
    <w:rsid w:val="008C0454"/>
    <w:rsid w:val="008C0AA5"/>
    <w:rsid w:val="008C1BB3"/>
    <w:rsid w:val="008C2486"/>
    <w:rsid w:val="008C307F"/>
    <w:rsid w:val="008C5807"/>
    <w:rsid w:val="008C5951"/>
    <w:rsid w:val="008C630A"/>
    <w:rsid w:val="008C651B"/>
    <w:rsid w:val="008C733D"/>
    <w:rsid w:val="008C7506"/>
    <w:rsid w:val="008C7528"/>
    <w:rsid w:val="008C7670"/>
    <w:rsid w:val="008D0BC7"/>
    <w:rsid w:val="008D1A84"/>
    <w:rsid w:val="008D1AA1"/>
    <w:rsid w:val="008D50C9"/>
    <w:rsid w:val="008D59CD"/>
    <w:rsid w:val="008D6238"/>
    <w:rsid w:val="008D6E88"/>
    <w:rsid w:val="008D76BA"/>
    <w:rsid w:val="008D7B28"/>
    <w:rsid w:val="008E0286"/>
    <w:rsid w:val="008E0705"/>
    <w:rsid w:val="008E3181"/>
    <w:rsid w:val="008E33F4"/>
    <w:rsid w:val="008E375D"/>
    <w:rsid w:val="008E4D02"/>
    <w:rsid w:val="008E62CF"/>
    <w:rsid w:val="008E7D39"/>
    <w:rsid w:val="008F0E43"/>
    <w:rsid w:val="008F366A"/>
    <w:rsid w:val="008F3B2E"/>
    <w:rsid w:val="008F3FCA"/>
    <w:rsid w:val="008F465C"/>
    <w:rsid w:val="008F5C43"/>
    <w:rsid w:val="008F61F1"/>
    <w:rsid w:val="008F64DB"/>
    <w:rsid w:val="00900D07"/>
    <w:rsid w:val="009010B6"/>
    <w:rsid w:val="00901C0F"/>
    <w:rsid w:val="0090488B"/>
    <w:rsid w:val="00905865"/>
    <w:rsid w:val="00905B00"/>
    <w:rsid w:val="00906BB1"/>
    <w:rsid w:val="00907455"/>
    <w:rsid w:val="00907B1B"/>
    <w:rsid w:val="00910BB3"/>
    <w:rsid w:val="00910BFB"/>
    <w:rsid w:val="00912117"/>
    <w:rsid w:val="009127E5"/>
    <w:rsid w:val="009134F5"/>
    <w:rsid w:val="0091457F"/>
    <w:rsid w:val="00914E1B"/>
    <w:rsid w:val="009152F3"/>
    <w:rsid w:val="009157E4"/>
    <w:rsid w:val="00916CF3"/>
    <w:rsid w:val="00921A86"/>
    <w:rsid w:val="00922139"/>
    <w:rsid w:val="009243AC"/>
    <w:rsid w:val="00924B43"/>
    <w:rsid w:val="00930378"/>
    <w:rsid w:val="009358C2"/>
    <w:rsid w:val="00937318"/>
    <w:rsid w:val="00940CBD"/>
    <w:rsid w:val="0094153B"/>
    <w:rsid w:val="009416C5"/>
    <w:rsid w:val="00941940"/>
    <w:rsid w:val="009421A6"/>
    <w:rsid w:val="00942B66"/>
    <w:rsid w:val="00942B8B"/>
    <w:rsid w:val="00942CEF"/>
    <w:rsid w:val="00945889"/>
    <w:rsid w:val="009476E7"/>
    <w:rsid w:val="00951DFB"/>
    <w:rsid w:val="009522B8"/>
    <w:rsid w:val="0095276C"/>
    <w:rsid w:val="009529B2"/>
    <w:rsid w:val="00955059"/>
    <w:rsid w:val="00955DCA"/>
    <w:rsid w:val="00957A28"/>
    <w:rsid w:val="00957E26"/>
    <w:rsid w:val="009600F2"/>
    <w:rsid w:val="009626F3"/>
    <w:rsid w:val="0096430D"/>
    <w:rsid w:val="0096491A"/>
    <w:rsid w:val="00964B03"/>
    <w:rsid w:val="009650E0"/>
    <w:rsid w:val="00965262"/>
    <w:rsid w:val="00965392"/>
    <w:rsid w:val="00972410"/>
    <w:rsid w:val="009760E2"/>
    <w:rsid w:val="009761F9"/>
    <w:rsid w:val="0098261A"/>
    <w:rsid w:val="009856E5"/>
    <w:rsid w:val="009863BD"/>
    <w:rsid w:val="00986A9A"/>
    <w:rsid w:val="009911B0"/>
    <w:rsid w:val="00992312"/>
    <w:rsid w:val="00992780"/>
    <w:rsid w:val="009953F0"/>
    <w:rsid w:val="00996758"/>
    <w:rsid w:val="00997015"/>
    <w:rsid w:val="009A2765"/>
    <w:rsid w:val="009A3032"/>
    <w:rsid w:val="009A3856"/>
    <w:rsid w:val="009B106B"/>
    <w:rsid w:val="009B1B35"/>
    <w:rsid w:val="009B3C17"/>
    <w:rsid w:val="009B5291"/>
    <w:rsid w:val="009B664F"/>
    <w:rsid w:val="009B7295"/>
    <w:rsid w:val="009B77A6"/>
    <w:rsid w:val="009B7CC6"/>
    <w:rsid w:val="009C1E50"/>
    <w:rsid w:val="009C1EFF"/>
    <w:rsid w:val="009C312E"/>
    <w:rsid w:val="009C4934"/>
    <w:rsid w:val="009C4E40"/>
    <w:rsid w:val="009C65C3"/>
    <w:rsid w:val="009C7FF0"/>
    <w:rsid w:val="009D19D5"/>
    <w:rsid w:val="009D27D9"/>
    <w:rsid w:val="009D427F"/>
    <w:rsid w:val="009D6879"/>
    <w:rsid w:val="009D6B02"/>
    <w:rsid w:val="009E0A3A"/>
    <w:rsid w:val="009E301C"/>
    <w:rsid w:val="009E32E8"/>
    <w:rsid w:val="009E36BE"/>
    <w:rsid w:val="009E49FD"/>
    <w:rsid w:val="009E4EF0"/>
    <w:rsid w:val="009E66E0"/>
    <w:rsid w:val="009E6715"/>
    <w:rsid w:val="009F0BBA"/>
    <w:rsid w:val="009F3397"/>
    <w:rsid w:val="009F4319"/>
    <w:rsid w:val="009F4C36"/>
    <w:rsid w:val="009F6EBB"/>
    <w:rsid w:val="009F74A0"/>
    <w:rsid w:val="00A00B0B"/>
    <w:rsid w:val="00A00FD5"/>
    <w:rsid w:val="00A015C9"/>
    <w:rsid w:val="00A0177C"/>
    <w:rsid w:val="00A0314C"/>
    <w:rsid w:val="00A05021"/>
    <w:rsid w:val="00A05114"/>
    <w:rsid w:val="00A07061"/>
    <w:rsid w:val="00A149D7"/>
    <w:rsid w:val="00A16D05"/>
    <w:rsid w:val="00A20DCE"/>
    <w:rsid w:val="00A21966"/>
    <w:rsid w:val="00A22E41"/>
    <w:rsid w:val="00A22FE3"/>
    <w:rsid w:val="00A23D5B"/>
    <w:rsid w:val="00A23DF1"/>
    <w:rsid w:val="00A26547"/>
    <w:rsid w:val="00A31B86"/>
    <w:rsid w:val="00A338DB"/>
    <w:rsid w:val="00A33AA5"/>
    <w:rsid w:val="00A34D40"/>
    <w:rsid w:val="00A34DAC"/>
    <w:rsid w:val="00A36828"/>
    <w:rsid w:val="00A400F7"/>
    <w:rsid w:val="00A40E51"/>
    <w:rsid w:val="00A41402"/>
    <w:rsid w:val="00A41589"/>
    <w:rsid w:val="00A434FC"/>
    <w:rsid w:val="00A43524"/>
    <w:rsid w:val="00A44AEC"/>
    <w:rsid w:val="00A47078"/>
    <w:rsid w:val="00A50D35"/>
    <w:rsid w:val="00A54550"/>
    <w:rsid w:val="00A54D33"/>
    <w:rsid w:val="00A5643A"/>
    <w:rsid w:val="00A57872"/>
    <w:rsid w:val="00A60255"/>
    <w:rsid w:val="00A603DE"/>
    <w:rsid w:val="00A62077"/>
    <w:rsid w:val="00A625F4"/>
    <w:rsid w:val="00A63026"/>
    <w:rsid w:val="00A646CE"/>
    <w:rsid w:val="00A66DEC"/>
    <w:rsid w:val="00A6736B"/>
    <w:rsid w:val="00A674F5"/>
    <w:rsid w:val="00A67CA9"/>
    <w:rsid w:val="00A70166"/>
    <w:rsid w:val="00A70C46"/>
    <w:rsid w:val="00A7229D"/>
    <w:rsid w:val="00A74120"/>
    <w:rsid w:val="00A74E17"/>
    <w:rsid w:val="00A7542E"/>
    <w:rsid w:val="00A760A2"/>
    <w:rsid w:val="00A76711"/>
    <w:rsid w:val="00A76A56"/>
    <w:rsid w:val="00A76C82"/>
    <w:rsid w:val="00A817ED"/>
    <w:rsid w:val="00A81C85"/>
    <w:rsid w:val="00A834FD"/>
    <w:rsid w:val="00A835C4"/>
    <w:rsid w:val="00A84516"/>
    <w:rsid w:val="00A849D1"/>
    <w:rsid w:val="00A85545"/>
    <w:rsid w:val="00A86781"/>
    <w:rsid w:val="00A86E07"/>
    <w:rsid w:val="00A9381C"/>
    <w:rsid w:val="00A94AA7"/>
    <w:rsid w:val="00A9513D"/>
    <w:rsid w:val="00A95F7A"/>
    <w:rsid w:val="00AA1649"/>
    <w:rsid w:val="00AA489E"/>
    <w:rsid w:val="00AA6A5C"/>
    <w:rsid w:val="00AB1CCB"/>
    <w:rsid w:val="00AB1CD5"/>
    <w:rsid w:val="00AB2366"/>
    <w:rsid w:val="00AB679A"/>
    <w:rsid w:val="00AB6C0F"/>
    <w:rsid w:val="00AB7E4C"/>
    <w:rsid w:val="00AC05EB"/>
    <w:rsid w:val="00AC1CBF"/>
    <w:rsid w:val="00AC452B"/>
    <w:rsid w:val="00AC5128"/>
    <w:rsid w:val="00AC5E9C"/>
    <w:rsid w:val="00AC6064"/>
    <w:rsid w:val="00AC6378"/>
    <w:rsid w:val="00AC739A"/>
    <w:rsid w:val="00AC78A0"/>
    <w:rsid w:val="00AC7BBC"/>
    <w:rsid w:val="00AD0766"/>
    <w:rsid w:val="00AD0F60"/>
    <w:rsid w:val="00AD1FA7"/>
    <w:rsid w:val="00AD2821"/>
    <w:rsid w:val="00AD3F86"/>
    <w:rsid w:val="00AD3FEC"/>
    <w:rsid w:val="00AD669B"/>
    <w:rsid w:val="00AD6B2B"/>
    <w:rsid w:val="00AD75EB"/>
    <w:rsid w:val="00AE0403"/>
    <w:rsid w:val="00AE0E6B"/>
    <w:rsid w:val="00AE1C56"/>
    <w:rsid w:val="00AE1D24"/>
    <w:rsid w:val="00AE2375"/>
    <w:rsid w:val="00AE3FFF"/>
    <w:rsid w:val="00AE4941"/>
    <w:rsid w:val="00AE6C41"/>
    <w:rsid w:val="00AE7BCF"/>
    <w:rsid w:val="00AF105F"/>
    <w:rsid w:val="00AF61BB"/>
    <w:rsid w:val="00B0226C"/>
    <w:rsid w:val="00B02346"/>
    <w:rsid w:val="00B02370"/>
    <w:rsid w:val="00B03467"/>
    <w:rsid w:val="00B03919"/>
    <w:rsid w:val="00B04FDE"/>
    <w:rsid w:val="00B05651"/>
    <w:rsid w:val="00B06111"/>
    <w:rsid w:val="00B06573"/>
    <w:rsid w:val="00B06F5C"/>
    <w:rsid w:val="00B074D4"/>
    <w:rsid w:val="00B07C66"/>
    <w:rsid w:val="00B1098E"/>
    <w:rsid w:val="00B14C49"/>
    <w:rsid w:val="00B20350"/>
    <w:rsid w:val="00B21F87"/>
    <w:rsid w:val="00B230DB"/>
    <w:rsid w:val="00B23AC5"/>
    <w:rsid w:val="00B2443F"/>
    <w:rsid w:val="00B2593C"/>
    <w:rsid w:val="00B27959"/>
    <w:rsid w:val="00B318BB"/>
    <w:rsid w:val="00B31C60"/>
    <w:rsid w:val="00B325B1"/>
    <w:rsid w:val="00B327AB"/>
    <w:rsid w:val="00B32D78"/>
    <w:rsid w:val="00B340BC"/>
    <w:rsid w:val="00B34D76"/>
    <w:rsid w:val="00B34EDD"/>
    <w:rsid w:val="00B35002"/>
    <w:rsid w:val="00B350EB"/>
    <w:rsid w:val="00B35E19"/>
    <w:rsid w:val="00B36FF0"/>
    <w:rsid w:val="00B378D2"/>
    <w:rsid w:val="00B42998"/>
    <w:rsid w:val="00B43A8B"/>
    <w:rsid w:val="00B46B0C"/>
    <w:rsid w:val="00B46ECE"/>
    <w:rsid w:val="00B47B3F"/>
    <w:rsid w:val="00B47BBA"/>
    <w:rsid w:val="00B50C15"/>
    <w:rsid w:val="00B51B84"/>
    <w:rsid w:val="00B52EC2"/>
    <w:rsid w:val="00B55356"/>
    <w:rsid w:val="00B55833"/>
    <w:rsid w:val="00B56667"/>
    <w:rsid w:val="00B6147D"/>
    <w:rsid w:val="00B61A9E"/>
    <w:rsid w:val="00B63E09"/>
    <w:rsid w:val="00B64BBC"/>
    <w:rsid w:val="00B65CA5"/>
    <w:rsid w:val="00B677A2"/>
    <w:rsid w:val="00B73278"/>
    <w:rsid w:val="00B73FE8"/>
    <w:rsid w:val="00B74EA9"/>
    <w:rsid w:val="00B752CF"/>
    <w:rsid w:val="00B76E7B"/>
    <w:rsid w:val="00B80785"/>
    <w:rsid w:val="00B807D3"/>
    <w:rsid w:val="00B80B45"/>
    <w:rsid w:val="00B81262"/>
    <w:rsid w:val="00B817FA"/>
    <w:rsid w:val="00B83E1A"/>
    <w:rsid w:val="00B83ECA"/>
    <w:rsid w:val="00B877B9"/>
    <w:rsid w:val="00B901F0"/>
    <w:rsid w:val="00B902A7"/>
    <w:rsid w:val="00B90503"/>
    <w:rsid w:val="00B9199C"/>
    <w:rsid w:val="00B931A4"/>
    <w:rsid w:val="00B93370"/>
    <w:rsid w:val="00B94F83"/>
    <w:rsid w:val="00B95B50"/>
    <w:rsid w:val="00B97C33"/>
    <w:rsid w:val="00BA0F94"/>
    <w:rsid w:val="00BA150C"/>
    <w:rsid w:val="00BA1662"/>
    <w:rsid w:val="00BA220B"/>
    <w:rsid w:val="00BA35B3"/>
    <w:rsid w:val="00BA41F5"/>
    <w:rsid w:val="00BA7278"/>
    <w:rsid w:val="00BB0147"/>
    <w:rsid w:val="00BB098A"/>
    <w:rsid w:val="00BB16E1"/>
    <w:rsid w:val="00BB2FE3"/>
    <w:rsid w:val="00BB3681"/>
    <w:rsid w:val="00BB496A"/>
    <w:rsid w:val="00BB51BF"/>
    <w:rsid w:val="00BC0734"/>
    <w:rsid w:val="00BC36F9"/>
    <w:rsid w:val="00BC4472"/>
    <w:rsid w:val="00BC67EE"/>
    <w:rsid w:val="00BD1D62"/>
    <w:rsid w:val="00BD30B0"/>
    <w:rsid w:val="00BD52DE"/>
    <w:rsid w:val="00BE1473"/>
    <w:rsid w:val="00BE1B58"/>
    <w:rsid w:val="00BE277D"/>
    <w:rsid w:val="00BE288B"/>
    <w:rsid w:val="00BE3C22"/>
    <w:rsid w:val="00BE40A6"/>
    <w:rsid w:val="00BE455F"/>
    <w:rsid w:val="00BE6A09"/>
    <w:rsid w:val="00BE7FC1"/>
    <w:rsid w:val="00BF128D"/>
    <w:rsid w:val="00BF1F35"/>
    <w:rsid w:val="00BF33F9"/>
    <w:rsid w:val="00BF5BC3"/>
    <w:rsid w:val="00BF5ED5"/>
    <w:rsid w:val="00BF680D"/>
    <w:rsid w:val="00BF7567"/>
    <w:rsid w:val="00C02090"/>
    <w:rsid w:val="00C047BD"/>
    <w:rsid w:val="00C049B3"/>
    <w:rsid w:val="00C0660F"/>
    <w:rsid w:val="00C0698C"/>
    <w:rsid w:val="00C10C89"/>
    <w:rsid w:val="00C12E84"/>
    <w:rsid w:val="00C15137"/>
    <w:rsid w:val="00C16CEA"/>
    <w:rsid w:val="00C200B7"/>
    <w:rsid w:val="00C21835"/>
    <w:rsid w:val="00C21CA4"/>
    <w:rsid w:val="00C22496"/>
    <w:rsid w:val="00C22712"/>
    <w:rsid w:val="00C2331F"/>
    <w:rsid w:val="00C24E18"/>
    <w:rsid w:val="00C2644F"/>
    <w:rsid w:val="00C323D3"/>
    <w:rsid w:val="00C32587"/>
    <w:rsid w:val="00C32C67"/>
    <w:rsid w:val="00C33696"/>
    <w:rsid w:val="00C339E1"/>
    <w:rsid w:val="00C344F9"/>
    <w:rsid w:val="00C35B42"/>
    <w:rsid w:val="00C36788"/>
    <w:rsid w:val="00C406DD"/>
    <w:rsid w:val="00C418F2"/>
    <w:rsid w:val="00C446E9"/>
    <w:rsid w:val="00C44C2C"/>
    <w:rsid w:val="00C502BC"/>
    <w:rsid w:val="00C5068F"/>
    <w:rsid w:val="00C50DAB"/>
    <w:rsid w:val="00C5182E"/>
    <w:rsid w:val="00C51A7E"/>
    <w:rsid w:val="00C52216"/>
    <w:rsid w:val="00C531DC"/>
    <w:rsid w:val="00C544EB"/>
    <w:rsid w:val="00C54F9B"/>
    <w:rsid w:val="00C60349"/>
    <w:rsid w:val="00C6061C"/>
    <w:rsid w:val="00C61C6D"/>
    <w:rsid w:val="00C62EF1"/>
    <w:rsid w:val="00C62F6A"/>
    <w:rsid w:val="00C633E8"/>
    <w:rsid w:val="00C6738F"/>
    <w:rsid w:val="00C70462"/>
    <w:rsid w:val="00C71B11"/>
    <w:rsid w:val="00C75389"/>
    <w:rsid w:val="00C75998"/>
    <w:rsid w:val="00C7683E"/>
    <w:rsid w:val="00C77F52"/>
    <w:rsid w:val="00C80A12"/>
    <w:rsid w:val="00C84123"/>
    <w:rsid w:val="00C8574C"/>
    <w:rsid w:val="00C85F26"/>
    <w:rsid w:val="00C86111"/>
    <w:rsid w:val="00C86C2C"/>
    <w:rsid w:val="00C90077"/>
    <w:rsid w:val="00C90352"/>
    <w:rsid w:val="00C92DCD"/>
    <w:rsid w:val="00C92EE3"/>
    <w:rsid w:val="00C93EB8"/>
    <w:rsid w:val="00CA0A4D"/>
    <w:rsid w:val="00CA2D05"/>
    <w:rsid w:val="00CA498C"/>
    <w:rsid w:val="00CA661D"/>
    <w:rsid w:val="00CA682E"/>
    <w:rsid w:val="00CA7119"/>
    <w:rsid w:val="00CA72F9"/>
    <w:rsid w:val="00CB193A"/>
    <w:rsid w:val="00CB45DC"/>
    <w:rsid w:val="00CB4808"/>
    <w:rsid w:val="00CB4EF8"/>
    <w:rsid w:val="00CB6F8F"/>
    <w:rsid w:val="00CB7ADD"/>
    <w:rsid w:val="00CC0195"/>
    <w:rsid w:val="00CC0A0A"/>
    <w:rsid w:val="00CC1F22"/>
    <w:rsid w:val="00CC206B"/>
    <w:rsid w:val="00CC2878"/>
    <w:rsid w:val="00CC29F3"/>
    <w:rsid w:val="00CC4C37"/>
    <w:rsid w:val="00CC633E"/>
    <w:rsid w:val="00CD3708"/>
    <w:rsid w:val="00CD37BC"/>
    <w:rsid w:val="00CD4B2C"/>
    <w:rsid w:val="00CD4BE2"/>
    <w:rsid w:val="00CD613C"/>
    <w:rsid w:val="00CD7036"/>
    <w:rsid w:val="00CD713B"/>
    <w:rsid w:val="00CE05D4"/>
    <w:rsid w:val="00CE167B"/>
    <w:rsid w:val="00CE276C"/>
    <w:rsid w:val="00CE279D"/>
    <w:rsid w:val="00CE3622"/>
    <w:rsid w:val="00CE445C"/>
    <w:rsid w:val="00CE4BCF"/>
    <w:rsid w:val="00CE773F"/>
    <w:rsid w:val="00CF21C7"/>
    <w:rsid w:val="00CF2F9F"/>
    <w:rsid w:val="00CF3FFB"/>
    <w:rsid w:val="00CF50AC"/>
    <w:rsid w:val="00CF6519"/>
    <w:rsid w:val="00CF769B"/>
    <w:rsid w:val="00D0030A"/>
    <w:rsid w:val="00D00F51"/>
    <w:rsid w:val="00D02593"/>
    <w:rsid w:val="00D02E37"/>
    <w:rsid w:val="00D032ED"/>
    <w:rsid w:val="00D03E89"/>
    <w:rsid w:val="00D03E96"/>
    <w:rsid w:val="00D12F7E"/>
    <w:rsid w:val="00D13C40"/>
    <w:rsid w:val="00D14EC4"/>
    <w:rsid w:val="00D14ECF"/>
    <w:rsid w:val="00D15556"/>
    <w:rsid w:val="00D15DB9"/>
    <w:rsid w:val="00D16056"/>
    <w:rsid w:val="00D16418"/>
    <w:rsid w:val="00D17F07"/>
    <w:rsid w:val="00D212E6"/>
    <w:rsid w:val="00D21775"/>
    <w:rsid w:val="00D22C55"/>
    <w:rsid w:val="00D24B74"/>
    <w:rsid w:val="00D24CDB"/>
    <w:rsid w:val="00D25264"/>
    <w:rsid w:val="00D253A5"/>
    <w:rsid w:val="00D31052"/>
    <w:rsid w:val="00D34777"/>
    <w:rsid w:val="00D34922"/>
    <w:rsid w:val="00D35A91"/>
    <w:rsid w:val="00D40D6C"/>
    <w:rsid w:val="00D412EB"/>
    <w:rsid w:val="00D41C65"/>
    <w:rsid w:val="00D42BEE"/>
    <w:rsid w:val="00D4454C"/>
    <w:rsid w:val="00D44764"/>
    <w:rsid w:val="00D46D6E"/>
    <w:rsid w:val="00D5014D"/>
    <w:rsid w:val="00D50584"/>
    <w:rsid w:val="00D51F1A"/>
    <w:rsid w:val="00D52D05"/>
    <w:rsid w:val="00D52D57"/>
    <w:rsid w:val="00D5633A"/>
    <w:rsid w:val="00D56E72"/>
    <w:rsid w:val="00D57608"/>
    <w:rsid w:val="00D62369"/>
    <w:rsid w:val="00D63B39"/>
    <w:rsid w:val="00D64DC3"/>
    <w:rsid w:val="00D65EA9"/>
    <w:rsid w:val="00D66890"/>
    <w:rsid w:val="00D67C5B"/>
    <w:rsid w:val="00D725EB"/>
    <w:rsid w:val="00D72881"/>
    <w:rsid w:val="00D73F15"/>
    <w:rsid w:val="00D7599C"/>
    <w:rsid w:val="00D76B87"/>
    <w:rsid w:val="00D76F5A"/>
    <w:rsid w:val="00D77547"/>
    <w:rsid w:val="00D77E66"/>
    <w:rsid w:val="00D80AFE"/>
    <w:rsid w:val="00D84000"/>
    <w:rsid w:val="00D85263"/>
    <w:rsid w:val="00D85813"/>
    <w:rsid w:val="00D8590C"/>
    <w:rsid w:val="00D8695A"/>
    <w:rsid w:val="00D86C4A"/>
    <w:rsid w:val="00D903EF"/>
    <w:rsid w:val="00D94F1A"/>
    <w:rsid w:val="00D96498"/>
    <w:rsid w:val="00D9651A"/>
    <w:rsid w:val="00D9663A"/>
    <w:rsid w:val="00D97AA5"/>
    <w:rsid w:val="00D97FF2"/>
    <w:rsid w:val="00DA327A"/>
    <w:rsid w:val="00DA4251"/>
    <w:rsid w:val="00DA58B7"/>
    <w:rsid w:val="00DA71F8"/>
    <w:rsid w:val="00DB01F7"/>
    <w:rsid w:val="00DB089F"/>
    <w:rsid w:val="00DB1A8E"/>
    <w:rsid w:val="00DB2433"/>
    <w:rsid w:val="00DB2AED"/>
    <w:rsid w:val="00DB34A7"/>
    <w:rsid w:val="00DB45E3"/>
    <w:rsid w:val="00DB5D12"/>
    <w:rsid w:val="00DC00DA"/>
    <w:rsid w:val="00DC0461"/>
    <w:rsid w:val="00DC6306"/>
    <w:rsid w:val="00DC76A0"/>
    <w:rsid w:val="00DC7927"/>
    <w:rsid w:val="00DD34DF"/>
    <w:rsid w:val="00DD4FD2"/>
    <w:rsid w:val="00DD5EAC"/>
    <w:rsid w:val="00DD6A17"/>
    <w:rsid w:val="00DD739A"/>
    <w:rsid w:val="00DE5544"/>
    <w:rsid w:val="00DE7B6E"/>
    <w:rsid w:val="00DF12B8"/>
    <w:rsid w:val="00DF2275"/>
    <w:rsid w:val="00DF33EF"/>
    <w:rsid w:val="00DF4A27"/>
    <w:rsid w:val="00DF4E19"/>
    <w:rsid w:val="00DF5270"/>
    <w:rsid w:val="00DF5BF4"/>
    <w:rsid w:val="00E00345"/>
    <w:rsid w:val="00E01632"/>
    <w:rsid w:val="00E02F14"/>
    <w:rsid w:val="00E04135"/>
    <w:rsid w:val="00E0491D"/>
    <w:rsid w:val="00E0494A"/>
    <w:rsid w:val="00E04B7C"/>
    <w:rsid w:val="00E04E8D"/>
    <w:rsid w:val="00E05313"/>
    <w:rsid w:val="00E057BA"/>
    <w:rsid w:val="00E117DB"/>
    <w:rsid w:val="00E12A3D"/>
    <w:rsid w:val="00E12D52"/>
    <w:rsid w:val="00E15EAC"/>
    <w:rsid w:val="00E22C41"/>
    <w:rsid w:val="00E23E62"/>
    <w:rsid w:val="00E24FDA"/>
    <w:rsid w:val="00E25116"/>
    <w:rsid w:val="00E31102"/>
    <w:rsid w:val="00E35AE2"/>
    <w:rsid w:val="00E36081"/>
    <w:rsid w:val="00E364C8"/>
    <w:rsid w:val="00E4166A"/>
    <w:rsid w:val="00E4782B"/>
    <w:rsid w:val="00E528DC"/>
    <w:rsid w:val="00E532C4"/>
    <w:rsid w:val="00E56B9D"/>
    <w:rsid w:val="00E605D5"/>
    <w:rsid w:val="00E60799"/>
    <w:rsid w:val="00E61399"/>
    <w:rsid w:val="00E61C84"/>
    <w:rsid w:val="00E67693"/>
    <w:rsid w:val="00E67AA2"/>
    <w:rsid w:val="00E70470"/>
    <w:rsid w:val="00E709BB"/>
    <w:rsid w:val="00E70ED4"/>
    <w:rsid w:val="00E70FD3"/>
    <w:rsid w:val="00E76689"/>
    <w:rsid w:val="00E77CB8"/>
    <w:rsid w:val="00E80288"/>
    <w:rsid w:val="00E81BE7"/>
    <w:rsid w:val="00E8368F"/>
    <w:rsid w:val="00E83F45"/>
    <w:rsid w:val="00E84A80"/>
    <w:rsid w:val="00E8568A"/>
    <w:rsid w:val="00E87807"/>
    <w:rsid w:val="00E91DFE"/>
    <w:rsid w:val="00E92153"/>
    <w:rsid w:val="00E926C2"/>
    <w:rsid w:val="00E939DD"/>
    <w:rsid w:val="00E946B3"/>
    <w:rsid w:val="00E94BE4"/>
    <w:rsid w:val="00E9626C"/>
    <w:rsid w:val="00E975A6"/>
    <w:rsid w:val="00E976C5"/>
    <w:rsid w:val="00E97704"/>
    <w:rsid w:val="00E97F92"/>
    <w:rsid w:val="00EA13E2"/>
    <w:rsid w:val="00EA1976"/>
    <w:rsid w:val="00EA45CB"/>
    <w:rsid w:val="00EB0200"/>
    <w:rsid w:val="00EB42A1"/>
    <w:rsid w:val="00EB4553"/>
    <w:rsid w:val="00EC0307"/>
    <w:rsid w:val="00EC1876"/>
    <w:rsid w:val="00EC1F22"/>
    <w:rsid w:val="00EC299D"/>
    <w:rsid w:val="00EC4ACD"/>
    <w:rsid w:val="00EC55C0"/>
    <w:rsid w:val="00EC5872"/>
    <w:rsid w:val="00EC6629"/>
    <w:rsid w:val="00ED02EF"/>
    <w:rsid w:val="00ED1133"/>
    <w:rsid w:val="00ED4814"/>
    <w:rsid w:val="00ED5D36"/>
    <w:rsid w:val="00ED7D8E"/>
    <w:rsid w:val="00EE01F0"/>
    <w:rsid w:val="00EE0761"/>
    <w:rsid w:val="00EE16FC"/>
    <w:rsid w:val="00EE274C"/>
    <w:rsid w:val="00EE4185"/>
    <w:rsid w:val="00EE44B5"/>
    <w:rsid w:val="00EE6290"/>
    <w:rsid w:val="00EE62DC"/>
    <w:rsid w:val="00EF0208"/>
    <w:rsid w:val="00EF1380"/>
    <w:rsid w:val="00EF1F47"/>
    <w:rsid w:val="00EF213E"/>
    <w:rsid w:val="00EF2547"/>
    <w:rsid w:val="00EF282C"/>
    <w:rsid w:val="00EF30A6"/>
    <w:rsid w:val="00EF3680"/>
    <w:rsid w:val="00EF379A"/>
    <w:rsid w:val="00EF3CC5"/>
    <w:rsid w:val="00EF54FB"/>
    <w:rsid w:val="00F02BBB"/>
    <w:rsid w:val="00F02F22"/>
    <w:rsid w:val="00F04262"/>
    <w:rsid w:val="00F0466D"/>
    <w:rsid w:val="00F0578F"/>
    <w:rsid w:val="00F05FEC"/>
    <w:rsid w:val="00F109FE"/>
    <w:rsid w:val="00F10F1F"/>
    <w:rsid w:val="00F11809"/>
    <w:rsid w:val="00F1207D"/>
    <w:rsid w:val="00F21FEB"/>
    <w:rsid w:val="00F231A8"/>
    <w:rsid w:val="00F235DC"/>
    <w:rsid w:val="00F26905"/>
    <w:rsid w:val="00F26F02"/>
    <w:rsid w:val="00F2746B"/>
    <w:rsid w:val="00F30F5B"/>
    <w:rsid w:val="00F31C8A"/>
    <w:rsid w:val="00F325FC"/>
    <w:rsid w:val="00F32C1B"/>
    <w:rsid w:val="00F336FB"/>
    <w:rsid w:val="00F349DB"/>
    <w:rsid w:val="00F34FE7"/>
    <w:rsid w:val="00F37565"/>
    <w:rsid w:val="00F4217C"/>
    <w:rsid w:val="00F422D4"/>
    <w:rsid w:val="00F4476A"/>
    <w:rsid w:val="00F45922"/>
    <w:rsid w:val="00F464C8"/>
    <w:rsid w:val="00F503B0"/>
    <w:rsid w:val="00F5475F"/>
    <w:rsid w:val="00F57162"/>
    <w:rsid w:val="00F57B17"/>
    <w:rsid w:val="00F601FB"/>
    <w:rsid w:val="00F632FB"/>
    <w:rsid w:val="00F6654C"/>
    <w:rsid w:val="00F669EF"/>
    <w:rsid w:val="00F66B17"/>
    <w:rsid w:val="00F670D2"/>
    <w:rsid w:val="00F671A9"/>
    <w:rsid w:val="00F70E53"/>
    <w:rsid w:val="00F7167D"/>
    <w:rsid w:val="00F747A7"/>
    <w:rsid w:val="00F76E97"/>
    <w:rsid w:val="00F775B7"/>
    <w:rsid w:val="00F839F3"/>
    <w:rsid w:val="00F854F6"/>
    <w:rsid w:val="00F85953"/>
    <w:rsid w:val="00F864A1"/>
    <w:rsid w:val="00F875E0"/>
    <w:rsid w:val="00F903FC"/>
    <w:rsid w:val="00F92404"/>
    <w:rsid w:val="00F937A2"/>
    <w:rsid w:val="00F9642B"/>
    <w:rsid w:val="00F96A0C"/>
    <w:rsid w:val="00F97E3E"/>
    <w:rsid w:val="00FA0534"/>
    <w:rsid w:val="00FA0FAA"/>
    <w:rsid w:val="00FA144D"/>
    <w:rsid w:val="00FA6390"/>
    <w:rsid w:val="00FB0C58"/>
    <w:rsid w:val="00FB0FB8"/>
    <w:rsid w:val="00FB392C"/>
    <w:rsid w:val="00FB5803"/>
    <w:rsid w:val="00FB6B8B"/>
    <w:rsid w:val="00FC4674"/>
    <w:rsid w:val="00FC49BF"/>
    <w:rsid w:val="00FC60B7"/>
    <w:rsid w:val="00FC74EB"/>
    <w:rsid w:val="00FC7948"/>
    <w:rsid w:val="00FD0D97"/>
    <w:rsid w:val="00FD164A"/>
    <w:rsid w:val="00FD2263"/>
    <w:rsid w:val="00FD2660"/>
    <w:rsid w:val="00FD352A"/>
    <w:rsid w:val="00FD38CE"/>
    <w:rsid w:val="00FD4E97"/>
    <w:rsid w:val="00FD6114"/>
    <w:rsid w:val="00FD6E3F"/>
    <w:rsid w:val="00FD714A"/>
    <w:rsid w:val="00FE0433"/>
    <w:rsid w:val="00FE10A0"/>
    <w:rsid w:val="00FE27BF"/>
    <w:rsid w:val="00FE433B"/>
    <w:rsid w:val="00FE57B0"/>
    <w:rsid w:val="00FE5B7F"/>
    <w:rsid w:val="00FE68CB"/>
    <w:rsid w:val="00FF1846"/>
    <w:rsid w:val="00FF29F7"/>
    <w:rsid w:val="00FF3683"/>
    <w:rsid w:val="00FF49B7"/>
    <w:rsid w:val="00FF4C76"/>
    <w:rsid w:val="00FF58F3"/>
    <w:rsid w:val="00FF7257"/>
    <w:rsid w:val="00FF7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D57B032"/>
  <w15:docId w15:val="{3899EE7D-7348-47B4-BAD6-4EF0C731B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link w:val="Heading1Char"/>
    <w:qFormat/>
    <w:rsid w:val="003F0455"/>
    <w:pPr>
      <w:widowControl w:val="0"/>
      <w:ind w:left="110"/>
      <w:outlineLvl w:val="0"/>
    </w:pPr>
    <w:rPr>
      <w:rFonts w:ascii="Arial" w:eastAsia="Arial" w:hAnsi="Arial" w:cstheme="min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6D56EF"/>
    <w:rPr>
      <w:sz w:val="16"/>
      <w:szCs w:val="16"/>
    </w:rPr>
  </w:style>
  <w:style w:type="paragraph" w:styleId="CommentText">
    <w:name w:val="annotation text"/>
    <w:basedOn w:val="Normal"/>
    <w:link w:val="CommentTextChar"/>
    <w:semiHidden/>
    <w:rsid w:val="006D56EF"/>
    <w:rPr>
      <w:sz w:val="20"/>
      <w:szCs w:val="20"/>
    </w:rPr>
  </w:style>
  <w:style w:type="paragraph" w:styleId="CommentSubject">
    <w:name w:val="annotation subject"/>
    <w:basedOn w:val="CommentText"/>
    <w:next w:val="CommentText"/>
    <w:semiHidden/>
    <w:rsid w:val="006D56EF"/>
    <w:rPr>
      <w:b/>
      <w:bCs/>
    </w:rPr>
  </w:style>
  <w:style w:type="paragraph" w:styleId="BalloonText">
    <w:name w:val="Balloon Text"/>
    <w:basedOn w:val="Normal"/>
    <w:semiHidden/>
    <w:rsid w:val="006D56EF"/>
    <w:rPr>
      <w:rFonts w:ascii="Tahoma" w:hAnsi="Tahoma" w:cs="Tahoma"/>
      <w:sz w:val="16"/>
      <w:szCs w:val="16"/>
    </w:rPr>
  </w:style>
  <w:style w:type="character" w:styleId="Hyperlink">
    <w:name w:val="Hyperlink"/>
    <w:rsid w:val="00811EE4"/>
    <w:rPr>
      <w:color w:val="0000FF"/>
      <w:u w:val="single"/>
    </w:rPr>
  </w:style>
  <w:style w:type="paragraph" w:customStyle="1" w:styleId="C1-CtrBoldHd">
    <w:name w:val="C1-Ctr BoldHd"/>
    <w:rsid w:val="00811EE4"/>
    <w:pPr>
      <w:keepNext/>
      <w:spacing w:after="720" w:line="240" w:lineRule="atLeast"/>
      <w:jc w:val="center"/>
    </w:pPr>
    <w:rPr>
      <w:b/>
      <w:caps/>
      <w:sz w:val="24"/>
    </w:rPr>
  </w:style>
  <w:style w:type="character" w:customStyle="1" w:styleId="label-1">
    <w:name w:val="label-1"/>
    <w:rsid w:val="00811EE4"/>
    <w:rPr>
      <w:b/>
      <w:bCs/>
      <w:sz w:val="20"/>
      <w:szCs w:val="20"/>
    </w:rPr>
  </w:style>
  <w:style w:type="character" w:customStyle="1" w:styleId="label-2">
    <w:name w:val="label-2"/>
    <w:rsid w:val="00811EE4"/>
    <w:rPr>
      <w:b/>
      <w:bCs/>
      <w:sz w:val="20"/>
      <w:szCs w:val="20"/>
    </w:rPr>
  </w:style>
  <w:style w:type="character" w:customStyle="1" w:styleId="label-3">
    <w:name w:val="label-3"/>
    <w:rsid w:val="00811EE4"/>
    <w:rPr>
      <w:b/>
      <w:bCs/>
      <w:sz w:val="20"/>
      <w:szCs w:val="20"/>
    </w:rPr>
  </w:style>
  <w:style w:type="character" w:customStyle="1" w:styleId="label-4">
    <w:name w:val="label-4"/>
    <w:rsid w:val="00811EE4"/>
    <w:rPr>
      <w:b/>
      <w:bCs/>
      <w:sz w:val="20"/>
      <w:szCs w:val="20"/>
    </w:rPr>
  </w:style>
  <w:style w:type="character" w:customStyle="1" w:styleId="label-5">
    <w:name w:val="label-5"/>
    <w:rsid w:val="00811EE4"/>
    <w:rPr>
      <w:b/>
      <w:bCs/>
      <w:sz w:val="20"/>
      <w:szCs w:val="20"/>
    </w:rPr>
  </w:style>
  <w:style w:type="character" w:customStyle="1" w:styleId="labelhead-1">
    <w:name w:val="labelhead-1"/>
    <w:rsid w:val="00811EE4"/>
    <w:rPr>
      <w:b w:val="0"/>
      <w:bCs w:val="0"/>
      <w:sz w:val="20"/>
      <w:szCs w:val="20"/>
    </w:rPr>
  </w:style>
  <w:style w:type="paragraph" w:customStyle="1" w:styleId="Default">
    <w:name w:val="Default"/>
    <w:rsid w:val="008C7506"/>
    <w:pPr>
      <w:widowControl w:val="0"/>
      <w:autoSpaceDE w:val="0"/>
      <w:autoSpaceDN w:val="0"/>
      <w:adjustRightInd w:val="0"/>
    </w:pPr>
    <w:rPr>
      <w:rFonts w:ascii="EEAGN D+ Melior" w:hAnsi="EEAGN D+ Melior" w:cs="EEAGN D+ Melior"/>
      <w:color w:val="000000"/>
      <w:sz w:val="24"/>
      <w:szCs w:val="24"/>
    </w:rPr>
  </w:style>
  <w:style w:type="table" w:styleId="TableGrid">
    <w:name w:val="Table Grid"/>
    <w:basedOn w:val="TableNormal"/>
    <w:rsid w:val="008C7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20B70"/>
    <w:pPr>
      <w:tabs>
        <w:tab w:val="center" w:pos="4320"/>
        <w:tab w:val="right" w:pos="8640"/>
      </w:tabs>
    </w:pPr>
  </w:style>
  <w:style w:type="character" w:styleId="PageNumber">
    <w:name w:val="page number"/>
    <w:basedOn w:val="DefaultParagraphFont"/>
    <w:rsid w:val="00220B70"/>
  </w:style>
  <w:style w:type="paragraph" w:styleId="NormalWeb">
    <w:name w:val="Normal (Web)"/>
    <w:basedOn w:val="Normal"/>
    <w:rsid w:val="00170FAF"/>
    <w:pPr>
      <w:spacing w:before="100" w:beforeAutospacing="1" w:after="100" w:afterAutospacing="1"/>
    </w:pPr>
  </w:style>
  <w:style w:type="paragraph" w:customStyle="1" w:styleId="YBCSReportBodyText">
    <w:name w:val="YBCS Report_Body Text"/>
    <w:basedOn w:val="Normal"/>
    <w:qFormat/>
    <w:rsid w:val="006830C4"/>
    <w:pPr>
      <w:spacing w:after="240"/>
      <w:jc w:val="both"/>
    </w:pPr>
    <w:rPr>
      <w:rFonts w:eastAsia="Calibri" w:cs="Arial"/>
      <w:color w:val="000000"/>
    </w:rPr>
  </w:style>
  <w:style w:type="paragraph" w:styleId="BodyText">
    <w:name w:val="Body Text"/>
    <w:basedOn w:val="Normal"/>
    <w:link w:val="BodyTextChar"/>
    <w:rsid w:val="006F6C29"/>
    <w:pPr>
      <w:spacing w:after="240"/>
      <w:jc w:val="both"/>
    </w:pPr>
    <w:rPr>
      <w:rFonts w:ascii="Arial Narrow" w:hAnsi="Arial Narrow"/>
    </w:rPr>
  </w:style>
  <w:style w:type="character" w:customStyle="1" w:styleId="BodyTextChar">
    <w:name w:val="Body Text Char"/>
    <w:link w:val="BodyText"/>
    <w:rsid w:val="006F6C29"/>
    <w:rPr>
      <w:rFonts w:ascii="Arial Narrow" w:hAnsi="Arial Narrow"/>
      <w:sz w:val="24"/>
      <w:szCs w:val="24"/>
    </w:rPr>
  </w:style>
  <w:style w:type="paragraph" w:customStyle="1" w:styleId="BodyTextNumbered">
    <w:name w:val="Body Text Numbered"/>
    <w:basedOn w:val="BodyText"/>
    <w:qFormat/>
    <w:rsid w:val="00EF1380"/>
    <w:pPr>
      <w:numPr>
        <w:numId w:val="2"/>
      </w:numPr>
      <w:tabs>
        <w:tab w:val="num" w:pos="360"/>
      </w:tabs>
      <w:spacing w:after="0"/>
      <w:ind w:left="360"/>
    </w:pPr>
  </w:style>
  <w:style w:type="paragraph" w:customStyle="1" w:styleId="BodyTextNumberedLast">
    <w:name w:val="Body Text Numbered Last"/>
    <w:basedOn w:val="BodyTextNumbered"/>
    <w:qFormat/>
    <w:rsid w:val="00EF1380"/>
    <w:pPr>
      <w:spacing w:after="240"/>
    </w:pPr>
  </w:style>
  <w:style w:type="paragraph" w:styleId="Header">
    <w:name w:val="header"/>
    <w:basedOn w:val="Normal"/>
    <w:link w:val="HeaderChar"/>
    <w:uiPriority w:val="99"/>
    <w:rsid w:val="00595581"/>
    <w:pPr>
      <w:tabs>
        <w:tab w:val="center" w:pos="4680"/>
        <w:tab w:val="right" w:pos="9360"/>
      </w:tabs>
    </w:pPr>
  </w:style>
  <w:style w:type="character" w:customStyle="1" w:styleId="HeaderChar">
    <w:name w:val="Header Char"/>
    <w:link w:val="Header"/>
    <w:uiPriority w:val="99"/>
    <w:rsid w:val="00595581"/>
    <w:rPr>
      <w:sz w:val="24"/>
      <w:szCs w:val="24"/>
    </w:rPr>
  </w:style>
  <w:style w:type="paragraph" w:styleId="ListParagraph">
    <w:name w:val="List Paragraph"/>
    <w:basedOn w:val="Normal"/>
    <w:uiPriority w:val="34"/>
    <w:qFormat/>
    <w:rsid w:val="001403D4"/>
    <w:pPr>
      <w:spacing w:after="200" w:line="276" w:lineRule="auto"/>
      <w:ind w:left="720"/>
      <w:contextualSpacing/>
    </w:pPr>
    <w:rPr>
      <w:rFonts w:ascii="Calibri" w:eastAsia="Calibri" w:hAnsi="Calibri"/>
      <w:sz w:val="22"/>
      <w:szCs w:val="22"/>
    </w:rPr>
  </w:style>
  <w:style w:type="character" w:customStyle="1" w:styleId="CommentTextChar">
    <w:name w:val="Comment Text Char"/>
    <w:link w:val="CommentText"/>
    <w:semiHidden/>
    <w:rsid w:val="00DD4FD2"/>
  </w:style>
  <w:style w:type="paragraph" w:customStyle="1" w:styleId="ReportBodyText">
    <w:name w:val="Report Body Text"/>
    <w:basedOn w:val="Normal"/>
    <w:qFormat/>
    <w:rsid w:val="00CE445C"/>
    <w:pPr>
      <w:spacing w:after="200" w:line="276" w:lineRule="auto"/>
      <w:jc w:val="both"/>
    </w:pPr>
    <w:rPr>
      <w:rFonts w:eastAsia="Calibri"/>
      <w:szCs w:val="22"/>
    </w:rPr>
  </w:style>
  <w:style w:type="paragraph" w:customStyle="1" w:styleId="ReportNumberedList">
    <w:name w:val="Report Numbered List"/>
    <w:basedOn w:val="ReportBodyText"/>
    <w:qFormat/>
    <w:rsid w:val="00CE445C"/>
    <w:pPr>
      <w:numPr>
        <w:numId w:val="3"/>
      </w:numPr>
      <w:tabs>
        <w:tab w:val="num" w:pos="945"/>
      </w:tabs>
      <w:spacing w:before="120" w:after="120" w:line="240" w:lineRule="auto"/>
      <w:ind w:left="945" w:hanging="585"/>
    </w:pPr>
    <w:rPr>
      <w:sz w:val="22"/>
    </w:rPr>
  </w:style>
  <w:style w:type="character" w:styleId="Emphasis">
    <w:name w:val="Emphasis"/>
    <w:uiPriority w:val="20"/>
    <w:qFormat/>
    <w:rsid w:val="00B6147D"/>
    <w:rPr>
      <w:i/>
      <w:iCs/>
    </w:rPr>
  </w:style>
  <w:style w:type="paragraph" w:customStyle="1" w:styleId="ReportBulletList">
    <w:name w:val="Report Bullet List"/>
    <w:basedOn w:val="ReportBodyText"/>
    <w:qFormat/>
    <w:rsid w:val="00706805"/>
    <w:pPr>
      <w:numPr>
        <w:numId w:val="4"/>
      </w:numPr>
      <w:spacing w:before="120" w:after="120" w:line="240" w:lineRule="auto"/>
    </w:pPr>
    <w:rPr>
      <w:sz w:val="22"/>
    </w:rPr>
  </w:style>
  <w:style w:type="paragraph" w:customStyle="1" w:styleId="TableTitle">
    <w:name w:val="Table Title"/>
    <w:basedOn w:val="Normal"/>
    <w:uiPriority w:val="99"/>
    <w:rsid w:val="006D1B1F"/>
    <w:pPr>
      <w:keepNext/>
      <w:keepLines/>
      <w:spacing w:before="240" w:after="240"/>
      <w:jc w:val="center"/>
    </w:pPr>
    <w:rPr>
      <w:b/>
      <w:szCs w:val="20"/>
    </w:rPr>
  </w:style>
  <w:style w:type="paragraph" w:customStyle="1" w:styleId="bodytextCharCharChar">
    <w:name w:val="body text Char Char Char"/>
    <w:aliases w:val="bt Char Char Char,body tx Char Char Char,indent Char Char Char,flush Char Char Char"/>
    <w:basedOn w:val="Normal"/>
    <w:uiPriority w:val="99"/>
    <w:rsid w:val="0087078B"/>
    <w:pPr>
      <w:spacing w:after="240"/>
      <w:ind w:firstLine="720"/>
    </w:pPr>
  </w:style>
  <w:style w:type="paragraph" w:customStyle="1" w:styleId="EvalBody">
    <w:name w:val="Eval Body"/>
    <w:basedOn w:val="Normal"/>
    <w:qFormat/>
    <w:rsid w:val="00136CAE"/>
    <w:pPr>
      <w:widowControl w:val="0"/>
      <w:spacing w:after="160" w:line="276" w:lineRule="auto"/>
      <w:jc w:val="both"/>
    </w:pPr>
    <w:rPr>
      <w:rFonts w:eastAsia="Calibri"/>
      <w:kern w:val="2"/>
      <w:szCs w:val="22"/>
    </w:rPr>
  </w:style>
  <w:style w:type="paragraph" w:customStyle="1" w:styleId="EvalBodyText">
    <w:name w:val="Eval Body Text"/>
    <w:basedOn w:val="EvalBody"/>
    <w:qFormat/>
    <w:rsid w:val="00136CAE"/>
    <w:pPr>
      <w:spacing w:after="240" w:line="240" w:lineRule="auto"/>
    </w:pPr>
    <w:rPr>
      <w:szCs w:val="24"/>
      <w:shd w:val="clear" w:color="auto" w:fill="FFFFFF"/>
    </w:rPr>
  </w:style>
  <w:style w:type="character" w:styleId="FootnoteReference">
    <w:name w:val="footnote reference"/>
    <w:uiPriority w:val="99"/>
    <w:rsid w:val="00136CAE"/>
    <w:rPr>
      <w:vertAlign w:val="superscript"/>
    </w:rPr>
  </w:style>
  <w:style w:type="paragraph" w:customStyle="1" w:styleId="EvalNoteText">
    <w:name w:val="Eval Note Text"/>
    <w:basedOn w:val="FootnoteText"/>
    <w:qFormat/>
    <w:rsid w:val="00136CAE"/>
    <w:pPr>
      <w:ind w:left="90" w:hanging="90"/>
    </w:pPr>
    <w:rPr>
      <w:rFonts w:ascii="Arial" w:eastAsia="Calibri" w:hAnsi="Arial" w:cs="Arial"/>
      <w:sz w:val="16"/>
      <w:szCs w:val="16"/>
    </w:rPr>
  </w:style>
  <w:style w:type="paragraph" w:styleId="FootnoteText">
    <w:name w:val="footnote text"/>
    <w:basedOn w:val="Normal"/>
    <w:link w:val="FootnoteTextChar"/>
    <w:rsid w:val="00136CAE"/>
    <w:rPr>
      <w:sz w:val="20"/>
      <w:szCs w:val="20"/>
    </w:rPr>
  </w:style>
  <w:style w:type="character" w:customStyle="1" w:styleId="FootnoteTextChar">
    <w:name w:val="Footnote Text Char"/>
    <w:basedOn w:val="DefaultParagraphFont"/>
    <w:link w:val="FootnoteText"/>
    <w:rsid w:val="00136CAE"/>
  </w:style>
  <w:style w:type="paragraph" w:customStyle="1" w:styleId="EvalTableHeading1">
    <w:name w:val="Eval Table Heading 1"/>
    <w:basedOn w:val="Normal"/>
    <w:qFormat/>
    <w:rsid w:val="00AE2375"/>
    <w:pPr>
      <w:spacing w:before="20" w:after="20"/>
      <w:jc w:val="center"/>
    </w:pPr>
    <w:rPr>
      <w:rFonts w:ascii="Arial" w:eastAsia="Calibri" w:hAnsi="Arial" w:cs="Arial"/>
      <w:b/>
      <w:color w:val="FFFFFF"/>
      <w:sz w:val="20"/>
      <w:szCs w:val="22"/>
      <w:lang w:bidi="en-US"/>
    </w:rPr>
  </w:style>
  <w:style w:type="paragraph" w:customStyle="1" w:styleId="EvalTableText">
    <w:name w:val="Eval Table Text"/>
    <w:basedOn w:val="Normal"/>
    <w:qFormat/>
    <w:rsid w:val="00AE2375"/>
    <w:pPr>
      <w:spacing w:before="40" w:after="40"/>
    </w:pPr>
    <w:rPr>
      <w:rFonts w:ascii="Arial Narrow" w:eastAsia="Calibri" w:hAnsi="Arial Narrow" w:cs="Arial"/>
      <w:sz w:val="20"/>
      <w:szCs w:val="22"/>
    </w:rPr>
  </w:style>
  <w:style w:type="paragraph" w:customStyle="1" w:styleId="EvalBullet1">
    <w:name w:val="Eval Bullet 1"/>
    <w:basedOn w:val="ListParagraph"/>
    <w:qFormat/>
    <w:rsid w:val="002027BB"/>
    <w:pPr>
      <w:widowControl w:val="0"/>
      <w:numPr>
        <w:numId w:val="6"/>
      </w:numPr>
      <w:tabs>
        <w:tab w:val="num" w:pos="360"/>
      </w:tabs>
      <w:spacing w:after="0" w:line="264" w:lineRule="auto"/>
      <w:ind w:firstLine="0"/>
    </w:pPr>
    <w:rPr>
      <w:rFonts w:ascii="Times New Roman" w:hAnsi="Times New Roman"/>
    </w:rPr>
  </w:style>
  <w:style w:type="paragraph" w:customStyle="1" w:styleId="EvalTable1">
    <w:name w:val="Eval Table 1"/>
    <w:basedOn w:val="Normal"/>
    <w:qFormat/>
    <w:rsid w:val="0030035E"/>
    <w:pPr>
      <w:autoSpaceDE w:val="0"/>
      <w:autoSpaceDN w:val="0"/>
      <w:adjustRightInd w:val="0"/>
      <w:spacing w:before="20" w:after="20"/>
      <w:jc w:val="center"/>
    </w:pPr>
    <w:rPr>
      <w:rFonts w:ascii="Arial Narrow" w:eastAsia="Calibri" w:hAnsi="Arial Narrow" w:cs="Flama-Light"/>
      <w:b/>
      <w:color w:val="FFFFFF"/>
      <w:sz w:val="20"/>
      <w:szCs w:val="22"/>
    </w:rPr>
  </w:style>
  <w:style w:type="character" w:customStyle="1" w:styleId="tp-size">
    <w:name w:val="tp-size"/>
    <w:rsid w:val="000B2EE3"/>
  </w:style>
  <w:style w:type="character" w:customStyle="1" w:styleId="apple-converted-space">
    <w:name w:val="apple-converted-space"/>
    <w:rsid w:val="000B2EE3"/>
  </w:style>
  <w:style w:type="paragraph" w:styleId="Revision">
    <w:name w:val="Revision"/>
    <w:hidden/>
    <w:uiPriority w:val="99"/>
    <w:semiHidden/>
    <w:rsid w:val="00160785"/>
    <w:rPr>
      <w:sz w:val="24"/>
      <w:szCs w:val="24"/>
    </w:rPr>
  </w:style>
  <w:style w:type="paragraph" w:customStyle="1" w:styleId="DocumentBodyText">
    <w:name w:val="Document Body Text"/>
    <w:qFormat/>
    <w:rsid w:val="00170346"/>
    <w:pPr>
      <w:spacing w:after="240" w:line="276" w:lineRule="auto"/>
      <w:jc w:val="both"/>
    </w:pPr>
    <w:rPr>
      <w:rFonts w:eastAsiaTheme="minorHAnsi" w:cstheme="minorBidi"/>
      <w:sz w:val="24"/>
      <w:szCs w:val="22"/>
    </w:rPr>
  </w:style>
  <w:style w:type="paragraph" w:customStyle="1" w:styleId="DocumentNumberedList">
    <w:name w:val="Document Numbered List"/>
    <w:qFormat/>
    <w:rsid w:val="00763775"/>
    <w:pPr>
      <w:numPr>
        <w:numId w:val="11"/>
      </w:numPr>
      <w:spacing w:after="120" w:line="276" w:lineRule="auto"/>
    </w:pPr>
    <w:rPr>
      <w:rFonts w:eastAsiaTheme="minorHAnsi" w:cstheme="minorBidi"/>
      <w:noProof/>
      <w:sz w:val="24"/>
      <w:szCs w:val="22"/>
    </w:rPr>
  </w:style>
  <w:style w:type="character" w:customStyle="1" w:styleId="Heading1Char">
    <w:name w:val="Heading 1 Char"/>
    <w:basedOn w:val="DefaultParagraphFont"/>
    <w:link w:val="Heading1"/>
    <w:rsid w:val="003F0455"/>
    <w:rPr>
      <w:rFonts w:ascii="Arial" w:eastAsia="Arial" w:hAnsi="Arial" w:cstheme="minorBidi"/>
      <w:b/>
      <w:bCs/>
      <w:sz w:val="32"/>
      <w:szCs w:val="32"/>
    </w:rPr>
  </w:style>
  <w:style w:type="character" w:customStyle="1" w:styleId="Footer1">
    <w:name w:val="Footer1"/>
    <w:rsid w:val="003F0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90560">
      <w:bodyDiv w:val="1"/>
      <w:marLeft w:val="0"/>
      <w:marRight w:val="0"/>
      <w:marTop w:val="0"/>
      <w:marBottom w:val="0"/>
      <w:divBdr>
        <w:top w:val="none" w:sz="0" w:space="0" w:color="auto"/>
        <w:left w:val="none" w:sz="0" w:space="0" w:color="auto"/>
        <w:bottom w:val="none" w:sz="0" w:space="0" w:color="auto"/>
        <w:right w:val="none" w:sz="0" w:space="0" w:color="auto"/>
      </w:divBdr>
    </w:div>
    <w:div w:id="187909015">
      <w:bodyDiv w:val="1"/>
      <w:marLeft w:val="0"/>
      <w:marRight w:val="0"/>
      <w:marTop w:val="0"/>
      <w:marBottom w:val="0"/>
      <w:divBdr>
        <w:top w:val="none" w:sz="0" w:space="0" w:color="auto"/>
        <w:left w:val="none" w:sz="0" w:space="0" w:color="auto"/>
        <w:bottom w:val="none" w:sz="0" w:space="0" w:color="auto"/>
        <w:right w:val="none" w:sz="0" w:space="0" w:color="auto"/>
      </w:divBdr>
    </w:div>
    <w:div w:id="395664794">
      <w:bodyDiv w:val="1"/>
      <w:marLeft w:val="0"/>
      <w:marRight w:val="0"/>
      <w:marTop w:val="0"/>
      <w:marBottom w:val="0"/>
      <w:divBdr>
        <w:top w:val="none" w:sz="0" w:space="0" w:color="auto"/>
        <w:left w:val="none" w:sz="0" w:space="0" w:color="auto"/>
        <w:bottom w:val="none" w:sz="0" w:space="0" w:color="auto"/>
        <w:right w:val="none" w:sz="0" w:space="0" w:color="auto"/>
      </w:divBdr>
    </w:div>
    <w:div w:id="580070292">
      <w:bodyDiv w:val="1"/>
      <w:marLeft w:val="0"/>
      <w:marRight w:val="0"/>
      <w:marTop w:val="0"/>
      <w:marBottom w:val="0"/>
      <w:divBdr>
        <w:top w:val="none" w:sz="0" w:space="0" w:color="auto"/>
        <w:left w:val="none" w:sz="0" w:space="0" w:color="auto"/>
        <w:bottom w:val="none" w:sz="0" w:space="0" w:color="auto"/>
        <w:right w:val="none" w:sz="0" w:space="0" w:color="auto"/>
      </w:divBdr>
    </w:div>
    <w:div w:id="843663606">
      <w:bodyDiv w:val="1"/>
      <w:marLeft w:val="0"/>
      <w:marRight w:val="0"/>
      <w:marTop w:val="0"/>
      <w:marBottom w:val="0"/>
      <w:divBdr>
        <w:top w:val="none" w:sz="0" w:space="0" w:color="auto"/>
        <w:left w:val="none" w:sz="0" w:space="0" w:color="auto"/>
        <w:bottom w:val="none" w:sz="0" w:space="0" w:color="auto"/>
        <w:right w:val="none" w:sz="0" w:space="0" w:color="auto"/>
      </w:divBdr>
    </w:div>
    <w:div w:id="849754831">
      <w:bodyDiv w:val="1"/>
      <w:marLeft w:val="0"/>
      <w:marRight w:val="0"/>
      <w:marTop w:val="0"/>
      <w:marBottom w:val="0"/>
      <w:divBdr>
        <w:top w:val="none" w:sz="0" w:space="0" w:color="auto"/>
        <w:left w:val="none" w:sz="0" w:space="0" w:color="auto"/>
        <w:bottom w:val="none" w:sz="0" w:space="0" w:color="auto"/>
        <w:right w:val="none" w:sz="0" w:space="0" w:color="auto"/>
      </w:divBdr>
    </w:div>
    <w:div w:id="869494175">
      <w:bodyDiv w:val="1"/>
      <w:marLeft w:val="0"/>
      <w:marRight w:val="0"/>
      <w:marTop w:val="0"/>
      <w:marBottom w:val="0"/>
      <w:divBdr>
        <w:top w:val="none" w:sz="0" w:space="0" w:color="auto"/>
        <w:left w:val="none" w:sz="0" w:space="0" w:color="auto"/>
        <w:bottom w:val="none" w:sz="0" w:space="0" w:color="auto"/>
        <w:right w:val="none" w:sz="0" w:space="0" w:color="auto"/>
      </w:divBdr>
    </w:div>
    <w:div w:id="905989610">
      <w:bodyDiv w:val="1"/>
      <w:marLeft w:val="0"/>
      <w:marRight w:val="0"/>
      <w:marTop w:val="0"/>
      <w:marBottom w:val="0"/>
      <w:divBdr>
        <w:top w:val="none" w:sz="0" w:space="0" w:color="auto"/>
        <w:left w:val="none" w:sz="0" w:space="0" w:color="auto"/>
        <w:bottom w:val="none" w:sz="0" w:space="0" w:color="auto"/>
        <w:right w:val="none" w:sz="0" w:space="0" w:color="auto"/>
      </w:divBdr>
    </w:div>
    <w:div w:id="931428397">
      <w:bodyDiv w:val="1"/>
      <w:marLeft w:val="0"/>
      <w:marRight w:val="0"/>
      <w:marTop w:val="0"/>
      <w:marBottom w:val="0"/>
      <w:divBdr>
        <w:top w:val="none" w:sz="0" w:space="0" w:color="auto"/>
        <w:left w:val="none" w:sz="0" w:space="0" w:color="auto"/>
        <w:bottom w:val="none" w:sz="0" w:space="0" w:color="auto"/>
        <w:right w:val="none" w:sz="0" w:space="0" w:color="auto"/>
      </w:divBdr>
    </w:div>
    <w:div w:id="963149109">
      <w:bodyDiv w:val="1"/>
      <w:marLeft w:val="0"/>
      <w:marRight w:val="0"/>
      <w:marTop w:val="0"/>
      <w:marBottom w:val="0"/>
      <w:divBdr>
        <w:top w:val="none" w:sz="0" w:space="0" w:color="auto"/>
        <w:left w:val="none" w:sz="0" w:space="0" w:color="auto"/>
        <w:bottom w:val="none" w:sz="0" w:space="0" w:color="auto"/>
        <w:right w:val="none" w:sz="0" w:space="0" w:color="auto"/>
      </w:divBdr>
    </w:div>
    <w:div w:id="972903862">
      <w:bodyDiv w:val="1"/>
      <w:marLeft w:val="0"/>
      <w:marRight w:val="0"/>
      <w:marTop w:val="0"/>
      <w:marBottom w:val="0"/>
      <w:divBdr>
        <w:top w:val="none" w:sz="0" w:space="0" w:color="auto"/>
        <w:left w:val="none" w:sz="0" w:space="0" w:color="auto"/>
        <w:bottom w:val="none" w:sz="0" w:space="0" w:color="auto"/>
        <w:right w:val="none" w:sz="0" w:space="0" w:color="auto"/>
      </w:divBdr>
    </w:div>
    <w:div w:id="1127509943">
      <w:bodyDiv w:val="1"/>
      <w:marLeft w:val="0"/>
      <w:marRight w:val="0"/>
      <w:marTop w:val="0"/>
      <w:marBottom w:val="0"/>
      <w:divBdr>
        <w:top w:val="none" w:sz="0" w:space="0" w:color="auto"/>
        <w:left w:val="none" w:sz="0" w:space="0" w:color="auto"/>
        <w:bottom w:val="none" w:sz="0" w:space="0" w:color="auto"/>
        <w:right w:val="none" w:sz="0" w:space="0" w:color="auto"/>
      </w:divBdr>
    </w:div>
    <w:div w:id="1238204241">
      <w:bodyDiv w:val="1"/>
      <w:marLeft w:val="0"/>
      <w:marRight w:val="0"/>
      <w:marTop w:val="0"/>
      <w:marBottom w:val="0"/>
      <w:divBdr>
        <w:top w:val="none" w:sz="0" w:space="0" w:color="auto"/>
        <w:left w:val="none" w:sz="0" w:space="0" w:color="auto"/>
        <w:bottom w:val="none" w:sz="0" w:space="0" w:color="auto"/>
        <w:right w:val="none" w:sz="0" w:space="0" w:color="auto"/>
      </w:divBdr>
    </w:div>
    <w:div w:id="1474447177">
      <w:bodyDiv w:val="1"/>
      <w:marLeft w:val="0"/>
      <w:marRight w:val="0"/>
      <w:marTop w:val="0"/>
      <w:marBottom w:val="0"/>
      <w:divBdr>
        <w:top w:val="none" w:sz="0" w:space="0" w:color="auto"/>
        <w:left w:val="none" w:sz="0" w:space="0" w:color="auto"/>
        <w:bottom w:val="none" w:sz="0" w:space="0" w:color="auto"/>
        <w:right w:val="none" w:sz="0" w:space="0" w:color="auto"/>
      </w:divBdr>
    </w:div>
    <w:div w:id="1550385656">
      <w:bodyDiv w:val="1"/>
      <w:marLeft w:val="0"/>
      <w:marRight w:val="0"/>
      <w:marTop w:val="0"/>
      <w:marBottom w:val="0"/>
      <w:divBdr>
        <w:top w:val="none" w:sz="0" w:space="0" w:color="auto"/>
        <w:left w:val="none" w:sz="0" w:space="0" w:color="auto"/>
        <w:bottom w:val="none" w:sz="0" w:space="0" w:color="auto"/>
        <w:right w:val="none" w:sz="0" w:space="0" w:color="auto"/>
      </w:divBdr>
    </w:div>
    <w:div w:id="1683975324">
      <w:bodyDiv w:val="1"/>
      <w:marLeft w:val="0"/>
      <w:marRight w:val="0"/>
      <w:marTop w:val="0"/>
      <w:marBottom w:val="0"/>
      <w:divBdr>
        <w:top w:val="none" w:sz="0" w:space="0" w:color="auto"/>
        <w:left w:val="none" w:sz="0" w:space="0" w:color="auto"/>
        <w:bottom w:val="none" w:sz="0" w:space="0" w:color="auto"/>
        <w:right w:val="none" w:sz="0" w:space="0" w:color="auto"/>
      </w:divBdr>
    </w:div>
    <w:div w:id="1740594729">
      <w:bodyDiv w:val="1"/>
      <w:marLeft w:val="0"/>
      <w:marRight w:val="0"/>
      <w:marTop w:val="0"/>
      <w:marBottom w:val="0"/>
      <w:divBdr>
        <w:top w:val="none" w:sz="0" w:space="0" w:color="auto"/>
        <w:left w:val="none" w:sz="0" w:space="0" w:color="auto"/>
        <w:bottom w:val="none" w:sz="0" w:space="0" w:color="auto"/>
        <w:right w:val="none" w:sz="0" w:space="0" w:color="auto"/>
      </w:divBdr>
    </w:div>
    <w:div w:id="1872255184">
      <w:bodyDiv w:val="1"/>
      <w:marLeft w:val="0"/>
      <w:marRight w:val="0"/>
      <w:marTop w:val="0"/>
      <w:marBottom w:val="0"/>
      <w:divBdr>
        <w:top w:val="none" w:sz="0" w:space="0" w:color="auto"/>
        <w:left w:val="none" w:sz="0" w:space="0" w:color="auto"/>
        <w:bottom w:val="none" w:sz="0" w:space="0" w:color="auto"/>
        <w:right w:val="none" w:sz="0" w:space="0" w:color="auto"/>
      </w:divBdr>
    </w:div>
    <w:div w:id="203653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E143A943566D49B8FE98BC14FF5565" ma:contentTypeVersion="1" ma:contentTypeDescription="Create a new document." ma:contentTypeScope="" ma:versionID="a79d7fa174bf64afe5834856021d9ea1">
  <xsd:schema xmlns:xsd="http://www.w3.org/2001/XMLSchema" xmlns:p="http://schemas.microsoft.com/office/2006/metadata/properties" xmlns:ns2="6e772399-6a0b-4838-a569-34798388b680" targetNamespace="http://schemas.microsoft.com/office/2006/metadata/properties" ma:root="true" ma:fieldsID="47c1c25601cf44b4684068f59cc3ead4" ns2:_="">
    <xsd:import namespace="6e772399-6a0b-4838-a569-34798388b680"/>
    <xsd:element name="properties">
      <xsd:complexType>
        <xsd:sequence>
          <xsd:element name="documentManagement">
            <xsd:complexType>
              <xsd:all>
                <xsd:element ref="ns2:Phase" minOccurs="0"/>
              </xsd:all>
            </xsd:complexType>
          </xsd:element>
        </xsd:sequence>
      </xsd:complexType>
    </xsd:element>
  </xsd:schema>
  <xsd:schema xmlns:xsd="http://www.w3.org/2001/XMLSchema" xmlns:dms="http://schemas.microsoft.com/office/2006/documentManagement/types" targetNamespace="6e772399-6a0b-4838-a569-34798388b680" elementFormDefault="qualified">
    <xsd:import namespace="http://schemas.microsoft.com/office/2006/documentManagement/types"/>
    <xsd:element name="Phase" ma:index="8" nillable="true" ma:displayName="Phase" ma:format="Dropdown" ma:internalName="Phase">
      <xsd:simpleType>
        <xsd:restriction base="dms:Choice">
          <xsd:enumeration value="Phase I (2010-2011)"/>
          <xsd:enumeration value="Phase II (2011-2012)"/>
          <xsd:enumeration value="Phase III (2012-201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ase xmlns="6e772399-6a0b-4838-a569-34798388b680">Phase II (2011-2012)</Phas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6FFA2-103F-4B05-AC02-16F39F019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72399-6a0b-4838-a569-34798388b68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ABE08D4-E77A-4D1A-B8CF-06F1077EF3F3}">
  <ds:schemaRefs>
    <ds:schemaRef ds:uri="http://schemas.microsoft.com/office/2006/metadata/properties"/>
    <ds:schemaRef ds:uri="http://schemas.microsoft.com/office/infopath/2007/PartnerControls"/>
    <ds:schemaRef ds:uri="6e772399-6a0b-4838-a569-34798388b680"/>
  </ds:schemaRefs>
</ds:datastoreItem>
</file>

<file path=customXml/itemProps3.xml><?xml version="1.0" encoding="utf-8"?>
<ds:datastoreItem xmlns:ds="http://schemas.openxmlformats.org/officeDocument/2006/customXml" ds:itemID="{9224B373-5CE0-4DFB-8045-9D0A6A766F0D}">
  <ds:schemaRefs>
    <ds:schemaRef ds:uri="http://schemas.microsoft.com/sharepoint/v3/contenttype/forms"/>
  </ds:schemaRefs>
</ds:datastoreItem>
</file>

<file path=customXml/itemProps4.xml><?xml version="1.0" encoding="utf-8"?>
<ds:datastoreItem xmlns:ds="http://schemas.openxmlformats.org/officeDocument/2006/customXml" ds:itemID="{63239502-80DF-41E3-8A97-1D2562364633}">
  <ds:schemaRefs>
    <ds:schemaRef ds:uri="http://schemas.microsoft.com/office/2006/metadata/longProperties"/>
  </ds:schemaRefs>
</ds:datastoreItem>
</file>

<file path=customXml/itemProps5.xml><?xml version="1.0" encoding="utf-8"?>
<ds:datastoreItem xmlns:ds="http://schemas.openxmlformats.org/officeDocument/2006/customXml" ds:itemID="{14DA9503-F1E1-46D1-9EC5-D5E01D7B2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4383</Words>
  <Characters>25398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29722</CharactersWithSpaces>
  <SharedDoc>false</SharedDoc>
  <HLinks>
    <vt:vector size="12" baseType="variant">
      <vt:variant>
        <vt:i4>2752631</vt:i4>
      </vt:variant>
      <vt:variant>
        <vt:i4>3</vt:i4>
      </vt:variant>
      <vt:variant>
        <vt:i4>0</vt:i4>
      </vt:variant>
      <vt:variant>
        <vt:i4>5</vt:i4>
      </vt:variant>
      <vt:variant>
        <vt:lpwstr>http://dx.doi.org/10.5888/pcd11.130389</vt:lpwstr>
      </vt:variant>
      <vt:variant>
        <vt:lpwstr/>
      </vt:variant>
      <vt:variant>
        <vt:i4>3801210</vt:i4>
      </vt:variant>
      <vt:variant>
        <vt:i4>0</vt:i4>
      </vt:variant>
      <vt:variant>
        <vt:i4>0</vt:i4>
      </vt:variant>
      <vt:variant>
        <vt:i4>5</vt:i4>
      </vt:variant>
      <vt:variant>
        <vt:lpwstr>http://www.cdc.gov/nchs/fastats/deaths.htm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Thummalapally, Sharanya</dc:creator>
  <cp:keywords/>
  <dc:description/>
  <cp:lastModifiedBy>Macaluso, Renita (CDC/DDPHSS/OS/OSI)</cp:lastModifiedBy>
  <cp:revision>8</cp:revision>
  <cp:lastPrinted>2020-02-07T17:19:00Z</cp:lastPrinted>
  <dcterms:created xsi:type="dcterms:W3CDTF">2020-05-26T20:51:00Z</dcterms:created>
  <dcterms:modified xsi:type="dcterms:W3CDTF">2020-05-27T18:57:00Z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ase">
    <vt:lpwstr>Phase II (2011-2012)</vt:lpwstr>
  </property>
  <property fmtid="{D5CDD505-2E9C-101B-9397-08002B2CF9AE}" pid="3" name="ContentType">
    <vt:lpwstr>Document</vt:lpwstr>
  </property>
</Properties>
</file>