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Pr="00191909" w:rsidR="00A601F1" w:rsidP="00A601F1" w:rsidRDefault="00A601F1" w14:paraId="03C6678F" w14:textId="77777777">
      <w:pPr>
        <w:jc w:val="center"/>
        <w:rPr>
          <w:rFonts w:cstheme="minorHAnsi"/>
          <w:b/>
          <w:bCs/>
          <w:sz w:val="28"/>
          <w:szCs w:val="28"/>
        </w:rPr>
      </w:pPr>
      <w:r w:rsidRPr="00191909">
        <w:rPr>
          <w:rFonts w:cstheme="minorHAnsi"/>
          <w:b/>
          <w:bCs/>
          <w:sz w:val="28"/>
          <w:szCs w:val="28"/>
        </w:rPr>
        <w:t>Investigation of SARS-CoV-2 Seroprevalence and Factors Associated with Seropositivity in a Community Setting</w:t>
      </w:r>
    </w:p>
    <w:p w:rsidR="00352CEE" w:rsidP="00352CEE" w:rsidRDefault="00352CEE" w14:paraId="214C4334" w14:textId="77777777">
      <w:pPr>
        <w:spacing w:after="0" w:line="240" w:lineRule="auto"/>
        <w:jc w:val="center"/>
        <w:rPr>
          <w:b/>
        </w:rPr>
      </w:pPr>
    </w:p>
    <w:p w:rsidRPr="004A13E8" w:rsidR="00352CEE" w:rsidP="00352CEE" w:rsidRDefault="00352CEE" w14:paraId="214C4335" w14:textId="09AB8FCC">
      <w:pPr>
        <w:pStyle w:val="Heading3"/>
      </w:pPr>
      <w:bookmarkStart w:name="_Toc473880016" w:id="1"/>
      <w:bookmarkStart w:name="_Toc473882439" w:id="2"/>
      <w:r w:rsidRPr="004A13E8">
        <w:t>Request for OMB approval of a</w:t>
      </w:r>
      <w:r>
        <w:t xml:space="preserve"> New</w:t>
      </w:r>
      <w:r w:rsidR="00A601F1">
        <w:t xml:space="preserve"> </w:t>
      </w:r>
      <w:r>
        <w:t>Information Collection</w:t>
      </w:r>
      <w:bookmarkEnd w:id="1"/>
      <w:r>
        <w:t xml:space="preserve"> </w:t>
      </w:r>
      <w:bookmarkEnd w:id="2"/>
    </w:p>
    <w:p w:rsidR="00352CEE" w:rsidP="00352CEE" w:rsidRDefault="00352CEE" w14:paraId="214C4336" w14:textId="77777777">
      <w:pPr>
        <w:spacing w:after="0" w:line="240" w:lineRule="auto"/>
        <w:jc w:val="center"/>
        <w:rPr>
          <w:b/>
        </w:rPr>
      </w:pPr>
    </w:p>
    <w:p w:rsidRPr="004A13E8" w:rsidR="00352CEE" w:rsidP="00352CEE" w:rsidRDefault="00A601F1" w14:paraId="214C4337" w14:textId="4F7DA9E7">
      <w:pPr>
        <w:pStyle w:val="Heading4"/>
      </w:pPr>
      <w:r>
        <w:t xml:space="preserve">April </w:t>
      </w:r>
      <w:r w:rsidR="006720D5">
        <w:t>2</w:t>
      </w:r>
      <w:r w:rsidR="006720D5">
        <w:t>4</w:t>
      </w:r>
      <w:r>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9A79E1" w:rsidR="00A601F1" w:rsidP="00A601F1" w:rsidRDefault="00A601F1" w14:paraId="477202C3" w14:textId="77777777">
      <w:pPr>
        <w:pStyle w:val="NoSpacing"/>
        <w:rPr>
          <w:b/>
        </w:rPr>
      </w:pPr>
      <w:r w:rsidRPr="009A79E1">
        <w:rPr>
          <w:b/>
        </w:rPr>
        <w:t xml:space="preserve">Contact: </w:t>
      </w:r>
    </w:p>
    <w:p w:rsidR="00A601F1" w:rsidP="00A601F1" w:rsidRDefault="001C411D" w14:paraId="7BE0CB8D" w14:textId="3FD8B20D">
      <w:pPr>
        <w:pStyle w:val="NoSpacing"/>
      </w:pPr>
      <w:r>
        <w:t>Holly Biggs, MD, MPH</w:t>
      </w:r>
    </w:p>
    <w:p w:rsidRPr="004A13E8" w:rsidR="00A601F1" w:rsidP="00A601F1" w:rsidRDefault="00A601F1" w14:paraId="79EDE2D2" w14:textId="77777777">
      <w:pPr>
        <w:pStyle w:val="NoSpacing"/>
      </w:pPr>
      <w:r w:rsidRPr="004343B2">
        <w:rPr>
          <w:rFonts w:cstheme="minorHAnsi"/>
        </w:rPr>
        <w:t>National Center for Immunization and Respiratory Diseases</w:t>
      </w:r>
      <w:r w:rsidRPr="004A13E8">
        <w:t xml:space="preserve"> </w:t>
      </w:r>
    </w:p>
    <w:p w:rsidRPr="004A13E8" w:rsidR="00A601F1" w:rsidP="00A601F1" w:rsidRDefault="00A601F1" w14:paraId="36238335" w14:textId="77777777">
      <w:pPr>
        <w:pStyle w:val="NoSpacing"/>
      </w:pPr>
      <w:r w:rsidRPr="004A13E8">
        <w:t xml:space="preserve">Centers for Disease Control and Prevention </w:t>
      </w:r>
    </w:p>
    <w:p w:rsidRPr="004A13E8" w:rsidR="00A601F1" w:rsidP="00A601F1" w:rsidRDefault="00A601F1" w14:paraId="0B6D57E8" w14:textId="77777777">
      <w:pPr>
        <w:pStyle w:val="NoSpacing"/>
      </w:pPr>
      <w:r w:rsidRPr="004A13E8">
        <w:t xml:space="preserve">1600 Clifton Road, NE </w:t>
      </w:r>
    </w:p>
    <w:p w:rsidRPr="004A13E8" w:rsidR="00A601F1" w:rsidP="00A601F1" w:rsidRDefault="00A601F1" w14:paraId="7CD215FA" w14:textId="77777777">
      <w:pPr>
        <w:pStyle w:val="NoSpacing"/>
      </w:pPr>
      <w:r w:rsidRPr="004A13E8">
        <w:t xml:space="preserve">Atlanta, Georgia 30333 </w:t>
      </w:r>
    </w:p>
    <w:p w:rsidRPr="004A13E8" w:rsidR="00A601F1" w:rsidP="00A601F1" w:rsidRDefault="00A601F1" w14:paraId="22A20897" w14:textId="51174A82">
      <w:pPr>
        <w:pStyle w:val="NoSpacing"/>
      </w:pPr>
      <w:r w:rsidRPr="004A13E8">
        <w:t>Phone: (</w:t>
      </w:r>
      <w:r w:rsidR="001C411D">
        <w:t>404</w:t>
      </w:r>
      <w:r w:rsidRPr="004A13E8">
        <w:t xml:space="preserve">) </w:t>
      </w:r>
      <w:r w:rsidR="001C411D">
        <w:t>639</w:t>
      </w:r>
      <w:r>
        <w:t>-</w:t>
      </w:r>
      <w:r w:rsidR="008E3395">
        <w:t>3989</w:t>
      </w:r>
    </w:p>
    <w:p w:rsidR="00352CEE" w:rsidP="00A601F1" w:rsidRDefault="00A601F1" w14:paraId="214C435B" w14:textId="27B8F1E1">
      <w:pPr>
        <w:pStyle w:val="Subtitle"/>
      </w:pPr>
      <w:r w:rsidRPr="004A6DE8">
        <w:t xml:space="preserve">Email: </w:t>
      </w:r>
      <w:r w:rsidR="008E3395">
        <w:t>hbiggs</w:t>
      </w:r>
      <w:r w:rsidR="00140FDC">
        <w:t>@cdc.gov</w:t>
      </w:r>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435C83" w14:paraId="214C435E" w14:textId="19ED70A1">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1B2203">
              <w:rPr>
                <w:noProof/>
                <w:webHidden/>
              </w:rPr>
              <w:t>2</w:t>
            </w:r>
            <w:r w:rsidR="00352CEE">
              <w:rPr>
                <w:noProof/>
                <w:webHidden/>
              </w:rPr>
              <w:fldChar w:fldCharType="end"/>
            </w:r>
          </w:hyperlink>
        </w:p>
        <w:p w:rsidR="00352CEE" w:rsidRDefault="00435C83" w14:paraId="214C435F" w14:textId="52CF45F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1B2203">
              <w:rPr>
                <w:noProof/>
                <w:webHidden/>
              </w:rPr>
              <w:t>2</w:t>
            </w:r>
            <w:r w:rsidR="00352CEE">
              <w:rPr>
                <w:noProof/>
                <w:webHidden/>
              </w:rPr>
              <w:fldChar w:fldCharType="end"/>
            </w:r>
          </w:hyperlink>
        </w:p>
        <w:p w:rsidR="00352CEE" w:rsidRDefault="00435C83" w14:paraId="214C4360" w14:textId="50925050">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1B2203">
              <w:rPr>
                <w:noProof/>
                <w:webHidden/>
              </w:rPr>
              <w:t>3</w:t>
            </w:r>
            <w:r w:rsidR="00352CEE">
              <w:rPr>
                <w:noProof/>
                <w:webHidden/>
              </w:rPr>
              <w:fldChar w:fldCharType="end"/>
            </w:r>
          </w:hyperlink>
        </w:p>
        <w:p w:rsidR="00352CEE" w:rsidRDefault="00435C83" w14:paraId="214C4361" w14:textId="1D16D1B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1B2203">
              <w:rPr>
                <w:noProof/>
                <w:webHidden/>
              </w:rPr>
              <w:t>4</w:t>
            </w:r>
            <w:r w:rsidR="00352CEE">
              <w:rPr>
                <w:noProof/>
                <w:webHidden/>
              </w:rPr>
              <w:fldChar w:fldCharType="end"/>
            </w:r>
          </w:hyperlink>
        </w:p>
        <w:p w:rsidR="00352CEE" w:rsidRDefault="00435C83" w14:paraId="214C4362" w14:textId="224B4D75">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1B2203">
              <w:rPr>
                <w:noProof/>
                <w:webHidden/>
              </w:rPr>
              <w:t>5</w:t>
            </w:r>
            <w:r w:rsidR="00352CEE">
              <w:rPr>
                <w:noProof/>
                <w:webHidden/>
              </w:rPr>
              <w:fldChar w:fldCharType="end"/>
            </w:r>
          </w:hyperlink>
        </w:p>
        <w:p w:rsidR="00A12917" w:rsidP="00A12917" w:rsidRDefault="00352CEE" w14:paraId="383B4AD2" w14:textId="51BAC8C1">
          <w:pPr>
            <w:rPr>
              <w:bCs/>
              <w:noProof/>
            </w:rPr>
          </w:pPr>
          <w:r>
            <w:rPr>
              <w:b/>
              <w:bCs/>
              <w:noProof/>
            </w:rPr>
            <w:fldChar w:fldCharType="end"/>
          </w:r>
        </w:p>
      </w:sdtContent>
    </w:sdt>
    <w:p w:rsidR="001B2203" w:rsidP="00A12917" w:rsidRDefault="001B2203" w14:paraId="48871B8F" w14:textId="77777777"/>
    <w:p w:rsidR="00A12917" w:rsidP="00A12917" w:rsidRDefault="00A601F1" w14:paraId="1D87DA66" w14:textId="5CA1DC23">
      <w:r>
        <w:t>T</w:t>
      </w:r>
      <w:r w:rsidR="00A12917">
        <w:t>he</w:t>
      </w:r>
      <w:r>
        <w:t xml:space="preserve"> data</w:t>
      </w:r>
      <w:r w:rsidR="00A12917">
        <w:t xml:space="preserve"> collection involves statistical methods and the purpose of the collection is </w:t>
      </w:r>
      <w:r>
        <w:t xml:space="preserve">not </w:t>
      </w:r>
      <w:r w:rsidR="00A12917">
        <w:t xml:space="preserve">to make statistical generalizations beyond the </w:t>
      </w:r>
      <w:r>
        <w:t>respondents</w:t>
      </w:r>
      <w:r w:rsidR="00A12917">
        <w:t>.</w:t>
      </w:r>
      <w:bookmarkStart w:name="_Toc473882440" w:id="3"/>
    </w:p>
    <w:p w:rsidR="00352CEE" w:rsidP="00352CEE" w:rsidRDefault="00352CEE" w14:paraId="214C4364" w14:textId="77777777">
      <w:pPr>
        <w:pStyle w:val="Heading1"/>
      </w:pPr>
      <w:r>
        <w:t>Respondent Universe and Sampling Methods</w:t>
      </w:r>
      <w:bookmarkEnd w:id="3"/>
    </w:p>
    <w:p w:rsidRPr="001B2203" w:rsidR="00A601F1" w:rsidP="001B2203" w:rsidRDefault="00A601F1" w14:paraId="581B663B" w14:textId="0434C7A0">
      <w:pPr>
        <w:rPr>
          <w:rFonts w:cstheme="minorHAnsi"/>
        </w:rPr>
      </w:pPr>
      <w:bookmarkStart w:name="_Toc473882441" w:id="4"/>
      <w:r w:rsidRPr="4FD2B623">
        <w:t xml:space="preserve">A cross-sectional household-based survey design will be used to measure SARS-CoV-2 seroprevalence at one point in time. </w:t>
      </w:r>
      <w:r w:rsidRPr="007612A2">
        <w:rPr>
          <w:rFonts w:cstheme="minorHAnsi"/>
        </w:rPr>
        <w:t xml:space="preserve">The </w:t>
      </w:r>
      <w:r>
        <w:rPr>
          <w:rFonts w:cstheme="minorHAnsi"/>
        </w:rPr>
        <w:t>investigation</w:t>
      </w:r>
      <w:r w:rsidRPr="007612A2">
        <w:rPr>
          <w:rFonts w:cstheme="minorHAnsi"/>
        </w:rPr>
        <w:t xml:space="preserve"> will be implemented in </w:t>
      </w:r>
      <w:r w:rsidRPr="00435C83" w:rsidR="006D4AAE">
        <w:rPr>
          <w:rFonts w:cstheme="minorHAnsi"/>
          <w:strike/>
        </w:rPr>
        <w:t>3</w:t>
      </w:r>
      <w:r w:rsidR="00617D80">
        <w:rPr>
          <w:rFonts w:cstheme="minorHAnsi"/>
        </w:rPr>
        <w:t xml:space="preserve">up to 4 </w:t>
      </w:r>
      <w:r>
        <w:rPr>
          <w:rFonts w:cstheme="minorHAnsi"/>
        </w:rPr>
        <w:t xml:space="preserve">U.S. locations with evidence of </w:t>
      </w:r>
      <w:r w:rsidRPr="00967DD6">
        <w:rPr>
          <w:rFonts w:cstheme="minorHAnsi"/>
        </w:rPr>
        <w:t>community transmission of SARS-CoV-2</w:t>
      </w:r>
      <w:r w:rsidRPr="007612A2">
        <w:rPr>
          <w:rFonts w:cstheme="minorHAnsi"/>
        </w:rPr>
        <w:t xml:space="preserve">. </w:t>
      </w:r>
      <w:r>
        <w:rPr>
          <w:rFonts w:cstheme="minorHAnsi"/>
        </w:rPr>
        <w:t xml:space="preserve">Locations with pre-existing surveillance platforms in place to capture COVID-19 hospitalization rates and well-defined geographically bound catchment areas will be preferentially selected for implementation. </w:t>
      </w:r>
      <w:r w:rsidRPr="00967DD6">
        <w:rPr>
          <w:rFonts w:cstheme="minorHAnsi"/>
        </w:rPr>
        <w:t xml:space="preserve">The </w:t>
      </w:r>
      <w:r>
        <w:rPr>
          <w:rFonts w:cstheme="minorHAnsi"/>
        </w:rPr>
        <w:t>investigation</w:t>
      </w:r>
      <w:r w:rsidRPr="00967DD6">
        <w:rPr>
          <w:rFonts w:cstheme="minorHAnsi"/>
        </w:rPr>
        <w:t xml:space="preserve"> population will consist of </w:t>
      </w:r>
      <w:r>
        <w:rPr>
          <w:rFonts w:cstheme="minorHAnsi"/>
        </w:rPr>
        <w:t xml:space="preserve">all </w:t>
      </w:r>
      <w:r w:rsidRPr="00967DD6">
        <w:rPr>
          <w:rFonts w:cstheme="minorHAnsi"/>
        </w:rPr>
        <w:t xml:space="preserve">persons residing in selected households </w:t>
      </w:r>
      <w:r w:rsidRPr="00D47C6A">
        <w:rPr>
          <w:rFonts w:cstheme="minorHAnsi"/>
        </w:rPr>
        <w:t xml:space="preserve">from selected defined geographic areas. </w:t>
      </w:r>
      <w:r>
        <w:rPr>
          <w:rFonts w:cstheme="minorHAnsi"/>
        </w:rPr>
        <w:t>I</w:t>
      </w:r>
      <w:r w:rsidRPr="00D47C6A">
        <w:rPr>
          <w:rFonts w:cstheme="minorHAnsi"/>
        </w:rPr>
        <w:t>ndividuals</w:t>
      </w:r>
      <w:r>
        <w:rPr>
          <w:rFonts w:cstheme="minorHAnsi"/>
        </w:rPr>
        <w:t xml:space="preserve"> of all ages</w:t>
      </w:r>
      <w:r w:rsidRPr="00D47C6A">
        <w:rPr>
          <w:rFonts w:cstheme="minorHAnsi"/>
        </w:rPr>
        <w:t xml:space="preserve"> residing within an eligible household w</w:t>
      </w:r>
      <w:r w:rsidRPr="00967DD6">
        <w:rPr>
          <w:rFonts w:cstheme="minorHAnsi"/>
        </w:rPr>
        <w:t xml:space="preserve">ill </w:t>
      </w:r>
      <w:r>
        <w:rPr>
          <w:rFonts w:cstheme="minorHAnsi"/>
        </w:rPr>
        <w:t xml:space="preserve">be assessed for eligibility. </w:t>
      </w:r>
      <w:r w:rsidRPr="00967DD6">
        <w:rPr>
          <w:rFonts w:cstheme="minorHAnsi"/>
        </w:rPr>
        <w:t>A</w:t>
      </w:r>
      <w:r>
        <w:rPr>
          <w:rFonts w:cstheme="minorHAnsi"/>
        </w:rPr>
        <w:t>n</w:t>
      </w:r>
      <w:r w:rsidRPr="00967DD6">
        <w:rPr>
          <w:rFonts w:cstheme="minorHAnsi"/>
        </w:rPr>
        <w:t xml:space="preserve"> </w:t>
      </w:r>
      <w:r>
        <w:rPr>
          <w:rFonts w:cstheme="minorHAnsi"/>
        </w:rPr>
        <w:t xml:space="preserve">eligible </w:t>
      </w:r>
      <w:r w:rsidRPr="00967DD6">
        <w:rPr>
          <w:rFonts w:cstheme="minorHAnsi"/>
        </w:rPr>
        <w:t xml:space="preserve">household participant will be defined as an individual who spends an average of ≥2 nights per week in the home. </w:t>
      </w:r>
      <w:r>
        <w:rPr>
          <w:rFonts w:cstheme="minorHAnsi"/>
        </w:rPr>
        <w:t xml:space="preserve">Households will be defined as </w:t>
      </w:r>
      <w:r w:rsidRPr="00967DD6">
        <w:rPr>
          <w:rFonts w:cstheme="minorHAnsi"/>
        </w:rPr>
        <w:t>a shared living space between ≥</w:t>
      </w:r>
      <w:r w:rsidR="00932DBC">
        <w:rPr>
          <w:rFonts w:cstheme="minorHAnsi"/>
        </w:rPr>
        <w:t>1</w:t>
      </w:r>
      <w:r w:rsidRPr="00967DD6" w:rsidR="00932DBC">
        <w:rPr>
          <w:rFonts w:cstheme="minorHAnsi"/>
        </w:rPr>
        <w:t xml:space="preserve"> </w:t>
      </w:r>
      <w:r w:rsidRPr="00967DD6">
        <w:rPr>
          <w:rFonts w:cstheme="minorHAnsi"/>
        </w:rPr>
        <w:t>people, excluding correctional facilities, long-term care facilities, boarding schools, hostels, dormitories, or other similar institutionalized settings</w:t>
      </w:r>
      <w:r w:rsidRPr="00E81EA9">
        <w:rPr>
          <w:rFonts w:cstheme="minorHAnsi"/>
        </w:rPr>
        <w:t xml:space="preserve">. </w:t>
      </w:r>
      <w:r w:rsidRPr="00967DD6">
        <w:rPr>
          <w:rFonts w:cstheme="minorHAnsi"/>
        </w:rPr>
        <w:t xml:space="preserve">Households in which English is not the primary language spoken may be excluded from the survey if translation services are not available. </w:t>
      </w:r>
    </w:p>
    <w:p w:rsidR="00A601F1" w:rsidP="004C65A6" w:rsidRDefault="00202D8E" w14:paraId="2418EFC8" w14:textId="3391FB2E">
      <w:pPr>
        <w:contextualSpacing/>
      </w:pPr>
      <w:r>
        <w:t xml:space="preserve">At the request of </w:t>
      </w:r>
      <w:r w:rsidR="00A72C80">
        <w:t>state and local health departments</w:t>
      </w:r>
      <w:r>
        <w:t xml:space="preserve">, </w:t>
      </w:r>
      <w:r w:rsidR="00A72C80">
        <w:t>seroprevalence investigations</w:t>
      </w:r>
      <w:r>
        <w:t xml:space="preserve"> will be conducted in </w:t>
      </w:r>
      <w:r w:rsidR="00A72C80">
        <w:t xml:space="preserve">selected </w:t>
      </w:r>
      <w:r w:rsidR="00213A83">
        <w:t>areas</w:t>
      </w:r>
      <w:r>
        <w:t xml:space="preserve"> </w:t>
      </w:r>
      <w:r w:rsidR="00213A83">
        <w:t>to</w:t>
      </w:r>
      <w:r>
        <w:t xml:space="preserve"> understand the </w:t>
      </w:r>
      <w:r w:rsidRPr="000D4937">
        <w:t>SARS-CoV-2 seroprevalence</w:t>
      </w:r>
      <w:r>
        <w:t xml:space="preserve"> in this community. </w:t>
      </w:r>
      <w:r w:rsidR="00CA3D96">
        <w:t xml:space="preserve">The </w:t>
      </w:r>
      <w:r w:rsidR="00A601F1">
        <w:t xml:space="preserve">sampling methodology </w:t>
      </w:r>
      <w:r w:rsidR="00CA3D96">
        <w:t xml:space="preserve">for this investigation </w:t>
      </w:r>
      <w:r w:rsidR="00A601F1">
        <w:t>will be based on a modified CDC Community Assessment for Public Health Emergency Response (CASPER) framework (</w:t>
      </w:r>
      <w:hyperlink w:history="1" r:id="rId11">
        <w:r w:rsidRPr="00025E68" w:rsidR="00A601F1">
          <w:rPr>
            <w:rStyle w:val="Hyperlink"/>
          </w:rPr>
          <w:t>https://www.cdc.gov/nceh/casper/default.htm</w:t>
        </w:r>
      </w:hyperlink>
      <w:r w:rsidR="00A601F1">
        <w:t>).</w:t>
      </w:r>
      <w:r w:rsidR="0041795D">
        <w:t xml:space="preserve"> </w:t>
      </w:r>
      <w:bookmarkStart w:name="_Hlk38642562" w:id="5"/>
      <w:r w:rsidR="00750612">
        <w:t xml:space="preserve">The primary investigations in this </w:t>
      </w:r>
      <w:r w:rsidR="00E81E9D">
        <w:t>ICR</w:t>
      </w:r>
      <w:r w:rsidR="00750612">
        <w:t xml:space="preserve"> will select Census blocks using Probability Proportional to Size (PPS) sampling without replacement, as described here (</w:t>
      </w:r>
      <w:hyperlink w:history="1" r:id="rId12">
        <w:r w:rsidR="00750612">
          <w:rPr>
            <w:rStyle w:val="Hyperlink"/>
          </w:rPr>
          <w:t>https://v8doc.sas.com/sashtml/stat/chap63/sect20.htm</w:t>
        </w:r>
      </w:hyperlink>
      <w:r w:rsidR="00750612">
        <w:t xml:space="preserve">). </w:t>
      </w:r>
      <w:bookmarkEnd w:id="5"/>
      <w:r w:rsidR="00D2546B">
        <w:t xml:space="preserve">Some </w:t>
      </w:r>
      <w:r w:rsidR="00750612">
        <w:t xml:space="preserve">investigations that will be included in the </w:t>
      </w:r>
      <w:r w:rsidR="00E81E9D">
        <w:t>ICR</w:t>
      </w:r>
      <w:r w:rsidR="00750612">
        <w:t xml:space="preserve"> </w:t>
      </w:r>
      <w:r w:rsidR="0041795D">
        <w:t>may use other sampling methods or existing population-based surveillance platforms</w:t>
      </w:r>
      <w:r w:rsidR="00780164">
        <w:t xml:space="preserve">. </w:t>
      </w:r>
    </w:p>
    <w:p w:rsidR="00A601F1" w:rsidP="004C65A6" w:rsidRDefault="00A601F1" w14:paraId="6BB38799" w14:textId="77777777">
      <w:pPr>
        <w:contextualSpacing/>
      </w:pPr>
    </w:p>
    <w:p w:rsidR="00085E27" w:rsidP="004C65A6" w:rsidRDefault="00A601F1" w14:paraId="687D5FCB" w14:textId="3A464915">
      <w:pPr>
        <w:contextualSpacing/>
        <w:rPr>
          <w:rFonts w:cstheme="minorHAnsi"/>
        </w:rPr>
      </w:pPr>
      <w:r>
        <w:t xml:space="preserve">The </w:t>
      </w:r>
      <w:r w:rsidR="00D2546B">
        <w:t xml:space="preserve">seroprevalence </w:t>
      </w:r>
      <w:r>
        <w:t>investigation</w:t>
      </w:r>
      <w:r w:rsidR="00D2546B">
        <w:t>s</w:t>
      </w:r>
      <w:r>
        <w:t xml:space="preserve"> will employ a multistage cluster sampling design to obtain a representative sample of households. Counties within a selected catchment area will be identified. </w:t>
      </w:r>
      <w:r w:rsidR="001229B6">
        <w:t xml:space="preserve">Catchment areas are defined by hospital service areas. Adjacent hospital service areas may be combined to create a contiguous geographic area. </w:t>
      </w:r>
      <w:r>
        <w:t xml:space="preserve">Using the most updated census data, census blocks will be selected according to probability proportional to size (PPS) within each </w:t>
      </w:r>
      <w:r w:rsidR="001229B6">
        <w:t>catchment area</w:t>
      </w:r>
      <w:r>
        <w:t xml:space="preserve">. Maps will be </w:t>
      </w:r>
      <w:r>
        <w:lastRenderedPageBreak/>
        <w:t>obtained for each of these census blocks and based on visual inspection, households will be manually labeled and numbered within each of these census blocks. A list of all the households will be created for each census block (i.e.</w:t>
      </w:r>
      <w:r w:rsidR="00AB0182">
        <w:t>,</w:t>
      </w:r>
      <w:r>
        <w:t xml:space="preserve"> cluster) and seven households will be randomly selected using a random number generator. </w:t>
      </w:r>
      <w:r>
        <w:rPr>
          <w:rFonts w:cstheme="minorHAnsi"/>
        </w:rPr>
        <w:t xml:space="preserve">Selected </w:t>
      </w:r>
      <w:r w:rsidRPr="00967DD6">
        <w:rPr>
          <w:rFonts w:cstheme="minorHAnsi"/>
        </w:rPr>
        <w:t xml:space="preserve">households will be approached on at least </w:t>
      </w:r>
      <w:r>
        <w:rPr>
          <w:rFonts w:cstheme="minorHAnsi"/>
        </w:rPr>
        <w:t>three</w:t>
      </w:r>
      <w:r w:rsidRPr="00967DD6">
        <w:rPr>
          <w:rFonts w:cstheme="minorHAnsi"/>
        </w:rPr>
        <w:t xml:space="preserve"> separate occasions before </w:t>
      </w:r>
      <w:r>
        <w:rPr>
          <w:rFonts w:cstheme="minorHAnsi"/>
        </w:rPr>
        <w:t xml:space="preserve">replacement </w:t>
      </w:r>
      <w:r w:rsidRPr="00967DD6">
        <w:rPr>
          <w:rFonts w:cstheme="minorHAnsi"/>
        </w:rPr>
        <w:t xml:space="preserve">due to non-availability. </w:t>
      </w:r>
      <w:r w:rsidR="00FA4404">
        <w:rPr>
          <w:rFonts w:cstheme="minorHAnsi"/>
        </w:rPr>
        <w:t xml:space="preserve">Additional details on </w:t>
      </w:r>
      <w:r w:rsidR="00D07E01">
        <w:rPr>
          <w:rFonts w:cstheme="minorHAnsi"/>
        </w:rPr>
        <w:t>s</w:t>
      </w:r>
      <w:r w:rsidR="00FA4404">
        <w:rPr>
          <w:rFonts w:cstheme="minorHAnsi"/>
        </w:rPr>
        <w:t>ystematic r</w:t>
      </w:r>
      <w:r w:rsidR="00025FD7">
        <w:rPr>
          <w:rFonts w:cstheme="minorHAnsi"/>
        </w:rPr>
        <w:t>andom</w:t>
      </w:r>
      <w:r w:rsidR="00FA4404">
        <w:rPr>
          <w:rFonts w:cstheme="minorHAnsi"/>
        </w:rPr>
        <w:t xml:space="preserve"> sampling methods </w:t>
      </w:r>
      <w:r w:rsidR="00D07E01">
        <w:rPr>
          <w:rFonts w:cstheme="minorHAnsi"/>
        </w:rPr>
        <w:t xml:space="preserve">can be found in </w:t>
      </w:r>
      <w:r w:rsidRPr="00444CD9" w:rsidR="00444CD9">
        <w:rPr>
          <w:rFonts w:cstheme="minorHAnsi"/>
        </w:rPr>
        <w:t>Attachment 4a.</w:t>
      </w:r>
    </w:p>
    <w:p w:rsidR="00435C83" w:rsidP="004C65A6" w:rsidRDefault="00435C83" w14:paraId="356E8F42" w14:textId="77777777">
      <w:pPr>
        <w:contextualSpacing/>
        <w:rPr>
          <w:rFonts w:cstheme="minorHAnsi"/>
        </w:rPr>
      </w:pPr>
    </w:p>
    <w:p w:rsidR="008F49D5" w:rsidP="001B2203" w:rsidRDefault="00A601F1" w14:paraId="01EC53AD" w14:textId="07877CB0">
      <w:r>
        <w:rPr>
          <w:rFonts w:cstheme="minorHAnsi"/>
        </w:rPr>
        <w:t>At least 210 households will be included in each catchment area sample</w:t>
      </w:r>
      <w:r w:rsidR="00004372">
        <w:rPr>
          <w:rFonts w:cstheme="minorHAnsi"/>
        </w:rPr>
        <w:t xml:space="preserve"> but may vary based on location of the investigation</w:t>
      </w:r>
      <w:r>
        <w:rPr>
          <w:rFonts w:cstheme="minorHAnsi"/>
        </w:rPr>
        <w:t>. All eligible participants within a household will be approached for recruitment.</w:t>
      </w:r>
      <w:r w:rsidR="00565762">
        <w:rPr>
          <w:rFonts w:cstheme="minorHAnsi"/>
        </w:rPr>
        <w:t xml:space="preserve"> A fixed household sample size will be used regardless of the number of households within a catchment area for logistical reasons (the sample size is based off of the number of samples that can be collected by a single research team). </w:t>
      </w:r>
      <w:r>
        <w:rPr>
          <w:rFonts w:cstheme="minorHAnsi"/>
        </w:rPr>
        <w:t xml:space="preserve"> </w:t>
      </w:r>
      <w:r w:rsidR="00565762">
        <w:rPr>
          <w:rFonts w:cstheme="minorHAnsi"/>
        </w:rPr>
        <w:t xml:space="preserve">As a result, the precision of the estimates will depend on the size of the catchment area. This effect on precision will be considered during the construction of catchment areas to prevent creating catchment areas that are so large that the fixed sample size will not be capable of providing the desired level of precision. </w:t>
      </w:r>
    </w:p>
    <w:p w:rsidR="00352CEE" w:rsidP="00352CEE" w:rsidRDefault="00352CEE" w14:paraId="214C4366" w14:textId="23B56B91">
      <w:pPr>
        <w:pStyle w:val="Heading1"/>
      </w:pPr>
      <w:r>
        <w:t>Procedures for the Collection of Information</w:t>
      </w:r>
      <w:bookmarkEnd w:id="4"/>
    </w:p>
    <w:p w:rsidR="00435C83" w:rsidP="004C65A6" w:rsidRDefault="00803E34" w14:paraId="168AB75A" w14:textId="7C56C1AB">
      <w:pPr>
        <w:contextualSpacing/>
        <w:rPr>
          <w:rFonts w:eastAsia="Times New Roman"/>
          <w:szCs w:val="24"/>
        </w:rPr>
      </w:pPr>
      <w:bookmarkStart w:name="_Toc473882442" w:id="6"/>
      <w:r w:rsidRPr="2C1D1EE8">
        <w:rPr>
          <w:rFonts w:eastAsia="Times New Roman"/>
          <w:szCs w:val="24"/>
        </w:rPr>
        <w:t xml:space="preserve">The </w:t>
      </w:r>
      <w:r w:rsidR="00B572AC">
        <w:rPr>
          <w:rFonts w:eastAsia="Times New Roman"/>
          <w:szCs w:val="24"/>
        </w:rPr>
        <w:t>investigation</w:t>
      </w:r>
      <w:r w:rsidRPr="2C1D1EE8">
        <w:rPr>
          <w:rFonts w:eastAsia="Times New Roman"/>
          <w:szCs w:val="24"/>
        </w:rPr>
        <w:t xml:space="preserve"> organizers </w:t>
      </w:r>
      <w:r w:rsidR="00004372">
        <w:rPr>
          <w:rFonts w:eastAsia="Times New Roman"/>
          <w:szCs w:val="24"/>
        </w:rPr>
        <w:t>will</w:t>
      </w:r>
      <w:r w:rsidRPr="2C1D1EE8">
        <w:rPr>
          <w:rFonts w:eastAsia="Times New Roman"/>
          <w:szCs w:val="24"/>
        </w:rPr>
        <w:t xml:space="preserve"> work with </w:t>
      </w:r>
      <w:r w:rsidR="00004372">
        <w:rPr>
          <w:rFonts w:eastAsia="Times New Roman"/>
          <w:szCs w:val="24"/>
        </w:rPr>
        <w:t>c</w:t>
      </w:r>
      <w:r w:rsidRPr="2C1D1EE8">
        <w:rPr>
          <w:rFonts w:eastAsia="Times New Roman"/>
          <w:szCs w:val="24"/>
        </w:rPr>
        <w:t xml:space="preserve">ounty and </w:t>
      </w:r>
      <w:r w:rsidR="00004372">
        <w:rPr>
          <w:rFonts w:eastAsia="Times New Roman"/>
          <w:szCs w:val="24"/>
        </w:rPr>
        <w:t>s</w:t>
      </w:r>
      <w:r w:rsidRPr="2C1D1EE8">
        <w:rPr>
          <w:rFonts w:eastAsia="Times New Roman"/>
          <w:szCs w:val="24"/>
        </w:rPr>
        <w:t xml:space="preserve">tate officials to notify the selected areas about the </w:t>
      </w:r>
      <w:r w:rsidR="00B572AC">
        <w:rPr>
          <w:rFonts w:eastAsia="Times New Roman"/>
          <w:szCs w:val="24"/>
        </w:rPr>
        <w:t>investigation</w:t>
      </w:r>
      <w:r w:rsidRPr="2C1D1EE8">
        <w:rPr>
          <w:rFonts w:eastAsia="Times New Roman"/>
          <w:szCs w:val="24"/>
        </w:rPr>
        <w:t xml:space="preserve"> using their recommended communication networks and routes, as well as through locally relevant social media networks. In some areas they may also have provided flyers or informational leaflets to households</w:t>
      </w:r>
      <w:r w:rsidR="00B92C2A">
        <w:rPr>
          <w:rFonts w:eastAsia="Times New Roman"/>
          <w:szCs w:val="24"/>
        </w:rPr>
        <w:t>.</w:t>
      </w:r>
    </w:p>
    <w:p w:rsidR="00435C83" w:rsidP="004C65A6" w:rsidRDefault="00435C83" w14:paraId="2750C485" w14:textId="77777777">
      <w:pPr>
        <w:contextualSpacing/>
        <w:rPr>
          <w:i/>
          <w:iCs/>
        </w:rPr>
      </w:pPr>
    </w:p>
    <w:p w:rsidRPr="00BF3906" w:rsidR="00BF3906" w:rsidP="004C65A6" w:rsidRDefault="00BF3906" w14:paraId="01661150" w14:textId="6D7AAEA4">
      <w:pPr>
        <w:rPr>
          <w:i/>
          <w:iCs/>
        </w:rPr>
      </w:pPr>
      <w:r w:rsidRPr="00BF3906">
        <w:rPr>
          <w:i/>
          <w:iCs/>
        </w:rPr>
        <w:t>Quality Control Procedures</w:t>
      </w:r>
    </w:p>
    <w:p w:rsidR="005D6D6B" w:rsidP="004C65A6" w:rsidRDefault="00BF3906" w14:paraId="312CCABD" w14:textId="181AC956">
      <w:pPr>
        <w:contextualSpacing/>
        <w:rPr>
          <w:rFonts w:eastAsia="Times New Roman" w:cs="Times New Roman"/>
          <w:szCs w:val="24"/>
        </w:rPr>
      </w:pPr>
      <w:r>
        <w:rPr>
          <w:rFonts w:eastAsia="Times New Roman" w:cs="Times New Roman"/>
          <w:szCs w:val="24"/>
        </w:rPr>
        <w:t>Prior to the investigation, d</w:t>
      </w:r>
      <w:r w:rsidRPr="00AC6293" w:rsidR="00AC6293">
        <w:rPr>
          <w:rFonts w:eastAsia="Times New Roman" w:cs="Times New Roman"/>
          <w:szCs w:val="24"/>
        </w:rPr>
        <w:t>ata collection teams (consisting of two members</w:t>
      </w:r>
      <w:r w:rsidR="00CA2813">
        <w:rPr>
          <w:rFonts w:eastAsia="Times New Roman" w:cs="Times New Roman"/>
          <w:szCs w:val="24"/>
        </w:rPr>
        <w:t xml:space="preserve"> each</w:t>
      </w:r>
      <w:r w:rsidRPr="00AC6293" w:rsidR="00AC6293">
        <w:rPr>
          <w:rFonts w:eastAsia="Times New Roman" w:cs="Times New Roman"/>
          <w:szCs w:val="24"/>
        </w:rPr>
        <w:t xml:space="preserve">: </w:t>
      </w:r>
      <w:r w:rsidRPr="00AC6293" w:rsidR="00AC6293">
        <w:rPr>
          <w:rFonts w:cs="Times New Roman"/>
        </w:rPr>
        <w:t>an interviewer and a phlebotomist) will</w:t>
      </w:r>
      <w:r w:rsidRPr="00AC6293" w:rsidR="00AC6293">
        <w:rPr>
          <w:rFonts w:eastAsia="Times New Roman" w:cs="Times New Roman"/>
          <w:szCs w:val="24"/>
        </w:rPr>
        <w:t xml:space="preserve"> a</w:t>
      </w:r>
      <w:r w:rsidRPr="00EA46F6" w:rsidR="00EA46F6">
        <w:rPr>
          <w:rFonts w:eastAsia="Times New Roman" w:cs="Times New Roman"/>
          <w:szCs w:val="24"/>
        </w:rPr>
        <w:t xml:space="preserve">ttend the scheduled training </w:t>
      </w:r>
      <w:r w:rsidR="00004372">
        <w:rPr>
          <w:rFonts w:eastAsia="Times New Roman" w:cs="Times New Roman"/>
          <w:szCs w:val="24"/>
        </w:rPr>
        <w:t>specific to the investigation, d</w:t>
      </w:r>
      <w:r w:rsidRPr="00EA46F6" w:rsidR="00EA46F6">
        <w:rPr>
          <w:rFonts w:eastAsia="Times New Roman" w:cs="Times New Roman"/>
          <w:szCs w:val="24"/>
        </w:rPr>
        <w:t xml:space="preserve">eployer training (specifically to cover </w:t>
      </w:r>
      <w:r w:rsidR="00A72CCD">
        <w:rPr>
          <w:rFonts w:eastAsia="Times New Roman" w:cs="Times New Roman"/>
          <w:szCs w:val="24"/>
        </w:rPr>
        <w:t>Personal Protective Equipment (</w:t>
      </w:r>
      <w:r w:rsidRPr="00EA46F6" w:rsidR="00EA46F6">
        <w:rPr>
          <w:rFonts w:eastAsia="Times New Roman" w:cs="Times New Roman"/>
          <w:szCs w:val="24"/>
        </w:rPr>
        <w:t>PPE</w:t>
      </w:r>
      <w:r w:rsidR="00A72CCD">
        <w:rPr>
          <w:rFonts w:eastAsia="Times New Roman" w:cs="Times New Roman"/>
          <w:szCs w:val="24"/>
        </w:rPr>
        <w:t>)</w:t>
      </w:r>
      <w:r w:rsidRPr="00EA46F6" w:rsidR="00EA46F6">
        <w:rPr>
          <w:rFonts w:eastAsia="Times New Roman" w:cs="Times New Roman"/>
          <w:szCs w:val="24"/>
        </w:rPr>
        <w:t xml:space="preserve"> donning and doffing)</w:t>
      </w:r>
      <w:r w:rsidR="00004372">
        <w:rPr>
          <w:rFonts w:eastAsia="Times New Roman" w:cs="Times New Roman"/>
          <w:szCs w:val="24"/>
        </w:rPr>
        <w:t xml:space="preserve"> if applicable (CDC staff)</w:t>
      </w:r>
      <w:r w:rsidR="00A72CCD">
        <w:rPr>
          <w:rFonts w:eastAsia="Times New Roman" w:cs="Times New Roman"/>
          <w:szCs w:val="24"/>
        </w:rPr>
        <w:t xml:space="preserve"> and a r</w:t>
      </w:r>
      <w:r w:rsidRPr="00EA46F6" w:rsidR="00EA46F6">
        <w:rPr>
          <w:rFonts w:eastAsia="Times New Roman" w:cs="Times New Roman"/>
          <w:szCs w:val="24"/>
        </w:rPr>
        <w:t xml:space="preserve">eview </w:t>
      </w:r>
      <w:r w:rsidR="00A72CCD">
        <w:rPr>
          <w:rFonts w:eastAsia="Times New Roman" w:cs="Times New Roman"/>
          <w:szCs w:val="24"/>
        </w:rPr>
        <w:t xml:space="preserve">of the </w:t>
      </w:r>
      <w:r>
        <w:rPr>
          <w:rFonts w:eastAsia="Times New Roman" w:cs="Times New Roman"/>
          <w:szCs w:val="24"/>
        </w:rPr>
        <w:t>investigation</w:t>
      </w:r>
      <w:r w:rsidR="00A72CCD">
        <w:rPr>
          <w:rFonts w:eastAsia="Times New Roman" w:cs="Times New Roman"/>
          <w:szCs w:val="24"/>
        </w:rPr>
        <w:t xml:space="preserve">’s Standard Operating Procedure (SOP). </w:t>
      </w:r>
      <w:r w:rsidR="00502242">
        <w:rPr>
          <w:rFonts w:eastAsia="Times New Roman" w:cs="Times New Roman"/>
          <w:szCs w:val="24"/>
        </w:rPr>
        <w:t xml:space="preserve">The interviewer will be trained to administer the consent and questionnaire. The list of questions and individuals’ answers will be recorded using </w:t>
      </w:r>
      <w:proofErr w:type="spellStart"/>
      <w:r w:rsidR="00502242">
        <w:rPr>
          <w:rFonts w:eastAsia="Times New Roman" w:cs="Times New Roman"/>
          <w:szCs w:val="24"/>
        </w:rPr>
        <w:t>REDCap</w:t>
      </w:r>
      <w:proofErr w:type="spellEnd"/>
      <w:r w:rsidR="00502242">
        <w:rPr>
          <w:rFonts w:eastAsia="Times New Roman" w:cs="Times New Roman"/>
          <w:szCs w:val="24"/>
        </w:rPr>
        <w:t xml:space="preserve"> and will be stored in a </w:t>
      </w:r>
      <w:r w:rsidR="00F224AA">
        <w:rPr>
          <w:rFonts w:eastAsia="Times New Roman" w:cs="Times New Roman"/>
          <w:szCs w:val="24"/>
        </w:rPr>
        <w:t>secure database. The privacy of the information given by respondents will be protected to the extent allowed by law, and respondents can withdraw from participation in the investigation at any time without penalty.</w:t>
      </w:r>
    </w:p>
    <w:p w:rsidR="005D6D6B" w:rsidP="004C65A6" w:rsidRDefault="005D6D6B" w14:paraId="78683BFD" w14:textId="77777777">
      <w:pPr>
        <w:contextualSpacing/>
        <w:rPr>
          <w:rFonts w:eastAsia="Times New Roman" w:cs="Times New Roman"/>
          <w:szCs w:val="24"/>
        </w:rPr>
      </w:pPr>
    </w:p>
    <w:p w:rsidR="00A72CCD" w:rsidP="004C65A6" w:rsidRDefault="001557D7" w14:paraId="70DCD4DF" w14:textId="31D2FEFD">
      <w:pPr>
        <w:contextualSpacing/>
        <w:rPr>
          <w:rFonts w:eastAsia="Times New Roman" w:cs="Times New Roman"/>
          <w:szCs w:val="24"/>
        </w:rPr>
      </w:pPr>
      <w:r w:rsidRPr="00AC6293">
        <w:rPr>
          <w:rFonts w:cs="Times New Roman"/>
        </w:rPr>
        <w:t>The</w:t>
      </w:r>
      <w:r w:rsidR="005D6D6B">
        <w:rPr>
          <w:rFonts w:cs="Times New Roman"/>
        </w:rPr>
        <w:t xml:space="preserve"> trained</w:t>
      </w:r>
      <w:r w:rsidRPr="00AC6293">
        <w:rPr>
          <w:rFonts w:cs="Times New Roman"/>
        </w:rPr>
        <w:t xml:space="preserve"> interviewer will </w:t>
      </w:r>
      <w:r w:rsidR="005D6D6B">
        <w:rPr>
          <w:rFonts w:cs="Times New Roman"/>
        </w:rPr>
        <w:t xml:space="preserve">verbally </w:t>
      </w:r>
      <w:r w:rsidRPr="00AC6293">
        <w:rPr>
          <w:rFonts w:cs="Times New Roman"/>
        </w:rPr>
        <w:t>consent individuals and conduct the interviews and the phlebotomist will obtain blood samples</w:t>
      </w:r>
      <w:r w:rsidR="005D6D6B">
        <w:rPr>
          <w:rFonts w:cs="Times New Roman"/>
        </w:rPr>
        <w:t xml:space="preserve"> by venipuncture</w:t>
      </w:r>
      <w:r w:rsidRPr="00AC6293">
        <w:rPr>
          <w:rFonts w:cs="Times New Roman"/>
        </w:rPr>
        <w:t>. The phlebotomists will be professional</w:t>
      </w:r>
      <w:r w:rsidR="00004372">
        <w:rPr>
          <w:rFonts w:cs="Times New Roman"/>
        </w:rPr>
        <w:t>s who are qualified to perform phlebotomy</w:t>
      </w:r>
      <w:r w:rsidR="00A72CCD">
        <w:rPr>
          <w:rFonts w:cs="Times New Roman"/>
        </w:rPr>
        <w:t>,</w:t>
      </w:r>
      <w:r w:rsidR="00004372">
        <w:rPr>
          <w:rFonts w:cs="Times New Roman"/>
        </w:rPr>
        <w:t xml:space="preserve"> and many include</w:t>
      </w:r>
      <w:r w:rsidR="00A72CCD">
        <w:rPr>
          <w:rFonts w:cs="Times New Roman"/>
        </w:rPr>
        <w:t xml:space="preserve"> phlebotomists</w:t>
      </w:r>
      <w:r w:rsidRPr="00AC6293">
        <w:rPr>
          <w:rFonts w:cs="Times New Roman"/>
        </w:rPr>
        <w:t xml:space="preserve"> contracted by CDC to participate in the </w:t>
      </w:r>
      <w:r w:rsidR="005D6D6B">
        <w:rPr>
          <w:rFonts w:cs="Times New Roman"/>
        </w:rPr>
        <w:t>investigation</w:t>
      </w:r>
      <w:r w:rsidRPr="00AC6293">
        <w:rPr>
          <w:rFonts w:cs="Times New Roman"/>
        </w:rPr>
        <w:t xml:space="preserve">. </w:t>
      </w:r>
    </w:p>
    <w:p w:rsidR="009E6772" w:rsidP="004C65A6" w:rsidRDefault="009E6772" w14:paraId="3296A516" w14:textId="77777777">
      <w:pPr>
        <w:contextualSpacing/>
        <w:rPr>
          <w:rFonts w:eastAsia="Times New Roman" w:cs="Times New Roman"/>
          <w:szCs w:val="24"/>
        </w:rPr>
      </w:pPr>
    </w:p>
    <w:p w:rsidR="001E0C60" w:rsidP="004C65A6" w:rsidRDefault="001E0C60" w14:paraId="10707E9D" w14:textId="3802A452">
      <w:r w:rsidRPr="3F2B4878">
        <w:t>Two standardized questionnaires will be administered: a household level questionnaire</w:t>
      </w:r>
      <w:r w:rsidR="005D6D6B">
        <w:t xml:space="preserve"> (Attachment 3a)</w:t>
      </w:r>
      <w:r w:rsidRPr="3F2B4878">
        <w:t xml:space="preserve"> and an individual level questionnaire</w:t>
      </w:r>
      <w:r w:rsidR="005D6D6B">
        <w:t xml:space="preserve"> (Attachment 3b)</w:t>
      </w:r>
      <w:r w:rsidRPr="3F2B4878">
        <w:t xml:space="preserve">. One respondent in each household (an adult who knows about all of the residents of the household) will provide responses for the household level questionnaire and each household member </w:t>
      </w:r>
      <w:r>
        <w:t xml:space="preserve">(or parent guardian in the case of a child too young to answer) </w:t>
      </w:r>
      <w:r w:rsidRPr="3F2B4878">
        <w:t>will provide responses for the individual level questionnaire</w:t>
      </w:r>
      <w:r w:rsidR="005D6D6B">
        <w:t xml:space="preserve">. </w:t>
      </w:r>
      <w:r w:rsidRPr="3F2B4878">
        <w:t xml:space="preserve">The household level questionnaire </w:t>
      </w:r>
      <w:r w:rsidRPr="3F2B4878">
        <w:lastRenderedPageBreak/>
        <w:t xml:space="preserve">will capture information on household characteristics and document all household members whether they are present at the time of the visit or not. The individual-level questionnaire will capture information on age, sex, race, ethnicity, exposures, underlying medical conditions and symptoms </w:t>
      </w:r>
      <w:r w:rsidRPr="00DD1DFC">
        <w:rPr>
          <w:rFonts w:cs="Times New Roman"/>
        </w:rPr>
        <w:t>consistent with COVID-19 since January 2020 for each available and consenting household member. The questionnaire will be administered in person</w:t>
      </w:r>
      <w:r w:rsidRPr="00DD1DFC" w:rsidR="00073A1C">
        <w:rPr>
          <w:rFonts w:cs="Times New Roman"/>
        </w:rPr>
        <w:t xml:space="preserve"> by a trained interviewer</w:t>
      </w:r>
      <w:r w:rsidR="004D33E0">
        <w:rPr>
          <w:rFonts w:cs="Times New Roman"/>
        </w:rPr>
        <w:t>.</w:t>
      </w:r>
      <w:r w:rsidR="000B55CA">
        <w:rPr>
          <w:rFonts w:cs="Times New Roman"/>
        </w:rPr>
        <w:t xml:space="preserve"> </w:t>
      </w:r>
      <w:r w:rsidRPr="00DD1DFC">
        <w:rPr>
          <w:rFonts w:cs="Times New Roman"/>
        </w:rPr>
        <w:t xml:space="preserve">Team phlebotomists will collect up to 10mL </w:t>
      </w:r>
      <w:r w:rsidRPr="00DD1DFC" w:rsidR="00073A1C">
        <w:rPr>
          <w:rFonts w:cs="Times New Roman"/>
        </w:rPr>
        <w:t xml:space="preserve">of </w:t>
      </w:r>
      <w:r w:rsidRPr="00DD1DFC">
        <w:rPr>
          <w:rFonts w:cs="Times New Roman"/>
        </w:rPr>
        <w:t xml:space="preserve">venous blood (or for children </w:t>
      </w:r>
      <w:r w:rsidRPr="00DD1DFC">
        <w:rPr>
          <w:rFonts w:eastAsia="Calibri" w:cs="Times New Roman"/>
        </w:rPr>
        <w:t>the recommended volume per age and weight)</w:t>
      </w:r>
      <w:r w:rsidRPr="00DD1DFC">
        <w:rPr>
          <w:rFonts w:cs="Times New Roman"/>
        </w:rPr>
        <w:t xml:space="preserve"> from each consented participant in an enrolled household (see specimen collection section below).</w:t>
      </w:r>
      <w:r w:rsidRPr="3F2B4878">
        <w:t xml:space="preserve"> </w:t>
      </w:r>
    </w:p>
    <w:p w:rsidRPr="00967DD6" w:rsidR="001E0C60" w:rsidP="004C65A6" w:rsidRDefault="001E0C60" w14:paraId="21A188F1" w14:textId="072B1361">
      <w:r w:rsidRPr="3F2B4878">
        <w:t xml:space="preserve">Questionnaire responses </w:t>
      </w:r>
      <w:r w:rsidR="00DD1DFC">
        <w:t>will be</w:t>
      </w:r>
      <w:r w:rsidRPr="3F2B4878">
        <w:t xml:space="preserve"> collected using </w:t>
      </w:r>
      <w:proofErr w:type="spellStart"/>
      <w:r w:rsidRPr="004A55C8">
        <w:t>REDCap</w:t>
      </w:r>
      <w:proofErr w:type="spellEnd"/>
      <w:r w:rsidRPr="004A55C8">
        <w:t>, including</w:t>
      </w:r>
      <w:r>
        <w:t xml:space="preserve"> possibly</w:t>
      </w:r>
      <w:r w:rsidRPr="3F2B4878">
        <w:t xml:space="preserve"> mobile data collection software. Paper forms will be used to collect consent </w:t>
      </w:r>
      <w:r w:rsidR="004D33E0">
        <w:rPr>
          <w:rFonts w:cs="Times New Roman"/>
        </w:rPr>
        <w:t xml:space="preserve">(Attachment 4b) </w:t>
      </w:r>
      <w:r w:rsidRPr="3F2B4878">
        <w:t xml:space="preserve">and </w:t>
      </w:r>
      <w:r>
        <w:t xml:space="preserve">may be used </w:t>
      </w:r>
      <w:r w:rsidRPr="3F2B4878">
        <w:t xml:space="preserve">to track visited households within a selected </w:t>
      </w:r>
      <w:r w:rsidR="004D33E0">
        <w:t xml:space="preserve">cluster or </w:t>
      </w:r>
      <w:r w:rsidRPr="3F2B4878">
        <w:t>census block.</w:t>
      </w:r>
    </w:p>
    <w:p w:rsidRPr="00FB6631" w:rsidR="00186855" w:rsidP="00186855" w:rsidRDefault="00DD1DFC" w14:paraId="7024BF8A" w14:textId="608FDE7B">
      <w:pPr>
        <w:pStyle w:val="ListParagraph"/>
        <w:numPr>
          <w:ilvl w:val="0"/>
          <w:numId w:val="5"/>
        </w:numPr>
        <w:spacing w:after="0" w:line="259" w:lineRule="auto"/>
        <w:rPr>
          <w:rFonts w:cs="Times New Roman"/>
          <w:szCs w:val="24"/>
        </w:rPr>
      </w:pPr>
      <w:r>
        <w:rPr>
          <w:rFonts w:cs="Times New Roman"/>
          <w:szCs w:val="24"/>
        </w:rPr>
        <w:t>A 10</w:t>
      </w:r>
      <w:r w:rsidR="00435C83">
        <w:rPr>
          <w:rFonts w:cs="Times New Roman"/>
          <w:szCs w:val="24"/>
        </w:rPr>
        <w:t xml:space="preserve"> </w:t>
      </w:r>
      <w:bookmarkStart w:name="_GoBack" w:id="7"/>
      <w:bookmarkEnd w:id="7"/>
      <w:r>
        <w:rPr>
          <w:rFonts w:cs="Times New Roman"/>
          <w:szCs w:val="24"/>
        </w:rPr>
        <w:t>mL volume of b</w:t>
      </w:r>
      <w:r w:rsidRPr="00FB6631" w:rsidR="00186855">
        <w:rPr>
          <w:rFonts w:cs="Times New Roman"/>
          <w:szCs w:val="24"/>
        </w:rPr>
        <w:t xml:space="preserve">lood will be collected from each </w:t>
      </w:r>
      <w:r>
        <w:rPr>
          <w:rFonts w:cs="Times New Roman"/>
          <w:szCs w:val="24"/>
        </w:rPr>
        <w:t xml:space="preserve">adult </w:t>
      </w:r>
      <w:r w:rsidRPr="00FB6631" w:rsidR="00186855">
        <w:rPr>
          <w:rFonts w:cs="Times New Roman"/>
          <w:szCs w:val="24"/>
        </w:rPr>
        <w:t xml:space="preserve">participant using standard venipuncture techniques and following recommended PPE guidelines. Blood volume collected </w:t>
      </w:r>
      <w:r w:rsidR="0074785F">
        <w:rPr>
          <w:rFonts w:cs="Times New Roman"/>
          <w:szCs w:val="24"/>
        </w:rPr>
        <w:t xml:space="preserve">from children under the age of 18 years </w:t>
      </w:r>
      <w:r w:rsidRPr="00FB6631" w:rsidR="00186855">
        <w:rPr>
          <w:rFonts w:cs="Times New Roman"/>
          <w:szCs w:val="24"/>
        </w:rPr>
        <w:t xml:space="preserve">will not exceed the recommended amount per age and weight. </w:t>
      </w:r>
    </w:p>
    <w:p w:rsidRPr="00FB6631" w:rsidR="00186855" w:rsidP="00186855" w:rsidRDefault="00186855" w14:paraId="4CD50D70" w14:textId="77777777">
      <w:pPr>
        <w:pStyle w:val="ListParagraph"/>
        <w:numPr>
          <w:ilvl w:val="0"/>
          <w:numId w:val="5"/>
        </w:numPr>
        <w:spacing w:after="0" w:line="259" w:lineRule="auto"/>
        <w:rPr>
          <w:rFonts w:cs="Times New Roman"/>
          <w:szCs w:val="24"/>
        </w:rPr>
      </w:pPr>
      <w:r w:rsidRPr="00FB6631">
        <w:rPr>
          <w:rFonts w:cs="Times New Roman"/>
          <w:szCs w:val="24"/>
        </w:rPr>
        <w:t xml:space="preserve">Once collected, blood samples will be stored in closed cooler boxes in team vehicles and then transported to the local collaborating laboratory for processing. </w:t>
      </w:r>
    </w:p>
    <w:p w:rsidRPr="00FB6631" w:rsidR="00186855" w:rsidP="00186855" w:rsidRDefault="00186855" w14:paraId="247168B7" w14:textId="1D23E21E">
      <w:pPr>
        <w:pStyle w:val="ListParagraph"/>
        <w:numPr>
          <w:ilvl w:val="0"/>
          <w:numId w:val="5"/>
        </w:numPr>
        <w:spacing w:after="0" w:line="259" w:lineRule="auto"/>
        <w:rPr>
          <w:rFonts w:cs="Times New Roman"/>
          <w:szCs w:val="24"/>
        </w:rPr>
      </w:pPr>
      <w:r w:rsidRPr="00FB6631">
        <w:rPr>
          <w:rFonts w:cs="Times New Roman"/>
          <w:szCs w:val="24"/>
        </w:rPr>
        <w:t xml:space="preserve">Testing will be done at CDC using serologic assays that test for SARS-CoV-2 antibodies. Serologic assays will likely include enzyme-linked immunosorbent assays (ELISA), and when necessary, microneutralization testing (MNT). As serologic tests are further developed, it is possible that additional serologic tests and quantitative testing for different classes of serum antibody might be performed. </w:t>
      </w:r>
      <w:r w:rsidR="00BC60E3">
        <w:rPr>
          <w:rFonts w:cs="Times New Roman"/>
          <w:szCs w:val="24"/>
        </w:rPr>
        <w:t xml:space="preserve">Note that all serologic tests have </w:t>
      </w:r>
      <w:r w:rsidR="00AA3A27">
        <w:rPr>
          <w:rFonts w:cs="Times New Roman"/>
          <w:szCs w:val="24"/>
        </w:rPr>
        <w:t xml:space="preserve">associated error (false positives and false negatives). This error will combine with the sampling error in this </w:t>
      </w:r>
      <w:r w:rsidR="00D34B76">
        <w:rPr>
          <w:rFonts w:cs="Times New Roman"/>
          <w:szCs w:val="24"/>
        </w:rPr>
        <w:t>investigation</w:t>
      </w:r>
      <w:r w:rsidR="00AA3A27">
        <w:rPr>
          <w:rFonts w:cs="Times New Roman"/>
          <w:szCs w:val="24"/>
        </w:rPr>
        <w:t xml:space="preserve"> to affect the accuracy and precision of the final estimates. CDC will include information about the error associated with the serological tests employed in this </w:t>
      </w:r>
      <w:r w:rsidR="00D34B76">
        <w:rPr>
          <w:rFonts w:cs="Times New Roman"/>
          <w:szCs w:val="24"/>
        </w:rPr>
        <w:t>investigation</w:t>
      </w:r>
      <w:r w:rsidR="00AA3A27">
        <w:rPr>
          <w:rFonts w:cs="Times New Roman"/>
          <w:szCs w:val="24"/>
        </w:rPr>
        <w:t xml:space="preserve"> whenever results are disseminated. </w:t>
      </w:r>
    </w:p>
    <w:p w:rsidRPr="00FB6631" w:rsidR="00186855" w:rsidP="00186855" w:rsidRDefault="00186855" w14:paraId="2DCB04F4" w14:textId="29439EC4">
      <w:pPr>
        <w:pStyle w:val="Heading2"/>
        <w:keepNext/>
        <w:keepLines/>
        <w:numPr>
          <w:ilvl w:val="0"/>
          <w:numId w:val="5"/>
        </w:numPr>
        <w:spacing w:before="40"/>
        <w:jc w:val="left"/>
        <w:rPr>
          <w:rFonts w:cs="Times New Roman"/>
          <w:b w:val="0"/>
          <w:bCs/>
          <w:color w:val="000000"/>
          <w:sz w:val="24"/>
          <w:szCs w:val="24"/>
        </w:rPr>
      </w:pPr>
      <w:r w:rsidRPr="00FB6631">
        <w:rPr>
          <w:rFonts w:cs="Times New Roman"/>
          <w:b w:val="0"/>
          <w:bCs/>
          <w:color w:val="000000"/>
          <w:sz w:val="24"/>
          <w:szCs w:val="24"/>
        </w:rPr>
        <w:t xml:space="preserve">All personnel involved in the investigation will be trained in infection prevention and control procedures. Recommended </w:t>
      </w:r>
      <w:r w:rsidR="00004372">
        <w:rPr>
          <w:rFonts w:cs="Times New Roman"/>
          <w:b w:val="0"/>
          <w:bCs/>
          <w:color w:val="000000"/>
          <w:sz w:val="24"/>
          <w:szCs w:val="24"/>
        </w:rPr>
        <w:t>PPE</w:t>
      </w:r>
      <w:r w:rsidRPr="00FB6631">
        <w:rPr>
          <w:rFonts w:cs="Times New Roman"/>
          <w:b w:val="0"/>
          <w:bCs/>
          <w:color w:val="000000"/>
          <w:sz w:val="24"/>
          <w:szCs w:val="24"/>
        </w:rPr>
        <w:t xml:space="preserve">, which may include </w:t>
      </w:r>
      <w:r w:rsidR="00004372">
        <w:rPr>
          <w:rFonts w:cs="Times New Roman"/>
          <w:b w:val="0"/>
          <w:bCs/>
          <w:color w:val="000000"/>
          <w:sz w:val="24"/>
          <w:szCs w:val="24"/>
        </w:rPr>
        <w:t xml:space="preserve">a surgical mask, N95 respirator, gown, face shield and gloves </w:t>
      </w:r>
      <w:r w:rsidRPr="00FB6631">
        <w:rPr>
          <w:rFonts w:cs="Times New Roman"/>
          <w:b w:val="0"/>
          <w:bCs/>
          <w:color w:val="000000"/>
          <w:sz w:val="24"/>
          <w:szCs w:val="24"/>
        </w:rPr>
        <w:t>will be used by staff and phlebotomists entering households</w:t>
      </w:r>
      <w:r w:rsidR="00004372">
        <w:rPr>
          <w:rFonts w:cs="Times New Roman"/>
          <w:b w:val="0"/>
          <w:bCs/>
          <w:color w:val="000000"/>
          <w:sz w:val="24"/>
          <w:szCs w:val="24"/>
        </w:rPr>
        <w:t xml:space="preserve"> according to the SOP</w:t>
      </w:r>
      <w:r w:rsidRPr="00FB6631">
        <w:rPr>
          <w:rFonts w:cs="Times New Roman"/>
          <w:b w:val="0"/>
          <w:bCs/>
          <w:color w:val="000000"/>
          <w:sz w:val="24"/>
          <w:szCs w:val="24"/>
        </w:rPr>
        <w:t xml:space="preserve">. Procedures </w:t>
      </w:r>
      <w:r w:rsidR="0074785F">
        <w:rPr>
          <w:rFonts w:cs="Times New Roman"/>
          <w:b w:val="0"/>
          <w:bCs/>
          <w:color w:val="000000"/>
          <w:sz w:val="24"/>
          <w:szCs w:val="24"/>
        </w:rPr>
        <w:t>will</w:t>
      </w:r>
      <w:r w:rsidRPr="00FB6631">
        <w:rPr>
          <w:rFonts w:cs="Times New Roman"/>
          <w:b w:val="0"/>
          <w:bCs/>
          <w:color w:val="000000"/>
          <w:sz w:val="24"/>
          <w:szCs w:val="24"/>
        </w:rPr>
        <w:t xml:space="preserve"> include proper hand hygiene and the correct </w:t>
      </w:r>
      <w:r w:rsidR="00004372">
        <w:rPr>
          <w:rFonts w:cs="Times New Roman"/>
          <w:b w:val="0"/>
          <w:bCs/>
          <w:color w:val="000000"/>
          <w:sz w:val="24"/>
          <w:szCs w:val="24"/>
        </w:rPr>
        <w:t>donning and doffing of PPE</w:t>
      </w:r>
    </w:p>
    <w:p w:rsidRPr="00FB6631" w:rsidR="00186855" w:rsidP="00803E34" w:rsidRDefault="008A54E7" w14:paraId="24B5DE7A" w14:textId="50B92EDC">
      <w:pPr>
        <w:pStyle w:val="ListParagraph"/>
        <w:numPr>
          <w:ilvl w:val="0"/>
          <w:numId w:val="5"/>
        </w:numPr>
        <w:rPr>
          <w:rFonts w:cs="Times New Roman"/>
        </w:rPr>
      </w:pPr>
      <w:r w:rsidRPr="00FB6631">
        <w:rPr>
          <w:rFonts w:cs="Times New Roman"/>
        </w:rPr>
        <w:t xml:space="preserve">The CDC Emergency Operations Center </w:t>
      </w:r>
      <w:r w:rsidR="00004372">
        <w:rPr>
          <w:rFonts w:cs="Times New Roman"/>
        </w:rPr>
        <w:t>will</w:t>
      </w:r>
      <w:r w:rsidRPr="00FB6631">
        <w:rPr>
          <w:rFonts w:cs="Times New Roman"/>
        </w:rPr>
        <w:t xml:space="preserve"> </w:t>
      </w:r>
      <w:r w:rsidR="00004372">
        <w:rPr>
          <w:rFonts w:cs="Times New Roman"/>
        </w:rPr>
        <w:t>supply the</w:t>
      </w:r>
      <w:r w:rsidRPr="00FB6631">
        <w:rPr>
          <w:rFonts w:cs="Times New Roman"/>
        </w:rPr>
        <w:t xml:space="preserve"> </w:t>
      </w:r>
      <w:r w:rsidRPr="00FB6631" w:rsidR="00FB6631">
        <w:rPr>
          <w:rFonts w:cs="Times New Roman"/>
        </w:rPr>
        <w:t>pre-determined</w:t>
      </w:r>
      <w:r w:rsidRPr="00FB6631" w:rsidR="005A4563">
        <w:rPr>
          <w:rFonts w:cs="Times New Roman"/>
        </w:rPr>
        <w:t xml:space="preserve"> </w:t>
      </w:r>
      <w:r w:rsidRPr="00FB6631" w:rsidR="00B258D3">
        <w:rPr>
          <w:rFonts w:cs="Times New Roman"/>
        </w:rPr>
        <w:t xml:space="preserve">PPE </w:t>
      </w:r>
      <w:r w:rsidRPr="00FB6631" w:rsidR="00CB59F4">
        <w:rPr>
          <w:rFonts w:cs="Times New Roman"/>
        </w:rPr>
        <w:t>to data collection teams</w:t>
      </w:r>
      <w:r w:rsidR="0074785F">
        <w:rPr>
          <w:rFonts w:cs="Times New Roman"/>
        </w:rPr>
        <w:t xml:space="preserve"> specifically for these investigations</w:t>
      </w:r>
      <w:r w:rsidRPr="00FB6631" w:rsidR="00D8583C">
        <w:rPr>
          <w:rFonts w:cs="Times New Roman"/>
        </w:rPr>
        <w:t>.</w:t>
      </w:r>
    </w:p>
    <w:p w:rsidR="00352CEE" w:rsidP="00352CEE" w:rsidRDefault="00352CEE" w14:paraId="214C4368" w14:textId="7BF64930">
      <w:pPr>
        <w:pStyle w:val="Heading1"/>
      </w:pPr>
      <w:r>
        <w:t xml:space="preserve">Methods to </w:t>
      </w:r>
      <w:r w:rsidR="0074785F">
        <w:t>M</w:t>
      </w:r>
      <w:r>
        <w:t>aximize Response Rates and Deal with No Response</w:t>
      </w:r>
      <w:bookmarkEnd w:id="6"/>
    </w:p>
    <w:p w:rsidRPr="003B74E6" w:rsidR="003B74E6" w:rsidP="004C65A6" w:rsidRDefault="005B7BE9" w14:paraId="37FCFCC4" w14:textId="6B73550C">
      <w:pPr>
        <w:rPr>
          <w:szCs w:val="24"/>
        </w:rPr>
      </w:pPr>
      <w:bookmarkStart w:name="_Toc473882443" w:id="8"/>
      <w:r w:rsidRPr="003B74E6">
        <w:rPr>
          <w:szCs w:val="24"/>
        </w:rPr>
        <w:t>If a household refuses to participate or appears vacant/unoccupied</w:t>
      </w:r>
      <w:r w:rsidRPr="003B74E6" w:rsidR="00CC4896">
        <w:rPr>
          <w:szCs w:val="24"/>
        </w:rPr>
        <w:t xml:space="preserve"> there are two methods</w:t>
      </w:r>
      <w:r w:rsidRPr="003B74E6" w:rsidR="00CF4568">
        <w:rPr>
          <w:szCs w:val="24"/>
        </w:rPr>
        <w:t xml:space="preserve"> (immediate or delayed replacement)</w:t>
      </w:r>
      <w:r w:rsidRPr="003B74E6" w:rsidR="00CC4896">
        <w:rPr>
          <w:szCs w:val="24"/>
        </w:rPr>
        <w:t xml:space="preserve"> for the household</w:t>
      </w:r>
      <w:r w:rsidRPr="003B74E6" w:rsidR="00CF4568">
        <w:rPr>
          <w:szCs w:val="24"/>
        </w:rPr>
        <w:t xml:space="preserve"> described in</w:t>
      </w:r>
      <w:r w:rsidRPr="003B74E6" w:rsidR="00CF4568">
        <w:rPr>
          <w:rFonts w:cstheme="minorHAnsi"/>
          <w:color w:val="FF0000"/>
        </w:rPr>
        <w:t xml:space="preserve"> </w:t>
      </w:r>
      <w:r w:rsidRPr="004C65A6" w:rsidR="004C65A6">
        <w:rPr>
          <w:rFonts w:cstheme="minorHAnsi"/>
        </w:rPr>
        <w:t xml:space="preserve">Attachment 4a. </w:t>
      </w:r>
      <w:r w:rsidRPr="003B74E6" w:rsidR="003B74E6">
        <w:rPr>
          <w:szCs w:val="24"/>
        </w:rPr>
        <w:t xml:space="preserve">If the team </w:t>
      </w:r>
      <w:r w:rsidR="0074785F">
        <w:rPr>
          <w:szCs w:val="24"/>
        </w:rPr>
        <w:t xml:space="preserve">is </w:t>
      </w:r>
      <w:r w:rsidRPr="003B74E6" w:rsidR="003B74E6">
        <w:rPr>
          <w:szCs w:val="24"/>
        </w:rPr>
        <w:t xml:space="preserve">unable to enroll </w:t>
      </w:r>
      <w:r w:rsidR="0097753C">
        <w:rPr>
          <w:szCs w:val="24"/>
        </w:rPr>
        <w:t>seven</w:t>
      </w:r>
      <w:r w:rsidRPr="003B74E6" w:rsidR="003B74E6">
        <w:rPr>
          <w:szCs w:val="24"/>
        </w:rPr>
        <w:t xml:space="preserve"> households in the cluster, they can revisit the cluster during the mop-up period at the end of the data collection period, if deemed necessary. </w:t>
      </w:r>
      <w:r w:rsidRPr="003B74E6" w:rsidR="003B74E6">
        <w:rPr>
          <w:rFonts w:eastAsia="Times New Roman"/>
          <w:szCs w:val="24"/>
        </w:rPr>
        <w:t xml:space="preserve">If </w:t>
      </w:r>
      <w:r w:rsidR="003B74E6">
        <w:rPr>
          <w:rFonts w:eastAsia="Times New Roman"/>
          <w:szCs w:val="24"/>
        </w:rPr>
        <w:t>they</w:t>
      </w:r>
      <w:r w:rsidRPr="003B74E6" w:rsidR="003B74E6">
        <w:rPr>
          <w:rFonts w:eastAsia="Times New Roman"/>
          <w:szCs w:val="24"/>
        </w:rPr>
        <w:t xml:space="preserve"> cannot access a particular subdivision of a cluster, </w:t>
      </w:r>
      <w:r w:rsidR="005A184B">
        <w:rPr>
          <w:rFonts w:eastAsia="Times New Roman"/>
          <w:szCs w:val="24"/>
        </w:rPr>
        <w:t xml:space="preserve">the team will </w:t>
      </w:r>
      <w:r w:rsidRPr="003B74E6" w:rsidR="003B74E6">
        <w:rPr>
          <w:rFonts w:eastAsia="Times New Roman"/>
          <w:szCs w:val="24"/>
        </w:rPr>
        <w:t xml:space="preserve">re-allocate the targeted number of households to other areas of </w:t>
      </w:r>
      <w:r w:rsidR="005A184B">
        <w:rPr>
          <w:rFonts w:eastAsia="Times New Roman"/>
          <w:szCs w:val="24"/>
        </w:rPr>
        <w:t>the</w:t>
      </w:r>
      <w:r w:rsidRPr="003B74E6" w:rsidR="003B74E6">
        <w:rPr>
          <w:rFonts w:eastAsia="Times New Roman"/>
          <w:szCs w:val="24"/>
        </w:rPr>
        <w:t xml:space="preserve"> cluster so that </w:t>
      </w:r>
      <w:r w:rsidR="005A184B">
        <w:rPr>
          <w:rFonts w:eastAsia="Times New Roman"/>
          <w:szCs w:val="24"/>
        </w:rPr>
        <w:t>they</w:t>
      </w:r>
      <w:r w:rsidRPr="003B74E6" w:rsidR="003B74E6">
        <w:rPr>
          <w:rFonts w:eastAsia="Times New Roman"/>
          <w:szCs w:val="24"/>
        </w:rPr>
        <w:t xml:space="preserve"> can still enroll </w:t>
      </w:r>
      <w:r w:rsidR="0097753C">
        <w:rPr>
          <w:rFonts w:eastAsia="Times New Roman"/>
          <w:szCs w:val="24"/>
        </w:rPr>
        <w:t>seven</w:t>
      </w:r>
      <w:r w:rsidRPr="003B74E6" w:rsidR="003B74E6">
        <w:rPr>
          <w:rFonts w:eastAsia="Times New Roman"/>
          <w:szCs w:val="24"/>
        </w:rPr>
        <w:t xml:space="preserve"> households.</w:t>
      </w:r>
      <w:r w:rsidR="003B74E6">
        <w:rPr>
          <w:szCs w:val="24"/>
        </w:rPr>
        <w:t xml:space="preserve"> </w:t>
      </w:r>
      <w:r w:rsidRPr="003B74E6" w:rsidR="003B74E6">
        <w:rPr>
          <w:rFonts w:eastAsia="Times New Roman"/>
          <w:szCs w:val="24"/>
        </w:rPr>
        <w:t xml:space="preserve">If an area or home has a “No trespassing sign” or potential hazards (e.g., need to enter a fence with unrestrained dog to access front door), </w:t>
      </w:r>
      <w:r w:rsidR="005A184B">
        <w:rPr>
          <w:rFonts w:eastAsia="Times New Roman"/>
          <w:szCs w:val="24"/>
        </w:rPr>
        <w:t xml:space="preserve">they will </w:t>
      </w:r>
      <w:r w:rsidRPr="003B74E6" w:rsidR="003B74E6">
        <w:rPr>
          <w:rFonts w:eastAsia="Times New Roman"/>
          <w:szCs w:val="24"/>
        </w:rPr>
        <w:t>not enter the area to avoid risk of harm.</w:t>
      </w:r>
      <w:r w:rsidR="00AA3A27">
        <w:rPr>
          <w:rFonts w:eastAsia="Times New Roman"/>
          <w:szCs w:val="24"/>
        </w:rPr>
        <w:t xml:space="preserve"> These procedures are considered to result in a pseudorandom sample, and any resulting departures from a truly random sample will not be accounted for.</w:t>
      </w:r>
    </w:p>
    <w:p w:rsidRPr="005B7BE9" w:rsidR="005B7BE9" w:rsidP="005B7BE9" w:rsidRDefault="005B7BE9" w14:paraId="4E5E802D" w14:textId="77777777">
      <w:pPr>
        <w:spacing w:after="0" w:line="240" w:lineRule="auto"/>
        <w:rPr>
          <w:szCs w:val="24"/>
        </w:rPr>
      </w:pPr>
    </w:p>
    <w:p w:rsidR="00352CEE" w:rsidP="00352CEE" w:rsidRDefault="00352CEE" w14:paraId="214C436A" w14:textId="22BFBA7E">
      <w:pPr>
        <w:pStyle w:val="Heading1"/>
      </w:pPr>
      <w:r>
        <w:t xml:space="preserve">Tests </w:t>
      </w:r>
      <w:r w:rsidR="00DE48C7">
        <w:t>of Procedures or Methods to be u</w:t>
      </w:r>
      <w:r>
        <w:t>ndertaken</w:t>
      </w:r>
      <w:bookmarkEnd w:id="8"/>
    </w:p>
    <w:p w:rsidRPr="003B2FB4" w:rsidR="00352CEE" w:rsidP="00985CCD" w:rsidRDefault="00C30FFB" w14:paraId="214C436C" w14:textId="1F2124E8">
      <w:r>
        <w:t xml:space="preserve">The investigators will use the questionnaires provided in </w:t>
      </w:r>
      <w:r w:rsidR="002C2E92">
        <w:t>A</w:t>
      </w:r>
      <w:r>
        <w:t>ttachments 3</w:t>
      </w:r>
      <w:r w:rsidR="00140FDC">
        <w:t>a</w:t>
      </w:r>
      <w:r>
        <w:t xml:space="preserve"> and 3</w:t>
      </w:r>
      <w:r w:rsidR="00140FDC">
        <w:t>b</w:t>
      </w:r>
      <w:r>
        <w:t>.</w:t>
      </w:r>
    </w:p>
    <w:p w:rsidR="00352CEE" w:rsidP="00352CEE" w:rsidRDefault="00352CEE" w14:paraId="214C436D" w14:textId="77777777">
      <w:pPr>
        <w:pStyle w:val="Heading1"/>
      </w:pPr>
      <w:bookmarkStart w:name="_Toc473882444" w:id="9"/>
      <w:r>
        <w:t>Individuals Consulted on Statistical Aspects and Individuals Collecting and/or Analyzing Data</w:t>
      </w:r>
      <w:bookmarkEnd w:id="9"/>
    </w:p>
    <w:p w:rsidR="001962E6" w:rsidP="001962E6" w:rsidRDefault="003E3846" w14:paraId="0C75E2D8" w14:textId="3F1870DA">
      <w:pPr>
        <w:pStyle w:val="NoSpacing"/>
      </w:pPr>
      <w:r>
        <w:t xml:space="preserve">It is the responsibility of the </w:t>
      </w:r>
      <w:r w:rsidRPr="00EA46F6" w:rsidR="00AD7F69">
        <w:rPr>
          <w:rFonts w:cs="Times New Roman" w:eastAsiaTheme="minorEastAsia"/>
          <w:szCs w:val="24"/>
        </w:rPr>
        <w:t xml:space="preserve">COVID-19 </w:t>
      </w:r>
      <w:r w:rsidR="00AD7F69">
        <w:rPr>
          <w:rFonts w:cs="Times New Roman" w:eastAsiaTheme="minorEastAsia"/>
          <w:szCs w:val="24"/>
        </w:rPr>
        <w:t xml:space="preserve">Epidemiology Task Force </w:t>
      </w:r>
      <w:r>
        <w:t xml:space="preserve">staff to manage and analyze data collected through </w:t>
      </w:r>
      <w:r w:rsidR="00AD7F69">
        <w:t>the studies</w:t>
      </w:r>
      <w:r>
        <w:t xml:space="preserve">. </w:t>
      </w:r>
      <w:r>
        <w:rPr>
          <w:noProof/>
        </w:rPr>
        <w:t>Also</w:t>
      </w:r>
      <w:r>
        <w:t>, state</w:t>
      </w:r>
      <w:r w:rsidR="00AD7F69">
        <w:t xml:space="preserve"> and local</w:t>
      </w:r>
      <w:r>
        <w:t xml:space="preserve"> health departments </w:t>
      </w:r>
      <w:r>
        <w:rPr>
          <w:noProof/>
        </w:rPr>
        <w:t>can</w:t>
      </w:r>
      <w:r>
        <w:t xml:space="preserve"> analyze their data for their purposes.</w:t>
      </w:r>
      <w:r w:rsidR="001962E6">
        <w:t xml:space="preserve"> Additional statistical resources are available at CDC.</w:t>
      </w:r>
    </w:p>
    <w:p w:rsidR="003E3846" w:rsidP="003E3846" w:rsidRDefault="003E3846" w14:paraId="09B3B637" w14:textId="0E4BC94A">
      <w:pPr>
        <w:pStyle w:val="NoSpacing"/>
      </w:pPr>
    </w:p>
    <w:p w:rsidRPr="004A13E8" w:rsidR="001B2203" w:rsidP="001B2203" w:rsidRDefault="001B2203" w14:paraId="06BFDE9A" w14:textId="77777777">
      <w:pPr>
        <w:pStyle w:val="Heading1"/>
        <w:numPr>
          <w:ilvl w:val="0"/>
          <w:numId w:val="0"/>
        </w:numPr>
      </w:pPr>
      <w:r>
        <w:t>Attachments</w:t>
      </w:r>
    </w:p>
    <w:p w:rsidRPr="00877BA9" w:rsidR="001B2203" w:rsidP="001B2203" w:rsidRDefault="001B2203" w14:paraId="09CB5CCA" w14:textId="77777777">
      <w:pPr>
        <w:pStyle w:val="Heading1"/>
        <w:numPr>
          <w:ilvl w:val="0"/>
          <w:numId w:val="0"/>
        </w:numPr>
        <w:spacing w:after="0" w:line="360" w:lineRule="auto"/>
        <w:rPr>
          <w:b w:val="0"/>
        </w:rPr>
      </w:pPr>
      <w:r w:rsidRPr="00877BA9">
        <w:rPr>
          <w:b w:val="0"/>
        </w:rPr>
        <w:t>Attachment 1 – Authorizing Legislation</w:t>
      </w:r>
    </w:p>
    <w:p w:rsidRPr="00877BA9" w:rsidR="001B2203" w:rsidP="001B2203" w:rsidRDefault="001B2203" w14:paraId="59B3769E" w14:textId="77777777">
      <w:pPr>
        <w:pStyle w:val="Heading1"/>
        <w:numPr>
          <w:ilvl w:val="0"/>
          <w:numId w:val="0"/>
        </w:numPr>
        <w:spacing w:after="0" w:line="360" w:lineRule="auto"/>
        <w:rPr>
          <w:b w:val="0"/>
        </w:rPr>
      </w:pPr>
      <w:r w:rsidRPr="00877BA9">
        <w:rPr>
          <w:b w:val="0"/>
        </w:rPr>
        <w:t>Attachment 2 – 60-day FRN</w:t>
      </w:r>
    </w:p>
    <w:p w:rsidRPr="00877BA9" w:rsidR="001B2203" w:rsidP="001B2203" w:rsidRDefault="001B2203" w14:paraId="54DA5EF1" w14:textId="77777777">
      <w:pPr>
        <w:pStyle w:val="Heading1"/>
        <w:numPr>
          <w:ilvl w:val="0"/>
          <w:numId w:val="0"/>
        </w:numPr>
        <w:spacing w:after="0" w:line="360" w:lineRule="auto"/>
        <w:rPr>
          <w:b w:val="0"/>
        </w:rPr>
      </w:pPr>
      <w:r w:rsidRPr="00877BA9">
        <w:rPr>
          <w:b w:val="0"/>
        </w:rPr>
        <w:t>Attachment 3a – Individual Questionnaire</w:t>
      </w:r>
    </w:p>
    <w:p w:rsidRPr="00877BA9" w:rsidR="001B2203" w:rsidP="001B2203" w:rsidRDefault="001B2203" w14:paraId="587931B2" w14:textId="77777777">
      <w:pPr>
        <w:pStyle w:val="Heading1"/>
        <w:numPr>
          <w:ilvl w:val="0"/>
          <w:numId w:val="0"/>
        </w:numPr>
        <w:spacing w:after="0" w:line="360" w:lineRule="auto"/>
        <w:rPr>
          <w:b w:val="0"/>
        </w:rPr>
      </w:pPr>
      <w:r w:rsidRPr="00877BA9">
        <w:rPr>
          <w:b w:val="0"/>
        </w:rPr>
        <w:t>Attachment 3b – Household Questionnaire</w:t>
      </w:r>
    </w:p>
    <w:p w:rsidR="001B2203" w:rsidP="001B2203" w:rsidRDefault="001B2203" w14:paraId="3C7453F4" w14:textId="77777777">
      <w:pPr>
        <w:pStyle w:val="Heading1"/>
        <w:numPr>
          <w:ilvl w:val="0"/>
          <w:numId w:val="0"/>
        </w:numPr>
        <w:spacing w:after="0" w:line="360" w:lineRule="auto"/>
        <w:rPr>
          <w:b w:val="0"/>
        </w:rPr>
      </w:pPr>
      <w:r w:rsidRPr="00877BA9">
        <w:rPr>
          <w:b w:val="0"/>
        </w:rPr>
        <w:t>Attachment 4</w:t>
      </w:r>
      <w:r>
        <w:rPr>
          <w:b w:val="0"/>
        </w:rPr>
        <w:t>a</w:t>
      </w:r>
      <w:r w:rsidRPr="00877BA9">
        <w:rPr>
          <w:b w:val="0"/>
        </w:rPr>
        <w:t xml:space="preserve"> – Field Team SOP</w:t>
      </w:r>
    </w:p>
    <w:p w:rsidRPr="00DE3EE4" w:rsidR="001B2203" w:rsidP="001B2203" w:rsidRDefault="001B2203" w14:paraId="55C58CC2" w14:textId="77777777">
      <w:pPr>
        <w:spacing w:after="0" w:line="360" w:lineRule="auto"/>
      </w:pPr>
      <w:r>
        <w:t>Attachment 4b – Consent Form</w:t>
      </w:r>
    </w:p>
    <w:p w:rsidRPr="00877BA9" w:rsidR="001B2203" w:rsidP="001B2203" w:rsidRDefault="001B2203" w14:paraId="16B5D581" w14:textId="77777777">
      <w:pPr>
        <w:pStyle w:val="Heading1"/>
        <w:numPr>
          <w:ilvl w:val="0"/>
          <w:numId w:val="0"/>
        </w:numPr>
        <w:spacing w:after="0" w:line="360" w:lineRule="auto"/>
        <w:rPr>
          <w:b w:val="0"/>
        </w:rPr>
      </w:pPr>
      <w:r w:rsidRPr="00877BA9">
        <w:rPr>
          <w:b w:val="0"/>
        </w:rPr>
        <w:t>Attachment 5 – Investigation Protocol</w:t>
      </w:r>
    </w:p>
    <w:p w:rsidR="001B2203" w:rsidP="001B2203" w:rsidRDefault="001B2203" w14:paraId="58CC8656" w14:textId="77777777">
      <w:pPr>
        <w:pStyle w:val="ListParagraph"/>
        <w:spacing w:after="0" w:line="360" w:lineRule="auto"/>
        <w:ind w:left="0"/>
      </w:pPr>
      <w:r w:rsidRPr="00877BA9">
        <w:t>Attachment 6 – Letter of Invitation</w:t>
      </w:r>
      <w:r w:rsidRPr="00877BA9" w:rsidDel="00F56EC9">
        <w:t xml:space="preserve"> </w:t>
      </w:r>
    </w:p>
    <w:p w:rsidRPr="004A13E8" w:rsidR="001B2203" w:rsidP="001B2203" w:rsidRDefault="001B2203" w14:paraId="394A6E3B" w14:textId="77777777">
      <w:pPr>
        <w:pStyle w:val="ListParagraph"/>
        <w:spacing w:after="0" w:line="360" w:lineRule="auto"/>
        <w:ind w:left="0"/>
      </w:pPr>
      <w:r>
        <w:t xml:space="preserve">Attachment 7 </w:t>
      </w:r>
      <w:r w:rsidRPr="00877BA9">
        <w:t>–</w:t>
      </w:r>
      <w:r>
        <w:t xml:space="preserve"> IRB Non-Research Determination </w:t>
      </w:r>
    </w:p>
    <w:p w:rsidR="003E3846" w:rsidP="00985CCD" w:rsidRDefault="003E3846" w14:paraId="7B3A75CD" w14:textId="433D0680"/>
    <w:p w:rsidR="005D3198" w:rsidP="00985CCD" w:rsidRDefault="005D3198" w14:paraId="3A0C596C" w14:textId="06CF69EA"/>
    <w:p w:rsidRPr="00985CCD" w:rsidR="005D3198" w:rsidP="00985CCD" w:rsidRDefault="005D3198" w14:paraId="5E1EFC24" w14:textId="77777777"/>
    <w:sectPr w:rsidRPr="00985CCD" w:rsidR="005D3198"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DBC9" w14:textId="77777777" w:rsidR="00E74F3A" w:rsidRDefault="00E74F3A" w:rsidP="008B5D54">
      <w:pPr>
        <w:spacing w:after="0" w:line="240" w:lineRule="auto"/>
      </w:pPr>
      <w:r>
        <w:separator/>
      </w:r>
    </w:p>
  </w:endnote>
  <w:endnote w:type="continuationSeparator" w:id="0">
    <w:p w14:paraId="6BF73D25" w14:textId="77777777" w:rsidR="00E74F3A" w:rsidRDefault="00E74F3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58796" w14:textId="77777777" w:rsidR="00E74F3A" w:rsidRDefault="00E74F3A" w:rsidP="008B5D54">
      <w:pPr>
        <w:spacing w:after="0" w:line="240" w:lineRule="auto"/>
      </w:pPr>
      <w:r>
        <w:separator/>
      </w:r>
    </w:p>
  </w:footnote>
  <w:footnote w:type="continuationSeparator" w:id="0">
    <w:p w14:paraId="5A96BE9D" w14:textId="77777777" w:rsidR="00E74F3A" w:rsidRDefault="00E74F3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5B633B8E"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3B5D"/>
    <w:multiLevelType w:val="hybridMultilevel"/>
    <w:tmpl w:val="C8C0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B3EED"/>
    <w:multiLevelType w:val="hybridMultilevel"/>
    <w:tmpl w:val="9E583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00B40"/>
    <w:multiLevelType w:val="hybridMultilevel"/>
    <w:tmpl w:val="3344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C6462"/>
    <w:multiLevelType w:val="hybridMultilevel"/>
    <w:tmpl w:val="AE8E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4372"/>
    <w:rsid w:val="000179F0"/>
    <w:rsid w:val="00025FD7"/>
    <w:rsid w:val="00052BEA"/>
    <w:rsid w:val="00073A1C"/>
    <w:rsid w:val="00085E27"/>
    <w:rsid w:val="000B55CA"/>
    <w:rsid w:val="001229B6"/>
    <w:rsid w:val="00140FDC"/>
    <w:rsid w:val="001557D7"/>
    <w:rsid w:val="00186855"/>
    <w:rsid w:val="001962E6"/>
    <w:rsid w:val="001B2203"/>
    <w:rsid w:val="001C411D"/>
    <w:rsid w:val="001E0C60"/>
    <w:rsid w:val="00202D8E"/>
    <w:rsid w:val="00213A83"/>
    <w:rsid w:val="0027542F"/>
    <w:rsid w:val="002C2E92"/>
    <w:rsid w:val="002D7E48"/>
    <w:rsid w:val="00352CEE"/>
    <w:rsid w:val="00364664"/>
    <w:rsid w:val="003A569C"/>
    <w:rsid w:val="003B74E6"/>
    <w:rsid w:val="003E3846"/>
    <w:rsid w:val="0041795D"/>
    <w:rsid w:val="00435C83"/>
    <w:rsid w:val="00444CD9"/>
    <w:rsid w:val="00450441"/>
    <w:rsid w:val="004C65A6"/>
    <w:rsid w:val="004D0CD2"/>
    <w:rsid w:val="004D33E0"/>
    <w:rsid w:val="004F063F"/>
    <w:rsid w:val="00502242"/>
    <w:rsid w:val="00565762"/>
    <w:rsid w:val="005A184B"/>
    <w:rsid w:val="005A4563"/>
    <w:rsid w:val="005B7BE9"/>
    <w:rsid w:val="005C4D59"/>
    <w:rsid w:val="005D3198"/>
    <w:rsid w:val="005D6D6B"/>
    <w:rsid w:val="00617D80"/>
    <w:rsid w:val="006720D5"/>
    <w:rsid w:val="006C6578"/>
    <w:rsid w:val="006D4AAE"/>
    <w:rsid w:val="006F12C6"/>
    <w:rsid w:val="0074785F"/>
    <w:rsid w:val="00750612"/>
    <w:rsid w:val="00761936"/>
    <w:rsid w:val="00780164"/>
    <w:rsid w:val="00797461"/>
    <w:rsid w:val="007B4C6A"/>
    <w:rsid w:val="007E07CC"/>
    <w:rsid w:val="007E6753"/>
    <w:rsid w:val="00803E34"/>
    <w:rsid w:val="00825699"/>
    <w:rsid w:val="008A54E7"/>
    <w:rsid w:val="008B5D54"/>
    <w:rsid w:val="008E3395"/>
    <w:rsid w:val="008F49D5"/>
    <w:rsid w:val="009050E9"/>
    <w:rsid w:val="009131BD"/>
    <w:rsid w:val="00932DBC"/>
    <w:rsid w:val="0097753C"/>
    <w:rsid w:val="00985CCD"/>
    <w:rsid w:val="00997D0E"/>
    <w:rsid w:val="009E6772"/>
    <w:rsid w:val="00A12917"/>
    <w:rsid w:val="00A601F1"/>
    <w:rsid w:val="00A72C80"/>
    <w:rsid w:val="00A72CCD"/>
    <w:rsid w:val="00AA3A27"/>
    <w:rsid w:val="00AB0182"/>
    <w:rsid w:val="00AC6293"/>
    <w:rsid w:val="00AD7F69"/>
    <w:rsid w:val="00B258D3"/>
    <w:rsid w:val="00B31F68"/>
    <w:rsid w:val="00B41AC8"/>
    <w:rsid w:val="00B55735"/>
    <w:rsid w:val="00B572AC"/>
    <w:rsid w:val="00B608AC"/>
    <w:rsid w:val="00B92C2A"/>
    <w:rsid w:val="00BC60E3"/>
    <w:rsid w:val="00BF3906"/>
    <w:rsid w:val="00C30FFB"/>
    <w:rsid w:val="00C4101E"/>
    <w:rsid w:val="00C62162"/>
    <w:rsid w:val="00CA2813"/>
    <w:rsid w:val="00CA3D96"/>
    <w:rsid w:val="00CA45FD"/>
    <w:rsid w:val="00CB59F4"/>
    <w:rsid w:val="00CC44AA"/>
    <w:rsid w:val="00CC4896"/>
    <w:rsid w:val="00CF4568"/>
    <w:rsid w:val="00D07E01"/>
    <w:rsid w:val="00D2546B"/>
    <w:rsid w:val="00D34B76"/>
    <w:rsid w:val="00D57D13"/>
    <w:rsid w:val="00D8583C"/>
    <w:rsid w:val="00DA101E"/>
    <w:rsid w:val="00DC57CC"/>
    <w:rsid w:val="00DD1DFC"/>
    <w:rsid w:val="00DE48C7"/>
    <w:rsid w:val="00E55504"/>
    <w:rsid w:val="00E74F3A"/>
    <w:rsid w:val="00E81E9D"/>
    <w:rsid w:val="00EA46F6"/>
    <w:rsid w:val="00F224AA"/>
    <w:rsid w:val="00F35277"/>
    <w:rsid w:val="00F679E6"/>
    <w:rsid w:val="00F97F2F"/>
    <w:rsid w:val="00FA4404"/>
    <w:rsid w:val="00FB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A601F1"/>
    <w:rPr>
      <w:rFonts w:ascii="Times New Roman" w:hAnsi="Times New Roman"/>
      <w:sz w:val="24"/>
    </w:rPr>
  </w:style>
  <w:style w:type="character" w:styleId="CommentReference">
    <w:name w:val="annotation reference"/>
    <w:basedOn w:val="DefaultParagraphFont"/>
    <w:uiPriority w:val="99"/>
    <w:semiHidden/>
    <w:unhideWhenUsed/>
    <w:rsid w:val="003B74E6"/>
    <w:rPr>
      <w:sz w:val="16"/>
      <w:szCs w:val="16"/>
    </w:rPr>
  </w:style>
  <w:style w:type="paragraph" w:styleId="CommentText">
    <w:name w:val="annotation text"/>
    <w:basedOn w:val="Normal"/>
    <w:link w:val="CommentTextChar"/>
    <w:uiPriority w:val="99"/>
    <w:semiHidden/>
    <w:unhideWhenUsed/>
    <w:rsid w:val="003B74E6"/>
    <w:pPr>
      <w:spacing w:after="0" w:line="240" w:lineRule="auto"/>
      <w:ind w:firstLine="36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3B74E6"/>
    <w:rPr>
      <w:rFonts w:eastAsiaTheme="minorEastAsia"/>
      <w:sz w:val="20"/>
      <w:szCs w:val="20"/>
    </w:rPr>
  </w:style>
  <w:style w:type="paragraph" w:styleId="BalloonText">
    <w:name w:val="Balloon Text"/>
    <w:basedOn w:val="Normal"/>
    <w:link w:val="BalloonTextChar"/>
    <w:uiPriority w:val="99"/>
    <w:semiHidden/>
    <w:unhideWhenUsed/>
    <w:rsid w:val="003B7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542F"/>
    <w:pPr>
      <w:spacing w:after="200"/>
      <w:ind w:firstLine="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27542F"/>
    <w:rPr>
      <w:rFonts w:ascii="Times New Roman" w:eastAsiaTheme="minorEastAsia" w:hAnsi="Times New Roman"/>
      <w:b/>
      <w:bCs/>
      <w:sz w:val="20"/>
      <w:szCs w:val="20"/>
    </w:rPr>
  </w:style>
  <w:style w:type="character" w:styleId="FollowedHyperlink">
    <w:name w:val="FollowedHyperlink"/>
    <w:basedOn w:val="DefaultParagraphFont"/>
    <w:uiPriority w:val="99"/>
    <w:semiHidden/>
    <w:unhideWhenUsed/>
    <w:rsid w:val="00617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3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8doc.sas.com/sashtml/stat/chap63/sect2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eh/casper/defaul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8" ma:contentTypeDescription="Create a new document." ma:contentTypeScope="" ma:versionID="a4f2ee742e0ba482508e9e2e80da25a5">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dae2d7841f6726188cfc48eed74edb7a"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91AA99EC-E1EB-48DE-9179-4C9AA90B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2006/documentManagement/types"/>
    <ds:schemaRef ds:uri="http://purl.org/dc/elements/1.1/"/>
    <ds:schemaRef ds:uri="http://purl.org/dc/dcmitype/"/>
    <ds:schemaRef ds:uri="a0d95979-b78d-4456-a83d-a4e89158df7f"/>
    <ds:schemaRef ds:uri="http://schemas.microsoft.com/office/infopath/2007/PartnerControls"/>
    <ds:schemaRef ds:uri="http://schemas.openxmlformats.org/package/2006/metadata/core-properties"/>
    <ds:schemaRef ds:uri="508508a9-2d59-4074-9a0f-ccfddcb81bc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AD71332-D249-49B1-8F8C-DF5FCB92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Etheredge, Alisha (CDC/DDNID/NCEH/DEHSP)</cp:lastModifiedBy>
  <cp:revision>2</cp:revision>
  <dcterms:created xsi:type="dcterms:W3CDTF">2020-04-24T22:11:00Z</dcterms:created>
  <dcterms:modified xsi:type="dcterms:W3CDTF">2020-04-24T22:11:00Z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_dlc_DocIdItemGuid">
    <vt:lpwstr>88371678-b9da-4719-8d8b-d54d1caeb036</vt:lpwstr>
  </property>
</Properties>
</file>