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p w:rsidRPr="00191909" w:rsidR="000F70DC" w:rsidP="000F70DC" w:rsidRDefault="000F70DC" w14:paraId="70B85E6D" w14:textId="77777777">
      <w:pPr>
        <w:jc w:val="center"/>
        <w:rPr>
          <w:rFonts w:cstheme="minorHAnsi"/>
          <w:b/>
          <w:bCs/>
          <w:sz w:val="28"/>
          <w:szCs w:val="28"/>
        </w:rPr>
      </w:pPr>
      <w:bookmarkStart w:name="_Hlk38311111" w:id="1"/>
      <w:r w:rsidRPr="00191909">
        <w:rPr>
          <w:rFonts w:cstheme="minorHAnsi"/>
          <w:b/>
          <w:bCs/>
          <w:sz w:val="28"/>
          <w:szCs w:val="28"/>
        </w:rPr>
        <w:t>Investigation of SARS-CoV-2 Seroprevalence and Factors Associated with Seropositivity in a Community Setting</w:t>
      </w:r>
    </w:p>
    <w:bookmarkEnd w:id="0"/>
    <w:bookmarkEnd w:id="1"/>
    <w:p w:rsidR="004A13E8" w:rsidP="004A13E8" w:rsidRDefault="004A13E8" w14:paraId="55FE1773" w14:textId="77777777">
      <w:pPr>
        <w:spacing w:after="0" w:line="240" w:lineRule="auto"/>
        <w:jc w:val="center"/>
        <w:rPr>
          <w:b/>
        </w:rPr>
      </w:pPr>
    </w:p>
    <w:p w:rsidRPr="004A13E8" w:rsidR="004A13E8" w:rsidP="004A13E8" w:rsidRDefault="004A13E8" w14:paraId="55FE1774" w14:textId="5EF73BAA">
      <w:pPr>
        <w:pStyle w:val="Heading3"/>
      </w:pPr>
      <w:bookmarkStart w:name="_Toc473880016" w:id="2"/>
      <w:r w:rsidRPr="004A13E8">
        <w:t>Request for OMB approval of a</w:t>
      </w:r>
      <w:r w:rsidR="00DC74EE">
        <w:t xml:space="preserve"> New</w:t>
      </w:r>
      <w:r w:rsidR="00DB0D39">
        <w:t xml:space="preserve"> </w:t>
      </w:r>
      <w:r w:rsidR="00DC74EE">
        <w:t>Information Collection</w:t>
      </w:r>
      <w:bookmarkEnd w:id="2"/>
      <w:r w:rsidR="00DC74EE">
        <w:t xml:space="preserve"> </w:t>
      </w:r>
    </w:p>
    <w:p w:rsidR="004A13E8" w:rsidP="004A13E8" w:rsidRDefault="004A13E8" w14:paraId="55FE1775" w14:textId="77777777">
      <w:pPr>
        <w:spacing w:after="0" w:line="240" w:lineRule="auto"/>
        <w:jc w:val="center"/>
        <w:rPr>
          <w:b/>
        </w:rPr>
      </w:pPr>
    </w:p>
    <w:p w:rsidRPr="004A13E8" w:rsidR="004A13E8" w:rsidP="004A13E8" w:rsidRDefault="00DB0D39" w14:paraId="55FE1776" w14:textId="54A31FC6">
      <w:pPr>
        <w:pStyle w:val="Heading4"/>
      </w:pPr>
      <w:r>
        <w:t xml:space="preserve">April </w:t>
      </w:r>
      <w:r w:rsidR="00123BCE">
        <w:t>24</w:t>
      </w:r>
      <w:r>
        <w:t>, 2020</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3A42C6" w:rsidR="004A13E8" w:rsidP="009A79E1" w:rsidRDefault="004A13E8" w14:paraId="55FE1793" w14:textId="77777777">
      <w:pPr>
        <w:pStyle w:val="NoSpacing"/>
        <w:rPr>
          <w:b/>
        </w:rPr>
      </w:pPr>
      <w:r w:rsidRPr="003A42C6">
        <w:rPr>
          <w:b/>
        </w:rPr>
        <w:t xml:space="preserve">Contact: </w:t>
      </w:r>
    </w:p>
    <w:p w:rsidRPr="003A42C6" w:rsidR="00340362" w:rsidP="00340362" w:rsidRDefault="00EB02A1" w14:paraId="255D1D46" w14:textId="1E7C91D5">
      <w:pPr>
        <w:pStyle w:val="NoSpacing"/>
      </w:pPr>
      <w:bookmarkStart w:name="_Hlk37769284" w:id="3"/>
      <w:r w:rsidRPr="003A42C6">
        <w:t>Holly Biggs</w:t>
      </w:r>
      <w:r w:rsidRPr="003A42C6" w:rsidR="008A121C">
        <w:t>, MD, MPH</w:t>
      </w:r>
    </w:p>
    <w:p w:rsidRPr="003A42C6" w:rsidR="00340362" w:rsidP="00340362" w:rsidRDefault="00DA3EFD" w14:paraId="6C253E69" w14:textId="43AE5A8D">
      <w:pPr>
        <w:pStyle w:val="NoSpacing"/>
      </w:pPr>
      <w:r w:rsidRPr="003A42C6">
        <w:rPr>
          <w:rFonts w:cstheme="minorHAnsi"/>
        </w:rPr>
        <w:t>National Center for Immunization and Respiratory Diseases</w:t>
      </w:r>
      <w:r w:rsidRPr="003A42C6" w:rsidR="00340362">
        <w:t xml:space="preserve"> </w:t>
      </w:r>
    </w:p>
    <w:p w:rsidRPr="003A42C6" w:rsidR="00340362" w:rsidP="00340362" w:rsidRDefault="00340362" w14:paraId="6BD833CF" w14:textId="77777777">
      <w:pPr>
        <w:pStyle w:val="NoSpacing"/>
      </w:pPr>
      <w:r w:rsidRPr="003A42C6">
        <w:t xml:space="preserve">Centers for Disease Control and Prevention </w:t>
      </w:r>
    </w:p>
    <w:p w:rsidRPr="003A42C6" w:rsidR="00340362" w:rsidP="00340362" w:rsidRDefault="00340362" w14:paraId="60487B2B" w14:textId="77777777">
      <w:pPr>
        <w:pStyle w:val="NoSpacing"/>
      </w:pPr>
      <w:r w:rsidRPr="003A42C6">
        <w:t xml:space="preserve">1600 Clifton Road, NE </w:t>
      </w:r>
    </w:p>
    <w:p w:rsidRPr="003A42C6" w:rsidR="00340362" w:rsidP="00340362" w:rsidRDefault="00340362" w14:paraId="57A9FAE9" w14:textId="77777777">
      <w:pPr>
        <w:pStyle w:val="NoSpacing"/>
      </w:pPr>
      <w:r w:rsidRPr="003A42C6">
        <w:t xml:space="preserve">Atlanta, Georgia 30333 </w:t>
      </w:r>
    </w:p>
    <w:p w:rsidRPr="003A42C6" w:rsidR="00340362" w:rsidP="00340362" w:rsidRDefault="00340362" w14:paraId="2F0B91C4" w14:textId="60CA8D2C">
      <w:pPr>
        <w:pStyle w:val="NoSpacing"/>
      </w:pPr>
      <w:r w:rsidRPr="003A42C6">
        <w:t>Phone: (</w:t>
      </w:r>
      <w:r w:rsidRPr="003A42C6" w:rsidR="003A42C6">
        <w:t>404</w:t>
      </w:r>
      <w:r w:rsidRPr="003A42C6">
        <w:t xml:space="preserve">) </w:t>
      </w:r>
      <w:r w:rsidRPr="003A42C6" w:rsidR="003A42C6">
        <w:t>639-3989</w:t>
      </w:r>
    </w:p>
    <w:p w:rsidR="004A13E8" w:rsidP="009A79E1" w:rsidRDefault="00340362" w14:paraId="55FE179A" w14:textId="0A20C17C">
      <w:pPr>
        <w:pStyle w:val="NoSpacing"/>
      </w:pPr>
      <w:r w:rsidRPr="003A42C6">
        <w:t>Email:</w:t>
      </w:r>
      <w:r w:rsidRPr="003A42C6" w:rsidR="003A42C6">
        <w:t xml:space="preserve"> hbiggs@cdc.gov</w:t>
      </w:r>
      <w:r w:rsidRPr="004A6DE8">
        <w:t xml:space="preserve"> </w:t>
      </w:r>
      <w:bookmarkEnd w:id="3"/>
      <w:r w:rsidR="004A13E8">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C90B13" w:rsidP="00C90B13" w:rsidRDefault="004A13E8" w14:paraId="55FE179C" w14:textId="77777777">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C90B13" w:rsidRDefault="00813D41" w14:paraId="55FE179D" w14:textId="083E4395">
          <w:pPr>
            <w:pStyle w:val="TOC1"/>
            <w:tabs>
              <w:tab w:val="left" w:pos="480"/>
              <w:tab w:val="right" w:leader="dot" w:pos="10070"/>
            </w:tabs>
            <w:rPr>
              <w:rFonts w:asciiTheme="minorHAnsi" w:hAnsiTheme="minorHAnsi" w:eastAsiaTheme="minorEastAsia"/>
              <w:noProof/>
              <w:sz w:val="22"/>
            </w:rPr>
          </w:pPr>
          <w:hyperlink w:history="1" w:anchor="_Toc473880017">
            <w:r w:rsidRPr="00804687" w:rsidR="00C90B13">
              <w:rPr>
                <w:rStyle w:val="Hyperlink"/>
                <w:noProof/>
              </w:rPr>
              <w:t>1.</w:t>
            </w:r>
            <w:r w:rsidR="00C90B13">
              <w:rPr>
                <w:rFonts w:asciiTheme="minorHAnsi" w:hAnsiTheme="minorHAnsi" w:eastAsiaTheme="minorEastAsia"/>
                <w:noProof/>
                <w:sz w:val="22"/>
              </w:rPr>
              <w:tab/>
            </w:r>
            <w:r w:rsidRPr="00804687" w:rsidR="00C90B13">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AF7BBA">
              <w:rPr>
                <w:noProof/>
                <w:webHidden/>
              </w:rPr>
              <w:t>3</w:t>
            </w:r>
            <w:r w:rsidR="00C90B13">
              <w:rPr>
                <w:noProof/>
                <w:webHidden/>
              </w:rPr>
              <w:fldChar w:fldCharType="end"/>
            </w:r>
          </w:hyperlink>
        </w:p>
        <w:p w:rsidR="00C90B13" w:rsidRDefault="00813D41" w14:paraId="55FE179E" w14:textId="3EF50BB4">
          <w:pPr>
            <w:pStyle w:val="TOC1"/>
            <w:tabs>
              <w:tab w:val="left" w:pos="480"/>
              <w:tab w:val="right" w:leader="dot" w:pos="10070"/>
            </w:tabs>
            <w:rPr>
              <w:rFonts w:asciiTheme="minorHAnsi" w:hAnsiTheme="minorHAnsi" w:eastAsiaTheme="minorEastAsia"/>
              <w:noProof/>
              <w:sz w:val="22"/>
            </w:rPr>
          </w:pPr>
          <w:hyperlink w:history="1" w:anchor="_Toc473880018">
            <w:r w:rsidRPr="00804687" w:rsidR="00C90B13">
              <w:rPr>
                <w:rStyle w:val="Hyperlink"/>
                <w:noProof/>
              </w:rPr>
              <w:t>2.</w:t>
            </w:r>
            <w:r w:rsidR="00C90B13">
              <w:rPr>
                <w:rFonts w:asciiTheme="minorHAnsi" w:hAnsiTheme="minorHAnsi" w:eastAsiaTheme="minorEastAsia"/>
                <w:noProof/>
                <w:sz w:val="22"/>
              </w:rPr>
              <w:tab/>
            </w:r>
            <w:r w:rsidRPr="00804687" w:rsidR="00C90B13">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AF7BBA">
              <w:rPr>
                <w:noProof/>
                <w:webHidden/>
              </w:rPr>
              <w:t>4</w:t>
            </w:r>
            <w:r w:rsidR="00C90B13">
              <w:rPr>
                <w:noProof/>
                <w:webHidden/>
              </w:rPr>
              <w:fldChar w:fldCharType="end"/>
            </w:r>
          </w:hyperlink>
        </w:p>
        <w:p w:rsidR="00C90B13" w:rsidRDefault="00813D41" w14:paraId="55FE179F" w14:textId="4D012FC4">
          <w:pPr>
            <w:pStyle w:val="TOC1"/>
            <w:tabs>
              <w:tab w:val="left" w:pos="480"/>
              <w:tab w:val="right" w:leader="dot" w:pos="10070"/>
            </w:tabs>
            <w:rPr>
              <w:rFonts w:asciiTheme="minorHAnsi" w:hAnsiTheme="minorHAnsi" w:eastAsiaTheme="minorEastAsia"/>
              <w:noProof/>
              <w:sz w:val="22"/>
            </w:rPr>
          </w:pPr>
          <w:hyperlink w:history="1" w:anchor="_Toc473880019">
            <w:r w:rsidRPr="00804687" w:rsidR="00C90B13">
              <w:rPr>
                <w:rStyle w:val="Hyperlink"/>
                <w:noProof/>
              </w:rPr>
              <w:t>3.</w:t>
            </w:r>
            <w:r w:rsidR="00C90B13">
              <w:rPr>
                <w:rFonts w:asciiTheme="minorHAnsi" w:hAnsiTheme="minorHAnsi" w:eastAsiaTheme="minorEastAsia"/>
                <w:noProof/>
                <w:sz w:val="22"/>
              </w:rPr>
              <w:tab/>
            </w:r>
            <w:r w:rsidRPr="00804687" w:rsidR="00C90B13">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AF7BBA">
              <w:rPr>
                <w:noProof/>
                <w:webHidden/>
              </w:rPr>
              <w:t>5</w:t>
            </w:r>
            <w:r w:rsidR="00C90B13">
              <w:rPr>
                <w:noProof/>
                <w:webHidden/>
              </w:rPr>
              <w:fldChar w:fldCharType="end"/>
            </w:r>
          </w:hyperlink>
        </w:p>
        <w:p w:rsidR="00C90B13" w:rsidRDefault="00813D41" w14:paraId="55FE17A0" w14:textId="4D3C8121">
          <w:pPr>
            <w:pStyle w:val="TOC1"/>
            <w:tabs>
              <w:tab w:val="left" w:pos="480"/>
              <w:tab w:val="right" w:leader="dot" w:pos="10070"/>
            </w:tabs>
            <w:rPr>
              <w:rFonts w:asciiTheme="minorHAnsi" w:hAnsiTheme="minorHAnsi" w:eastAsiaTheme="minorEastAsia"/>
              <w:noProof/>
              <w:sz w:val="22"/>
            </w:rPr>
          </w:pPr>
          <w:hyperlink w:history="1" w:anchor="_Toc473880020">
            <w:r w:rsidRPr="00804687" w:rsidR="00C90B13">
              <w:rPr>
                <w:rStyle w:val="Hyperlink"/>
                <w:noProof/>
              </w:rPr>
              <w:t>4.</w:t>
            </w:r>
            <w:r w:rsidR="00C90B13">
              <w:rPr>
                <w:rFonts w:asciiTheme="minorHAnsi" w:hAnsiTheme="minorHAnsi" w:eastAsiaTheme="minorEastAsia"/>
                <w:noProof/>
                <w:sz w:val="22"/>
              </w:rPr>
              <w:tab/>
            </w:r>
            <w:r w:rsidRPr="00804687" w:rsidR="00C90B13">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AF7BBA">
              <w:rPr>
                <w:noProof/>
                <w:webHidden/>
              </w:rPr>
              <w:t>6</w:t>
            </w:r>
            <w:r w:rsidR="00C90B13">
              <w:rPr>
                <w:noProof/>
                <w:webHidden/>
              </w:rPr>
              <w:fldChar w:fldCharType="end"/>
            </w:r>
          </w:hyperlink>
        </w:p>
        <w:p w:rsidR="00C90B13" w:rsidRDefault="00813D41" w14:paraId="55FE17A1" w14:textId="7F66B568">
          <w:pPr>
            <w:pStyle w:val="TOC1"/>
            <w:tabs>
              <w:tab w:val="left" w:pos="480"/>
              <w:tab w:val="right" w:leader="dot" w:pos="10070"/>
            </w:tabs>
            <w:rPr>
              <w:rFonts w:asciiTheme="minorHAnsi" w:hAnsiTheme="minorHAnsi" w:eastAsiaTheme="minorEastAsia"/>
              <w:noProof/>
              <w:sz w:val="22"/>
            </w:rPr>
          </w:pPr>
          <w:hyperlink w:history="1" w:anchor="_Toc473880021">
            <w:r w:rsidRPr="00804687" w:rsidR="00C90B13">
              <w:rPr>
                <w:rStyle w:val="Hyperlink"/>
                <w:noProof/>
              </w:rPr>
              <w:t>5.</w:t>
            </w:r>
            <w:r w:rsidR="00C90B13">
              <w:rPr>
                <w:rFonts w:asciiTheme="minorHAnsi" w:hAnsiTheme="minorHAnsi" w:eastAsiaTheme="minorEastAsia"/>
                <w:noProof/>
                <w:sz w:val="22"/>
              </w:rPr>
              <w:tab/>
            </w:r>
            <w:r w:rsidRPr="00804687" w:rsidR="00C90B13">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AF7BBA">
              <w:rPr>
                <w:noProof/>
                <w:webHidden/>
              </w:rPr>
              <w:t>6</w:t>
            </w:r>
            <w:r w:rsidR="00C90B13">
              <w:rPr>
                <w:noProof/>
                <w:webHidden/>
              </w:rPr>
              <w:fldChar w:fldCharType="end"/>
            </w:r>
          </w:hyperlink>
        </w:p>
        <w:p w:rsidR="00C90B13" w:rsidRDefault="00813D41" w14:paraId="55FE17A2" w14:textId="68E34DF1">
          <w:pPr>
            <w:pStyle w:val="TOC1"/>
            <w:tabs>
              <w:tab w:val="left" w:pos="480"/>
              <w:tab w:val="right" w:leader="dot" w:pos="10070"/>
            </w:tabs>
            <w:rPr>
              <w:rFonts w:asciiTheme="minorHAnsi" w:hAnsiTheme="minorHAnsi" w:eastAsiaTheme="minorEastAsia"/>
              <w:noProof/>
              <w:sz w:val="22"/>
            </w:rPr>
          </w:pPr>
          <w:hyperlink w:history="1" w:anchor="_Toc473880022">
            <w:r w:rsidRPr="00804687" w:rsidR="00C90B13">
              <w:rPr>
                <w:rStyle w:val="Hyperlink"/>
                <w:noProof/>
              </w:rPr>
              <w:t>6.</w:t>
            </w:r>
            <w:r w:rsidR="00C90B13">
              <w:rPr>
                <w:rFonts w:asciiTheme="minorHAnsi" w:hAnsiTheme="minorHAnsi" w:eastAsiaTheme="minorEastAsia"/>
                <w:noProof/>
                <w:sz w:val="22"/>
              </w:rPr>
              <w:tab/>
            </w:r>
            <w:r w:rsidRPr="00804687" w:rsidR="00C90B13">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AF7BBA">
              <w:rPr>
                <w:noProof/>
                <w:webHidden/>
              </w:rPr>
              <w:t>6</w:t>
            </w:r>
            <w:r w:rsidR="00C90B13">
              <w:rPr>
                <w:noProof/>
                <w:webHidden/>
              </w:rPr>
              <w:fldChar w:fldCharType="end"/>
            </w:r>
          </w:hyperlink>
        </w:p>
        <w:p w:rsidR="00C90B13" w:rsidRDefault="00813D41" w14:paraId="55FE17A3" w14:textId="553C813C">
          <w:pPr>
            <w:pStyle w:val="TOC1"/>
            <w:tabs>
              <w:tab w:val="left" w:pos="480"/>
              <w:tab w:val="right" w:leader="dot" w:pos="10070"/>
            </w:tabs>
            <w:rPr>
              <w:rFonts w:asciiTheme="minorHAnsi" w:hAnsiTheme="minorHAnsi" w:eastAsiaTheme="minorEastAsia"/>
              <w:noProof/>
              <w:sz w:val="22"/>
            </w:rPr>
          </w:pPr>
          <w:hyperlink w:history="1" w:anchor="_Toc473880023">
            <w:r w:rsidRPr="00804687" w:rsidR="00C90B13">
              <w:rPr>
                <w:rStyle w:val="Hyperlink"/>
                <w:noProof/>
              </w:rPr>
              <w:t>7.</w:t>
            </w:r>
            <w:r w:rsidR="00C90B13">
              <w:rPr>
                <w:rFonts w:asciiTheme="minorHAnsi" w:hAnsiTheme="minorHAnsi" w:eastAsiaTheme="minorEastAsia"/>
                <w:noProof/>
                <w:sz w:val="22"/>
              </w:rPr>
              <w:tab/>
            </w:r>
            <w:r w:rsidRPr="00804687" w:rsidR="00C90B13">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AF7BBA">
              <w:rPr>
                <w:noProof/>
                <w:webHidden/>
              </w:rPr>
              <w:t>6</w:t>
            </w:r>
            <w:r w:rsidR="00C90B13">
              <w:rPr>
                <w:noProof/>
                <w:webHidden/>
              </w:rPr>
              <w:fldChar w:fldCharType="end"/>
            </w:r>
          </w:hyperlink>
        </w:p>
        <w:p w:rsidR="00C90B13" w:rsidRDefault="00813D41" w14:paraId="55FE17A4" w14:textId="2F2EE2E7">
          <w:pPr>
            <w:pStyle w:val="TOC1"/>
            <w:tabs>
              <w:tab w:val="left" w:pos="480"/>
              <w:tab w:val="right" w:leader="dot" w:pos="10070"/>
            </w:tabs>
            <w:rPr>
              <w:rFonts w:asciiTheme="minorHAnsi" w:hAnsiTheme="minorHAnsi" w:eastAsiaTheme="minorEastAsia"/>
              <w:noProof/>
              <w:sz w:val="22"/>
            </w:rPr>
          </w:pPr>
          <w:hyperlink w:history="1" w:anchor="_Toc473880024">
            <w:r w:rsidRPr="00804687" w:rsidR="00C90B13">
              <w:rPr>
                <w:rStyle w:val="Hyperlink"/>
                <w:noProof/>
              </w:rPr>
              <w:t>8.</w:t>
            </w:r>
            <w:r w:rsidR="00C90B13">
              <w:rPr>
                <w:rFonts w:asciiTheme="minorHAnsi" w:hAnsiTheme="minorHAnsi" w:eastAsiaTheme="minorEastAsia"/>
                <w:noProof/>
                <w:sz w:val="22"/>
              </w:rPr>
              <w:tab/>
            </w:r>
            <w:r w:rsidRPr="00804687" w:rsidR="00C90B13">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AF7BBA">
              <w:rPr>
                <w:noProof/>
                <w:webHidden/>
              </w:rPr>
              <w:t>6</w:t>
            </w:r>
            <w:r w:rsidR="00C90B13">
              <w:rPr>
                <w:noProof/>
                <w:webHidden/>
              </w:rPr>
              <w:fldChar w:fldCharType="end"/>
            </w:r>
          </w:hyperlink>
        </w:p>
        <w:p w:rsidR="00C90B13" w:rsidRDefault="00813D41" w14:paraId="55FE17A5" w14:textId="123BF262">
          <w:pPr>
            <w:pStyle w:val="TOC1"/>
            <w:tabs>
              <w:tab w:val="left" w:pos="480"/>
              <w:tab w:val="right" w:leader="dot" w:pos="10070"/>
            </w:tabs>
            <w:rPr>
              <w:rFonts w:asciiTheme="minorHAnsi" w:hAnsiTheme="minorHAnsi" w:eastAsiaTheme="minorEastAsia"/>
              <w:noProof/>
              <w:sz w:val="22"/>
            </w:rPr>
          </w:pPr>
          <w:hyperlink w:history="1" w:anchor="_Toc473880025">
            <w:r w:rsidRPr="00804687" w:rsidR="00C90B13">
              <w:rPr>
                <w:rStyle w:val="Hyperlink"/>
                <w:noProof/>
              </w:rPr>
              <w:t>9.</w:t>
            </w:r>
            <w:r w:rsidR="00C90B13">
              <w:rPr>
                <w:rFonts w:asciiTheme="minorHAnsi" w:hAnsiTheme="minorHAnsi" w:eastAsiaTheme="minorEastAsia"/>
                <w:noProof/>
                <w:sz w:val="22"/>
              </w:rPr>
              <w:tab/>
            </w:r>
            <w:r w:rsidRPr="00804687" w:rsidR="00C90B13">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AF7BBA">
              <w:rPr>
                <w:noProof/>
                <w:webHidden/>
              </w:rPr>
              <w:t>6</w:t>
            </w:r>
            <w:r w:rsidR="00C90B13">
              <w:rPr>
                <w:noProof/>
                <w:webHidden/>
              </w:rPr>
              <w:fldChar w:fldCharType="end"/>
            </w:r>
          </w:hyperlink>
        </w:p>
        <w:p w:rsidR="00C90B13" w:rsidRDefault="00813D41" w14:paraId="55FE17A6" w14:textId="0153237B">
          <w:pPr>
            <w:pStyle w:val="TOC1"/>
            <w:tabs>
              <w:tab w:val="left" w:pos="660"/>
              <w:tab w:val="right" w:leader="dot" w:pos="10070"/>
            </w:tabs>
            <w:rPr>
              <w:rFonts w:asciiTheme="minorHAnsi" w:hAnsiTheme="minorHAnsi" w:eastAsiaTheme="minorEastAsia"/>
              <w:noProof/>
              <w:sz w:val="22"/>
            </w:rPr>
          </w:pPr>
          <w:hyperlink w:history="1" w:anchor="_Toc473880026">
            <w:r w:rsidRPr="00804687" w:rsidR="00C90B13">
              <w:rPr>
                <w:rStyle w:val="Hyperlink"/>
                <w:noProof/>
              </w:rPr>
              <w:t>10.</w:t>
            </w:r>
            <w:r w:rsidR="00C90B13">
              <w:rPr>
                <w:rFonts w:asciiTheme="minorHAnsi" w:hAnsiTheme="minorHAnsi" w:eastAsiaTheme="minorEastAsia"/>
                <w:noProof/>
                <w:sz w:val="22"/>
              </w:rPr>
              <w:tab/>
            </w:r>
            <w:r w:rsidRPr="00804687" w:rsidR="00C90B13">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AF7BBA">
              <w:rPr>
                <w:noProof/>
                <w:webHidden/>
              </w:rPr>
              <w:t>6</w:t>
            </w:r>
            <w:r w:rsidR="00C90B13">
              <w:rPr>
                <w:noProof/>
                <w:webHidden/>
              </w:rPr>
              <w:fldChar w:fldCharType="end"/>
            </w:r>
          </w:hyperlink>
        </w:p>
        <w:p w:rsidR="00C90B13" w:rsidRDefault="00813D41" w14:paraId="55FE17A7" w14:textId="63353703">
          <w:pPr>
            <w:pStyle w:val="TOC1"/>
            <w:tabs>
              <w:tab w:val="left" w:pos="660"/>
              <w:tab w:val="right" w:leader="dot" w:pos="10070"/>
            </w:tabs>
            <w:rPr>
              <w:rFonts w:asciiTheme="minorHAnsi" w:hAnsiTheme="minorHAnsi" w:eastAsiaTheme="minorEastAsia"/>
              <w:noProof/>
              <w:sz w:val="22"/>
            </w:rPr>
          </w:pPr>
          <w:hyperlink w:history="1" w:anchor="_Toc473880027">
            <w:r w:rsidRPr="00804687" w:rsidR="00C90B13">
              <w:rPr>
                <w:rStyle w:val="Hyperlink"/>
                <w:noProof/>
              </w:rPr>
              <w:t>11.</w:t>
            </w:r>
            <w:r w:rsidR="00C90B13">
              <w:rPr>
                <w:rFonts w:asciiTheme="minorHAnsi" w:hAnsiTheme="minorHAnsi" w:eastAsiaTheme="minorEastAsia"/>
                <w:noProof/>
                <w:sz w:val="22"/>
              </w:rPr>
              <w:tab/>
            </w:r>
            <w:r w:rsidRPr="00804687" w:rsidR="00C90B13">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AF7BBA">
              <w:rPr>
                <w:noProof/>
                <w:webHidden/>
              </w:rPr>
              <w:t>7</w:t>
            </w:r>
            <w:r w:rsidR="00C90B13">
              <w:rPr>
                <w:noProof/>
                <w:webHidden/>
              </w:rPr>
              <w:fldChar w:fldCharType="end"/>
            </w:r>
          </w:hyperlink>
        </w:p>
        <w:p w:rsidR="00C90B13" w:rsidRDefault="00813D41" w14:paraId="55FE17A8" w14:textId="49F10F45">
          <w:pPr>
            <w:pStyle w:val="TOC1"/>
            <w:tabs>
              <w:tab w:val="left" w:pos="660"/>
              <w:tab w:val="right" w:leader="dot" w:pos="10070"/>
            </w:tabs>
            <w:rPr>
              <w:rFonts w:asciiTheme="minorHAnsi" w:hAnsiTheme="minorHAnsi" w:eastAsiaTheme="minorEastAsia"/>
              <w:noProof/>
              <w:sz w:val="22"/>
            </w:rPr>
          </w:pPr>
          <w:hyperlink w:history="1" w:anchor="_Toc473880028">
            <w:r w:rsidRPr="00804687" w:rsidR="00C90B13">
              <w:rPr>
                <w:rStyle w:val="Hyperlink"/>
                <w:noProof/>
              </w:rPr>
              <w:t>12.</w:t>
            </w:r>
            <w:r w:rsidR="00C90B13">
              <w:rPr>
                <w:rFonts w:asciiTheme="minorHAnsi" w:hAnsiTheme="minorHAnsi" w:eastAsiaTheme="minorEastAsia"/>
                <w:noProof/>
                <w:sz w:val="22"/>
              </w:rPr>
              <w:tab/>
            </w:r>
            <w:r w:rsidRPr="00804687" w:rsidR="00C90B13">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AF7BBA">
              <w:rPr>
                <w:noProof/>
                <w:webHidden/>
              </w:rPr>
              <w:t>7</w:t>
            </w:r>
            <w:r w:rsidR="00C90B13">
              <w:rPr>
                <w:noProof/>
                <w:webHidden/>
              </w:rPr>
              <w:fldChar w:fldCharType="end"/>
            </w:r>
          </w:hyperlink>
        </w:p>
        <w:p w:rsidR="00C90B13" w:rsidRDefault="00813D41" w14:paraId="55FE17A9" w14:textId="7D05AD90">
          <w:pPr>
            <w:pStyle w:val="TOC1"/>
            <w:tabs>
              <w:tab w:val="left" w:pos="660"/>
              <w:tab w:val="right" w:leader="dot" w:pos="10070"/>
            </w:tabs>
            <w:rPr>
              <w:rFonts w:asciiTheme="minorHAnsi" w:hAnsiTheme="minorHAnsi" w:eastAsiaTheme="minorEastAsia"/>
              <w:noProof/>
              <w:sz w:val="22"/>
            </w:rPr>
          </w:pPr>
          <w:hyperlink w:history="1" w:anchor="_Toc473880029">
            <w:r w:rsidRPr="00804687" w:rsidR="00C90B13">
              <w:rPr>
                <w:rStyle w:val="Hyperlink"/>
                <w:noProof/>
              </w:rPr>
              <w:t>13.</w:t>
            </w:r>
            <w:r w:rsidR="00C90B13">
              <w:rPr>
                <w:rFonts w:asciiTheme="minorHAnsi" w:hAnsiTheme="minorHAnsi" w:eastAsiaTheme="minorEastAsia"/>
                <w:noProof/>
                <w:sz w:val="22"/>
              </w:rPr>
              <w:tab/>
            </w:r>
            <w:r w:rsidRPr="00804687" w:rsidR="00C90B13">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AF7BBA">
              <w:rPr>
                <w:noProof/>
                <w:webHidden/>
              </w:rPr>
              <w:t>8</w:t>
            </w:r>
            <w:r w:rsidR="00C90B13">
              <w:rPr>
                <w:noProof/>
                <w:webHidden/>
              </w:rPr>
              <w:fldChar w:fldCharType="end"/>
            </w:r>
          </w:hyperlink>
        </w:p>
        <w:p w:rsidR="00C90B13" w:rsidRDefault="00813D41" w14:paraId="55FE17AA" w14:textId="3CB89DDD">
          <w:pPr>
            <w:pStyle w:val="TOC1"/>
            <w:tabs>
              <w:tab w:val="left" w:pos="660"/>
              <w:tab w:val="right" w:leader="dot" w:pos="10070"/>
            </w:tabs>
            <w:rPr>
              <w:rFonts w:asciiTheme="minorHAnsi" w:hAnsiTheme="minorHAnsi" w:eastAsiaTheme="minorEastAsia"/>
              <w:noProof/>
              <w:sz w:val="22"/>
            </w:rPr>
          </w:pPr>
          <w:hyperlink w:history="1" w:anchor="_Toc473880030">
            <w:r w:rsidRPr="00804687" w:rsidR="00C90B13">
              <w:rPr>
                <w:rStyle w:val="Hyperlink"/>
                <w:noProof/>
              </w:rPr>
              <w:t>14.</w:t>
            </w:r>
            <w:r w:rsidR="00C90B13">
              <w:rPr>
                <w:rFonts w:asciiTheme="minorHAnsi" w:hAnsiTheme="minorHAnsi" w:eastAsiaTheme="minorEastAsia"/>
                <w:noProof/>
                <w:sz w:val="22"/>
              </w:rPr>
              <w:tab/>
            </w:r>
            <w:r w:rsidRPr="00804687" w:rsidR="00C90B13">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AF7BBA">
              <w:rPr>
                <w:noProof/>
                <w:webHidden/>
              </w:rPr>
              <w:t>8</w:t>
            </w:r>
            <w:r w:rsidR="00C90B13">
              <w:rPr>
                <w:noProof/>
                <w:webHidden/>
              </w:rPr>
              <w:fldChar w:fldCharType="end"/>
            </w:r>
          </w:hyperlink>
        </w:p>
        <w:p w:rsidR="00C90B13" w:rsidRDefault="00813D41" w14:paraId="55FE17AB" w14:textId="28C89D06">
          <w:pPr>
            <w:pStyle w:val="TOC1"/>
            <w:tabs>
              <w:tab w:val="left" w:pos="660"/>
              <w:tab w:val="right" w:leader="dot" w:pos="10070"/>
            </w:tabs>
            <w:rPr>
              <w:rFonts w:asciiTheme="minorHAnsi" w:hAnsiTheme="minorHAnsi" w:eastAsiaTheme="minorEastAsia"/>
              <w:noProof/>
              <w:sz w:val="22"/>
            </w:rPr>
          </w:pPr>
          <w:hyperlink w:history="1" w:anchor="_Toc473880031">
            <w:r w:rsidRPr="00804687" w:rsidR="00C90B13">
              <w:rPr>
                <w:rStyle w:val="Hyperlink"/>
                <w:noProof/>
              </w:rPr>
              <w:t>15.</w:t>
            </w:r>
            <w:r w:rsidR="00C90B13">
              <w:rPr>
                <w:rFonts w:asciiTheme="minorHAnsi" w:hAnsiTheme="minorHAnsi" w:eastAsiaTheme="minorEastAsia"/>
                <w:noProof/>
                <w:sz w:val="22"/>
              </w:rPr>
              <w:tab/>
            </w:r>
            <w:r w:rsidRPr="00804687" w:rsidR="00C90B13">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AF7BBA">
              <w:rPr>
                <w:noProof/>
                <w:webHidden/>
              </w:rPr>
              <w:t>8</w:t>
            </w:r>
            <w:r w:rsidR="00C90B13">
              <w:rPr>
                <w:noProof/>
                <w:webHidden/>
              </w:rPr>
              <w:fldChar w:fldCharType="end"/>
            </w:r>
          </w:hyperlink>
        </w:p>
        <w:p w:rsidR="00C90B13" w:rsidRDefault="00813D41" w14:paraId="55FE17AC" w14:textId="3E674BE6">
          <w:pPr>
            <w:pStyle w:val="TOC1"/>
            <w:tabs>
              <w:tab w:val="left" w:pos="660"/>
              <w:tab w:val="right" w:leader="dot" w:pos="10070"/>
            </w:tabs>
            <w:rPr>
              <w:rFonts w:asciiTheme="minorHAnsi" w:hAnsiTheme="minorHAnsi" w:eastAsiaTheme="minorEastAsia"/>
              <w:noProof/>
              <w:sz w:val="22"/>
            </w:rPr>
          </w:pPr>
          <w:hyperlink w:history="1" w:anchor="_Toc473880032">
            <w:r w:rsidRPr="00804687" w:rsidR="00C90B13">
              <w:rPr>
                <w:rStyle w:val="Hyperlink"/>
                <w:noProof/>
              </w:rPr>
              <w:t>16.</w:t>
            </w:r>
            <w:r w:rsidR="00C90B13">
              <w:rPr>
                <w:rFonts w:asciiTheme="minorHAnsi" w:hAnsiTheme="minorHAnsi" w:eastAsiaTheme="minorEastAsia"/>
                <w:noProof/>
                <w:sz w:val="22"/>
              </w:rPr>
              <w:tab/>
            </w:r>
            <w:r w:rsidRPr="00804687" w:rsidR="00C90B13">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AF7BBA">
              <w:rPr>
                <w:noProof/>
                <w:webHidden/>
              </w:rPr>
              <w:t>8</w:t>
            </w:r>
            <w:r w:rsidR="00C90B13">
              <w:rPr>
                <w:noProof/>
                <w:webHidden/>
              </w:rPr>
              <w:fldChar w:fldCharType="end"/>
            </w:r>
          </w:hyperlink>
        </w:p>
        <w:p w:rsidR="00C90B13" w:rsidRDefault="00813D41" w14:paraId="55FE17AD" w14:textId="0E6DD5AB">
          <w:pPr>
            <w:pStyle w:val="TOC1"/>
            <w:tabs>
              <w:tab w:val="left" w:pos="660"/>
              <w:tab w:val="right" w:leader="dot" w:pos="10070"/>
            </w:tabs>
            <w:rPr>
              <w:rFonts w:asciiTheme="minorHAnsi" w:hAnsiTheme="minorHAnsi" w:eastAsiaTheme="minorEastAsia"/>
              <w:noProof/>
              <w:sz w:val="22"/>
            </w:rPr>
          </w:pPr>
          <w:hyperlink w:history="1" w:anchor="_Toc473880033">
            <w:r w:rsidRPr="00804687" w:rsidR="00C90B13">
              <w:rPr>
                <w:rStyle w:val="Hyperlink"/>
                <w:noProof/>
              </w:rPr>
              <w:t>17.</w:t>
            </w:r>
            <w:r w:rsidR="00C90B13">
              <w:rPr>
                <w:rFonts w:asciiTheme="minorHAnsi" w:hAnsiTheme="minorHAnsi" w:eastAsiaTheme="minorEastAsia"/>
                <w:noProof/>
                <w:sz w:val="22"/>
              </w:rPr>
              <w:tab/>
            </w:r>
            <w:r w:rsidRPr="00804687" w:rsidR="00C90B13">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AF7BBA">
              <w:rPr>
                <w:noProof/>
                <w:webHidden/>
              </w:rPr>
              <w:t>9</w:t>
            </w:r>
            <w:r w:rsidR="00C90B13">
              <w:rPr>
                <w:noProof/>
                <w:webHidden/>
              </w:rPr>
              <w:fldChar w:fldCharType="end"/>
            </w:r>
          </w:hyperlink>
        </w:p>
        <w:p w:rsidR="00C90B13" w:rsidRDefault="00813D41" w14:paraId="55FE17AE" w14:textId="62224377">
          <w:pPr>
            <w:pStyle w:val="TOC1"/>
            <w:tabs>
              <w:tab w:val="left" w:pos="660"/>
              <w:tab w:val="right" w:leader="dot" w:pos="10070"/>
            </w:tabs>
            <w:rPr>
              <w:rFonts w:asciiTheme="minorHAnsi" w:hAnsiTheme="minorHAnsi" w:eastAsiaTheme="minorEastAsia"/>
              <w:noProof/>
              <w:sz w:val="22"/>
            </w:rPr>
          </w:pPr>
          <w:hyperlink w:history="1" w:anchor="_Toc473880034">
            <w:r w:rsidRPr="00804687" w:rsidR="00C90B13">
              <w:rPr>
                <w:rStyle w:val="Hyperlink"/>
                <w:noProof/>
              </w:rPr>
              <w:t>18.</w:t>
            </w:r>
            <w:r w:rsidR="00C90B13">
              <w:rPr>
                <w:rFonts w:asciiTheme="minorHAnsi" w:hAnsiTheme="minorHAnsi" w:eastAsiaTheme="minorEastAsia"/>
                <w:noProof/>
                <w:sz w:val="22"/>
              </w:rPr>
              <w:tab/>
            </w:r>
            <w:r w:rsidRPr="00804687" w:rsidR="00C90B13">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AF7BBA">
              <w:rPr>
                <w:noProof/>
                <w:webHidden/>
              </w:rPr>
              <w:t>9</w:t>
            </w:r>
            <w:r w:rsidR="00C90B13">
              <w:rPr>
                <w:noProof/>
                <w:webHidden/>
              </w:rPr>
              <w:fldChar w:fldCharType="end"/>
            </w:r>
          </w:hyperlink>
        </w:p>
        <w:p w:rsidR="00C90B13" w:rsidRDefault="00813D41" w14:paraId="55FE17AF" w14:textId="70FD8571">
          <w:pPr>
            <w:pStyle w:val="TOC1"/>
            <w:tabs>
              <w:tab w:val="right" w:leader="dot" w:pos="10070"/>
            </w:tabs>
            <w:rPr>
              <w:rFonts w:asciiTheme="minorHAnsi" w:hAnsiTheme="minorHAnsi" w:eastAsiaTheme="minorEastAsia"/>
              <w:noProof/>
              <w:sz w:val="22"/>
            </w:rPr>
          </w:pPr>
          <w:hyperlink w:history="1" w:anchor="_Toc473880035">
            <w:r w:rsidRPr="00804687" w:rsidR="00C90B13">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AF7BBA">
              <w:rPr>
                <w:noProof/>
                <w:webHidden/>
              </w:rPr>
              <w:t>9</w:t>
            </w:r>
            <w:r w:rsidR="00C90B13">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10192A48" wp14:anchorId="55FE182F">
                <wp:simplePos x="0" y="0"/>
                <wp:positionH relativeFrom="margin">
                  <wp:align>left</wp:align>
                </wp:positionH>
                <wp:positionV relativeFrom="margin">
                  <wp:align>top</wp:align>
                </wp:positionV>
                <wp:extent cx="6477000" cy="34099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409950"/>
                        </a:xfrm>
                        <a:prstGeom prst="rect">
                          <a:avLst/>
                        </a:prstGeom>
                        <a:solidFill>
                          <a:srgbClr val="FFFFFF"/>
                        </a:solidFill>
                        <a:ln w="9525">
                          <a:solidFill>
                            <a:srgbClr val="000000"/>
                          </a:solidFill>
                          <a:miter lim="800000"/>
                          <a:headEnd/>
                          <a:tailEnd/>
                        </a:ln>
                      </wps:spPr>
                      <wps:txbx>
                        <w:txbxContent>
                          <w:p w:rsidRPr="001A58BE" w:rsidR="00813D41" w:rsidP="004A13E8" w:rsidRDefault="00813D41" w14:paraId="55FE1837" w14:textId="396B856A">
                            <w:pPr>
                              <w:pStyle w:val="Bullets"/>
                              <w:rPr>
                                <w:b/>
                              </w:rPr>
                            </w:pPr>
                            <w:r w:rsidRPr="001A58BE">
                              <w:rPr>
                                <w:b/>
                              </w:rPr>
                              <w:t>Goal of the study:</w:t>
                            </w:r>
                            <w:r>
                              <w:rPr>
                                <w:b/>
                              </w:rPr>
                              <w:t xml:space="preserve"> </w:t>
                            </w:r>
                            <w:r w:rsidRPr="00E23C77">
                              <w:rPr>
                                <w:bCs/>
                              </w:rPr>
                              <w:t xml:space="preserve">The goal of this </w:t>
                            </w:r>
                            <w:r>
                              <w:rPr>
                                <w:bCs/>
                              </w:rPr>
                              <w:t>information collection</w:t>
                            </w:r>
                            <w:r w:rsidRPr="00E23C77">
                              <w:rPr>
                                <w:bCs/>
                              </w:rPr>
                              <w:t xml:space="preserve"> is to</w:t>
                            </w:r>
                            <w:r>
                              <w:rPr>
                                <w:b/>
                              </w:rPr>
                              <w:t xml:space="preserve"> </w:t>
                            </w:r>
                            <w:r w:rsidRPr="00790323">
                              <w:t>(1) determine the extent of infection in communities as determined by overall SARS-CoV-2 seroprevalence; and (2) determine factors associated with SARS-CoV-2 seropositivity among persons residing in areas with evidence of community transmission.</w:t>
                            </w:r>
                          </w:p>
                          <w:p w:rsidRPr="007142CD" w:rsidR="00813D41" w:rsidP="003A6A42" w:rsidRDefault="00813D41" w14:paraId="4D4CD735" w14:textId="18CAFFD4">
                            <w:pPr>
                              <w:pStyle w:val="Bullets"/>
                              <w:rPr>
                                <w:b/>
                                <w:highlight w:val="yellow"/>
                              </w:rPr>
                            </w:pPr>
                            <w:r w:rsidRPr="005F28FF">
                              <w:rPr>
                                <w:b/>
                              </w:rPr>
                              <w:t xml:space="preserve">Intended use of the resulting data: </w:t>
                            </w:r>
                            <w:r w:rsidRPr="00E23C77">
                              <w:rPr>
                                <w:bCs/>
                              </w:rPr>
                              <w:t>The resulting data will be used</w:t>
                            </w:r>
                            <w:r>
                              <w:rPr>
                                <w:b/>
                              </w:rPr>
                              <w:t xml:space="preserve"> </w:t>
                            </w:r>
                            <w:r w:rsidRPr="005F28FF">
                              <w:t xml:space="preserve">to inform decisions about prevention and control strategies as well as community mitigation interventions. Further, the data obtained can inform burden estimates and modeling. </w:t>
                            </w:r>
                          </w:p>
                          <w:p w:rsidRPr="00534E9E" w:rsidR="00813D41" w:rsidP="003A6A42" w:rsidRDefault="00813D41" w14:paraId="6CBD0D54" w14:textId="18DFE8DB">
                            <w:pPr>
                              <w:pStyle w:val="Bullets"/>
                              <w:rPr>
                                <w:b/>
                              </w:rPr>
                            </w:pPr>
                            <w:r w:rsidRPr="00534E9E">
                              <w:rPr>
                                <w:b/>
                              </w:rPr>
                              <w:t xml:space="preserve">Methods to be used to collect: </w:t>
                            </w:r>
                            <w:r w:rsidRPr="00E23C77">
                              <w:rPr>
                                <w:bCs/>
                              </w:rPr>
                              <w:t xml:space="preserve">CDC will select respondents using a multi-cluster sampling method.  </w:t>
                            </w:r>
                            <w:r w:rsidRPr="00D42885">
                              <w:t>A cross-sectional household survey design</w:t>
                            </w:r>
                            <w:r w:rsidR="00BE0036">
                              <w:t xml:space="preserve"> will be used</w:t>
                            </w:r>
                            <w:r w:rsidRPr="00D42885">
                              <w:t xml:space="preserve"> to measure SARS-CoV-2 seroprevalence</w:t>
                            </w:r>
                            <w:r>
                              <w:t xml:space="preserve">.  CDC will collect blood from all respondents.  The investigations </w:t>
                            </w:r>
                            <w:r w:rsidR="00BE0036">
                              <w:t xml:space="preserve">(total of up to four) </w:t>
                            </w:r>
                            <w:r>
                              <w:t>will be one-time sampling events.</w:t>
                            </w:r>
                          </w:p>
                          <w:p w:rsidRPr="004763CB" w:rsidR="00813D41" w:rsidP="004763CB" w:rsidRDefault="00813D41" w14:paraId="55FE183A" w14:textId="749D352A">
                            <w:pPr>
                              <w:pStyle w:val="Bullets"/>
                              <w:rPr>
                                <w:b/>
                              </w:rPr>
                            </w:pPr>
                            <w:r w:rsidRPr="00534E9E">
                              <w:rPr>
                                <w:b/>
                              </w:rPr>
                              <w:t xml:space="preserve">The subpopulation to be studied: </w:t>
                            </w:r>
                            <w:r w:rsidRPr="00E23C77">
                              <w:rPr>
                                <w:bCs/>
                              </w:rPr>
                              <w:t>Eligible respondents include</w:t>
                            </w:r>
                            <w:r>
                              <w:rPr>
                                <w:b/>
                              </w:rPr>
                              <w:t xml:space="preserve"> </w:t>
                            </w:r>
                            <w:r w:rsidRPr="00E23C77">
                              <w:rPr>
                                <w:bCs/>
                              </w:rPr>
                              <w:t>all persons residing in selected</w:t>
                            </w:r>
                            <w:r w:rsidRPr="00044372">
                              <w:rPr>
                                <w:b/>
                              </w:rPr>
                              <w:t xml:space="preserve"> </w:t>
                            </w:r>
                            <w:r>
                              <w:t>households in</w:t>
                            </w:r>
                            <w:r w:rsidRPr="00641B0A">
                              <w:t xml:space="preserve"> areas with evidence of community transmission of SARS-CoV-2</w:t>
                            </w:r>
                            <w:r>
                              <w:t>.</w:t>
                            </w:r>
                          </w:p>
                          <w:p w:rsidR="00813D41" w:rsidP="0027510D" w:rsidRDefault="00813D41" w14:paraId="55FE183D" w14:textId="544CE521">
                            <w:pPr>
                              <w:pStyle w:val="Bullets"/>
                            </w:pPr>
                            <w:r w:rsidRPr="001A58BE">
                              <w:rPr>
                                <w:b/>
                              </w:rPr>
                              <w:t>How data will be analyzed:</w:t>
                            </w:r>
                            <w:r>
                              <w:rPr>
                                <w:b/>
                              </w:rPr>
                              <w:t xml:space="preserve"> </w:t>
                            </w:r>
                            <w:r w:rsidRPr="00E23C77">
                              <w:rPr>
                                <w:bCs/>
                              </w:rPr>
                              <w:t xml:space="preserve">CDC accredited laboratories will analyze the blood samples.  </w:t>
                            </w:r>
                            <w:r>
                              <w:rPr>
                                <w:bCs/>
                              </w:rPr>
                              <w:t xml:space="preserve">Epidemiologists and statisticians </w:t>
                            </w:r>
                            <w:r w:rsidRPr="00E23C77">
                              <w:rPr>
                                <w:bCs/>
                              </w:rPr>
                              <w:t>will conduct descriptive analyses and higher-level statistical analyses</w:t>
                            </w:r>
                            <w:r>
                              <w:rPr>
                                <w:b/>
                              </w:rPr>
                              <w:t xml:space="preserve"> </w:t>
                            </w:r>
                            <w:r w:rsidRPr="00E23C77">
                              <w:rPr>
                                <w:bCs/>
                              </w:rPr>
                              <w:t>of the</w:t>
                            </w:r>
                            <w:r>
                              <w:rPr>
                                <w:b/>
                              </w:rPr>
                              <w:t xml:space="preserve"> </w:t>
                            </w:r>
                            <w:r w:rsidRPr="00E23C77">
                              <w:rPr>
                                <w:bCs/>
                              </w:rPr>
                              <w:t>investigation information.</w:t>
                            </w:r>
                            <w:r>
                              <w:rPr>
                                <w:b/>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68.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zsKQIAAEcEAAAOAAAAZHJzL2Uyb0RvYy54bWysU9tu2zAMfR+wfxD0vtjxkqYx4hRdugwD&#10;ugvQ7gNoWY6FyaInKbGzrx8lp2nWYS/D/GCIInV4eEiuboZWs4O0TqEp+HSSciaNwEqZXcG/PW7f&#10;XHPmPJgKNBpZ8KN0/Gb9+tWq73KZYYO6kpYRiHF53xW88b7Lk8SJRrbgJthJQ84abQueTLtLKgs9&#10;obc6ydL0KunRVp1FIZ2j27vRydcRv66l8F/q2knPdMGJm49/G/9l+CfrFeQ7C12jxIkG/AOLFpSh&#10;pGeoO/DA9lb9AdUqYdFh7ScC2wTrWgkZa6BqpumLah4a6GSshcRx3Vkm9/9gxefDV8tUVfBsuuDM&#10;QEtNepSDZ+9wYFnQp+9cTmEPHQX6ga6pz7FW192j+O6YwU0DZidvrcW+kVARv2l4mVw8HXFcACn7&#10;T1hRGth7jEBDbdsgHsnBCJ36dDz3JlARdHk1WyzSlFyCfG9n6XI5j91LIH963lnnP0hsWTgU3FLz&#10;Izwc7p0PdCB/CgnZHGpVbZXW0bC7cqMtOwANyjZ+sYIXYdqwvuDLeTYfFfgrBFENbMesv2VqlaeJ&#10;16ot+PU5CPKg23tT0QPIPSg9nomyNichg3ajin4oBwoM6pZYHUlSi+Nk0ybSoUH7k7Oeprrg7sce&#10;rORMfzTUluV0NgtrEI3ZfJGRYS895aUHjCCognvOxuPGx9UJHA3eUvtqFYV9ZnLiStMa9T5tVliH&#10;SztGPe//+hcAAAD//wMAUEsDBBQABgAIAAAAIQCgXuEl3AAAAAYBAAAPAAAAZHJzL2Rvd25yZXYu&#10;eG1sTI/BTsMwEETvSPyDtUhcELWh0JYQp0JIIHqDguDqxtskwl4He5uGv8flApeRVrOaeVMuR+/E&#10;gDF1gTRcTBQIpDrYjhoNb68P5wsQiQ1Z4wKhhm9MsKyOj0pT2LCnFxzW3IgcQqkwGlrmvpAy1S16&#10;kyahR8reNkRvOJ+xkTaafQ73Tl4qNZPedJQbWtPjfYv153rnNSyunoaPtJo+v9ezrbvhs/nw+BW1&#10;Pj0Z725BMI789wwH/IwOVWbahB3ZJJyGPIR/9eCp3AVio+F6Olcgq1L+x69+AAAA//8DAFBLAQIt&#10;ABQABgAIAAAAIQC2gziS/gAAAOEBAAATAAAAAAAAAAAAAAAAAAAAAABbQ29udGVudF9UeXBlc10u&#10;eG1sUEsBAi0AFAAGAAgAAAAhADj9If/WAAAAlAEAAAsAAAAAAAAAAAAAAAAALwEAAF9yZWxzLy5y&#10;ZWxzUEsBAi0AFAAGAAgAAAAhAIFATOwpAgAARwQAAA4AAAAAAAAAAAAAAAAALgIAAGRycy9lMm9E&#10;b2MueG1sUEsBAi0AFAAGAAgAAAAhAKBe4SXcAAAABgEAAA8AAAAAAAAAAAAAAAAAgwQAAGRycy9k&#10;b3ducmV2LnhtbFBLBQYAAAAABAAEAPMAAACMBQAAAAA=&#10;">
                <v:textbox>
                  <w:txbxContent>
                    <w:p w:rsidRPr="001A58BE" w:rsidR="00813D41" w:rsidP="004A13E8" w:rsidRDefault="00813D41" w14:paraId="55FE1837" w14:textId="396B856A">
                      <w:pPr>
                        <w:pStyle w:val="Bullets"/>
                        <w:rPr>
                          <w:b/>
                        </w:rPr>
                      </w:pPr>
                      <w:r w:rsidRPr="001A58BE">
                        <w:rPr>
                          <w:b/>
                        </w:rPr>
                        <w:t>Goal of the study:</w:t>
                      </w:r>
                      <w:r>
                        <w:rPr>
                          <w:b/>
                        </w:rPr>
                        <w:t xml:space="preserve"> </w:t>
                      </w:r>
                      <w:r w:rsidRPr="00E23C77">
                        <w:rPr>
                          <w:bCs/>
                        </w:rPr>
                        <w:t xml:space="preserve">The goal of this </w:t>
                      </w:r>
                      <w:r>
                        <w:rPr>
                          <w:bCs/>
                        </w:rPr>
                        <w:t>information collection</w:t>
                      </w:r>
                      <w:r w:rsidRPr="00E23C77">
                        <w:rPr>
                          <w:bCs/>
                        </w:rPr>
                        <w:t xml:space="preserve"> is to</w:t>
                      </w:r>
                      <w:r>
                        <w:rPr>
                          <w:b/>
                        </w:rPr>
                        <w:t xml:space="preserve"> </w:t>
                      </w:r>
                      <w:r w:rsidRPr="00790323">
                        <w:t>(1) determine the extent of infection in communities as determined by overall SARS-CoV-2 seroprevalence; and (2) determine factors associated with SARS-CoV-2 seropositivity among persons residing in areas with evidence of community transmission.</w:t>
                      </w:r>
                    </w:p>
                    <w:p w:rsidRPr="007142CD" w:rsidR="00813D41" w:rsidP="003A6A42" w:rsidRDefault="00813D41" w14:paraId="4D4CD735" w14:textId="18CAFFD4">
                      <w:pPr>
                        <w:pStyle w:val="Bullets"/>
                        <w:rPr>
                          <w:b/>
                          <w:highlight w:val="yellow"/>
                        </w:rPr>
                      </w:pPr>
                      <w:r w:rsidRPr="005F28FF">
                        <w:rPr>
                          <w:b/>
                        </w:rPr>
                        <w:t xml:space="preserve">Intended use of the resulting data: </w:t>
                      </w:r>
                      <w:r w:rsidRPr="00E23C77">
                        <w:rPr>
                          <w:bCs/>
                        </w:rPr>
                        <w:t>The resulting data will be used</w:t>
                      </w:r>
                      <w:r>
                        <w:rPr>
                          <w:b/>
                        </w:rPr>
                        <w:t xml:space="preserve"> </w:t>
                      </w:r>
                      <w:r w:rsidRPr="005F28FF">
                        <w:t xml:space="preserve">to inform decisions about prevention and control strategies as well as community mitigation interventions. Further, the data obtained can inform burden estimates and modeling. </w:t>
                      </w:r>
                    </w:p>
                    <w:p w:rsidRPr="00534E9E" w:rsidR="00813D41" w:rsidP="003A6A42" w:rsidRDefault="00813D41" w14:paraId="6CBD0D54" w14:textId="18DFE8DB">
                      <w:pPr>
                        <w:pStyle w:val="Bullets"/>
                        <w:rPr>
                          <w:b/>
                        </w:rPr>
                      </w:pPr>
                      <w:r w:rsidRPr="00534E9E">
                        <w:rPr>
                          <w:b/>
                        </w:rPr>
                        <w:t xml:space="preserve">Methods to be used to collect: </w:t>
                      </w:r>
                      <w:r w:rsidRPr="00E23C77">
                        <w:rPr>
                          <w:bCs/>
                        </w:rPr>
                        <w:t xml:space="preserve">CDC will select respondents using a multi-cluster sampling method.  </w:t>
                      </w:r>
                      <w:r w:rsidRPr="00D42885">
                        <w:t>A cross-sectional household survey design</w:t>
                      </w:r>
                      <w:r w:rsidR="00BE0036">
                        <w:t xml:space="preserve"> will be used</w:t>
                      </w:r>
                      <w:r w:rsidRPr="00D42885">
                        <w:t xml:space="preserve"> to measure SARS-CoV-2 seroprevalence</w:t>
                      </w:r>
                      <w:r>
                        <w:t xml:space="preserve">.  CDC will collect blood from all respondents.  The investigations </w:t>
                      </w:r>
                      <w:r w:rsidR="00BE0036">
                        <w:t xml:space="preserve">(total of up to four) </w:t>
                      </w:r>
                      <w:r>
                        <w:t>will be one-time sampling events.</w:t>
                      </w:r>
                    </w:p>
                    <w:p w:rsidRPr="004763CB" w:rsidR="00813D41" w:rsidP="004763CB" w:rsidRDefault="00813D41" w14:paraId="55FE183A" w14:textId="749D352A">
                      <w:pPr>
                        <w:pStyle w:val="Bullets"/>
                        <w:rPr>
                          <w:b/>
                        </w:rPr>
                      </w:pPr>
                      <w:r w:rsidRPr="00534E9E">
                        <w:rPr>
                          <w:b/>
                        </w:rPr>
                        <w:t xml:space="preserve">The subpopulation to be studied: </w:t>
                      </w:r>
                      <w:r w:rsidRPr="00E23C77">
                        <w:rPr>
                          <w:bCs/>
                        </w:rPr>
                        <w:t>Eligible respondents include</w:t>
                      </w:r>
                      <w:r>
                        <w:rPr>
                          <w:b/>
                        </w:rPr>
                        <w:t xml:space="preserve"> </w:t>
                      </w:r>
                      <w:r w:rsidRPr="00E23C77">
                        <w:rPr>
                          <w:bCs/>
                        </w:rPr>
                        <w:t>all persons residing in selected</w:t>
                      </w:r>
                      <w:r w:rsidRPr="00044372">
                        <w:rPr>
                          <w:b/>
                        </w:rPr>
                        <w:t xml:space="preserve"> </w:t>
                      </w:r>
                      <w:r>
                        <w:t>households in</w:t>
                      </w:r>
                      <w:r w:rsidRPr="00641B0A">
                        <w:t xml:space="preserve"> areas with evidence of community transmission of SARS-CoV-2</w:t>
                      </w:r>
                      <w:r>
                        <w:t>.</w:t>
                      </w:r>
                    </w:p>
                    <w:p w:rsidR="00813D41" w:rsidP="0027510D" w:rsidRDefault="00813D41" w14:paraId="55FE183D" w14:textId="544CE521">
                      <w:pPr>
                        <w:pStyle w:val="Bullets"/>
                      </w:pPr>
                      <w:r w:rsidRPr="001A58BE">
                        <w:rPr>
                          <w:b/>
                        </w:rPr>
                        <w:t>How data will be analyzed:</w:t>
                      </w:r>
                      <w:r>
                        <w:rPr>
                          <w:b/>
                        </w:rPr>
                        <w:t xml:space="preserve"> </w:t>
                      </w:r>
                      <w:r w:rsidRPr="00E23C77">
                        <w:rPr>
                          <w:bCs/>
                        </w:rPr>
                        <w:t xml:space="preserve">CDC accredited laboratories will analyze the blood samples.  </w:t>
                      </w:r>
                      <w:r>
                        <w:rPr>
                          <w:bCs/>
                        </w:rPr>
                        <w:t xml:space="preserve">Epidemiologists and statisticians </w:t>
                      </w:r>
                      <w:r w:rsidRPr="00E23C77">
                        <w:rPr>
                          <w:bCs/>
                        </w:rPr>
                        <w:t>will conduct descriptive analyses and higher-level statistical analyses</w:t>
                      </w:r>
                      <w:r>
                        <w:rPr>
                          <w:b/>
                        </w:rPr>
                        <w:t xml:space="preserve"> </w:t>
                      </w:r>
                      <w:r w:rsidRPr="00E23C77">
                        <w:rPr>
                          <w:bCs/>
                        </w:rPr>
                        <w:t>of the</w:t>
                      </w:r>
                      <w:r>
                        <w:rPr>
                          <w:b/>
                        </w:rPr>
                        <w:t xml:space="preserve"> </w:t>
                      </w:r>
                      <w:r w:rsidRPr="00E23C77">
                        <w:rPr>
                          <w:bCs/>
                        </w:rPr>
                        <w:t>investigation information.</w:t>
                      </w:r>
                      <w:r>
                        <w:rPr>
                          <w:b/>
                        </w:rPr>
                        <w:t xml:space="preserve"> </w:t>
                      </w:r>
                    </w:p>
                  </w:txbxContent>
                </v:textbox>
                <w10:wrap type="tight" anchorx="margin" anchory="margin"/>
              </v:shape>
            </w:pict>
          </mc:Fallback>
        </mc:AlternateContent>
      </w:r>
    </w:p>
    <w:p w:rsidR="004A13E8" w:rsidP="004A13E8" w:rsidRDefault="004A13E8" w14:paraId="55FE17B3" w14:textId="77777777">
      <w:pPr>
        <w:pStyle w:val="Heading1"/>
      </w:pPr>
      <w:bookmarkStart w:name="_Toc473880017" w:id="4"/>
      <w:r w:rsidRPr="004A13E8">
        <w:t>Circumstances Making the Collection of Information Necessary</w:t>
      </w:r>
      <w:bookmarkEnd w:id="4"/>
    </w:p>
    <w:p w:rsidR="00994D05" w:rsidP="000B6039" w:rsidRDefault="0051092D" w14:paraId="7AA16EE7" w14:textId="14291773">
      <w:pPr>
        <w:rPr>
          <w:rFonts w:cstheme="minorHAnsi"/>
        </w:rPr>
      </w:pPr>
      <w:r w:rsidRPr="0051092D">
        <w:rPr>
          <w:rFonts w:cstheme="minorHAnsi"/>
        </w:rPr>
        <w:t xml:space="preserve">The Centers for Disease Control and Prevention (CDC), </w:t>
      </w:r>
      <w:r w:rsidRPr="004343B2" w:rsidR="004343B2">
        <w:rPr>
          <w:rFonts w:cstheme="minorHAnsi"/>
        </w:rPr>
        <w:t xml:space="preserve">National Center for Immunization and Respiratory Diseases </w:t>
      </w:r>
      <w:r w:rsidRPr="0051092D">
        <w:rPr>
          <w:rFonts w:cstheme="minorHAnsi"/>
        </w:rPr>
        <w:t>(NC</w:t>
      </w:r>
      <w:r w:rsidR="004343B2">
        <w:rPr>
          <w:rFonts w:cstheme="minorHAnsi"/>
        </w:rPr>
        <w:t>R</w:t>
      </w:r>
      <w:r w:rsidRPr="0051092D">
        <w:rPr>
          <w:rFonts w:cstheme="minorHAnsi"/>
        </w:rPr>
        <w:t xml:space="preserve">ID), </w:t>
      </w:r>
      <w:r w:rsidRPr="00CC30E3" w:rsidR="00CC30E3">
        <w:rPr>
          <w:rFonts w:cstheme="minorHAnsi"/>
        </w:rPr>
        <w:t xml:space="preserve">Division of Viral Diseases </w:t>
      </w:r>
      <w:r w:rsidRPr="0051092D">
        <w:rPr>
          <w:rFonts w:cstheme="minorHAnsi"/>
        </w:rPr>
        <w:t>(D</w:t>
      </w:r>
      <w:r w:rsidR="00CC30E3">
        <w:rPr>
          <w:rFonts w:cstheme="minorHAnsi"/>
        </w:rPr>
        <w:t>VD</w:t>
      </w:r>
      <w:r w:rsidRPr="0051092D">
        <w:rPr>
          <w:rFonts w:cstheme="minorHAnsi"/>
        </w:rPr>
        <w:t>) requests a 180-day emergency approval for a new information collection, “</w:t>
      </w:r>
      <w:r w:rsidRPr="00C77175" w:rsidR="00C77175">
        <w:rPr>
          <w:rFonts w:cstheme="minorHAnsi"/>
        </w:rPr>
        <w:t>Investigation of SARS-CoV-2 Seroprevalence and Factors Associated with Seropositivity in a Community Setting</w:t>
      </w:r>
      <w:r w:rsidRPr="0051092D">
        <w:rPr>
          <w:rFonts w:cstheme="minorHAnsi"/>
        </w:rPr>
        <w:t xml:space="preserve">.”  </w:t>
      </w:r>
    </w:p>
    <w:p w:rsidR="000365B9" w:rsidP="000B6039" w:rsidRDefault="000365B9" w14:paraId="50011F21" w14:textId="614343C1">
      <w:pPr>
        <w:rPr>
          <w:rFonts w:cstheme="minorHAnsi"/>
        </w:rPr>
      </w:pPr>
      <w:r w:rsidRPr="00317011">
        <w:rPr>
          <w:rFonts w:cstheme="minorHAnsi"/>
        </w:rPr>
        <w:t>Coronavirus disease 2019 (COVID-19), caused by the severe acute respiratory syndrome coronavirus 2 (SARS-CoV-2), was first reported in Wuhan, Hubei Province, China in late December 2019.</w:t>
      </w:r>
      <w:r w:rsidRPr="00B44ECC">
        <w:t xml:space="preserve"> </w:t>
      </w:r>
      <w:r>
        <w:t xml:space="preserve"> On February 26, 2020, CDC announced that an infection with the novel coronavirus had been confirmed “in a person who reportedly did not have relevant travel history or exposure to another known patient with COVID-19,” making this the first suspected United States (U.S.) case of community transmission (1).  On March 11, 2020, the World Health Organization declared COVID-19 a pandemic, and President Trump proclaimed the outbreak a national emergency on March 13, 2020</w:t>
      </w:r>
      <w:r w:rsidRPr="005F567D">
        <w:t xml:space="preserve">. As of April </w:t>
      </w:r>
      <w:r w:rsidRPr="005F567D" w:rsidR="0090209E">
        <w:t>20</w:t>
      </w:r>
      <w:r w:rsidRPr="005F567D" w:rsidR="006D2982">
        <w:t>,</w:t>
      </w:r>
      <w:r w:rsidRPr="005F567D">
        <w:t xml:space="preserve"> 2020, more than </w:t>
      </w:r>
      <w:r w:rsidRPr="005F567D" w:rsidR="005F567D">
        <w:t>700,000</w:t>
      </w:r>
      <w:r w:rsidRPr="005F567D">
        <w:t xml:space="preserve"> cases of SARS-CoV-2 have been confirmed.</w:t>
      </w:r>
    </w:p>
    <w:p w:rsidR="00C4660B" w:rsidP="00C4660B" w:rsidRDefault="000B6039" w14:paraId="5ABF70BF" w14:textId="77777777">
      <w:pPr>
        <w:rPr>
          <w:rFonts w:eastAsia="Times New Roman" w:cs="Times New Roman"/>
          <w:szCs w:val="24"/>
        </w:rPr>
      </w:pPr>
      <w:r w:rsidRPr="00967DD6">
        <w:rPr>
          <w:rFonts w:cstheme="minorHAnsi"/>
        </w:rPr>
        <w:t>Current epidemiologic data in the U</w:t>
      </w:r>
      <w:r w:rsidR="004714DB">
        <w:rPr>
          <w:rFonts w:cstheme="minorHAnsi"/>
        </w:rPr>
        <w:t>.S.</w:t>
      </w:r>
      <w:r w:rsidRPr="00967DD6">
        <w:rPr>
          <w:rFonts w:cstheme="minorHAnsi"/>
        </w:rPr>
        <w:t xml:space="preserve"> suggests that sustained community transmission of SARS-CoV-2 </w:t>
      </w:r>
      <w:r>
        <w:rPr>
          <w:rFonts w:cstheme="minorHAnsi"/>
        </w:rPr>
        <w:t>is</w:t>
      </w:r>
      <w:r w:rsidRPr="00967DD6">
        <w:rPr>
          <w:rFonts w:cstheme="minorHAnsi"/>
        </w:rPr>
        <w:t xml:space="preserve"> occurring in certain areas. The extent of transmission of SARS-CoV-2 in community settings is currently unknown. </w:t>
      </w:r>
      <w:r>
        <w:rPr>
          <w:rFonts w:cstheme="minorHAnsi"/>
        </w:rPr>
        <w:t>In the case of a novel virus, such as</w:t>
      </w:r>
      <w:r w:rsidRPr="00796367">
        <w:rPr>
          <w:rFonts w:cstheme="minorHAnsi"/>
        </w:rPr>
        <w:t xml:space="preserve"> </w:t>
      </w:r>
      <w:r w:rsidRPr="00967DD6">
        <w:rPr>
          <w:rFonts w:cstheme="minorHAnsi"/>
        </w:rPr>
        <w:t>SARS-CoV-2</w:t>
      </w:r>
      <w:r>
        <w:rPr>
          <w:rFonts w:cstheme="minorHAnsi"/>
        </w:rPr>
        <w:t xml:space="preserve">, initial seroprevalence in the population is expected to be negligible; therefore, seroprevalence estimates can be useful to understand cumulative incidence in a given population. Antibody seropositivity may also provide data about asymptomatic or subclinical infections that would not be detected by surveillance that relies on medical visits. These data could supplement medically attended infection rates and contribute to understanding the overall burden of COVID-19. </w:t>
      </w:r>
      <w:r w:rsidRPr="00967DD6">
        <w:rPr>
          <w:rFonts w:cstheme="minorHAnsi"/>
        </w:rPr>
        <w:t xml:space="preserve">This information </w:t>
      </w:r>
      <w:r>
        <w:rPr>
          <w:rFonts w:cstheme="minorHAnsi"/>
        </w:rPr>
        <w:t>c</w:t>
      </w:r>
      <w:r w:rsidRPr="00967DD6">
        <w:rPr>
          <w:rFonts w:cstheme="minorHAnsi"/>
        </w:rPr>
        <w:t xml:space="preserve">ould </w:t>
      </w:r>
      <w:r>
        <w:rPr>
          <w:rFonts w:cstheme="minorHAnsi"/>
        </w:rPr>
        <w:t xml:space="preserve">also contribute to modeling estimates </w:t>
      </w:r>
      <w:r w:rsidRPr="00967DD6">
        <w:rPr>
          <w:rFonts w:cstheme="minorHAnsi"/>
        </w:rPr>
        <w:t xml:space="preserve">to </w:t>
      </w:r>
      <w:r w:rsidRPr="00967DD6">
        <w:rPr>
          <w:rFonts w:cstheme="minorHAnsi"/>
        </w:rPr>
        <w:lastRenderedPageBreak/>
        <w:t>inform decisions about prevention and control strategies as well as community mitigation interventions</w:t>
      </w:r>
      <w:r>
        <w:rPr>
          <w:rFonts w:cstheme="minorHAnsi"/>
        </w:rPr>
        <w:t xml:space="preserve"> in the U.S. response to COVID-19</w:t>
      </w:r>
      <w:r w:rsidRPr="00967DD6">
        <w:rPr>
          <w:rFonts w:cstheme="minorHAnsi"/>
        </w:rPr>
        <w:t>.</w:t>
      </w:r>
      <w:r w:rsidRPr="00C4660B" w:rsidR="00C4660B">
        <w:rPr>
          <w:rFonts w:eastAsia="Times New Roman" w:cs="Times New Roman"/>
          <w:szCs w:val="24"/>
        </w:rPr>
        <w:t xml:space="preserve"> </w:t>
      </w:r>
    </w:p>
    <w:p w:rsidR="00C4660B" w:rsidP="00C4660B" w:rsidRDefault="00C4660B" w14:paraId="0DBEE5A4" w14:textId="4F4EC425">
      <w:pPr>
        <w:rPr>
          <w:rFonts w:eastAsia="Times New Roman" w:cs="Times New Roman"/>
          <w:szCs w:val="24"/>
        </w:rPr>
      </w:pPr>
      <w:r>
        <w:rPr>
          <w:rFonts w:eastAsia="Times New Roman" w:cs="Times New Roman"/>
          <w:szCs w:val="24"/>
        </w:rPr>
        <w:t xml:space="preserve">This </w:t>
      </w:r>
      <w:r w:rsidR="00123BCE">
        <w:rPr>
          <w:rFonts w:eastAsia="Times New Roman" w:cs="Times New Roman"/>
          <w:szCs w:val="24"/>
        </w:rPr>
        <w:t>information collection request (</w:t>
      </w:r>
      <w:r>
        <w:rPr>
          <w:rFonts w:eastAsia="Times New Roman" w:cs="Times New Roman"/>
          <w:szCs w:val="24"/>
        </w:rPr>
        <w:t>ICR</w:t>
      </w:r>
      <w:r w:rsidR="00123BCE">
        <w:rPr>
          <w:rFonts w:eastAsia="Times New Roman" w:cs="Times New Roman"/>
          <w:szCs w:val="24"/>
        </w:rPr>
        <w:t>)</w:t>
      </w:r>
      <w:r>
        <w:rPr>
          <w:rFonts w:eastAsia="Times New Roman" w:cs="Times New Roman"/>
          <w:szCs w:val="24"/>
        </w:rPr>
        <w:t xml:space="preserve"> is designed to cover the conduct of multiple community-based seroprevalence studies (up to </w:t>
      </w:r>
      <w:r w:rsidR="00896C35">
        <w:rPr>
          <w:rFonts w:eastAsia="Times New Roman" w:cs="Times New Roman"/>
          <w:szCs w:val="24"/>
        </w:rPr>
        <w:t>four</w:t>
      </w:r>
      <w:r>
        <w:rPr>
          <w:rFonts w:eastAsia="Times New Roman" w:cs="Times New Roman"/>
          <w:szCs w:val="24"/>
        </w:rPr>
        <w:t>). Because this is an Emergency Clearance conduct</w:t>
      </w:r>
      <w:r w:rsidR="00896C35">
        <w:rPr>
          <w:rFonts w:eastAsia="Times New Roman" w:cs="Times New Roman"/>
          <w:szCs w:val="24"/>
        </w:rPr>
        <w:t>ed</w:t>
      </w:r>
      <w:r>
        <w:rPr>
          <w:rFonts w:eastAsia="Times New Roman" w:cs="Times New Roman"/>
          <w:szCs w:val="24"/>
        </w:rPr>
        <w:t xml:space="preserve"> in the context of HHS’s declared public health emergency, Part B provides criteria for how decisions regarding sampling will be made and how </w:t>
      </w:r>
      <w:r w:rsidR="0098602B">
        <w:rPr>
          <w:rFonts w:eastAsia="Times New Roman" w:cs="Times New Roman"/>
          <w:szCs w:val="24"/>
        </w:rPr>
        <w:t xml:space="preserve">differences in precision and generalizability based on differences in sampling will be communicated. </w:t>
      </w:r>
    </w:p>
    <w:p w:rsidRPr="007F46E9" w:rsidR="000B6039" w:rsidP="007F46E9" w:rsidRDefault="00087B8B" w14:paraId="34766656" w14:textId="65F1B53A">
      <w:r w:rsidRPr="00087B8B">
        <w:t xml:space="preserve">This information collection is authorized by Section 301 of the Public Health Service Act (42 USC </w:t>
      </w:r>
      <w:r w:rsidR="005A318F">
        <w:t>241</w:t>
      </w:r>
      <w:r w:rsidRPr="00087B8B">
        <w:t xml:space="preserve"> (Attachment 1).</w:t>
      </w:r>
    </w:p>
    <w:p w:rsidR="004A13E8" w:rsidP="004A13E8" w:rsidRDefault="004A13E8" w14:paraId="55FE17B7" w14:textId="77777777">
      <w:pPr>
        <w:pStyle w:val="Heading1"/>
      </w:pPr>
      <w:bookmarkStart w:name="_Toc473880018" w:id="5"/>
      <w:r>
        <w:t>Purpose and Use of Information Collection</w:t>
      </w:r>
      <w:bookmarkEnd w:id="5"/>
    </w:p>
    <w:p w:rsidR="00B813FE" w:rsidP="00D4449C" w:rsidRDefault="008708E4" w14:paraId="59F77CE3" w14:textId="53A0AD35">
      <w:r w:rsidRPr="008708E4">
        <w:t xml:space="preserve">The data collected </w:t>
      </w:r>
      <w:r w:rsidR="00E02A96">
        <w:t>under this ICR</w:t>
      </w:r>
      <w:r w:rsidR="00DF1B23">
        <w:t xml:space="preserve"> will be used immediately by CDC’s emergency COVID-19 response at the</w:t>
      </w:r>
      <w:r w:rsidR="00341663">
        <w:t xml:space="preserve"> national level, and by state and local health departments, to</w:t>
      </w:r>
      <w:r w:rsidR="002A5BE6">
        <w:t xml:space="preserve"> understand the cumulative incidence in a given population </w:t>
      </w:r>
      <w:r w:rsidR="00341663">
        <w:t>within their jurisdiction</w:t>
      </w:r>
      <w:r w:rsidR="006D1DB4">
        <w:t>.</w:t>
      </w:r>
      <w:r w:rsidRPr="008708E4">
        <w:t xml:space="preserve"> </w:t>
      </w:r>
      <w:r w:rsidR="004A38B8">
        <w:t>A</w:t>
      </w:r>
      <w:r w:rsidR="002A5BE6">
        <w:t xml:space="preserve">dditionally, </w:t>
      </w:r>
      <w:r w:rsidR="002A5BE6">
        <w:rPr>
          <w:rFonts w:cstheme="minorHAnsi"/>
        </w:rPr>
        <w:t xml:space="preserve">antibody seropositivity data could supplement data on medically attended infection rates and contribute to describing the overall burden of COVID-19. </w:t>
      </w:r>
      <w:r w:rsidR="00801A65">
        <w:rPr>
          <w:rFonts w:cstheme="minorHAnsi"/>
        </w:rPr>
        <w:t xml:space="preserve">Data collected during this </w:t>
      </w:r>
      <w:r w:rsidR="00EB2455">
        <w:rPr>
          <w:rFonts w:cstheme="minorHAnsi"/>
        </w:rPr>
        <w:t xml:space="preserve">investigation </w:t>
      </w:r>
      <w:r w:rsidR="00B813FE">
        <w:rPr>
          <w:rFonts w:cstheme="minorHAnsi"/>
        </w:rPr>
        <w:t>is essential</w:t>
      </w:r>
      <w:r w:rsidR="00801A65">
        <w:rPr>
          <w:rFonts w:cstheme="minorHAnsi"/>
        </w:rPr>
        <w:t xml:space="preserve"> to </w:t>
      </w:r>
      <w:r w:rsidRPr="00997B61" w:rsidR="00801A65">
        <w:rPr>
          <w:rFonts w:cs="Times New Roman"/>
          <w:szCs w:val="24"/>
        </w:rPr>
        <w:t>develop</w:t>
      </w:r>
      <w:r w:rsidR="00801A65">
        <w:rPr>
          <w:rFonts w:cs="Times New Roman"/>
          <w:szCs w:val="24"/>
        </w:rPr>
        <w:t xml:space="preserve">ing </w:t>
      </w:r>
      <w:r w:rsidRPr="00997B61" w:rsidR="00801A65">
        <w:rPr>
          <w:rFonts w:cs="Times New Roman"/>
          <w:szCs w:val="24"/>
        </w:rPr>
        <w:t xml:space="preserve">and </w:t>
      </w:r>
      <w:proofErr w:type="spellStart"/>
      <w:r w:rsidRPr="00997B61" w:rsidR="00801A65">
        <w:rPr>
          <w:rFonts w:cs="Times New Roman"/>
          <w:szCs w:val="24"/>
        </w:rPr>
        <w:t>assessing</w:t>
      </w:r>
      <w:proofErr w:type="spellEnd"/>
      <w:r w:rsidRPr="00997B61" w:rsidR="00801A65">
        <w:rPr>
          <w:rFonts w:cs="Times New Roman"/>
          <w:szCs w:val="24"/>
        </w:rPr>
        <w:t xml:space="preserve"> public health prevention measures</w:t>
      </w:r>
      <w:r w:rsidR="00A3002A">
        <w:rPr>
          <w:rFonts w:cs="Times New Roman"/>
          <w:szCs w:val="24"/>
        </w:rPr>
        <w:t xml:space="preserve"> by</w:t>
      </w:r>
      <w:r w:rsidRPr="00997B61" w:rsidR="00801A65">
        <w:rPr>
          <w:rFonts w:cs="Times New Roman"/>
          <w:szCs w:val="24"/>
        </w:rPr>
        <w:t xml:space="preserve"> </w:t>
      </w:r>
      <w:r w:rsidR="002A5BE6">
        <w:rPr>
          <w:rFonts w:cstheme="minorHAnsi"/>
        </w:rPr>
        <w:t>contribut</w:t>
      </w:r>
      <w:r w:rsidR="005C7624">
        <w:rPr>
          <w:rFonts w:cstheme="minorHAnsi"/>
        </w:rPr>
        <w:t>ing</w:t>
      </w:r>
      <w:r w:rsidR="002A5BE6">
        <w:rPr>
          <w:rFonts w:cstheme="minorHAnsi"/>
        </w:rPr>
        <w:t xml:space="preserve"> to modeling estimates </w:t>
      </w:r>
      <w:r w:rsidRPr="00967DD6" w:rsidR="002A5BE6">
        <w:rPr>
          <w:rFonts w:cstheme="minorHAnsi"/>
        </w:rPr>
        <w:t>to inform decisions about prevention and control strategies as well as community mitigation interventions</w:t>
      </w:r>
      <w:r w:rsidR="002A5BE6">
        <w:rPr>
          <w:rFonts w:cstheme="minorHAnsi"/>
        </w:rPr>
        <w:t xml:space="preserve"> in the U.S. response to COVID-19</w:t>
      </w:r>
      <w:r w:rsidR="005C7624">
        <w:rPr>
          <w:rFonts w:cstheme="minorHAnsi"/>
        </w:rPr>
        <w:t>;</w:t>
      </w:r>
      <w:r w:rsidRPr="00801A65" w:rsidR="00801A65">
        <w:rPr>
          <w:rFonts w:cs="Times New Roman"/>
          <w:szCs w:val="24"/>
        </w:rPr>
        <w:t xml:space="preserve"> </w:t>
      </w:r>
      <w:r w:rsidR="00634894">
        <w:rPr>
          <w:rFonts w:cs="Times New Roman"/>
          <w:szCs w:val="24"/>
        </w:rPr>
        <w:t>thus,</w:t>
      </w:r>
      <w:r w:rsidR="00801A65">
        <w:rPr>
          <w:rFonts w:cs="Times New Roman"/>
          <w:szCs w:val="24"/>
        </w:rPr>
        <w:t xml:space="preserve"> </w:t>
      </w:r>
      <w:r w:rsidRPr="00997B61" w:rsidR="00801A65">
        <w:rPr>
          <w:rFonts w:cs="Times New Roman"/>
          <w:szCs w:val="24"/>
        </w:rPr>
        <w:t xml:space="preserve">improving </w:t>
      </w:r>
      <w:r w:rsidR="00801A65">
        <w:rPr>
          <w:rFonts w:cs="Times New Roman"/>
          <w:szCs w:val="24"/>
        </w:rPr>
        <w:t xml:space="preserve">the </w:t>
      </w:r>
      <w:r w:rsidRPr="00997B61" w:rsidR="00801A65">
        <w:rPr>
          <w:rFonts w:cs="Times New Roman"/>
          <w:szCs w:val="24"/>
        </w:rPr>
        <w:t xml:space="preserve">overall public health </w:t>
      </w:r>
      <w:r w:rsidR="00801A65">
        <w:rPr>
          <w:rFonts w:cs="Times New Roman"/>
          <w:szCs w:val="24"/>
        </w:rPr>
        <w:t>response</w:t>
      </w:r>
      <w:r w:rsidRPr="00967DD6" w:rsidR="002A5BE6">
        <w:rPr>
          <w:rFonts w:cstheme="minorHAnsi"/>
        </w:rPr>
        <w:t>.</w:t>
      </w:r>
      <w:r w:rsidR="004A38B8">
        <w:t xml:space="preserve"> </w:t>
      </w:r>
    </w:p>
    <w:p w:rsidR="00D4449C" w:rsidP="00D4449C" w:rsidRDefault="00B813FE" w14:paraId="3B4A6191" w14:textId="45174DEA">
      <w:pPr>
        <w:rPr>
          <w:szCs w:val="24"/>
        </w:rPr>
      </w:pPr>
      <w:r>
        <w:t xml:space="preserve">A </w:t>
      </w:r>
      <w:r w:rsidR="004A38B8">
        <w:t xml:space="preserve">cross-sectional household survey design will be used to measure </w:t>
      </w:r>
      <w:bookmarkStart w:name="_Hlk37836841" w:id="6"/>
      <w:r w:rsidR="004A38B8">
        <w:t xml:space="preserve">SARS-CoV-2 seroprevalence </w:t>
      </w:r>
      <w:bookmarkEnd w:id="6"/>
      <w:r w:rsidR="004A38B8">
        <w:t xml:space="preserve">at one or more time points in ≥1 U.S. areas with evidence of community transmission of SARS-CoV-2. Areas with existing population-based </w:t>
      </w:r>
      <w:r w:rsidR="00C82E54">
        <w:t xml:space="preserve">hospital </w:t>
      </w:r>
      <w:r w:rsidR="004A38B8">
        <w:t>surveillance platforms with well-defined catchment areas will be preferentially selected.</w:t>
      </w:r>
      <w:r w:rsidR="00381906">
        <w:t xml:space="preserve"> </w:t>
      </w:r>
      <w:r w:rsidR="00CC3E5D">
        <w:t xml:space="preserve">The investigation population will consist of all persons residing in selected households from selected defined geographic areas, according to the sampling framework. </w:t>
      </w:r>
      <w:r w:rsidRPr="00333C13" w:rsidR="00D4449C">
        <w:t xml:space="preserve">CDC and health departments alike will use this </w:t>
      </w:r>
      <w:r w:rsidR="00D4449C">
        <w:t>seroprevalenc</w:t>
      </w:r>
      <w:r w:rsidRPr="00333C13" w:rsidR="00D4449C">
        <w:t>e data to prioritize the allocation of resources and response efforts.</w:t>
      </w:r>
      <w:r w:rsidRPr="00D4449C" w:rsidR="00D4449C">
        <w:rPr>
          <w:szCs w:val="24"/>
        </w:rPr>
        <w:t xml:space="preserve"> </w:t>
      </w:r>
    </w:p>
    <w:p w:rsidR="00C82E54" w:rsidP="00D4449C" w:rsidRDefault="00C82E54" w14:paraId="48EFC1F7" w14:textId="5621A358">
      <w:pPr>
        <w:rPr>
          <w:szCs w:val="24"/>
        </w:rPr>
      </w:pPr>
      <w:bookmarkStart w:name="_Hlk38634222" w:id="7"/>
      <w:r>
        <w:rPr>
          <w:szCs w:val="24"/>
        </w:rPr>
        <w:t xml:space="preserve">This seroprevalence investigation is one component of </w:t>
      </w:r>
      <w:r w:rsidR="008014BE">
        <w:rPr>
          <w:szCs w:val="24"/>
        </w:rPr>
        <w:t xml:space="preserve">a larger strategy to understand SARS-CoV-2 seroprevalence in the </w:t>
      </w:r>
      <w:r w:rsidR="00896C35">
        <w:rPr>
          <w:szCs w:val="24"/>
        </w:rPr>
        <w:t>U.S</w:t>
      </w:r>
      <w:r w:rsidR="008014BE">
        <w:rPr>
          <w:szCs w:val="24"/>
        </w:rPr>
        <w:t xml:space="preserve">. The larger approach also includes protocols for </w:t>
      </w:r>
      <w:proofErr w:type="spellStart"/>
      <w:r w:rsidR="008014BE">
        <w:rPr>
          <w:szCs w:val="24"/>
        </w:rPr>
        <w:t>serosurveys</w:t>
      </w:r>
      <w:proofErr w:type="spellEnd"/>
      <w:r w:rsidR="008014BE">
        <w:rPr>
          <w:szCs w:val="24"/>
        </w:rPr>
        <w:t xml:space="preserve"> in certain geographic areas using residual or banked </w:t>
      </w:r>
      <w:r w:rsidR="00273790">
        <w:rPr>
          <w:szCs w:val="24"/>
        </w:rPr>
        <w:t>sera</w:t>
      </w:r>
      <w:r w:rsidR="008014BE">
        <w:rPr>
          <w:szCs w:val="24"/>
        </w:rPr>
        <w:t xml:space="preserve">. These approaches have </w:t>
      </w:r>
      <w:r w:rsidR="00273790">
        <w:rPr>
          <w:szCs w:val="24"/>
        </w:rPr>
        <w:t>their own protocols, which are different from the activity proposed here.</w:t>
      </w:r>
      <w:r w:rsidR="00513D9C">
        <w:rPr>
          <w:szCs w:val="24"/>
        </w:rPr>
        <w:t xml:space="preserve"> The sampling and testing approach may differ across protocols.</w:t>
      </w:r>
      <w:r w:rsidR="008014BE">
        <w:rPr>
          <w:szCs w:val="24"/>
        </w:rPr>
        <w:t xml:space="preserve"> </w:t>
      </w:r>
      <w:r w:rsidR="00273790">
        <w:rPr>
          <w:szCs w:val="24"/>
        </w:rPr>
        <w:t>This activity adds value to the larger approach because of the systematic sampling scheme and addition of epidemiologic data collected using a standardized questionnaire.</w:t>
      </w:r>
    </w:p>
    <w:p w:rsidR="001C1C89" w:rsidP="00D4449C" w:rsidRDefault="00513D9C" w14:paraId="3B87E314" w14:textId="7BE11701">
      <w:pPr>
        <w:rPr>
          <w:rFonts w:eastAsia="Times New Roman" w:cs="Times New Roman"/>
          <w:szCs w:val="24"/>
        </w:rPr>
      </w:pPr>
      <w:r>
        <w:rPr>
          <w:rFonts w:eastAsia="Times New Roman" w:cs="Times New Roman"/>
          <w:szCs w:val="24"/>
        </w:rPr>
        <w:t xml:space="preserve">The sampling and testing approach will be taken into consideration </w:t>
      </w:r>
      <w:r w:rsidR="00751A81">
        <w:rPr>
          <w:rFonts w:eastAsia="Times New Roman" w:cs="Times New Roman"/>
          <w:szCs w:val="24"/>
        </w:rPr>
        <w:t>in the analysis and interpretation of data from this protocol. In particular, the test characteristics (including sensitivity and specificity) will be considered. CDC will be clear about the contribution of sampling error and testing error when results are released.</w:t>
      </w:r>
      <w:r w:rsidR="00896C35">
        <w:rPr>
          <w:rFonts w:eastAsia="Times New Roman" w:cs="Times New Roman"/>
          <w:szCs w:val="24"/>
        </w:rPr>
        <w:t xml:space="preserve">  </w:t>
      </w:r>
      <w:bookmarkEnd w:id="7"/>
    </w:p>
    <w:p w:rsidR="001C1C89" w:rsidP="00D4449C" w:rsidRDefault="001C1C89" w14:paraId="31694010" w14:textId="5AA14DF7">
      <w:pPr>
        <w:rPr>
          <w:rFonts w:eastAsia="Times New Roman" w:cs="Times New Roman"/>
          <w:szCs w:val="24"/>
        </w:rPr>
      </w:pPr>
    </w:p>
    <w:p w:rsidR="006373CB" w:rsidP="004A38B8" w:rsidRDefault="00813A04" w14:paraId="26DE2F14" w14:textId="004C95C8">
      <w:r w:rsidRPr="005A318F">
        <w:rPr>
          <w:u w:val="single"/>
        </w:rPr>
        <w:lastRenderedPageBreak/>
        <w:t>Information Collection and Sampling Steps:</w:t>
      </w:r>
      <w:r>
        <w:t xml:space="preserve"> </w:t>
      </w:r>
      <w:r w:rsidRPr="006373CB" w:rsidR="006373CB">
        <w:t>This ICR will allow CDC to identify, recruit, consent, and question eligible investigation respondents. A protocol has been prepared that will be used for all investigations (</w:t>
      </w:r>
      <w:r w:rsidR="005E59F9">
        <w:t>Attachment 5</w:t>
      </w:r>
      <w:r w:rsidRPr="006373CB" w:rsidR="006373CB">
        <w:t>). The investigations will be conducted by trained CDC</w:t>
      </w:r>
      <w:r w:rsidR="003007C4">
        <w:t xml:space="preserve">, </w:t>
      </w:r>
      <w:r w:rsidR="00290814">
        <w:t>state/local</w:t>
      </w:r>
      <w:r w:rsidR="002F1340">
        <w:t xml:space="preserve"> health department</w:t>
      </w:r>
      <w:r w:rsidRPr="006373CB" w:rsidR="006373CB">
        <w:t xml:space="preserve"> staff</w:t>
      </w:r>
      <w:r w:rsidR="003007C4">
        <w:t xml:space="preserve"> and/or contractors. </w:t>
      </w:r>
      <w:r w:rsidRPr="006373CB" w:rsidR="006373CB">
        <w:t>The steps in the information collection and sampling include:</w:t>
      </w:r>
    </w:p>
    <w:p w:rsidR="00441006" w:rsidP="00441006" w:rsidRDefault="00441006" w14:paraId="13758F03" w14:textId="7FB08AC1">
      <w:r>
        <w:t>1. The investigation</w:t>
      </w:r>
      <w:r w:rsidR="00951BAE">
        <w:t>s</w:t>
      </w:r>
      <w:r>
        <w:t xml:space="preserve"> will employ a multistage cluster sampling design using a modified CDC Community Assessment for Public Health Emergency Response (CASPER) framework (</w:t>
      </w:r>
      <w:r w:rsidRPr="00186C19">
        <w:t>OMB Control No. 0920-</w:t>
      </w:r>
      <w:r w:rsidRPr="00294A56" w:rsidR="00566796">
        <w:t>1036</w:t>
      </w:r>
      <w:r w:rsidRPr="00294A56">
        <w:t xml:space="preserve">, expiration date: </w:t>
      </w:r>
      <w:r w:rsidR="00566796">
        <w:t>02/28/2021</w:t>
      </w:r>
      <w:r>
        <w:t xml:space="preserve">). </w:t>
      </w:r>
      <w:r w:rsidR="004B2AA5">
        <w:t xml:space="preserve"> The primary investigations in this investigation will select Census blocks using Probability Proportional to Size (PPS) sampling without replacement, as described here (</w:t>
      </w:r>
      <w:hyperlink w:history="1" r:id="rId11">
        <w:r w:rsidR="004B2AA5">
          <w:rPr>
            <w:rStyle w:val="Hyperlink"/>
          </w:rPr>
          <w:t>https://v8doc.sas.com/sashtml/stat/chap63/sect20.htm</w:t>
        </w:r>
      </w:hyperlink>
      <w:r w:rsidR="004B2AA5">
        <w:t xml:space="preserve">).  </w:t>
      </w:r>
      <w:r>
        <w:t xml:space="preserve">However, other sites may use existing population-based surveillance platforms for sampling these investigations. </w:t>
      </w:r>
      <w:r w:rsidR="002D590A">
        <w:t>A defined area such as a census block</w:t>
      </w:r>
      <w:r>
        <w:t xml:space="preserve"> </w:t>
      </w:r>
      <w:r w:rsidR="00951BAE">
        <w:t>will be</w:t>
      </w:r>
      <w:r>
        <w:t xml:space="preserve"> selected by probability proportional to size with evidence of community transmission of SARS-CoV-2</w:t>
      </w:r>
      <w:r w:rsidR="00951BAE">
        <w:t>.</w:t>
      </w:r>
    </w:p>
    <w:p w:rsidR="00441006" w:rsidP="00441006" w:rsidRDefault="00441006" w14:paraId="1FFC1812" w14:textId="2994EBE1">
      <w:r>
        <w:t xml:space="preserve">2. Survey teams will then select households by systematic random sampling to enroll </w:t>
      </w:r>
      <w:r w:rsidR="0086138C">
        <w:t xml:space="preserve">a pre-determined number of </w:t>
      </w:r>
      <w:r>
        <w:t>households per cluster</w:t>
      </w:r>
      <w:r w:rsidR="003A6A42">
        <w:t xml:space="preserve"> (Attachment 4a)</w:t>
      </w:r>
      <w:r>
        <w:t>.</w:t>
      </w:r>
    </w:p>
    <w:p w:rsidRPr="005D2F04" w:rsidR="00441006" w:rsidP="00441006" w:rsidRDefault="00441006" w14:paraId="253423F0" w14:textId="4AF1D8F9">
      <w:r>
        <w:t xml:space="preserve">3. </w:t>
      </w:r>
      <w:r w:rsidRPr="005D2F04">
        <w:rPr>
          <w:rFonts w:cs="Times New Roman"/>
        </w:rPr>
        <w:t xml:space="preserve">All individuals in the enrolled household will be invited to participate. </w:t>
      </w:r>
      <w:r w:rsidRPr="005D2F04" w:rsidR="00681073">
        <w:rPr>
          <w:rFonts w:cs="Times New Roman"/>
        </w:rPr>
        <w:t>Information</w:t>
      </w:r>
      <w:r w:rsidR="00A51D08">
        <w:rPr>
          <w:rFonts w:cs="Times New Roman"/>
        </w:rPr>
        <w:t xml:space="preserve"> will</w:t>
      </w:r>
      <w:r w:rsidRPr="005D2F04" w:rsidR="00681073">
        <w:rPr>
          <w:rFonts w:cs="Times New Roman"/>
        </w:rPr>
        <w:t xml:space="preserve"> be provided to the</w:t>
      </w:r>
      <w:r w:rsidRPr="005D2F04" w:rsidR="008B3798">
        <w:rPr>
          <w:rFonts w:cs="Times New Roman"/>
        </w:rPr>
        <w:t xml:space="preserve"> households</w:t>
      </w:r>
      <w:r w:rsidRPr="005D2F04" w:rsidR="00681073">
        <w:rPr>
          <w:rFonts w:cs="Times New Roman"/>
        </w:rPr>
        <w:t xml:space="preserve"> in advance so they can make a</w:t>
      </w:r>
      <w:r w:rsidR="003A6A42">
        <w:rPr>
          <w:rFonts w:cs="Times New Roman"/>
        </w:rPr>
        <w:t>n informed</w:t>
      </w:r>
      <w:r w:rsidRPr="005D2F04" w:rsidR="00681073">
        <w:rPr>
          <w:rFonts w:cs="Times New Roman"/>
        </w:rPr>
        <w:t xml:space="preserve"> decision as to whether they want to participate</w:t>
      </w:r>
      <w:r w:rsidR="003A6A42">
        <w:rPr>
          <w:rFonts w:cs="Times New Roman"/>
        </w:rPr>
        <w:t xml:space="preserve"> (Attachment 4b)</w:t>
      </w:r>
      <w:r w:rsidRPr="005D2F04" w:rsidR="008B3798">
        <w:rPr>
          <w:rFonts w:cs="Times New Roman"/>
        </w:rPr>
        <w:t>.</w:t>
      </w:r>
      <w:r w:rsidRPr="005D2F04" w:rsidR="0036528E">
        <w:rPr>
          <w:rFonts w:cs="Times New Roman"/>
        </w:rPr>
        <w:t xml:space="preserve"> </w:t>
      </w:r>
      <w:r w:rsidRPr="005D2F04" w:rsidR="00FA4211">
        <w:rPr>
          <w:rFonts w:cs="Times New Roman"/>
        </w:rPr>
        <w:t xml:space="preserve">When the household is approached, an </w:t>
      </w:r>
      <w:r w:rsidRPr="005D2F04" w:rsidR="00FA4211">
        <w:rPr>
          <w:rStyle w:val="normaltextrun1"/>
          <w:rFonts w:cs="Times New Roman"/>
        </w:rPr>
        <w:t>official letter from CDC, State and County Health Departments will be given to the individual</w:t>
      </w:r>
      <w:r w:rsidRPr="005D2F04" w:rsidR="00B81081">
        <w:rPr>
          <w:rStyle w:val="normaltextrun1"/>
          <w:rFonts w:cs="Times New Roman"/>
        </w:rPr>
        <w:t xml:space="preserve">. </w:t>
      </w:r>
      <w:r w:rsidRPr="005D2F04" w:rsidR="00B81081">
        <w:rPr>
          <w:rStyle w:val="normaltextrun1"/>
          <w:rFonts w:cs="Times New Roman"/>
          <w:color w:val="000000"/>
        </w:rPr>
        <w:t xml:space="preserve">If they agree to participate, the investigators will explain </w:t>
      </w:r>
      <w:r w:rsidRPr="005D2F04" w:rsidR="00B81081">
        <w:rPr>
          <w:rStyle w:val="normaltextrun1"/>
          <w:rFonts w:cs="Times New Roman"/>
        </w:rPr>
        <w:t>the survey in more detail and confirm their interest in having their household participate.</w:t>
      </w:r>
      <w:r w:rsidRPr="005D2F04" w:rsidR="00FA4211">
        <w:rPr>
          <w:rStyle w:val="normaltextrun1"/>
          <w:rFonts w:ascii="Calibri" w:hAnsi="Calibri" w:cs="Calibri"/>
        </w:rPr>
        <w:t xml:space="preserve"> </w:t>
      </w:r>
    </w:p>
    <w:p w:rsidR="00441006" w:rsidP="00441006" w:rsidRDefault="00441006" w14:paraId="5C5366E8" w14:textId="77B147ED">
      <w:r>
        <w:t xml:space="preserve">4. </w:t>
      </w:r>
      <w:r w:rsidR="008B3798">
        <w:t>All</w:t>
      </w:r>
      <w:r>
        <w:t xml:space="preserve"> individuals within the selected households will complete a standardized questionnaire (</w:t>
      </w:r>
      <w:r w:rsidRPr="00B75D1E">
        <w:t>Attachment 3a</w:t>
      </w:r>
      <w:r>
        <w:t xml:space="preserve">) which will capture information on household characteristics, age, sex, race, ethnicity, exposures, underlying medical conditions and symptoms consistent with COVID-19 infection that occurred prior to the survey. The questionnaire will be administered in person. For children or adults with cognitive impairments, a parent or caregiver may answer for them. </w:t>
      </w:r>
    </w:p>
    <w:p w:rsidR="00441006" w:rsidP="00441006" w:rsidRDefault="00441006" w14:paraId="069FBF61" w14:textId="1EC35A34">
      <w:r>
        <w:t>5.</w:t>
      </w:r>
      <w:r w:rsidR="00864DCD">
        <w:t xml:space="preserve"> </w:t>
      </w:r>
      <w:r>
        <w:t>One respondent in each household (an adult who knows all residents of the household) will provide responses for the household questionnaire (</w:t>
      </w:r>
      <w:r w:rsidRPr="00B75D1E">
        <w:t>Attachment 3b</w:t>
      </w:r>
      <w:r>
        <w:t>). The household questionnaire will capture information on household characteristics and document all household members, whether they are present at the time of the visit or not.</w:t>
      </w:r>
    </w:p>
    <w:p w:rsidR="00441006" w:rsidP="00441006" w:rsidRDefault="00441006" w14:paraId="02EA78A6" w14:textId="50ABB886">
      <w:r>
        <w:t>6.</w:t>
      </w:r>
      <w:r w:rsidR="00864DCD">
        <w:t xml:space="preserve"> </w:t>
      </w:r>
      <w:r>
        <w:t>Blood samples will be collected by trained phlebotomists from all individuals in the household and tested for antibodies to SARS-CoV-2 using an enzyme-linked immunosorbent assay with confirmatory microneutralization testing as needed.</w:t>
      </w:r>
    </w:p>
    <w:p w:rsidR="00D5051C" w:rsidRDefault="00864DCD" w14:paraId="2E55BB0B" w14:textId="67734267">
      <w:r>
        <w:t xml:space="preserve">The information to be collected during the investigation </w:t>
      </w:r>
      <w:r w:rsidR="00D5051C">
        <w:t>include:</w:t>
      </w:r>
    </w:p>
    <w:p w:rsidR="00D5051C" w:rsidP="00D5051C" w:rsidRDefault="00D5051C" w14:paraId="5C021A53" w14:textId="143D5CB1">
      <w:pPr>
        <w:pStyle w:val="ListParagraph"/>
        <w:numPr>
          <w:ilvl w:val="0"/>
          <w:numId w:val="5"/>
        </w:numPr>
      </w:pPr>
      <w:r>
        <w:t>B</w:t>
      </w:r>
      <w:r w:rsidRPr="003705F2" w:rsidR="003705F2">
        <w:t xml:space="preserve">asic demographics </w:t>
      </w:r>
    </w:p>
    <w:p w:rsidR="00D5051C" w:rsidP="00D5051C" w:rsidRDefault="003705F2" w14:paraId="216BB851" w14:textId="77777777">
      <w:pPr>
        <w:pStyle w:val="ListParagraph"/>
        <w:numPr>
          <w:ilvl w:val="0"/>
          <w:numId w:val="5"/>
        </w:numPr>
      </w:pPr>
      <w:r w:rsidRPr="003705F2">
        <w:t>COVID-19 exposure risks</w:t>
      </w:r>
      <w:r w:rsidR="00D5051C">
        <w:t xml:space="preserve"> </w:t>
      </w:r>
    </w:p>
    <w:p w:rsidR="00D5051C" w:rsidP="00D5051C" w:rsidRDefault="00D5051C" w14:paraId="666121D0" w14:textId="665997B5">
      <w:pPr>
        <w:pStyle w:val="ListParagraph"/>
        <w:numPr>
          <w:ilvl w:val="0"/>
          <w:numId w:val="5"/>
        </w:numPr>
      </w:pPr>
      <w:r>
        <w:t>Behaviors related to shelter-in-place orders</w:t>
      </w:r>
    </w:p>
    <w:p w:rsidR="00D5051C" w:rsidP="00D5051C" w:rsidRDefault="00D5051C" w14:paraId="3BE1FF49" w14:textId="215B250F">
      <w:pPr>
        <w:pStyle w:val="ListParagraph"/>
        <w:numPr>
          <w:ilvl w:val="0"/>
          <w:numId w:val="5"/>
        </w:numPr>
      </w:pPr>
      <w:r>
        <w:t>U</w:t>
      </w:r>
      <w:r w:rsidRPr="003705F2" w:rsidR="003705F2">
        <w:t>nderlying medical conditions</w:t>
      </w:r>
    </w:p>
    <w:p w:rsidR="00D5051C" w:rsidP="00D5051C" w:rsidRDefault="00D5051C" w14:paraId="36CF6353" w14:textId="41E0796D">
      <w:pPr>
        <w:pStyle w:val="ListParagraph"/>
        <w:numPr>
          <w:ilvl w:val="0"/>
          <w:numId w:val="5"/>
        </w:numPr>
      </w:pPr>
      <w:r>
        <w:t>R</w:t>
      </w:r>
      <w:r w:rsidRPr="003705F2" w:rsidR="003705F2">
        <w:t xml:space="preserve">ecent medical history (specifically relating to symptoms consistent with COVID-19 infection) </w:t>
      </w:r>
    </w:p>
    <w:p w:rsidRPr="003705F2" w:rsidR="003705F2" w:rsidP="00293BFC" w:rsidRDefault="00D5051C" w14:paraId="3B4AA350" w14:textId="407AAD78">
      <w:pPr>
        <w:pStyle w:val="ListParagraph"/>
        <w:numPr>
          <w:ilvl w:val="0"/>
          <w:numId w:val="5"/>
        </w:numPr>
      </w:pPr>
      <w:r>
        <w:lastRenderedPageBreak/>
        <w:t>V</w:t>
      </w:r>
      <w:r w:rsidRPr="003705F2" w:rsidR="003705F2">
        <w:t>enous blood sample to test for antibodies to SARS-CoV2</w:t>
      </w:r>
    </w:p>
    <w:p w:rsidR="009E2718" w:rsidP="00D4449C" w:rsidRDefault="00EE14E6" w14:paraId="2E12C90F" w14:textId="0522E12C">
      <w:r>
        <w:t>T</w:t>
      </w:r>
      <w:r w:rsidRPr="009E2718" w:rsidR="009E2718">
        <w:t>eams</w:t>
      </w:r>
      <w:r w:rsidR="00A427E4">
        <w:t xml:space="preserve"> of </w:t>
      </w:r>
      <w:r w:rsidRPr="009E2718" w:rsidR="009E2718">
        <w:t xml:space="preserve">surveyor and a phlebotomist will be deployed to collect the data. Each survey team will be assigned </w:t>
      </w:r>
      <w:r w:rsidR="004411EB">
        <w:t xml:space="preserve">specific </w:t>
      </w:r>
      <w:r w:rsidR="006F40F0">
        <w:t>clusters</w:t>
      </w:r>
      <w:r w:rsidR="00137D79">
        <w:t xml:space="preserve"> (such as census blocks)</w:t>
      </w:r>
      <w:r w:rsidRPr="009E2718" w:rsidR="009E2718">
        <w:t xml:space="preserve"> to complete and will be responsible for determining how to move through the </w:t>
      </w:r>
      <w:r w:rsidR="004411EB">
        <w:t>specified area</w:t>
      </w:r>
      <w:r w:rsidRPr="009E2718" w:rsidR="009E2718">
        <w:t xml:space="preserve"> (with support from the planning team); coordinating follow up household visits, where needed; ensuring appropriate Personal Protective Equipment (PPE) is worn for each household visit; and delivering collected blood samples and biohazard waste materials to the  laboratory at the end of each day</w:t>
      </w:r>
      <w:r w:rsidR="00F50F0E">
        <w:t xml:space="preserve"> (Attachment 4a)</w:t>
      </w:r>
      <w:r w:rsidRPr="009E2718" w:rsidR="009E2718">
        <w:t xml:space="preserve">. </w:t>
      </w:r>
      <w:r w:rsidRPr="00C95DE8" w:rsidR="009E2718">
        <w:t xml:space="preserve">By the end of </w:t>
      </w:r>
      <w:r w:rsidRPr="00C95DE8" w:rsidR="00D14297">
        <w:t xml:space="preserve">each </w:t>
      </w:r>
      <w:r w:rsidRPr="00C95DE8" w:rsidR="009E2718">
        <w:t>survey</w:t>
      </w:r>
      <w:r w:rsidRPr="00C95DE8" w:rsidR="00D14297">
        <w:t xml:space="preserve"> </w:t>
      </w:r>
      <w:r w:rsidRPr="00C95DE8" w:rsidR="009E2718">
        <w:t>an estimated 1,000 individuals (average members per household = 2.5) will be enrolled during a 4-day data collection period and a 2-day mop-up period</w:t>
      </w:r>
      <w:r w:rsidRPr="00294A56" w:rsidR="009E2718">
        <w:t>.</w:t>
      </w:r>
      <w:r w:rsidR="00566796">
        <w:t xml:space="preserve"> A total of </w:t>
      </w:r>
      <w:r w:rsidR="00294A56">
        <w:t>3</w:t>
      </w:r>
      <w:r w:rsidR="00566796">
        <w:t xml:space="preserve"> surveys in various geographical areas will be performed during the 180-day OMB PRA clearance period.  </w:t>
      </w:r>
    </w:p>
    <w:p w:rsidRPr="00293BFC" w:rsidR="00DB5D25" w:rsidP="004A38B8" w:rsidRDefault="00B94956" w14:paraId="55D9210A" w14:textId="76B9A8E9">
      <w:pPr>
        <w:rPr>
          <w:rFonts w:eastAsia="Times New Roman" w:cs="Times New Roman"/>
          <w:szCs w:val="24"/>
        </w:rPr>
      </w:pPr>
      <w:r w:rsidRPr="00B94956">
        <w:t xml:space="preserve">All data for </w:t>
      </w:r>
      <w:r w:rsidR="0006581D">
        <w:t>the investigation</w:t>
      </w:r>
      <w:r w:rsidR="00E15D48">
        <w:t>s</w:t>
      </w:r>
      <w:r w:rsidRPr="00B94956">
        <w:t xml:space="preserve"> </w:t>
      </w:r>
      <w:r w:rsidR="004B39BA">
        <w:t>will be</w:t>
      </w:r>
      <w:r w:rsidRPr="00B94956">
        <w:t xml:space="preserve"> collected via a secure </w:t>
      </w:r>
      <w:r w:rsidR="0079621D">
        <w:t>web-based</w:t>
      </w:r>
      <w:r w:rsidRPr="00B94956">
        <w:t xml:space="preserve"> application, and participation is </w:t>
      </w:r>
      <w:r w:rsidR="0029695B">
        <w:t>voluntary</w:t>
      </w:r>
      <w:r w:rsidRPr="00B94956">
        <w:t xml:space="preserve">. </w:t>
      </w:r>
      <w:r w:rsidRPr="00B81081" w:rsidR="0029695B">
        <w:t>Participating health departments</w:t>
      </w:r>
      <w:r w:rsidRPr="00B81081">
        <w:t xml:space="preserve"> can access </w:t>
      </w:r>
      <w:r w:rsidR="00EB2455">
        <w:t>investigation</w:t>
      </w:r>
      <w:r w:rsidRPr="00B81081" w:rsidR="00EB2455">
        <w:t xml:space="preserve"> </w:t>
      </w:r>
      <w:r w:rsidRPr="00B81081">
        <w:t xml:space="preserve">data at any time and analyze it through the </w:t>
      </w:r>
      <w:proofErr w:type="spellStart"/>
      <w:r w:rsidR="00AC5027">
        <w:t>REDCap</w:t>
      </w:r>
      <w:proofErr w:type="spellEnd"/>
      <w:r w:rsidR="00AC5027">
        <w:t xml:space="preserve"> application</w:t>
      </w:r>
      <w:r w:rsidR="00F50F0E">
        <w:t xml:space="preserve"> (Attachment 3c)</w:t>
      </w:r>
      <w:r w:rsidRPr="00B81081">
        <w:t xml:space="preserve">. </w:t>
      </w:r>
      <w:r w:rsidRPr="00B81081" w:rsidR="00BD10E8">
        <w:t>Investigators</w:t>
      </w:r>
      <w:r w:rsidRPr="00A427E4">
        <w:t xml:space="preserve"> plan to use </w:t>
      </w:r>
      <w:r w:rsidRPr="005D2F04" w:rsidR="00BD10E8">
        <w:t>SARS-CoV2</w:t>
      </w:r>
      <w:r w:rsidRPr="005D2F04">
        <w:t xml:space="preserve"> data from multiple </w:t>
      </w:r>
      <w:r w:rsidRPr="00711F0D" w:rsidR="004611B4">
        <w:t>sites</w:t>
      </w:r>
      <w:r w:rsidRPr="0060396A">
        <w:t xml:space="preserve"> to establish and update statistical benchmarks of </w:t>
      </w:r>
      <w:r w:rsidRPr="004763CB" w:rsidR="004611B4">
        <w:t>seropr</w:t>
      </w:r>
      <w:r w:rsidRPr="0027510D" w:rsidR="004611B4">
        <w:t>evalence</w:t>
      </w:r>
      <w:r w:rsidRPr="0027510D">
        <w:t xml:space="preserve"> at various </w:t>
      </w:r>
      <w:r w:rsidRPr="00290814">
        <w:t>geographic</w:t>
      </w:r>
      <w:r w:rsidRPr="002D0238" w:rsidR="000374DA">
        <w:t xml:space="preserve"> levels</w:t>
      </w:r>
      <w:r w:rsidRPr="00097498">
        <w:t xml:space="preserve">.               </w:t>
      </w:r>
    </w:p>
    <w:p w:rsidR="004A13E8" w:rsidP="004A13E8" w:rsidRDefault="004A13E8" w14:paraId="55FE17B9" w14:textId="77777777">
      <w:pPr>
        <w:pStyle w:val="Heading1"/>
      </w:pPr>
      <w:bookmarkStart w:name="_Toc473880019" w:id="8"/>
      <w:r>
        <w:t>Use of Improved Information Technology and Burden Reduction</w:t>
      </w:r>
      <w:bookmarkEnd w:id="8"/>
    </w:p>
    <w:p w:rsidRPr="008D5AEA" w:rsidR="0006581D" w:rsidP="00BE0036" w:rsidRDefault="006D52E0" w14:paraId="3AD329E0" w14:textId="053C8098">
      <w:pPr>
        <w:pStyle w:val="NoSpacing"/>
        <w:spacing w:after="200" w:line="276" w:lineRule="auto"/>
      </w:pPr>
      <w:r w:rsidRPr="00B81081">
        <w:t>The team surveyor will conduct the questionnaires and capture the responses electronically</w:t>
      </w:r>
      <w:r w:rsidRPr="00B81081" w:rsidR="00753BD8">
        <w:t xml:space="preserve"> via secure internet</w:t>
      </w:r>
      <w:r w:rsidRPr="005D2F04">
        <w:t xml:space="preserve"> on CDC-issued cell phones or tablets through </w:t>
      </w:r>
      <w:proofErr w:type="spellStart"/>
      <w:r w:rsidRPr="005D2F04">
        <w:t>RedCap</w:t>
      </w:r>
      <w:proofErr w:type="spellEnd"/>
      <w:r w:rsidRPr="005D2F04">
        <w:t xml:space="preserve"> Mobile App.</w:t>
      </w:r>
      <w:r w:rsidRPr="005D2F04" w:rsidR="00AA7396">
        <w:t xml:space="preserve"> </w:t>
      </w:r>
      <w:r w:rsidRPr="005D2F04">
        <w:t>If there are any issues with the electronic data collection, surveyo</w:t>
      </w:r>
      <w:r w:rsidRPr="004763CB">
        <w:t>rs should capture the information on the back-up paper questionnaires.</w:t>
      </w:r>
      <w:r w:rsidRPr="004763CB" w:rsidR="00AA7396">
        <w:t xml:space="preserve"> </w:t>
      </w:r>
      <w:r w:rsidRPr="0027510D" w:rsidR="00F034AA">
        <w:t xml:space="preserve">Only the minimum amount of information necessary for data collection is </w:t>
      </w:r>
      <w:r w:rsidRPr="0027510D" w:rsidR="00F034AA">
        <w:rPr>
          <w:noProof/>
        </w:rPr>
        <w:t>requested</w:t>
      </w:r>
      <w:r w:rsidRPr="0027510D" w:rsidR="00F034AA">
        <w:t>.</w:t>
      </w:r>
      <w:r w:rsidR="009E2718">
        <w:t xml:space="preserve"> </w:t>
      </w:r>
      <w:r w:rsidRPr="00B36EB2" w:rsidR="00F034AA">
        <w:t xml:space="preserve"> </w:t>
      </w:r>
      <w:r w:rsidR="00F034AA">
        <w:t xml:space="preserve"> </w:t>
      </w:r>
    </w:p>
    <w:p w:rsidR="004A13E8" w:rsidP="004A13E8" w:rsidRDefault="004A13E8" w14:paraId="55FE17BC" w14:textId="77777777">
      <w:pPr>
        <w:pStyle w:val="Heading1"/>
      </w:pPr>
      <w:bookmarkStart w:name="_Toc473880020" w:id="9"/>
      <w:r>
        <w:t>Efforts to Identify Duplication and Use of Similar Information</w:t>
      </w:r>
      <w:bookmarkEnd w:id="9"/>
    </w:p>
    <w:p w:rsidRPr="003B2FB4" w:rsidR="003B2FB4" w:rsidP="003B2FB4" w:rsidRDefault="003B2FB4" w14:paraId="55FE17BE" w14:textId="4FC88A52">
      <w:r w:rsidRPr="00114974">
        <w:t>CDC is not aware of the availability of any similar information</w:t>
      </w:r>
      <w:r w:rsidR="00C95DE8">
        <w:t xml:space="preserve"> to these community-based investigations</w:t>
      </w:r>
      <w:r w:rsidR="0056712E">
        <w:t>.</w:t>
      </w:r>
      <w:r w:rsidR="00294A56">
        <w:t xml:space="preserve"> There are other seroprevalence studies being conducted </w:t>
      </w:r>
      <w:r w:rsidR="00C95DE8">
        <w:t>b</w:t>
      </w:r>
      <w:r w:rsidR="00294A56">
        <w:t xml:space="preserve">y CDC and other </w:t>
      </w:r>
      <w:r w:rsidR="00C95DE8">
        <w:t>institutions,</w:t>
      </w:r>
      <w:r w:rsidR="00294A56">
        <w:t xml:space="preserve"> </w:t>
      </w:r>
      <w:r w:rsidR="00C95DE8">
        <w:t>but these studies entail the</w:t>
      </w:r>
      <w:r w:rsidR="00294A56">
        <w:t xml:space="preserve"> collect</w:t>
      </w:r>
      <w:r w:rsidR="00C95DE8">
        <w:t>ion</w:t>
      </w:r>
      <w:r w:rsidR="00294A56">
        <w:t xml:space="preserve"> and test</w:t>
      </w:r>
      <w:r w:rsidR="00C95DE8">
        <w:t>ing</w:t>
      </w:r>
      <w:r w:rsidR="00294A56">
        <w:t xml:space="preserve"> convenience sample</w:t>
      </w:r>
      <w:r w:rsidR="00C95DE8">
        <w:t xml:space="preserve">s. </w:t>
      </w:r>
      <w:r w:rsidR="0056712E">
        <w:t xml:space="preserve"> </w:t>
      </w:r>
    </w:p>
    <w:p w:rsidR="00DC57CC" w:rsidP="004A13E8" w:rsidRDefault="004A13E8" w14:paraId="55FE17BF" w14:textId="77777777">
      <w:pPr>
        <w:pStyle w:val="Heading1"/>
      </w:pPr>
      <w:bookmarkStart w:name="_Toc473880021" w:id="10"/>
      <w:r>
        <w:t>Impact on Small Businesses or Other Small Entities</w:t>
      </w:r>
      <w:bookmarkEnd w:id="10"/>
    </w:p>
    <w:p w:rsidR="004A13E8" w:rsidP="004A13E8" w:rsidRDefault="004A13E8" w14:paraId="55FE17C0" w14:textId="77777777">
      <w:r>
        <w:t>This data collection wi</w:t>
      </w:r>
      <w:r w:rsidR="001523DF">
        <w:t>ll not involve small businesses.</w:t>
      </w:r>
    </w:p>
    <w:p w:rsidR="004A13E8" w:rsidP="004A13E8" w:rsidRDefault="004A13E8" w14:paraId="55FE17C3" w14:textId="77777777">
      <w:pPr>
        <w:pStyle w:val="Heading1"/>
      </w:pPr>
      <w:bookmarkStart w:name="_Toc473880022" w:id="11"/>
      <w:r>
        <w:t>Consequences of Collecting the Information Less Frequently</w:t>
      </w:r>
      <w:bookmarkEnd w:id="11"/>
    </w:p>
    <w:p w:rsidRPr="001523DF" w:rsidR="001523DF" w:rsidP="001523DF" w:rsidRDefault="004C24FD" w14:paraId="55FE17C5" w14:textId="02B36277">
      <w:r>
        <w:t xml:space="preserve"> </w:t>
      </w:r>
      <w:r w:rsidR="001523DF">
        <w:t>This is a one-time information collection</w:t>
      </w:r>
      <w:r w:rsidR="006D1D06">
        <w:t xml:space="preserve"> at each site</w:t>
      </w:r>
      <w:r w:rsidR="001523DF">
        <w:t>.</w:t>
      </w:r>
    </w:p>
    <w:p w:rsidR="004A13E8" w:rsidP="004A13E8" w:rsidRDefault="004A13E8" w14:paraId="55FE17C6" w14:textId="77777777">
      <w:pPr>
        <w:pStyle w:val="Heading1"/>
      </w:pPr>
      <w:bookmarkStart w:name="_Toc473880023" w:id="12"/>
      <w:r>
        <w:t>Special Circumstances Relating to the Guidelines of 5 CFR 1320.5</w:t>
      </w:r>
      <w:bookmarkEnd w:id="12"/>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73880024" w:id="13"/>
      <w:r>
        <w:t>Comments in Response to the Federal Register Notice and Efforts to Consult Outside the Agency</w:t>
      </w:r>
      <w:bookmarkEnd w:id="13"/>
    </w:p>
    <w:p w:rsidR="00EC1B24" w:rsidP="00EC1B24" w:rsidRDefault="00EC1B24" w14:paraId="182801BA" w14:textId="154FA53A">
      <w:r>
        <w:lastRenderedPageBreak/>
        <w:t>A. Because this is a request for an emergency clearance, CDC asks that the 60-day public comment period be waived</w:t>
      </w:r>
      <w:r w:rsidR="00247853">
        <w:t>.</w:t>
      </w:r>
    </w:p>
    <w:p w:rsidRPr="004A13E8" w:rsidR="00EC1B24" w:rsidP="00EC1B24" w:rsidRDefault="00EC1B24" w14:paraId="51D6FD88" w14:textId="44B2AEEC">
      <w:r>
        <w:t xml:space="preserve">B. </w:t>
      </w:r>
      <w:r w:rsidR="00247853">
        <w:t>CDC</w:t>
      </w:r>
      <w:r>
        <w:t xml:space="preserve"> has been contacted and urged by </w:t>
      </w:r>
      <w:r w:rsidR="00247853">
        <w:t>state and local health department</w:t>
      </w:r>
      <w:r>
        <w:t xml:space="preserve"> representatives to </w:t>
      </w:r>
      <w:r w:rsidR="00247853">
        <w:t>conduct</w:t>
      </w:r>
      <w:r>
        <w:t xml:space="preserve"> </w:t>
      </w:r>
      <w:proofErr w:type="spellStart"/>
      <w:r w:rsidR="00247853">
        <w:t>seroepidemiological</w:t>
      </w:r>
      <w:proofErr w:type="spellEnd"/>
      <w:r w:rsidR="00247853">
        <w:t xml:space="preserve"> studies</w:t>
      </w:r>
      <w:r>
        <w:t xml:space="preserve">. </w:t>
      </w:r>
    </w:p>
    <w:p w:rsidR="004A13E8" w:rsidP="004A13E8" w:rsidRDefault="004A13E8" w14:paraId="55FE17CB" w14:textId="77777777">
      <w:pPr>
        <w:pStyle w:val="Heading1"/>
      </w:pPr>
      <w:bookmarkStart w:name="_Toc473880025" w:id="14"/>
      <w:r>
        <w:t>Explanation of Any Payment or Gift to Respondents</w:t>
      </w:r>
      <w:bookmarkEnd w:id="14"/>
    </w:p>
    <w:p w:rsidRPr="00B36EB2" w:rsidR="00C71BEB" w:rsidP="00C71BEB" w:rsidRDefault="00C71BEB" w14:paraId="634743D2" w14:textId="06780389">
      <w:r w:rsidRPr="00B36EB2">
        <w:t xml:space="preserve">No monetary incentive </w:t>
      </w:r>
      <w:r w:rsidRPr="00134496">
        <w:rPr>
          <w:noProof/>
        </w:rPr>
        <w:t>is provided</w:t>
      </w:r>
      <w:r w:rsidRPr="00B36EB2">
        <w:t xml:space="preserve"> to participants.</w:t>
      </w:r>
    </w:p>
    <w:p w:rsidR="004A13E8" w:rsidP="004A13E8" w:rsidRDefault="00C71BEB" w14:paraId="55FE17CD" w14:textId="4BF80042">
      <w:pPr>
        <w:pStyle w:val="Heading1"/>
      </w:pPr>
      <w:r w:rsidDel="00C71BEB">
        <w:t xml:space="preserve"> </w:t>
      </w:r>
      <w:bookmarkStart w:name="_Toc473880026" w:id="15"/>
      <w:r w:rsidR="004A13E8">
        <w:t>Protection of the Privacy and Confidentiality of Information Provided by Respondents</w:t>
      </w:r>
      <w:bookmarkEnd w:id="15"/>
    </w:p>
    <w:p w:rsidR="003C706B" w:rsidP="003C706B" w:rsidRDefault="00457614" w14:paraId="5E3C8808" w14:textId="5EDD6941">
      <w:r w:rsidRPr="003A42C6">
        <w:t xml:space="preserve">CDC’s Information Systems Security Officer reviewed this submission and determined that the Privacy Act does </w:t>
      </w:r>
      <w:r w:rsidR="005A318F">
        <w:t xml:space="preserve">not </w:t>
      </w:r>
      <w:r w:rsidRPr="003A42C6">
        <w:t>apply.</w:t>
      </w:r>
      <w:r w:rsidRPr="003A42C6" w:rsidR="00BA7A1B">
        <w:t xml:space="preserve"> </w:t>
      </w:r>
      <w:r w:rsidRPr="003A42C6">
        <w:t xml:space="preserve"> </w:t>
      </w:r>
      <w:r w:rsidR="003C706B">
        <w:t xml:space="preserve">All participant information contained on </w:t>
      </w:r>
      <w:r w:rsidR="000F69A8">
        <w:t>investigation</w:t>
      </w:r>
      <w:r w:rsidR="003C706B">
        <w:t xml:space="preserve"> forms, in laboratory reports, and in electronic files will be kept </w:t>
      </w:r>
      <w:r w:rsidR="0069217E">
        <w:t>private to the fullest extent allowed by law</w:t>
      </w:r>
      <w:r w:rsidR="003C706B">
        <w:t xml:space="preserve">. Specimens and </w:t>
      </w:r>
      <w:r w:rsidR="00A2180A">
        <w:t>investigation</w:t>
      </w:r>
      <w:r w:rsidR="003C706B">
        <w:t xml:space="preserve"> forms will be linked through a unique </w:t>
      </w:r>
      <w:r w:rsidR="00EB2455">
        <w:t xml:space="preserve">investigation </w:t>
      </w:r>
      <w:r w:rsidR="003C706B">
        <w:t xml:space="preserve">number only. </w:t>
      </w:r>
      <w:r w:rsidR="00750DDF">
        <w:t>A</w:t>
      </w:r>
      <w:r w:rsidR="00BB25C6">
        <w:t xml:space="preserve"> unique identifier will be assigned to each individual and data will only be </w:t>
      </w:r>
      <w:r w:rsidR="00750DDF">
        <w:t>retrieved</w:t>
      </w:r>
      <w:r w:rsidR="00BB25C6">
        <w:t xml:space="preserve"> by the unique identifier</w:t>
      </w:r>
      <w:r w:rsidR="00750DDF">
        <w:t>.</w:t>
      </w:r>
    </w:p>
    <w:p w:rsidR="003C706B" w:rsidP="003C706B" w:rsidRDefault="003C706B" w14:paraId="533B8395" w14:textId="2116F6F4">
      <w:r>
        <w:t xml:space="preserve">Only the </w:t>
      </w:r>
      <w:r w:rsidR="00EB2455">
        <w:t xml:space="preserve">investigation </w:t>
      </w:r>
      <w:r>
        <w:t xml:space="preserve">staff will have access to the participants’ information. Physical documents containing </w:t>
      </w:r>
      <w:r w:rsidR="00A908EC">
        <w:t>investigation</w:t>
      </w:r>
      <w:r>
        <w:t xml:space="preserve"> data</w:t>
      </w:r>
      <w:r w:rsidR="00A908EC">
        <w:t xml:space="preserve"> such as back-up paper </w:t>
      </w:r>
      <w:r w:rsidR="00E2021C">
        <w:t>questionnaire forms,</w:t>
      </w:r>
      <w:r>
        <w:t xml:space="preserve"> will be stored in a locked file cabinet in the CDC </w:t>
      </w:r>
      <w:r w:rsidR="00EB2455">
        <w:t xml:space="preserve">investigation </w:t>
      </w:r>
      <w:r>
        <w:t xml:space="preserve">coordinator’s office. </w:t>
      </w:r>
      <w:r w:rsidR="00F31D84">
        <w:t>These data collection forms will be destroyed at the time the investigation has ended</w:t>
      </w:r>
      <w:r>
        <w:t xml:space="preserve">. At that same time, all PII will be deleted from the </w:t>
      </w:r>
      <w:r w:rsidR="00970FAD">
        <w:t>investigation</w:t>
      </w:r>
      <w:r>
        <w:t xml:space="preserve"> database and any separate specimen data will be de-identified. All electronic files will subsequently be stored in a password protected database on a CDC secure network. The results from this </w:t>
      </w:r>
      <w:r w:rsidR="00253F65">
        <w:t>investigation</w:t>
      </w:r>
      <w:r>
        <w:t xml:space="preserve"> will be published or presented for scientific purposes in aggregate form only so that individuals cannot be identified. </w:t>
      </w:r>
    </w:p>
    <w:p w:rsidR="004A13E8" w:rsidP="004A13E8" w:rsidRDefault="004A13E8" w14:paraId="55FE17D0" w14:textId="77777777">
      <w:pPr>
        <w:pStyle w:val="Heading1"/>
      </w:pPr>
      <w:bookmarkStart w:name="_Toc473880027" w:id="16"/>
      <w:r>
        <w:t>Institutional Review Board (IRB) and Justification for Sensitive Questions</w:t>
      </w:r>
      <w:bookmarkEnd w:id="16"/>
    </w:p>
    <w:p w:rsidR="004A13E8" w:rsidP="004A13E8" w:rsidRDefault="004A13E8" w14:paraId="55FE17D1" w14:textId="77777777">
      <w:pPr>
        <w:rPr>
          <w:u w:val="single"/>
        </w:rPr>
      </w:pPr>
      <w:r>
        <w:rPr>
          <w:u w:val="single"/>
        </w:rPr>
        <w:t>Institutional Review Board (IRB)</w:t>
      </w:r>
    </w:p>
    <w:p w:rsidR="00681D6A" w:rsidP="00681D6A" w:rsidRDefault="00681D6A" w14:paraId="22549B8C" w14:textId="2E0946D3">
      <w:r>
        <w:t>The COVID-19 Incident Management System (IMS) Human Subjects Advisor has determined that this information collection a non-research public health surveillance activity, as outlined in 45 CFR 46.102(</w:t>
      </w:r>
      <w:r w:rsidRPr="00E23C77">
        <w:rPr>
          <w:i/>
          <w:iCs/>
        </w:rPr>
        <w:t>l</w:t>
      </w:r>
      <w:r>
        <w:t>)(2).  IRB approval is not required (</w:t>
      </w:r>
      <w:r w:rsidRPr="006B654D">
        <w:t xml:space="preserve">Attachment </w:t>
      </w:r>
      <w:r w:rsidRPr="006B654D" w:rsidR="006B654D">
        <w:t>7</w:t>
      </w:r>
      <w:r>
        <w:t>).</w:t>
      </w:r>
    </w:p>
    <w:p w:rsidRPr="0005699B" w:rsidR="004A13E8" w:rsidP="004A13E8" w:rsidRDefault="00681D6A" w14:paraId="55FE17D4" w14:textId="1035ED02">
      <w:r w:rsidDel="00BD041A">
        <w:t xml:space="preserve"> </w:t>
      </w:r>
      <w:r w:rsidR="004A13E8">
        <w:rPr>
          <w:u w:val="single"/>
        </w:rPr>
        <w:t>Justification for Sensitive Questions</w:t>
      </w:r>
    </w:p>
    <w:p w:rsidRPr="0050415A" w:rsidR="0005699B" w:rsidP="004A13E8" w:rsidRDefault="00BD041A" w14:paraId="55FE17D6" w14:textId="41CDB2CF">
      <w:r w:rsidRPr="0050415A">
        <w:t>T</w:t>
      </w:r>
      <w:r w:rsidRPr="0050415A" w:rsidR="0005699B">
        <w:t>here are no planned sensitive questions</w:t>
      </w:r>
      <w:r w:rsidRPr="0050415A" w:rsidR="006675EE">
        <w:t xml:space="preserve"> being asked on the household or individual questionnaires.</w:t>
      </w:r>
    </w:p>
    <w:p w:rsidRPr="0050415A" w:rsidR="004A13E8" w:rsidP="004A13E8" w:rsidRDefault="004A13E8" w14:paraId="55FE17D7" w14:textId="77777777">
      <w:pPr>
        <w:pStyle w:val="Heading1"/>
      </w:pPr>
      <w:bookmarkStart w:name="_Toc473880028" w:id="17"/>
      <w:r w:rsidRPr="0050415A">
        <w:t>Estimates of Annualized Burden Hours and Costs</w:t>
      </w:r>
      <w:bookmarkEnd w:id="17"/>
    </w:p>
    <w:p w:rsidRPr="0050415A" w:rsidR="00C553B7" w:rsidP="009B0947" w:rsidRDefault="009B0947" w14:paraId="093B700D" w14:textId="77777777">
      <w:r w:rsidRPr="0050415A">
        <w:t xml:space="preserve">A. </w:t>
      </w:r>
      <w:r w:rsidRPr="0050415A" w:rsidR="00C553B7">
        <w:t>Estimated Annualized Burden Hours</w:t>
      </w:r>
    </w:p>
    <w:p w:rsidRPr="0050415A" w:rsidR="006040EE" w:rsidP="004A13E8" w:rsidRDefault="00607B3A" w14:paraId="02EF1DC9" w14:textId="70B95134">
      <w:r w:rsidRPr="0050415A">
        <w:t xml:space="preserve">By the end of the </w:t>
      </w:r>
      <w:r w:rsidRPr="0050415A" w:rsidR="009110A8">
        <w:t>investigation</w:t>
      </w:r>
      <w:r w:rsidRPr="0050415A">
        <w:t>, an estimated 1,000 individuals (average members per household = 2.5) will be enrolled</w:t>
      </w:r>
      <w:r w:rsidRPr="0050415A" w:rsidR="005D2F5E">
        <w:t xml:space="preserve"> at each site</w:t>
      </w:r>
      <w:r w:rsidRPr="0050415A" w:rsidR="00336B14">
        <w:t>.</w:t>
      </w:r>
      <w:r w:rsidRPr="0050415A" w:rsidR="00FF54D3">
        <w:t xml:space="preserve"> </w:t>
      </w:r>
      <w:r w:rsidRPr="0050415A" w:rsidR="006040EE">
        <w:t xml:space="preserve"> Investigations will be conducted at a total of </w:t>
      </w:r>
      <w:r w:rsidR="00EA72A6">
        <w:t>four</w:t>
      </w:r>
      <w:r w:rsidRPr="0050415A" w:rsidR="006040EE">
        <w:t xml:space="preserve"> sites throughout the 180-day OMB PRA clearance period (1,000 respondents at each site x </w:t>
      </w:r>
      <w:r w:rsidRPr="0050415A" w:rsidR="00186C19">
        <w:t>4</w:t>
      </w:r>
      <w:r w:rsidRPr="0050415A" w:rsidR="006040EE">
        <w:t xml:space="preserve"> sites = </w:t>
      </w:r>
      <w:r w:rsidRPr="0050415A" w:rsidR="00186C19">
        <w:t>4</w:t>
      </w:r>
      <w:r w:rsidRPr="0050415A" w:rsidR="006040EE">
        <w:t>,</w:t>
      </w:r>
      <w:r w:rsidRPr="0050415A" w:rsidR="00186C19">
        <w:t>000</w:t>
      </w:r>
      <w:r w:rsidRPr="0050415A" w:rsidR="006040EE">
        <w:t xml:space="preserve"> respondents).</w:t>
      </w:r>
    </w:p>
    <w:p w:rsidRPr="0050415A" w:rsidR="004A13E8" w:rsidP="004A13E8" w:rsidRDefault="00FF54D3" w14:paraId="55FE17D9" w14:textId="3BBBF233">
      <w:r w:rsidRPr="0050415A">
        <w:lastRenderedPageBreak/>
        <w:t xml:space="preserve">We have estimated that the individual </w:t>
      </w:r>
      <w:r w:rsidRPr="0050415A" w:rsidR="00C4774C">
        <w:t>questionnaire</w:t>
      </w:r>
      <w:r w:rsidRPr="0050415A">
        <w:t xml:space="preserve"> will take an average of </w:t>
      </w:r>
      <w:r w:rsidRPr="0050415A" w:rsidR="00E1111C">
        <w:t>20</w:t>
      </w:r>
      <w:r w:rsidRPr="0050415A">
        <w:t xml:space="preserve"> minutes to complete</w:t>
      </w:r>
      <w:r w:rsidRPr="0050415A" w:rsidR="00854AEB">
        <w:t xml:space="preserve"> per participant. We estimate the household questionnaire will take 15 minutes to complete</w:t>
      </w:r>
      <w:r w:rsidRPr="0050415A">
        <w:t xml:space="preserve">. </w:t>
      </w:r>
      <w:r w:rsidRPr="0050415A" w:rsidR="000B4B1A">
        <w:t xml:space="preserve">Blood collection procedures should follow national guidelines and we estimate will take </w:t>
      </w:r>
      <w:r w:rsidRPr="0050415A" w:rsidR="00B02AEA">
        <w:t xml:space="preserve">10 minutes per participant. </w:t>
      </w:r>
      <w:r w:rsidRPr="0050415A" w:rsidR="00E20549">
        <w:t xml:space="preserve">For </w:t>
      </w:r>
      <w:r w:rsidRPr="0050415A" w:rsidR="002C179B">
        <w:t>each investigation</w:t>
      </w:r>
      <w:r w:rsidRPr="0050415A" w:rsidR="00E20549">
        <w:t>,</w:t>
      </w:r>
      <w:r w:rsidRPr="0050415A" w:rsidR="004E1A1D">
        <w:t xml:space="preserve"> </w:t>
      </w:r>
      <w:r w:rsidRPr="0050415A" w:rsidR="00CD00EC">
        <w:t xml:space="preserve">the </w:t>
      </w:r>
      <w:r w:rsidRPr="0050415A" w:rsidR="004E1A1D">
        <w:t xml:space="preserve">total estimated burden is </w:t>
      </w:r>
      <w:r w:rsidRPr="0050415A" w:rsidR="00186C19">
        <w:t>605</w:t>
      </w:r>
      <w:r w:rsidRPr="0050415A" w:rsidR="004E1A1D">
        <w:t xml:space="preserve"> hours.  </w:t>
      </w:r>
      <w:r w:rsidRPr="0050415A" w:rsidR="00186C19">
        <w:t xml:space="preserve">For all </w:t>
      </w:r>
      <w:r w:rsidR="00EA72A6">
        <w:t>four</w:t>
      </w:r>
      <w:r w:rsidRPr="0050415A" w:rsidR="00186C19">
        <w:t xml:space="preserve"> investigations, the total estimated burden is 2,420 hours (605 hours x 4 sites).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Pr="0050415A" w:rsidR="00E9262A" w:rsidTr="003A6A42" w14:paraId="55FE17E0" w14:textId="77777777">
        <w:tc>
          <w:tcPr>
            <w:tcW w:w="1678" w:type="dxa"/>
          </w:tcPr>
          <w:p w:rsidRPr="0050415A" w:rsidR="004A13E8" w:rsidP="003A6A42" w:rsidRDefault="004A13E8" w14:paraId="55FE17DA" w14:textId="77777777">
            <w:r w:rsidRPr="0050415A">
              <w:t>Type of Respondent</w:t>
            </w:r>
          </w:p>
        </w:tc>
        <w:tc>
          <w:tcPr>
            <w:tcW w:w="1678" w:type="dxa"/>
          </w:tcPr>
          <w:p w:rsidRPr="0050415A" w:rsidR="004A13E8" w:rsidP="003A6A42" w:rsidRDefault="004A13E8" w14:paraId="55FE17DB" w14:textId="77777777">
            <w:r w:rsidRPr="0050415A">
              <w:t>Form Name</w:t>
            </w:r>
          </w:p>
        </w:tc>
        <w:tc>
          <w:tcPr>
            <w:tcW w:w="1678" w:type="dxa"/>
          </w:tcPr>
          <w:p w:rsidRPr="0050415A" w:rsidR="004A13E8" w:rsidP="003A6A42" w:rsidRDefault="004A13E8" w14:paraId="55FE17DC" w14:textId="77777777">
            <w:r w:rsidRPr="0050415A">
              <w:t>No. of Respondents</w:t>
            </w:r>
          </w:p>
        </w:tc>
        <w:tc>
          <w:tcPr>
            <w:tcW w:w="1678" w:type="dxa"/>
          </w:tcPr>
          <w:p w:rsidRPr="0050415A" w:rsidR="004A13E8" w:rsidP="003A6A42" w:rsidRDefault="004A13E8" w14:paraId="55FE17DD" w14:textId="77777777">
            <w:r w:rsidRPr="0050415A">
              <w:t>No. Responses per Respondent</w:t>
            </w:r>
          </w:p>
        </w:tc>
        <w:tc>
          <w:tcPr>
            <w:tcW w:w="1679" w:type="dxa"/>
          </w:tcPr>
          <w:p w:rsidRPr="0050415A" w:rsidR="004A13E8" w:rsidP="003A6A42" w:rsidRDefault="004A13E8" w14:paraId="55FE17DE" w14:textId="77777777">
            <w:r w:rsidRPr="0050415A">
              <w:t>Avg. Burden per response (in hrs.)</w:t>
            </w:r>
          </w:p>
        </w:tc>
        <w:tc>
          <w:tcPr>
            <w:tcW w:w="1679" w:type="dxa"/>
          </w:tcPr>
          <w:p w:rsidRPr="0050415A" w:rsidR="004A13E8" w:rsidP="003A6A42" w:rsidRDefault="004A13E8" w14:paraId="55FE17DF" w14:textId="77777777">
            <w:r w:rsidRPr="0050415A">
              <w:t>Total Burden (in hrs.)</w:t>
            </w:r>
          </w:p>
        </w:tc>
      </w:tr>
      <w:tr w:rsidRPr="0050415A" w:rsidR="00E9262A" w:rsidTr="003A6A42" w14:paraId="55FE17E7" w14:textId="77777777">
        <w:tc>
          <w:tcPr>
            <w:tcW w:w="1678" w:type="dxa"/>
          </w:tcPr>
          <w:p w:rsidRPr="0050415A" w:rsidR="004A13E8" w:rsidP="003A6A42" w:rsidRDefault="00041868" w14:paraId="55FE17E1" w14:textId="6538B75C">
            <w:r w:rsidRPr="0050415A">
              <w:t>Household participant</w:t>
            </w:r>
          </w:p>
        </w:tc>
        <w:tc>
          <w:tcPr>
            <w:tcW w:w="1678" w:type="dxa"/>
          </w:tcPr>
          <w:p w:rsidRPr="0050415A" w:rsidR="004A13E8" w:rsidP="003A6A42" w:rsidRDefault="00041868" w14:paraId="55FE17E2" w14:textId="28060077">
            <w:r w:rsidRPr="0050415A">
              <w:t>Individual</w:t>
            </w:r>
            <w:r w:rsidRPr="0050415A" w:rsidR="005544C6">
              <w:t xml:space="preserve"> </w:t>
            </w:r>
            <w:r w:rsidRPr="0050415A" w:rsidR="007E6022">
              <w:t xml:space="preserve">Questionnaire </w:t>
            </w:r>
          </w:p>
        </w:tc>
        <w:tc>
          <w:tcPr>
            <w:tcW w:w="1678" w:type="dxa"/>
          </w:tcPr>
          <w:p w:rsidRPr="0050415A" w:rsidR="004A13E8" w:rsidP="003A6A42" w:rsidRDefault="00186C19" w14:paraId="55FE17E3" w14:textId="2785C627">
            <w:r w:rsidRPr="0050415A">
              <w:t>4,000</w:t>
            </w:r>
          </w:p>
        </w:tc>
        <w:tc>
          <w:tcPr>
            <w:tcW w:w="1678" w:type="dxa"/>
          </w:tcPr>
          <w:p w:rsidRPr="0050415A" w:rsidR="004A13E8" w:rsidP="003A6A42" w:rsidRDefault="00FE15D1" w14:paraId="55FE17E4" w14:textId="1D25224A">
            <w:r w:rsidRPr="0050415A">
              <w:t>1</w:t>
            </w:r>
          </w:p>
        </w:tc>
        <w:tc>
          <w:tcPr>
            <w:tcW w:w="1679" w:type="dxa"/>
          </w:tcPr>
          <w:p w:rsidRPr="0050415A" w:rsidR="004A13E8" w:rsidP="003A6A42" w:rsidRDefault="006040EE" w14:paraId="55FE17E5" w14:textId="094C95BF">
            <w:r w:rsidRPr="0050415A">
              <w:t>2</w:t>
            </w:r>
            <w:r w:rsidRPr="0050415A" w:rsidR="00BF5134">
              <w:t>0</w:t>
            </w:r>
            <w:r w:rsidRPr="0050415A" w:rsidR="00E1111C">
              <w:t>/</w:t>
            </w:r>
            <w:r w:rsidRPr="0050415A" w:rsidR="00C6016A">
              <w:t>60</w:t>
            </w:r>
          </w:p>
        </w:tc>
        <w:tc>
          <w:tcPr>
            <w:tcW w:w="1679" w:type="dxa"/>
          </w:tcPr>
          <w:p w:rsidRPr="0050415A" w:rsidR="004A13E8" w:rsidP="003A6A42" w:rsidRDefault="00186C19" w14:paraId="55FE17E6" w14:textId="19637D65">
            <w:r w:rsidRPr="0050415A">
              <w:t>1,33</w:t>
            </w:r>
            <w:r w:rsidR="002C174C">
              <w:t>3</w:t>
            </w:r>
          </w:p>
        </w:tc>
      </w:tr>
      <w:tr w:rsidRPr="0050415A" w:rsidR="0089309C" w:rsidTr="003A6A42" w14:paraId="462DAC2A" w14:textId="77777777">
        <w:tc>
          <w:tcPr>
            <w:tcW w:w="1678" w:type="dxa"/>
          </w:tcPr>
          <w:p w:rsidRPr="0050415A" w:rsidR="0089309C" w:rsidP="003A6A42" w:rsidRDefault="0089309C" w14:paraId="49CF4D90" w14:textId="6197924C">
            <w:r w:rsidRPr="0050415A">
              <w:t>Household participant</w:t>
            </w:r>
          </w:p>
        </w:tc>
        <w:tc>
          <w:tcPr>
            <w:tcW w:w="1678" w:type="dxa"/>
          </w:tcPr>
          <w:p w:rsidRPr="0050415A" w:rsidR="0089309C" w:rsidP="003A6A42" w:rsidRDefault="0089309C" w14:paraId="30DF6FEB" w14:textId="5A1982EC">
            <w:r w:rsidRPr="0050415A">
              <w:t>Household Questionnaire</w:t>
            </w:r>
          </w:p>
        </w:tc>
        <w:tc>
          <w:tcPr>
            <w:tcW w:w="1678" w:type="dxa"/>
          </w:tcPr>
          <w:p w:rsidRPr="0050415A" w:rsidR="0089309C" w:rsidP="003A6A42" w:rsidRDefault="00186C19" w14:paraId="06D565B6" w14:textId="7FDA4CEC">
            <w:r w:rsidRPr="0050415A">
              <w:t>1,680</w:t>
            </w:r>
          </w:p>
        </w:tc>
        <w:tc>
          <w:tcPr>
            <w:tcW w:w="1678" w:type="dxa"/>
          </w:tcPr>
          <w:p w:rsidRPr="0050415A" w:rsidR="0089309C" w:rsidP="003A6A42" w:rsidRDefault="00FE15D1" w14:paraId="43ABBAB4" w14:textId="34A12D6D">
            <w:r w:rsidRPr="0050415A">
              <w:t>1</w:t>
            </w:r>
          </w:p>
        </w:tc>
        <w:tc>
          <w:tcPr>
            <w:tcW w:w="1679" w:type="dxa"/>
          </w:tcPr>
          <w:p w:rsidRPr="0050415A" w:rsidR="0089309C" w:rsidP="003A6A42" w:rsidRDefault="00FE15D1" w14:paraId="2E265F16" w14:textId="523B5B1F">
            <w:r w:rsidRPr="0050415A">
              <w:t>15/60</w:t>
            </w:r>
          </w:p>
        </w:tc>
        <w:tc>
          <w:tcPr>
            <w:tcW w:w="1679" w:type="dxa"/>
          </w:tcPr>
          <w:p w:rsidRPr="0050415A" w:rsidR="0089309C" w:rsidP="003A6A42" w:rsidRDefault="00186C19" w14:paraId="111AA4B7" w14:textId="5CF02E46">
            <w:r w:rsidRPr="0050415A">
              <w:t>420</w:t>
            </w:r>
          </w:p>
        </w:tc>
      </w:tr>
      <w:tr w:rsidRPr="0050415A" w:rsidR="00E9262A" w:rsidTr="003A6A42" w14:paraId="4DA27BB2" w14:textId="77777777">
        <w:tc>
          <w:tcPr>
            <w:tcW w:w="1678" w:type="dxa"/>
          </w:tcPr>
          <w:p w:rsidRPr="0050415A" w:rsidR="00411797" w:rsidP="003A6A42" w:rsidRDefault="00F225AA" w14:paraId="4586CC8C" w14:textId="7DE104D9">
            <w:r w:rsidRPr="0050415A">
              <w:t>Household participant</w:t>
            </w:r>
          </w:p>
        </w:tc>
        <w:tc>
          <w:tcPr>
            <w:tcW w:w="1678" w:type="dxa"/>
          </w:tcPr>
          <w:p w:rsidRPr="0050415A" w:rsidR="00411797" w:rsidP="003A6A42" w:rsidRDefault="00EB3B61" w14:paraId="5F61F3EB" w14:textId="646BD152">
            <w:r w:rsidRPr="0050415A">
              <w:t xml:space="preserve">Blood collection </w:t>
            </w:r>
            <w:r w:rsidRPr="0050415A" w:rsidR="006207FA">
              <w:t>(no form)</w:t>
            </w:r>
          </w:p>
        </w:tc>
        <w:tc>
          <w:tcPr>
            <w:tcW w:w="1678" w:type="dxa"/>
          </w:tcPr>
          <w:p w:rsidRPr="0050415A" w:rsidR="00411797" w:rsidP="003A6A42" w:rsidRDefault="00186C19" w14:paraId="4BD76F23" w14:textId="0B84CC79">
            <w:r w:rsidRPr="0050415A">
              <w:t>4,000</w:t>
            </w:r>
          </w:p>
        </w:tc>
        <w:tc>
          <w:tcPr>
            <w:tcW w:w="1678" w:type="dxa"/>
          </w:tcPr>
          <w:p w:rsidRPr="0050415A" w:rsidR="00411797" w:rsidP="003A6A42" w:rsidRDefault="00EB3B61" w14:paraId="22CF79B8" w14:textId="1A695A74">
            <w:r w:rsidRPr="0050415A">
              <w:t>1</w:t>
            </w:r>
          </w:p>
        </w:tc>
        <w:tc>
          <w:tcPr>
            <w:tcW w:w="1679" w:type="dxa"/>
          </w:tcPr>
          <w:p w:rsidRPr="0050415A" w:rsidR="00411797" w:rsidP="003A6A42" w:rsidRDefault="008E4E08" w14:paraId="0C7D3FD2" w14:textId="190BAB09">
            <w:r w:rsidRPr="0050415A">
              <w:t>1</w:t>
            </w:r>
            <w:r w:rsidRPr="0050415A" w:rsidR="00EB3B61">
              <w:t>0</w:t>
            </w:r>
            <w:r w:rsidRPr="0050415A">
              <w:t>/60</w:t>
            </w:r>
          </w:p>
        </w:tc>
        <w:tc>
          <w:tcPr>
            <w:tcW w:w="1679" w:type="dxa"/>
          </w:tcPr>
          <w:p w:rsidRPr="0050415A" w:rsidR="00411797" w:rsidP="003A6A42" w:rsidRDefault="00186C19" w14:paraId="3C0602B4" w14:textId="3FA9F4A2">
            <w:r w:rsidRPr="0050415A">
              <w:t>66</w:t>
            </w:r>
            <w:r w:rsidR="002C174C">
              <w:t>7</w:t>
            </w:r>
          </w:p>
        </w:tc>
      </w:tr>
      <w:tr w:rsidRPr="0050415A" w:rsidR="004A13E8" w:rsidTr="003A6A42" w14:paraId="55FE17EB" w14:textId="77777777">
        <w:tc>
          <w:tcPr>
            <w:tcW w:w="1678" w:type="dxa"/>
          </w:tcPr>
          <w:p w:rsidRPr="0050415A" w:rsidR="004A13E8" w:rsidP="003A6A42" w:rsidRDefault="004A13E8" w14:paraId="55FE17E8" w14:textId="621B9C00">
            <w:pPr>
              <w:rPr>
                <w:b/>
              </w:rPr>
            </w:pPr>
            <w:r w:rsidRPr="0050415A">
              <w:rPr>
                <w:b/>
              </w:rPr>
              <w:t>Total</w:t>
            </w:r>
            <w:r w:rsidRPr="0050415A" w:rsidR="00186C19">
              <w:rPr>
                <w:b/>
              </w:rPr>
              <w:t>/site</w:t>
            </w:r>
          </w:p>
        </w:tc>
        <w:tc>
          <w:tcPr>
            <w:tcW w:w="6713" w:type="dxa"/>
            <w:gridSpan w:val="4"/>
          </w:tcPr>
          <w:p w:rsidRPr="0050415A" w:rsidR="004A13E8" w:rsidP="003A6A42" w:rsidRDefault="004A13E8" w14:paraId="55FE17E9" w14:textId="77777777"/>
        </w:tc>
        <w:tc>
          <w:tcPr>
            <w:tcW w:w="1679" w:type="dxa"/>
          </w:tcPr>
          <w:p w:rsidRPr="0050415A" w:rsidR="004A13E8" w:rsidP="003A6A42" w:rsidRDefault="00186C19" w14:paraId="55FE17EA" w14:textId="68B52543">
            <w:r w:rsidRPr="0050415A">
              <w:t>2,420</w:t>
            </w:r>
          </w:p>
        </w:tc>
      </w:tr>
    </w:tbl>
    <w:p w:rsidRPr="0050415A" w:rsidR="00C553B7" w:rsidP="004A13E8" w:rsidRDefault="004A13E8" w14:paraId="505C920E" w14:textId="20E63586">
      <w:pPr>
        <w:spacing w:before="240"/>
      </w:pPr>
      <w:r w:rsidRPr="0050415A">
        <w:t>B.</w:t>
      </w:r>
      <w:r w:rsidRPr="0050415A" w:rsidR="00C553B7">
        <w:t xml:space="preserve"> Estimated Annualized Burden Costs</w:t>
      </w:r>
      <w:r w:rsidRPr="0050415A" w:rsidR="009B0947">
        <w:t xml:space="preserve"> </w:t>
      </w:r>
    </w:p>
    <w:p w:rsidRPr="0050415A" w:rsidR="00301C7B" w:rsidP="00301C7B" w:rsidRDefault="00301C7B" w14:paraId="368E66E0" w14:textId="43B18121">
      <w:pPr>
        <w:spacing w:before="240" w:line="240" w:lineRule="auto"/>
      </w:pPr>
      <w:r w:rsidRPr="0050415A">
        <w:t>The average annual response burden cost is estimated to be $</w:t>
      </w:r>
      <w:r w:rsidR="00AC2172">
        <w:t>15</w:t>
      </w:r>
      <w:r w:rsidRPr="0050415A" w:rsidR="00B81D8D">
        <w:t>,</w:t>
      </w:r>
      <w:r w:rsidR="00AC2172">
        <w:t>560.60</w:t>
      </w:r>
      <w:r w:rsidRPr="0050415A" w:rsidR="005C1522">
        <w:t xml:space="preserve"> for each investigation</w:t>
      </w:r>
      <w:r w:rsidRPr="0050415A">
        <w:t xml:space="preserve">. </w:t>
      </w:r>
      <w:r w:rsidRPr="0050415A" w:rsidR="00186C19">
        <w:t xml:space="preserve">The total average annual response burden cost for all </w:t>
      </w:r>
      <w:r w:rsidR="00BE0036">
        <w:t>four</w:t>
      </w:r>
      <w:r w:rsidRPr="0050415A" w:rsidR="00186C19">
        <w:t xml:space="preserve"> sites is estimated to be $</w:t>
      </w:r>
      <w:r w:rsidR="00AC2172">
        <w:t>62,242,40</w:t>
      </w:r>
      <w:r w:rsidRPr="0050415A" w:rsidR="00186C19">
        <w:t xml:space="preserve">. </w:t>
      </w:r>
      <w:r w:rsidRPr="0050415A">
        <w:t xml:space="preserve">The hourly wage estimates are based on the Bureau of Labor Statistics May 2019 National Occupational Employment and Wage Estimates </w:t>
      </w:r>
      <w:r w:rsidRPr="0050415A" w:rsidR="002C39DD">
        <w:t>(https://www.bls.gov/oes/current/oes_nat.htm#00-0000</w:t>
      </w:r>
      <w:r w:rsidRPr="0050415A">
        <w:t xml:space="preserve">). The mean hourly wage rate for all occupations ($25.72) was used. </w:t>
      </w:r>
    </w:p>
    <w:tbl>
      <w:tblPr>
        <w:tblStyle w:val="TableGrid"/>
        <w:tblW w:w="10075" w:type="dxa"/>
        <w:tblLook w:val="04A0" w:firstRow="1" w:lastRow="0" w:firstColumn="1" w:lastColumn="0" w:noHBand="0" w:noVBand="1"/>
      </w:tblPr>
      <w:tblGrid>
        <w:gridCol w:w="2015"/>
        <w:gridCol w:w="2015"/>
        <w:gridCol w:w="2015"/>
        <w:gridCol w:w="2015"/>
        <w:gridCol w:w="2015"/>
      </w:tblGrid>
      <w:tr w:rsidRPr="0050415A" w:rsidR="004A13E8" w:rsidTr="003A6A42" w14:paraId="55FE17F2" w14:textId="77777777">
        <w:tc>
          <w:tcPr>
            <w:tcW w:w="2015" w:type="dxa"/>
          </w:tcPr>
          <w:p w:rsidRPr="0050415A" w:rsidR="004A13E8" w:rsidP="003A6A42" w:rsidRDefault="00301C7B" w14:paraId="55FE17ED" w14:textId="7B776792">
            <w:r w:rsidRPr="0050415A" w:rsidDel="00301C7B">
              <w:t xml:space="preserve"> </w:t>
            </w:r>
            <w:r w:rsidRPr="0050415A" w:rsidR="004A13E8">
              <w:t>Type of Respondent</w:t>
            </w:r>
          </w:p>
        </w:tc>
        <w:tc>
          <w:tcPr>
            <w:tcW w:w="2015" w:type="dxa"/>
          </w:tcPr>
          <w:p w:rsidRPr="0050415A" w:rsidR="004A13E8" w:rsidP="003A6A42" w:rsidRDefault="004A13E8" w14:paraId="55FE17EE" w14:textId="77777777">
            <w:r w:rsidRPr="0050415A">
              <w:t>Form Name</w:t>
            </w:r>
          </w:p>
        </w:tc>
        <w:tc>
          <w:tcPr>
            <w:tcW w:w="2015" w:type="dxa"/>
          </w:tcPr>
          <w:p w:rsidRPr="0050415A" w:rsidR="004A13E8" w:rsidP="003A6A42" w:rsidRDefault="004A13E8" w14:paraId="55FE17EF" w14:textId="77777777">
            <w:r w:rsidRPr="0050415A">
              <w:t>Total Burden Hours</w:t>
            </w:r>
          </w:p>
        </w:tc>
        <w:tc>
          <w:tcPr>
            <w:tcW w:w="2015" w:type="dxa"/>
          </w:tcPr>
          <w:p w:rsidRPr="0050415A" w:rsidR="004A13E8" w:rsidP="003A6A42" w:rsidRDefault="004A13E8" w14:paraId="55FE17F0" w14:textId="77777777">
            <w:r w:rsidRPr="0050415A">
              <w:t>Hourly Wage Rate</w:t>
            </w:r>
          </w:p>
        </w:tc>
        <w:tc>
          <w:tcPr>
            <w:tcW w:w="2015" w:type="dxa"/>
          </w:tcPr>
          <w:p w:rsidRPr="0050415A" w:rsidR="004A13E8" w:rsidP="003A6A42" w:rsidRDefault="004A13E8" w14:paraId="55FE17F1" w14:textId="77777777">
            <w:r w:rsidRPr="0050415A">
              <w:t>Total Respondent Costs</w:t>
            </w:r>
          </w:p>
        </w:tc>
      </w:tr>
      <w:tr w:rsidRPr="0050415A" w:rsidR="003629A3" w:rsidTr="003A6A42" w14:paraId="55FE17F8" w14:textId="77777777">
        <w:tc>
          <w:tcPr>
            <w:tcW w:w="2015" w:type="dxa"/>
            <w:vMerge w:val="restart"/>
          </w:tcPr>
          <w:p w:rsidRPr="0050415A" w:rsidR="003629A3" w:rsidP="003A6A42" w:rsidRDefault="003629A3" w14:paraId="1E39C47F" w14:textId="164018E9">
            <w:r w:rsidRPr="0050415A">
              <w:t>General Public</w:t>
            </w:r>
          </w:p>
          <w:p w:rsidRPr="0050415A" w:rsidR="003629A3" w:rsidP="004A38E3" w:rsidRDefault="003629A3" w14:paraId="2934057E" w14:textId="34087285"/>
          <w:p w:rsidRPr="0050415A" w:rsidR="003629A3" w:rsidP="004A38E3" w:rsidRDefault="003629A3" w14:paraId="55FE17F3" w14:textId="431E23EB"/>
        </w:tc>
        <w:tc>
          <w:tcPr>
            <w:tcW w:w="2015" w:type="dxa"/>
          </w:tcPr>
          <w:p w:rsidRPr="0050415A" w:rsidR="003629A3" w:rsidP="003A6A42" w:rsidRDefault="003629A3" w14:paraId="55FE17F4" w14:textId="5D3CA1B2">
            <w:r w:rsidRPr="0050415A">
              <w:t>Individual Questionnaire</w:t>
            </w:r>
          </w:p>
        </w:tc>
        <w:tc>
          <w:tcPr>
            <w:tcW w:w="2015" w:type="dxa"/>
          </w:tcPr>
          <w:p w:rsidRPr="0050415A" w:rsidR="003629A3" w:rsidP="003A6A42" w:rsidRDefault="00AC2172" w14:paraId="55FE17F5" w14:textId="19395CC2">
            <w:r>
              <w:t>1,333</w:t>
            </w:r>
          </w:p>
        </w:tc>
        <w:tc>
          <w:tcPr>
            <w:tcW w:w="2015" w:type="dxa"/>
          </w:tcPr>
          <w:p w:rsidRPr="0050415A" w:rsidR="003629A3" w:rsidP="003A6A42" w:rsidRDefault="003629A3" w14:paraId="55FE17F6" w14:textId="05D634A5">
            <w:r w:rsidRPr="0050415A">
              <w:t>$25.72</w:t>
            </w:r>
          </w:p>
        </w:tc>
        <w:tc>
          <w:tcPr>
            <w:tcW w:w="2015" w:type="dxa"/>
          </w:tcPr>
          <w:p w:rsidRPr="0050415A" w:rsidR="003629A3" w:rsidP="003A6A42" w:rsidRDefault="003629A3" w14:paraId="55FE17F7" w14:textId="7BF0E25D">
            <w:r w:rsidRPr="0050415A">
              <w:t>$</w:t>
            </w:r>
            <w:r w:rsidR="00AC2172">
              <w:t>34,284.76</w:t>
            </w:r>
          </w:p>
        </w:tc>
      </w:tr>
      <w:tr w:rsidRPr="0050415A" w:rsidR="003629A3" w:rsidTr="003A6A42" w14:paraId="5A18EF01" w14:textId="77777777">
        <w:tc>
          <w:tcPr>
            <w:tcW w:w="2015" w:type="dxa"/>
            <w:vMerge/>
          </w:tcPr>
          <w:p w:rsidRPr="0050415A" w:rsidR="003629A3" w:rsidP="004A38E3" w:rsidRDefault="003629A3" w14:paraId="0945D952" w14:textId="47082329"/>
        </w:tc>
        <w:tc>
          <w:tcPr>
            <w:tcW w:w="2015" w:type="dxa"/>
          </w:tcPr>
          <w:p w:rsidRPr="0050415A" w:rsidR="003629A3" w:rsidP="004A38E3" w:rsidRDefault="003629A3" w14:paraId="57AED988" w14:textId="46A3879A">
            <w:r w:rsidRPr="0050415A">
              <w:t>Household Questionnaires</w:t>
            </w:r>
          </w:p>
        </w:tc>
        <w:tc>
          <w:tcPr>
            <w:tcW w:w="2015" w:type="dxa"/>
          </w:tcPr>
          <w:p w:rsidRPr="0050415A" w:rsidR="003629A3" w:rsidP="004A38E3" w:rsidRDefault="00186C19" w14:paraId="69DC1FD4" w14:textId="76F62107">
            <w:r w:rsidRPr="0050415A">
              <w:t>420</w:t>
            </w:r>
          </w:p>
        </w:tc>
        <w:tc>
          <w:tcPr>
            <w:tcW w:w="2015" w:type="dxa"/>
          </w:tcPr>
          <w:p w:rsidRPr="0050415A" w:rsidR="003629A3" w:rsidP="004A38E3" w:rsidRDefault="003629A3" w14:paraId="3CBDF7A9" w14:textId="1E762C4D">
            <w:r w:rsidRPr="0050415A">
              <w:t>$25.72</w:t>
            </w:r>
          </w:p>
        </w:tc>
        <w:tc>
          <w:tcPr>
            <w:tcW w:w="2015" w:type="dxa"/>
          </w:tcPr>
          <w:p w:rsidRPr="0050415A" w:rsidR="003629A3" w:rsidP="004A38E3" w:rsidRDefault="003629A3" w14:paraId="5ED2DA98" w14:textId="7DE7FB69">
            <w:r w:rsidRPr="0050415A">
              <w:t>$</w:t>
            </w:r>
            <w:r w:rsidRPr="0050415A" w:rsidR="00186C19">
              <w:t>10,802.40</w:t>
            </w:r>
          </w:p>
        </w:tc>
      </w:tr>
      <w:tr w:rsidRPr="0050415A" w:rsidR="003629A3" w:rsidTr="003A6A42" w14:paraId="2E052E0C" w14:textId="77777777">
        <w:tc>
          <w:tcPr>
            <w:tcW w:w="2015" w:type="dxa"/>
            <w:vMerge/>
          </w:tcPr>
          <w:p w:rsidRPr="0050415A" w:rsidR="003629A3" w:rsidP="004A38E3" w:rsidRDefault="003629A3" w14:paraId="262513C1" w14:textId="068FE8D8"/>
        </w:tc>
        <w:tc>
          <w:tcPr>
            <w:tcW w:w="2015" w:type="dxa"/>
          </w:tcPr>
          <w:p w:rsidRPr="0050415A" w:rsidR="003629A3" w:rsidP="004A38E3" w:rsidRDefault="003629A3" w14:paraId="777388D5" w14:textId="0048545B">
            <w:r w:rsidRPr="0050415A">
              <w:t>Blood Collection</w:t>
            </w:r>
          </w:p>
        </w:tc>
        <w:tc>
          <w:tcPr>
            <w:tcW w:w="2015" w:type="dxa"/>
          </w:tcPr>
          <w:p w:rsidRPr="0050415A" w:rsidR="003629A3" w:rsidP="004A38E3" w:rsidRDefault="00186C19" w14:paraId="26555CA6" w14:textId="78AAE2A3">
            <w:r w:rsidRPr="0050415A">
              <w:t>66</w:t>
            </w:r>
            <w:r w:rsidR="00AC2172">
              <w:t>7</w:t>
            </w:r>
          </w:p>
        </w:tc>
        <w:tc>
          <w:tcPr>
            <w:tcW w:w="2015" w:type="dxa"/>
          </w:tcPr>
          <w:p w:rsidRPr="0050415A" w:rsidR="003629A3" w:rsidP="004A38E3" w:rsidRDefault="003629A3" w14:paraId="33D01D27" w14:textId="74007F65">
            <w:r w:rsidRPr="0050415A">
              <w:t>$25.72</w:t>
            </w:r>
          </w:p>
        </w:tc>
        <w:tc>
          <w:tcPr>
            <w:tcW w:w="2015" w:type="dxa"/>
          </w:tcPr>
          <w:p w:rsidRPr="0050415A" w:rsidR="003629A3" w:rsidP="004A38E3" w:rsidRDefault="003629A3" w14:paraId="51FB3AA2" w14:textId="43152636">
            <w:r w:rsidRPr="0050415A">
              <w:t>$</w:t>
            </w:r>
            <w:r w:rsidRPr="0050415A" w:rsidR="0050415A">
              <w:t>17,1</w:t>
            </w:r>
            <w:r w:rsidR="00AC2172">
              <w:t>55.24</w:t>
            </w:r>
          </w:p>
        </w:tc>
      </w:tr>
      <w:tr w:rsidR="004A38E3" w:rsidTr="003A6A42" w14:paraId="55FE17FC" w14:textId="77777777">
        <w:tc>
          <w:tcPr>
            <w:tcW w:w="2015" w:type="dxa"/>
          </w:tcPr>
          <w:p w:rsidRPr="0050415A" w:rsidR="004A38E3" w:rsidP="004A38E3" w:rsidRDefault="004A38E3" w14:paraId="55FE17F9" w14:textId="1D598EF3">
            <w:pPr>
              <w:rPr>
                <w:b/>
              </w:rPr>
            </w:pPr>
            <w:r w:rsidRPr="0050415A">
              <w:rPr>
                <w:b/>
              </w:rPr>
              <w:t>Total</w:t>
            </w:r>
            <w:r w:rsidRPr="0050415A" w:rsidR="00186C19">
              <w:rPr>
                <w:b/>
              </w:rPr>
              <w:t>/site</w:t>
            </w:r>
          </w:p>
        </w:tc>
        <w:tc>
          <w:tcPr>
            <w:tcW w:w="6045" w:type="dxa"/>
            <w:gridSpan w:val="3"/>
          </w:tcPr>
          <w:p w:rsidRPr="0050415A" w:rsidR="004A38E3" w:rsidP="004A38E3" w:rsidRDefault="004A38E3" w14:paraId="55FE17FA" w14:textId="77777777"/>
        </w:tc>
        <w:tc>
          <w:tcPr>
            <w:tcW w:w="2015" w:type="dxa"/>
          </w:tcPr>
          <w:p w:rsidR="004A38E3" w:rsidP="004A38E3" w:rsidRDefault="004A38E3" w14:paraId="55FE17FB" w14:textId="0B866846">
            <w:r w:rsidRPr="0050415A">
              <w:t>$</w:t>
            </w:r>
            <w:r w:rsidR="00AC2172">
              <w:t>62</w:t>
            </w:r>
            <w:r w:rsidRPr="0050415A" w:rsidR="0050415A">
              <w:t>,</w:t>
            </w:r>
            <w:r w:rsidR="00AC2172">
              <w:t>242</w:t>
            </w:r>
            <w:r w:rsidRPr="0050415A" w:rsidR="0050415A">
              <w:t>.</w:t>
            </w:r>
            <w:r w:rsidR="00AC2172">
              <w:t>40</w:t>
            </w:r>
          </w:p>
        </w:tc>
      </w:tr>
    </w:tbl>
    <w:p w:rsidR="004A13E8" w:rsidP="0025156B" w:rsidRDefault="004A13E8" w14:paraId="55FE17FE" w14:textId="77777777">
      <w:pPr>
        <w:pStyle w:val="Heading1"/>
        <w:spacing w:before="240"/>
      </w:pPr>
      <w:bookmarkStart w:name="_Toc473880029" w:id="18"/>
      <w:r>
        <w:t>Estimates of Other Total Annual Cost Burden to Respondents or Record Keepers</w:t>
      </w:r>
      <w:bookmarkEnd w:id="18"/>
    </w:p>
    <w:p w:rsidR="00CC26E7" w:rsidP="00CC26E7" w:rsidRDefault="00CC26E7" w14:paraId="5052A9FB" w14:textId="77777777">
      <w:pPr>
        <w:pStyle w:val="NormalWeb"/>
      </w:pPr>
      <w:r>
        <w:t xml:space="preserve">There are no costs to respondents other than their time to participate. </w:t>
      </w:r>
    </w:p>
    <w:p w:rsidR="004A13E8" w:rsidP="004A13E8" w:rsidRDefault="00CC26E7" w14:paraId="55FE1801" w14:textId="10506CC3">
      <w:pPr>
        <w:pStyle w:val="Heading1"/>
      </w:pPr>
      <w:r w:rsidDel="00CC26E7">
        <w:t xml:space="preserve"> </w:t>
      </w:r>
      <w:bookmarkStart w:name="_Toc473880030" w:id="19"/>
      <w:r w:rsidRPr="0050415A" w:rsidR="004A13E8">
        <w:t>Annualized Cost to the Government</w:t>
      </w:r>
      <w:bookmarkEnd w:id="19"/>
    </w:p>
    <w:p w:rsidRPr="00123A9D" w:rsidR="00123A9D" w:rsidP="00123A9D" w:rsidRDefault="00123A9D" w14:paraId="78694130" w14:textId="5B687FCB">
      <w:r>
        <w:t>The total annualized cost to the government is $901,168.40.  The cost of each investigation is $225,292.10.  A total of four investigations will be conducted during the 180-day OMB PRA clearance ($225,292.10 x 4 = $901,168.40).</w:t>
      </w:r>
    </w:p>
    <w:tbl>
      <w:tblPr>
        <w:tblStyle w:val="TableGrid"/>
        <w:tblW w:w="0" w:type="auto"/>
        <w:tblLook w:val="04A0" w:firstRow="1" w:lastRow="0" w:firstColumn="1" w:lastColumn="0" w:noHBand="0" w:noVBand="1"/>
      </w:tblPr>
      <w:tblGrid>
        <w:gridCol w:w="2477"/>
        <w:gridCol w:w="1929"/>
        <w:gridCol w:w="1929"/>
        <w:gridCol w:w="1861"/>
        <w:gridCol w:w="1874"/>
      </w:tblGrid>
      <w:tr w:rsidRPr="0050415A" w:rsidR="00C160D0" w:rsidTr="00AC1D60" w14:paraId="45A0FA9B" w14:textId="77777777">
        <w:tc>
          <w:tcPr>
            <w:tcW w:w="2477" w:type="dxa"/>
          </w:tcPr>
          <w:p w:rsidRPr="0050415A" w:rsidR="00C160D0" w:rsidP="00FE0398" w:rsidRDefault="00C160D0" w14:paraId="758086B3" w14:textId="66CC65D1">
            <w:r w:rsidRPr="0050415A">
              <w:t>Staff or Contractor</w:t>
            </w:r>
          </w:p>
        </w:tc>
        <w:tc>
          <w:tcPr>
            <w:tcW w:w="1929" w:type="dxa"/>
          </w:tcPr>
          <w:p w:rsidRPr="0050415A" w:rsidR="00C160D0" w:rsidP="00FE0398" w:rsidRDefault="00C160D0" w14:paraId="5EBC7337" w14:textId="6A00E31B">
            <w:r w:rsidRPr="0050415A">
              <w:t>Average Number of Staff per Investigation</w:t>
            </w:r>
          </w:p>
        </w:tc>
        <w:tc>
          <w:tcPr>
            <w:tcW w:w="1929" w:type="dxa"/>
          </w:tcPr>
          <w:p w:rsidRPr="0050415A" w:rsidR="00C160D0" w:rsidP="00FE0398" w:rsidRDefault="00C160D0" w14:paraId="7E9CFE49" w14:textId="3D3E8C27">
            <w:r w:rsidRPr="0050415A">
              <w:t>Average Number of Hours per Investigation</w:t>
            </w:r>
          </w:p>
        </w:tc>
        <w:tc>
          <w:tcPr>
            <w:tcW w:w="1861" w:type="dxa"/>
          </w:tcPr>
          <w:p w:rsidRPr="0050415A" w:rsidR="00C160D0" w:rsidP="00FE0398" w:rsidRDefault="00C160D0" w14:paraId="67D439A4" w14:textId="07C08FDC">
            <w:r w:rsidRPr="0050415A">
              <w:t>Average Hourly Rate</w:t>
            </w:r>
          </w:p>
        </w:tc>
        <w:tc>
          <w:tcPr>
            <w:tcW w:w="1874" w:type="dxa"/>
          </w:tcPr>
          <w:p w:rsidRPr="0050415A" w:rsidR="00C160D0" w:rsidP="00FE0398" w:rsidRDefault="00C160D0" w14:paraId="53B443FC" w14:textId="7AD56713">
            <w:r w:rsidRPr="0050415A">
              <w:t>Average Cost</w:t>
            </w:r>
            <w:r w:rsidR="00123A9D">
              <w:t xml:space="preserve"> per Investigation</w:t>
            </w:r>
          </w:p>
        </w:tc>
      </w:tr>
      <w:tr w:rsidRPr="0050415A" w:rsidR="00C160D0" w:rsidTr="00AC1D60" w14:paraId="5B8E4ABA" w14:textId="77777777">
        <w:tc>
          <w:tcPr>
            <w:tcW w:w="2477" w:type="dxa"/>
          </w:tcPr>
          <w:p w:rsidRPr="0050415A" w:rsidR="00C160D0" w:rsidP="00FE0398" w:rsidRDefault="00C160D0" w14:paraId="6AB1231B" w14:textId="11EEDF23">
            <w:r w:rsidRPr="0050415A">
              <w:lastRenderedPageBreak/>
              <w:t>CDC Principal Investigator</w:t>
            </w:r>
            <w:r w:rsidRPr="0050415A" w:rsidR="006A777C">
              <w:t xml:space="preserve"> (GS-15)</w:t>
            </w:r>
          </w:p>
        </w:tc>
        <w:tc>
          <w:tcPr>
            <w:tcW w:w="1929" w:type="dxa"/>
          </w:tcPr>
          <w:p w:rsidRPr="0050415A" w:rsidR="00C160D0" w:rsidP="00FE0398" w:rsidRDefault="0050415A" w14:paraId="289CB587" w14:textId="7B546EE8">
            <w:r>
              <w:t>1</w:t>
            </w:r>
          </w:p>
        </w:tc>
        <w:tc>
          <w:tcPr>
            <w:tcW w:w="1929" w:type="dxa"/>
          </w:tcPr>
          <w:p w:rsidRPr="0050415A" w:rsidR="00C160D0" w:rsidP="00FE0398" w:rsidRDefault="00AC1D60" w14:paraId="1EECB30B" w14:textId="07C17483">
            <w:r>
              <w:t>200</w:t>
            </w:r>
          </w:p>
        </w:tc>
        <w:tc>
          <w:tcPr>
            <w:tcW w:w="1861" w:type="dxa"/>
          </w:tcPr>
          <w:p w:rsidRPr="0050415A" w:rsidR="00C160D0" w:rsidP="00FE0398" w:rsidRDefault="00AC1D60" w14:paraId="799D6CE8" w14:textId="32A072FA">
            <w:r>
              <w:t>$52.40</w:t>
            </w:r>
          </w:p>
        </w:tc>
        <w:tc>
          <w:tcPr>
            <w:tcW w:w="1874" w:type="dxa"/>
          </w:tcPr>
          <w:p w:rsidRPr="0050415A" w:rsidR="00C160D0" w:rsidP="00FE0398" w:rsidRDefault="00AC1D60" w14:paraId="2767FE2A" w14:textId="6A0D81E9">
            <w:r>
              <w:t>$10,480</w:t>
            </w:r>
          </w:p>
        </w:tc>
      </w:tr>
      <w:tr w:rsidRPr="0050415A" w:rsidR="00C160D0" w:rsidTr="00AC1D60" w14:paraId="08FB5AF6" w14:textId="77777777">
        <w:tc>
          <w:tcPr>
            <w:tcW w:w="2477" w:type="dxa"/>
          </w:tcPr>
          <w:p w:rsidRPr="0050415A" w:rsidR="00C160D0" w:rsidP="00FE0398" w:rsidRDefault="00C160D0" w14:paraId="7C215A4D" w14:textId="2907B343">
            <w:r w:rsidRPr="0050415A">
              <w:t>CDC Investigation Coordinator</w:t>
            </w:r>
            <w:r w:rsidRPr="0050415A" w:rsidR="006A777C">
              <w:t xml:space="preserve"> (GS-14)</w:t>
            </w:r>
          </w:p>
        </w:tc>
        <w:tc>
          <w:tcPr>
            <w:tcW w:w="1929" w:type="dxa"/>
          </w:tcPr>
          <w:p w:rsidRPr="0050415A" w:rsidR="00C160D0" w:rsidP="00FE0398" w:rsidRDefault="0050415A" w14:paraId="26922FD0" w14:textId="712FA8B9">
            <w:r>
              <w:t>1</w:t>
            </w:r>
          </w:p>
        </w:tc>
        <w:tc>
          <w:tcPr>
            <w:tcW w:w="1929" w:type="dxa"/>
          </w:tcPr>
          <w:p w:rsidRPr="0050415A" w:rsidR="00C160D0" w:rsidP="00FE0398" w:rsidRDefault="00AC1D60" w14:paraId="51411182" w14:textId="46F9DC9C">
            <w:r>
              <w:t>700</w:t>
            </w:r>
          </w:p>
        </w:tc>
        <w:tc>
          <w:tcPr>
            <w:tcW w:w="1861" w:type="dxa"/>
          </w:tcPr>
          <w:p w:rsidRPr="0050415A" w:rsidR="00C160D0" w:rsidP="00FE0398" w:rsidRDefault="00AC1D60" w14:paraId="484984FD" w14:textId="07E7FC6A">
            <w:r>
              <w:t>$44.55</w:t>
            </w:r>
          </w:p>
        </w:tc>
        <w:tc>
          <w:tcPr>
            <w:tcW w:w="1874" w:type="dxa"/>
          </w:tcPr>
          <w:p w:rsidRPr="0050415A" w:rsidR="00C160D0" w:rsidP="00FE0398" w:rsidRDefault="00AC1D60" w14:paraId="477FB2CE" w14:textId="31D9CC68">
            <w:r>
              <w:t>$31,185</w:t>
            </w:r>
          </w:p>
        </w:tc>
      </w:tr>
      <w:tr w:rsidRPr="0050415A" w:rsidR="00C160D0" w:rsidTr="00AC1D60" w14:paraId="002E8215" w14:textId="77777777">
        <w:tc>
          <w:tcPr>
            <w:tcW w:w="2477" w:type="dxa"/>
          </w:tcPr>
          <w:p w:rsidRPr="0050415A" w:rsidR="00C160D0" w:rsidP="00FE0398" w:rsidRDefault="00C160D0" w14:paraId="1E5C25B8" w14:textId="1471D220">
            <w:r w:rsidRPr="0050415A">
              <w:t>Analyst</w:t>
            </w:r>
            <w:r w:rsidRPr="0050415A" w:rsidR="006A777C">
              <w:t xml:space="preserve"> (GS-13)</w:t>
            </w:r>
          </w:p>
        </w:tc>
        <w:tc>
          <w:tcPr>
            <w:tcW w:w="1929" w:type="dxa"/>
          </w:tcPr>
          <w:p w:rsidRPr="0050415A" w:rsidR="00C160D0" w:rsidP="00FE0398" w:rsidRDefault="0050415A" w14:paraId="501FC70E" w14:textId="7D0D98F5">
            <w:r>
              <w:t>2</w:t>
            </w:r>
          </w:p>
        </w:tc>
        <w:tc>
          <w:tcPr>
            <w:tcW w:w="1929" w:type="dxa"/>
          </w:tcPr>
          <w:p w:rsidRPr="0050415A" w:rsidR="00C160D0" w:rsidP="00FE0398" w:rsidRDefault="00AC1D60" w14:paraId="6E243B4D" w14:textId="1517442A">
            <w:r>
              <w:t>700</w:t>
            </w:r>
          </w:p>
        </w:tc>
        <w:tc>
          <w:tcPr>
            <w:tcW w:w="1861" w:type="dxa"/>
          </w:tcPr>
          <w:p w:rsidRPr="0050415A" w:rsidR="00C160D0" w:rsidP="00FE0398" w:rsidRDefault="00AC1D60" w14:paraId="7F03E34B" w14:textId="0BE76FEA">
            <w:r>
              <w:t>$37.70</w:t>
            </w:r>
          </w:p>
        </w:tc>
        <w:tc>
          <w:tcPr>
            <w:tcW w:w="1874" w:type="dxa"/>
          </w:tcPr>
          <w:p w:rsidRPr="0050415A" w:rsidR="00C160D0" w:rsidP="00FE0398" w:rsidRDefault="00AC1D60" w14:paraId="5333AADB" w14:textId="03501A14">
            <w:r>
              <w:t>$26,390</w:t>
            </w:r>
          </w:p>
        </w:tc>
      </w:tr>
      <w:tr w:rsidRPr="0050415A" w:rsidR="006A777C" w:rsidTr="00AC1D60" w14:paraId="1DA4B457" w14:textId="77777777">
        <w:tc>
          <w:tcPr>
            <w:tcW w:w="2477" w:type="dxa"/>
          </w:tcPr>
          <w:p w:rsidRPr="0050415A" w:rsidR="006A777C" w:rsidP="00FE0398" w:rsidRDefault="006A777C" w14:paraId="669D0570" w14:textId="574D118D">
            <w:r w:rsidRPr="0050415A">
              <w:t>Data Manager (GS-13)</w:t>
            </w:r>
          </w:p>
        </w:tc>
        <w:tc>
          <w:tcPr>
            <w:tcW w:w="1929" w:type="dxa"/>
          </w:tcPr>
          <w:p w:rsidRPr="0050415A" w:rsidR="006A777C" w:rsidP="00FE0398" w:rsidRDefault="0050415A" w14:paraId="30E67AB9" w14:textId="7C8C08EF">
            <w:r>
              <w:t>2</w:t>
            </w:r>
          </w:p>
        </w:tc>
        <w:tc>
          <w:tcPr>
            <w:tcW w:w="1929" w:type="dxa"/>
          </w:tcPr>
          <w:p w:rsidRPr="0050415A" w:rsidR="006A777C" w:rsidP="00FE0398" w:rsidRDefault="00AC1D60" w14:paraId="14FEC74D" w14:textId="41AD2407">
            <w:r>
              <w:t>700</w:t>
            </w:r>
          </w:p>
        </w:tc>
        <w:tc>
          <w:tcPr>
            <w:tcW w:w="1861" w:type="dxa"/>
          </w:tcPr>
          <w:p w:rsidRPr="0050415A" w:rsidR="006A777C" w:rsidP="00FE0398" w:rsidRDefault="00AC1D60" w14:paraId="0D30A261" w14:textId="54DA3753">
            <w:r>
              <w:t>$37.70</w:t>
            </w:r>
          </w:p>
        </w:tc>
        <w:tc>
          <w:tcPr>
            <w:tcW w:w="1874" w:type="dxa"/>
          </w:tcPr>
          <w:p w:rsidRPr="0050415A" w:rsidR="006A777C" w:rsidP="00FE0398" w:rsidRDefault="00AC1D60" w14:paraId="1DD208B4" w14:textId="6EE0DFF4">
            <w:r>
              <w:t>$26,390</w:t>
            </w:r>
          </w:p>
        </w:tc>
      </w:tr>
      <w:tr w:rsidRPr="0050415A" w:rsidR="006A777C" w:rsidTr="00AC1D60" w14:paraId="0181AC73" w14:textId="77777777">
        <w:tc>
          <w:tcPr>
            <w:tcW w:w="2477" w:type="dxa"/>
          </w:tcPr>
          <w:p w:rsidRPr="0050415A" w:rsidR="006A777C" w:rsidP="00FE0398" w:rsidRDefault="006A777C" w14:paraId="0CCAE1C2" w14:textId="78A58BA4">
            <w:r w:rsidRPr="0050415A">
              <w:t>Communicator (GS-13)</w:t>
            </w:r>
          </w:p>
        </w:tc>
        <w:tc>
          <w:tcPr>
            <w:tcW w:w="1929" w:type="dxa"/>
          </w:tcPr>
          <w:p w:rsidRPr="0050415A" w:rsidR="006A777C" w:rsidP="00FE0398" w:rsidRDefault="0050415A" w14:paraId="5E43777D" w14:textId="28EA339F">
            <w:r>
              <w:t>1</w:t>
            </w:r>
          </w:p>
        </w:tc>
        <w:tc>
          <w:tcPr>
            <w:tcW w:w="1929" w:type="dxa"/>
          </w:tcPr>
          <w:p w:rsidRPr="0050415A" w:rsidR="006A777C" w:rsidP="00FE0398" w:rsidRDefault="00AC1D60" w14:paraId="5D4BD019" w14:textId="3182B1A2">
            <w:r>
              <w:t>500</w:t>
            </w:r>
          </w:p>
        </w:tc>
        <w:tc>
          <w:tcPr>
            <w:tcW w:w="1861" w:type="dxa"/>
          </w:tcPr>
          <w:p w:rsidRPr="0050415A" w:rsidR="006A777C" w:rsidP="00FE0398" w:rsidRDefault="00AC1D60" w14:paraId="407B392E" w14:textId="29F69FC1">
            <w:r>
              <w:t>$37.70</w:t>
            </w:r>
          </w:p>
        </w:tc>
        <w:tc>
          <w:tcPr>
            <w:tcW w:w="1874" w:type="dxa"/>
          </w:tcPr>
          <w:p w:rsidRPr="0050415A" w:rsidR="006A777C" w:rsidP="00FE0398" w:rsidRDefault="00AC1D60" w14:paraId="524D7B57" w14:textId="23E22D7B">
            <w:r>
              <w:t>$18,850</w:t>
            </w:r>
          </w:p>
        </w:tc>
      </w:tr>
      <w:tr w:rsidRPr="0050415A" w:rsidR="00916C09" w:rsidTr="00AC1D60" w14:paraId="69601F8A" w14:textId="77777777">
        <w:tc>
          <w:tcPr>
            <w:tcW w:w="2477" w:type="dxa"/>
          </w:tcPr>
          <w:p w:rsidRPr="0050415A" w:rsidR="00916C09" w:rsidP="00FE0398" w:rsidRDefault="00916C09" w14:paraId="63AA8FF7" w14:textId="5BBDC31E">
            <w:r>
              <w:t>Field Supervisor (GS-12)</w:t>
            </w:r>
          </w:p>
        </w:tc>
        <w:tc>
          <w:tcPr>
            <w:tcW w:w="1929" w:type="dxa"/>
          </w:tcPr>
          <w:p w:rsidR="00916C09" w:rsidP="00FE0398" w:rsidRDefault="00916C09" w14:paraId="2161D9A3" w14:textId="233023AD">
            <w:r>
              <w:t>15</w:t>
            </w:r>
          </w:p>
        </w:tc>
        <w:tc>
          <w:tcPr>
            <w:tcW w:w="1929" w:type="dxa"/>
          </w:tcPr>
          <w:p w:rsidR="00916C09" w:rsidP="00FE0398" w:rsidRDefault="00916C09" w14:paraId="41E71310" w14:textId="7F4F711C">
            <w:r>
              <w:t>60</w:t>
            </w:r>
          </w:p>
        </w:tc>
        <w:tc>
          <w:tcPr>
            <w:tcW w:w="1861" w:type="dxa"/>
          </w:tcPr>
          <w:p w:rsidR="00916C09" w:rsidP="00FE0398" w:rsidRDefault="00916C09" w14:paraId="58D32647" w14:textId="7F361B97">
            <w:r>
              <w:t>$31.70</w:t>
            </w:r>
          </w:p>
        </w:tc>
        <w:tc>
          <w:tcPr>
            <w:tcW w:w="1874" w:type="dxa"/>
          </w:tcPr>
          <w:p w:rsidR="00916C09" w:rsidP="00FE0398" w:rsidRDefault="00916C09" w14:paraId="377046FD" w14:textId="7FFF2F1A">
            <w:r>
              <w:t>$1,997.10</w:t>
            </w:r>
          </w:p>
        </w:tc>
      </w:tr>
      <w:tr w:rsidR="006A777C" w:rsidTr="00AC1D60" w14:paraId="2C30CECE" w14:textId="77777777">
        <w:tc>
          <w:tcPr>
            <w:tcW w:w="2477" w:type="dxa"/>
          </w:tcPr>
          <w:p w:rsidRPr="0050415A" w:rsidR="006A777C" w:rsidP="00FE0398" w:rsidRDefault="006A777C" w14:paraId="1A49A105" w14:textId="0F0494BA">
            <w:r w:rsidRPr="0050415A">
              <w:t>Contract Costs</w:t>
            </w:r>
          </w:p>
        </w:tc>
        <w:tc>
          <w:tcPr>
            <w:tcW w:w="1929" w:type="dxa"/>
          </w:tcPr>
          <w:p w:rsidRPr="0050415A" w:rsidR="006A777C" w:rsidP="00FE0398" w:rsidRDefault="006A777C" w14:paraId="15B3093F" w14:textId="70EBA816">
            <w:r w:rsidRPr="0050415A">
              <w:t>NA</w:t>
            </w:r>
          </w:p>
        </w:tc>
        <w:tc>
          <w:tcPr>
            <w:tcW w:w="1929" w:type="dxa"/>
          </w:tcPr>
          <w:p w:rsidRPr="0050415A" w:rsidR="006A777C" w:rsidP="00FE0398" w:rsidRDefault="006A777C" w14:paraId="107673DB" w14:textId="57E0CDB4">
            <w:r w:rsidRPr="0050415A">
              <w:t>NA</w:t>
            </w:r>
          </w:p>
        </w:tc>
        <w:tc>
          <w:tcPr>
            <w:tcW w:w="1861" w:type="dxa"/>
          </w:tcPr>
          <w:p w:rsidRPr="0050415A" w:rsidR="006A777C" w:rsidP="00FE0398" w:rsidRDefault="006A777C" w14:paraId="2B47545A" w14:textId="4BCD6433">
            <w:r w:rsidRPr="0050415A">
              <w:t>NA</w:t>
            </w:r>
          </w:p>
        </w:tc>
        <w:tc>
          <w:tcPr>
            <w:tcW w:w="1874" w:type="dxa"/>
          </w:tcPr>
          <w:p w:rsidRPr="0050415A" w:rsidR="006A777C" w:rsidP="00FE0398" w:rsidRDefault="006A777C" w14:paraId="6A7BD895" w14:textId="59922CD0">
            <w:r w:rsidRPr="0050415A">
              <w:t>$110,000</w:t>
            </w:r>
          </w:p>
        </w:tc>
      </w:tr>
      <w:tr w:rsidR="00AC1D60" w:rsidTr="00AC1D60" w14:paraId="55FBE3DD" w14:textId="77777777">
        <w:tc>
          <w:tcPr>
            <w:tcW w:w="8196" w:type="dxa"/>
            <w:gridSpan w:val="4"/>
          </w:tcPr>
          <w:p w:rsidRPr="0050415A" w:rsidR="00AC1D60" w:rsidP="00AC1D60" w:rsidRDefault="00AC1D60" w14:paraId="4141A735" w14:textId="4DA1A983">
            <w:pPr>
              <w:jc w:val="right"/>
            </w:pPr>
            <w:r>
              <w:t>Total Cost</w:t>
            </w:r>
            <w:r w:rsidR="00123A9D">
              <w:t xml:space="preserve"> per Investigation</w:t>
            </w:r>
          </w:p>
        </w:tc>
        <w:tc>
          <w:tcPr>
            <w:tcW w:w="1874" w:type="dxa"/>
          </w:tcPr>
          <w:p w:rsidRPr="0050415A" w:rsidR="00AC1D60" w:rsidP="00FE0398" w:rsidRDefault="00AC1D60" w14:paraId="0EB878B8" w14:textId="489024D7">
            <w:r>
              <w:t>$22</w:t>
            </w:r>
            <w:r w:rsidR="00916C09">
              <w:t>5</w:t>
            </w:r>
            <w:r>
              <w:t>,29</w:t>
            </w:r>
            <w:r w:rsidR="00916C09">
              <w:t>2.10</w:t>
            </w:r>
          </w:p>
        </w:tc>
      </w:tr>
      <w:tr w:rsidR="00123A9D" w:rsidTr="00AC1D60" w14:paraId="69334EC7" w14:textId="77777777">
        <w:tc>
          <w:tcPr>
            <w:tcW w:w="8196" w:type="dxa"/>
            <w:gridSpan w:val="4"/>
          </w:tcPr>
          <w:p w:rsidR="00123A9D" w:rsidP="00AC1D60" w:rsidRDefault="00123A9D" w14:paraId="46800A79" w14:textId="355B5AD9">
            <w:pPr>
              <w:jc w:val="right"/>
            </w:pPr>
            <w:r>
              <w:t>Total Cost</w:t>
            </w:r>
          </w:p>
        </w:tc>
        <w:tc>
          <w:tcPr>
            <w:tcW w:w="1874" w:type="dxa"/>
          </w:tcPr>
          <w:p w:rsidR="00123A9D" w:rsidP="00FE0398" w:rsidRDefault="00123A9D" w14:paraId="391EAF2E" w14:textId="744B8594">
            <w:r>
              <w:t>$901,168.40</w:t>
            </w:r>
          </w:p>
        </w:tc>
      </w:tr>
      <w:tr w:rsidR="00916C09" w:rsidTr="004714DB" w14:paraId="1DA0C1CE" w14:textId="77777777">
        <w:tc>
          <w:tcPr>
            <w:tcW w:w="10070" w:type="dxa"/>
            <w:gridSpan w:val="5"/>
          </w:tcPr>
          <w:p w:rsidRPr="00916C09" w:rsidR="00916C09" w:rsidP="00916C09" w:rsidRDefault="00916C09" w14:paraId="1C41A697" w14:textId="69624002">
            <w:pPr>
              <w:jc w:val="right"/>
              <w:rPr>
                <w:sz w:val="20"/>
                <w:szCs w:val="20"/>
              </w:rPr>
            </w:pPr>
            <w:r w:rsidRPr="00916C09">
              <w:rPr>
                <w:sz w:val="20"/>
                <w:szCs w:val="20"/>
              </w:rPr>
              <w:t>https://www.opm.gov/policy-data-oversight/pay-leave/salaries-wages/2020/general-schedule/</w:t>
            </w:r>
          </w:p>
        </w:tc>
      </w:tr>
    </w:tbl>
    <w:p w:rsidR="004A13E8" w:rsidP="0025156B" w:rsidRDefault="004A13E8" w14:paraId="55FE1810" w14:textId="6BADE830">
      <w:pPr>
        <w:pStyle w:val="Heading1"/>
        <w:spacing w:before="240"/>
      </w:pPr>
      <w:bookmarkStart w:name="_Toc473880031" w:id="20"/>
      <w:bookmarkStart w:name="_GoBack" w:id="21"/>
      <w:bookmarkEnd w:id="21"/>
      <w:r>
        <w:t>Explanation for Program Changes or Adjustments</w:t>
      </w:r>
      <w:bookmarkEnd w:id="20"/>
    </w:p>
    <w:p w:rsidRPr="004A13E8" w:rsidR="004A13E8" w:rsidP="004A13E8" w:rsidRDefault="006207FA" w14:paraId="55FE1811" w14:textId="693466EA">
      <w:r>
        <w:t>This is a new</w:t>
      </w:r>
      <w:r w:rsidR="00C160D0">
        <w:t xml:space="preserve"> emergency</w:t>
      </w:r>
      <w:r>
        <w:t xml:space="preserve"> information collection request.</w:t>
      </w:r>
    </w:p>
    <w:p w:rsidR="004A13E8" w:rsidP="004A13E8" w:rsidRDefault="004A13E8" w14:paraId="55FE1812" w14:textId="77777777">
      <w:pPr>
        <w:pStyle w:val="Heading1"/>
      </w:pPr>
      <w:bookmarkStart w:name="_Toc473880032" w:id="22"/>
      <w:r>
        <w:t>Plans for Tabulation and Publication and Project Time Schedule</w:t>
      </w:r>
      <w:bookmarkEnd w:id="22"/>
    </w:p>
    <w:p w:rsidRPr="0010359D" w:rsidR="008F1415" w:rsidP="00293BFC" w:rsidRDefault="00926E0D" w14:paraId="55FE1813" w14:textId="3B3EE85D">
      <w:pPr>
        <w:spacing w:before="240" w:line="234" w:lineRule="auto"/>
        <w:rPr>
          <w:rFonts w:cs="Times New Roman"/>
          <w:szCs w:val="24"/>
        </w:rPr>
      </w:pPr>
      <w:r w:rsidRPr="001F049B">
        <w:rPr>
          <w:rFonts w:cs="Times New Roman"/>
          <w:szCs w:val="24"/>
        </w:rPr>
        <w:t>Estimated dates for implementing and completing key activities.</w:t>
      </w:r>
    </w:p>
    <w:tbl>
      <w:tblPr>
        <w:tblStyle w:val="TableGrid1"/>
        <w:tblW w:w="8093" w:type="dxa"/>
        <w:tblLayout w:type="fixed"/>
        <w:tblLook w:val="04A0" w:firstRow="1" w:lastRow="0" w:firstColumn="1" w:lastColumn="0" w:noHBand="0" w:noVBand="1"/>
      </w:tblPr>
      <w:tblGrid>
        <w:gridCol w:w="3983"/>
        <w:gridCol w:w="645"/>
        <w:gridCol w:w="645"/>
        <w:gridCol w:w="645"/>
        <w:gridCol w:w="645"/>
        <w:gridCol w:w="645"/>
        <w:gridCol w:w="595"/>
        <w:gridCol w:w="290"/>
      </w:tblGrid>
      <w:tr w:rsidRPr="001F049B" w:rsidR="001C2497" w:rsidTr="00277799" w14:paraId="43F511A8" w14:textId="77777777">
        <w:trPr>
          <w:gridAfter w:val="1"/>
          <w:wAfter w:w="290" w:type="dxa"/>
          <w:trHeight w:val="257"/>
        </w:trPr>
        <w:tc>
          <w:tcPr>
            <w:tcW w:w="3983" w:type="dxa"/>
            <w:vMerge w:val="restart"/>
            <w:vAlign w:val="bottom"/>
          </w:tcPr>
          <w:p w:rsidRPr="001F049B" w:rsidR="001C2497" w:rsidP="003A6A42" w:rsidRDefault="001C2497" w14:paraId="67F6F2C5" w14:textId="77777777">
            <w:pPr>
              <w:rPr>
                <w:rFonts w:cs="Times New Roman"/>
                <w:b/>
                <w:sz w:val="20"/>
                <w:szCs w:val="20"/>
              </w:rPr>
            </w:pPr>
          </w:p>
        </w:tc>
        <w:tc>
          <w:tcPr>
            <w:tcW w:w="3820" w:type="dxa"/>
            <w:gridSpan w:val="6"/>
          </w:tcPr>
          <w:p w:rsidRPr="001F049B" w:rsidR="001C2497" w:rsidP="003A6A42" w:rsidRDefault="00EB2455" w14:paraId="07CC4EBB" w14:textId="1A5CFF4B">
            <w:pPr>
              <w:jc w:val="center"/>
              <w:rPr>
                <w:rFonts w:cs="Times New Roman"/>
                <w:b/>
                <w:sz w:val="20"/>
                <w:szCs w:val="20"/>
              </w:rPr>
            </w:pPr>
            <w:r>
              <w:rPr>
                <w:rFonts w:cs="Times New Roman"/>
                <w:b/>
                <w:sz w:val="20"/>
                <w:szCs w:val="20"/>
              </w:rPr>
              <w:t>Investigation</w:t>
            </w:r>
            <w:r w:rsidRPr="001F049B">
              <w:rPr>
                <w:rFonts w:cs="Times New Roman"/>
                <w:b/>
                <w:sz w:val="20"/>
                <w:szCs w:val="20"/>
              </w:rPr>
              <w:t xml:space="preserve"> </w:t>
            </w:r>
            <w:r w:rsidRPr="001F049B" w:rsidR="001C2497">
              <w:rPr>
                <w:rFonts w:cs="Times New Roman"/>
                <w:b/>
                <w:sz w:val="20"/>
                <w:szCs w:val="20"/>
              </w:rPr>
              <w:t>Timeline in Months</w:t>
            </w:r>
          </w:p>
        </w:tc>
      </w:tr>
      <w:tr w:rsidRPr="001F049B" w:rsidR="00DD314B" w:rsidTr="00277799" w14:paraId="519407CF" w14:textId="77777777">
        <w:trPr>
          <w:trHeight w:val="274"/>
        </w:trPr>
        <w:tc>
          <w:tcPr>
            <w:tcW w:w="3983" w:type="dxa"/>
            <w:vMerge/>
          </w:tcPr>
          <w:p w:rsidRPr="001F049B" w:rsidR="00DD314B" w:rsidP="003A6A42" w:rsidRDefault="00DD314B" w14:paraId="2BB33CF0" w14:textId="77777777">
            <w:pPr>
              <w:rPr>
                <w:rFonts w:cs="Times New Roman"/>
                <w:sz w:val="20"/>
                <w:szCs w:val="20"/>
              </w:rPr>
            </w:pPr>
          </w:p>
        </w:tc>
        <w:tc>
          <w:tcPr>
            <w:tcW w:w="645" w:type="dxa"/>
          </w:tcPr>
          <w:p w:rsidRPr="001F049B" w:rsidR="00DD314B" w:rsidP="003A6A42" w:rsidRDefault="00DD314B" w14:paraId="1635940A" w14:textId="77777777">
            <w:pPr>
              <w:jc w:val="center"/>
              <w:rPr>
                <w:rFonts w:cs="Times New Roman"/>
                <w:sz w:val="20"/>
                <w:szCs w:val="20"/>
              </w:rPr>
            </w:pPr>
            <w:r w:rsidRPr="001F049B">
              <w:rPr>
                <w:rFonts w:cs="Times New Roman"/>
                <w:sz w:val="20"/>
                <w:szCs w:val="20"/>
              </w:rPr>
              <w:t>1</w:t>
            </w:r>
          </w:p>
        </w:tc>
        <w:tc>
          <w:tcPr>
            <w:tcW w:w="645" w:type="dxa"/>
          </w:tcPr>
          <w:p w:rsidRPr="001F049B" w:rsidR="00DD314B" w:rsidP="003A6A42" w:rsidRDefault="00DD314B" w14:paraId="207CF6BC" w14:textId="77777777">
            <w:pPr>
              <w:jc w:val="center"/>
              <w:rPr>
                <w:rFonts w:cs="Times New Roman"/>
                <w:sz w:val="20"/>
                <w:szCs w:val="20"/>
              </w:rPr>
            </w:pPr>
            <w:r w:rsidRPr="001F049B">
              <w:rPr>
                <w:rFonts w:cs="Times New Roman"/>
                <w:sz w:val="20"/>
                <w:szCs w:val="20"/>
              </w:rPr>
              <w:t>2</w:t>
            </w:r>
          </w:p>
        </w:tc>
        <w:tc>
          <w:tcPr>
            <w:tcW w:w="645" w:type="dxa"/>
          </w:tcPr>
          <w:p w:rsidRPr="001F049B" w:rsidR="00DD314B" w:rsidP="003A6A42" w:rsidRDefault="00DD314B" w14:paraId="75125F7D" w14:textId="77777777">
            <w:pPr>
              <w:jc w:val="center"/>
              <w:rPr>
                <w:rFonts w:cs="Times New Roman"/>
                <w:sz w:val="20"/>
                <w:szCs w:val="20"/>
              </w:rPr>
            </w:pPr>
            <w:r w:rsidRPr="001F049B">
              <w:rPr>
                <w:rFonts w:cs="Times New Roman"/>
                <w:sz w:val="20"/>
                <w:szCs w:val="20"/>
              </w:rPr>
              <w:t>3</w:t>
            </w:r>
          </w:p>
        </w:tc>
        <w:tc>
          <w:tcPr>
            <w:tcW w:w="645" w:type="dxa"/>
          </w:tcPr>
          <w:p w:rsidRPr="001F049B" w:rsidR="00DD314B" w:rsidP="003A6A42" w:rsidRDefault="00DD314B" w14:paraId="5CE62C67" w14:textId="77777777">
            <w:pPr>
              <w:jc w:val="center"/>
              <w:rPr>
                <w:rFonts w:cs="Times New Roman"/>
                <w:sz w:val="20"/>
                <w:szCs w:val="20"/>
              </w:rPr>
            </w:pPr>
            <w:r w:rsidRPr="001F049B">
              <w:rPr>
                <w:rFonts w:cs="Times New Roman"/>
                <w:sz w:val="20"/>
                <w:szCs w:val="20"/>
              </w:rPr>
              <w:t>4</w:t>
            </w:r>
          </w:p>
        </w:tc>
        <w:tc>
          <w:tcPr>
            <w:tcW w:w="645" w:type="dxa"/>
          </w:tcPr>
          <w:p w:rsidRPr="001F049B" w:rsidR="00DD314B" w:rsidP="003A6A42" w:rsidRDefault="00DD314B" w14:paraId="05425E23" w14:textId="77777777">
            <w:pPr>
              <w:jc w:val="center"/>
              <w:rPr>
                <w:rFonts w:cs="Times New Roman"/>
                <w:sz w:val="20"/>
                <w:szCs w:val="20"/>
              </w:rPr>
            </w:pPr>
            <w:r w:rsidRPr="001F049B">
              <w:rPr>
                <w:rFonts w:cs="Times New Roman"/>
                <w:sz w:val="20"/>
                <w:szCs w:val="20"/>
              </w:rPr>
              <w:t>5</w:t>
            </w:r>
          </w:p>
        </w:tc>
        <w:tc>
          <w:tcPr>
            <w:tcW w:w="595" w:type="dxa"/>
          </w:tcPr>
          <w:p w:rsidRPr="001F049B" w:rsidR="00DD314B" w:rsidP="003A6A42" w:rsidRDefault="00DD314B" w14:paraId="5E221BB6" w14:textId="77777777">
            <w:pPr>
              <w:jc w:val="center"/>
              <w:rPr>
                <w:rFonts w:cs="Times New Roman"/>
                <w:sz w:val="20"/>
                <w:szCs w:val="20"/>
              </w:rPr>
            </w:pPr>
            <w:r w:rsidRPr="001F049B">
              <w:rPr>
                <w:rFonts w:cs="Times New Roman"/>
                <w:sz w:val="20"/>
                <w:szCs w:val="20"/>
              </w:rPr>
              <w:t>6</w:t>
            </w:r>
          </w:p>
        </w:tc>
        <w:tc>
          <w:tcPr>
            <w:tcW w:w="290" w:type="dxa"/>
            <w:vMerge w:val="restart"/>
          </w:tcPr>
          <w:p w:rsidRPr="001F049B" w:rsidR="00DD314B" w:rsidP="003A6A42" w:rsidRDefault="00DD314B" w14:paraId="47137C4A" w14:textId="7F5D9657">
            <w:pPr>
              <w:jc w:val="center"/>
              <w:rPr>
                <w:rFonts w:cs="Times New Roman"/>
                <w:sz w:val="20"/>
                <w:szCs w:val="20"/>
              </w:rPr>
            </w:pPr>
          </w:p>
        </w:tc>
      </w:tr>
      <w:tr w:rsidRPr="001F049B" w:rsidR="00DD314B" w:rsidTr="00277799" w14:paraId="284FA02D" w14:textId="77777777">
        <w:trPr>
          <w:trHeight w:val="257"/>
        </w:trPr>
        <w:tc>
          <w:tcPr>
            <w:tcW w:w="3983" w:type="dxa"/>
          </w:tcPr>
          <w:p w:rsidRPr="001F049B" w:rsidR="00DD314B" w:rsidP="003A6A42" w:rsidRDefault="00DD314B" w14:paraId="1A2BBC1D" w14:textId="77777777">
            <w:pPr>
              <w:rPr>
                <w:rFonts w:cs="Times New Roman"/>
                <w:sz w:val="20"/>
                <w:szCs w:val="20"/>
              </w:rPr>
            </w:pPr>
            <w:r w:rsidRPr="001F049B">
              <w:rPr>
                <w:rFonts w:cs="Times New Roman"/>
                <w:sz w:val="20"/>
                <w:szCs w:val="20"/>
              </w:rPr>
              <w:t>Investigator Coordination Meeting</w:t>
            </w:r>
          </w:p>
        </w:tc>
        <w:tc>
          <w:tcPr>
            <w:tcW w:w="645" w:type="dxa"/>
          </w:tcPr>
          <w:p w:rsidRPr="001F049B" w:rsidR="00DD314B" w:rsidP="003A6A42" w:rsidRDefault="00DD314B" w14:paraId="1ADC728A" w14:textId="77777777">
            <w:pPr>
              <w:jc w:val="center"/>
              <w:rPr>
                <w:rFonts w:cs="Times New Roman"/>
                <w:b/>
                <w:sz w:val="20"/>
                <w:szCs w:val="20"/>
              </w:rPr>
            </w:pPr>
            <w:r w:rsidRPr="001F049B">
              <w:rPr>
                <w:rFonts w:cs="Times New Roman"/>
                <w:b/>
                <w:sz w:val="20"/>
                <w:szCs w:val="20"/>
              </w:rPr>
              <w:t>X</w:t>
            </w:r>
          </w:p>
        </w:tc>
        <w:tc>
          <w:tcPr>
            <w:tcW w:w="645" w:type="dxa"/>
          </w:tcPr>
          <w:p w:rsidRPr="001F049B" w:rsidR="00DD314B" w:rsidP="003A6A42" w:rsidRDefault="00DD314B" w14:paraId="1622CEFC" w14:textId="77777777">
            <w:pPr>
              <w:jc w:val="center"/>
              <w:rPr>
                <w:rFonts w:cs="Times New Roman"/>
                <w:b/>
                <w:sz w:val="20"/>
                <w:szCs w:val="20"/>
              </w:rPr>
            </w:pPr>
          </w:p>
        </w:tc>
        <w:tc>
          <w:tcPr>
            <w:tcW w:w="645" w:type="dxa"/>
          </w:tcPr>
          <w:p w:rsidRPr="001F049B" w:rsidR="00DD314B" w:rsidP="003A6A42" w:rsidRDefault="00DD314B" w14:paraId="506B4B86" w14:textId="77777777">
            <w:pPr>
              <w:jc w:val="center"/>
              <w:rPr>
                <w:rFonts w:cs="Times New Roman"/>
                <w:b/>
                <w:sz w:val="20"/>
                <w:szCs w:val="20"/>
              </w:rPr>
            </w:pPr>
          </w:p>
        </w:tc>
        <w:tc>
          <w:tcPr>
            <w:tcW w:w="645" w:type="dxa"/>
          </w:tcPr>
          <w:p w:rsidRPr="001F049B" w:rsidR="00DD314B" w:rsidP="003A6A42" w:rsidRDefault="00DD314B" w14:paraId="3F3D3370" w14:textId="77777777">
            <w:pPr>
              <w:jc w:val="center"/>
              <w:rPr>
                <w:rFonts w:cs="Times New Roman"/>
                <w:b/>
                <w:sz w:val="20"/>
                <w:szCs w:val="20"/>
              </w:rPr>
            </w:pPr>
          </w:p>
        </w:tc>
        <w:tc>
          <w:tcPr>
            <w:tcW w:w="645" w:type="dxa"/>
          </w:tcPr>
          <w:p w:rsidRPr="001F049B" w:rsidR="00DD314B" w:rsidP="003A6A42" w:rsidRDefault="00DD314B" w14:paraId="29EB2EC6" w14:textId="77777777">
            <w:pPr>
              <w:jc w:val="center"/>
              <w:rPr>
                <w:rFonts w:cs="Times New Roman"/>
                <w:b/>
                <w:sz w:val="20"/>
                <w:szCs w:val="20"/>
              </w:rPr>
            </w:pPr>
          </w:p>
        </w:tc>
        <w:tc>
          <w:tcPr>
            <w:tcW w:w="595" w:type="dxa"/>
          </w:tcPr>
          <w:p w:rsidRPr="001F049B" w:rsidR="00DD314B" w:rsidP="003A6A42" w:rsidRDefault="00DD314B" w14:paraId="3E6E28AA" w14:textId="77777777">
            <w:pPr>
              <w:jc w:val="center"/>
              <w:rPr>
                <w:rFonts w:cs="Times New Roman"/>
                <w:b/>
                <w:sz w:val="20"/>
                <w:szCs w:val="20"/>
              </w:rPr>
            </w:pPr>
          </w:p>
        </w:tc>
        <w:tc>
          <w:tcPr>
            <w:tcW w:w="290" w:type="dxa"/>
            <w:vMerge/>
          </w:tcPr>
          <w:p w:rsidRPr="001F049B" w:rsidR="00DD314B" w:rsidP="003A6A42" w:rsidRDefault="00DD314B" w14:paraId="44D48719" w14:textId="77777777">
            <w:pPr>
              <w:jc w:val="center"/>
              <w:rPr>
                <w:rFonts w:cs="Times New Roman"/>
                <w:b/>
                <w:sz w:val="20"/>
                <w:szCs w:val="20"/>
              </w:rPr>
            </w:pPr>
          </w:p>
        </w:tc>
      </w:tr>
      <w:tr w:rsidRPr="001F049B" w:rsidR="00DD314B" w:rsidTr="00277799" w14:paraId="41E81B5C" w14:textId="77777777">
        <w:trPr>
          <w:trHeight w:val="257"/>
        </w:trPr>
        <w:tc>
          <w:tcPr>
            <w:tcW w:w="3983" w:type="dxa"/>
          </w:tcPr>
          <w:p w:rsidRPr="001F049B" w:rsidR="00DD314B" w:rsidP="003A6A42" w:rsidRDefault="00DD314B" w14:paraId="11C0ACE0" w14:textId="77777777">
            <w:pPr>
              <w:rPr>
                <w:rFonts w:cs="Times New Roman"/>
                <w:sz w:val="20"/>
                <w:szCs w:val="20"/>
              </w:rPr>
            </w:pPr>
            <w:r w:rsidRPr="001F049B">
              <w:rPr>
                <w:rFonts w:cs="Times New Roman"/>
                <w:sz w:val="20"/>
                <w:szCs w:val="20"/>
              </w:rPr>
              <w:t>Questionnaire Development</w:t>
            </w:r>
          </w:p>
        </w:tc>
        <w:tc>
          <w:tcPr>
            <w:tcW w:w="645" w:type="dxa"/>
          </w:tcPr>
          <w:p w:rsidRPr="001F049B" w:rsidR="00DD314B" w:rsidP="003A6A42" w:rsidRDefault="00DD314B" w14:paraId="27B4CEA4" w14:textId="77777777">
            <w:pPr>
              <w:jc w:val="center"/>
              <w:rPr>
                <w:rFonts w:cs="Times New Roman"/>
                <w:b/>
                <w:sz w:val="20"/>
                <w:szCs w:val="20"/>
              </w:rPr>
            </w:pPr>
            <w:r w:rsidRPr="001F049B">
              <w:rPr>
                <w:rFonts w:cs="Times New Roman"/>
                <w:b/>
                <w:sz w:val="20"/>
                <w:szCs w:val="20"/>
              </w:rPr>
              <w:t>X</w:t>
            </w:r>
          </w:p>
        </w:tc>
        <w:tc>
          <w:tcPr>
            <w:tcW w:w="645" w:type="dxa"/>
          </w:tcPr>
          <w:p w:rsidRPr="001F049B" w:rsidR="00DD314B" w:rsidP="003A6A42" w:rsidRDefault="00DD314B" w14:paraId="5E682512" w14:textId="77777777">
            <w:pPr>
              <w:jc w:val="center"/>
              <w:rPr>
                <w:rFonts w:cs="Times New Roman"/>
                <w:b/>
                <w:sz w:val="20"/>
                <w:szCs w:val="20"/>
              </w:rPr>
            </w:pPr>
          </w:p>
        </w:tc>
        <w:tc>
          <w:tcPr>
            <w:tcW w:w="645" w:type="dxa"/>
          </w:tcPr>
          <w:p w:rsidRPr="001F049B" w:rsidR="00DD314B" w:rsidP="003A6A42" w:rsidRDefault="00DD314B" w14:paraId="5C6305EB" w14:textId="77777777">
            <w:pPr>
              <w:jc w:val="center"/>
              <w:rPr>
                <w:rFonts w:cs="Times New Roman"/>
                <w:b/>
                <w:sz w:val="20"/>
                <w:szCs w:val="20"/>
              </w:rPr>
            </w:pPr>
          </w:p>
        </w:tc>
        <w:tc>
          <w:tcPr>
            <w:tcW w:w="645" w:type="dxa"/>
          </w:tcPr>
          <w:p w:rsidRPr="001F049B" w:rsidR="00DD314B" w:rsidP="003A6A42" w:rsidRDefault="00DD314B" w14:paraId="5DE6F52A" w14:textId="77777777">
            <w:pPr>
              <w:jc w:val="center"/>
              <w:rPr>
                <w:rFonts w:cs="Times New Roman"/>
                <w:b/>
                <w:sz w:val="20"/>
                <w:szCs w:val="20"/>
              </w:rPr>
            </w:pPr>
          </w:p>
        </w:tc>
        <w:tc>
          <w:tcPr>
            <w:tcW w:w="645" w:type="dxa"/>
          </w:tcPr>
          <w:p w:rsidRPr="001F049B" w:rsidR="00DD314B" w:rsidP="003A6A42" w:rsidRDefault="00DD314B" w14:paraId="00584293" w14:textId="77777777">
            <w:pPr>
              <w:jc w:val="center"/>
              <w:rPr>
                <w:rFonts w:cs="Times New Roman"/>
                <w:b/>
                <w:sz w:val="20"/>
                <w:szCs w:val="20"/>
              </w:rPr>
            </w:pPr>
          </w:p>
        </w:tc>
        <w:tc>
          <w:tcPr>
            <w:tcW w:w="595" w:type="dxa"/>
          </w:tcPr>
          <w:p w:rsidRPr="001F049B" w:rsidR="00DD314B" w:rsidP="003A6A42" w:rsidRDefault="00DD314B" w14:paraId="54FEAD9C" w14:textId="77777777">
            <w:pPr>
              <w:jc w:val="center"/>
              <w:rPr>
                <w:rFonts w:cs="Times New Roman"/>
                <w:b/>
                <w:sz w:val="20"/>
                <w:szCs w:val="20"/>
              </w:rPr>
            </w:pPr>
          </w:p>
        </w:tc>
        <w:tc>
          <w:tcPr>
            <w:tcW w:w="290" w:type="dxa"/>
            <w:vMerge/>
          </w:tcPr>
          <w:p w:rsidRPr="001F049B" w:rsidR="00DD314B" w:rsidP="003A6A42" w:rsidRDefault="00DD314B" w14:paraId="06533A16" w14:textId="77777777">
            <w:pPr>
              <w:jc w:val="center"/>
              <w:rPr>
                <w:rFonts w:cs="Times New Roman"/>
                <w:b/>
                <w:sz w:val="20"/>
                <w:szCs w:val="20"/>
              </w:rPr>
            </w:pPr>
          </w:p>
        </w:tc>
      </w:tr>
      <w:tr w:rsidRPr="001F049B" w:rsidR="00DD314B" w:rsidTr="00277799" w14:paraId="74234258" w14:textId="77777777">
        <w:trPr>
          <w:trHeight w:val="257"/>
        </w:trPr>
        <w:tc>
          <w:tcPr>
            <w:tcW w:w="3983" w:type="dxa"/>
          </w:tcPr>
          <w:p w:rsidRPr="001F049B" w:rsidR="00DD314B" w:rsidP="003A6A42" w:rsidRDefault="00EB2455" w14:paraId="006E6933" w14:textId="7CBAA361">
            <w:pPr>
              <w:rPr>
                <w:rFonts w:cs="Times New Roman"/>
                <w:sz w:val="20"/>
                <w:szCs w:val="20"/>
              </w:rPr>
            </w:pPr>
            <w:r>
              <w:rPr>
                <w:rFonts w:cs="Times New Roman"/>
                <w:sz w:val="20"/>
                <w:szCs w:val="20"/>
              </w:rPr>
              <w:t>Investigation</w:t>
            </w:r>
            <w:r w:rsidRPr="001F049B">
              <w:rPr>
                <w:rFonts w:cs="Times New Roman"/>
                <w:sz w:val="20"/>
                <w:szCs w:val="20"/>
              </w:rPr>
              <w:t xml:space="preserve"> </w:t>
            </w:r>
            <w:r w:rsidRPr="001F049B" w:rsidR="00DD314B">
              <w:rPr>
                <w:rFonts w:cs="Times New Roman"/>
                <w:sz w:val="20"/>
                <w:szCs w:val="20"/>
              </w:rPr>
              <w:t>Training</w:t>
            </w:r>
          </w:p>
        </w:tc>
        <w:tc>
          <w:tcPr>
            <w:tcW w:w="645" w:type="dxa"/>
          </w:tcPr>
          <w:p w:rsidRPr="001F049B" w:rsidR="00DD314B" w:rsidP="003A6A42" w:rsidRDefault="00DD314B" w14:paraId="26C675A9" w14:textId="77777777">
            <w:pPr>
              <w:jc w:val="center"/>
              <w:rPr>
                <w:rFonts w:cs="Times New Roman"/>
                <w:b/>
                <w:sz w:val="20"/>
                <w:szCs w:val="20"/>
              </w:rPr>
            </w:pPr>
            <w:r w:rsidRPr="001F049B">
              <w:rPr>
                <w:rFonts w:cs="Times New Roman"/>
                <w:b/>
                <w:sz w:val="20"/>
                <w:szCs w:val="20"/>
              </w:rPr>
              <w:t>X</w:t>
            </w:r>
          </w:p>
        </w:tc>
        <w:tc>
          <w:tcPr>
            <w:tcW w:w="645" w:type="dxa"/>
          </w:tcPr>
          <w:p w:rsidRPr="001F049B" w:rsidR="00DD314B" w:rsidP="003A6A42" w:rsidRDefault="00DD314B" w14:paraId="269CADB6" w14:textId="77777777">
            <w:pPr>
              <w:jc w:val="center"/>
              <w:rPr>
                <w:rFonts w:cs="Times New Roman"/>
                <w:b/>
                <w:sz w:val="20"/>
                <w:szCs w:val="20"/>
              </w:rPr>
            </w:pPr>
          </w:p>
        </w:tc>
        <w:tc>
          <w:tcPr>
            <w:tcW w:w="645" w:type="dxa"/>
          </w:tcPr>
          <w:p w:rsidRPr="001F049B" w:rsidR="00DD314B" w:rsidP="003A6A42" w:rsidRDefault="00DD314B" w14:paraId="63C0F1E0" w14:textId="77777777">
            <w:pPr>
              <w:jc w:val="center"/>
              <w:rPr>
                <w:rFonts w:cs="Times New Roman"/>
                <w:b/>
                <w:sz w:val="20"/>
                <w:szCs w:val="20"/>
              </w:rPr>
            </w:pPr>
          </w:p>
        </w:tc>
        <w:tc>
          <w:tcPr>
            <w:tcW w:w="645" w:type="dxa"/>
          </w:tcPr>
          <w:p w:rsidRPr="001F049B" w:rsidR="00DD314B" w:rsidP="003A6A42" w:rsidRDefault="00DD314B" w14:paraId="7C0BFCE5" w14:textId="77777777">
            <w:pPr>
              <w:jc w:val="center"/>
              <w:rPr>
                <w:rFonts w:cs="Times New Roman"/>
                <w:b/>
                <w:sz w:val="20"/>
                <w:szCs w:val="20"/>
              </w:rPr>
            </w:pPr>
          </w:p>
        </w:tc>
        <w:tc>
          <w:tcPr>
            <w:tcW w:w="645" w:type="dxa"/>
          </w:tcPr>
          <w:p w:rsidRPr="001F049B" w:rsidR="00DD314B" w:rsidP="003A6A42" w:rsidRDefault="00DD314B" w14:paraId="72F1CF87" w14:textId="77777777">
            <w:pPr>
              <w:jc w:val="center"/>
              <w:rPr>
                <w:rFonts w:cs="Times New Roman"/>
                <w:b/>
                <w:sz w:val="20"/>
                <w:szCs w:val="20"/>
              </w:rPr>
            </w:pPr>
          </w:p>
        </w:tc>
        <w:tc>
          <w:tcPr>
            <w:tcW w:w="595" w:type="dxa"/>
          </w:tcPr>
          <w:p w:rsidRPr="001F049B" w:rsidR="00DD314B" w:rsidP="003A6A42" w:rsidRDefault="00DD314B" w14:paraId="41B37570" w14:textId="77777777">
            <w:pPr>
              <w:jc w:val="center"/>
              <w:rPr>
                <w:rFonts w:cs="Times New Roman"/>
                <w:b/>
                <w:sz w:val="20"/>
                <w:szCs w:val="20"/>
              </w:rPr>
            </w:pPr>
          </w:p>
        </w:tc>
        <w:tc>
          <w:tcPr>
            <w:tcW w:w="290" w:type="dxa"/>
            <w:vMerge/>
          </w:tcPr>
          <w:p w:rsidRPr="001F049B" w:rsidR="00DD314B" w:rsidP="003A6A42" w:rsidRDefault="00DD314B" w14:paraId="4AD54E22" w14:textId="77777777">
            <w:pPr>
              <w:jc w:val="center"/>
              <w:rPr>
                <w:rFonts w:cs="Times New Roman"/>
                <w:b/>
                <w:sz w:val="20"/>
                <w:szCs w:val="20"/>
              </w:rPr>
            </w:pPr>
          </w:p>
        </w:tc>
      </w:tr>
      <w:tr w:rsidRPr="001F049B" w:rsidR="00DD314B" w:rsidTr="00277799" w14:paraId="5952EC4E" w14:textId="77777777">
        <w:trPr>
          <w:trHeight w:val="257"/>
        </w:trPr>
        <w:tc>
          <w:tcPr>
            <w:tcW w:w="3983" w:type="dxa"/>
          </w:tcPr>
          <w:p w:rsidRPr="001F049B" w:rsidR="00DD314B" w:rsidP="003A6A42" w:rsidRDefault="00DD314B" w14:paraId="07B51B90" w14:textId="77777777">
            <w:pPr>
              <w:rPr>
                <w:rFonts w:cs="Times New Roman"/>
                <w:sz w:val="20"/>
                <w:szCs w:val="20"/>
              </w:rPr>
            </w:pPr>
            <w:r w:rsidRPr="001F049B">
              <w:rPr>
                <w:rFonts w:cs="Times New Roman"/>
                <w:sz w:val="20"/>
                <w:szCs w:val="20"/>
              </w:rPr>
              <w:t>Recruitment</w:t>
            </w:r>
          </w:p>
        </w:tc>
        <w:tc>
          <w:tcPr>
            <w:tcW w:w="645" w:type="dxa"/>
          </w:tcPr>
          <w:p w:rsidRPr="001F049B" w:rsidR="00DD314B" w:rsidP="003A6A42" w:rsidRDefault="00DD314B" w14:paraId="49EF24E0" w14:textId="77777777">
            <w:pPr>
              <w:jc w:val="center"/>
              <w:rPr>
                <w:rFonts w:cs="Times New Roman"/>
                <w:b/>
                <w:sz w:val="20"/>
                <w:szCs w:val="20"/>
              </w:rPr>
            </w:pPr>
            <w:r w:rsidRPr="001F049B">
              <w:rPr>
                <w:rFonts w:cs="Times New Roman"/>
                <w:b/>
                <w:sz w:val="20"/>
                <w:szCs w:val="20"/>
              </w:rPr>
              <w:t>X</w:t>
            </w:r>
          </w:p>
        </w:tc>
        <w:tc>
          <w:tcPr>
            <w:tcW w:w="645" w:type="dxa"/>
          </w:tcPr>
          <w:p w:rsidRPr="001F049B" w:rsidR="00DD314B" w:rsidP="003A6A42" w:rsidRDefault="00DD314B" w14:paraId="76667CBD" w14:textId="05483DF4">
            <w:pPr>
              <w:jc w:val="center"/>
              <w:rPr>
                <w:rFonts w:cs="Times New Roman"/>
                <w:b/>
                <w:sz w:val="20"/>
                <w:szCs w:val="20"/>
              </w:rPr>
            </w:pPr>
          </w:p>
        </w:tc>
        <w:tc>
          <w:tcPr>
            <w:tcW w:w="645" w:type="dxa"/>
          </w:tcPr>
          <w:p w:rsidRPr="001F049B" w:rsidR="00DD314B" w:rsidP="003A6A42" w:rsidRDefault="00DD314B" w14:paraId="54CC56EB" w14:textId="056215C6">
            <w:pPr>
              <w:jc w:val="center"/>
              <w:rPr>
                <w:rFonts w:cs="Times New Roman"/>
                <w:b/>
                <w:sz w:val="20"/>
                <w:szCs w:val="20"/>
              </w:rPr>
            </w:pPr>
          </w:p>
        </w:tc>
        <w:tc>
          <w:tcPr>
            <w:tcW w:w="645" w:type="dxa"/>
          </w:tcPr>
          <w:p w:rsidRPr="001F049B" w:rsidR="00DD314B" w:rsidP="003A6A42" w:rsidRDefault="00DD314B" w14:paraId="3E2F63BE" w14:textId="76430D4C">
            <w:pPr>
              <w:jc w:val="center"/>
              <w:rPr>
                <w:rFonts w:cs="Times New Roman"/>
                <w:b/>
                <w:sz w:val="20"/>
                <w:szCs w:val="20"/>
              </w:rPr>
            </w:pPr>
          </w:p>
        </w:tc>
        <w:tc>
          <w:tcPr>
            <w:tcW w:w="645" w:type="dxa"/>
          </w:tcPr>
          <w:p w:rsidRPr="001F049B" w:rsidR="00DD314B" w:rsidP="003A6A42" w:rsidRDefault="00DD314B" w14:paraId="3B1238DB" w14:textId="77777777">
            <w:pPr>
              <w:jc w:val="center"/>
              <w:rPr>
                <w:rFonts w:cs="Times New Roman"/>
                <w:b/>
                <w:sz w:val="20"/>
                <w:szCs w:val="20"/>
              </w:rPr>
            </w:pPr>
          </w:p>
        </w:tc>
        <w:tc>
          <w:tcPr>
            <w:tcW w:w="595" w:type="dxa"/>
          </w:tcPr>
          <w:p w:rsidRPr="001F049B" w:rsidR="00DD314B" w:rsidP="003A6A42" w:rsidRDefault="00DD314B" w14:paraId="451BF250" w14:textId="77777777">
            <w:pPr>
              <w:jc w:val="center"/>
              <w:rPr>
                <w:rFonts w:cs="Times New Roman"/>
                <w:b/>
                <w:sz w:val="20"/>
                <w:szCs w:val="20"/>
              </w:rPr>
            </w:pPr>
          </w:p>
        </w:tc>
        <w:tc>
          <w:tcPr>
            <w:tcW w:w="290" w:type="dxa"/>
            <w:vMerge/>
          </w:tcPr>
          <w:p w:rsidRPr="001F049B" w:rsidR="00DD314B" w:rsidP="003A6A42" w:rsidRDefault="00DD314B" w14:paraId="1BD519FE" w14:textId="77777777">
            <w:pPr>
              <w:jc w:val="center"/>
              <w:rPr>
                <w:rFonts w:cs="Times New Roman"/>
                <w:b/>
                <w:sz w:val="20"/>
                <w:szCs w:val="20"/>
              </w:rPr>
            </w:pPr>
          </w:p>
        </w:tc>
      </w:tr>
      <w:tr w:rsidRPr="001F049B" w:rsidR="00DD314B" w:rsidTr="00277799" w14:paraId="3AAE087B" w14:textId="77777777">
        <w:trPr>
          <w:trHeight w:val="257"/>
        </w:trPr>
        <w:tc>
          <w:tcPr>
            <w:tcW w:w="3983" w:type="dxa"/>
          </w:tcPr>
          <w:p w:rsidRPr="001F049B" w:rsidR="00DD314B" w:rsidP="003A6A42" w:rsidRDefault="00DD314B" w14:paraId="5D404DAB" w14:textId="77777777">
            <w:pPr>
              <w:rPr>
                <w:rFonts w:cs="Times New Roman"/>
                <w:sz w:val="20"/>
                <w:szCs w:val="20"/>
              </w:rPr>
            </w:pPr>
            <w:r w:rsidRPr="001F049B">
              <w:rPr>
                <w:rFonts w:cs="Times New Roman"/>
                <w:sz w:val="20"/>
                <w:szCs w:val="20"/>
              </w:rPr>
              <w:t>Data Collection</w:t>
            </w:r>
          </w:p>
        </w:tc>
        <w:tc>
          <w:tcPr>
            <w:tcW w:w="645" w:type="dxa"/>
          </w:tcPr>
          <w:p w:rsidRPr="001F049B" w:rsidR="00DD314B" w:rsidP="003A6A42" w:rsidRDefault="00DD314B" w14:paraId="06F07117" w14:textId="642FCB70">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512F3C45" w14:textId="3F7D6B8B">
            <w:pPr>
              <w:jc w:val="center"/>
              <w:rPr>
                <w:rFonts w:cs="Times New Roman"/>
                <w:b/>
                <w:sz w:val="20"/>
                <w:szCs w:val="20"/>
              </w:rPr>
            </w:pPr>
          </w:p>
        </w:tc>
        <w:tc>
          <w:tcPr>
            <w:tcW w:w="645" w:type="dxa"/>
          </w:tcPr>
          <w:p w:rsidRPr="001F049B" w:rsidR="00DD314B" w:rsidP="003A6A42" w:rsidRDefault="00DD314B" w14:paraId="1C2816C2" w14:textId="1542C008">
            <w:pPr>
              <w:jc w:val="center"/>
              <w:rPr>
                <w:rFonts w:cs="Times New Roman"/>
                <w:b/>
                <w:sz w:val="20"/>
                <w:szCs w:val="20"/>
              </w:rPr>
            </w:pPr>
          </w:p>
        </w:tc>
        <w:tc>
          <w:tcPr>
            <w:tcW w:w="645" w:type="dxa"/>
          </w:tcPr>
          <w:p w:rsidRPr="001F049B" w:rsidR="00DD314B" w:rsidP="003A6A42" w:rsidRDefault="00DD314B" w14:paraId="48FDD556" w14:textId="4F4B427E">
            <w:pPr>
              <w:jc w:val="center"/>
              <w:rPr>
                <w:rFonts w:cs="Times New Roman"/>
                <w:b/>
                <w:sz w:val="20"/>
                <w:szCs w:val="20"/>
              </w:rPr>
            </w:pPr>
          </w:p>
        </w:tc>
        <w:tc>
          <w:tcPr>
            <w:tcW w:w="645" w:type="dxa"/>
          </w:tcPr>
          <w:p w:rsidRPr="001F049B" w:rsidR="00DD314B" w:rsidP="003A6A42" w:rsidRDefault="00DD314B" w14:paraId="4CEE1B4F" w14:textId="107ABA57">
            <w:pPr>
              <w:jc w:val="center"/>
              <w:rPr>
                <w:rFonts w:cs="Times New Roman"/>
                <w:b/>
                <w:sz w:val="20"/>
                <w:szCs w:val="20"/>
              </w:rPr>
            </w:pPr>
          </w:p>
        </w:tc>
        <w:tc>
          <w:tcPr>
            <w:tcW w:w="595" w:type="dxa"/>
          </w:tcPr>
          <w:p w:rsidRPr="001F049B" w:rsidR="00DD314B" w:rsidP="003A6A42" w:rsidRDefault="00DD314B" w14:paraId="659A8215" w14:textId="1EE9F578">
            <w:pPr>
              <w:jc w:val="center"/>
              <w:rPr>
                <w:rFonts w:cs="Times New Roman"/>
                <w:b/>
                <w:sz w:val="20"/>
                <w:szCs w:val="20"/>
              </w:rPr>
            </w:pPr>
          </w:p>
        </w:tc>
        <w:tc>
          <w:tcPr>
            <w:tcW w:w="290" w:type="dxa"/>
            <w:vMerge/>
          </w:tcPr>
          <w:p w:rsidRPr="001F049B" w:rsidR="00DD314B" w:rsidP="003A6A42" w:rsidRDefault="00DD314B" w14:paraId="3649722D" w14:textId="77777777">
            <w:pPr>
              <w:jc w:val="center"/>
              <w:rPr>
                <w:rFonts w:cs="Times New Roman"/>
                <w:b/>
                <w:sz w:val="20"/>
                <w:szCs w:val="20"/>
              </w:rPr>
            </w:pPr>
          </w:p>
        </w:tc>
      </w:tr>
      <w:tr w:rsidRPr="001F049B" w:rsidR="00DD314B" w:rsidTr="00277799" w14:paraId="14EEEEE1" w14:textId="77777777">
        <w:trPr>
          <w:trHeight w:val="257"/>
        </w:trPr>
        <w:tc>
          <w:tcPr>
            <w:tcW w:w="3983" w:type="dxa"/>
          </w:tcPr>
          <w:p w:rsidRPr="001F049B" w:rsidR="00DD314B" w:rsidP="003A6A42" w:rsidRDefault="00DD314B" w14:paraId="4188323F" w14:textId="77777777">
            <w:pPr>
              <w:rPr>
                <w:rFonts w:cs="Times New Roman"/>
                <w:sz w:val="20"/>
                <w:szCs w:val="20"/>
              </w:rPr>
            </w:pPr>
            <w:r w:rsidRPr="001F049B">
              <w:rPr>
                <w:rFonts w:cs="Times New Roman"/>
                <w:sz w:val="20"/>
                <w:szCs w:val="20"/>
              </w:rPr>
              <w:t>Data Management</w:t>
            </w:r>
          </w:p>
        </w:tc>
        <w:tc>
          <w:tcPr>
            <w:tcW w:w="645" w:type="dxa"/>
          </w:tcPr>
          <w:p w:rsidRPr="001F049B" w:rsidR="00DD314B" w:rsidP="003A6A42" w:rsidRDefault="00DD314B" w14:paraId="20FC7361" w14:textId="189C84BF">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0FE31793" w14:textId="479D4CEE">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160C12E2" w14:textId="2651AF2A">
            <w:pPr>
              <w:jc w:val="center"/>
              <w:rPr>
                <w:rFonts w:cs="Times New Roman"/>
                <w:b/>
                <w:sz w:val="20"/>
                <w:szCs w:val="20"/>
              </w:rPr>
            </w:pPr>
          </w:p>
        </w:tc>
        <w:tc>
          <w:tcPr>
            <w:tcW w:w="645" w:type="dxa"/>
          </w:tcPr>
          <w:p w:rsidRPr="001F049B" w:rsidR="00DD314B" w:rsidP="003A6A42" w:rsidRDefault="00DD314B" w14:paraId="683D2F95" w14:textId="3533FBDA">
            <w:pPr>
              <w:jc w:val="center"/>
              <w:rPr>
                <w:rFonts w:cs="Times New Roman"/>
                <w:b/>
                <w:sz w:val="20"/>
                <w:szCs w:val="20"/>
              </w:rPr>
            </w:pPr>
          </w:p>
        </w:tc>
        <w:tc>
          <w:tcPr>
            <w:tcW w:w="645" w:type="dxa"/>
          </w:tcPr>
          <w:p w:rsidRPr="001F049B" w:rsidR="00DD314B" w:rsidP="003A6A42" w:rsidRDefault="00DD314B" w14:paraId="0E574BE9" w14:textId="38A88CF2">
            <w:pPr>
              <w:jc w:val="center"/>
              <w:rPr>
                <w:rFonts w:cs="Times New Roman"/>
                <w:b/>
                <w:sz w:val="20"/>
                <w:szCs w:val="20"/>
              </w:rPr>
            </w:pPr>
          </w:p>
        </w:tc>
        <w:tc>
          <w:tcPr>
            <w:tcW w:w="595" w:type="dxa"/>
          </w:tcPr>
          <w:p w:rsidRPr="001F049B" w:rsidR="00DD314B" w:rsidP="003A6A42" w:rsidRDefault="00DD314B" w14:paraId="4607E8E2" w14:textId="3CCDA7BB">
            <w:pPr>
              <w:jc w:val="center"/>
              <w:rPr>
                <w:rFonts w:cs="Times New Roman"/>
                <w:b/>
                <w:sz w:val="20"/>
                <w:szCs w:val="20"/>
              </w:rPr>
            </w:pPr>
          </w:p>
        </w:tc>
        <w:tc>
          <w:tcPr>
            <w:tcW w:w="290" w:type="dxa"/>
            <w:vMerge/>
          </w:tcPr>
          <w:p w:rsidRPr="001F049B" w:rsidR="00DD314B" w:rsidP="003A6A42" w:rsidRDefault="00DD314B" w14:paraId="7715A885" w14:textId="06A102FA">
            <w:pPr>
              <w:jc w:val="center"/>
              <w:rPr>
                <w:rFonts w:cs="Times New Roman"/>
                <w:b/>
                <w:sz w:val="20"/>
                <w:szCs w:val="20"/>
              </w:rPr>
            </w:pPr>
          </w:p>
        </w:tc>
      </w:tr>
      <w:tr w:rsidRPr="001F049B" w:rsidR="00DD314B" w:rsidTr="00277799" w14:paraId="6A85D105" w14:textId="77777777">
        <w:trPr>
          <w:trHeight w:val="257"/>
        </w:trPr>
        <w:tc>
          <w:tcPr>
            <w:tcW w:w="3983" w:type="dxa"/>
          </w:tcPr>
          <w:p w:rsidRPr="001F049B" w:rsidR="00DD314B" w:rsidP="003A6A42" w:rsidRDefault="00DD314B" w14:paraId="2D4EEB42" w14:textId="77777777">
            <w:pPr>
              <w:rPr>
                <w:rFonts w:cs="Times New Roman"/>
                <w:sz w:val="20"/>
                <w:szCs w:val="20"/>
              </w:rPr>
            </w:pPr>
            <w:r w:rsidRPr="001F049B">
              <w:rPr>
                <w:rFonts w:cs="Times New Roman"/>
                <w:sz w:val="20"/>
                <w:szCs w:val="20"/>
              </w:rPr>
              <w:t>Data Analysis</w:t>
            </w:r>
          </w:p>
        </w:tc>
        <w:tc>
          <w:tcPr>
            <w:tcW w:w="645" w:type="dxa"/>
          </w:tcPr>
          <w:p w:rsidRPr="001F049B" w:rsidR="00DD314B" w:rsidP="003A6A42" w:rsidRDefault="00DD314B" w14:paraId="47A3FB53" w14:textId="77777777">
            <w:pPr>
              <w:jc w:val="center"/>
              <w:rPr>
                <w:rFonts w:cs="Times New Roman"/>
                <w:b/>
                <w:sz w:val="20"/>
                <w:szCs w:val="20"/>
              </w:rPr>
            </w:pPr>
          </w:p>
        </w:tc>
        <w:tc>
          <w:tcPr>
            <w:tcW w:w="645" w:type="dxa"/>
          </w:tcPr>
          <w:p w:rsidRPr="001F049B" w:rsidR="00DD314B" w:rsidP="003A6A42" w:rsidRDefault="00DD314B" w14:paraId="78ED6967" w14:textId="789D337A">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46F194D8" w14:textId="77413A0F">
            <w:pPr>
              <w:jc w:val="center"/>
              <w:rPr>
                <w:rFonts w:cs="Times New Roman"/>
                <w:b/>
                <w:sz w:val="20"/>
                <w:szCs w:val="20"/>
              </w:rPr>
            </w:pPr>
          </w:p>
        </w:tc>
        <w:tc>
          <w:tcPr>
            <w:tcW w:w="645" w:type="dxa"/>
          </w:tcPr>
          <w:p w:rsidRPr="001F049B" w:rsidR="00DD314B" w:rsidP="003A6A42" w:rsidRDefault="00DD314B" w14:paraId="3CE80932" w14:textId="63776A98">
            <w:pPr>
              <w:jc w:val="center"/>
              <w:rPr>
                <w:rFonts w:cs="Times New Roman"/>
                <w:b/>
                <w:sz w:val="20"/>
                <w:szCs w:val="20"/>
              </w:rPr>
            </w:pPr>
          </w:p>
        </w:tc>
        <w:tc>
          <w:tcPr>
            <w:tcW w:w="645" w:type="dxa"/>
          </w:tcPr>
          <w:p w:rsidRPr="001F049B" w:rsidR="00DD314B" w:rsidP="003A6A42" w:rsidRDefault="00DD314B" w14:paraId="2CB59E21" w14:textId="3DBBAA0C">
            <w:pPr>
              <w:jc w:val="center"/>
              <w:rPr>
                <w:rFonts w:cs="Times New Roman"/>
                <w:b/>
                <w:sz w:val="20"/>
                <w:szCs w:val="20"/>
              </w:rPr>
            </w:pPr>
          </w:p>
        </w:tc>
        <w:tc>
          <w:tcPr>
            <w:tcW w:w="595" w:type="dxa"/>
          </w:tcPr>
          <w:p w:rsidRPr="001F049B" w:rsidR="00DD314B" w:rsidP="003A6A42" w:rsidRDefault="00DD314B" w14:paraId="4E801F18" w14:textId="26B9B759">
            <w:pPr>
              <w:jc w:val="center"/>
              <w:rPr>
                <w:rFonts w:cs="Times New Roman"/>
                <w:b/>
                <w:sz w:val="20"/>
                <w:szCs w:val="20"/>
              </w:rPr>
            </w:pPr>
          </w:p>
        </w:tc>
        <w:tc>
          <w:tcPr>
            <w:tcW w:w="290" w:type="dxa"/>
            <w:vMerge/>
          </w:tcPr>
          <w:p w:rsidRPr="001F049B" w:rsidR="00DD314B" w:rsidP="003A6A42" w:rsidRDefault="00DD314B" w14:paraId="1FB47F56" w14:textId="4A9B1FDB">
            <w:pPr>
              <w:jc w:val="center"/>
              <w:rPr>
                <w:rFonts w:cs="Times New Roman"/>
                <w:b/>
                <w:sz w:val="20"/>
                <w:szCs w:val="20"/>
              </w:rPr>
            </w:pPr>
          </w:p>
        </w:tc>
      </w:tr>
      <w:tr w:rsidRPr="001F049B" w:rsidR="00DD314B" w:rsidTr="00277799" w14:paraId="3D680FAE" w14:textId="77777777">
        <w:trPr>
          <w:trHeight w:val="257"/>
        </w:trPr>
        <w:tc>
          <w:tcPr>
            <w:tcW w:w="3983" w:type="dxa"/>
          </w:tcPr>
          <w:p w:rsidRPr="001F049B" w:rsidR="00DD314B" w:rsidP="003A6A42" w:rsidRDefault="00DD314B" w14:paraId="2AB0914C" w14:textId="77777777">
            <w:pPr>
              <w:rPr>
                <w:rFonts w:cs="Times New Roman"/>
                <w:sz w:val="20"/>
                <w:szCs w:val="20"/>
              </w:rPr>
            </w:pPr>
            <w:r w:rsidRPr="001F049B">
              <w:rPr>
                <w:rFonts w:cs="Times New Roman"/>
                <w:sz w:val="20"/>
                <w:szCs w:val="20"/>
              </w:rPr>
              <w:t>Laboratory Analysis</w:t>
            </w:r>
          </w:p>
        </w:tc>
        <w:tc>
          <w:tcPr>
            <w:tcW w:w="645" w:type="dxa"/>
          </w:tcPr>
          <w:p w:rsidRPr="001F049B" w:rsidR="00DD314B" w:rsidP="003A6A42" w:rsidRDefault="00DD314B" w14:paraId="52C2DA57" w14:textId="77777777">
            <w:pPr>
              <w:jc w:val="center"/>
              <w:rPr>
                <w:rFonts w:cs="Times New Roman"/>
                <w:b/>
                <w:sz w:val="20"/>
                <w:szCs w:val="20"/>
              </w:rPr>
            </w:pPr>
          </w:p>
        </w:tc>
        <w:tc>
          <w:tcPr>
            <w:tcW w:w="645" w:type="dxa"/>
          </w:tcPr>
          <w:p w:rsidRPr="001F049B" w:rsidR="00DD314B" w:rsidP="003A6A42" w:rsidRDefault="00DD314B" w14:paraId="183F0B42" w14:textId="41CCDA8A">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459F99AD" w14:textId="6AE8A67D">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16D74C41" w14:textId="1BBAB104">
            <w:pPr>
              <w:jc w:val="center"/>
              <w:rPr>
                <w:rFonts w:cs="Times New Roman"/>
                <w:b/>
                <w:sz w:val="20"/>
                <w:szCs w:val="20"/>
              </w:rPr>
            </w:pPr>
          </w:p>
        </w:tc>
        <w:tc>
          <w:tcPr>
            <w:tcW w:w="645" w:type="dxa"/>
          </w:tcPr>
          <w:p w:rsidRPr="001F049B" w:rsidR="00DD314B" w:rsidP="003A6A42" w:rsidRDefault="00DD314B" w14:paraId="5C951B40" w14:textId="407D2329">
            <w:pPr>
              <w:jc w:val="center"/>
              <w:rPr>
                <w:rFonts w:cs="Times New Roman"/>
                <w:b/>
                <w:sz w:val="20"/>
                <w:szCs w:val="20"/>
              </w:rPr>
            </w:pPr>
          </w:p>
        </w:tc>
        <w:tc>
          <w:tcPr>
            <w:tcW w:w="595" w:type="dxa"/>
          </w:tcPr>
          <w:p w:rsidRPr="001F049B" w:rsidR="00DD314B" w:rsidP="003A6A42" w:rsidRDefault="00DD314B" w14:paraId="5F434495" w14:textId="1C5D406C">
            <w:pPr>
              <w:jc w:val="center"/>
              <w:rPr>
                <w:rFonts w:cs="Times New Roman"/>
                <w:b/>
                <w:sz w:val="20"/>
                <w:szCs w:val="20"/>
              </w:rPr>
            </w:pPr>
          </w:p>
        </w:tc>
        <w:tc>
          <w:tcPr>
            <w:tcW w:w="290" w:type="dxa"/>
            <w:vMerge/>
          </w:tcPr>
          <w:p w:rsidRPr="001F049B" w:rsidR="00DD314B" w:rsidP="003A6A42" w:rsidRDefault="00DD314B" w14:paraId="164703C3" w14:textId="2571988B">
            <w:pPr>
              <w:jc w:val="center"/>
              <w:rPr>
                <w:rFonts w:cs="Times New Roman"/>
                <w:b/>
                <w:sz w:val="20"/>
                <w:szCs w:val="20"/>
              </w:rPr>
            </w:pPr>
          </w:p>
        </w:tc>
      </w:tr>
      <w:tr w:rsidRPr="001F049B" w:rsidR="00DD314B" w:rsidTr="00277799" w14:paraId="7A9325C8" w14:textId="77777777">
        <w:trPr>
          <w:trHeight w:val="257"/>
        </w:trPr>
        <w:tc>
          <w:tcPr>
            <w:tcW w:w="3983" w:type="dxa"/>
          </w:tcPr>
          <w:p w:rsidRPr="001F049B" w:rsidR="00DD314B" w:rsidP="003A6A42" w:rsidRDefault="00DD314B" w14:paraId="5C2E56C2" w14:textId="77777777">
            <w:pPr>
              <w:rPr>
                <w:rFonts w:cs="Times New Roman"/>
                <w:sz w:val="20"/>
                <w:szCs w:val="20"/>
              </w:rPr>
            </w:pPr>
            <w:r w:rsidRPr="001F049B">
              <w:rPr>
                <w:rFonts w:cs="Times New Roman"/>
                <w:sz w:val="20"/>
                <w:szCs w:val="20"/>
              </w:rPr>
              <w:t>Results interpretation</w:t>
            </w:r>
          </w:p>
        </w:tc>
        <w:tc>
          <w:tcPr>
            <w:tcW w:w="645" w:type="dxa"/>
          </w:tcPr>
          <w:p w:rsidRPr="001F049B" w:rsidR="00DD314B" w:rsidP="003A6A42" w:rsidRDefault="00DD314B" w14:paraId="78C3346E" w14:textId="77777777">
            <w:pPr>
              <w:jc w:val="center"/>
              <w:rPr>
                <w:rFonts w:cs="Times New Roman"/>
                <w:b/>
                <w:sz w:val="20"/>
                <w:szCs w:val="20"/>
              </w:rPr>
            </w:pPr>
          </w:p>
        </w:tc>
        <w:tc>
          <w:tcPr>
            <w:tcW w:w="645" w:type="dxa"/>
          </w:tcPr>
          <w:p w:rsidRPr="001F049B" w:rsidR="00DD314B" w:rsidP="003A6A42" w:rsidRDefault="00DD314B" w14:paraId="73BF45A3" w14:textId="7A47F8C0">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0BDF6ACA" w14:textId="361EDAF5">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15108281" w14:textId="58C2B08F">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356B4E67" w14:textId="08F9EB80">
            <w:pPr>
              <w:jc w:val="center"/>
              <w:rPr>
                <w:rFonts w:cs="Times New Roman"/>
                <w:b/>
                <w:sz w:val="20"/>
                <w:szCs w:val="20"/>
              </w:rPr>
            </w:pPr>
          </w:p>
        </w:tc>
        <w:tc>
          <w:tcPr>
            <w:tcW w:w="595" w:type="dxa"/>
          </w:tcPr>
          <w:p w:rsidRPr="001F049B" w:rsidR="00DD314B" w:rsidP="003A6A42" w:rsidRDefault="00DD314B" w14:paraId="70ABA074" w14:textId="1388FA60">
            <w:pPr>
              <w:jc w:val="center"/>
              <w:rPr>
                <w:rFonts w:cs="Times New Roman"/>
                <w:b/>
                <w:sz w:val="20"/>
                <w:szCs w:val="20"/>
              </w:rPr>
            </w:pPr>
          </w:p>
        </w:tc>
        <w:tc>
          <w:tcPr>
            <w:tcW w:w="290" w:type="dxa"/>
            <w:vMerge/>
          </w:tcPr>
          <w:p w:rsidRPr="001F049B" w:rsidR="00DD314B" w:rsidP="003A6A42" w:rsidRDefault="00DD314B" w14:paraId="695EF2BD" w14:textId="2C478D60">
            <w:pPr>
              <w:jc w:val="center"/>
              <w:rPr>
                <w:rFonts w:cs="Times New Roman"/>
                <w:b/>
                <w:sz w:val="20"/>
                <w:szCs w:val="20"/>
              </w:rPr>
            </w:pPr>
          </w:p>
        </w:tc>
      </w:tr>
      <w:tr w:rsidRPr="001F049B" w:rsidR="00DD314B" w:rsidTr="00277799" w14:paraId="12734E17" w14:textId="77777777">
        <w:trPr>
          <w:trHeight w:val="257"/>
        </w:trPr>
        <w:tc>
          <w:tcPr>
            <w:tcW w:w="3983" w:type="dxa"/>
          </w:tcPr>
          <w:p w:rsidRPr="001F049B" w:rsidR="00DD314B" w:rsidP="003A6A42" w:rsidRDefault="00DD314B" w14:paraId="7A1D63C9" w14:textId="77777777">
            <w:pPr>
              <w:rPr>
                <w:rFonts w:cs="Times New Roman"/>
                <w:sz w:val="20"/>
                <w:szCs w:val="20"/>
              </w:rPr>
            </w:pPr>
            <w:r w:rsidRPr="001F049B">
              <w:rPr>
                <w:rFonts w:cs="Times New Roman"/>
                <w:sz w:val="20"/>
                <w:szCs w:val="20"/>
              </w:rPr>
              <w:t>Interim Project Report</w:t>
            </w:r>
          </w:p>
        </w:tc>
        <w:tc>
          <w:tcPr>
            <w:tcW w:w="645" w:type="dxa"/>
          </w:tcPr>
          <w:p w:rsidRPr="001F049B" w:rsidR="00DD314B" w:rsidP="003A6A42" w:rsidRDefault="00DD314B" w14:paraId="548A1938" w14:textId="77777777">
            <w:pPr>
              <w:jc w:val="center"/>
              <w:rPr>
                <w:rFonts w:cs="Times New Roman"/>
                <w:b/>
                <w:sz w:val="20"/>
                <w:szCs w:val="20"/>
              </w:rPr>
            </w:pPr>
          </w:p>
        </w:tc>
        <w:tc>
          <w:tcPr>
            <w:tcW w:w="645" w:type="dxa"/>
          </w:tcPr>
          <w:p w:rsidRPr="001F049B" w:rsidR="00DD314B" w:rsidP="003A6A42" w:rsidRDefault="00DD314B" w14:paraId="50F65548" w14:textId="77777777">
            <w:pPr>
              <w:jc w:val="center"/>
              <w:rPr>
                <w:rFonts w:cs="Times New Roman"/>
                <w:b/>
                <w:sz w:val="20"/>
                <w:szCs w:val="20"/>
              </w:rPr>
            </w:pPr>
          </w:p>
        </w:tc>
        <w:tc>
          <w:tcPr>
            <w:tcW w:w="645" w:type="dxa"/>
          </w:tcPr>
          <w:p w:rsidRPr="001F049B" w:rsidR="00DD314B" w:rsidP="003A6A42" w:rsidRDefault="00DD314B" w14:paraId="15328021" w14:textId="77777777">
            <w:pPr>
              <w:jc w:val="center"/>
              <w:rPr>
                <w:rFonts w:cs="Times New Roman"/>
                <w:b/>
                <w:sz w:val="20"/>
                <w:szCs w:val="20"/>
              </w:rPr>
            </w:pPr>
          </w:p>
        </w:tc>
        <w:tc>
          <w:tcPr>
            <w:tcW w:w="645" w:type="dxa"/>
          </w:tcPr>
          <w:p w:rsidRPr="001F049B" w:rsidR="00DD314B" w:rsidP="003A6A42" w:rsidRDefault="00DD314B" w14:paraId="4D6A24B7" w14:textId="3FFC49B2">
            <w:pPr>
              <w:jc w:val="center"/>
              <w:rPr>
                <w:rFonts w:cs="Times New Roman"/>
                <w:b/>
                <w:sz w:val="20"/>
                <w:szCs w:val="20"/>
              </w:rPr>
            </w:pPr>
            <w:r>
              <w:rPr>
                <w:rFonts w:cs="Times New Roman"/>
                <w:b/>
                <w:sz w:val="20"/>
                <w:szCs w:val="20"/>
              </w:rPr>
              <w:t>X</w:t>
            </w:r>
          </w:p>
        </w:tc>
        <w:tc>
          <w:tcPr>
            <w:tcW w:w="645" w:type="dxa"/>
          </w:tcPr>
          <w:p w:rsidRPr="001F049B" w:rsidR="00DD314B" w:rsidP="003A6A42" w:rsidRDefault="00DD314B" w14:paraId="7C0F5931" w14:textId="76CC50EF">
            <w:pPr>
              <w:jc w:val="center"/>
              <w:rPr>
                <w:rFonts w:cs="Times New Roman"/>
                <w:b/>
                <w:sz w:val="20"/>
                <w:szCs w:val="20"/>
              </w:rPr>
            </w:pPr>
          </w:p>
        </w:tc>
        <w:tc>
          <w:tcPr>
            <w:tcW w:w="595" w:type="dxa"/>
          </w:tcPr>
          <w:p w:rsidRPr="001F049B" w:rsidR="00DD314B" w:rsidP="003A6A42" w:rsidRDefault="00DD314B" w14:paraId="73DDAF66" w14:textId="77777777">
            <w:pPr>
              <w:jc w:val="center"/>
              <w:rPr>
                <w:rFonts w:cs="Times New Roman"/>
                <w:b/>
                <w:sz w:val="20"/>
                <w:szCs w:val="20"/>
              </w:rPr>
            </w:pPr>
          </w:p>
        </w:tc>
        <w:tc>
          <w:tcPr>
            <w:tcW w:w="290" w:type="dxa"/>
            <w:vMerge/>
          </w:tcPr>
          <w:p w:rsidRPr="001F049B" w:rsidR="00DD314B" w:rsidP="003A6A42" w:rsidRDefault="00DD314B" w14:paraId="782DDC8F" w14:textId="77777777">
            <w:pPr>
              <w:jc w:val="center"/>
              <w:rPr>
                <w:rFonts w:cs="Times New Roman"/>
                <w:b/>
                <w:sz w:val="20"/>
                <w:szCs w:val="20"/>
              </w:rPr>
            </w:pPr>
          </w:p>
        </w:tc>
      </w:tr>
      <w:tr w:rsidRPr="001F049B" w:rsidR="00DD314B" w:rsidTr="00277799" w14:paraId="21B4D45F" w14:textId="77777777">
        <w:trPr>
          <w:trHeight w:val="257"/>
        </w:trPr>
        <w:tc>
          <w:tcPr>
            <w:tcW w:w="3983" w:type="dxa"/>
          </w:tcPr>
          <w:p w:rsidRPr="001F049B" w:rsidR="00DD314B" w:rsidP="003A6A42" w:rsidRDefault="00DD314B" w14:paraId="6C8790CF" w14:textId="77777777">
            <w:pPr>
              <w:rPr>
                <w:rFonts w:cs="Times New Roman"/>
                <w:sz w:val="20"/>
                <w:szCs w:val="20"/>
              </w:rPr>
            </w:pPr>
            <w:r w:rsidRPr="001F049B">
              <w:rPr>
                <w:rFonts w:cs="Times New Roman"/>
                <w:sz w:val="20"/>
                <w:szCs w:val="20"/>
              </w:rPr>
              <w:t>Final Project Reports</w:t>
            </w:r>
          </w:p>
        </w:tc>
        <w:tc>
          <w:tcPr>
            <w:tcW w:w="645" w:type="dxa"/>
          </w:tcPr>
          <w:p w:rsidRPr="001F049B" w:rsidR="00DD314B" w:rsidP="003A6A42" w:rsidRDefault="00DD314B" w14:paraId="27CB47D7" w14:textId="77777777">
            <w:pPr>
              <w:jc w:val="center"/>
              <w:rPr>
                <w:rFonts w:cs="Times New Roman"/>
                <w:b/>
                <w:sz w:val="20"/>
                <w:szCs w:val="20"/>
              </w:rPr>
            </w:pPr>
          </w:p>
        </w:tc>
        <w:tc>
          <w:tcPr>
            <w:tcW w:w="645" w:type="dxa"/>
          </w:tcPr>
          <w:p w:rsidRPr="001F049B" w:rsidR="00DD314B" w:rsidP="003A6A42" w:rsidRDefault="00DD314B" w14:paraId="3C8FD9A6" w14:textId="77777777">
            <w:pPr>
              <w:jc w:val="center"/>
              <w:rPr>
                <w:rFonts w:cs="Times New Roman"/>
                <w:b/>
                <w:sz w:val="20"/>
                <w:szCs w:val="20"/>
              </w:rPr>
            </w:pPr>
          </w:p>
        </w:tc>
        <w:tc>
          <w:tcPr>
            <w:tcW w:w="645" w:type="dxa"/>
          </w:tcPr>
          <w:p w:rsidRPr="001F049B" w:rsidR="00DD314B" w:rsidP="003A6A42" w:rsidRDefault="00DD314B" w14:paraId="759D8746" w14:textId="77777777">
            <w:pPr>
              <w:jc w:val="center"/>
              <w:rPr>
                <w:rFonts w:cs="Times New Roman"/>
                <w:b/>
                <w:sz w:val="20"/>
                <w:szCs w:val="20"/>
              </w:rPr>
            </w:pPr>
          </w:p>
        </w:tc>
        <w:tc>
          <w:tcPr>
            <w:tcW w:w="645" w:type="dxa"/>
          </w:tcPr>
          <w:p w:rsidRPr="001F049B" w:rsidR="00DD314B" w:rsidP="003A6A42" w:rsidRDefault="00DD314B" w14:paraId="375B7DB1" w14:textId="77777777">
            <w:pPr>
              <w:jc w:val="center"/>
              <w:rPr>
                <w:rFonts w:cs="Times New Roman"/>
                <w:b/>
                <w:sz w:val="20"/>
                <w:szCs w:val="20"/>
              </w:rPr>
            </w:pPr>
          </w:p>
        </w:tc>
        <w:tc>
          <w:tcPr>
            <w:tcW w:w="645" w:type="dxa"/>
          </w:tcPr>
          <w:p w:rsidRPr="001F049B" w:rsidR="00DD314B" w:rsidP="003A6A42" w:rsidRDefault="00DD314B" w14:paraId="4BF1D37B" w14:textId="4CA41325">
            <w:pPr>
              <w:jc w:val="center"/>
              <w:rPr>
                <w:rFonts w:cs="Times New Roman"/>
                <w:b/>
                <w:sz w:val="20"/>
                <w:szCs w:val="20"/>
              </w:rPr>
            </w:pPr>
            <w:r>
              <w:rPr>
                <w:rFonts w:cs="Times New Roman"/>
                <w:b/>
                <w:sz w:val="20"/>
                <w:szCs w:val="20"/>
              </w:rPr>
              <w:t>X</w:t>
            </w:r>
          </w:p>
        </w:tc>
        <w:tc>
          <w:tcPr>
            <w:tcW w:w="595" w:type="dxa"/>
          </w:tcPr>
          <w:p w:rsidRPr="001F049B" w:rsidR="00DD314B" w:rsidP="003A6A42" w:rsidRDefault="00DD314B" w14:paraId="174AE9E8" w14:textId="296D0302">
            <w:pPr>
              <w:jc w:val="center"/>
              <w:rPr>
                <w:rFonts w:cs="Times New Roman"/>
                <w:b/>
                <w:sz w:val="20"/>
                <w:szCs w:val="20"/>
              </w:rPr>
            </w:pPr>
          </w:p>
        </w:tc>
        <w:tc>
          <w:tcPr>
            <w:tcW w:w="290" w:type="dxa"/>
            <w:vMerge/>
          </w:tcPr>
          <w:p w:rsidRPr="001F049B" w:rsidR="00DD314B" w:rsidP="003A6A42" w:rsidRDefault="00DD314B" w14:paraId="6C916AA3" w14:textId="02498BA4">
            <w:pPr>
              <w:jc w:val="center"/>
              <w:rPr>
                <w:rFonts w:cs="Times New Roman"/>
                <w:b/>
                <w:sz w:val="20"/>
                <w:szCs w:val="20"/>
              </w:rPr>
            </w:pPr>
          </w:p>
        </w:tc>
      </w:tr>
      <w:tr w:rsidRPr="001F049B" w:rsidR="00DD314B" w:rsidTr="00277799" w14:paraId="37F1E88E" w14:textId="77777777">
        <w:trPr>
          <w:trHeight w:val="257"/>
        </w:trPr>
        <w:tc>
          <w:tcPr>
            <w:tcW w:w="3983" w:type="dxa"/>
          </w:tcPr>
          <w:p w:rsidRPr="001F049B" w:rsidR="00DD314B" w:rsidP="003A6A42" w:rsidRDefault="00DD314B" w14:paraId="3143FC61" w14:textId="77777777">
            <w:pPr>
              <w:rPr>
                <w:rFonts w:cs="Times New Roman"/>
                <w:sz w:val="20"/>
                <w:szCs w:val="20"/>
              </w:rPr>
            </w:pPr>
            <w:r w:rsidRPr="001F049B">
              <w:rPr>
                <w:rFonts w:cs="Times New Roman"/>
                <w:sz w:val="20"/>
                <w:szCs w:val="20"/>
              </w:rPr>
              <w:t>Final Project Review Process</w:t>
            </w:r>
          </w:p>
        </w:tc>
        <w:tc>
          <w:tcPr>
            <w:tcW w:w="645" w:type="dxa"/>
          </w:tcPr>
          <w:p w:rsidRPr="001F049B" w:rsidR="00DD314B" w:rsidP="003A6A42" w:rsidRDefault="00DD314B" w14:paraId="1835F41A" w14:textId="77777777">
            <w:pPr>
              <w:jc w:val="center"/>
              <w:rPr>
                <w:rFonts w:cs="Times New Roman"/>
                <w:b/>
                <w:sz w:val="20"/>
                <w:szCs w:val="20"/>
              </w:rPr>
            </w:pPr>
          </w:p>
        </w:tc>
        <w:tc>
          <w:tcPr>
            <w:tcW w:w="645" w:type="dxa"/>
          </w:tcPr>
          <w:p w:rsidRPr="001F049B" w:rsidR="00DD314B" w:rsidP="003A6A42" w:rsidRDefault="00DD314B" w14:paraId="68E23B45" w14:textId="77777777">
            <w:pPr>
              <w:jc w:val="center"/>
              <w:rPr>
                <w:rFonts w:cs="Times New Roman"/>
                <w:b/>
                <w:sz w:val="20"/>
                <w:szCs w:val="20"/>
              </w:rPr>
            </w:pPr>
          </w:p>
        </w:tc>
        <w:tc>
          <w:tcPr>
            <w:tcW w:w="645" w:type="dxa"/>
          </w:tcPr>
          <w:p w:rsidRPr="001F049B" w:rsidR="00DD314B" w:rsidP="003A6A42" w:rsidRDefault="00DD314B" w14:paraId="4A08BE40" w14:textId="77777777">
            <w:pPr>
              <w:jc w:val="center"/>
              <w:rPr>
                <w:rFonts w:cs="Times New Roman"/>
                <w:b/>
                <w:sz w:val="20"/>
                <w:szCs w:val="20"/>
              </w:rPr>
            </w:pPr>
          </w:p>
        </w:tc>
        <w:tc>
          <w:tcPr>
            <w:tcW w:w="645" w:type="dxa"/>
          </w:tcPr>
          <w:p w:rsidRPr="001F049B" w:rsidR="00DD314B" w:rsidP="003A6A42" w:rsidRDefault="00DD314B" w14:paraId="4C778493" w14:textId="77777777">
            <w:pPr>
              <w:jc w:val="center"/>
              <w:rPr>
                <w:rFonts w:cs="Times New Roman"/>
                <w:b/>
                <w:sz w:val="20"/>
                <w:szCs w:val="20"/>
              </w:rPr>
            </w:pPr>
          </w:p>
        </w:tc>
        <w:tc>
          <w:tcPr>
            <w:tcW w:w="645" w:type="dxa"/>
          </w:tcPr>
          <w:p w:rsidRPr="001F049B" w:rsidR="00DD314B" w:rsidP="003A6A42" w:rsidRDefault="00DD314B" w14:paraId="2025E7C0" w14:textId="561931CD">
            <w:pPr>
              <w:jc w:val="center"/>
              <w:rPr>
                <w:rFonts w:cs="Times New Roman"/>
                <w:b/>
                <w:sz w:val="20"/>
                <w:szCs w:val="20"/>
              </w:rPr>
            </w:pPr>
            <w:r>
              <w:rPr>
                <w:rFonts w:cs="Times New Roman"/>
                <w:b/>
                <w:sz w:val="20"/>
                <w:szCs w:val="20"/>
              </w:rPr>
              <w:t>X</w:t>
            </w:r>
          </w:p>
        </w:tc>
        <w:tc>
          <w:tcPr>
            <w:tcW w:w="595" w:type="dxa"/>
          </w:tcPr>
          <w:p w:rsidRPr="001F049B" w:rsidR="00DD314B" w:rsidP="003A6A42" w:rsidRDefault="00DD314B" w14:paraId="69387D40" w14:textId="1F9869A7">
            <w:pPr>
              <w:jc w:val="center"/>
              <w:rPr>
                <w:rFonts w:cs="Times New Roman"/>
                <w:b/>
                <w:sz w:val="20"/>
                <w:szCs w:val="20"/>
              </w:rPr>
            </w:pPr>
            <w:r>
              <w:rPr>
                <w:rFonts w:cs="Times New Roman"/>
                <w:b/>
                <w:sz w:val="20"/>
                <w:szCs w:val="20"/>
              </w:rPr>
              <w:t>X</w:t>
            </w:r>
          </w:p>
        </w:tc>
        <w:tc>
          <w:tcPr>
            <w:tcW w:w="290" w:type="dxa"/>
            <w:vMerge/>
          </w:tcPr>
          <w:p w:rsidRPr="001F049B" w:rsidR="00DD314B" w:rsidP="003A6A42" w:rsidRDefault="00DD314B" w14:paraId="22F8A580" w14:textId="4BA39117">
            <w:pPr>
              <w:jc w:val="center"/>
              <w:rPr>
                <w:rFonts w:cs="Times New Roman"/>
                <w:b/>
                <w:sz w:val="20"/>
                <w:szCs w:val="20"/>
              </w:rPr>
            </w:pPr>
          </w:p>
        </w:tc>
      </w:tr>
      <w:tr w:rsidRPr="001F049B" w:rsidR="00DD314B" w:rsidTr="00277799" w14:paraId="23ED3528" w14:textId="77777777">
        <w:trPr>
          <w:trHeight w:val="257"/>
        </w:trPr>
        <w:tc>
          <w:tcPr>
            <w:tcW w:w="3983" w:type="dxa"/>
          </w:tcPr>
          <w:p w:rsidRPr="001F049B" w:rsidR="00DD314B" w:rsidP="003A6A42" w:rsidRDefault="00DD314B" w14:paraId="56736D3F" w14:textId="77777777">
            <w:pPr>
              <w:rPr>
                <w:rFonts w:cs="Times New Roman"/>
                <w:sz w:val="20"/>
                <w:szCs w:val="20"/>
              </w:rPr>
            </w:pPr>
            <w:r w:rsidRPr="001F049B">
              <w:rPr>
                <w:rFonts w:cs="Times New Roman"/>
                <w:sz w:val="20"/>
                <w:szCs w:val="20"/>
              </w:rPr>
              <w:t>Dissemination of Project Outcomes</w:t>
            </w:r>
          </w:p>
        </w:tc>
        <w:tc>
          <w:tcPr>
            <w:tcW w:w="645" w:type="dxa"/>
          </w:tcPr>
          <w:p w:rsidRPr="001F049B" w:rsidR="00DD314B" w:rsidP="003A6A42" w:rsidRDefault="00DD314B" w14:paraId="2532E5AD" w14:textId="77777777">
            <w:pPr>
              <w:jc w:val="center"/>
              <w:rPr>
                <w:rFonts w:cs="Times New Roman"/>
                <w:b/>
                <w:sz w:val="20"/>
                <w:szCs w:val="20"/>
              </w:rPr>
            </w:pPr>
          </w:p>
        </w:tc>
        <w:tc>
          <w:tcPr>
            <w:tcW w:w="645" w:type="dxa"/>
          </w:tcPr>
          <w:p w:rsidRPr="001F049B" w:rsidR="00DD314B" w:rsidP="003A6A42" w:rsidRDefault="00DD314B" w14:paraId="2CA1E4E2" w14:textId="77777777">
            <w:pPr>
              <w:jc w:val="center"/>
              <w:rPr>
                <w:rFonts w:cs="Times New Roman"/>
                <w:b/>
                <w:sz w:val="20"/>
                <w:szCs w:val="20"/>
              </w:rPr>
            </w:pPr>
          </w:p>
        </w:tc>
        <w:tc>
          <w:tcPr>
            <w:tcW w:w="645" w:type="dxa"/>
          </w:tcPr>
          <w:p w:rsidRPr="001F049B" w:rsidR="00DD314B" w:rsidP="003A6A42" w:rsidRDefault="00DD314B" w14:paraId="59D66D12" w14:textId="77777777">
            <w:pPr>
              <w:jc w:val="center"/>
              <w:rPr>
                <w:rFonts w:cs="Times New Roman"/>
                <w:b/>
                <w:sz w:val="20"/>
                <w:szCs w:val="20"/>
              </w:rPr>
            </w:pPr>
          </w:p>
        </w:tc>
        <w:tc>
          <w:tcPr>
            <w:tcW w:w="645" w:type="dxa"/>
          </w:tcPr>
          <w:p w:rsidRPr="001F049B" w:rsidR="00DD314B" w:rsidP="003A6A42" w:rsidRDefault="00DD314B" w14:paraId="12232382" w14:textId="77777777">
            <w:pPr>
              <w:jc w:val="center"/>
              <w:rPr>
                <w:rFonts w:cs="Times New Roman"/>
                <w:b/>
                <w:sz w:val="20"/>
                <w:szCs w:val="20"/>
              </w:rPr>
            </w:pPr>
          </w:p>
        </w:tc>
        <w:tc>
          <w:tcPr>
            <w:tcW w:w="645" w:type="dxa"/>
          </w:tcPr>
          <w:p w:rsidRPr="001F049B" w:rsidR="00DD314B" w:rsidP="003A6A42" w:rsidRDefault="00DD314B" w14:paraId="6915EF24" w14:textId="3519FFE3">
            <w:pPr>
              <w:jc w:val="center"/>
              <w:rPr>
                <w:rFonts w:cs="Times New Roman"/>
                <w:b/>
                <w:sz w:val="20"/>
                <w:szCs w:val="20"/>
              </w:rPr>
            </w:pPr>
            <w:r>
              <w:rPr>
                <w:rFonts w:cs="Times New Roman"/>
                <w:b/>
                <w:sz w:val="20"/>
                <w:szCs w:val="20"/>
              </w:rPr>
              <w:t>X</w:t>
            </w:r>
          </w:p>
        </w:tc>
        <w:tc>
          <w:tcPr>
            <w:tcW w:w="595" w:type="dxa"/>
          </w:tcPr>
          <w:p w:rsidRPr="001F049B" w:rsidR="00DD314B" w:rsidP="003A6A42" w:rsidRDefault="00DD314B" w14:paraId="09842BC5" w14:textId="417A8799">
            <w:pPr>
              <w:jc w:val="center"/>
              <w:rPr>
                <w:rFonts w:cs="Times New Roman"/>
                <w:b/>
                <w:sz w:val="20"/>
                <w:szCs w:val="20"/>
              </w:rPr>
            </w:pPr>
            <w:r>
              <w:rPr>
                <w:rFonts w:cs="Times New Roman"/>
                <w:b/>
                <w:sz w:val="20"/>
                <w:szCs w:val="20"/>
              </w:rPr>
              <w:t>X</w:t>
            </w:r>
          </w:p>
        </w:tc>
        <w:tc>
          <w:tcPr>
            <w:tcW w:w="290" w:type="dxa"/>
            <w:vMerge/>
          </w:tcPr>
          <w:p w:rsidRPr="001F049B" w:rsidR="00DD314B" w:rsidP="003A6A42" w:rsidRDefault="00DD314B" w14:paraId="5A55AD7B" w14:textId="308AFBC9">
            <w:pPr>
              <w:jc w:val="center"/>
              <w:rPr>
                <w:rFonts w:cs="Times New Roman"/>
                <w:b/>
                <w:sz w:val="20"/>
                <w:szCs w:val="20"/>
              </w:rPr>
            </w:pPr>
          </w:p>
        </w:tc>
      </w:tr>
    </w:tbl>
    <w:p w:rsidR="004A13E8" w:rsidP="0025156B" w:rsidRDefault="004A13E8" w14:paraId="55FE1826" w14:textId="77777777">
      <w:pPr>
        <w:pStyle w:val="Heading1"/>
        <w:spacing w:before="240"/>
      </w:pPr>
      <w:bookmarkStart w:name="_Toc473880033" w:id="23"/>
      <w:r>
        <w:t>Reason(s) Display of OMB Expiration Date is Inappropriate</w:t>
      </w:r>
      <w:bookmarkEnd w:id="23"/>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473880034" w:id="24"/>
      <w:r>
        <w:t>Exceptions to Certification for Paperwork Reduction Act Submissions</w:t>
      </w:r>
      <w:bookmarkEnd w:id="24"/>
    </w:p>
    <w:p w:rsidRPr="004A13E8" w:rsidR="004A13E8" w:rsidP="004A13E8" w:rsidRDefault="004A13E8" w14:paraId="55FE1829" w14:textId="77777777">
      <w:r>
        <w:t>There are no exceptions to the certification.</w:t>
      </w:r>
    </w:p>
    <w:p w:rsidR="005140FD" w:rsidP="005140FD" w:rsidRDefault="005140FD" w14:paraId="2E2FA221" w14:textId="77777777">
      <w:pPr>
        <w:pStyle w:val="Heading1"/>
        <w:numPr>
          <w:ilvl w:val="0"/>
          <w:numId w:val="0"/>
        </w:numPr>
      </w:pPr>
      <w:bookmarkStart w:name="_Toc473880035" w:id="25"/>
      <w:r>
        <w:lastRenderedPageBreak/>
        <w:t>References</w:t>
      </w:r>
    </w:p>
    <w:p w:rsidR="005140FD" w:rsidP="004A13E8" w:rsidRDefault="00813D41" w14:paraId="16BB6573" w14:textId="7A12E2DB">
      <w:pPr>
        <w:pStyle w:val="Heading1"/>
        <w:numPr>
          <w:ilvl w:val="0"/>
          <w:numId w:val="0"/>
        </w:numPr>
      </w:pPr>
      <w:hyperlink w:history="1" r:id="rId12">
        <w:r w:rsidRPr="008B5723" w:rsidR="005140FD">
          <w:rPr>
            <w:rStyle w:val="Hyperlink"/>
          </w:rPr>
          <w:t>https://www.cdc.gov/media/releases/2020/s0226-Covid-19-spread.html</w:t>
        </w:r>
      </w:hyperlink>
    </w:p>
    <w:p w:rsidRPr="004A13E8" w:rsidR="004A13E8" w:rsidP="004A13E8" w:rsidRDefault="004A13E8" w14:paraId="55FE182A" w14:textId="68BF876E">
      <w:pPr>
        <w:pStyle w:val="Heading1"/>
        <w:numPr>
          <w:ilvl w:val="0"/>
          <w:numId w:val="0"/>
        </w:numPr>
      </w:pPr>
      <w:r>
        <w:t>Attachments</w:t>
      </w:r>
      <w:bookmarkEnd w:id="25"/>
    </w:p>
    <w:p w:rsidRPr="00877BA9" w:rsidR="00877BA9" w:rsidP="00C95DE8" w:rsidRDefault="00877BA9" w14:paraId="437B4717" w14:textId="1A52436B">
      <w:pPr>
        <w:pStyle w:val="Heading1"/>
        <w:numPr>
          <w:ilvl w:val="0"/>
          <w:numId w:val="0"/>
        </w:numPr>
        <w:spacing w:after="0" w:line="360" w:lineRule="auto"/>
        <w:rPr>
          <w:b w:val="0"/>
        </w:rPr>
      </w:pPr>
      <w:r w:rsidRPr="00877BA9">
        <w:rPr>
          <w:b w:val="0"/>
        </w:rPr>
        <w:t>Attachment 1 – Authorizing Legislation</w:t>
      </w:r>
    </w:p>
    <w:p w:rsidRPr="00877BA9" w:rsidR="00877BA9" w:rsidP="00C95DE8" w:rsidRDefault="00877BA9" w14:paraId="6B6319D1" w14:textId="77777777">
      <w:pPr>
        <w:pStyle w:val="Heading1"/>
        <w:numPr>
          <w:ilvl w:val="0"/>
          <w:numId w:val="0"/>
        </w:numPr>
        <w:spacing w:after="0" w:line="360" w:lineRule="auto"/>
        <w:rPr>
          <w:b w:val="0"/>
        </w:rPr>
      </w:pPr>
      <w:r w:rsidRPr="00877BA9">
        <w:rPr>
          <w:b w:val="0"/>
        </w:rPr>
        <w:t>Attachment 2 – 60-day FRN</w:t>
      </w:r>
    </w:p>
    <w:p w:rsidRPr="00877BA9" w:rsidR="00877BA9" w:rsidP="00C95DE8" w:rsidRDefault="00877BA9" w14:paraId="53E2464F" w14:textId="77777777">
      <w:pPr>
        <w:pStyle w:val="Heading1"/>
        <w:numPr>
          <w:ilvl w:val="0"/>
          <w:numId w:val="0"/>
        </w:numPr>
        <w:spacing w:after="0" w:line="360" w:lineRule="auto"/>
        <w:rPr>
          <w:b w:val="0"/>
        </w:rPr>
      </w:pPr>
      <w:r w:rsidRPr="00877BA9">
        <w:rPr>
          <w:b w:val="0"/>
        </w:rPr>
        <w:t>Attachment 3a – Individual Questionnaire</w:t>
      </w:r>
    </w:p>
    <w:p w:rsidRPr="00877BA9" w:rsidR="00877BA9" w:rsidP="00C95DE8" w:rsidRDefault="00877BA9" w14:paraId="2AB02762" w14:textId="77777777">
      <w:pPr>
        <w:pStyle w:val="Heading1"/>
        <w:numPr>
          <w:ilvl w:val="0"/>
          <w:numId w:val="0"/>
        </w:numPr>
        <w:spacing w:after="0" w:line="360" w:lineRule="auto"/>
        <w:rPr>
          <w:b w:val="0"/>
        </w:rPr>
      </w:pPr>
      <w:r w:rsidRPr="00877BA9">
        <w:rPr>
          <w:b w:val="0"/>
        </w:rPr>
        <w:t>Attachment 3b – Household Questionnaire</w:t>
      </w:r>
    </w:p>
    <w:p w:rsidR="00877BA9" w:rsidP="00C95DE8" w:rsidRDefault="00877BA9" w14:paraId="42E3968B" w14:textId="62F36970">
      <w:pPr>
        <w:pStyle w:val="Heading1"/>
        <w:numPr>
          <w:ilvl w:val="0"/>
          <w:numId w:val="0"/>
        </w:numPr>
        <w:spacing w:after="0" w:line="360" w:lineRule="auto"/>
        <w:rPr>
          <w:b w:val="0"/>
        </w:rPr>
      </w:pPr>
      <w:r w:rsidRPr="00877BA9">
        <w:rPr>
          <w:b w:val="0"/>
        </w:rPr>
        <w:t>Attachment 4</w:t>
      </w:r>
      <w:r w:rsidR="00075A62">
        <w:rPr>
          <w:b w:val="0"/>
        </w:rPr>
        <w:t>a</w:t>
      </w:r>
      <w:r w:rsidRPr="00877BA9">
        <w:rPr>
          <w:b w:val="0"/>
        </w:rPr>
        <w:t xml:space="preserve"> – Field Team SOP</w:t>
      </w:r>
    </w:p>
    <w:p w:rsidRPr="00DE3EE4" w:rsidR="00DE3EE4" w:rsidP="00C95DE8" w:rsidRDefault="00DE3EE4" w14:paraId="7D977121" w14:textId="1F1AB6DA">
      <w:pPr>
        <w:spacing w:after="0" w:line="360" w:lineRule="auto"/>
      </w:pPr>
      <w:r>
        <w:t xml:space="preserve">Attachment </w:t>
      </w:r>
      <w:r w:rsidR="00075A62">
        <w:t>4b – Consent Form</w:t>
      </w:r>
    </w:p>
    <w:p w:rsidRPr="00877BA9" w:rsidR="00877BA9" w:rsidP="00C95DE8" w:rsidRDefault="00877BA9" w14:paraId="30133853" w14:textId="77777777">
      <w:pPr>
        <w:pStyle w:val="Heading1"/>
        <w:numPr>
          <w:ilvl w:val="0"/>
          <w:numId w:val="0"/>
        </w:numPr>
        <w:spacing w:after="0" w:line="360" w:lineRule="auto"/>
        <w:rPr>
          <w:b w:val="0"/>
        </w:rPr>
      </w:pPr>
      <w:r w:rsidRPr="00877BA9">
        <w:rPr>
          <w:b w:val="0"/>
        </w:rPr>
        <w:t>Attachment 5 – Investigation Protocol</w:t>
      </w:r>
    </w:p>
    <w:p w:rsidR="00FE4EEC" w:rsidP="00C95DE8" w:rsidRDefault="00877BA9" w14:paraId="7EA874FA" w14:textId="6226E81C">
      <w:pPr>
        <w:pStyle w:val="ListParagraph"/>
        <w:spacing w:after="0" w:line="360" w:lineRule="auto"/>
        <w:ind w:left="0"/>
      </w:pPr>
      <w:r w:rsidRPr="00877BA9">
        <w:t>Attachment 6 – Letter of Invitation</w:t>
      </w:r>
      <w:r w:rsidRPr="00877BA9" w:rsidDel="00F56EC9">
        <w:t xml:space="preserve"> </w:t>
      </w:r>
    </w:p>
    <w:p w:rsidRPr="004A13E8" w:rsidR="00BA7A1B" w:rsidP="00C95DE8" w:rsidRDefault="00FE4EEC" w14:paraId="53912682" w14:textId="17C2ECAD">
      <w:pPr>
        <w:pStyle w:val="ListParagraph"/>
        <w:spacing w:after="0" w:line="360" w:lineRule="auto"/>
        <w:ind w:left="0"/>
      </w:pPr>
      <w:r>
        <w:t xml:space="preserve">Attachment 7 </w:t>
      </w:r>
      <w:r w:rsidRPr="00877BA9" w:rsidR="006B654D">
        <w:t>–</w:t>
      </w:r>
      <w:r w:rsidR="006B654D">
        <w:t xml:space="preserve"> IRB Non-Research Determination </w:t>
      </w:r>
    </w:p>
    <w:sectPr w:rsidRPr="004A13E8" w:rsidR="00BA7A1B"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7CC9A" w14:textId="77777777" w:rsidR="00813D41" w:rsidRDefault="00813D41" w:rsidP="008B5D54">
      <w:pPr>
        <w:spacing w:after="0" w:line="240" w:lineRule="auto"/>
      </w:pPr>
      <w:r>
        <w:separator/>
      </w:r>
    </w:p>
  </w:endnote>
  <w:endnote w:type="continuationSeparator" w:id="0">
    <w:p w14:paraId="243FC08F" w14:textId="77777777" w:rsidR="00813D41" w:rsidRDefault="00813D4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781C2A9D" w:rsidR="00813D41" w:rsidRDefault="00813D4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FE1836" w14:textId="77777777" w:rsidR="00813D41" w:rsidRDefault="0081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7B06C" w14:textId="77777777" w:rsidR="00813D41" w:rsidRDefault="00813D41" w:rsidP="008B5D54">
      <w:pPr>
        <w:spacing w:after="0" w:line="240" w:lineRule="auto"/>
      </w:pPr>
      <w:r>
        <w:separator/>
      </w:r>
    </w:p>
  </w:footnote>
  <w:footnote w:type="continuationSeparator" w:id="0">
    <w:p w14:paraId="5F77D3E0" w14:textId="77777777" w:rsidR="00813D41" w:rsidRDefault="00813D41"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2079"/>
    <w:multiLevelType w:val="hybridMultilevel"/>
    <w:tmpl w:val="E4B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A2664"/>
    <w:multiLevelType w:val="hybridMultilevel"/>
    <w:tmpl w:val="00C62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C4C06"/>
    <w:multiLevelType w:val="hybridMultilevel"/>
    <w:tmpl w:val="7296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847C1"/>
    <w:multiLevelType w:val="hybridMultilevel"/>
    <w:tmpl w:val="0CC6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1B3059"/>
    <w:multiLevelType w:val="hybridMultilevel"/>
    <w:tmpl w:val="CF5EE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E1AE4"/>
    <w:multiLevelType w:val="hybridMultilevel"/>
    <w:tmpl w:val="A2BA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2"/>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72CA"/>
    <w:rsid w:val="00015C1E"/>
    <w:rsid w:val="000365B9"/>
    <w:rsid w:val="000374DA"/>
    <w:rsid w:val="00041868"/>
    <w:rsid w:val="00044372"/>
    <w:rsid w:val="00052E96"/>
    <w:rsid w:val="0005699B"/>
    <w:rsid w:val="0006581D"/>
    <w:rsid w:val="00075A62"/>
    <w:rsid w:val="00077A77"/>
    <w:rsid w:val="00081674"/>
    <w:rsid w:val="00087B8B"/>
    <w:rsid w:val="0009495D"/>
    <w:rsid w:val="00097498"/>
    <w:rsid w:val="000B4B1A"/>
    <w:rsid w:val="000B6039"/>
    <w:rsid w:val="000B67AB"/>
    <w:rsid w:val="000C1760"/>
    <w:rsid w:val="000C6A40"/>
    <w:rsid w:val="000D4937"/>
    <w:rsid w:val="000F69A8"/>
    <w:rsid w:val="000F70DC"/>
    <w:rsid w:val="000F79BA"/>
    <w:rsid w:val="0010359D"/>
    <w:rsid w:val="00103DC5"/>
    <w:rsid w:val="0010600D"/>
    <w:rsid w:val="00114974"/>
    <w:rsid w:val="00120E04"/>
    <w:rsid w:val="00123A9D"/>
    <w:rsid w:val="00123BCE"/>
    <w:rsid w:val="00124128"/>
    <w:rsid w:val="00137D79"/>
    <w:rsid w:val="001467E9"/>
    <w:rsid w:val="001523DF"/>
    <w:rsid w:val="00152C70"/>
    <w:rsid w:val="001646CE"/>
    <w:rsid w:val="00170CC0"/>
    <w:rsid w:val="00171C23"/>
    <w:rsid w:val="0017406A"/>
    <w:rsid w:val="00181DB5"/>
    <w:rsid w:val="00186C19"/>
    <w:rsid w:val="00193206"/>
    <w:rsid w:val="001973FF"/>
    <w:rsid w:val="001A58BE"/>
    <w:rsid w:val="001B22F4"/>
    <w:rsid w:val="001C166F"/>
    <w:rsid w:val="001C1C89"/>
    <w:rsid w:val="001C2497"/>
    <w:rsid w:val="001E08A8"/>
    <w:rsid w:val="00216A6B"/>
    <w:rsid w:val="00237BB7"/>
    <w:rsid w:val="0024317F"/>
    <w:rsid w:val="002441B9"/>
    <w:rsid w:val="00247235"/>
    <w:rsid w:val="00247853"/>
    <w:rsid w:val="0025156B"/>
    <w:rsid w:val="00252E6F"/>
    <w:rsid w:val="00253F65"/>
    <w:rsid w:val="00273790"/>
    <w:rsid w:val="0027510D"/>
    <w:rsid w:val="00277799"/>
    <w:rsid w:val="00290814"/>
    <w:rsid w:val="00293BFC"/>
    <w:rsid w:val="00294A56"/>
    <w:rsid w:val="0029695B"/>
    <w:rsid w:val="002A15BE"/>
    <w:rsid w:val="002A5BE6"/>
    <w:rsid w:val="002B226B"/>
    <w:rsid w:val="002C1467"/>
    <w:rsid w:val="002C174C"/>
    <w:rsid w:val="002C179B"/>
    <w:rsid w:val="002C39DD"/>
    <w:rsid w:val="002D0238"/>
    <w:rsid w:val="002D590A"/>
    <w:rsid w:val="002F1340"/>
    <w:rsid w:val="002F1B39"/>
    <w:rsid w:val="002F439C"/>
    <w:rsid w:val="003007C4"/>
    <w:rsid w:val="00301C7B"/>
    <w:rsid w:val="00304BBB"/>
    <w:rsid w:val="0032088C"/>
    <w:rsid w:val="00324A19"/>
    <w:rsid w:val="003359D1"/>
    <w:rsid w:val="00336B14"/>
    <w:rsid w:val="00340362"/>
    <w:rsid w:val="00341663"/>
    <w:rsid w:val="003419B3"/>
    <w:rsid w:val="003629A3"/>
    <w:rsid w:val="0036528E"/>
    <w:rsid w:val="003705F2"/>
    <w:rsid w:val="00381906"/>
    <w:rsid w:val="00382B10"/>
    <w:rsid w:val="003A42C6"/>
    <w:rsid w:val="003A6A42"/>
    <w:rsid w:val="003B2FB4"/>
    <w:rsid w:val="003B551F"/>
    <w:rsid w:val="003C706B"/>
    <w:rsid w:val="003D45A3"/>
    <w:rsid w:val="003E4CD8"/>
    <w:rsid w:val="003F20E8"/>
    <w:rsid w:val="003F60CF"/>
    <w:rsid w:val="00403FE9"/>
    <w:rsid w:val="00411797"/>
    <w:rsid w:val="004173E1"/>
    <w:rsid w:val="004343B2"/>
    <w:rsid w:val="0043440D"/>
    <w:rsid w:val="00441006"/>
    <w:rsid w:val="004411EB"/>
    <w:rsid w:val="00446A7C"/>
    <w:rsid w:val="004511AF"/>
    <w:rsid w:val="00457614"/>
    <w:rsid w:val="004611B4"/>
    <w:rsid w:val="00465C68"/>
    <w:rsid w:val="004714DB"/>
    <w:rsid w:val="00472AEE"/>
    <w:rsid w:val="00472FE2"/>
    <w:rsid w:val="00473159"/>
    <w:rsid w:val="004763CB"/>
    <w:rsid w:val="004769F6"/>
    <w:rsid w:val="004815E0"/>
    <w:rsid w:val="00483CD6"/>
    <w:rsid w:val="004841D1"/>
    <w:rsid w:val="00494C95"/>
    <w:rsid w:val="004A0034"/>
    <w:rsid w:val="004A13E8"/>
    <w:rsid w:val="004A2987"/>
    <w:rsid w:val="004A38B8"/>
    <w:rsid w:val="004A38E3"/>
    <w:rsid w:val="004A391B"/>
    <w:rsid w:val="004A669F"/>
    <w:rsid w:val="004B2AA5"/>
    <w:rsid w:val="004B39BA"/>
    <w:rsid w:val="004C24FD"/>
    <w:rsid w:val="004C39F9"/>
    <w:rsid w:val="004C527B"/>
    <w:rsid w:val="004D0CD2"/>
    <w:rsid w:val="004E1A1D"/>
    <w:rsid w:val="004E55CA"/>
    <w:rsid w:val="004E5F8F"/>
    <w:rsid w:val="0050415A"/>
    <w:rsid w:val="0051092D"/>
    <w:rsid w:val="00511237"/>
    <w:rsid w:val="00513D9C"/>
    <w:rsid w:val="005140FD"/>
    <w:rsid w:val="00534E9E"/>
    <w:rsid w:val="005544C6"/>
    <w:rsid w:val="00564656"/>
    <w:rsid w:val="00566796"/>
    <w:rsid w:val="0056712E"/>
    <w:rsid w:val="0058088B"/>
    <w:rsid w:val="005A2E73"/>
    <w:rsid w:val="005A318F"/>
    <w:rsid w:val="005C1522"/>
    <w:rsid w:val="005C2EFC"/>
    <w:rsid w:val="005C7624"/>
    <w:rsid w:val="005D2F04"/>
    <w:rsid w:val="005D2F5E"/>
    <w:rsid w:val="005E59F9"/>
    <w:rsid w:val="005E7A60"/>
    <w:rsid w:val="005F28FF"/>
    <w:rsid w:val="005F4A1A"/>
    <w:rsid w:val="005F567D"/>
    <w:rsid w:val="00602AFF"/>
    <w:rsid w:val="0060396A"/>
    <w:rsid w:val="006040EE"/>
    <w:rsid w:val="00607B3A"/>
    <w:rsid w:val="0061796D"/>
    <w:rsid w:val="006207FA"/>
    <w:rsid w:val="006212FF"/>
    <w:rsid w:val="00634894"/>
    <w:rsid w:val="006373CB"/>
    <w:rsid w:val="00641B0A"/>
    <w:rsid w:val="006536FD"/>
    <w:rsid w:val="00653FB3"/>
    <w:rsid w:val="006675EE"/>
    <w:rsid w:val="00670B11"/>
    <w:rsid w:val="00674026"/>
    <w:rsid w:val="00681073"/>
    <w:rsid w:val="00681D6A"/>
    <w:rsid w:val="00685F34"/>
    <w:rsid w:val="0069217E"/>
    <w:rsid w:val="00697909"/>
    <w:rsid w:val="006A777C"/>
    <w:rsid w:val="006B654D"/>
    <w:rsid w:val="006B784D"/>
    <w:rsid w:val="006C6578"/>
    <w:rsid w:val="006D1D06"/>
    <w:rsid w:val="006D1DB4"/>
    <w:rsid w:val="006D2982"/>
    <w:rsid w:val="006D52E0"/>
    <w:rsid w:val="006E20A4"/>
    <w:rsid w:val="006E47E4"/>
    <w:rsid w:val="006F40F0"/>
    <w:rsid w:val="006F7FE5"/>
    <w:rsid w:val="00711F0D"/>
    <w:rsid w:val="00713C81"/>
    <w:rsid w:val="007142CD"/>
    <w:rsid w:val="007335B2"/>
    <w:rsid w:val="00734D63"/>
    <w:rsid w:val="00743137"/>
    <w:rsid w:val="00750DDF"/>
    <w:rsid w:val="00751219"/>
    <w:rsid w:val="00751A81"/>
    <w:rsid w:val="00753BD8"/>
    <w:rsid w:val="0075608B"/>
    <w:rsid w:val="00766B83"/>
    <w:rsid w:val="00780DC1"/>
    <w:rsid w:val="00790323"/>
    <w:rsid w:val="007910F5"/>
    <w:rsid w:val="0079621D"/>
    <w:rsid w:val="007A183B"/>
    <w:rsid w:val="007C2AA1"/>
    <w:rsid w:val="007C2E39"/>
    <w:rsid w:val="007C599E"/>
    <w:rsid w:val="007E6022"/>
    <w:rsid w:val="007F46E9"/>
    <w:rsid w:val="007F587F"/>
    <w:rsid w:val="008014BE"/>
    <w:rsid w:val="00801A65"/>
    <w:rsid w:val="00803B8F"/>
    <w:rsid w:val="00813A04"/>
    <w:rsid w:val="00813D41"/>
    <w:rsid w:val="00820C82"/>
    <w:rsid w:val="00827F0C"/>
    <w:rsid w:val="00854AEB"/>
    <w:rsid w:val="0086138C"/>
    <w:rsid w:val="00864DCD"/>
    <w:rsid w:val="00865EFC"/>
    <w:rsid w:val="008708E4"/>
    <w:rsid w:val="00877BA9"/>
    <w:rsid w:val="0089309C"/>
    <w:rsid w:val="00896C35"/>
    <w:rsid w:val="008A121C"/>
    <w:rsid w:val="008B3798"/>
    <w:rsid w:val="008B5D54"/>
    <w:rsid w:val="008C262C"/>
    <w:rsid w:val="008C2A1E"/>
    <w:rsid w:val="008D09CD"/>
    <w:rsid w:val="008D5AEA"/>
    <w:rsid w:val="008E4E08"/>
    <w:rsid w:val="008F1415"/>
    <w:rsid w:val="0090209E"/>
    <w:rsid w:val="00903A3A"/>
    <w:rsid w:val="009110A8"/>
    <w:rsid w:val="00916C09"/>
    <w:rsid w:val="00926E0D"/>
    <w:rsid w:val="00935879"/>
    <w:rsid w:val="00937D6B"/>
    <w:rsid w:val="00951BAE"/>
    <w:rsid w:val="00963E7C"/>
    <w:rsid w:val="00965FAD"/>
    <w:rsid w:val="00970FAD"/>
    <w:rsid w:val="00977F73"/>
    <w:rsid w:val="00984FE5"/>
    <w:rsid w:val="0098602B"/>
    <w:rsid w:val="00994642"/>
    <w:rsid w:val="00994D05"/>
    <w:rsid w:val="00997D0E"/>
    <w:rsid w:val="009A79E1"/>
    <w:rsid w:val="009B0947"/>
    <w:rsid w:val="009B1E4D"/>
    <w:rsid w:val="009E2718"/>
    <w:rsid w:val="009F13C9"/>
    <w:rsid w:val="009F7B31"/>
    <w:rsid w:val="00A04BC8"/>
    <w:rsid w:val="00A2180A"/>
    <w:rsid w:val="00A27946"/>
    <w:rsid w:val="00A3002A"/>
    <w:rsid w:val="00A427E4"/>
    <w:rsid w:val="00A42A97"/>
    <w:rsid w:val="00A51D08"/>
    <w:rsid w:val="00A612EC"/>
    <w:rsid w:val="00A6225A"/>
    <w:rsid w:val="00A67086"/>
    <w:rsid w:val="00A674AB"/>
    <w:rsid w:val="00A81EE9"/>
    <w:rsid w:val="00A908EC"/>
    <w:rsid w:val="00AA7396"/>
    <w:rsid w:val="00AC1D60"/>
    <w:rsid w:val="00AC2172"/>
    <w:rsid w:val="00AC5027"/>
    <w:rsid w:val="00AC7D00"/>
    <w:rsid w:val="00AD15F1"/>
    <w:rsid w:val="00AD2F36"/>
    <w:rsid w:val="00AD40F4"/>
    <w:rsid w:val="00AE6441"/>
    <w:rsid w:val="00AE7825"/>
    <w:rsid w:val="00AF7BBA"/>
    <w:rsid w:val="00B02AEA"/>
    <w:rsid w:val="00B07728"/>
    <w:rsid w:val="00B11F3A"/>
    <w:rsid w:val="00B15175"/>
    <w:rsid w:val="00B221D7"/>
    <w:rsid w:val="00B36E1F"/>
    <w:rsid w:val="00B513E5"/>
    <w:rsid w:val="00B51DFF"/>
    <w:rsid w:val="00B55735"/>
    <w:rsid w:val="00B608AC"/>
    <w:rsid w:val="00B64B9E"/>
    <w:rsid w:val="00B75D1E"/>
    <w:rsid w:val="00B803E6"/>
    <w:rsid w:val="00B81081"/>
    <w:rsid w:val="00B813FE"/>
    <w:rsid w:val="00B81D8D"/>
    <w:rsid w:val="00B827D2"/>
    <w:rsid w:val="00B91400"/>
    <w:rsid w:val="00B94956"/>
    <w:rsid w:val="00BA0693"/>
    <w:rsid w:val="00BA6B1A"/>
    <w:rsid w:val="00BA7A1B"/>
    <w:rsid w:val="00BB25C6"/>
    <w:rsid w:val="00BC7BBC"/>
    <w:rsid w:val="00BD041A"/>
    <w:rsid w:val="00BD10E8"/>
    <w:rsid w:val="00BE0036"/>
    <w:rsid w:val="00BE4B0E"/>
    <w:rsid w:val="00BF5134"/>
    <w:rsid w:val="00C12408"/>
    <w:rsid w:val="00C160D0"/>
    <w:rsid w:val="00C30FD7"/>
    <w:rsid w:val="00C32380"/>
    <w:rsid w:val="00C4660B"/>
    <w:rsid w:val="00C4774C"/>
    <w:rsid w:val="00C553B7"/>
    <w:rsid w:val="00C60161"/>
    <w:rsid w:val="00C6016A"/>
    <w:rsid w:val="00C61A63"/>
    <w:rsid w:val="00C71BEB"/>
    <w:rsid w:val="00C77175"/>
    <w:rsid w:val="00C82E54"/>
    <w:rsid w:val="00C90B13"/>
    <w:rsid w:val="00C95DE8"/>
    <w:rsid w:val="00CA63A4"/>
    <w:rsid w:val="00CB1458"/>
    <w:rsid w:val="00CB7556"/>
    <w:rsid w:val="00CC26E7"/>
    <w:rsid w:val="00CC30E3"/>
    <w:rsid w:val="00CC3E5D"/>
    <w:rsid w:val="00CC44BC"/>
    <w:rsid w:val="00CC49F6"/>
    <w:rsid w:val="00CD00EC"/>
    <w:rsid w:val="00CD2AA4"/>
    <w:rsid w:val="00CE7DED"/>
    <w:rsid w:val="00D04DB6"/>
    <w:rsid w:val="00D06270"/>
    <w:rsid w:val="00D07A8F"/>
    <w:rsid w:val="00D13EA1"/>
    <w:rsid w:val="00D14297"/>
    <w:rsid w:val="00D42885"/>
    <w:rsid w:val="00D42969"/>
    <w:rsid w:val="00D4449C"/>
    <w:rsid w:val="00D5051C"/>
    <w:rsid w:val="00D64AE4"/>
    <w:rsid w:val="00D65128"/>
    <w:rsid w:val="00D7073A"/>
    <w:rsid w:val="00D87F97"/>
    <w:rsid w:val="00D952DF"/>
    <w:rsid w:val="00DA3EFD"/>
    <w:rsid w:val="00DB0D39"/>
    <w:rsid w:val="00DB154F"/>
    <w:rsid w:val="00DB5D25"/>
    <w:rsid w:val="00DC0B4B"/>
    <w:rsid w:val="00DC57CC"/>
    <w:rsid w:val="00DC74EE"/>
    <w:rsid w:val="00DD314B"/>
    <w:rsid w:val="00DE3EE4"/>
    <w:rsid w:val="00DE5BD2"/>
    <w:rsid w:val="00DF1B23"/>
    <w:rsid w:val="00E01ED1"/>
    <w:rsid w:val="00E02A96"/>
    <w:rsid w:val="00E1111C"/>
    <w:rsid w:val="00E15D48"/>
    <w:rsid w:val="00E16A43"/>
    <w:rsid w:val="00E2021C"/>
    <w:rsid w:val="00E20549"/>
    <w:rsid w:val="00E25949"/>
    <w:rsid w:val="00E62D47"/>
    <w:rsid w:val="00E77876"/>
    <w:rsid w:val="00E80D2C"/>
    <w:rsid w:val="00E8347B"/>
    <w:rsid w:val="00E9103E"/>
    <w:rsid w:val="00E9262A"/>
    <w:rsid w:val="00EA12FC"/>
    <w:rsid w:val="00EA72A6"/>
    <w:rsid w:val="00EB02A1"/>
    <w:rsid w:val="00EB2455"/>
    <w:rsid w:val="00EB3B61"/>
    <w:rsid w:val="00EB5AB1"/>
    <w:rsid w:val="00EC1B24"/>
    <w:rsid w:val="00EC309D"/>
    <w:rsid w:val="00ED0EB2"/>
    <w:rsid w:val="00EE14E6"/>
    <w:rsid w:val="00F00226"/>
    <w:rsid w:val="00F00E6B"/>
    <w:rsid w:val="00F034AA"/>
    <w:rsid w:val="00F225AA"/>
    <w:rsid w:val="00F24919"/>
    <w:rsid w:val="00F2581D"/>
    <w:rsid w:val="00F25C45"/>
    <w:rsid w:val="00F31D84"/>
    <w:rsid w:val="00F416A3"/>
    <w:rsid w:val="00F50F0E"/>
    <w:rsid w:val="00F548DB"/>
    <w:rsid w:val="00F56C86"/>
    <w:rsid w:val="00F56EC9"/>
    <w:rsid w:val="00F70CC2"/>
    <w:rsid w:val="00FA4211"/>
    <w:rsid w:val="00FC4CF3"/>
    <w:rsid w:val="00FC60D9"/>
    <w:rsid w:val="00FE0398"/>
    <w:rsid w:val="00FE15D1"/>
    <w:rsid w:val="00FE4EEC"/>
    <w:rsid w:val="00FF2277"/>
    <w:rsid w:val="00FF25DE"/>
    <w:rsid w:val="00FF40BC"/>
    <w:rsid w:val="00FF54D3"/>
    <w:rsid w:val="2E488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340362"/>
    <w:rPr>
      <w:rFonts w:ascii="Times New Roman" w:hAnsi="Times New Roman"/>
      <w:sz w:val="24"/>
    </w:rPr>
  </w:style>
  <w:style w:type="paragraph" w:customStyle="1" w:styleId="Default">
    <w:name w:val="Default"/>
    <w:rsid w:val="00DB5D2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695B"/>
    <w:rPr>
      <w:sz w:val="16"/>
      <w:szCs w:val="16"/>
    </w:rPr>
  </w:style>
  <w:style w:type="paragraph" w:styleId="CommentText">
    <w:name w:val="annotation text"/>
    <w:basedOn w:val="Normal"/>
    <w:link w:val="CommentTextChar"/>
    <w:uiPriority w:val="99"/>
    <w:semiHidden/>
    <w:unhideWhenUsed/>
    <w:rsid w:val="0029695B"/>
    <w:pPr>
      <w:spacing w:line="240" w:lineRule="auto"/>
    </w:pPr>
    <w:rPr>
      <w:sz w:val="20"/>
      <w:szCs w:val="20"/>
    </w:rPr>
  </w:style>
  <w:style w:type="character" w:customStyle="1" w:styleId="CommentTextChar">
    <w:name w:val="Comment Text Char"/>
    <w:basedOn w:val="DefaultParagraphFont"/>
    <w:link w:val="CommentText"/>
    <w:uiPriority w:val="99"/>
    <w:semiHidden/>
    <w:rsid w:val="0029695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695B"/>
    <w:rPr>
      <w:b/>
      <w:bCs/>
    </w:rPr>
  </w:style>
  <w:style w:type="character" w:customStyle="1" w:styleId="CommentSubjectChar">
    <w:name w:val="Comment Subject Char"/>
    <w:basedOn w:val="CommentTextChar"/>
    <w:link w:val="CommentSubject"/>
    <w:uiPriority w:val="99"/>
    <w:semiHidden/>
    <w:rsid w:val="0029695B"/>
    <w:rPr>
      <w:rFonts w:ascii="Times New Roman" w:hAnsi="Times New Roman"/>
      <w:b/>
      <w:bCs/>
      <w:sz w:val="20"/>
      <w:szCs w:val="20"/>
    </w:rPr>
  </w:style>
  <w:style w:type="paragraph" w:styleId="BalloonText">
    <w:name w:val="Balloon Text"/>
    <w:basedOn w:val="Normal"/>
    <w:link w:val="BalloonTextChar"/>
    <w:uiPriority w:val="99"/>
    <w:semiHidden/>
    <w:unhideWhenUsed/>
    <w:rsid w:val="0029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95B"/>
    <w:rPr>
      <w:rFonts w:ascii="Segoe UI" w:hAnsi="Segoe UI" w:cs="Segoe UI"/>
      <w:sz w:val="18"/>
      <w:szCs w:val="18"/>
    </w:rPr>
  </w:style>
  <w:style w:type="character" w:customStyle="1" w:styleId="UnresolvedMention1">
    <w:name w:val="Unresolved Mention1"/>
    <w:basedOn w:val="DefaultParagraphFont"/>
    <w:uiPriority w:val="99"/>
    <w:unhideWhenUsed/>
    <w:rsid w:val="00A674AB"/>
    <w:rPr>
      <w:color w:val="605E5C"/>
      <w:shd w:val="clear" w:color="auto" w:fill="E1DFDD"/>
    </w:rPr>
  </w:style>
  <w:style w:type="paragraph" w:styleId="NormalWeb">
    <w:name w:val="Normal (Web)"/>
    <w:basedOn w:val="Normal"/>
    <w:uiPriority w:val="99"/>
    <w:semiHidden/>
    <w:unhideWhenUsed/>
    <w:rsid w:val="00CC26E7"/>
    <w:pPr>
      <w:spacing w:before="100" w:beforeAutospacing="1" w:after="100" w:afterAutospacing="1" w:line="240" w:lineRule="auto"/>
    </w:pPr>
    <w:rPr>
      <w:rFonts w:eastAsia="Times New Roman" w:cs="Times New Roman"/>
      <w:szCs w:val="24"/>
    </w:rPr>
  </w:style>
  <w:style w:type="table" w:customStyle="1" w:styleId="TableGrid1">
    <w:name w:val="Table Grid1"/>
    <w:basedOn w:val="TableNormal"/>
    <w:next w:val="TableGrid"/>
    <w:uiPriority w:val="59"/>
    <w:rsid w:val="001C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359D"/>
    <w:pPr>
      <w:spacing w:after="0" w:line="240" w:lineRule="auto"/>
    </w:pPr>
    <w:rPr>
      <w:rFonts w:ascii="Times New Roman" w:hAnsi="Times New Roman"/>
      <w:sz w:val="24"/>
    </w:rPr>
  </w:style>
  <w:style w:type="character" w:customStyle="1" w:styleId="normaltextrun1">
    <w:name w:val="normaltextrun1"/>
    <w:basedOn w:val="DefaultParagraphFont"/>
    <w:rsid w:val="00FA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1041">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15593240">
      <w:bodyDiv w:val="1"/>
      <w:marLeft w:val="0"/>
      <w:marRight w:val="0"/>
      <w:marTop w:val="0"/>
      <w:marBottom w:val="0"/>
      <w:divBdr>
        <w:top w:val="none" w:sz="0" w:space="0" w:color="auto"/>
        <w:left w:val="none" w:sz="0" w:space="0" w:color="auto"/>
        <w:bottom w:val="none" w:sz="0" w:space="0" w:color="auto"/>
        <w:right w:val="none" w:sz="0" w:space="0" w:color="auto"/>
      </w:divBdr>
    </w:div>
    <w:div w:id="526018655">
      <w:bodyDiv w:val="1"/>
      <w:marLeft w:val="0"/>
      <w:marRight w:val="0"/>
      <w:marTop w:val="0"/>
      <w:marBottom w:val="0"/>
      <w:divBdr>
        <w:top w:val="none" w:sz="0" w:space="0" w:color="auto"/>
        <w:left w:val="none" w:sz="0" w:space="0" w:color="auto"/>
        <w:bottom w:val="none" w:sz="0" w:space="0" w:color="auto"/>
        <w:right w:val="none" w:sz="0" w:space="0" w:color="auto"/>
      </w:divBdr>
    </w:div>
    <w:div w:id="983973599">
      <w:bodyDiv w:val="1"/>
      <w:marLeft w:val="0"/>
      <w:marRight w:val="0"/>
      <w:marTop w:val="0"/>
      <w:marBottom w:val="0"/>
      <w:divBdr>
        <w:top w:val="none" w:sz="0" w:space="0" w:color="auto"/>
        <w:left w:val="none" w:sz="0" w:space="0" w:color="auto"/>
        <w:bottom w:val="none" w:sz="0" w:space="0" w:color="auto"/>
        <w:right w:val="none" w:sz="0" w:space="0" w:color="auto"/>
      </w:divBdr>
    </w:div>
    <w:div w:id="1191525881">
      <w:bodyDiv w:val="1"/>
      <w:marLeft w:val="0"/>
      <w:marRight w:val="0"/>
      <w:marTop w:val="0"/>
      <w:marBottom w:val="0"/>
      <w:divBdr>
        <w:top w:val="none" w:sz="0" w:space="0" w:color="auto"/>
        <w:left w:val="none" w:sz="0" w:space="0" w:color="auto"/>
        <w:bottom w:val="none" w:sz="0" w:space="0" w:color="auto"/>
        <w:right w:val="none" w:sz="0" w:space="0" w:color="auto"/>
      </w:divBdr>
    </w:div>
    <w:div w:id="15574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media/releases/2020/s0226-Covid-19-spread.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8doc.sas.com/sashtml/stat/chap63/sect20.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8" ma:contentTypeDescription="Create a new document." ma:contentTypeScope="" ma:versionID="a4f2ee742e0ba482508e9e2e80da25a5">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dae2d7841f6726188cfc48eed74edb7a"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purl.org/dc/dcmitype/"/>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0d95979-b78d-4456-a83d-a4e89158df7f"/>
    <ds:schemaRef ds:uri="508508a9-2d59-4074-9a0f-ccfddcb81bc1"/>
    <ds:schemaRef ds:uri="http://www.w3.org/XML/1998/namespace"/>
  </ds:schemaRefs>
</ds:datastoreItem>
</file>

<file path=customXml/itemProps2.xml><?xml version="1.0" encoding="utf-8"?>
<ds:datastoreItem xmlns:ds="http://schemas.openxmlformats.org/officeDocument/2006/customXml" ds:itemID="{E525B10E-0340-40AF-B3CA-4300D1141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190673AA-C041-42F1-B2B8-18B50766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Etheredge, Alisha (CDC/DDNID/NCEH/DEHSP)</cp:lastModifiedBy>
  <cp:revision>2</cp:revision>
  <dcterms:created xsi:type="dcterms:W3CDTF">2020-04-24T22:10:00Z</dcterms:created>
  <dcterms:modified xsi:type="dcterms:W3CDTF">2020-04-24T22:10:00Z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_dlc_DocIdItemGuid">
    <vt:lpwstr>56ba26d7-ed93-4a08-9b28-f3085665eb2b</vt:lpwstr>
  </property>
</Properties>
</file>