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20B59" w:rsidR="00B37C27" w:rsidP="00B37C27" w:rsidRDefault="00B37C27" w14:paraId="3617D28D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Supporting Statement B for Request for Clearance:</w:t>
      </w:r>
    </w:p>
    <w:p w:rsidRPr="00F20B59" w:rsidR="00B37C27" w:rsidP="00B37C27" w:rsidRDefault="00B37C27" w14:paraId="4AF5486F" w14:textId="77777777">
      <w:pPr>
        <w:jc w:val="center"/>
        <w:rPr>
          <w:color w:val="000000"/>
          <w:sz w:val="28"/>
          <w:szCs w:val="28"/>
        </w:rPr>
      </w:pPr>
    </w:p>
    <w:p w:rsidRPr="00F20B59" w:rsidR="00B37C27" w:rsidP="00B37C27" w:rsidRDefault="00B37C27" w14:paraId="3EE8A2AA" w14:textId="77777777">
      <w:pPr>
        <w:jc w:val="center"/>
        <w:rPr>
          <w:bCs/>
          <w:color w:val="000000"/>
          <w:sz w:val="28"/>
          <w:szCs w:val="28"/>
        </w:rPr>
      </w:pPr>
      <w:r w:rsidRPr="00F20B59">
        <w:rPr>
          <w:bCs/>
          <w:color w:val="000000"/>
          <w:sz w:val="28"/>
          <w:szCs w:val="28"/>
        </w:rPr>
        <w:t>NATIONAL HOSPITAL AMBULATORY MEDICAL CARE SURVEY</w:t>
      </w:r>
    </w:p>
    <w:p w:rsidRPr="00F20B59" w:rsidR="00B37C27" w:rsidP="00B37C27" w:rsidRDefault="00B37C27" w14:paraId="7DB53383" w14:textId="77777777">
      <w:pPr>
        <w:jc w:val="center"/>
        <w:rPr>
          <w:color w:val="000000"/>
          <w:sz w:val="28"/>
          <w:szCs w:val="28"/>
        </w:rPr>
      </w:pPr>
    </w:p>
    <w:p w:rsidRPr="00F20B59" w:rsidR="00B37C27" w:rsidP="00B37C27" w:rsidRDefault="00B37C27" w14:paraId="2B862E0A" w14:textId="77777777">
      <w:pPr>
        <w:jc w:val="center"/>
        <w:rPr>
          <w:color w:val="000000"/>
          <w:sz w:val="28"/>
          <w:szCs w:val="28"/>
        </w:rPr>
      </w:pPr>
    </w:p>
    <w:p w:rsidRPr="00F20B59" w:rsidR="00B37C27" w:rsidP="00B37C27" w:rsidRDefault="00B37C27" w14:paraId="55A0FC70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OMB No. 0920-0278</w:t>
      </w:r>
    </w:p>
    <w:p w:rsidRPr="003C7337" w:rsidR="00E346F1" w:rsidP="003C7337" w:rsidRDefault="00E346F1" w14:paraId="1C01477B" w14:textId="1736C895">
      <w:pPr>
        <w:jc w:val="center"/>
        <w:rPr>
          <w:sz w:val="28"/>
          <w:szCs w:val="28"/>
        </w:rPr>
      </w:pPr>
      <w:bookmarkStart w:name="_Toc389570426" w:id="0"/>
      <w:bookmarkStart w:name="_Toc389570487" w:id="1"/>
      <w:r w:rsidRPr="003C7337">
        <w:rPr>
          <w:sz w:val="28"/>
          <w:szCs w:val="28"/>
        </w:rPr>
        <w:t xml:space="preserve">(Expires </w:t>
      </w:r>
      <w:r w:rsidR="00542849">
        <w:rPr>
          <w:sz w:val="28"/>
          <w:szCs w:val="28"/>
        </w:rPr>
        <w:t>06/30/2021</w:t>
      </w:r>
      <w:r w:rsidRPr="003C7337">
        <w:rPr>
          <w:sz w:val="28"/>
          <w:szCs w:val="28"/>
        </w:rPr>
        <w:t>)</w:t>
      </w:r>
      <w:bookmarkEnd w:id="0"/>
      <w:bookmarkEnd w:id="1"/>
    </w:p>
    <w:p w:rsidRPr="00F20B59" w:rsidR="00B37C27" w:rsidP="00B37C27" w:rsidRDefault="00B37C27" w14:paraId="781FF7A5" w14:textId="77777777">
      <w:pPr>
        <w:jc w:val="center"/>
        <w:rPr>
          <w:color w:val="000000"/>
          <w:sz w:val="28"/>
          <w:szCs w:val="28"/>
        </w:rPr>
      </w:pPr>
    </w:p>
    <w:p w:rsidRPr="00F20B59" w:rsidR="00B37C27" w:rsidP="00B37C27" w:rsidRDefault="00B37C27" w14:paraId="7D6C7D75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Contact Information:</w:t>
      </w:r>
    </w:p>
    <w:p w:rsidRPr="00F20B59" w:rsidR="00B37C27" w:rsidP="00B37C27" w:rsidRDefault="00B37C27" w14:paraId="4615EFE8" w14:textId="77777777">
      <w:pPr>
        <w:jc w:val="center"/>
        <w:rPr>
          <w:color w:val="000000"/>
          <w:sz w:val="28"/>
          <w:szCs w:val="28"/>
        </w:rPr>
      </w:pPr>
    </w:p>
    <w:p w:rsidRPr="00F20B59" w:rsidR="00566A55" w:rsidP="00566A55" w:rsidRDefault="00647D37" w14:paraId="52A1819B" w14:textId="275099E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Brian </w:t>
      </w:r>
      <w:r w:rsidR="005B2B47">
        <w:rPr>
          <w:color w:val="000000"/>
          <w:sz w:val="28"/>
          <w:szCs w:val="28"/>
        </w:rPr>
        <w:t xml:space="preserve">W. </w:t>
      </w:r>
      <w:r>
        <w:rPr>
          <w:color w:val="000000"/>
          <w:sz w:val="28"/>
          <w:szCs w:val="28"/>
        </w:rPr>
        <w:t>Ward, Ph</w:t>
      </w:r>
      <w:r w:rsidR="005B2B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D</w:t>
      </w:r>
      <w:r w:rsidR="005B2B47">
        <w:rPr>
          <w:color w:val="000000"/>
          <w:sz w:val="28"/>
          <w:szCs w:val="28"/>
        </w:rPr>
        <w:t>.</w:t>
      </w:r>
    </w:p>
    <w:p w:rsidR="00481BAF" w:rsidP="00B37C27" w:rsidRDefault="009C393D" w14:paraId="18F5E77C" w14:textId="462984A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Branch Chief</w:t>
      </w:r>
    </w:p>
    <w:p w:rsidRPr="00F20B59" w:rsidR="00B37C27" w:rsidP="00B37C27" w:rsidRDefault="00B37C27" w14:paraId="2CBE4129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Ambulatory and Hospital Care Statistics Branch</w:t>
      </w:r>
    </w:p>
    <w:p w:rsidRPr="00F20B59" w:rsidR="00B37C27" w:rsidP="00B37C27" w:rsidRDefault="00B37C27" w14:paraId="19D695D1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Division of Health Care Statistics</w:t>
      </w:r>
    </w:p>
    <w:p w:rsidRPr="00F20B59" w:rsidR="00B37C27" w:rsidP="00B37C27" w:rsidRDefault="00B37C27" w14:paraId="583E372F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National Center for Health Statistics/CDC</w:t>
      </w:r>
    </w:p>
    <w:p w:rsidRPr="00F20B59" w:rsidR="00B37C27" w:rsidP="00B37C27" w:rsidRDefault="00B37C27" w14:paraId="65D7F21E" w14:textId="41D36A24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 xml:space="preserve">3311 Toledo Road, Room </w:t>
      </w:r>
      <w:r w:rsidR="00647D37">
        <w:rPr>
          <w:color w:val="000000"/>
          <w:sz w:val="28"/>
          <w:szCs w:val="28"/>
        </w:rPr>
        <w:t>3</w:t>
      </w:r>
      <w:r w:rsidR="009C393D">
        <w:rPr>
          <w:color w:val="000000"/>
          <w:sz w:val="28"/>
          <w:szCs w:val="28"/>
        </w:rPr>
        <w:t>482</w:t>
      </w:r>
    </w:p>
    <w:p w:rsidRPr="00F20B59" w:rsidR="00B37C27" w:rsidP="00B37C27" w:rsidRDefault="00B37C27" w14:paraId="28706641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Hyattsville, MD 20782</w:t>
      </w:r>
    </w:p>
    <w:p w:rsidRPr="00F20B59" w:rsidR="00B37C27" w:rsidP="00B37C27" w:rsidRDefault="00B37C27" w14:paraId="7B0FA107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301-458-</w:t>
      </w:r>
      <w:r w:rsidR="00647D37">
        <w:rPr>
          <w:color w:val="000000"/>
          <w:sz w:val="28"/>
          <w:szCs w:val="28"/>
        </w:rPr>
        <w:t>4568</w:t>
      </w:r>
    </w:p>
    <w:p w:rsidRPr="00F20B59" w:rsidR="00B37C27" w:rsidP="00B37C27" w:rsidRDefault="00B37C27" w14:paraId="21A18C72" w14:textId="77777777">
      <w:pPr>
        <w:jc w:val="center"/>
        <w:rPr>
          <w:color w:val="000000"/>
          <w:sz w:val="28"/>
          <w:szCs w:val="28"/>
        </w:rPr>
      </w:pPr>
      <w:r w:rsidRPr="00F20B59">
        <w:rPr>
          <w:color w:val="000000"/>
          <w:sz w:val="28"/>
          <w:szCs w:val="28"/>
        </w:rPr>
        <w:t>301-458-4693 (fax)</w:t>
      </w:r>
    </w:p>
    <w:p w:rsidRPr="00F20B59" w:rsidR="00566A55" w:rsidP="00566A55" w:rsidRDefault="00787DA1" w14:paraId="4D95B17A" w14:textId="77777777">
      <w:pPr>
        <w:jc w:val="center"/>
        <w:rPr>
          <w:color w:val="000000"/>
          <w:sz w:val="28"/>
          <w:szCs w:val="28"/>
        </w:rPr>
      </w:pPr>
      <w:hyperlink w:history="1" r:id="rId8">
        <w:r w:rsidR="00647D37">
          <w:rPr>
            <w:rStyle w:val="Hyperlink"/>
            <w:sz w:val="28"/>
            <w:szCs w:val="28"/>
          </w:rPr>
          <w:t>ijz8</w:t>
        </w:r>
        <w:r w:rsidRPr="00F20B59" w:rsidR="00647D37">
          <w:rPr>
            <w:rStyle w:val="Hyperlink"/>
            <w:sz w:val="28"/>
            <w:szCs w:val="28"/>
          </w:rPr>
          <w:t>@cdc.gov</w:t>
        </w:r>
      </w:hyperlink>
    </w:p>
    <w:p w:rsidRPr="00F20B59" w:rsidR="00B37C27" w:rsidP="00B37C27" w:rsidRDefault="00B37C27" w14:paraId="02C67AC7" w14:textId="77777777">
      <w:pPr>
        <w:jc w:val="center"/>
        <w:rPr>
          <w:color w:val="000000"/>
          <w:sz w:val="28"/>
          <w:szCs w:val="28"/>
        </w:rPr>
      </w:pPr>
    </w:p>
    <w:p w:rsidRPr="00F20B59" w:rsidR="00B37C27" w:rsidP="00B37C27" w:rsidRDefault="00B37C27" w14:paraId="1360D586" w14:textId="77777777">
      <w:pPr>
        <w:jc w:val="center"/>
        <w:rPr>
          <w:color w:val="000000"/>
          <w:sz w:val="28"/>
          <w:szCs w:val="28"/>
        </w:rPr>
      </w:pPr>
    </w:p>
    <w:p w:rsidRPr="00F20B59" w:rsidR="00B37C27" w:rsidP="00B37C27" w:rsidRDefault="00B900A6" w14:paraId="04EC3620" w14:textId="76AA19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B12BD8">
        <w:rPr>
          <w:sz w:val="28"/>
          <w:szCs w:val="28"/>
        </w:rPr>
        <w:t>2</w:t>
      </w:r>
      <w:r w:rsidR="00555FDC">
        <w:rPr>
          <w:sz w:val="28"/>
          <w:szCs w:val="28"/>
        </w:rPr>
        <w:t>4</w:t>
      </w:r>
      <w:r w:rsidR="009C393D">
        <w:rPr>
          <w:sz w:val="28"/>
          <w:szCs w:val="28"/>
        </w:rPr>
        <w:t>, 2020</w:t>
      </w:r>
    </w:p>
    <w:p w:rsidRPr="00F20B59" w:rsidR="007E2E6E" w:rsidP="00794F8B" w:rsidRDefault="007E2E6E" w14:paraId="74E515D4" w14:textId="77777777">
      <w:pPr>
        <w:rPr>
          <w:sz w:val="28"/>
          <w:szCs w:val="28"/>
        </w:rPr>
      </w:pPr>
    </w:p>
    <w:p w:rsidR="00DD5634" w:rsidP="00FC03EF" w:rsidRDefault="001622FC" w14:paraId="33EC78F8" w14:textId="1EED9045">
      <w:pPr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60D8E09" wp14:anchorId="39A1FA56">
                <wp:simplePos x="0" y="0"/>
                <wp:positionH relativeFrom="column">
                  <wp:posOffset>6229350</wp:posOffset>
                </wp:positionH>
                <wp:positionV relativeFrom="paragraph">
                  <wp:posOffset>3532505</wp:posOffset>
                </wp:positionV>
                <wp:extent cx="476250" cy="2952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490.5pt;margin-top:278.15pt;width:37.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2pt" w14:anchorId="5C9F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"/>
            </w:pict>
          </mc:Fallback>
        </mc:AlternateContent>
      </w:r>
      <w:r w:rsidRPr="002B69A0" w:rsidR="008A00C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AED9AE4" wp14:anchorId="210EAC1D">
                <wp:simplePos x="0" y="0"/>
                <wp:positionH relativeFrom="column">
                  <wp:posOffset>5972174</wp:posOffset>
                </wp:positionH>
                <wp:positionV relativeFrom="paragraph">
                  <wp:posOffset>3756025</wp:posOffset>
                </wp:positionV>
                <wp:extent cx="82105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365" w:rsidRDefault="003F4365" w14:paraId="274C9A2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0EAC1D">
                <v:stroke joinstyle="miter"/>
                <v:path gradientshapeok="t" o:connecttype="rect"/>
              </v:shapetype>
              <v:shape id="Text Box 2" style="position:absolute;margin-left:470.25pt;margin-top:295.75pt;width:64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">
                <v:textbox style="mso-fit-shape-to-text:t">
                  <w:txbxContent>
                    <w:p w:rsidR="003F4365" w:rsidRDefault="003F4365" w14:paraId="274C9A2F" w14:textId="77777777"/>
                  </w:txbxContent>
                </v:textbox>
              </v:shape>
            </w:pict>
          </mc:Fallback>
        </mc:AlternateContent>
      </w:r>
      <w:r w:rsidR="00F20B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E4BCAAE" wp14:anchorId="185C0C2D">
                <wp:simplePos x="0" y="0"/>
                <wp:positionH relativeFrom="column">
                  <wp:posOffset>6229350</wp:posOffset>
                </wp:positionH>
                <wp:positionV relativeFrom="paragraph">
                  <wp:posOffset>3970020</wp:posOffset>
                </wp:positionV>
                <wp:extent cx="276225" cy="2476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490.5pt;margin-top:312.6pt;width:21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32FF36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"/>
            </w:pict>
          </mc:Fallback>
        </mc:AlternateContent>
      </w:r>
      <w:r w:rsidRPr="00F20B59" w:rsidR="00B37C27">
        <w:rPr>
          <w:sz w:val="28"/>
          <w:szCs w:val="28"/>
        </w:rPr>
        <w:br w:type="page"/>
      </w:r>
      <w:r w:rsidRPr="002D7793" w:rsidR="00DD5634">
        <w:rPr>
          <w:sz w:val="32"/>
          <w:szCs w:val="32"/>
        </w:rPr>
        <w:lastRenderedPageBreak/>
        <w:t>T</w:t>
      </w:r>
      <w:r w:rsidRPr="00FC03EF" w:rsidR="005B2B47">
        <w:rPr>
          <w:sz w:val="32"/>
          <w:szCs w:val="32"/>
        </w:rPr>
        <w:t>able of Contents</w:t>
      </w:r>
    </w:p>
    <w:p w:rsidR="00B25B43" w:rsidP="008A00CE" w:rsidRDefault="00B25B43" w14:paraId="11E99950" w14:textId="77777777">
      <w:pPr>
        <w:jc w:val="center"/>
        <w:rPr>
          <w:sz w:val="28"/>
          <w:szCs w:val="28"/>
        </w:rPr>
      </w:pPr>
    </w:p>
    <w:p w:rsidRPr="008A00CE" w:rsidR="00DD5634" w:rsidRDefault="00714AD9" w14:paraId="49AB5606" w14:textId="77777777">
      <w:r w:rsidRPr="00A706F6">
        <w:t xml:space="preserve">Supporting </w:t>
      </w:r>
      <w:r>
        <w:t>S</w:t>
      </w:r>
      <w:r w:rsidRPr="00A706F6">
        <w:t xml:space="preserve">tatement </w:t>
      </w:r>
      <w:r>
        <w:t>B – Collection of Information Employing Statistical Methods</w:t>
      </w:r>
      <w:r w:rsidR="00B25B43">
        <w:rPr>
          <w:sz w:val="28"/>
          <w:szCs w:val="28"/>
        </w:rPr>
        <w:tab/>
      </w:r>
      <w:r w:rsidR="00DF5709">
        <w:rPr>
          <w:sz w:val="28"/>
          <w:szCs w:val="28"/>
        </w:rPr>
        <w:tab/>
        <w:t xml:space="preserve">    </w:t>
      </w:r>
      <w:r w:rsidRPr="008A00CE" w:rsidR="00B25B43">
        <w:t>Pages</w:t>
      </w:r>
    </w:p>
    <w:p w:rsidR="00B25B43" w:rsidRDefault="00B25B43" w14:paraId="4D0FF45A" w14:textId="77777777">
      <w:pPr>
        <w:rPr>
          <w:sz w:val="28"/>
          <w:szCs w:val="28"/>
        </w:rPr>
      </w:pPr>
    </w:p>
    <w:p w:rsidRPr="008A00CE" w:rsidR="005E5C7B" w:rsidRDefault="005E5C7B" w14:paraId="781E082B" w14:textId="77777777"/>
    <w:p w:rsidR="00A94384" w:rsidRDefault="00A94384" w14:paraId="332C53E8" w14:textId="77777777">
      <w:pPr>
        <w:pStyle w:val="TOC1"/>
        <w:tabs>
          <w:tab w:val="right" w:leader="dot" w:pos="10250"/>
        </w:tabs>
        <w:rPr>
          <w:b/>
          <w:bCs/>
          <w:color w:val="000000"/>
        </w:rPr>
      </w:pPr>
    </w:p>
    <w:sdt>
      <w:sdtPr>
        <w:id w:val="-2101402127"/>
        <w:docPartObj>
          <w:docPartGallery w:val="Table of Contents"/>
          <w:docPartUnique/>
        </w:docPartObj>
      </w:sdtPr>
      <w:sdtEndPr>
        <w:rPr>
          <w:b/>
          <w:bCs/>
          <w:color w:val="000000"/>
        </w:rPr>
      </w:sdtEndPr>
      <w:sdtContent>
        <w:p w:rsidR="002D7793" w:rsidRDefault="00F71DDF" w14:paraId="02750918" w14:textId="26121C24">
          <w:pPr>
            <w:pStyle w:val="TOC1"/>
            <w:tabs>
              <w:tab w:val="right" w:leader="dot" w:pos="102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\u </w:instrText>
          </w:r>
          <w:r>
            <w:fldChar w:fldCharType="separate"/>
          </w:r>
          <w:r w:rsidRPr="009F7342" w:rsidR="002D7793">
            <w:rPr>
              <w:noProof/>
            </w:rPr>
            <w:t>1.  Respondent Universe and Sampling Methods</w:t>
          </w:r>
          <w:r w:rsidR="002D7793">
            <w:rPr>
              <w:noProof/>
            </w:rPr>
            <w:tab/>
          </w:r>
          <w:r w:rsidR="002D7793">
            <w:rPr>
              <w:noProof/>
            </w:rPr>
            <w:fldChar w:fldCharType="begin"/>
          </w:r>
          <w:r w:rsidR="002D7793">
            <w:rPr>
              <w:noProof/>
            </w:rPr>
            <w:instrText xml:space="preserve"> PAGEREF _Toc23950520 \h </w:instrText>
          </w:r>
          <w:r w:rsidR="002D7793">
            <w:rPr>
              <w:noProof/>
            </w:rPr>
          </w:r>
          <w:r w:rsidR="002D7793">
            <w:rPr>
              <w:noProof/>
            </w:rPr>
            <w:fldChar w:fldCharType="separate"/>
          </w:r>
          <w:r w:rsidR="009D3283">
            <w:rPr>
              <w:noProof/>
            </w:rPr>
            <w:t>3</w:t>
          </w:r>
          <w:r w:rsidR="002D7793">
            <w:rPr>
              <w:noProof/>
            </w:rPr>
            <w:fldChar w:fldCharType="end"/>
          </w:r>
        </w:p>
        <w:p w:rsidR="002D7793" w:rsidRDefault="002D7793" w14:paraId="5EEAA220" w14:textId="4CE88B0B">
          <w:pPr>
            <w:pStyle w:val="TOC1"/>
            <w:tabs>
              <w:tab w:val="right" w:leader="dot" w:pos="102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r w:rsidRPr="009F7342">
            <w:rPr>
              <w:noProof/>
            </w:rPr>
            <w:t>2.  Procedures for the Collection of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_Toc23950521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9D3283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2D7793" w:rsidRDefault="002D7793" w14:paraId="6A5A9F9C" w14:textId="3D9FD3A2">
          <w:pPr>
            <w:pStyle w:val="TOC1"/>
            <w:tabs>
              <w:tab w:val="right" w:leader="dot" w:pos="102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r w:rsidRPr="009F7342">
            <w:rPr>
              <w:noProof/>
            </w:rPr>
            <w:t>3.  Methods to Maximize Response Rates and Deal with Nonresponse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_Toc23950522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9D3283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2D7793" w:rsidRDefault="002D7793" w14:paraId="31AA096D" w14:textId="7FBE258D">
          <w:pPr>
            <w:pStyle w:val="TOC1"/>
            <w:tabs>
              <w:tab w:val="right" w:leader="dot" w:pos="102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r w:rsidRPr="009F7342">
            <w:rPr>
              <w:noProof/>
            </w:rPr>
            <w:t>4.  Tests of Procedures or Methods to be Undertaken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_Toc23950523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9D3283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2D7793" w:rsidRDefault="002D7793" w14:paraId="633867B2" w14:textId="4DF16958">
          <w:pPr>
            <w:pStyle w:val="TOC1"/>
            <w:tabs>
              <w:tab w:val="right" w:leader="dot" w:pos="102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r w:rsidRPr="009F7342">
            <w:rPr>
              <w:noProof/>
            </w:rPr>
            <w:t>5.  Individuals Consulted on Statistical Aspects and Individuals Collecting and/or Analyzing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_Toc23950524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9D3283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F71DDF" w:rsidRDefault="00F71DDF" w14:paraId="075AF1A7" w14:textId="77777777">
          <w:r>
            <w:fldChar w:fldCharType="end"/>
          </w:r>
        </w:p>
        <w:p w:rsidR="00317839" w:rsidRDefault="00787DA1" w14:paraId="46F54BCA" w14:textId="77777777">
          <w:pPr>
            <w:rPr>
              <w:b/>
              <w:bCs/>
              <w:color w:val="000000"/>
            </w:rPr>
          </w:pPr>
        </w:p>
      </w:sdtContent>
    </w:sdt>
    <w:p w:rsidR="00502AB4" w:rsidRDefault="00502AB4" w14:paraId="3E599164" w14:textId="77777777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Pr="002D7793" w:rsidR="00746652" w:rsidP="00746652" w:rsidRDefault="00746652" w14:paraId="19E9E01D" w14:textId="77777777">
      <w:pPr>
        <w:rPr>
          <w:rFonts w:cs="Courier"/>
          <w:bCs/>
          <w:color w:val="000000"/>
          <w:sz w:val="32"/>
          <w:szCs w:val="32"/>
        </w:rPr>
      </w:pPr>
      <w:r w:rsidRPr="002D7793">
        <w:rPr>
          <w:rFonts w:cs="Courier"/>
          <w:bCs/>
          <w:color w:val="000000"/>
          <w:sz w:val="32"/>
          <w:szCs w:val="32"/>
        </w:rPr>
        <w:lastRenderedPageBreak/>
        <w:t>List of Attachments</w:t>
      </w:r>
    </w:p>
    <w:p w:rsidR="003C5F7B" w:rsidP="00A561D6" w:rsidRDefault="003C5F7B" w14:paraId="710FC3AE" w14:textId="77777777">
      <w:pPr>
        <w:rPr>
          <w:rFonts w:cs="Courier"/>
          <w:bCs/>
          <w:color w:val="000000"/>
        </w:rPr>
      </w:pPr>
    </w:p>
    <w:p w:rsidRPr="00590964" w:rsidR="00590964" w:rsidP="00590964" w:rsidRDefault="00590964" w14:paraId="37403D65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A - PHSA authorization</w:t>
      </w:r>
    </w:p>
    <w:p w:rsidRPr="00590964" w:rsidR="00590964" w:rsidP="00590964" w:rsidRDefault="00590964" w14:paraId="368027EE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B - FRN 60 Notice (published)</w:t>
      </w:r>
    </w:p>
    <w:p w:rsidRPr="00590964" w:rsidR="00590964" w:rsidP="00590964" w:rsidRDefault="00590964" w14:paraId="6D889FF0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C1 - Hospital Induction questionnaire (2020)</w:t>
      </w:r>
    </w:p>
    <w:p w:rsidRPr="00590964" w:rsidR="00590964" w:rsidP="00590964" w:rsidRDefault="00590964" w14:paraId="2D6CA928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C2 - Ambulatory Unit Induction questionnaire (2020)</w:t>
      </w:r>
    </w:p>
    <w:p w:rsidRPr="00590964" w:rsidR="00590964" w:rsidP="00590964" w:rsidRDefault="00590964" w14:paraId="3CA23DD2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C3 - Hospital Induction questionnaire (2021)</w:t>
      </w:r>
    </w:p>
    <w:p w:rsidRPr="00590964" w:rsidR="00590964" w:rsidP="00590964" w:rsidRDefault="00590964" w14:paraId="372A7669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C4 - Ambulatory Unit Induction questionnaire (2021)</w:t>
      </w:r>
    </w:p>
    <w:p w:rsidRPr="00590964" w:rsidR="00590964" w:rsidP="00590964" w:rsidRDefault="00590964" w14:paraId="730D5ACE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D1 - ED PRF sample card (2020)</w:t>
      </w:r>
    </w:p>
    <w:p w:rsidRPr="00590964" w:rsidR="00590964" w:rsidP="00590964" w:rsidRDefault="00590964" w14:paraId="626187AC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D2 - ED PRF sample card (2021)</w:t>
      </w:r>
    </w:p>
    <w:p w:rsidRPr="00590964" w:rsidR="00590964" w:rsidP="00590964" w:rsidRDefault="00590964" w14:paraId="529EAE9F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E - List of publications</w:t>
      </w:r>
    </w:p>
    <w:p w:rsidRPr="00590964" w:rsidR="00590964" w:rsidP="00590964" w:rsidRDefault="00590964" w14:paraId="2C9DDB23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F - List of Consultants</w:t>
      </w:r>
    </w:p>
    <w:p w:rsidRPr="00590964" w:rsidR="00590964" w:rsidP="00590964" w:rsidRDefault="00590964" w14:paraId="3EEC8B3B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G1 - IRB letter (signed)</w:t>
      </w:r>
    </w:p>
    <w:p w:rsidRPr="00590964" w:rsidR="00590964" w:rsidP="00590964" w:rsidRDefault="00590964" w14:paraId="13A63525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G2 - Waiver of Informed Consent</w:t>
      </w:r>
    </w:p>
    <w:p w:rsidRPr="00590964" w:rsidR="00590964" w:rsidP="00590964" w:rsidRDefault="00590964" w14:paraId="6A5196B1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H1 - NHAMCS Introductory letter (2020)</w:t>
      </w:r>
    </w:p>
    <w:p w:rsidRPr="00590964" w:rsidR="00590964" w:rsidP="00590964" w:rsidRDefault="00590964" w14:paraId="570F04BA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H2 - NHAMCS Introductory letter (2021)</w:t>
      </w:r>
    </w:p>
    <w:p w:rsidRPr="00590964" w:rsidR="00590964" w:rsidP="00590964" w:rsidRDefault="00590964" w14:paraId="76353A25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I - Endorsement letters</w:t>
      </w:r>
    </w:p>
    <w:p w:rsidRPr="00590964" w:rsidR="00590964" w:rsidP="00590964" w:rsidRDefault="00590964" w14:paraId="730490D4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J - Informed Consent flowchart</w:t>
      </w:r>
    </w:p>
    <w:p w:rsidRPr="00590964" w:rsidR="00590964" w:rsidP="00590964" w:rsidRDefault="00590964" w14:paraId="11350ABB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K1 - Retrieving medical records (2020)</w:t>
      </w:r>
    </w:p>
    <w:p w:rsidRPr="00590964" w:rsidR="00590964" w:rsidP="00590964" w:rsidRDefault="00590964" w14:paraId="3AE96932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K2 - Retrieving medical records (2021)</w:t>
      </w:r>
    </w:p>
    <w:p w:rsidRPr="00590964" w:rsidR="00590964" w:rsidP="00590964" w:rsidRDefault="00590964" w14:paraId="27758506" w14:textId="77777777">
      <w:pPr>
        <w:rPr>
          <w:rFonts w:cs="Courier"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L1 - </w:t>
      </w:r>
      <w:proofErr w:type="spellStart"/>
      <w:r w:rsidRPr="00590964">
        <w:rPr>
          <w:rFonts w:cs="Courier"/>
          <w:bCs/>
          <w:color w:val="000000"/>
        </w:rPr>
        <w:t>Reinterview</w:t>
      </w:r>
      <w:proofErr w:type="spellEnd"/>
      <w:r w:rsidRPr="00590964">
        <w:rPr>
          <w:rFonts w:cs="Courier"/>
          <w:bCs/>
          <w:color w:val="000000"/>
        </w:rPr>
        <w:t xml:space="preserve"> questionnaire (2020)</w:t>
      </w:r>
    </w:p>
    <w:p w:rsidR="005C14CD" w:rsidP="005A7A19" w:rsidRDefault="00590964" w14:paraId="24985F26" w14:textId="38120C6E">
      <w:pPr>
        <w:rPr>
          <w:b/>
          <w:bCs/>
          <w:color w:val="000000"/>
        </w:rPr>
      </w:pPr>
      <w:proofErr w:type="spellStart"/>
      <w:r w:rsidRPr="00590964">
        <w:rPr>
          <w:rFonts w:cs="Courier"/>
          <w:bCs/>
          <w:color w:val="000000"/>
        </w:rPr>
        <w:t>Att</w:t>
      </w:r>
      <w:proofErr w:type="spellEnd"/>
      <w:r w:rsidRPr="00590964">
        <w:rPr>
          <w:rFonts w:cs="Courier"/>
          <w:bCs/>
          <w:color w:val="000000"/>
        </w:rPr>
        <w:t xml:space="preserve"> L2 - </w:t>
      </w:r>
      <w:proofErr w:type="spellStart"/>
      <w:r w:rsidRPr="00590964">
        <w:rPr>
          <w:rFonts w:cs="Courier"/>
          <w:bCs/>
          <w:color w:val="000000"/>
        </w:rPr>
        <w:t>Reinterview</w:t>
      </w:r>
      <w:proofErr w:type="spellEnd"/>
      <w:r w:rsidRPr="00590964">
        <w:rPr>
          <w:rFonts w:cs="Courier"/>
          <w:bCs/>
          <w:color w:val="000000"/>
        </w:rPr>
        <w:t xml:space="preserve"> questionnaire (2021)</w:t>
      </w:r>
      <w:r w:rsidR="005C14CD">
        <w:rPr>
          <w:b/>
          <w:bCs/>
          <w:color w:val="000000"/>
        </w:rPr>
        <w:br w:type="page"/>
      </w:r>
    </w:p>
    <w:p w:rsidRPr="00F20B59" w:rsidR="00794F8B" w:rsidP="002D7793" w:rsidRDefault="00794F8B" w14:paraId="0486F3E6" w14:textId="6825E955">
      <w:pPr>
        <w:rPr>
          <w:b/>
          <w:bCs/>
          <w:color w:val="000000"/>
        </w:rPr>
      </w:pPr>
      <w:r w:rsidRPr="00F20B59">
        <w:rPr>
          <w:b/>
          <w:bCs/>
          <w:color w:val="000000"/>
        </w:rPr>
        <w:lastRenderedPageBreak/>
        <w:t>B.  Collections of Information Employing Statistical Methods</w:t>
      </w:r>
    </w:p>
    <w:p w:rsidRPr="007010DF" w:rsidR="00794F8B" w:rsidP="008A00CE" w:rsidRDefault="00794F8B" w14:paraId="24D49470" w14:textId="77777777">
      <w:pPr>
        <w:pStyle w:val="Heading1"/>
      </w:pPr>
      <w:bookmarkStart w:name="_Toc389570488" w:id="2"/>
      <w:bookmarkStart w:name="_Toc23950520" w:id="3"/>
      <w:r w:rsidRPr="007010DF">
        <w:rPr>
          <w:rFonts w:ascii="Times New Roman" w:hAnsi="Times New Roman" w:cs="Times New Roman"/>
          <w:color w:val="auto"/>
          <w:sz w:val="24"/>
        </w:rPr>
        <w:t>1.  Respondent Universe and Sampling Methods</w:t>
      </w:r>
      <w:bookmarkEnd w:id="2"/>
      <w:bookmarkEnd w:id="3"/>
    </w:p>
    <w:p w:rsidRPr="00F20B59" w:rsidR="00F81F89" w:rsidP="00794F8B" w:rsidRDefault="00F81F89" w14:paraId="21F6E2AB" w14:textId="77777777">
      <w:pPr>
        <w:rPr>
          <w:color w:val="000000"/>
          <w:sz w:val="18"/>
        </w:rPr>
      </w:pPr>
    </w:p>
    <w:p w:rsidRPr="00F20B59" w:rsidR="0066115E" w:rsidP="00BB5537" w:rsidRDefault="007F3374" w14:paraId="1FB34208" w14:textId="5066812C">
      <w:pPr>
        <w:tabs>
          <w:tab w:val="left" w:pos="0"/>
          <w:tab w:val="right" w:pos="9360"/>
        </w:tabs>
        <w:rPr>
          <w:color w:val="000000"/>
        </w:rPr>
      </w:pPr>
      <w:bookmarkStart w:name="OLE_LINK22" w:id="4"/>
      <w:bookmarkStart w:name="OLE_LINK23" w:id="5"/>
      <w:r w:rsidRPr="00F20B59">
        <w:rPr>
          <w:color w:val="000000"/>
        </w:rPr>
        <w:t xml:space="preserve">The </w:t>
      </w:r>
      <w:r w:rsidR="00BF6751">
        <w:rPr>
          <w:color w:val="000000"/>
        </w:rPr>
        <w:t>National Hospital Ambulatory Medical Care Survey (</w:t>
      </w:r>
      <w:r w:rsidRPr="00F20B59">
        <w:rPr>
          <w:color w:val="000000"/>
        </w:rPr>
        <w:t>NHAMCS</w:t>
      </w:r>
      <w:r w:rsidR="00BF6751">
        <w:rPr>
          <w:color w:val="000000"/>
        </w:rPr>
        <w:t>)</w:t>
      </w:r>
      <w:r w:rsidRPr="00F20B59">
        <w:rPr>
          <w:color w:val="000000"/>
        </w:rPr>
        <w:t xml:space="preserve"> </w:t>
      </w:r>
      <w:r w:rsidR="005C7A5C">
        <w:rPr>
          <w:color w:val="000000"/>
        </w:rPr>
        <w:t xml:space="preserve">target </w:t>
      </w:r>
      <w:r w:rsidRPr="00F20B59">
        <w:rPr>
          <w:color w:val="000000"/>
        </w:rPr>
        <w:t xml:space="preserve">universe </w:t>
      </w:r>
      <w:r w:rsidR="005C7A5C">
        <w:rPr>
          <w:color w:val="000000"/>
        </w:rPr>
        <w:t xml:space="preserve">is </w:t>
      </w:r>
      <w:r w:rsidRPr="00F20B59" w:rsidR="00794F8B">
        <w:rPr>
          <w:color w:val="000000"/>
        </w:rPr>
        <w:t>non-Federal</w:t>
      </w:r>
      <w:r w:rsidR="00EE2ECB">
        <w:rPr>
          <w:color w:val="000000"/>
        </w:rPr>
        <w:t>, noninstitutional</w:t>
      </w:r>
      <w:r w:rsidRPr="00F20B59" w:rsidR="00794F8B">
        <w:rPr>
          <w:color w:val="000000"/>
        </w:rPr>
        <w:t xml:space="preserve"> hospitals in the 50 </w:t>
      </w:r>
      <w:r w:rsidR="005C7A5C">
        <w:rPr>
          <w:color w:val="000000"/>
        </w:rPr>
        <w:t xml:space="preserve">U.S. </w:t>
      </w:r>
      <w:r w:rsidRPr="00F20B59" w:rsidR="00794F8B">
        <w:rPr>
          <w:color w:val="000000"/>
        </w:rPr>
        <w:t xml:space="preserve">states </w:t>
      </w:r>
      <w:r w:rsidRPr="00F20B59" w:rsidR="009975B9">
        <w:rPr>
          <w:color w:val="000000"/>
        </w:rPr>
        <w:t>and</w:t>
      </w:r>
      <w:r w:rsidR="005C7A5C">
        <w:rPr>
          <w:color w:val="000000"/>
        </w:rPr>
        <w:t xml:space="preserve"> the</w:t>
      </w:r>
      <w:r w:rsidRPr="00F20B59" w:rsidR="009975B9">
        <w:rPr>
          <w:color w:val="000000"/>
        </w:rPr>
        <w:t xml:space="preserve"> District</w:t>
      </w:r>
      <w:r w:rsidRPr="00F20B59" w:rsidR="00794F8B">
        <w:rPr>
          <w:color w:val="000000"/>
        </w:rPr>
        <w:t xml:space="preserve"> of Columbia which have </w:t>
      </w:r>
      <w:r w:rsidR="005C7A5C">
        <w:rPr>
          <w:color w:val="000000"/>
        </w:rPr>
        <w:t>6</w:t>
      </w:r>
      <w:r w:rsidRPr="00F20B59" w:rsidR="00794F8B">
        <w:rPr>
          <w:color w:val="000000"/>
        </w:rPr>
        <w:t xml:space="preserve"> or more beds staffed for inpatient use</w:t>
      </w:r>
      <w:r w:rsidR="00EE2ECB">
        <w:rPr>
          <w:color w:val="000000"/>
        </w:rPr>
        <w:t xml:space="preserve">. </w:t>
      </w:r>
      <w:r w:rsidR="00E56844">
        <w:rPr>
          <w:color w:val="000000"/>
        </w:rPr>
        <w:t xml:space="preserve"> </w:t>
      </w:r>
      <w:r w:rsidR="00EE2ECB">
        <w:rPr>
          <w:color w:val="000000"/>
        </w:rPr>
        <w:t xml:space="preserve">These hospitals must be </w:t>
      </w:r>
      <w:r w:rsidRPr="00F20B59" w:rsidR="00ED361C">
        <w:rPr>
          <w:color w:val="000000"/>
        </w:rPr>
        <w:t xml:space="preserve">either </w:t>
      </w:r>
      <w:r w:rsidRPr="00F20B59" w:rsidR="00794F8B">
        <w:rPr>
          <w:color w:val="000000"/>
        </w:rPr>
        <w:t xml:space="preserve">general or </w:t>
      </w:r>
      <w:r w:rsidR="00EE2ECB">
        <w:rPr>
          <w:color w:val="000000"/>
        </w:rPr>
        <w:t xml:space="preserve">children’s general and </w:t>
      </w:r>
      <w:r w:rsidRPr="00F20B59" w:rsidR="00794F8B">
        <w:rPr>
          <w:color w:val="000000"/>
        </w:rPr>
        <w:t xml:space="preserve">have an average length of stay for all patients of less than 30 days. The </w:t>
      </w:r>
      <w:r w:rsidRPr="00F20B59" w:rsidR="00A259BD">
        <w:rPr>
          <w:color w:val="000000"/>
        </w:rPr>
        <w:t xml:space="preserve">hospital </w:t>
      </w:r>
      <w:r w:rsidRPr="00F20B59" w:rsidR="00794F8B">
        <w:rPr>
          <w:color w:val="000000"/>
        </w:rPr>
        <w:t>universe</w:t>
      </w:r>
      <w:r w:rsidRPr="00F20B59" w:rsidR="009724A5">
        <w:rPr>
          <w:color w:val="000000"/>
        </w:rPr>
        <w:t xml:space="preserve"> frame</w:t>
      </w:r>
      <w:r w:rsidRPr="00F20B59" w:rsidR="00794F8B">
        <w:rPr>
          <w:color w:val="000000"/>
        </w:rPr>
        <w:t xml:space="preserve"> and sample were </w:t>
      </w:r>
      <w:r w:rsidRPr="00F20B59" w:rsidR="00CC7E4B">
        <w:rPr>
          <w:color w:val="000000"/>
        </w:rPr>
        <w:t xml:space="preserve">most recently </w:t>
      </w:r>
      <w:r w:rsidRPr="00F20B59" w:rsidR="00794F8B">
        <w:rPr>
          <w:color w:val="000000"/>
        </w:rPr>
        <w:t xml:space="preserve">updated for the </w:t>
      </w:r>
      <w:r w:rsidR="00E5600D">
        <w:rPr>
          <w:color w:val="000000"/>
        </w:rPr>
        <w:t>2020</w:t>
      </w:r>
      <w:r w:rsidRPr="00F20B59" w:rsidR="00E5600D">
        <w:rPr>
          <w:color w:val="000000"/>
        </w:rPr>
        <w:t xml:space="preserve"> </w:t>
      </w:r>
      <w:r w:rsidRPr="00F20B59" w:rsidR="00794F8B">
        <w:rPr>
          <w:color w:val="000000"/>
        </w:rPr>
        <w:t>NHAMCS</w:t>
      </w:r>
      <w:r w:rsidRPr="00F20B59" w:rsidR="00806E40">
        <w:rPr>
          <w:color w:val="000000"/>
        </w:rPr>
        <w:t xml:space="preserve"> </w:t>
      </w:r>
      <w:r w:rsidRPr="00F20B59" w:rsidR="00794F8B">
        <w:rPr>
          <w:color w:val="000000"/>
        </w:rPr>
        <w:t xml:space="preserve">using hospital data from </w:t>
      </w:r>
      <w:r w:rsidRPr="00DC519C" w:rsidR="00E5600D">
        <w:rPr>
          <w:color w:val="000000"/>
        </w:rPr>
        <w:t>IQVIA</w:t>
      </w:r>
      <w:r w:rsidRPr="00DC519C" w:rsidR="00A02A4A">
        <w:rPr>
          <w:color w:val="000000"/>
        </w:rPr>
        <w:t xml:space="preserve"> (</w:t>
      </w:r>
      <w:r w:rsidR="00DC519C">
        <w:rPr>
          <w:color w:val="444444"/>
          <w:lang w:val="en"/>
        </w:rPr>
        <w:t>f</w:t>
      </w:r>
      <w:r w:rsidRPr="00DC519C" w:rsidR="00A02A4A">
        <w:rPr>
          <w:color w:val="444444"/>
          <w:lang w:val="en"/>
        </w:rPr>
        <w:t>ormed through the merger of IMS Health and Quintiles)</w:t>
      </w:r>
      <w:r w:rsidRPr="00DC519C" w:rsidR="004B7C47">
        <w:rPr>
          <w:color w:val="000000"/>
        </w:rPr>
        <w:t>,</w:t>
      </w:r>
      <w:r w:rsidR="004B7C47">
        <w:rPr>
          <w:color w:val="000000"/>
        </w:rPr>
        <w:t xml:space="preserve"> </w:t>
      </w:r>
      <w:r w:rsidR="00E56844">
        <w:rPr>
          <w:color w:val="000000"/>
        </w:rPr>
        <w:t xml:space="preserve">the </w:t>
      </w:r>
      <w:r w:rsidR="004B7C47">
        <w:rPr>
          <w:color w:val="000000"/>
        </w:rPr>
        <w:t>American Hospital Association,</w:t>
      </w:r>
      <w:r w:rsidR="00E5600D">
        <w:rPr>
          <w:color w:val="000000"/>
        </w:rPr>
        <w:t xml:space="preserve"> </w:t>
      </w:r>
      <w:r w:rsidR="00EE2ECB">
        <w:rPr>
          <w:color w:val="000000"/>
        </w:rPr>
        <w:t>and the American Hospital Database</w:t>
      </w:r>
      <w:r w:rsidRPr="00F20B59" w:rsidR="00794F8B">
        <w:rPr>
          <w:color w:val="000000"/>
        </w:rPr>
        <w:t>.</w:t>
      </w:r>
    </w:p>
    <w:bookmarkEnd w:id="4"/>
    <w:bookmarkEnd w:id="5"/>
    <w:p w:rsidRPr="007E16FE" w:rsidR="00B829C3" w:rsidP="00BB5537" w:rsidRDefault="00B829C3" w14:paraId="7D0DD032" w14:textId="77777777">
      <w:pPr>
        <w:tabs>
          <w:tab w:val="left" w:pos="0"/>
        </w:tabs>
        <w:rPr>
          <w:color w:val="000000"/>
        </w:rPr>
      </w:pPr>
    </w:p>
    <w:p w:rsidR="0004755E" w:rsidP="00BB5537" w:rsidRDefault="00F20B59" w14:paraId="7C797698" w14:textId="785BA3C2">
      <w:pPr>
        <w:pStyle w:val="NormalWeb"/>
        <w:tabs>
          <w:tab w:val="left" w:pos="0"/>
        </w:tabs>
        <w:rPr>
          <w:color w:val="000000"/>
        </w:rPr>
      </w:pPr>
      <w:r>
        <w:rPr>
          <w:color w:val="000000"/>
        </w:rPr>
        <w:t>T</w:t>
      </w:r>
      <w:r w:rsidRPr="00F20B59" w:rsidR="00794F8B">
        <w:rPr>
          <w:color w:val="000000"/>
        </w:rPr>
        <w:t xml:space="preserve">he NHAMCS </w:t>
      </w:r>
      <w:r w:rsidR="000A2D3E">
        <w:rPr>
          <w:color w:val="000000"/>
        </w:rPr>
        <w:t xml:space="preserve">uses </w:t>
      </w:r>
      <w:r w:rsidRPr="00F20B59" w:rsidR="00794F8B">
        <w:rPr>
          <w:color w:val="000000"/>
        </w:rPr>
        <w:t xml:space="preserve">a multi-stage </w:t>
      </w:r>
      <w:r w:rsidR="000A2D3E">
        <w:rPr>
          <w:color w:val="000000"/>
        </w:rPr>
        <w:t>sample</w:t>
      </w:r>
      <w:r w:rsidRPr="00F20B59" w:rsidR="00794F8B">
        <w:rPr>
          <w:color w:val="000000"/>
        </w:rPr>
        <w:t xml:space="preserve"> with a first stage sample </w:t>
      </w:r>
      <w:r w:rsidR="00E5600D">
        <w:rPr>
          <w:color w:val="000000"/>
        </w:rPr>
        <w:t xml:space="preserve">comprising </w:t>
      </w:r>
      <w:r w:rsidRPr="00F20B59" w:rsidR="00794F8B">
        <w:rPr>
          <w:color w:val="000000"/>
        </w:rPr>
        <w:t xml:space="preserve">112 </w:t>
      </w:r>
      <w:r w:rsidR="000A2D3E">
        <w:rPr>
          <w:color w:val="000000"/>
        </w:rPr>
        <w:t xml:space="preserve">geographic </w:t>
      </w:r>
      <w:r w:rsidR="007E16FE">
        <w:rPr>
          <w:color w:val="000000"/>
        </w:rPr>
        <w:t>primary sampling units (</w:t>
      </w:r>
      <w:r w:rsidRPr="00F20B59" w:rsidR="00794F8B">
        <w:rPr>
          <w:color w:val="000000"/>
        </w:rPr>
        <w:t>PSUs</w:t>
      </w:r>
      <w:r w:rsidR="007E16FE">
        <w:rPr>
          <w:color w:val="000000"/>
        </w:rPr>
        <w:t>)</w:t>
      </w:r>
      <w:r w:rsidRPr="00F20B59" w:rsidR="00794F8B">
        <w:rPr>
          <w:color w:val="000000"/>
        </w:rPr>
        <w:t>.  From th</w:t>
      </w:r>
      <w:r w:rsidR="00907B04">
        <w:rPr>
          <w:color w:val="000000"/>
        </w:rPr>
        <w:t>os</w:t>
      </w:r>
      <w:r w:rsidRPr="00F20B59" w:rsidR="00794F8B">
        <w:rPr>
          <w:color w:val="000000"/>
        </w:rPr>
        <w:t xml:space="preserve">e PSUs, a stratified sample of approximately 600 hospitals </w:t>
      </w:r>
      <w:r w:rsidR="00F42E03">
        <w:rPr>
          <w:color w:val="000000"/>
        </w:rPr>
        <w:t>is</w:t>
      </w:r>
      <w:r w:rsidRPr="00F20B59" w:rsidR="00F42E03">
        <w:rPr>
          <w:color w:val="000000"/>
        </w:rPr>
        <w:t xml:space="preserve"> </w:t>
      </w:r>
      <w:r w:rsidRPr="00F20B59" w:rsidR="00794F8B">
        <w:rPr>
          <w:color w:val="000000"/>
        </w:rPr>
        <w:t>selected</w:t>
      </w:r>
      <w:r w:rsidR="00036428">
        <w:rPr>
          <w:color w:val="000000"/>
        </w:rPr>
        <w:t xml:space="preserve"> with strata</w:t>
      </w:r>
      <w:r w:rsidRPr="00F20B59" w:rsidR="00794F8B">
        <w:rPr>
          <w:color w:val="000000"/>
        </w:rPr>
        <w:t xml:space="preserve"> </w:t>
      </w:r>
      <w:r w:rsidR="00036428">
        <w:rPr>
          <w:color w:val="000000"/>
        </w:rPr>
        <w:t xml:space="preserve">defined by </w:t>
      </w:r>
      <w:r w:rsidRPr="00F20B59" w:rsidR="00794F8B">
        <w:rPr>
          <w:color w:val="000000"/>
        </w:rPr>
        <w:t xml:space="preserve">whether </w:t>
      </w:r>
      <w:r w:rsidR="00A74564">
        <w:rPr>
          <w:color w:val="000000"/>
        </w:rPr>
        <w:t>there was</w:t>
      </w:r>
      <w:r w:rsidRPr="00F20B59" w:rsidR="00F42E03">
        <w:rPr>
          <w:color w:val="000000"/>
        </w:rPr>
        <w:t xml:space="preserve"> </w:t>
      </w:r>
      <w:r w:rsidR="000D597F">
        <w:rPr>
          <w:color w:val="000000"/>
        </w:rPr>
        <w:t xml:space="preserve">an </w:t>
      </w:r>
      <w:r w:rsidR="000A2D3E">
        <w:rPr>
          <w:color w:val="000000"/>
        </w:rPr>
        <w:t xml:space="preserve">outpatient (OPD) and/or an </w:t>
      </w:r>
      <w:r w:rsidR="000D597F">
        <w:rPr>
          <w:color w:val="000000"/>
        </w:rPr>
        <w:t>emergency</w:t>
      </w:r>
      <w:r w:rsidR="007E16FE">
        <w:rPr>
          <w:color w:val="000000"/>
        </w:rPr>
        <w:t xml:space="preserve"> department (</w:t>
      </w:r>
      <w:r w:rsidRPr="00F20B59" w:rsidR="00794F8B">
        <w:rPr>
          <w:color w:val="000000"/>
        </w:rPr>
        <w:t>ED</w:t>
      </w:r>
      <w:r w:rsidR="007E16FE">
        <w:rPr>
          <w:color w:val="000000"/>
        </w:rPr>
        <w:t>)</w:t>
      </w:r>
      <w:r w:rsidRPr="00F20B59" w:rsidR="00794F8B">
        <w:rPr>
          <w:color w:val="000000"/>
        </w:rPr>
        <w:t xml:space="preserve"> </w:t>
      </w:r>
      <w:r w:rsidR="00F42E03">
        <w:rPr>
          <w:color w:val="000000"/>
        </w:rPr>
        <w:t>listed in</w:t>
      </w:r>
      <w:r w:rsidRPr="00F20B59" w:rsidR="00794F8B">
        <w:rPr>
          <w:color w:val="000000"/>
        </w:rPr>
        <w:t xml:space="preserve"> the sampling frame. </w:t>
      </w:r>
      <w:r w:rsidR="00F42E03">
        <w:rPr>
          <w:color w:val="000000"/>
        </w:rPr>
        <w:t>The s</w:t>
      </w:r>
      <w:r w:rsidRPr="00F20B59" w:rsidR="00794F8B">
        <w:rPr>
          <w:color w:val="000000"/>
        </w:rPr>
        <w:t>ample</w:t>
      </w:r>
      <w:r w:rsidR="00F42E03">
        <w:rPr>
          <w:color w:val="000000"/>
        </w:rPr>
        <w:t>d</w:t>
      </w:r>
      <w:r w:rsidRPr="00F20B59" w:rsidR="00794F8B">
        <w:rPr>
          <w:color w:val="000000"/>
        </w:rPr>
        <w:t xml:space="preserve"> hospitals are randomly </w:t>
      </w:r>
      <w:r w:rsidR="007D7FEF">
        <w:rPr>
          <w:color w:val="000000"/>
        </w:rPr>
        <w:t xml:space="preserve">divided into </w:t>
      </w:r>
      <w:r w:rsidRPr="00F20B59" w:rsidR="00794F8B">
        <w:rPr>
          <w:color w:val="000000"/>
        </w:rPr>
        <w:t xml:space="preserve">16 </w:t>
      </w:r>
      <w:r w:rsidR="007D7FEF">
        <w:rPr>
          <w:color w:val="000000"/>
        </w:rPr>
        <w:t xml:space="preserve">subsets of approximately equal size.  These subsets are assigned on a rotating basis to </w:t>
      </w:r>
      <w:r w:rsidR="00EE2ECB">
        <w:rPr>
          <w:color w:val="000000"/>
        </w:rPr>
        <w:t>four</w:t>
      </w:r>
      <w:r w:rsidRPr="00F20B59" w:rsidR="00794F8B">
        <w:rPr>
          <w:color w:val="000000"/>
        </w:rPr>
        <w:t xml:space="preserve">-week reporting </w:t>
      </w:r>
      <w:r w:rsidRPr="00F20B59" w:rsidR="00CF55B5">
        <w:rPr>
          <w:color w:val="000000"/>
        </w:rPr>
        <w:t>periods</w:t>
      </w:r>
      <w:r w:rsidR="00CF55B5">
        <w:rPr>
          <w:color w:val="000000"/>
        </w:rPr>
        <w:t xml:space="preserve"> </w:t>
      </w:r>
      <w:r w:rsidR="007D7FEF">
        <w:rPr>
          <w:color w:val="000000"/>
        </w:rPr>
        <w:t>across survey years for as long as</w:t>
      </w:r>
      <w:r w:rsidR="00F42E03">
        <w:rPr>
          <w:color w:val="000000"/>
        </w:rPr>
        <w:t xml:space="preserve"> </w:t>
      </w:r>
      <w:r w:rsidR="007D7FEF">
        <w:rPr>
          <w:color w:val="000000"/>
        </w:rPr>
        <w:t xml:space="preserve">the hospitals </w:t>
      </w:r>
      <w:r w:rsidR="00F42E03">
        <w:rPr>
          <w:color w:val="000000"/>
        </w:rPr>
        <w:t xml:space="preserve">remain </w:t>
      </w:r>
      <w:r w:rsidR="007E16FE">
        <w:rPr>
          <w:color w:val="000000"/>
        </w:rPr>
        <w:t>eligible</w:t>
      </w:r>
      <w:r w:rsidR="00F42E03">
        <w:rPr>
          <w:color w:val="000000"/>
        </w:rPr>
        <w:t xml:space="preserve"> for participation in the survey.</w:t>
      </w:r>
      <w:r w:rsidRPr="00F20B59" w:rsidR="00794F8B">
        <w:rPr>
          <w:color w:val="000000"/>
        </w:rPr>
        <w:t xml:space="preserve"> </w:t>
      </w:r>
      <w:r w:rsidR="0003125F">
        <w:rPr>
          <w:color w:val="000000"/>
        </w:rPr>
        <w:t>Of the</w:t>
      </w:r>
      <w:r w:rsidR="00F42E03">
        <w:rPr>
          <w:color w:val="000000"/>
        </w:rPr>
        <w:t xml:space="preserve"> 600 hospitals</w:t>
      </w:r>
      <w:r w:rsidR="007E16FE">
        <w:rPr>
          <w:color w:val="000000"/>
        </w:rPr>
        <w:t xml:space="preserve"> selected</w:t>
      </w:r>
      <w:r w:rsidR="0003125F">
        <w:rPr>
          <w:color w:val="000000"/>
        </w:rPr>
        <w:t xml:space="preserve">, </w:t>
      </w:r>
      <w:r w:rsidR="00F42E03">
        <w:rPr>
          <w:color w:val="000000"/>
        </w:rPr>
        <w:t xml:space="preserve">and within any given </w:t>
      </w:r>
      <w:r w:rsidR="007E16FE">
        <w:rPr>
          <w:color w:val="000000"/>
        </w:rPr>
        <w:t xml:space="preserve">NHAMCS </w:t>
      </w:r>
      <w:r w:rsidR="00F42E03">
        <w:rPr>
          <w:color w:val="000000"/>
        </w:rPr>
        <w:t xml:space="preserve">data collection year, </w:t>
      </w:r>
      <w:r w:rsidRPr="00F20B59" w:rsidR="00A259BD">
        <w:rPr>
          <w:color w:val="000000"/>
        </w:rPr>
        <w:t xml:space="preserve">approximately </w:t>
      </w:r>
      <w:r w:rsidR="005333F3">
        <w:rPr>
          <w:color w:val="000000"/>
        </w:rPr>
        <w:t>410</w:t>
      </w:r>
      <w:r w:rsidR="007E16FE">
        <w:rPr>
          <w:color w:val="000000"/>
        </w:rPr>
        <w:t xml:space="preserve"> hospitals are found to</w:t>
      </w:r>
      <w:r w:rsidR="005333F3">
        <w:rPr>
          <w:color w:val="000000"/>
        </w:rPr>
        <w:t xml:space="preserve"> have </w:t>
      </w:r>
      <w:proofErr w:type="spellStart"/>
      <w:r w:rsidR="00F42E03">
        <w:rPr>
          <w:color w:val="000000"/>
        </w:rPr>
        <w:t>EDs</w:t>
      </w:r>
      <w:r w:rsidRPr="00F20B59" w:rsidR="00F5400C">
        <w:rPr>
          <w:color w:val="000000"/>
        </w:rPr>
        <w:t>.</w:t>
      </w:r>
      <w:proofErr w:type="spellEnd"/>
      <w:r w:rsidRPr="00F20B59" w:rsidR="00521002">
        <w:rPr>
          <w:color w:val="000000"/>
        </w:rPr>
        <w:t xml:space="preserve"> This sample is </w:t>
      </w:r>
      <w:proofErr w:type="gramStart"/>
      <w:r w:rsidRPr="00F20B59" w:rsidR="00521002">
        <w:rPr>
          <w:color w:val="000000"/>
        </w:rPr>
        <w:t>sufficient</w:t>
      </w:r>
      <w:proofErr w:type="gramEnd"/>
      <w:r w:rsidRPr="00F20B59" w:rsidR="00521002">
        <w:rPr>
          <w:color w:val="000000"/>
        </w:rPr>
        <w:t xml:space="preserve"> to produce </w:t>
      </w:r>
      <w:r w:rsidR="007E16FE">
        <w:rPr>
          <w:color w:val="000000"/>
        </w:rPr>
        <w:t xml:space="preserve">reliable national </w:t>
      </w:r>
      <w:r w:rsidRPr="00F20B59" w:rsidR="00521002">
        <w:rPr>
          <w:color w:val="000000"/>
        </w:rPr>
        <w:t>estimates</w:t>
      </w:r>
      <w:r w:rsidR="001959CD">
        <w:rPr>
          <w:color w:val="000000"/>
        </w:rPr>
        <w:t xml:space="preserve"> of ED visits</w:t>
      </w:r>
      <w:r w:rsidRPr="00F20B59" w:rsidR="00521002">
        <w:rPr>
          <w:color w:val="000000"/>
        </w:rPr>
        <w:t>.</w:t>
      </w:r>
    </w:p>
    <w:p w:rsidRPr="00CF55B5" w:rsidR="00794F8B" w:rsidP="00BB5537" w:rsidRDefault="00794F8B" w14:paraId="5AC793BD" w14:textId="2817539A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b/>
          <w:color w:val="000000"/>
        </w:rPr>
      </w:pPr>
      <w:r w:rsidRPr="00CF55B5">
        <w:rPr>
          <w:b/>
          <w:color w:val="000000"/>
        </w:rPr>
        <w:t>Hospitals</w:t>
      </w:r>
    </w:p>
    <w:p w:rsidRPr="00394688" w:rsidR="00F255E9" w:rsidP="00867D29" w:rsidRDefault="00F255E9" w14:paraId="45FB4BD8" w14:textId="77777777">
      <w:pPr>
        <w:tabs>
          <w:tab w:val="left" w:pos="0"/>
        </w:tabs>
        <w:rPr>
          <w:color w:val="000000"/>
        </w:rPr>
      </w:pPr>
    </w:p>
    <w:p w:rsidRPr="00394688" w:rsidR="00794F8B" w:rsidP="006B497A" w:rsidRDefault="00794F8B" w14:paraId="60636C58" w14:textId="1B1E33C8">
      <w:pPr>
        <w:tabs>
          <w:tab w:val="left" w:pos="0"/>
          <w:tab w:val="right" w:pos="9360"/>
        </w:tabs>
        <w:rPr>
          <w:color w:val="000000"/>
        </w:rPr>
      </w:pPr>
      <w:bookmarkStart w:name="_Hlk34231088" w:id="6"/>
      <w:r w:rsidRPr="00394688">
        <w:rPr>
          <w:color w:val="000000"/>
        </w:rPr>
        <w:t>Non-Federal, short-stay</w:t>
      </w:r>
      <w:r w:rsidRPr="00394688" w:rsidR="00621F72">
        <w:rPr>
          <w:color w:val="000000"/>
        </w:rPr>
        <w:t>,</w:t>
      </w:r>
      <w:r w:rsidRPr="00394688">
        <w:rPr>
          <w:color w:val="000000"/>
        </w:rPr>
        <w:t xml:space="preserve"> and </w:t>
      </w:r>
      <w:r w:rsidRPr="00394688" w:rsidR="00BF0B11">
        <w:rPr>
          <w:color w:val="000000"/>
        </w:rPr>
        <w:t>hosp</w:t>
      </w:r>
      <w:r w:rsidRPr="00394688" w:rsidR="0003301B">
        <w:rPr>
          <w:color w:val="000000"/>
        </w:rPr>
        <w:t>i</w:t>
      </w:r>
      <w:r w:rsidRPr="00394688" w:rsidR="00BF0B11">
        <w:rPr>
          <w:color w:val="000000"/>
        </w:rPr>
        <w:t xml:space="preserve">tals specializing in </w:t>
      </w:r>
      <w:r w:rsidRPr="00394688">
        <w:rPr>
          <w:color w:val="000000"/>
        </w:rPr>
        <w:t xml:space="preserve">general </w:t>
      </w:r>
      <w:r w:rsidRPr="00394688" w:rsidR="00BF0B11">
        <w:rPr>
          <w:color w:val="000000"/>
        </w:rPr>
        <w:t xml:space="preserve">and </w:t>
      </w:r>
      <w:r w:rsidRPr="00394688" w:rsidR="0020336E">
        <w:rPr>
          <w:color w:val="000000"/>
        </w:rPr>
        <w:t>medical</w:t>
      </w:r>
      <w:r w:rsidRPr="00394688" w:rsidR="00BF0B11">
        <w:rPr>
          <w:color w:val="000000"/>
        </w:rPr>
        <w:t xml:space="preserve">, maternity, </w:t>
      </w:r>
      <w:r w:rsidRPr="00394688" w:rsidR="00EE2ECB">
        <w:rPr>
          <w:color w:val="000000"/>
        </w:rPr>
        <w:t xml:space="preserve">children’s general </w:t>
      </w:r>
      <w:r w:rsidRPr="00394688" w:rsidR="00BF0B11">
        <w:rPr>
          <w:color w:val="000000"/>
        </w:rPr>
        <w:t>or long</w:t>
      </w:r>
      <w:r w:rsidRPr="00394688" w:rsidR="00123762">
        <w:rPr>
          <w:color w:val="000000"/>
        </w:rPr>
        <w:t>-</w:t>
      </w:r>
      <w:r w:rsidRPr="00394688" w:rsidR="00BF0B11">
        <w:rPr>
          <w:color w:val="000000"/>
        </w:rPr>
        <w:t xml:space="preserve">term acute care </w:t>
      </w:r>
      <w:r w:rsidRPr="00394688">
        <w:rPr>
          <w:color w:val="000000"/>
        </w:rPr>
        <w:t xml:space="preserve">in the sample PSUs are eligible for inclusion in the </w:t>
      </w:r>
      <w:r w:rsidRPr="00394688" w:rsidR="007E16FE">
        <w:rPr>
          <w:color w:val="000000"/>
        </w:rPr>
        <w:t>NHAM</w:t>
      </w:r>
      <w:r w:rsidRPr="00394688" w:rsidR="00CF55B5">
        <w:rPr>
          <w:color w:val="000000"/>
        </w:rPr>
        <w:t>C</w:t>
      </w:r>
      <w:r w:rsidRPr="00394688" w:rsidR="007E16FE">
        <w:rPr>
          <w:color w:val="000000"/>
        </w:rPr>
        <w:t xml:space="preserve">S </w:t>
      </w:r>
      <w:r w:rsidRPr="00394688">
        <w:rPr>
          <w:color w:val="000000"/>
        </w:rPr>
        <w:t xml:space="preserve">sample. </w:t>
      </w:r>
      <w:bookmarkEnd w:id="6"/>
      <w:r w:rsidRPr="00394688" w:rsidR="007066EA">
        <w:rPr>
          <w:color w:val="000000"/>
        </w:rPr>
        <w:t xml:space="preserve">Institutional hospitals </w:t>
      </w:r>
      <w:r w:rsidRPr="00394688" w:rsidR="00EE2ECB">
        <w:rPr>
          <w:color w:val="000000"/>
        </w:rPr>
        <w:t xml:space="preserve">or </w:t>
      </w:r>
      <w:r w:rsidRPr="00394688" w:rsidR="007066EA">
        <w:rPr>
          <w:color w:val="000000"/>
        </w:rPr>
        <w:t xml:space="preserve">hospitals with fewer than </w:t>
      </w:r>
      <w:r w:rsidRPr="00394688" w:rsidR="007E16FE">
        <w:rPr>
          <w:color w:val="000000"/>
        </w:rPr>
        <w:t xml:space="preserve">6 </w:t>
      </w:r>
      <w:r w:rsidRPr="00394688" w:rsidR="007066EA">
        <w:rPr>
          <w:color w:val="000000"/>
        </w:rPr>
        <w:t xml:space="preserve">beds for inpatient use are excluded. </w:t>
      </w:r>
      <w:r w:rsidRPr="00394688">
        <w:rPr>
          <w:color w:val="000000"/>
        </w:rPr>
        <w:t xml:space="preserve">Hospitals </w:t>
      </w:r>
      <w:r w:rsidRPr="00394688" w:rsidR="006B497A">
        <w:rPr>
          <w:color w:val="000000"/>
        </w:rPr>
        <w:t>with neither an ED nor an OPD according to the frame information are treated as a separate stratum and a sample of them is selected</w:t>
      </w:r>
      <w:r w:rsidRPr="00394688" w:rsidR="009E307A">
        <w:rPr>
          <w:color w:val="000000"/>
        </w:rPr>
        <w:t>.</w:t>
      </w:r>
      <w:r w:rsidRPr="00394688">
        <w:rPr>
          <w:color w:val="000000"/>
        </w:rPr>
        <w:t xml:space="preserve"> </w:t>
      </w:r>
      <w:r w:rsidRPr="00394688" w:rsidR="006C4B9B">
        <w:rPr>
          <w:color w:val="000000"/>
        </w:rPr>
        <w:t xml:space="preserve"> </w:t>
      </w:r>
      <w:r w:rsidRPr="00394688" w:rsidR="006B497A">
        <w:t xml:space="preserve">All hospitals with EDs and/or OPDs in non-certainty sample PSUs </w:t>
      </w:r>
      <w:r w:rsidR="0079106A">
        <w:t xml:space="preserve">which had </w:t>
      </w:r>
      <w:r w:rsidRPr="00394688" w:rsidR="006B497A">
        <w:t xml:space="preserve">five or fewer </w:t>
      </w:r>
      <w:r w:rsidR="00394688">
        <w:t xml:space="preserve">such </w:t>
      </w:r>
      <w:r w:rsidRPr="00394688" w:rsidR="006B497A">
        <w:t xml:space="preserve">hospitals </w:t>
      </w:r>
      <w:r w:rsidR="0079106A">
        <w:t xml:space="preserve">in 1991 </w:t>
      </w:r>
      <w:r w:rsidRPr="00394688" w:rsidR="006B497A">
        <w:t xml:space="preserve">are selected with certainty. In </w:t>
      </w:r>
      <w:r w:rsidR="009961BC">
        <w:t xml:space="preserve">each of the </w:t>
      </w:r>
      <w:r w:rsidR="00AE1036">
        <w:t xml:space="preserve">remaining </w:t>
      </w:r>
      <w:r w:rsidRPr="00394688" w:rsidR="006B497A">
        <w:t xml:space="preserve">non-certainty sample PSUs, </w:t>
      </w:r>
      <w:r w:rsidR="00394688">
        <w:t xml:space="preserve">hospitals </w:t>
      </w:r>
      <w:r w:rsidRPr="00394688" w:rsidR="006B497A">
        <w:t xml:space="preserve">are selected </w:t>
      </w:r>
      <w:r w:rsidR="002067BA">
        <w:t xml:space="preserve">with </w:t>
      </w:r>
      <w:r w:rsidRPr="00394688" w:rsidR="006B497A">
        <w:t>probability proportional to size (measured by combined volume of ED and OPD visits reported in the sampling frame)</w:t>
      </w:r>
      <w:r w:rsidR="002067BA">
        <w:t xml:space="preserve"> </w:t>
      </w:r>
      <w:r w:rsidR="009961BC">
        <w:t xml:space="preserve">using </w:t>
      </w:r>
      <w:r w:rsidR="002067BA">
        <w:t xml:space="preserve">systematic random sampling </w:t>
      </w:r>
      <w:r w:rsidR="009961BC">
        <w:t xml:space="preserve">and </w:t>
      </w:r>
      <w:r w:rsidR="00720C22">
        <w:t xml:space="preserve">a </w:t>
      </w:r>
      <w:r w:rsidR="002067BA">
        <w:t xml:space="preserve">sampling rate that </w:t>
      </w:r>
      <w:r w:rsidR="009961BC">
        <w:t xml:space="preserve">selected </w:t>
      </w:r>
      <w:r w:rsidR="002067BA">
        <w:t>5 hospitals</w:t>
      </w:r>
      <w:r w:rsidR="009961BC">
        <w:t xml:space="preserve"> </w:t>
      </w:r>
      <w:r w:rsidR="002067BA">
        <w:t>in 1991</w:t>
      </w:r>
      <w:r w:rsidRPr="00394688" w:rsidR="006B497A">
        <w:t xml:space="preserve">. </w:t>
      </w:r>
      <w:r w:rsidRPr="00394688" w:rsidR="006B497A">
        <w:rPr>
          <w:color w:val="000000"/>
        </w:rPr>
        <w:t xml:space="preserve">For </w:t>
      </w:r>
      <w:r w:rsidR="00394688">
        <w:rPr>
          <w:color w:val="000000"/>
        </w:rPr>
        <w:t>ED</w:t>
      </w:r>
      <w:r w:rsidR="009961BC">
        <w:rPr>
          <w:color w:val="000000"/>
        </w:rPr>
        <w:t xml:space="preserve"> and/or </w:t>
      </w:r>
      <w:r w:rsidR="00394688">
        <w:rPr>
          <w:color w:val="000000"/>
        </w:rPr>
        <w:t xml:space="preserve">OPD </w:t>
      </w:r>
      <w:r w:rsidRPr="00394688" w:rsidR="006B497A">
        <w:rPr>
          <w:color w:val="000000"/>
        </w:rPr>
        <w:t>hospitals located in certainty areas,</w:t>
      </w:r>
      <w:r w:rsidRPr="00394688" w:rsidR="00FC6EEB">
        <w:rPr>
          <w:color w:val="000000"/>
        </w:rPr>
        <w:t xml:space="preserve"> </w:t>
      </w:r>
      <w:r w:rsidRPr="00394688">
        <w:rPr>
          <w:color w:val="000000"/>
        </w:rPr>
        <w:t xml:space="preserve">hospitals are </w:t>
      </w:r>
      <w:r w:rsidRPr="00394688" w:rsidR="006C4B9B">
        <w:rPr>
          <w:color w:val="000000"/>
        </w:rPr>
        <w:t xml:space="preserve">selected </w:t>
      </w:r>
      <w:r w:rsidR="005920AF">
        <w:rPr>
          <w:color w:val="000000"/>
        </w:rPr>
        <w:t xml:space="preserve">using systematic random sampling </w:t>
      </w:r>
      <w:r w:rsidRPr="00394688" w:rsidR="006C4B9B">
        <w:rPr>
          <w:color w:val="000000"/>
        </w:rPr>
        <w:t xml:space="preserve">from lists in which hospitals are </w:t>
      </w:r>
      <w:r w:rsidRPr="00394688" w:rsidR="00AB10E6">
        <w:rPr>
          <w:color w:val="000000"/>
        </w:rPr>
        <w:t xml:space="preserve">stratified by region and within region, </w:t>
      </w:r>
      <w:r w:rsidRPr="00394688">
        <w:rPr>
          <w:color w:val="000000"/>
        </w:rPr>
        <w:t xml:space="preserve">arrayed by </w:t>
      </w:r>
      <w:r w:rsidRPr="00394688" w:rsidR="006C4B9B">
        <w:rPr>
          <w:color w:val="000000"/>
        </w:rPr>
        <w:t xml:space="preserve">ownership </w:t>
      </w:r>
      <w:r w:rsidRPr="00394688">
        <w:rPr>
          <w:color w:val="000000"/>
        </w:rPr>
        <w:t xml:space="preserve">type and size. </w:t>
      </w:r>
    </w:p>
    <w:p w:rsidRPr="00394688" w:rsidR="00AE1036" w:rsidP="00BB5537" w:rsidRDefault="00AE1036" w14:paraId="131018A5" w14:textId="77777777">
      <w:pPr>
        <w:tabs>
          <w:tab w:val="left" w:pos="0"/>
        </w:tabs>
        <w:rPr>
          <w:color w:val="000000"/>
        </w:rPr>
      </w:pPr>
    </w:p>
    <w:p w:rsidR="00794F8B" w:rsidP="00BB5537" w:rsidRDefault="007E16FE" w14:paraId="7B6694FC" w14:textId="3C76CA84">
      <w:pPr>
        <w:tabs>
          <w:tab w:val="left" w:pos="0"/>
        </w:tabs>
        <w:rPr>
          <w:color w:val="000000"/>
        </w:rPr>
      </w:pPr>
      <w:r>
        <w:rPr>
          <w:color w:val="000000"/>
        </w:rPr>
        <w:t>The resulting</w:t>
      </w:r>
      <w:r w:rsidRPr="00F20B59" w:rsidR="00794F8B">
        <w:rPr>
          <w:color w:val="000000"/>
        </w:rPr>
        <w:t xml:space="preserve"> sample of approximately 600 hospitals </w:t>
      </w:r>
      <w:r w:rsidRPr="00F20B59" w:rsidR="000E64BB">
        <w:rPr>
          <w:color w:val="000000"/>
        </w:rPr>
        <w:t>is</w:t>
      </w:r>
      <w:r w:rsidRPr="00F20B59" w:rsidR="00794F8B">
        <w:rPr>
          <w:color w:val="000000"/>
        </w:rPr>
        <w:t xml:space="preserve"> randomly divided into 16 groups (</w:t>
      </w:r>
      <w:r w:rsidR="00CF55B5">
        <w:rPr>
          <w:color w:val="000000"/>
        </w:rPr>
        <w:t xml:space="preserve">about </w:t>
      </w:r>
      <w:r w:rsidRPr="00F20B59" w:rsidR="00794F8B">
        <w:rPr>
          <w:color w:val="000000"/>
        </w:rPr>
        <w:t xml:space="preserve">38 hospitals </w:t>
      </w:r>
      <w:r w:rsidR="00060AC1">
        <w:rPr>
          <w:color w:val="000000"/>
        </w:rPr>
        <w:t>per</w:t>
      </w:r>
      <w:r w:rsidRPr="00F20B59" w:rsidR="00794F8B">
        <w:rPr>
          <w:color w:val="000000"/>
        </w:rPr>
        <w:t xml:space="preserve"> group)</w:t>
      </w:r>
      <w:r w:rsidR="00060AC1">
        <w:rPr>
          <w:color w:val="000000"/>
        </w:rPr>
        <w:t>. Only 13 consecutive groups are utilized in a given data collection year. The next set of 13 consecutive groups is used in the subsequent year, and so on. This approach</w:t>
      </w:r>
      <w:r w:rsidRPr="00F20B59" w:rsidR="00794F8B">
        <w:rPr>
          <w:color w:val="000000"/>
        </w:rPr>
        <w:t xml:space="preserve"> </w:t>
      </w:r>
      <w:r w:rsidR="00060AC1">
        <w:rPr>
          <w:color w:val="000000"/>
        </w:rPr>
        <w:t xml:space="preserve">reduces participation </w:t>
      </w:r>
      <w:r>
        <w:rPr>
          <w:color w:val="000000"/>
        </w:rPr>
        <w:t>burden</w:t>
      </w:r>
      <w:r w:rsidR="00060AC1">
        <w:rPr>
          <w:color w:val="000000"/>
        </w:rPr>
        <w:t xml:space="preserve"> </w:t>
      </w:r>
      <w:r w:rsidR="00F4290A">
        <w:rPr>
          <w:color w:val="000000"/>
        </w:rPr>
        <w:t xml:space="preserve">and prevents </w:t>
      </w:r>
      <w:r w:rsidRPr="006704AB" w:rsidR="00F4290A">
        <w:rPr>
          <w:color w:val="000000"/>
        </w:rPr>
        <w:t>most</w:t>
      </w:r>
      <w:r w:rsidR="00F4290A">
        <w:rPr>
          <w:color w:val="000000"/>
        </w:rPr>
        <w:t xml:space="preserve"> h</w:t>
      </w:r>
      <w:r w:rsidRPr="00F20B59" w:rsidR="00794F8B">
        <w:rPr>
          <w:color w:val="000000"/>
        </w:rPr>
        <w:t xml:space="preserve">ospitals </w:t>
      </w:r>
      <w:r w:rsidR="00F4290A">
        <w:rPr>
          <w:color w:val="000000"/>
        </w:rPr>
        <w:t>in the sample from being surveyed</w:t>
      </w:r>
      <w:r w:rsidRPr="00F20B59" w:rsidR="00F4290A">
        <w:rPr>
          <w:color w:val="000000"/>
        </w:rPr>
        <w:t xml:space="preserve"> </w:t>
      </w:r>
      <w:r w:rsidR="00F4290A">
        <w:rPr>
          <w:color w:val="000000"/>
        </w:rPr>
        <w:t xml:space="preserve">every </w:t>
      </w:r>
      <w:r w:rsidRPr="00F20B59" w:rsidR="00794F8B">
        <w:rPr>
          <w:color w:val="000000"/>
        </w:rPr>
        <w:t xml:space="preserve">year. One hospital group </w:t>
      </w:r>
      <w:r w:rsidRPr="00F20B59" w:rsidR="0003000C">
        <w:rPr>
          <w:color w:val="000000"/>
        </w:rPr>
        <w:t xml:space="preserve">is </w:t>
      </w:r>
      <w:r w:rsidRPr="00F20B59" w:rsidR="00794F8B">
        <w:rPr>
          <w:color w:val="000000"/>
        </w:rPr>
        <w:t xml:space="preserve">assigned to each four-week reporting period during </w:t>
      </w:r>
      <w:r w:rsidR="006B7C8F">
        <w:rPr>
          <w:color w:val="000000"/>
        </w:rPr>
        <w:t>2021</w:t>
      </w:r>
      <w:r>
        <w:rPr>
          <w:color w:val="000000"/>
        </w:rPr>
        <w:t>, 2022, and</w:t>
      </w:r>
      <w:r w:rsidRPr="00F20B59" w:rsidR="00794F8B">
        <w:rPr>
          <w:color w:val="000000"/>
        </w:rPr>
        <w:t xml:space="preserve"> </w:t>
      </w:r>
      <w:r w:rsidR="006B7C8F">
        <w:rPr>
          <w:color w:val="000000"/>
        </w:rPr>
        <w:t>2023</w:t>
      </w:r>
      <w:r w:rsidRPr="00F20B59" w:rsidR="00794F8B">
        <w:rPr>
          <w:color w:val="000000"/>
        </w:rPr>
        <w:t xml:space="preserve">, meaning that each hospital will be </w:t>
      </w:r>
      <w:r w:rsidR="002A1B38">
        <w:rPr>
          <w:color w:val="000000"/>
        </w:rPr>
        <w:t xml:space="preserve">asked to participate </w:t>
      </w:r>
      <w:r w:rsidRPr="00F20B59" w:rsidR="00794F8B">
        <w:rPr>
          <w:color w:val="000000"/>
        </w:rPr>
        <w:t xml:space="preserve">approximately every 15 months. </w:t>
      </w:r>
      <w:r w:rsidRPr="00F20B59" w:rsidR="00394C8A">
        <w:rPr>
          <w:color w:val="000000"/>
        </w:rPr>
        <w:t xml:space="preserve">Based on the results of the </w:t>
      </w:r>
      <w:r w:rsidR="00A74564">
        <w:rPr>
          <w:color w:val="000000"/>
        </w:rPr>
        <w:t>2017</w:t>
      </w:r>
      <w:r w:rsidRPr="00F20B59" w:rsidR="00A74564">
        <w:rPr>
          <w:color w:val="000000"/>
        </w:rPr>
        <w:t xml:space="preserve"> </w:t>
      </w:r>
      <w:r w:rsidRPr="00F20B59" w:rsidR="00394C8A">
        <w:rPr>
          <w:color w:val="000000"/>
        </w:rPr>
        <w:t>NHAMCS</w:t>
      </w:r>
      <w:r w:rsidR="000C715A">
        <w:rPr>
          <w:color w:val="000000"/>
        </w:rPr>
        <w:t xml:space="preserve">, </w:t>
      </w:r>
      <w:r w:rsidRPr="00F20B59" w:rsidR="00817542">
        <w:rPr>
          <w:color w:val="000000"/>
        </w:rPr>
        <w:t xml:space="preserve">the projected unweighted and weighted response rates for </w:t>
      </w:r>
      <w:r w:rsidR="00790D47">
        <w:rPr>
          <w:color w:val="000000"/>
        </w:rPr>
        <w:t xml:space="preserve">EDs in </w:t>
      </w:r>
      <w:r w:rsidR="005A6BDD">
        <w:rPr>
          <w:color w:val="000000"/>
        </w:rPr>
        <w:t>2021</w:t>
      </w:r>
      <w:r w:rsidRPr="00F20B59" w:rsidR="005A6BDD">
        <w:rPr>
          <w:color w:val="000000"/>
        </w:rPr>
        <w:t xml:space="preserve"> </w:t>
      </w:r>
      <w:r w:rsidRPr="00F20B59" w:rsidR="00817542">
        <w:rPr>
          <w:color w:val="000000"/>
        </w:rPr>
        <w:t xml:space="preserve">are </w:t>
      </w:r>
      <w:r w:rsidR="000B42DB">
        <w:rPr>
          <w:color w:val="000000"/>
        </w:rPr>
        <w:t>62.5</w:t>
      </w:r>
      <w:r w:rsidRPr="00F20B59" w:rsidR="00817542">
        <w:rPr>
          <w:color w:val="000000"/>
        </w:rPr>
        <w:t xml:space="preserve">% and </w:t>
      </w:r>
      <w:r w:rsidR="000B42DB">
        <w:rPr>
          <w:color w:val="000000"/>
        </w:rPr>
        <w:t>62.8</w:t>
      </w:r>
      <w:r w:rsidRPr="00F20B59" w:rsidR="00817542">
        <w:rPr>
          <w:color w:val="000000"/>
        </w:rPr>
        <w:t>%</w:t>
      </w:r>
      <w:r w:rsidR="009D49A5">
        <w:rPr>
          <w:color w:val="000000"/>
        </w:rPr>
        <w:t>,</w:t>
      </w:r>
      <w:r w:rsidRPr="00F20B59" w:rsidR="00817542">
        <w:rPr>
          <w:color w:val="000000"/>
        </w:rPr>
        <w:t xml:space="preserve"> </w:t>
      </w:r>
      <w:r w:rsidR="009347AA">
        <w:rPr>
          <w:color w:val="000000"/>
        </w:rPr>
        <w:t>respectively</w:t>
      </w:r>
      <w:r w:rsidRPr="00F20B59" w:rsidR="00394C8A">
        <w:rPr>
          <w:color w:val="000000"/>
        </w:rPr>
        <w:t>.</w:t>
      </w:r>
    </w:p>
    <w:p w:rsidRPr="00F20B59" w:rsidR="001B7A97" w:rsidP="00BB5537" w:rsidRDefault="001B7A97" w14:paraId="3443F602" w14:textId="77777777">
      <w:pPr>
        <w:tabs>
          <w:tab w:val="left" w:pos="0"/>
        </w:tabs>
      </w:pPr>
    </w:p>
    <w:p w:rsidRPr="00CF55B5" w:rsidR="00794F8B" w:rsidP="00BB5537" w:rsidRDefault="00794F8B" w14:paraId="121B0E53" w14:textId="09FC7036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b/>
          <w:color w:val="000000"/>
        </w:rPr>
      </w:pPr>
      <w:r w:rsidRPr="00CF55B5">
        <w:rPr>
          <w:b/>
          <w:color w:val="000000"/>
        </w:rPr>
        <w:t>Emergency Service Areas</w:t>
      </w:r>
    </w:p>
    <w:p w:rsidRPr="00F20B59" w:rsidR="00794F8B" w:rsidP="00BB5537" w:rsidRDefault="00794F8B" w14:paraId="33014970" w14:textId="77777777">
      <w:pPr>
        <w:tabs>
          <w:tab w:val="left" w:pos="0"/>
        </w:tabs>
        <w:rPr>
          <w:color w:val="000000"/>
        </w:rPr>
      </w:pPr>
    </w:p>
    <w:p w:rsidRPr="00F20B59" w:rsidR="00B160B3" w:rsidP="00BB5537" w:rsidRDefault="00A767DE" w14:paraId="0DD23E88" w14:textId="1F8A52E9">
      <w:pPr>
        <w:tabs>
          <w:tab w:val="left" w:pos="0"/>
        </w:tabs>
        <w:rPr>
          <w:color w:val="000000"/>
        </w:rPr>
      </w:pPr>
      <w:bookmarkStart w:name="_Hlk34231870" w:id="7"/>
      <w:r w:rsidRPr="00F20B59">
        <w:rPr>
          <w:color w:val="000000"/>
        </w:rPr>
        <w:t>Within each selected hospital</w:t>
      </w:r>
      <w:r w:rsidR="007D1DF2">
        <w:rPr>
          <w:color w:val="000000"/>
        </w:rPr>
        <w:t xml:space="preserve"> with an ED</w:t>
      </w:r>
      <w:r w:rsidRPr="00F20B59">
        <w:rPr>
          <w:color w:val="000000"/>
        </w:rPr>
        <w:t xml:space="preserve">, </w:t>
      </w:r>
      <w:r w:rsidR="000B42DB">
        <w:rPr>
          <w:color w:val="000000"/>
        </w:rPr>
        <w:t>all ESAs that are open 24/7 are</w:t>
      </w:r>
      <w:r w:rsidRPr="00F20B59" w:rsidR="00B85EC2">
        <w:rPr>
          <w:color w:val="000000"/>
        </w:rPr>
        <w:t xml:space="preserve"> inducted into the survey</w:t>
      </w:r>
      <w:r w:rsidRPr="00F20B59">
        <w:rPr>
          <w:color w:val="000000"/>
        </w:rPr>
        <w:t>.</w:t>
      </w:r>
      <w:r w:rsidRPr="00F20B59" w:rsidR="00B85EC2">
        <w:rPr>
          <w:color w:val="000000"/>
        </w:rPr>
        <w:t xml:space="preserve"> </w:t>
      </w:r>
      <w:bookmarkEnd w:id="7"/>
      <w:r w:rsidR="00F4290A">
        <w:rPr>
          <w:color w:val="000000"/>
        </w:rPr>
        <w:t>Emergency Service Areas (</w:t>
      </w:r>
      <w:r w:rsidRPr="00F20B59" w:rsidR="00F4290A">
        <w:rPr>
          <w:color w:val="000000"/>
        </w:rPr>
        <w:t>ESAs</w:t>
      </w:r>
      <w:r w:rsidR="00F4290A">
        <w:rPr>
          <w:color w:val="000000"/>
        </w:rPr>
        <w:t>)</w:t>
      </w:r>
      <w:r w:rsidRPr="00F20B59" w:rsidR="00F4290A">
        <w:rPr>
          <w:color w:val="000000"/>
        </w:rPr>
        <w:t xml:space="preserve"> are defined as the smallest administrative unit of an ED where separate </w:t>
      </w:r>
      <w:r w:rsidRPr="00F20B59" w:rsidR="00F4290A">
        <w:rPr>
          <w:color w:val="000000"/>
        </w:rPr>
        <w:lastRenderedPageBreak/>
        <w:t>patient statistics are kept.</w:t>
      </w:r>
      <w:r w:rsidR="002A1B38">
        <w:rPr>
          <w:color w:val="000000"/>
        </w:rPr>
        <w:t xml:space="preserve"> </w:t>
      </w:r>
      <w:r w:rsidRPr="00F20B59" w:rsidR="00794F8B">
        <w:rPr>
          <w:color w:val="000000"/>
        </w:rPr>
        <w:t xml:space="preserve">During the visit by a field representative to induct a hospital into </w:t>
      </w:r>
      <w:r w:rsidR="002A1B38">
        <w:rPr>
          <w:color w:val="000000"/>
        </w:rPr>
        <w:t>NHAMCS</w:t>
      </w:r>
      <w:r w:rsidRPr="00F20B59" w:rsidR="00794F8B">
        <w:rPr>
          <w:color w:val="000000"/>
        </w:rPr>
        <w:t xml:space="preserve">, a list of </w:t>
      </w:r>
      <w:r w:rsidR="00F4290A">
        <w:rPr>
          <w:color w:val="000000"/>
        </w:rPr>
        <w:t xml:space="preserve">ESAs </w:t>
      </w:r>
      <w:r w:rsidRPr="00F20B59" w:rsidR="00794F8B">
        <w:rPr>
          <w:color w:val="000000"/>
        </w:rPr>
        <w:t xml:space="preserve">is obtained. </w:t>
      </w:r>
      <w:r w:rsidR="00F4290A">
        <w:rPr>
          <w:color w:val="000000"/>
        </w:rPr>
        <w:t>A</w:t>
      </w:r>
      <w:r w:rsidRPr="00F20B59" w:rsidR="00F4290A">
        <w:rPr>
          <w:color w:val="000000"/>
        </w:rPr>
        <w:t xml:space="preserve">ll ESAs </w:t>
      </w:r>
      <w:r w:rsidR="00F4290A">
        <w:rPr>
          <w:color w:val="000000"/>
        </w:rPr>
        <w:t xml:space="preserve">that are open 24-hours, located either on- or off-site, and that are owned by the hospital </w:t>
      </w:r>
      <w:r w:rsidRPr="00F20B59" w:rsidR="00F4290A">
        <w:rPr>
          <w:color w:val="000000"/>
        </w:rPr>
        <w:t xml:space="preserve">are </w:t>
      </w:r>
      <w:r w:rsidR="002A1B38">
        <w:rPr>
          <w:color w:val="000000"/>
        </w:rPr>
        <w:t>asked to participate</w:t>
      </w:r>
      <w:r w:rsidRPr="00F20B59" w:rsidR="00F4290A">
        <w:rPr>
          <w:color w:val="000000"/>
        </w:rPr>
        <w:t>.</w:t>
      </w:r>
      <w:r w:rsidR="002A1B38">
        <w:rPr>
          <w:color w:val="000000"/>
        </w:rPr>
        <w:t xml:space="preserve"> ESA</w:t>
      </w:r>
      <w:r w:rsidRPr="00F20B59" w:rsidR="00F4290A">
        <w:rPr>
          <w:color w:val="000000"/>
        </w:rPr>
        <w:t xml:space="preserve">s contracted by the hospital under the </w:t>
      </w:r>
      <w:r w:rsidR="002A1B38">
        <w:rPr>
          <w:color w:val="000000"/>
        </w:rPr>
        <w:t>“</w:t>
      </w:r>
      <w:r w:rsidRPr="00F20B59" w:rsidR="00F4290A">
        <w:rPr>
          <w:color w:val="000000"/>
        </w:rPr>
        <w:t>hospital as landlord</w:t>
      </w:r>
      <w:r w:rsidR="002A1B38">
        <w:rPr>
          <w:color w:val="000000"/>
        </w:rPr>
        <w:t>”</w:t>
      </w:r>
      <w:r w:rsidRPr="00F20B59" w:rsidR="00F4290A">
        <w:rPr>
          <w:color w:val="000000"/>
        </w:rPr>
        <w:t xml:space="preserve"> arrangement</w:t>
      </w:r>
      <w:r w:rsidR="001E4E89">
        <w:rPr>
          <w:color w:val="000000"/>
        </w:rPr>
        <w:t xml:space="preserve"> are also asked to participate in </w:t>
      </w:r>
      <w:r w:rsidRPr="00F20B59" w:rsidR="00F4290A">
        <w:rPr>
          <w:color w:val="000000"/>
        </w:rPr>
        <w:t>the study.</w:t>
      </w:r>
      <w:r w:rsidRPr="00F20B59" w:rsidR="00B160B3">
        <w:rPr>
          <w:color w:val="000000"/>
        </w:rPr>
        <w:t xml:space="preserve">    </w:t>
      </w:r>
    </w:p>
    <w:p w:rsidRPr="00F20B59" w:rsidR="00EF7074" w:rsidP="00BB5537" w:rsidRDefault="00EF7074" w14:paraId="55B5A4FF" w14:textId="77777777">
      <w:pPr>
        <w:tabs>
          <w:tab w:val="left" w:pos="0"/>
        </w:tabs>
        <w:rPr>
          <w:color w:val="000000"/>
        </w:rPr>
      </w:pPr>
    </w:p>
    <w:p w:rsidRPr="00CF55B5" w:rsidR="00794F8B" w:rsidP="00BB5537" w:rsidRDefault="002A1B38" w14:paraId="3487B051" w14:textId="7CA0F45C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b/>
          <w:color w:val="000000"/>
        </w:rPr>
      </w:pPr>
      <w:r>
        <w:rPr>
          <w:b/>
          <w:color w:val="000000"/>
        </w:rPr>
        <w:t xml:space="preserve">ED </w:t>
      </w:r>
      <w:r w:rsidRPr="00CF55B5" w:rsidR="00794F8B">
        <w:rPr>
          <w:b/>
          <w:color w:val="000000"/>
        </w:rPr>
        <w:t>Visits</w:t>
      </w:r>
    </w:p>
    <w:p w:rsidRPr="00F20B59" w:rsidR="00794F8B" w:rsidP="00BB5537" w:rsidRDefault="00794F8B" w14:paraId="5483D98F" w14:textId="77777777">
      <w:pPr>
        <w:tabs>
          <w:tab w:val="left" w:pos="0"/>
        </w:tabs>
        <w:rPr>
          <w:color w:val="000000"/>
        </w:rPr>
      </w:pPr>
    </w:p>
    <w:p w:rsidRPr="00F20B59" w:rsidR="00794F8B" w:rsidP="00BB5537" w:rsidRDefault="00794F8B" w14:paraId="613E1D63" w14:textId="30E5F48F">
      <w:pPr>
        <w:tabs>
          <w:tab w:val="left" w:pos="0"/>
        </w:tabs>
        <w:rPr>
          <w:color w:val="000000"/>
        </w:rPr>
      </w:pPr>
      <w:r w:rsidRPr="00F20B59">
        <w:rPr>
          <w:color w:val="000000"/>
        </w:rPr>
        <w:t xml:space="preserve">Within </w:t>
      </w:r>
      <w:r w:rsidR="00CF55B5">
        <w:rPr>
          <w:color w:val="000000"/>
        </w:rPr>
        <w:t xml:space="preserve">the </w:t>
      </w:r>
      <w:r w:rsidR="002A1B38">
        <w:rPr>
          <w:color w:val="000000"/>
        </w:rPr>
        <w:t>ESAs</w:t>
      </w:r>
      <w:r w:rsidRPr="00F20B59">
        <w:rPr>
          <w:color w:val="000000"/>
        </w:rPr>
        <w:t xml:space="preserve">, patient visits are systematically </w:t>
      </w:r>
      <w:r w:rsidR="00CF55B5">
        <w:rPr>
          <w:color w:val="000000"/>
        </w:rPr>
        <w:t>sampled from</w:t>
      </w:r>
      <w:r w:rsidRPr="00F20B59">
        <w:rPr>
          <w:color w:val="000000"/>
        </w:rPr>
        <w:t xml:space="preserve"> the </w:t>
      </w:r>
      <w:r w:rsidR="001F1CA9">
        <w:rPr>
          <w:color w:val="000000"/>
        </w:rPr>
        <w:t>four</w:t>
      </w:r>
      <w:r w:rsidRPr="00F20B59">
        <w:rPr>
          <w:color w:val="000000"/>
        </w:rPr>
        <w:t>-week reporting period assigned to hospitals. A visit is defined as a direct, personal exchange between an ambulatory patient and a physician, or a staff member acting under a physician</w:t>
      </w:r>
      <w:r w:rsidR="002A1B38">
        <w:rPr>
          <w:color w:val="000000"/>
        </w:rPr>
        <w:t>’</w:t>
      </w:r>
      <w:r w:rsidRPr="00F20B59">
        <w:rPr>
          <w:color w:val="000000"/>
        </w:rPr>
        <w:t>s direction, for the purpose of seeking care and rendering health services. Visits solely for administrative purposes, such as payment of a bill, and visits in which no medical care is provided, such as visits to deliver a specimen, are</w:t>
      </w:r>
      <w:r w:rsidR="002A1B38">
        <w:rPr>
          <w:color w:val="000000"/>
        </w:rPr>
        <w:t xml:space="preserve"> considered ineligible for selection</w:t>
      </w:r>
      <w:r w:rsidRPr="00F20B59">
        <w:rPr>
          <w:color w:val="000000"/>
        </w:rPr>
        <w:t>.</w:t>
      </w:r>
    </w:p>
    <w:p w:rsidRPr="00F20B59" w:rsidR="00794F8B" w:rsidP="00BB5537" w:rsidRDefault="00794F8B" w14:paraId="26FA4206" w14:textId="77777777">
      <w:pPr>
        <w:tabs>
          <w:tab w:val="left" w:pos="0"/>
        </w:tabs>
        <w:rPr>
          <w:color w:val="000000"/>
        </w:rPr>
      </w:pPr>
    </w:p>
    <w:p w:rsidR="00794F8B" w:rsidP="001B7A97" w:rsidRDefault="002A1B38" w14:paraId="69C39899" w14:textId="1F404E51">
      <w:p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From each </w:t>
      </w:r>
      <w:r w:rsidR="00CF55B5">
        <w:rPr>
          <w:color w:val="000000"/>
        </w:rPr>
        <w:t>ED,</w:t>
      </w:r>
      <w:r>
        <w:rPr>
          <w:color w:val="000000"/>
        </w:rPr>
        <w:t xml:space="preserve"> a s</w:t>
      </w:r>
      <w:r w:rsidRPr="00F20B59" w:rsidR="00794F8B">
        <w:rPr>
          <w:color w:val="000000"/>
        </w:rPr>
        <w:t xml:space="preserve">ample of approximately 100 visits </w:t>
      </w:r>
      <w:r w:rsidR="00CF55B5">
        <w:rPr>
          <w:color w:val="000000"/>
        </w:rPr>
        <w:t>is</w:t>
      </w:r>
      <w:r w:rsidRPr="00F20B59" w:rsidR="00CF55B5">
        <w:rPr>
          <w:color w:val="000000"/>
        </w:rPr>
        <w:t xml:space="preserve"> </w:t>
      </w:r>
      <w:r>
        <w:rPr>
          <w:color w:val="000000"/>
        </w:rPr>
        <w:t>drawn</w:t>
      </w:r>
      <w:r w:rsidRPr="00F20B59" w:rsidR="00794F8B">
        <w:rPr>
          <w:color w:val="000000"/>
        </w:rPr>
        <w:t xml:space="preserve">. Sampling rates are determined from the number of </w:t>
      </w:r>
      <w:proofErr w:type="gramStart"/>
      <w:r w:rsidR="007F39BC">
        <w:rPr>
          <w:color w:val="000000"/>
        </w:rPr>
        <w:t xml:space="preserve">visits </w:t>
      </w:r>
      <w:r w:rsidRPr="00F20B59" w:rsidR="00794F8B">
        <w:rPr>
          <w:color w:val="000000"/>
        </w:rPr>
        <w:t xml:space="preserve"> seen</w:t>
      </w:r>
      <w:proofErr w:type="gramEnd"/>
      <w:r w:rsidRPr="00F20B59" w:rsidR="00794F8B">
        <w:rPr>
          <w:color w:val="000000"/>
        </w:rPr>
        <w:t xml:space="preserve"> during the reporting period and the desired number of sample records. This basic procedure is adapted to the record keeping systems of </w:t>
      </w:r>
      <w:r w:rsidR="00A84EB7">
        <w:rPr>
          <w:color w:val="000000"/>
        </w:rPr>
        <w:t>each</w:t>
      </w:r>
      <w:r w:rsidRPr="00F20B59" w:rsidR="00794F8B">
        <w:rPr>
          <w:color w:val="000000"/>
        </w:rPr>
        <w:t xml:space="preserve"> hospitals</w:t>
      </w:r>
      <w:r>
        <w:rPr>
          <w:color w:val="000000"/>
        </w:rPr>
        <w:t xml:space="preserve">, </w:t>
      </w:r>
      <w:r w:rsidR="00CF55B5">
        <w:rPr>
          <w:color w:val="000000"/>
        </w:rPr>
        <w:t xml:space="preserve">using </w:t>
      </w:r>
      <w:r w:rsidR="00A84EB7">
        <w:rPr>
          <w:color w:val="000000"/>
        </w:rPr>
        <w:t xml:space="preserve">the </w:t>
      </w:r>
      <w:r>
        <w:rPr>
          <w:color w:val="000000"/>
        </w:rPr>
        <w:t>ESAs</w:t>
      </w:r>
      <w:r w:rsidR="00A84EB7">
        <w:rPr>
          <w:color w:val="000000"/>
        </w:rPr>
        <w:t>’</w:t>
      </w:r>
      <w:r w:rsidRPr="00F20B59" w:rsidR="00794F8B">
        <w:rPr>
          <w:color w:val="000000"/>
        </w:rPr>
        <w:t xml:space="preserve"> </w:t>
      </w:r>
      <w:r w:rsidR="00CF55B5">
        <w:rPr>
          <w:color w:val="000000"/>
        </w:rPr>
        <w:t>visit</w:t>
      </w:r>
      <w:r w:rsidRPr="00F20B59" w:rsidR="00CF55B5">
        <w:rPr>
          <w:color w:val="000000"/>
        </w:rPr>
        <w:t xml:space="preserve"> </w:t>
      </w:r>
      <w:r w:rsidRPr="00F20B59" w:rsidR="00794F8B">
        <w:rPr>
          <w:color w:val="000000"/>
        </w:rPr>
        <w:t xml:space="preserve">logs </w:t>
      </w:r>
      <w:r>
        <w:rPr>
          <w:color w:val="000000"/>
        </w:rPr>
        <w:t>to create a sampling frame from which sampled visits are drawn</w:t>
      </w:r>
      <w:r w:rsidRPr="00F20B59" w:rsidR="00794F8B">
        <w:rPr>
          <w:color w:val="000000"/>
        </w:rPr>
        <w:t xml:space="preserve">.  </w:t>
      </w:r>
    </w:p>
    <w:p w:rsidR="001B7A97" w:rsidP="001B7A97" w:rsidRDefault="001B7A97" w14:paraId="01093333" w14:textId="77777777">
      <w:pPr>
        <w:tabs>
          <w:tab w:val="left" w:pos="0"/>
        </w:tabs>
        <w:rPr>
          <w:color w:val="000000"/>
        </w:rPr>
      </w:pPr>
      <w:bookmarkStart w:name="_GoBack" w:id="8"/>
      <w:bookmarkEnd w:id="8"/>
    </w:p>
    <w:p w:rsidRPr="0038164D" w:rsidR="00794F8B" w:rsidP="001B7A97" w:rsidRDefault="00794F8B" w14:paraId="0FC21D2C" w14:textId="77777777">
      <w:pPr>
        <w:pStyle w:val="Heading1"/>
        <w:spacing w:before="0"/>
        <w:rPr>
          <w:rFonts w:ascii="Times New Roman" w:hAnsi="Times New Roman" w:cs="Times New Roman"/>
          <w:color w:val="auto"/>
          <w:sz w:val="24"/>
        </w:rPr>
      </w:pPr>
      <w:bookmarkStart w:name="_Toc389570489" w:id="9"/>
      <w:bookmarkStart w:name="_Toc23950521" w:id="10"/>
      <w:r w:rsidRPr="0038164D">
        <w:rPr>
          <w:rFonts w:ascii="Times New Roman" w:hAnsi="Times New Roman" w:cs="Times New Roman"/>
          <w:color w:val="auto"/>
          <w:sz w:val="24"/>
        </w:rPr>
        <w:t>2.  Procedures for the Collection of Information</w:t>
      </w:r>
      <w:bookmarkEnd w:id="9"/>
      <w:bookmarkEnd w:id="10"/>
    </w:p>
    <w:p w:rsidRPr="00F20B59" w:rsidR="00794F8B" w:rsidP="00794F8B" w:rsidRDefault="00794F8B" w14:paraId="24E5D091" w14:textId="77777777">
      <w:pPr>
        <w:ind w:left="360"/>
        <w:rPr>
          <w:color w:val="000000"/>
        </w:rPr>
      </w:pPr>
    </w:p>
    <w:p w:rsidRPr="00A84EB7" w:rsidR="00794F8B" w:rsidP="00BB5537" w:rsidRDefault="00794F8B" w14:paraId="1F7F0B44" w14:textId="5695FFA6">
      <w:pPr>
        <w:pStyle w:val="ListParagraph"/>
        <w:numPr>
          <w:ilvl w:val="0"/>
          <w:numId w:val="8"/>
        </w:numPr>
        <w:ind w:left="0" w:firstLine="0"/>
        <w:rPr>
          <w:b/>
          <w:color w:val="000000"/>
        </w:rPr>
      </w:pPr>
      <w:r w:rsidRPr="00A84EB7">
        <w:rPr>
          <w:b/>
          <w:color w:val="000000"/>
        </w:rPr>
        <w:t>Training</w:t>
      </w:r>
    </w:p>
    <w:p w:rsidRPr="00F20B59" w:rsidR="00794F8B" w:rsidRDefault="00794F8B" w14:paraId="67DFF935" w14:textId="77777777">
      <w:pPr>
        <w:rPr>
          <w:color w:val="000000"/>
        </w:rPr>
      </w:pPr>
    </w:p>
    <w:p w:rsidRPr="00F20B59" w:rsidR="00794F8B" w:rsidP="00BB5537" w:rsidRDefault="00794F8B" w14:paraId="7796B71C" w14:textId="7E29A0DE">
      <w:pPr>
        <w:rPr>
          <w:color w:val="000000"/>
        </w:rPr>
      </w:pPr>
      <w:r w:rsidRPr="00F20B59">
        <w:rPr>
          <w:color w:val="000000"/>
        </w:rPr>
        <w:t xml:space="preserve">Training </w:t>
      </w:r>
      <w:r w:rsidR="005E1E6A">
        <w:rPr>
          <w:color w:val="000000"/>
        </w:rPr>
        <w:t>for NHAMCS</w:t>
      </w:r>
      <w:r w:rsidRPr="00F20B59">
        <w:rPr>
          <w:color w:val="000000"/>
        </w:rPr>
        <w:t xml:space="preserve"> data collection procedures is conducted at different times </w:t>
      </w:r>
      <w:r w:rsidR="00E034E7">
        <w:rPr>
          <w:color w:val="000000"/>
        </w:rPr>
        <w:t>throughout the data collection period</w:t>
      </w:r>
      <w:r w:rsidRPr="00F20B59">
        <w:rPr>
          <w:color w:val="000000"/>
        </w:rPr>
        <w:t xml:space="preserve">. </w:t>
      </w:r>
      <w:r w:rsidR="00E034E7">
        <w:rPr>
          <w:color w:val="000000"/>
        </w:rPr>
        <w:t>U.S.</w:t>
      </w:r>
      <w:r w:rsidRPr="00F20B59">
        <w:rPr>
          <w:color w:val="000000"/>
        </w:rPr>
        <w:t xml:space="preserve"> Census Bureau Headquarters staff are responsible for training the</w:t>
      </w:r>
      <w:r w:rsidR="00E034E7">
        <w:rPr>
          <w:color w:val="000000"/>
        </w:rPr>
        <w:t xml:space="preserve"> Bureau’s</w:t>
      </w:r>
      <w:r w:rsidRPr="00F20B59">
        <w:rPr>
          <w:color w:val="000000"/>
        </w:rPr>
        <w:t xml:space="preserve"> Regional Office staff</w:t>
      </w:r>
      <w:r w:rsidR="008A3F67">
        <w:rPr>
          <w:color w:val="000000"/>
        </w:rPr>
        <w:t xml:space="preserve"> and </w:t>
      </w:r>
      <w:r w:rsidRPr="00F20B59">
        <w:rPr>
          <w:color w:val="000000"/>
        </w:rPr>
        <w:t>field representatives</w:t>
      </w:r>
      <w:r w:rsidR="00E034E7">
        <w:rPr>
          <w:color w:val="000000"/>
        </w:rPr>
        <w:t xml:space="preserve"> (FRs)</w:t>
      </w:r>
      <w:r w:rsidRPr="00F20B59">
        <w:rPr>
          <w:color w:val="000000"/>
        </w:rPr>
        <w:t>. F</w:t>
      </w:r>
      <w:r w:rsidR="00E034E7">
        <w:rPr>
          <w:color w:val="000000"/>
        </w:rPr>
        <w:t>R</w:t>
      </w:r>
      <w:r w:rsidRPr="00F20B59">
        <w:rPr>
          <w:color w:val="000000"/>
        </w:rPr>
        <w:t xml:space="preserve"> training covers the following topics: inducting </w:t>
      </w:r>
      <w:r w:rsidRPr="00F20B59" w:rsidR="00181B85">
        <w:rPr>
          <w:color w:val="000000"/>
        </w:rPr>
        <w:t>facilities</w:t>
      </w:r>
      <w:r w:rsidRPr="00F20B59">
        <w:rPr>
          <w:color w:val="000000"/>
        </w:rPr>
        <w:t xml:space="preserve">, </w:t>
      </w:r>
      <w:r w:rsidR="000419C7">
        <w:rPr>
          <w:color w:val="000000"/>
        </w:rPr>
        <w:t xml:space="preserve">ensuring </w:t>
      </w:r>
      <w:r w:rsidRPr="00F20B59">
        <w:rPr>
          <w:color w:val="000000"/>
        </w:rPr>
        <w:t>confidentiality</w:t>
      </w:r>
      <w:r w:rsidR="000419C7">
        <w:rPr>
          <w:color w:val="000000"/>
        </w:rPr>
        <w:t xml:space="preserve"> by adhering to </w:t>
      </w:r>
      <w:r w:rsidRPr="00F20B59">
        <w:rPr>
          <w:color w:val="000000"/>
        </w:rPr>
        <w:t>HIPAA, supervising patient visit sampling, retrieving missing data, and medical record abstraction.</w:t>
      </w:r>
      <w:r w:rsidR="00E034E7">
        <w:rPr>
          <w:color w:val="000000"/>
        </w:rPr>
        <w:t xml:space="preserve"> </w:t>
      </w:r>
      <w:r w:rsidRPr="00F20B59">
        <w:rPr>
          <w:color w:val="000000"/>
        </w:rPr>
        <w:t xml:space="preserve">Census Bureau Headquarters staff are </w:t>
      </w:r>
      <w:r w:rsidR="00760DB4">
        <w:rPr>
          <w:color w:val="000000"/>
        </w:rPr>
        <w:t xml:space="preserve">also </w:t>
      </w:r>
      <w:r w:rsidRPr="00F20B59">
        <w:rPr>
          <w:color w:val="000000"/>
        </w:rPr>
        <w:t xml:space="preserve">responsible for writing the </w:t>
      </w:r>
      <w:r w:rsidR="00E034E7">
        <w:rPr>
          <w:color w:val="000000"/>
        </w:rPr>
        <w:t xml:space="preserve">NHAMCS data collection FR </w:t>
      </w:r>
      <w:r w:rsidRPr="00F20B59">
        <w:rPr>
          <w:color w:val="000000"/>
        </w:rPr>
        <w:t>field manual</w:t>
      </w:r>
      <w:r w:rsidR="00E034E7">
        <w:rPr>
          <w:color w:val="000000"/>
        </w:rPr>
        <w:t>s,</w:t>
      </w:r>
      <w:r w:rsidRPr="00F20B59">
        <w:rPr>
          <w:color w:val="000000"/>
        </w:rPr>
        <w:t xml:space="preserve"> which </w:t>
      </w:r>
      <w:r w:rsidR="00E034E7">
        <w:rPr>
          <w:color w:val="000000"/>
        </w:rPr>
        <w:t>detail</w:t>
      </w:r>
      <w:r w:rsidRPr="00F20B59">
        <w:rPr>
          <w:color w:val="000000"/>
        </w:rPr>
        <w:t xml:space="preserve">: purposes of </w:t>
      </w:r>
      <w:r w:rsidR="00E034E7">
        <w:rPr>
          <w:color w:val="000000"/>
        </w:rPr>
        <w:t>NHAMCS,</w:t>
      </w:r>
      <w:r w:rsidRPr="00F20B59">
        <w:rPr>
          <w:color w:val="000000"/>
        </w:rPr>
        <w:t xml:space="preserve"> interviewing techniques</w:t>
      </w:r>
      <w:r w:rsidR="00E034E7">
        <w:rPr>
          <w:color w:val="000000"/>
        </w:rPr>
        <w:t>,</w:t>
      </w:r>
      <w:r w:rsidRPr="00F20B59">
        <w:rPr>
          <w:color w:val="000000"/>
        </w:rPr>
        <w:t xml:space="preserve"> a description of questionnaire</w:t>
      </w:r>
      <w:r w:rsidR="00E034E7">
        <w:rPr>
          <w:color w:val="000000"/>
        </w:rPr>
        <w:t>s</w:t>
      </w:r>
      <w:r w:rsidRPr="00F20B59">
        <w:rPr>
          <w:color w:val="000000"/>
        </w:rPr>
        <w:t xml:space="preserve"> and related forms</w:t>
      </w:r>
      <w:r w:rsidR="00E034E7">
        <w:rPr>
          <w:color w:val="000000"/>
        </w:rPr>
        <w:t>,</w:t>
      </w:r>
      <w:r w:rsidRPr="00F20B59">
        <w:rPr>
          <w:color w:val="000000"/>
        </w:rPr>
        <w:t xml:space="preserve"> and procedures for inducting hospitals, conducting hospital visits, supervising patient visit sampling, and retrieving missing data.</w:t>
      </w:r>
    </w:p>
    <w:p w:rsidRPr="002D7793" w:rsidR="00794F8B" w:rsidRDefault="00794F8B" w14:paraId="6BFB9FBC" w14:textId="77777777">
      <w:pPr>
        <w:rPr>
          <w:b/>
          <w:color w:val="000000"/>
        </w:rPr>
      </w:pPr>
    </w:p>
    <w:p w:rsidRPr="00A84EB7" w:rsidR="00794F8B" w:rsidP="00BB5537" w:rsidRDefault="00794F8B" w14:paraId="2F2BE529" w14:textId="28B9C234">
      <w:pPr>
        <w:pStyle w:val="ListParagraph"/>
        <w:numPr>
          <w:ilvl w:val="0"/>
          <w:numId w:val="8"/>
        </w:numPr>
        <w:ind w:left="0" w:firstLine="0"/>
        <w:rPr>
          <w:b/>
          <w:color w:val="000000"/>
        </w:rPr>
      </w:pPr>
      <w:r w:rsidRPr="00A84EB7">
        <w:rPr>
          <w:b/>
          <w:color w:val="000000"/>
        </w:rPr>
        <w:t>Initial Contact</w:t>
      </w:r>
    </w:p>
    <w:p w:rsidRPr="00F20B59" w:rsidR="00794F8B" w:rsidRDefault="00794F8B" w14:paraId="42032518" w14:textId="77777777">
      <w:pPr>
        <w:rPr>
          <w:color w:val="000000"/>
        </w:rPr>
      </w:pPr>
    </w:p>
    <w:p w:rsidRPr="00F20B59" w:rsidR="00794F8B" w:rsidP="00BB5537" w:rsidRDefault="00794F8B" w14:paraId="0DB2E356" w14:textId="424AC112">
      <w:pPr>
        <w:rPr>
          <w:rFonts w:ascii="Garamond" w:hAnsi="Garamond"/>
        </w:rPr>
      </w:pPr>
      <w:r w:rsidRPr="00F20B59">
        <w:rPr>
          <w:color w:val="000000"/>
        </w:rPr>
        <w:t>An introductory letter is sent from NCHS (</w:t>
      </w:r>
      <w:r w:rsidRPr="00F71DDF" w:rsidR="00E346F1">
        <w:rPr>
          <w:b/>
          <w:color w:val="000000"/>
        </w:rPr>
        <w:t>Attachment</w:t>
      </w:r>
      <w:r w:rsidRPr="00F71DDF">
        <w:rPr>
          <w:b/>
          <w:color w:val="000000"/>
        </w:rPr>
        <w:t xml:space="preserve"> </w:t>
      </w:r>
      <w:r w:rsidR="00A561D6">
        <w:rPr>
          <w:b/>
          <w:color w:val="000000"/>
        </w:rPr>
        <w:t>H</w:t>
      </w:r>
      <w:r w:rsidRPr="00F20B59">
        <w:rPr>
          <w:color w:val="000000"/>
        </w:rPr>
        <w:t xml:space="preserve">) to the </w:t>
      </w:r>
      <w:r w:rsidR="00746652">
        <w:rPr>
          <w:color w:val="000000"/>
        </w:rPr>
        <w:t>c</w:t>
      </w:r>
      <w:r w:rsidRPr="00F20B59">
        <w:rPr>
          <w:color w:val="000000"/>
        </w:rPr>
        <w:t xml:space="preserve">hief </w:t>
      </w:r>
      <w:r w:rsidR="00746652">
        <w:rPr>
          <w:color w:val="000000"/>
        </w:rPr>
        <w:t>e</w:t>
      </w:r>
      <w:r w:rsidRPr="00F20B59">
        <w:rPr>
          <w:color w:val="000000"/>
        </w:rPr>
        <w:t xml:space="preserve">xecutive </w:t>
      </w:r>
      <w:r w:rsidR="00746652">
        <w:rPr>
          <w:color w:val="000000"/>
        </w:rPr>
        <w:t>o</w:t>
      </w:r>
      <w:r w:rsidRPr="00F20B59">
        <w:rPr>
          <w:color w:val="000000"/>
        </w:rPr>
        <w:t>fficer of each sampled hospital</w:t>
      </w:r>
      <w:r w:rsidR="006B7C8F">
        <w:rPr>
          <w:color w:val="000000"/>
        </w:rPr>
        <w:t xml:space="preserve"> 2 weeks prior to the end of the hospital reporting period</w:t>
      </w:r>
      <w:r w:rsidRPr="00F20B59">
        <w:rPr>
          <w:color w:val="000000"/>
        </w:rPr>
        <w:t xml:space="preserve">. </w:t>
      </w:r>
      <w:r w:rsidR="00E034E7">
        <w:rPr>
          <w:color w:val="000000"/>
        </w:rPr>
        <w:t>This</w:t>
      </w:r>
      <w:r w:rsidRPr="00F20B59">
        <w:rPr>
          <w:color w:val="000000"/>
        </w:rPr>
        <w:t xml:space="preserve"> letter describes the purpose of </w:t>
      </w:r>
      <w:r w:rsidR="00E034E7">
        <w:rPr>
          <w:color w:val="000000"/>
        </w:rPr>
        <w:t>NHAMCS</w:t>
      </w:r>
      <w:r w:rsidRPr="00F20B59">
        <w:rPr>
          <w:color w:val="000000"/>
        </w:rPr>
        <w:t xml:space="preserve">, authority for data collection, </w:t>
      </w:r>
      <w:r w:rsidR="00E034E7">
        <w:rPr>
          <w:color w:val="000000"/>
        </w:rPr>
        <w:t>voluntary nature of</w:t>
      </w:r>
      <w:r w:rsidRPr="00F20B59">
        <w:rPr>
          <w:color w:val="000000"/>
        </w:rPr>
        <w:t xml:space="preserve"> participation</w:t>
      </w:r>
      <w:r w:rsidR="00E034E7">
        <w:rPr>
          <w:color w:val="000000"/>
        </w:rPr>
        <w:t>, HIPAA requirements, and confidentiality procedures</w:t>
      </w:r>
      <w:r w:rsidRPr="00F20B59">
        <w:rPr>
          <w:color w:val="000000"/>
        </w:rPr>
        <w:t xml:space="preserve">. Letters of endorsement </w:t>
      </w:r>
      <w:r w:rsidR="00E034E7">
        <w:rPr>
          <w:color w:val="000000"/>
        </w:rPr>
        <w:t>are also included in the mailing of this letter (</w:t>
      </w:r>
      <w:r w:rsidR="00E034E7">
        <w:rPr>
          <w:b/>
          <w:color w:val="000000"/>
        </w:rPr>
        <w:t xml:space="preserve">Attachment </w:t>
      </w:r>
      <w:r w:rsidR="00A561D6">
        <w:rPr>
          <w:b/>
          <w:color w:val="000000"/>
        </w:rPr>
        <w:t>I</w:t>
      </w:r>
      <w:r w:rsidR="00E034E7">
        <w:rPr>
          <w:color w:val="000000"/>
        </w:rPr>
        <w:t>)</w:t>
      </w:r>
      <w:r w:rsidRPr="00F20B59" w:rsidR="005502FF">
        <w:rPr>
          <w:color w:val="000000"/>
        </w:rPr>
        <w:t>.</w:t>
      </w:r>
    </w:p>
    <w:p w:rsidRPr="00F20B59" w:rsidR="00794F8B" w:rsidRDefault="00794F8B" w14:paraId="22C81703" w14:textId="77777777">
      <w:pPr>
        <w:rPr>
          <w:color w:val="000000"/>
          <w:u w:val="single"/>
        </w:rPr>
      </w:pPr>
    </w:p>
    <w:p w:rsidRPr="00A84EB7" w:rsidR="00794F8B" w:rsidP="00BB5537" w:rsidRDefault="00794F8B" w14:paraId="71278D7A" w14:textId="0C0A52E3">
      <w:pPr>
        <w:pStyle w:val="ListParagraph"/>
        <w:numPr>
          <w:ilvl w:val="0"/>
          <w:numId w:val="8"/>
        </w:numPr>
        <w:ind w:left="0" w:firstLine="0"/>
        <w:rPr>
          <w:b/>
          <w:color w:val="000000"/>
        </w:rPr>
      </w:pPr>
      <w:r w:rsidRPr="00A84EB7">
        <w:rPr>
          <w:b/>
          <w:color w:val="000000"/>
        </w:rPr>
        <w:t>Hospital Induction</w:t>
      </w:r>
    </w:p>
    <w:p w:rsidRPr="00F20B59" w:rsidR="00794F8B" w:rsidRDefault="00794F8B" w14:paraId="156B74CA" w14:textId="77777777">
      <w:pPr>
        <w:rPr>
          <w:color w:val="000000"/>
        </w:rPr>
      </w:pPr>
    </w:p>
    <w:p w:rsidRPr="00F20B59" w:rsidR="00794F8B" w:rsidP="00BB5537" w:rsidRDefault="00E560B0" w14:paraId="566C1969" w14:textId="6EA64B7A">
      <w:pPr>
        <w:rPr>
          <w:color w:val="000000"/>
        </w:rPr>
      </w:pPr>
      <w:r>
        <w:rPr>
          <w:color w:val="000000"/>
        </w:rPr>
        <w:t>U.S. Census Bureau FRs</w:t>
      </w:r>
      <w:r w:rsidR="00C8182F">
        <w:rPr>
          <w:color w:val="000000"/>
        </w:rPr>
        <w:t xml:space="preserve"> </w:t>
      </w:r>
      <w:r w:rsidR="008E6020">
        <w:rPr>
          <w:color w:val="000000"/>
        </w:rPr>
        <w:t xml:space="preserve">begin inducting </w:t>
      </w:r>
      <w:r>
        <w:rPr>
          <w:color w:val="000000"/>
        </w:rPr>
        <w:t xml:space="preserve">a </w:t>
      </w:r>
      <w:r w:rsidR="008E6020">
        <w:rPr>
          <w:color w:val="000000"/>
        </w:rPr>
        <w:t xml:space="preserve">sampled </w:t>
      </w:r>
      <w:r w:rsidR="00C8182F">
        <w:rPr>
          <w:color w:val="000000"/>
        </w:rPr>
        <w:t xml:space="preserve">hospital after the reporting period has passed. </w:t>
      </w:r>
      <w:r>
        <w:rPr>
          <w:color w:val="000000"/>
        </w:rPr>
        <w:t>A</w:t>
      </w:r>
      <w:r w:rsidRPr="00F20B59" w:rsidR="00794F8B">
        <w:rPr>
          <w:color w:val="000000"/>
        </w:rPr>
        <w:t xml:space="preserve"> telephone </w:t>
      </w:r>
      <w:r w:rsidR="00C8182F">
        <w:rPr>
          <w:color w:val="000000"/>
        </w:rPr>
        <w:t xml:space="preserve">screener </w:t>
      </w:r>
      <w:r w:rsidRPr="00F20B59" w:rsidR="00794F8B">
        <w:rPr>
          <w:color w:val="000000"/>
        </w:rPr>
        <w:t xml:space="preserve">call </w:t>
      </w:r>
      <w:r>
        <w:rPr>
          <w:color w:val="000000"/>
        </w:rPr>
        <w:t>is by</w:t>
      </w:r>
      <w:r w:rsidRPr="00F20B59" w:rsidR="00794F8B">
        <w:rPr>
          <w:color w:val="000000"/>
        </w:rPr>
        <w:t xml:space="preserve"> the </w:t>
      </w:r>
      <w:r>
        <w:rPr>
          <w:color w:val="000000"/>
        </w:rPr>
        <w:t>FR to the hospital</w:t>
      </w:r>
      <w:r w:rsidR="00C8182F">
        <w:rPr>
          <w:color w:val="000000"/>
        </w:rPr>
        <w:t xml:space="preserve"> </w:t>
      </w:r>
      <w:r w:rsidRPr="00F20B59" w:rsidR="00794F8B">
        <w:rPr>
          <w:color w:val="000000"/>
        </w:rPr>
        <w:t>to verif</w:t>
      </w:r>
      <w:r>
        <w:rPr>
          <w:color w:val="000000"/>
        </w:rPr>
        <w:t>y</w:t>
      </w:r>
      <w:r w:rsidRPr="00F20B59" w:rsidR="00794F8B">
        <w:rPr>
          <w:color w:val="000000"/>
        </w:rPr>
        <w:t xml:space="preserve"> hospital eligibility for </w:t>
      </w:r>
      <w:r>
        <w:rPr>
          <w:color w:val="000000"/>
        </w:rPr>
        <w:t>NHAMCS</w:t>
      </w:r>
      <w:r w:rsidRPr="00F20B59" w:rsidR="00794F8B">
        <w:rPr>
          <w:color w:val="000000"/>
        </w:rPr>
        <w:t xml:space="preserve"> and to arrange for an appointment with the chief executive officer, directors of the </w:t>
      </w:r>
      <w:r>
        <w:rPr>
          <w:color w:val="000000"/>
        </w:rPr>
        <w:t>ED</w:t>
      </w:r>
      <w:r w:rsidRPr="00F20B59" w:rsidR="00794F8B">
        <w:rPr>
          <w:color w:val="000000"/>
        </w:rPr>
        <w:t xml:space="preserve">, </w:t>
      </w:r>
      <w:r w:rsidR="00C8182F">
        <w:rPr>
          <w:color w:val="000000"/>
        </w:rPr>
        <w:t>or</w:t>
      </w:r>
      <w:r w:rsidRPr="00F20B59" w:rsidR="00C8182F">
        <w:rPr>
          <w:color w:val="000000"/>
        </w:rPr>
        <w:t xml:space="preserve"> </w:t>
      </w:r>
      <w:r w:rsidRPr="00F20B59" w:rsidR="00794F8B">
        <w:rPr>
          <w:color w:val="000000"/>
        </w:rPr>
        <w:t xml:space="preserve">whoever is designated as </w:t>
      </w:r>
      <w:r>
        <w:rPr>
          <w:color w:val="000000"/>
        </w:rPr>
        <w:t xml:space="preserve">the </w:t>
      </w:r>
      <w:r w:rsidRPr="00F20B59" w:rsidR="00794F8B">
        <w:rPr>
          <w:color w:val="000000"/>
        </w:rPr>
        <w:t xml:space="preserve">hospital </w:t>
      </w:r>
      <w:r w:rsidR="00C8182F">
        <w:rPr>
          <w:color w:val="000000"/>
        </w:rPr>
        <w:t>liaison</w:t>
      </w:r>
      <w:r w:rsidRPr="00F20B59" w:rsidR="00794F8B">
        <w:rPr>
          <w:color w:val="000000"/>
        </w:rPr>
        <w:t xml:space="preserve">. During the meeting, the </w:t>
      </w:r>
      <w:r>
        <w:rPr>
          <w:color w:val="000000"/>
        </w:rPr>
        <w:t>FR</w:t>
      </w:r>
      <w:r w:rsidRPr="00F20B59" w:rsidR="00794F8B">
        <w:rPr>
          <w:color w:val="000000"/>
        </w:rPr>
        <w:t xml:space="preserve"> explains the purpose of the survey, data collection </w:t>
      </w:r>
      <w:r w:rsidRPr="00F20B59" w:rsidR="00794F8B">
        <w:rPr>
          <w:color w:val="000000"/>
        </w:rPr>
        <w:lastRenderedPageBreak/>
        <w:t>methods</w:t>
      </w:r>
      <w:r w:rsidR="000A3308">
        <w:rPr>
          <w:color w:val="000000"/>
        </w:rPr>
        <w:t>,</w:t>
      </w:r>
      <w:r w:rsidRPr="00F20B59" w:rsidR="00794F8B">
        <w:rPr>
          <w:color w:val="000000"/>
        </w:rPr>
        <w:t xml:space="preserve"> and length of data collection</w:t>
      </w:r>
      <w:r w:rsidR="000A3308">
        <w:rPr>
          <w:color w:val="000000"/>
        </w:rPr>
        <w:t>. The FR also</w:t>
      </w:r>
      <w:r w:rsidRPr="00F20B59" w:rsidR="00794F8B">
        <w:rPr>
          <w:color w:val="000000"/>
        </w:rPr>
        <w:t xml:space="preserve"> obtains general descriptive information about the organization of the </w:t>
      </w:r>
      <w:r w:rsidR="000A3308">
        <w:rPr>
          <w:color w:val="000000"/>
        </w:rPr>
        <w:t>ED</w:t>
      </w:r>
      <w:r w:rsidR="006A0BDF">
        <w:rPr>
          <w:color w:val="000000"/>
        </w:rPr>
        <w:t>,</w:t>
      </w:r>
      <w:r w:rsidRPr="00F20B59" w:rsidR="00794F8B">
        <w:rPr>
          <w:color w:val="000000"/>
        </w:rPr>
        <w:t xml:space="preserve"> </w:t>
      </w:r>
      <w:r w:rsidR="00106C03">
        <w:rPr>
          <w:color w:val="000000"/>
        </w:rPr>
        <w:t>including</w:t>
      </w:r>
      <w:r w:rsidRPr="00F20B59" w:rsidR="00106C03">
        <w:rPr>
          <w:color w:val="000000"/>
        </w:rPr>
        <w:t xml:space="preserve"> </w:t>
      </w:r>
      <w:r w:rsidRPr="00F20B59" w:rsidR="00794F8B">
        <w:rPr>
          <w:color w:val="000000"/>
        </w:rPr>
        <w:t xml:space="preserve">specific information needed to </w:t>
      </w:r>
      <w:r w:rsidR="00D43E4F">
        <w:rPr>
          <w:color w:val="000000"/>
        </w:rPr>
        <w:t xml:space="preserve">induct </w:t>
      </w:r>
      <w:r w:rsidR="000A3308">
        <w:rPr>
          <w:color w:val="000000"/>
        </w:rPr>
        <w:t>ESAs</w:t>
      </w:r>
      <w:r w:rsidRPr="00F20B59" w:rsidR="00794F8B">
        <w:rPr>
          <w:color w:val="000000"/>
        </w:rPr>
        <w:t>.</w:t>
      </w:r>
    </w:p>
    <w:p w:rsidRPr="00F20B59" w:rsidR="00181B85" w:rsidP="00BB5537" w:rsidRDefault="00794F8B" w14:paraId="0C17BB8C" w14:textId="77777777">
      <w:pPr>
        <w:rPr>
          <w:color w:val="000000"/>
        </w:rPr>
      </w:pPr>
      <w:r w:rsidRPr="00F20B59">
        <w:rPr>
          <w:color w:val="000000"/>
        </w:rPr>
        <w:t xml:space="preserve">   </w:t>
      </w:r>
    </w:p>
    <w:p w:rsidRPr="00A84EB7" w:rsidR="007927AB" w:rsidP="00BB5537" w:rsidRDefault="000A3308" w14:paraId="05829AA4" w14:textId="0CA1D26C">
      <w:pPr>
        <w:pStyle w:val="ListParagraph"/>
        <w:numPr>
          <w:ilvl w:val="0"/>
          <w:numId w:val="8"/>
        </w:numPr>
        <w:ind w:left="0" w:firstLine="0"/>
        <w:rPr>
          <w:b/>
          <w:color w:val="000000"/>
        </w:rPr>
      </w:pPr>
      <w:r>
        <w:rPr>
          <w:b/>
          <w:color w:val="000000"/>
        </w:rPr>
        <w:t>Visits and Completion of</w:t>
      </w:r>
      <w:r w:rsidRPr="00A84EB7" w:rsidR="007927AB">
        <w:rPr>
          <w:b/>
          <w:color w:val="000000"/>
        </w:rPr>
        <w:t xml:space="preserve"> Patient Record Forms</w:t>
      </w:r>
    </w:p>
    <w:p w:rsidRPr="00F20B59" w:rsidR="007927AB" w:rsidRDefault="007927AB" w14:paraId="7E734291" w14:textId="77777777">
      <w:pPr>
        <w:rPr>
          <w:color w:val="000000"/>
        </w:rPr>
      </w:pPr>
    </w:p>
    <w:p w:rsidRPr="00F20B59" w:rsidR="00A53523" w:rsidP="00BB5537" w:rsidRDefault="00A53523" w14:paraId="4F799049" w14:textId="793C50FA">
      <w:pPr>
        <w:rPr>
          <w:color w:val="000000"/>
        </w:rPr>
      </w:pPr>
      <w:bookmarkStart w:name="OLE_LINK12" w:id="11"/>
      <w:bookmarkStart w:name="OLE_LINK13" w:id="12"/>
      <w:r w:rsidRPr="00F20B59">
        <w:rPr>
          <w:color w:val="000000"/>
        </w:rPr>
        <w:t>In order to decrease burden to facility staff and to facilit</w:t>
      </w:r>
      <w:r w:rsidRPr="00F20B59" w:rsidR="00E346F1">
        <w:rPr>
          <w:color w:val="000000"/>
        </w:rPr>
        <w:t>ate</w:t>
      </w:r>
      <w:r w:rsidRPr="00F20B59">
        <w:rPr>
          <w:color w:val="000000"/>
        </w:rPr>
        <w:t xml:space="preserve"> the data collection procedures, </w:t>
      </w:r>
      <w:r w:rsidR="003F4365">
        <w:rPr>
          <w:color w:val="000000"/>
        </w:rPr>
        <w:t>FR</w:t>
      </w:r>
      <w:r w:rsidRPr="00F20B59">
        <w:rPr>
          <w:color w:val="000000"/>
        </w:rPr>
        <w:t xml:space="preserve">s </w:t>
      </w:r>
      <w:r w:rsidR="0072352F">
        <w:rPr>
          <w:color w:val="000000"/>
        </w:rPr>
        <w:t xml:space="preserve">themselves </w:t>
      </w:r>
      <w:r w:rsidR="003F4365">
        <w:rPr>
          <w:color w:val="000000"/>
        </w:rPr>
        <w:t>collect visit data using computerized</w:t>
      </w:r>
      <w:r w:rsidR="0072352F">
        <w:rPr>
          <w:color w:val="000000"/>
        </w:rPr>
        <w:t xml:space="preserve"> p</w:t>
      </w:r>
      <w:r w:rsidRPr="00F20B59">
        <w:rPr>
          <w:color w:val="000000"/>
        </w:rPr>
        <w:t xml:space="preserve">atient </w:t>
      </w:r>
      <w:r w:rsidR="0072352F">
        <w:rPr>
          <w:color w:val="000000"/>
        </w:rPr>
        <w:t>r</w:t>
      </w:r>
      <w:r w:rsidRPr="00F20B59">
        <w:rPr>
          <w:color w:val="000000"/>
        </w:rPr>
        <w:t xml:space="preserve">ecord </w:t>
      </w:r>
      <w:r w:rsidR="0072352F">
        <w:rPr>
          <w:color w:val="000000"/>
        </w:rPr>
        <w:t>f</w:t>
      </w:r>
      <w:r w:rsidRPr="00F20B59">
        <w:rPr>
          <w:color w:val="000000"/>
        </w:rPr>
        <w:t>orms</w:t>
      </w:r>
      <w:r w:rsidR="00A35D08">
        <w:rPr>
          <w:color w:val="000000"/>
        </w:rPr>
        <w:t xml:space="preserve"> (PRF</w:t>
      </w:r>
      <w:r w:rsidR="0072352F">
        <w:rPr>
          <w:color w:val="000000"/>
        </w:rPr>
        <w:t>s</w:t>
      </w:r>
      <w:r w:rsidR="00A35D08">
        <w:rPr>
          <w:color w:val="000000"/>
        </w:rPr>
        <w:t>)</w:t>
      </w:r>
      <w:r w:rsidR="0072352F">
        <w:rPr>
          <w:color w:val="000000"/>
        </w:rPr>
        <w:t xml:space="preserve"> (</w:t>
      </w:r>
      <w:r w:rsidR="0072352F">
        <w:rPr>
          <w:b/>
          <w:color w:val="000000"/>
        </w:rPr>
        <w:t xml:space="preserve">Attachment </w:t>
      </w:r>
      <w:r w:rsidR="00A561D6">
        <w:rPr>
          <w:b/>
          <w:color w:val="000000"/>
        </w:rPr>
        <w:t>D</w:t>
      </w:r>
      <w:r w:rsidR="00A84EB7">
        <w:rPr>
          <w:color w:val="000000"/>
        </w:rPr>
        <w:t>)</w:t>
      </w:r>
      <w:r w:rsidRPr="00F20B59" w:rsidR="00A84EB7">
        <w:rPr>
          <w:color w:val="000000"/>
        </w:rPr>
        <w:t>.</w:t>
      </w:r>
      <w:r w:rsidR="00A84EB7">
        <w:rPr>
          <w:color w:val="000000"/>
        </w:rPr>
        <w:t xml:space="preserve"> In</w:t>
      </w:r>
      <w:r w:rsidR="00B66FFF">
        <w:rPr>
          <w:color w:val="000000"/>
        </w:rPr>
        <w:t xml:space="preserve"> addition to the available FR manuals, i</w:t>
      </w:r>
      <w:r w:rsidRPr="00F20B59" w:rsidR="00794F8B">
        <w:rPr>
          <w:color w:val="000000"/>
        </w:rPr>
        <w:t>nstructions on completing PRFs and definitions of terms are</w:t>
      </w:r>
      <w:r w:rsidR="00B66FFF">
        <w:rPr>
          <w:color w:val="000000"/>
        </w:rPr>
        <w:t xml:space="preserve"> also</w:t>
      </w:r>
      <w:r w:rsidRPr="00F20B59" w:rsidR="00794F8B">
        <w:rPr>
          <w:color w:val="000000"/>
        </w:rPr>
        <w:t xml:space="preserve"> provided </w:t>
      </w:r>
      <w:r w:rsidR="00B66FFF">
        <w:rPr>
          <w:color w:val="000000"/>
        </w:rPr>
        <w:t xml:space="preserve">to FRs </w:t>
      </w:r>
      <w:r w:rsidRPr="00F20B59" w:rsidR="00794F8B">
        <w:rPr>
          <w:color w:val="000000"/>
        </w:rPr>
        <w:t xml:space="preserve">in the </w:t>
      </w:r>
      <w:r w:rsidRPr="00F20B59">
        <w:rPr>
          <w:color w:val="000000"/>
        </w:rPr>
        <w:t>computerized instrument through help screens.</w:t>
      </w:r>
      <w:r w:rsidRPr="00F20B59" w:rsidR="00794F8B">
        <w:rPr>
          <w:color w:val="000000"/>
        </w:rPr>
        <w:t xml:space="preserve"> </w:t>
      </w:r>
      <w:bookmarkStart w:name="OLE_LINK14" w:id="13"/>
      <w:bookmarkStart w:name="OLE_LINK15" w:id="14"/>
      <w:bookmarkEnd w:id="11"/>
      <w:bookmarkEnd w:id="12"/>
      <w:r w:rsidR="00E03181">
        <w:rPr>
          <w:color w:val="000000"/>
        </w:rPr>
        <w:t>Visit information collected on</w:t>
      </w:r>
      <w:r w:rsidRPr="00F20B59" w:rsidR="00794F8B">
        <w:rPr>
          <w:color w:val="000000"/>
        </w:rPr>
        <w:t xml:space="preserve"> </w:t>
      </w:r>
      <w:r w:rsidR="00E03181">
        <w:rPr>
          <w:color w:val="000000"/>
        </w:rPr>
        <w:t xml:space="preserve">NHAMCS </w:t>
      </w:r>
      <w:r w:rsidR="00D43D55">
        <w:rPr>
          <w:color w:val="000000"/>
        </w:rPr>
        <w:t>PRFs</w:t>
      </w:r>
      <w:r w:rsidRPr="00F20B59" w:rsidR="00794F8B">
        <w:rPr>
          <w:color w:val="000000"/>
        </w:rPr>
        <w:t xml:space="preserve"> </w:t>
      </w:r>
      <w:r w:rsidR="00E03181">
        <w:rPr>
          <w:color w:val="000000"/>
        </w:rPr>
        <w:t xml:space="preserve">include </w:t>
      </w:r>
      <w:r w:rsidRPr="00F20B59" w:rsidR="00794F8B">
        <w:rPr>
          <w:color w:val="000000"/>
        </w:rPr>
        <w:t>patient characteristics such as age, sex, race, and ethnicity, and visit characteristics such as date of visit, reason for visit, physician diagnoses, medication</w:t>
      </w:r>
      <w:r w:rsidR="00E03181">
        <w:rPr>
          <w:color w:val="000000"/>
        </w:rPr>
        <w:t>(s)</w:t>
      </w:r>
      <w:r w:rsidRPr="00F20B59" w:rsidR="00794F8B">
        <w:rPr>
          <w:color w:val="000000"/>
        </w:rPr>
        <w:t xml:space="preserve"> provided or prescribed, </w:t>
      </w:r>
      <w:r w:rsidR="00E03181">
        <w:rPr>
          <w:color w:val="000000"/>
        </w:rPr>
        <w:t xml:space="preserve">injury information (if applicable), </w:t>
      </w:r>
      <w:r w:rsidRPr="00F20B59" w:rsidR="00794F8B">
        <w:rPr>
          <w:color w:val="000000"/>
        </w:rPr>
        <w:t xml:space="preserve">and expected source of payment.  </w:t>
      </w:r>
      <w:bookmarkEnd w:id="13"/>
      <w:bookmarkEnd w:id="14"/>
    </w:p>
    <w:p w:rsidRPr="00F20B59" w:rsidR="00794F8B" w:rsidRDefault="00794F8B" w14:paraId="05A1259A" w14:textId="77777777">
      <w:pPr>
        <w:rPr>
          <w:color w:val="000000"/>
        </w:rPr>
      </w:pPr>
    </w:p>
    <w:p w:rsidRPr="00086958" w:rsidR="00794F8B" w:rsidP="00BB5537" w:rsidRDefault="00794F8B" w14:paraId="122C39B3" w14:textId="07C804AE">
      <w:pPr>
        <w:pStyle w:val="ListParagraph"/>
        <w:numPr>
          <w:ilvl w:val="0"/>
          <w:numId w:val="8"/>
        </w:numPr>
        <w:ind w:left="0" w:firstLine="0"/>
        <w:rPr>
          <w:b/>
          <w:color w:val="000000"/>
        </w:rPr>
      </w:pPr>
      <w:r w:rsidRPr="00086958">
        <w:rPr>
          <w:b/>
          <w:color w:val="000000"/>
        </w:rPr>
        <w:t>Monitoring Data Collection and Quality Control</w:t>
      </w:r>
    </w:p>
    <w:p w:rsidRPr="00F20B59" w:rsidR="00794F8B" w:rsidRDefault="00794F8B" w14:paraId="45AE36B5" w14:textId="77777777">
      <w:pPr>
        <w:rPr>
          <w:color w:val="000000"/>
        </w:rPr>
      </w:pPr>
    </w:p>
    <w:p w:rsidRPr="00F20B59" w:rsidR="00794F8B" w:rsidP="00BB5537" w:rsidRDefault="00461248" w14:paraId="47759DD0" w14:textId="246F475A">
      <w:pPr>
        <w:rPr>
          <w:color w:val="000000"/>
        </w:rPr>
      </w:pPr>
      <w:r>
        <w:rPr>
          <w:color w:val="000000"/>
        </w:rPr>
        <w:t xml:space="preserve">U.S. </w:t>
      </w:r>
      <w:r w:rsidRPr="00F20B59" w:rsidR="00794F8B">
        <w:rPr>
          <w:color w:val="000000"/>
        </w:rPr>
        <w:t>Census Bureau Headquarters staff</w:t>
      </w:r>
      <w:r>
        <w:rPr>
          <w:color w:val="000000"/>
        </w:rPr>
        <w:t xml:space="preserve">, under the direction of their Survey Director for the </w:t>
      </w:r>
      <w:r w:rsidRPr="006E0518" w:rsidR="006E0518">
        <w:rPr>
          <w:color w:val="000000"/>
        </w:rPr>
        <w:t>National Ambulatory Medical Care Surveys</w:t>
      </w:r>
      <w:r w:rsidRPr="00F20B59" w:rsidR="00794F8B">
        <w:rPr>
          <w:color w:val="000000"/>
        </w:rPr>
        <w:t xml:space="preserve">, </w:t>
      </w:r>
      <w:r>
        <w:rPr>
          <w:color w:val="000000"/>
        </w:rPr>
        <w:t>are</w:t>
      </w:r>
      <w:r w:rsidRPr="00F20B59" w:rsidR="00794F8B">
        <w:rPr>
          <w:color w:val="000000"/>
        </w:rPr>
        <w:t xml:space="preserve"> responsible for overseeing </w:t>
      </w:r>
      <w:r>
        <w:rPr>
          <w:color w:val="000000"/>
        </w:rPr>
        <w:t>NHAMCS</w:t>
      </w:r>
      <w:r w:rsidRPr="00F20B59" w:rsidR="00794F8B">
        <w:rPr>
          <w:color w:val="000000"/>
        </w:rPr>
        <w:t xml:space="preserve"> data collection</w:t>
      </w:r>
      <w:r w:rsidR="0048714F">
        <w:rPr>
          <w:color w:val="000000"/>
        </w:rPr>
        <w:t xml:space="preserve">, which includes supervision of the </w:t>
      </w:r>
      <w:r w:rsidRPr="00F20B59" w:rsidR="00794F8B">
        <w:rPr>
          <w:color w:val="000000"/>
        </w:rPr>
        <w:t xml:space="preserve">Bureau’s Regional Offices who in turn supervise the </w:t>
      </w:r>
      <w:proofErr w:type="spellStart"/>
      <w:r w:rsidR="0048714F">
        <w:rPr>
          <w:color w:val="000000"/>
        </w:rPr>
        <w:t>FR</w:t>
      </w:r>
      <w:r w:rsidRPr="00F20B59" w:rsidR="00794F8B">
        <w:rPr>
          <w:color w:val="000000"/>
        </w:rPr>
        <w:t>s.</w:t>
      </w:r>
      <w:proofErr w:type="spellEnd"/>
      <w:r w:rsidRPr="00F20B59" w:rsidR="00794F8B">
        <w:rPr>
          <w:color w:val="000000"/>
        </w:rPr>
        <w:t xml:space="preserve">  </w:t>
      </w:r>
    </w:p>
    <w:p w:rsidRPr="00F20B59" w:rsidR="00794F8B" w:rsidP="00BB5537" w:rsidRDefault="00794F8B" w14:paraId="06340929" w14:textId="77777777">
      <w:pPr>
        <w:rPr>
          <w:color w:val="000000"/>
        </w:rPr>
      </w:pPr>
    </w:p>
    <w:p w:rsidRPr="00F20B59" w:rsidR="004C4981" w:rsidP="00BB5537" w:rsidRDefault="00794F8B" w14:paraId="6C790D6A" w14:textId="57580B59">
      <w:pPr>
        <w:pStyle w:val="BodyText"/>
        <w:rPr>
          <w:rFonts w:ascii="Times New Roman" w:hAnsi="Times New Roman"/>
          <w:color w:val="000000"/>
        </w:rPr>
      </w:pPr>
      <w:r w:rsidRPr="00F20B59">
        <w:rPr>
          <w:rFonts w:ascii="Times New Roman" w:hAnsi="Times New Roman"/>
          <w:color w:val="000000"/>
        </w:rPr>
        <w:t xml:space="preserve">An essential part of </w:t>
      </w:r>
      <w:r w:rsidRPr="002C6CFE" w:rsidR="002C6CFE">
        <w:rPr>
          <w:rFonts w:ascii="Times New Roman" w:hAnsi="Times New Roman"/>
          <w:color w:val="000000"/>
        </w:rPr>
        <w:t xml:space="preserve">the four-week data collection </w:t>
      </w:r>
      <w:r w:rsidRPr="00F20B59">
        <w:rPr>
          <w:rFonts w:ascii="Times New Roman" w:hAnsi="Times New Roman"/>
          <w:color w:val="000000"/>
        </w:rPr>
        <w:t xml:space="preserve">effort is quality control </w:t>
      </w:r>
      <w:r w:rsidR="002C6CFE">
        <w:rPr>
          <w:rFonts w:ascii="Times New Roman" w:hAnsi="Times New Roman"/>
          <w:color w:val="000000"/>
        </w:rPr>
        <w:t>that focuses</w:t>
      </w:r>
      <w:r w:rsidRPr="00F20B59" w:rsidR="002C6CFE">
        <w:rPr>
          <w:rFonts w:ascii="Times New Roman" w:hAnsi="Times New Roman"/>
          <w:color w:val="000000"/>
        </w:rPr>
        <w:t xml:space="preserve"> </w:t>
      </w:r>
      <w:r w:rsidRPr="00F20B59">
        <w:rPr>
          <w:rFonts w:ascii="Times New Roman" w:hAnsi="Times New Roman"/>
          <w:color w:val="000000"/>
        </w:rPr>
        <w:t xml:space="preserve">on </w:t>
      </w:r>
      <w:r w:rsidR="002C6CFE">
        <w:rPr>
          <w:rFonts w:ascii="Times New Roman" w:hAnsi="Times New Roman"/>
          <w:color w:val="000000"/>
        </w:rPr>
        <w:t xml:space="preserve">the </w:t>
      </w:r>
      <w:r w:rsidRPr="00F20B59">
        <w:rPr>
          <w:rFonts w:ascii="Times New Roman" w:hAnsi="Times New Roman"/>
          <w:color w:val="000000"/>
        </w:rPr>
        <w:t xml:space="preserve">completeness of the patient sampling frame, adherence to sampling procedures, and assurance that </w:t>
      </w:r>
      <w:r w:rsidR="00D43D55">
        <w:rPr>
          <w:rFonts w:ascii="Times New Roman" w:hAnsi="Times New Roman"/>
          <w:color w:val="000000"/>
        </w:rPr>
        <w:t>PRF</w:t>
      </w:r>
      <w:r w:rsidR="0048714F">
        <w:rPr>
          <w:rFonts w:ascii="Times New Roman" w:hAnsi="Times New Roman"/>
          <w:color w:val="000000"/>
        </w:rPr>
        <w:t>s are completed for sampled visits</w:t>
      </w:r>
      <w:r w:rsidRPr="00F20B59" w:rsidR="004C4981">
        <w:rPr>
          <w:rFonts w:ascii="Times New Roman" w:hAnsi="Times New Roman"/>
          <w:color w:val="000000"/>
        </w:rPr>
        <w:t>.</w:t>
      </w:r>
      <w:r w:rsidR="0048714F">
        <w:rPr>
          <w:rFonts w:ascii="Times New Roman" w:hAnsi="Times New Roman"/>
          <w:color w:val="000000"/>
        </w:rPr>
        <w:t xml:space="preserve"> During fielding, the U.S. Census Bureau headquarters staff uses an electronic case management system to track and monitor completed and partially completed PRFs</w:t>
      </w:r>
      <w:r w:rsidR="00C6006C">
        <w:rPr>
          <w:rFonts w:ascii="Times New Roman" w:hAnsi="Times New Roman"/>
          <w:color w:val="000000"/>
        </w:rPr>
        <w:t>.</w:t>
      </w:r>
    </w:p>
    <w:p w:rsidRPr="00F20B59" w:rsidR="004C4981" w:rsidP="00BB5537" w:rsidRDefault="004C4981" w14:paraId="7B049DF4" w14:textId="77777777">
      <w:pPr>
        <w:rPr>
          <w:color w:val="000000"/>
        </w:rPr>
      </w:pPr>
    </w:p>
    <w:p w:rsidR="00AF39C0" w:rsidP="00BB5537" w:rsidRDefault="00C71319" w14:paraId="45D3ED86" w14:textId="17B20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 xml:space="preserve">Once </w:t>
      </w:r>
      <w:r w:rsidR="00AF39C0">
        <w:rPr>
          <w:color w:val="000000"/>
        </w:rPr>
        <w:t>all visit data are collected from a hospital ED</w:t>
      </w:r>
      <w:r w:rsidRPr="00F20B59">
        <w:rPr>
          <w:color w:val="000000"/>
        </w:rPr>
        <w:t xml:space="preserve">, the </w:t>
      </w:r>
      <w:r w:rsidRPr="00F20B59" w:rsidR="00794F8B">
        <w:rPr>
          <w:color w:val="000000"/>
        </w:rPr>
        <w:t xml:space="preserve">survey </w:t>
      </w:r>
      <w:r w:rsidRPr="00F20B59">
        <w:rPr>
          <w:color w:val="000000"/>
        </w:rPr>
        <w:t xml:space="preserve">data </w:t>
      </w:r>
      <w:r w:rsidR="00AF39C0">
        <w:rPr>
          <w:color w:val="000000"/>
        </w:rPr>
        <w:t xml:space="preserve">for that hospital </w:t>
      </w:r>
      <w:r w:rsidRPr="00F20B59" w:rsidR="00794F8B">
        <w:rPr>
          <w:color w:val="000000"/>
        </w:rPr>
        <w:t xml:space="preserve">are </w:t>
      </w:r>
      <w:r w:rsidRPr="00F20B59">
        <w:rPr>
          <w:color w:val="000000"/>
        </w:rPr>
        <w:t xml:space="preserve">encrypted and sent to a secure </w:t>
      </w:r>
      <w:r w:rsidR="00AF39C0">
        <w:rPr>
          <w:color w:val="000000"/>
        </w:rPr>
        <w:t xml:space="preserve">U.S. </w:t>
      </w:r>
      <w:r w:rsidRPr="00F20B59">
        <w:rPr>
          <w:color w:val="000000"/>
        </w:rPr>
        <w:t>Census Bureau database through a secure internet connection</w:t>
      </w:r>
      <w:r w:rsidR="00086958">
        <w:rPr>
          <w:color w:val="000000"/>
        </w:rPr>
        <w:t xml:space="preserve">, where they are de-identified and sent to NCHS. </w:t>
      </w:r>
      <w:r w:rsidRPr="00F20B59">
        <w:rPr>
          <w:color w:val="000000"/>
        </w:rPr>
        <w:t xml:space="preserve">The </w:t>
      </w:r>
      <w:r w:rsidR="00086958">
        <w:rPr>
          <w:color w:val="000000"/>
        </w:rPr>
        <w:t>free-text fields of the</w:t>
      </w:r>
      <w:r w:rsidR="00AF39C0">
        <w:rPr>
          <w:color w:val="000000"/>
        </w:rPr>
        <w:t xml:space="preserve"> </w:t>
      </w:r>
      <w:r w:rsidRPr="00F20B59">
        <w:rPr>
          <w:color w:val="000000"/>
        </w:rPr>
        <w:t xml:space="preserve">data are then sent to our </w:t>
      </w:r>
      <w:r w:rsidR="00D43D55">
        <w:rPr>
          <w:color w:val="000000"/>
        </w:rPr>
        <w:t>medical</w:t>
      </w:r>
      <w:r w:rsidRPr="00F20B59">
        <w:rPr>
          <w:color w:val="000000"/>
        </w:rPr>
        <w:t xml:space="preserve"> coding contractor who will do medical and drug coding </w:t>
      </w:r>
      <w:r w:rsidR="00AF39C0">
        <w:rPr>
          <w:color w:val="000000"/>
        </w:rPr>
        <w:t>for each visit</w:t>
      </w:r>
      <w:r w:rsidRPr="00F20B59" w:rsidR="00794F8B">
        <w:rPr>
          <w:color w:val="000000"/>
        </w:rPr>
        <w:t>.  All medical and drug coding</w:t>
      </w:r>
      <w:r w:rsidRPr="00F20B59" w:rsidR="007C4E74">
        <w:rPr>
          <w:color w:val="000000"/>
        </w:rPr>
        <w:t>,</w:t>
      </w:r>
      <w:r w:rsidRPr="00F20B59" w:rsidR="00794F8B">
        <w:rPr>
          <w:color w:val="000000"/>
        </w:rPr>
        <w:t xml:space="preserve"> as well as all data entry operations</w:t>
      </w:r>
      <w:r w:rsidRPr="00F20B59" w:rsidR="007C4E74">
        <w:rPr>
          <w:color w:val="000000"/>
        </w:rPr>
        <w:t>,</w:t>
      </w:r>
      <w:r w:rsidRPr="00F20B59" w:rsidR="00794F8B">
        <w:rPr>
          <w:color w:val="000000"/>
        </w:rPr>
        <w:t xml:space="preserve"> are subject to quality control procedures</w:t>
      </w:r>
      <w:r w:rsidR="00AF39C0">
        <w:rPr>
          <w:color w:val="000000"/>
        </w:rPr>
        <w:t>, where</w:t>
      </w:r>
      <w:r w:rsidRPr="00F20B59" w:rsidR="00794F8B">
        <w:rPr>
          <w:color w:val="000000"/>
        </w:rPr>
        <w:t xml:space="preserve"> a 10</w:t>
      </w:r>
      <w:r w:rsidR="00AF39C0">
        <w:rPr>
          <w:color w:val="000000"/>
        </w:rPr>
        <w:t>%</w:t>
      </w:r>
      <w:r w:rsidRPr="00F20B59" w:rsidR="00794F8B">
        <w:rPr>
          <w:color w:val="000000"/>
        </w:rPr>
        <w:t xml:space="preserve"> quality control sample of survey records are independently keyed and coded.  Computer edits for code ranges and inconsistencies are also performed.</w:t>
      </w:r>
      <w:r w:rsidR="00AF39C0">
        <w:rPr>
          <w:color w:val="000000"/>
        </w:rPr>
        <w:t xml:space="preserve"> </w:t>
      </w:r>
    </w:p>
    <w:p w:rsidR="00AF39C0" w:rsidP="00BB5537" w:rsidRDefault="00AF39C0" w14:paraId="756A6F4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:rsidRPr="00F20B59" w:rsidR="00502AB4" w:rsidP="00BB5537" w:rsidRDefault="00AF39C0" w14:paraId="4267A8F5" w14:textId="67B834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 xml:space="preserve">A final measure of quality control is that the U.S. Census Bureau also uses a re-interview study, </w:t>
      </w:r>
      <w:r w:rsidR="008F196B">
        <w:rPr>
          <w:color w:val="000000"/>
        </w:rPr>
        <w:t xml:space="preserve">where </w:t>
      </w:r>
      <w:r>
        <w:rPr>
          <w:color w:val="000000"/>
        </w:rPr>
        <w:t xml:space="preserve">approximately </w:t>
      </w:r>
      <w:r w:rsidR="00C6006C">
        <w:rPr>
          <w:color w:val="000000"/>
        </w:rPr>
        <w:t xml:space="preserve">125 respondents to the NHAMCS are re-contacted by phone for a 15-minute interview to go over their experience </w:t>
      </w:r>
      <w:r w:rsidR="008F196B">
        <w:rPr>
          <w:color w:val="000000"/>
        </w:rPr>
        <w:t>during the</w:t>
      </w:r>
      <w:r w:rsidR="00C6006C">
        <w:rPr>
          <w:color w:val="000000"/>
        </w:rPr>
        <w:t xml:space="preserve"> induction interview.</w:t>
      </w:r>
    </w:p>
    <w:p w:rsidRPr="00F20B59" w:rsidR="00BA61C6" w:rsidP="00BB5537" w:rsidRDefault="00BA61C6" w14:paraId="08607606" w14:textId="77777777">
      <w:pPr>
        <w:rPr>
          <w:color w:val="000000"/>
        </w:rPr>
      </w:pPr>
    </w:p>
    <w:p w:rsidRPr="008F196B" w:rsidR="00794F8B" w:rsidP="00BB5537" w:rsidRDefault="00794F8B" w14:paraId="779C8BA9" w14:textId="188A586D">
      <w:pPr>
        <w:pStyle w:val="ListParagraph"/>
        <w:numPr>
          <w:ilvl w:val="0"/>
          <w:numId w:val="8"/>
        </w:numPr>
        <w:ind w:left="0" w:firstLine="0"/>
        <w:rPr>
          <w:b/>
          <w:color w:val="000000"/>
        </w:rPr>
      </w:pPr>
      <w:r w:rsidRPr="008F196B">
        <w:rPr>
          <w:b/>
          <w:color w:val="000000"/>
        </w:rPr>
        <w:t>Estimation Procedures</w:t>
      </w:r>
      <w:r w:rsidR="00AF39C0">
        <w:rPr>
          <w:b/>
          <w:color w:val="000000"/>
        </w:rPr>
        <w:t xml:space="preserve"> and Sampling Errors</w:t>
      </w:r>
    </w:p>
    <w:p w:rsidRPr="00F20B59" w:rsidR="00794F8B" w:rsidRDefault="00794F8B" w14:paraId="4BA6B72C" w14:textId="77777777">
      <w:pPr>
        <w:rPr>
          <w:color w:val="000000"/>
        </w:rPr>
      </w:pPr>
    </w:p>
    <w:p w:rsidRPr="0038164D" w:rsidR="00130B6A" w:rsidP="00BB5537" w:rsidRDefault="00AF39C0" w14:paraId="01C84856" w14:textId="598825FC">
      <w:r>
        <w:rPr>
          <w:color w:val="000000"/>
        </w:rPr>
        <w:t>Using NHAMCS data</w:t>
      </w:r>
      <w:r w:rsidR="00F71211">
        <w:rPr>
          <w:color w:val="000000"/>
        </w:rPr>
        <w:t>,</w:t>
      </w:r>
      <w:r>
        <w:rPr>
          <w:color w:val="000000"/>
        </w:rPr>
        <w:t xml:space="preserve"> n</w:t>
      </w:r>
      <w:r w:rsidRPr="00F20B59" w:rsidR="00794F8B">
        <w:rPr>
          <w:color w:val="000000"/>
        </w:rPr>
        <w:t xml:space="preserve">ational estimates will be produced for visits to hospital </w:t>
      </w:r>
      <w:proofErr w:type="spellStart"/>
      <w:r w:rsidRPr="00F20B59" w:rsidR="00794F8B">
        <w:rPr>
          <w:color w:val="000000"/>
        </w:rPr>
        <w:t>EDs.</w:t>
      </w:r>
      <w:proofErr w:type="spellEnd"/>
      <w:r w:rsidRPr="00F20B59" w:rsidR="00794F8B">
        <w:rPr>
          <w:color w:val="000000"/>
        </w:rPr>
        <w:t xml:space="preserve"> The estimation procedure has three basic components: inflation by reciprocals of the selection probabilities, adjustments for nonresponse, and calibration ratio adjustment</w:t>
      </w:r>
      <w:r>
        <w:rPr>
          <w:color w:val="000000"/>
        </w:rPr>
        <w:t>.</w:t>
      </w:r>
      <w:r w:rsidR="00C56455">
        <w:rPr>
          <w:color w:val="000000"/>
        </w:rPr>
        <w:t xml:space="preserve"> </w:t>
      </w:r>
      <w:r w:rsidRPr="00F20B59" w:rsidR="00794F8B">
        <w:rPr>
          <w:color w:val="000000"/>
        </w:rPr>
        <w:t xml:space="preserve">For visits to EDs, the calibration adjustments are based on current ED visit counts recorded in the NHAMCS </w:t>
      </w:r>
      <w:r w:rsidR="008A3F67">
        <w:rPr>
          <w:color w:val="000000"/>
        </w:rPr>
        <w:t>hospital frame file</w:t>
      </w:r>
      <w:r w:rsidRPr="00F20B59" w:rsidR="00794F8B">
        <w:rPr>
          <w:color w:val="000000"/>
        </w:rPr>
        <w:t>.</w:t>
      </w:r>
      <w:r w:rsidR="008F196B">
        <w:rPr>
          <w:color w:val="000000"/>
        </w:rPr>
        <w:t xml:space="preserve"> </w:t>
      </w:r>
      <w:r w:rsidRPr="00F20B59" w:rsidR="00794F8B">
        <w:rPr>
          <w:color w:val="000000"/>
        </w:rPr>
        <w:t xml:space="preserve">Standard errors </w:t>
      </w:r>
      <w:r w:rsidR="0048714F">
        <w:rPr>
          <w:color w:val="000000"/>
        </w:rPr>
        <w:t xml:space="preserve">accompanying NHAMCS estimates </w:t>
      </w:r>
      <w:r w:rsidRPr="00F20B59" w:rsidR="00794F8B">
        <w:rPr>
          <w:color w:val="000000"/>
        </w:rPr>
        <w:t>are calculated using a first-order Taylor series approximation method</w:t>
      </w:r>
      <w:r w:rsidR="00C6182B">
        <w:rPr>
          <w:color w:val="000000"/>
        </w:rPr>
        <w:t xml:space="preserve"> </w:t>
      </w:r>
      <w:r w:rsidRPr="00F20B59" w:rsidR="00794F8B">
        <w:rPr>
          <w:color w:val="000000"/>
        </w:rPr>
        <w:t>as applied in SUDAAN variance software.</w:t>
      </w:r>
      <w:r w:rsidRPr="00F20B59" w:rsidR="00794F8B">
        <w:rPr>
          <w:rFonts w:ascii="Arial" w:hAnsi="Arial" w:cs="Arial"/>
          <w:color w:val="000000"/>
        </w:rPr>
        <w:t xml:space="preserve">  </w:t>
      </w:r>
    </w:p>
    <w:p w:rsidRPr="0038164D" w:rsidR="00794F8B" w:rsidP="0038164D" w:rsidRDefault="00794F8B" w14:paraId="7B8BC9BB" w14:textId="77777777">
      <w:pPr>
        <w:pStyle w:val="Heading1"/>
        <w:rPr>
          <w:rFonts w:ascii="Times New Roman" w:hAnsi="Times New Roman" w:cs="Times New Roman"/>
          <w:color w:val="auto"/>
          <w:sz w:val="24"/>
        </w:rPr>
      </w:pPr>
      <w:bookmarkStart w:name="_Toc389570490" w:id="15"/>
      <w:bookmarkStart w:name="_Toc23950522" w:id="16"/>
      <w:r w:rsidRPr="0038164D">
        <w:rPr>
          <w:rFonts w:ascii="Times New Roman" w:hAnsi="Times New Roman" w:cs="Times New Roman"/>
          <w:color w:val="auto"/>
          <w:sz w:val="24"/>
        </w:rPr>
        <w:lastRenderedPageBreak/>
        <w:t>3.  Methods to Maximize Response Rates and Deal with Nonresponse</w:t>
      </w:r>
      <w:bookmarkEnd w:id="15"/>
      <w:bookmarkEnd w:id="16"/>
    </w:p>
    <w:p w:rsidRPr="00F20B59" w:rsidR="00794F8B" w:rsidP="00794F8B" w:rsidRDefault="00794F8B" w14:paraId="3CC6F782" w14:textId="77777777">
      <w:pPr>
        <w:rPr>
          <w:color w:val="000000"/>
        </w:rPr>
      </w:pPr>
    </w:p>
    <w:p w:rsidRPr="00F20B59" w:rsidR="00794F8B" w:rsidP="00BB5537" w:rsidRDefault="005B2B47" w14:paraId="38120846" w14:textId="79E53E7D">
      <w:pPr>
        <w:rPr>
          <w:color w:val="000000"/>
        </w:rPr>
      </w:pPr>
      <w:r>
        <w:rPr>
          <w:color w:val="000000"/>
        </w:rPr>
        <w:t>NHAMCS</w:t>
      </w:r>
      <w:r w:rsidR="006E5B02">
        <w:rPr>
          <w:color w:val="000000"/>
        </w:rPr>
        <w:t xml:space="preserve"> uses multiple methods for maximizing hospital response. </w:t>
      </w:r>
      <w:r w:rsidRPr="00F20B59" w:rsidR="00794F8B">
        <w:rPr>
          <w:color w:val="000000"/>
        </w:rPr>
        <w:t xml:space="preserve">Endorsements </w:t>
      </w:r>
      <w:r w:rsidR="006E5B02">
        <w:rPr>
          <w:color w:val="000000"/>
        </w:rPr>
        <w:t>a</w:t>
      </w:r>
      <w:r w:rsidRPr="00F20B59" w:rsidR="00BF7B7C">
        <w:rPr>
          <w:color w:val="000000"/>
        </w:rPr>
        <w:t>re</w:t>
      </w:r>
      <w:r w:rsidRPr="00F20B59" w:rsidR="00794F8B">
        <w:rPr>
          <w:color w:val="000000"/>
        </w:rPr>
        <w:t xml:space="preserve"> solicited </w:t>
      </w:r>
      <w:r w:rsidR="006E5B02">
        <w:rPr>
          <w:color w:val="000000"/>
        </w:rPr>
        <w:t xml:space="preserve">and received </w:t>
      </w:r>
      <w:r w:rsidRPr="00F20B59" w:rsidR="00794F8B">
        <w:rPr>
          <w:color w:val="000000"/>
        </w:rPr>
        <w:t xml:space="preserve">from several prominent national organizations, including </w:t>
      </w:r>
      <w:r w:rsidR="006E5B02">
        <w:rPr>
          <w:color w:val="000000"/>
        </w:rPr>
        <w:t>the American College of Emergency Physicians</w:t>
      </w:r>
      <w:r w:rsidRPr="00F20B59" w:rsidR="00794F8B">
        <w:rPr>
          <w:color w:val="000000"/>
        </w:rPr>
        <w:t xml:space="preserve">, </w:t>
      </w:r>
      <w:r w:rsidR="006E5B02">
        <w:rPr>
          <w:color w:val="000000"/>
        </w:rPr>
        <w:t>American College of Osteopathic Emergency Physicians, Emergency Nurses Association, Society for Academic Emergency Medicine</w:t>
      </w:r>
      <w:r w:rsidRPr="00F20B59" w:rsidR="00F60054">
        <w:rPr>
          <w:color w:val="000000"/>
        </w:rPr>
        <w:t xml:space="preserve">, </w:t>
      </w:r>
      <w:r w:rsidR="001F1CA9">
        <w:t xml:space="preserve">and </w:t>
      </w:r>
      <w:r w:rsidR="006E5B02">
        <w:t>American Health Information Management Association</w:t>
      </w:r>
      <w:r w:rsidR="006A0BDF">
        <w:t>.</w:t>
      </w:r>
      <w:r w:rsidRPr="00F20B59" w:rsidR="00794F8B">
        <w:rPr>
          <w:color w:val="000000"/>
        </w:rPr>
        <w:t xml:space="preserve"> </w:t>
      </w:r>
      <w:r w:rsidR="006E5B02">
        <w:rPr>
          <w:color w:val="000000"/>
        </w:rPr>
        <w:t xml:space="preserve">Endorsement letters are used to encourage participation </w:t>
      </w:r>
      <w:r w:rsidR="008F196B">
        <w:rPr>
          <w:color w:val="000000"/>
        </w:rPr>
        <w:t>of</w:t>
      </w:r>
      <w:r w:rsidR="006E5B02">
        <w:rPr>
          <w:color w:val="000000"/>
        </w:rPr>
        <w:t xml:space="preserve"> hospitals in NHAMCS. A webpage containing information relevant to potential participants is also available to hospitals, which provides additional information related to NHAMCS whenever needed, and </w:t>
      </w:r>
      <w:r w:rsidR="008F196B">
        <w:rPr>
          <w:color w:val="000000"/>
        </w:rPr>
        <w:t>includes details</w:t>
      </w:r>
      <w:r w:rsidR="006E5B02">
        <w:rPr>
          <w:color w:val="000000"/>
        </w:rPr>
        <w:t xml:space="preserve"> on</w:t>
      </w:r>
      <w:r w:rsidRPr="00F20B59" w:rsidR="00794F8B">
        <w:rPr>
          <w:color w:val="000000"/>
        </w:rPr>
        <w:t xml:space="preserve"> </w:t>
      </w:r>
      <w:r w:rsidR="006E5B02">
        <w:rPr>
          <w:color w:val="000000"/>
        </w:rPr>
        <w:t xml:space="preserve">survey </w:t>
      </w:r>
      <w:r w:rsidRPr="00F20B59" w:rsidR="00794F8B">
        <w:rPr>
          <w:color w:val="000000"/>
        </w:rPr>
        <w:t>selection and participation, confidentiality and privacy, the HIPAA Privacy Rule, data utilization</w:t>
      </w:r>
      <w:r w:rsidRPr="00F20B59" w:rsidR="00BF7B7C">
        <w:rPr>
          <w:color w:val="000000"/>
        </w:rPr>
        <w:t>,</w:t>
      </w:r>
      <w:r w:rsidRPr="00F20B59" w:rsidR="00794F8B">
        <w:rPr>
          <w:color w:val="000000"/>
        </w:rPr>
        <w:t xml:space="preserve"> and contact information.  </w:t>
      </w:r>
    </w:p>
    <w:p w:rsidRPr="00F20B59" w:rsidR="00C82996" w:rsidP="00BB5537" w:rsidRDefault="00C82996" w14:paraId="26D43B4D" w14:textId="77777777">
      <w:pPr>
        <w:rPr>
          <w:color w:val="000000"/>
        </w:rPr>
      </w:pPr>
    </w:p>
    <w:p w:rsidRPr="00F20B59" w:rsidR="00794F8B" w:rsidP="00BB5537" w:rsidRDefault="006E5B02" w14:paraId="36F3B298" w14:textId="4C5C8070">
      <w:pPr>
        <w:rPr>
          <w:color w:val="000000"/>
        </w:rPr>
      </w:pPr>
      <w:r>
        <w:rPr>
          <w:color w:val="000000"/>
        </w:rPr>
        <w:t>NHAMCS d</w:t>
      </w:r>
      <w:r w:rsidRPr="00F20B59" w:rsidR="00794F8B">
        <w:rPr>
          <w:color w:val="000000"/>
        </w:rPr>
        <w:t>ata collection procedures are designed to minimize response burden</w:t>
      </w:r>
      <w:r w:rsidR="008F196B">
        <w:rPr>
          <w:color w:val="000000"/>
        </w:rPr>
        <w:t xml:space="preserve"> - </w:t>
      </w:r>
      <w:r w:rsidRPr="00F20B59" w:rsidR="00794F8B">
        <w:rPr>
          <w:color w:val="000000"/>
        </w:rPr>
        <w:t xml:space="preserve">a major concern and influence on response rates. </w:t>
      </w:r>
      <w:r w:rsidR="00B30E9B">
        <w:rPr>
          <w:color w:val="000000"/>
        </w:rPr>
        <w:t xml:space="preserve">Even though </w:t>
      </w:r>
      <w:r>
        <w:rPr>
          <w:color w:val="000000"/>
        </w:rPr>
        <w:t>NHAMCS</w:t>
      </w:r>
      <w:r w:rsidRPr="00F20B59" w:rsidR="00794F8B">
        <w:rPr>
          <w:color w:val="000000"/>
        </w:rPr>
        <w:t xml:space="preserve"> require</w:t>
      </w:r>
      <w:r w:rsidR="00B30E9B">
        <w:rPr>
          <w:color w:val="000000"/>
        </w:rPr>
        <w:t>s</w:t>
      </w:r>
      <w:r w:rsidRPr="00F20B59" w:rsidR="00794F8B">
        <w:rPr>
          <w:color w:val="000000"/>
        </w:rPr>
        <w:t xml:space="preserve"> </w:t>
      </w:r>
      <w:r w:rsidR="00B30E9B">
        <w:rPr>
          <w:color w:val="000000"/>
        </w:rPr>
        <w:t>input</w:t>
      </w:r>
      <w:r w:rsidRPr="00F20B59" w:rsidR="00B30E9B">
        <w:rPr>
          <w:color w:val="000000"/>
        </w:rPr>
        <w:t xml:space="preserve"> </w:t>
      </w:r>
      <w:r w:rsidRPr="00F20B59" w:rsidR="00794F8B">
        <w:rPr>
          <w:color w:val="000000"/>
        </w:rPr>
        <w:t>from a</w:t>
      </w:r>
      <w:r w:rsidR="00B30E9B">
        <w:rPr>
          <w:color w:val="000000"/>
        </w:rPr>
        <w:t>n array of individuals</w:t>
      </w:r>
      <w:r w:rsidRPr="00F20B59" w:rsidR="00794F8B">
        <w:rPr>
          <w:color w:val="000000"/>
        </w:rPr>
        <w:t xml:space="preserve"> within each hospital</w:t>
      </w:r>
      <w:r w:rsidR="008F196B">
        <w:rPr>
          <w:color w:val="000000"/>
        </w:rPr>
        <w:t xml:space="preserve">, mainly those in managerial roles or </w:t>
      </w:r>
      <w:r w:rsidR="009D49A5">
        <w:rPr>
          <w:color w:val="000000"/>
        </w:rPr>
        <w:t>h</w:t>
      </w:r>
      <w:r w:rsidR="008F196B">
        <w:rPr>
          <w:color w:val="000000"/>
        </w:rPr>
        <w:t>ealth IT staff</w:t>
      </w:r>
      <w:r w:rsidR="00B30E9B">
        <w:rPr>
          <w:color w:val="000000"/>
        </w:rPr>
        <w:t xml:space="preserve">, only a small amount of time or effort is </w:t>
      </w:r>
      <w:proofErr w:type="gramStart"/>
      <w:r w:rsidR="00B30E9B">
        <w:rPr>
          <w:color w:val="000000"/>
        </w:rPr>
        <w:t>actually needed</w:t>
      </w:r>
      <w:proofErr w:type="gramEnd"/>
      <w:r w:rsidR="00B30E9B">
        <w:rPr>
          <w:color w:val="000000"/>
        </w:rPr>
        <w:t xml:space="preserve"> from each of them</w:t>
      </w:r>
      <w:r w:rsidRPr="00F20B59" w:rsidR="00794F8B">
        <w:rPr>
          <w:color w:val="000000"/>
        </w:rPr>
        <w:t xml:space="preserve">. </w:t>
      </w:r>
      <w:r w:rsidR="00B30E9B">
        <w:rPr>
          <w:color w:val="000000"/>
        </w:rPr>
        <w:t>That said, r</w:t>
      </w:r>
      <w:r w:rsidRPr="00F20B59" w:rsidR="00794F8B">
        <w:rPr>
          <w:color w:val="000000"/>
        </w:rPr>
        <w:t xml:space="preserve">efusals to participate may occur at any one of the stages of induction or data collection. At the time of refusal, a refusal report is </w:t>
      </w:r>
      <w:r w:rsidRPr="00F20B59" w:rsidR="00F019D2">
        <w:rPr>
          <w:color w:val="000000"/>
        </w:rPr>
        <w:t>completed</w:t>
      </w:r>
      <w:r w:rsidR="00F019D2">
        <w:rPr>
          <w:color w:val="000000"/>
        </w:rPr>
        <w:t xml:space="preserve"> by the FR</w:t>
      </w:r>
      <w:r w:rsidRPr="00F20B59" w:rsidR="00F019D2">
        <w:rPr>
          <w:color w:val="000000"/>
        </w:rPr>
        <w:t>,</w:t>
      </w:r>
      <w:r w:rsidRPr="00F20B59" w:rsidR="00794F8B">
        <w:rPr>
          <w:color w:val="000000"/>
        </w:rPr>
        <w:t xml:space="preserve"> and the </w:t>
      </w:r>
      <w:r>
        <w:rPr>
          <w:color w:val="000000"/>
        </w:rPr>
        <w:t xml:space="preserve">U.S. </w:t>
      </w:r>
      <w:r w:rsidRPr="00F20B59" w:rsidR="00794F8B">
        <w:rPr>
          <w:color w:val="000000"/>
        </w:rPr>
        <w:t xml:space="preserve">Census Bureau </w:t>
      </w:r>
      <w:r>
        <w:rPr>
          <w:color w:val="000000"/>
        </w:rPr>
        <w:t>is notified</w:t>
      </w:r>
      <w:r w:rsidRPr="00F20B59" w:rsidR="00794F8B">
        <w:rPr>
          <w:color w:val="000000"/>
        </w:rPr>
        <w:t xml:space="preserve">. Reasons for refusal vary considerably, necessitating refusal conversion procedures which are flexible and responsive to individual concerns. </w:t>
      </w:r>
      <w:r>
        <w:rPr>
          <w:color w:val="000000"/>
        </w:rPr>
        <w:t>In such instances</w:t>
      </w:r>
      <w:r w:rsidRPr="00F20B59" w:rsidR="00794F8B">
        <w:rPr>
          <w:color w:val="000000"/>
        </w:rPr>
        <w:t xml:space="preserve">, </w:t>
      </w:r>
      <w:r>
        <w:rPr>
          <w:color w:val="000000"/>
        </w:rPr>
        <w:t>participant-relevant</w:t>
      </w:r>
      <w:r w:rsidRPr="00F20B59" w:rsidR="00794F8B">
        <w:rPr>
          <w:color w:val="000000"/>
        </w:rPr>
        <w:t xml:space="preserve"> survey features are stressed</w:t>
      </w:r>
      <w:r>
        <w:rPr>
          <w:color w:val="000000"/>
        </w:rPr>
        <w:t xml:space="preserve">, </w:t>
      </w:r>
      <w:r w:rsidR="00C5376C">
        <w:rPr>
          <w:color w:val="000000"/>
        </w:rPr>
        <w:t>indicating</w:t>
      </w:r>
      <w:r>
        <w:rPr>
          <w:color w:val="000000"/>
        </w:rPr>
        <w:t xml:space="preserve"> that</w:t>
      </w:r>
      <w:r w:rsidRPr="00F20B59" w:rsidR="00794F8B">
        <w:rPr>
          <w:color w:val="000000"/>
        </w:rPr>
        <w:t xml:space="preserve"> data are needed by hospital and medical professions for a variety of purposes and do not exist elsewhere</w:t>
      </w:r>
      <w:r w:rsidR="001728B8">
        <w:rPr>
          <w:color w:val="000000"/>
        </w:rPr>
        <w:t>,</w:t>
      </w:r>
      <w:r w:rsidRPr="00F20B59" w:rsidR="00794F8B">
        <w:rPr>
          <w:color w:val="000000"/>
        </w:rPr>
        <w:t xml:space="preserve"> all data about </w:t>
      </w:r>
      <w:r w:rsidRPr="00F20B59" w:rsidR="00435DBE">
        <w:rPr>
          <w:color w:val="000000"/>
        </w:rPr>
        <w:t>facilities</w:t>
      </w:r>
      <w:r w:rsidRPr="00F20B59" w:rsidR="00794F8B">
        <w:rPr>
          <w:color w:val="000000"/>
        </w:rPr>
        <w:t xml:space="preserve">, </w:t>
      </w:r>
      <w:r w:rsidRPr="00F20B59" w:rsidR="00435DBE">
        <w:rPr>
          <w:color w:val="000000"/>
        </w:rPr>
        <w:t>ambulatory units</w:t>
      </w:r>
      <w:r w:rsidRPr="00F20B59" w:rsidR="00794F8B">
        <w:rPr>
          <w:color w:val="000000"/>
        </w:rPr>
        <w:t>, and patients are kept confidential</w:t>
      </w:r>
      <w:r w:rsidR="001728B8">
        <w:rPr>
          <w:color w:val="000000"/>
        </w:rPr>
        <w:t>,</w:t>
      </w:r>
      <w:r w:rsidRPr="00F20B59" w:rsidR="00794F8B">
        <w:rPr>
          <w:color w:val="000000"/>
        </w:rPr>
        <w:t xml:space="preserve"> and every effort is made to minimize the disruption of </w:t>
      </w:r>
      <w:r w:rsidR="001728B8">
        <w:rPr>
          <w:color w:val="000000"/>
        </w:rPr>
        <w:t>hospital</w:t>
      </w:r>
      <w:r w:rsidRPr="00F20B59" w:rsidR="00435DBE">
        <w:rPr>
          <w:color w:val="000000"/>
        </w:rPr>
        <w:t xml:space="preserve"> </w:t>
      </w:r>
      <w:r w:rsidRPr="00F20B59" w:rsidR="00794F8B">
        <w:rPr>
          <w:color w:val="000000"/>
        </w:rPr>
        <w:t xml:space="preserve">routine. </w:t>
      </w:r>
      <w:r w:rsidR="001728B8">
        <w:rPr>
          <w:color w:val="000000"/>
        </w:rPr>
        <w:t>T</w:t>
      </w:r>
      <w:r w:rsidRPr="00F20B59" w:rsidR="00794F8B">
        <w:rPr>
          <w:color w:val="000000"/>
        </w:rPr>
        <w:t xml:space="preserve">hese features </w:t>
      </w:r>
      <w:r w:rsidR="001728B8">
        <w:rPr>
          <w:color w:val="000000"/>
        </w:rPr>
        <w:t>can</w:t>
      </w:r>
      <w:r w:rsidRPr="00F20B59" w:rsidR="00794F8B">
        <w:rPr>
          <w:color w:val="000000"/>
        </w:rPr>
        <w:t xml:space="preserve"> often </w:t>
      </w:r>
      <w:r w:rsidR="001728B8">
        <w:rPr>
          <w:color w:val="000000"/>
        </w:rPr>
        <w:t xml:space="preserve">be </w:t>
      </w:r>
      <w:r w:rsidRPr="00F20B59" w:rsidR="00794F8B">
        <w:rPr>
          <w:color w:val="000000"/>
        </w:rPr>
        <w:t>persuasive in converting refusals.</w:t>
      </w:r>
    </w:p>
    <w:p w:rsidRPr="007010DF" w:rsidR="00794F8B" w:rsidP="007010DF" w:rsidRDefault="00794F8B" w14:paraId="1CD2C534" w14:textId="77777777">
      <w:pPr>
        <w:pStyle w:val="Heading1"/>
        <w:rPr>
          <w:rFonts w:ascii="Times New Roman" w:hAnsi="Times New Roman" w:cs="Times New Roman"/>
          <w:color w:val="auto"/>
          <w:sz w:val="24"/>
        </w:rPr>
      </w:pPr>
      <w:bookmarkStart w:name="_Toc389570491" w:id="17"/>
      <w:bookmarkStart w:name="_Toc23950523" w:id="18"/>
      <w:r w:rsidRPr="007010DF">
        <w:rPr>
          <w:rFonts w:ascii="Times New Roman" w:hAnsi="Times New Roman" w:cs="Times New Roman"/>
          <w:color w:val="auto"/>
          <w:sz w:val="24"/>
        </w:rPr>
        <w:t>4.  Tests of Procedures or Methods to be Undertaken</w:t>
      </w:r>
      <w:bookmarkEnd w:id="17"/>
      <w:bookmarkEnd w:id="18"/>
    </w:p>
    <w:p w:rsidRPr="00F20B59" w:rsidR="00794F8B" w:rsidP="00794F8B" w:rsidRDefault="00794F8B" w14:paraId="5CE4227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:rsidRPr="00F20B59" w:rsidR="00794F8B" w:rsidP="00BB5537" w:rsidRDefault="005B2B47" w14:paraId="370B59D8" w14:textId="2A05D6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>No tests of procedures are anticipated. The survey questions and procedures have been used in prior surveys. The questionnaire has the same questions as the 2020 NHAMCS (OMB No. 0920-0278)</w:t>
      </w:r>
      <w:r w:rsidR="007010DF">
        <w:rPr>
          <w:color w:val="000000"/>
        </w:rPr>
        <w:t>.</w:t>
      </w:r>
    </w:p>
    <w:p w:rsidRPr="007010DF" w:rsidR="00794F8B" w:rsidP="007010DF" w:rsidRDefault="00794F8B" w14:paraId="49827DCC" w14:textId="77777777">
      <w:pPr>
        <w:pStyle w:val="Heading1"/>
        <w:rPr>
          <w:rFonts w:ascii="Times New Roman" w:hAnsi="Times New Roman" w:cs="Times New Roman"/>
          <w:color w:val="auto"/>
          <w:sz w:val="24"/>
        </w:rPr>
      </w:pPr>
      <w:bookmarkStart w:name="_Toc389570492" w:id="19"/>
      <w:bookmarkStart w:name="_Toc23950524" w:id="20"/>
      <w:r w:rsidRPr="007010DF">
        <w:rPr>
          <w:rFonts w:ascii="Times New Roman" w:hAnsi="Times New Roman" w:cs="Times New Roman"/>
          <w:color w:val="auto"/>
          <w:sz w:val="24"/>
        </w:rPr>
        <w:t>5.  Individuals Consulted on Statistical Aspects and Individuals Collecting and/or Analyzing Data</w:t>
      </w:r>
      <w:bookmarkEnd w:id="19"/>
      <w:bookmarkEnd w:id="20"/>
    </w:p>
    <w:p w:rsidRPr="00F20B59" w:rsidR="00794F8B" w:rsidP="00794F8B" w:rsidRDefault="00794F8B" w14:paraId="2E20DC2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:rsidRPr="00F20B59" w:rsidR="005B2B47" w:rsidP="00BB5537" w:rsidRDefault="00794F8B" w14:paraId="72C30B79" w14:textId="144A0A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The statistician responsible for the survey sample design is:</w:t>
      </w:r>
    </w:p>
    <w:p w:rsidRPr="00F20B59" w:rsidR="00794F8B" w:rsidP="00BB5537" w:rsidRDefault="00794F8B" w14:paraId="4587DC2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Iris Shimizu, Ph.D.</w:t>
      </w:r>
    </w:p>
    <w:p w:rsidRPr="00F20B59" w:rsidR="00794F8B" w:rsidP="00BB5537" w:rsidRDefault="00794F8B" w14:paraId="08164FD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Mathematical Statistician</w:t>
      </w:r>
    </w:p>
    <w:p w:rsidRPr="00F20B59" w:rsidR="00794F8B" w:rsidP="00BB5537" w:rsidRDefault="00794F8B" w14:paraId="5B00B18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Statistical Research and Survey Design Staff</w:t>
      </w:r>
    </w:p>
    <w:p w:rsidRPr="00F20B59" w:rsidR="00794F8B" w:rsidP="00BB5537" w:rsidRDefault="009975B9" w14:paraId="44A6A4F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>Division</w:t>
      </w:r>
      <w:r w:rsidRPr="00F20B59">
        <w:rPr>
          <w:color w:val="000000"/>
        </w:rPr>
        <w:t xml:space="preserve"> </w:t>
      </w:r>
      <w:r w:rsidRPr="00F20B59" w:rsidR="00794F8B">
        <w:rPr>
          <w:color w:val="000000"/>
        </w:rPr>
        <w:t>of Research and Methodology</w:t>
      </w:r>
    </w:p>
    <w:p w:rsidRPr="00F20B59" w:rsidR="00794F8B" w:rsidP="00BB5537" w:rsidRDefault="00794F8B" w14:paraId="481452C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National Center for Health Statistics</w:t>
      </w:r>
    </w:p>
    <w:p w:rsidRPr="00F20B59" w:rsidR="00794F8B" w:rsidP="00BB5537" w:rsidRDefault="00794F8B" w14:paraId="4EB97AF5" w14:textId="6A3364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301</w:t>
      </w:r>
      <w:r w:rsidR="009B1A61">
        <w:rPr>
          <w:color w:val="000000"/>
        </w:rPr>
        <w:t>-</w:t>
      </w:r>
      <w:r w:rsidRPr="00F20B59">
        <w:rPr>
          <w:color w:val="000000"/>
        </w:rPr>
        <w:t>458</w:t>
      </w:r>
      <w:r w:rsidRPr="00F20B59">
        <w:rPr>
          <w:color w:val="000000"/>
        </w:rPr>
        <w:noBreakHyphen/>
        <w:t>4497</w:t>
      </w:r>
    </w:p>
    <w:p w:rsidRPr="00317839" w:rsidR="00794F8B" w:rsidP="00BB5537" w:rsidRDefault="00787DA1" w14:paraId="3CAEE5D7" w14:textId="5097BC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hyperlink w:history="1" r:id="rId9">
        <w:r w:rsidRPr="006B62E2" w:rsidR="005B2B47">
          <w:rPr>
            <w:rStyle w:val="Hyperlink"/>
          </w:rPr>
          <w:t>ishimizu@cdc.gov</w:t>
        </w:r>
      </w:hyperlink>
      <w:r w:rsidR="005B2B47">
        <w:t xml:space="preserve"> </w:t>
      </w:r>
      <w:r w:rsidDel="005B2B47" w:rsidR="005B2B47">
        <w:t xml:space="preserve"> </w:t>
      </w:r>
    </w:p>
    <w:p w:rsidRPr="00F20B59" w:rsidR="00587F5A" w:rsidP="00BB5537" w:rsidRDefault="00587F5A" w14:paraId="1CB444F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:rsidRPr="00F20B59" w:rsidR="00794F8B" w:rsidP="00BB5537" w:rsidRDefault="00794F8B" w14:paraId="4AC6AC18" w14:textId="5DDC5E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 xml:space="preserve">The data collection agent is the </w:t>
      </w:r>
      <w:r w:rsidR="005B2B47">
        <w:rPr>
          <w:color w:val="000000"/>
        </w:rPr>
        <w:t xml:space="preserve">U.S. </w:t>
      </w:r>
      <w:r w:rsidRPr="00F20B59">
        <w:rPr>
          <w:color w:val="000000"/>
        </w:rPr>
        <w:t>Census Bureau and the contact person is:</w:t>
      </w:r>
    </w:p>
    <w:p w:rsidRPr="00A076CB" w:rsidR="00A076CB" w:rsidP="00BB5537" w:rsidRDefault="00473ABF" w14:paraId="42C4F1E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>Lucinda Dalzell</w:t>
      </w:r>
    </w:p>
    <w:p w:rsidRPr="00A076CB" w:rsidR="00A076CB" w:rsidP="00BB5537" w:rsidRDefault="00A076CB" w14:paraId="18820FC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A076CB">
        <w:rPr>
          <w:color w:val="000000"/>
        </w:rPr>
        <w:t>Survey Director, National Ambulatory Medical Care Surveys</w:t>
      </w:r>
    </w:p>
    <w:p w:rsidRPr="00A076CB" w:rsidR="00A076CB" w:rsidP="00BB5537" w:rsidRDefault="00A076CB" w14:paraId="50A50B3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A076CB">
        <w:rPr>
          <w:color w:val="000000"/>
        </w:rPr>
        <w:t>Office of the Associate Director for Demographic Programs</w:t>
      </w:r>
    </w:p>
    <w:p w:rsidRPr="00A076CB" w:rsidR="00A076CB" w:rsidP="00BB5537" w:rsidRDefault="00A076CB" w14:paraId="66ACB58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A076CB">
        <w:rPr>
          <w:color w:val="000000"/>
        </w:rPr>
        <w:t>U.S. Census Bureau</w:t>
      </w:r>
    </w:p>
    <w:p w:rsidRPr="00A076CB" w:rsidR="00A076CB" w:rsidP="00BB5537" w:rsidRDefault="00A076CB" w14:paraId="0ABC760D" w14:textId="683257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A076CB">
        <w:rPr>
          <w:color w:val="000000"/>
        </w:rPr>
        <w:lastRenderedPageBreak/>
        <w:t>301</w:t>
      </w:r>
      <w:r w:rsidR="009B1A61">
        <w:rPr>
          <w:color w:val="000000"/>
        </w:rPr>
        <w:t>-</w:t>
      </w:r>
      <w:r w:rsidRPr="00A076CB">
        <w:rPr>
          <w:color w:val="000000"/>
        </w:rPr>
        <w:t>763-</w:t>
      </w:r>
      <w:r w:rsidRPr="00317839" w:rsidR="00317839">
        <w:rPr>
          <w:color w:val="000000"/>
        </w:rPr>
        <w:t>1680</w:t>
      </w:r>
      <w:r w:rsidR="005B2B47">
        <w:rPr>
          <w:color w:val="000000"/>
        </w:rPr>
        <w:t xml:space="preserve"> </w:t>
      </w:r>
    </w:p>
    <w:p w:rsidR="00317839" w:rsidP="00BB5537" w:rsidRDefault="00787DA1" w14:paraId="7B09962E" w14:textId="45ABF3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hyperlink w:history="1" r:id="rId10">
        <w:r w:rsidRPr="006B62E2" w:rsidR="005B2B47">
          <w:rPr>
            <w:rStyle w:val="Hyperlink"/>
          </w:rPr>
          <w:t>Lucinda.P.Dalzell@census.gov</w:t>
        </w:r>
      </w:hyperlink>
      <w:r w:rsidR="005B2B47">
        <w:rPr>
          <w:color w:val="000000"/>
        </w:rPr>
        <w:t xml:space="preserve"> </w:t>
      </w:r>
    </w:p>
    <w:p w:rsidRPr="00F20B59" w:rsidR="00794F8B" w:rsidP="00BB5537" w:rsidRDefault="00794F8B" w14:paraId="39D34B2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:rsidRPr="00F20B59" w:rsidR="00794F8B" w:rsidP="00BB5537" w:rsidRDefault="00794F8B" w14:paraId="79F745D3" w14:textId="0C185C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The data will be analyzed under the direction of:</w:t>
      </w:r>
    </w:p>
    <w:p w:rsidRPr="00F20B59" w:rsidR="00794F8B" w:rsidP="00BB5537" w:rsidRDefault="00317839" w14:paraId="1E3E9901" w14:textId="598D6D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 xml:space="preserve">Brian </w:t>
      </w:r>
      <w:r w:rsidR="001A0631">
        <w:rPr>
          <w:color w:val="000000"/>
        </w:rPr>
        <w:t xml:space="preserve">W. </w:t>
      </w:r>
      <w:r>
        <w:rPr>
          <w:color w:val="000000"/>
        </w:rPr>
        <w:t>Ward</w:t>
      </w:r>
      <w:r w:rsidRPr="00F20B59" w:rsidR="00794F8B">
        <w:rPr>
          <w:color w:val="000000"/>
        </w:rPr>
        <w:t xml:space="preserve">, </w:t>
      </w:r>
      <w:r w:rsidRPr="00F20B59" w:rsidR="007B25F5">
        <w:rPr>
          <w:color w:val="000000"/>
        </w:rPr>
        <w:t>Ph</w:t>
      </w:r>
      <w:r w:rsidRPr="00F20B59" w:rsidR="00794F8B">
        <w:rPr>
          <w:color w:val="000000"/>
        </w:rPr>
        <w:t>.D.</w:t>
      </w:r>
    </w:p>
    <w:p w:rsidRPr="00F20B59" w:rsidR="00794F8B" w:rsidP="00BB5537" w:rsidRDefault="00303B6E" w14:paraId="7667E5E9" w14:textId="4763A5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>
        <w:rPr>
          <w:color w:val="000000"/>
        </w:rPr>
        <w:t>Branch Chief</w:t>
      </w:r>
      <w:r w:rsidRPr="00F20B59" w:rsidR="00794F8B">
        <w:rPr>
          <w:color w:val="000000"/>
        </w:rPr>
        <w:t>, Ambulatory and Hospital Care Statistics Branch</w:t>
      </w:r>
    </w:p>
    <w:p w:rsidRPr="00F20B59" w:rsidR="00794F8B" w:rsidP="00BB5537" w:rsidRDefault="00794F8B" w14:paraId="0AEC08D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Division of Health Care Statistics</w:t>
      </w:r>
    </w:p>
    <w:p w:rsidRPr="00F20B59" w:rsidR="00794F8B" w:rsidP="00BB5537" w:rsidRDefault="00794F8B" w14:paraId="1C1B066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National Center for Health Statistics</w:t>
      </w:r>
    </w:p>
    <w:p w:rsidRPr="00F20B59" w:rsidR="00794F8B" w:rsidP="00BB5537" w:rsidRDefault="00794F8B" w14:paraId="53D26EE5" w14:textId="6E42FE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F20B59">
        <w:rPr>
          <w:color w:val="000000"/>
        </w:rPr>
        <w:t>301</w:t>
      </w:r>
      <w:r w:rsidR="009B1A61">
        <w:rPr>
          <w:color w:val="000000"/>
        </w:rPr>
        <w:t>-</w:t>
      </w:r>
      <w:r w:rsidRPr="00F20B59">
        <w:rPr>
          <w:color w:val="000000"/>
        </w:rPr>
        <w:t>458-</w:t>
      </w:r>
      <w:r w:rsidR="00317839">
        <w:rPr>
          <w:color w:val="000000"/>
        </w:rPr>
        <w:t>4568</w:t>
      </w:r>
    </w:p>
    <w:p w:rsidRPr="00F20B59" w:rsidR="00547200" w:rsidP="00BB5537" w:rsidRDefault="00787DA1" w14:paraId="4AF5253A" w14:textId="1B1D8D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hyperlink w:history="1" r:id="rId11">
        <w:r w:rsidRPr="006B62E2" w:rsidR="005B2B47">
          <w:rPr>
            <w:rStyle w:val="Hyperlink"/>
          </w:rPr>
          <w:t>bwward@cdc.gov</w:t>
        </w:r>
      </w:hyperlink>
      <w:r w:rsidR="005B2B47">
        <w:rPr>
          <w:color w:val="000000"/>
        </w:rPr>
        <w:t xml:space="preserve"> </w:t>
      </w:r>
      <w:r w:rsidRPr="00F20B59" w:rsidDel="009B0A10" w:rsidR="009B0A10">
        <w:rPr>
          <w:color w:val="000000"/>
        </w:rPr>
        <w:t xml:space="preserve"> </w:t>
      </w:r>
      <w:hyperlink w:history="1" r:id="rId12"/>
    </w:p>
    <w:sectPr w:rsidRPr="00F20B59" w:rsidR="00547200" w:rsidSect="00655C3A">
      <w:headerReference w:type="default" r:id="rId13"/>
      <w:footerReference w:type="even" r:id="rId14"/>
      <w:footerReference w:type="default" r:id="rId15"/>
      <w:pgSz w:w="12240" w:h="15840"/>
      <w:pgMar w:top="1440" w:right="900" w:bottom="1440" w:left="108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85BBD" w14:textId="77777777" w:rsidR="00787DA1" w:rsidRDefault="00787DA1">
      <w:r>
        <w:separator/>
      </w:r>
    </w:p>
  </w:endnote>
  <w:endnote w:type="continuationSeparator" w:id="0">
    <w:p w14:paraId="7427416C" w14:textId="77777777" w:rsidR="00787DA1" w:rsidRDefault="0078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CACC5" w14:textId="77777777" w:rsidR="003F4365" w:rsidRDefault="003F4365" w:rsidP="00EA39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CE06E" w14:textId="77777777" w:rsidR="003F4365" w:rsidRDefault="003F4365" w:rsidP="00C15F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E5034" w14:textId="77777777" w:rsidR="003F4365" w:rsidRPr="00887E2C" w:rsidRDefault="003F4365" w:rsidP="00EA3984">
    <w:pPr>
      <w:pStyle w:val="Footer"/>
      <w:framePr w:wrap="around" w:vAnchor="text" w:hAnchor="margin" w:xAlign="right" w:y="1"/>
      <w:rPr>
        <w:rStyle w:val="PageNumber"/>
        <w:sz w:val="22"/>
      </w:rPr>
    </w:pPr>
    <w:r w:rsidRPr="00887E2C">
      <w:rPr>
        <w:rStyle w:val="PageNumber"/>
        <w:sz w:val="22"/>
      </w:rPr>
      <w:fldChar w:fldCharType="begin"/>
    </w:r>
    <w:r w:rsidRPr="00887E2C">
      <w:rPr>
        <w:rStyle w:val="PageNumber"/>
        <w:sz w:val="22"/>
      </w:rPr>
      <w:instrText xml:space="preserve">PAGE  </w:instrText>
    </w:r>
    <w:r w:rsidRPr="00887E2C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0</w:t>
    </w:r>
    <w:r w:rsidRPr="00887E2C">
      <w:rPr>
        <w:rStyle w:val="PageNumber"/>
        <w:sz w:val="22"/>
      </w:rPr>
      <w:fldChar w:fldCharType="end"/>
    </w:r>
  </w:p>
  <w:p w14:paraId="6927C237" w14:textId="77777777" w:rsidR="003F4365" w:rsidRDefault="003F4365" w:rsidP="00C15F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19A5A" w14:textId="77777777" w:rsidR="00787DA1" w:rsidRDefault="00787DA1">
      <w:r>
        <w:separator/>
      </w:r>
    </w:p>
  </w:footnote>
  <w:footnote w:type="continuationSeparator" w:id="0">
    <w:p w14:paraId="7FF838E7" w14:textId="77777777" w:rsidR="00787DA1" w:rsidRDefault="0078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AEAD5" w14:textId="34B62C7A" w:rsidR="003F4365" w:rsidRDefault="003F4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E3D9A"/>
    <w:multiLevelType w:val="hybridMultilevel"/>
    <w:tmpl w:val="E5883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6842"/>
    <w:multiLevelType w:val="hybridMultilevel"/>
    <w:tmpl w:val="58B69A10"/>
    <w:lvl w:ilvl="0" w:tplc="F230B242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23DF"/>
    <w:multiLevelType w:val="hybridMultilevel"/>
    <w:tmpl w:val="C798C3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927686"/>
    <w:multiLevelType w:val="hybridMultilevel"/>
    <w:tmpl w:val="19400F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3780E"/>
    <w:multiLevelType w:val="hybridMultilevel"/>
    <w:tmpl w:val="852AFE8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C0C3A"/>
    <w:multiLevelType w:val="hybridMultilevel"/>
    <w:tmpl w:val="091A8BCA"/>
    <w:lvl w:ilvl="0" w:tplc="5B66B83E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A1C19"/>
    <w:multiLevelType w:val="hybridMultilevel"/>
    <w:tmpl w:val="60308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B1CD5"/>
    <w:multiLevelType w:val="hybridMultilevel"/>
    <w:tmpl w:val="EE8C03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FFE245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8B"/>
    <w:rsid w:val="00022D7A"/>
    <w:rsid w:val="000274BA"/>
    <w:rsid w:val="0003000C"/>
    <w:rsid w:val="0003125F"/>
    <w:rsid w:val="0003301B"/>
    <w:rsid w:val="00036428"/>
    <w:rsid w:val="000419C7"/>
    <w:rsid w:val="00043A9F"/>
    <w:rsid w:val="00046004"/>
    <w:rsid w:val="0004755E"/>
    <w:rsid w:val="00047961"/>
    <w:rsid w:val="000558CD"/>
    <w:rsid w:val="0005667D"/>
    <w:rsid w:val="00060AC1"/>
    <w:rsid w:val="00061283"/>
    <w:rsid w:val="00061902"/>
    <w:rsid w:val="00064D8C"/>
    <w:rsid w:val="00066A14"/>
    <w:rsid w:val="00067AC1"/>
    <w:rsid w:val="0008239D"/>
    <w:rsid w:val="0008447C"/>
    <w:rsid w:val="00086958"/>
    <w:rsid w:val="0009652E"/>
    <w:rsid w:val="00097E6B"/>
    <w:rsid w:val="000A2D3E"/>
    <w:rsid w:val="000A3308"/>
    <w:rsid w:val="000A39C2"/>
    <w:rsid w:val="000A39ED"/>
    <w:rsid w:val="000A5C2A"/>
    <w:rsid w:val="000B0A44"/>
    <w:rsid w:val="000B1BC0"/>
    <w:rsid w:val="000B42DB"/>
    <w:rsid w:val="000B4D11"/>
    <w:rsid w:val="000B7006"/>
    <w:rsid w:val="000C2E2D"/>
    <w:rsid w:val="000C4E7F"/>
    <w:rsid w:val="000C715A"/>
    <w:rsid w:val="000D12E5"/>
    <w:rsid w:val="000D3812"/>
    <w:rsid w:val="000D597F"/>
    <w:rsid w:val="000E64BB"/>
    <w:rsid w:val="000E7CA9"/>
    <w:rsid w:val="000F0FDB"/>
    <w:rsid w:val="000F23D6"/>
    <w:rsid w:val="000F2450"/>
    <w:rsid w:val="000F3BC3"/>
    <w:rsid w:val="00103C1E"/>
    <w:rsid w:val="00104F94"/>
    <w:rsid w:val="0010539A"/>
    <w:rsid w:val="00106C03"/>
    <w:rsid w:val="0010730C"/>
    <w:rsid w:val="0010783A"/>
    <w:rsid w:val="00110C19"/>
    <w:rsid w:val="00110CDE"/>
    <w:rsid w:val="00121F80"/>
    <w:rsid w:val="00123762"/>
    <w:rsid w:val="0012720A"/>
    <w:rsid w:val="00130B6A"/>
    <w:rsid w:val="00131C88"/>
    <w:rsid w:val="00133015"/>
    <w:rsid w:val="00133BA4"/>
    <w:rsid w:val="00137D41"/>
    <w:rsid w:val="001500A8"/>
    <w:rsid w:val="001621DE"/>
    <w:rsid w:val="001622FC"/>
    <w:rsid w:val="00166A9C"/>
    <w:rsid w:val="001728B8"/>
    <w:rsid w:val="00173944"/>
    <w:rsid w:val="00181B85"/>
    <w:rsid w:val="00187062"/>
    <w:rsid w:val="00192A47"/>
    <w:rsid w:val="00193A6D"/>
    <w:rsid w:val="00193F0A"/>
    <w:rsid w:val="001959CD"/>
    <w:rsid w:val="001A0631"/>
    <w:rsid w:val="001A2DE0"/>
    <w:rsid w:val="001A6085"/>
    <w:rsid w:val="001B5954"/>
    <w:rsid w:val="001B7A97"/>
    <w:rsid w:val="001D0BC0"/>
    <w:rsid w:val="001D54D1"/>
    <w:rsid w:val="001D7E48"/>
    <w:rsid w:val="001E0A1A"/>
    <w:rsid w:val="001E12CC"/>
    <w:rsid w:val="001E4E89"/>
    <w:rsid w:val="001F1CA9"/>
    <w:rsid w:val="001F52E0"/>
    <w:rsid w:val="001F688D"/>
    <w:rsid w:val="0020336E"/>
    <w:rsid w:val="00204E16"/>
    <w:rsid w:val="002067BA"/>
    <w:rsid w:val="00213777"/>
    <w:rsid w:val="00214874"/>
    <w:rsid w:val="0022194F"/>
    <w:rsid w:val="00223128"/>
    <w:rsid w:val="002522E6"/>
    <w:rsid w:val="002548AE"/>
    <w:rsid w:val="0025741B"/>
    <w:rsid w:val="002626AE"/>
    <w:rsid w:val="0027158A"/>
    <w:rsid w:val="002728FE"/>
    <w:rsid w:val="00273B48"/>
    <w:rsid w:val="002762E0"/>
    <w:rsid w:val="00276AAE"/>
    <w:rsid w:val="0029113B"/>
    <w:rsid w:val="0029165C"/>
    <w:rsid w:val="00295986"/>
    <w:rsid w:val="002A1B38"/>
    <w:rsid w:val="002A2382"/>
    <w:rsid w:val="002A4D32"/>
    <w:rsid w:val="002A77A0"/>
    <w:rsid w:val="002B69A0"/>
    <w:rsid w:val="002C682A"/>
    <w:rsid w:val="002C6CFE"/>
    <w:rsid w:val="002C7EED"/>
    <w:rsid w:val="002D3BBE"/>
    <w:rsid w:val="002D4583"/>
    <w:rsid w:val="002D7793"/>
    <w:rsid w:val="002E05D5"/>
    <w:rsid w:val="002E5477"/>
    <w:rsid w:val="002E79BB"/>
    <w:rsid w:val="002F2DB1"/>
    <w:rsid w:val="00300F50"/>
    <w:rsid w:val="00303B6E"/>
    <w:rsid w:val="003061F4"/>
    <w:rsid w:val="00307661"/>
    <w:rsid w:val="00307B58"/>
    <w:rsid w:val="00317839"/>
    <w:rsid w:val="00320332"/>
    <w:rsid w:val="003243D4"/>
    <w:rsid w:val="00324B19"/>
    <w:rsid w:val="00334880"/>
    <w:rsid w:val="00337608"/>
    <w:rsid w:val="003455C7"/>
    <w:rsid w:val="00347639"/>
    <w:rsid w:val="00347BED"/>
    <w:rsid w:val="0035218A"/>
    <w:rsid w:val="00356154"/>
    <w:rsid w:val="003605FC"/>
    <w:rsid w:val="0038164D"/>
    <w:rsid w:val="00386EB4"/>
    <w:rsid w:val="00394688"/>
    <w:rsid w:val="00394C8A"/>
    <w:rsid w:val="003972D1"/>
    <w:rsid w:val="003A1BD0"/>
    <w:rsid w:val="003A49B8"/>
    <w:rsid w:val="003B0777"/>
    <w:rsid w:val="003B54E0"/>
    <w:rsid w:val="003C5E3E"/>
    <w:rsid w:val="003C5F7B"/>
    <w:rsid w:val="003C6215"/>
    <w:rsid w:val="003C7337"/>
    <w:rsid w:val="003D156A"/>
    <w:rsid w:val="003D358B"/>
    <w:rsid w:val="003D751F"/>
    <w:rsid w:val="003E1F90"/>
    <w:rsid w:val="003E6C2F"/>
    <w:rsid w:val="003E75C5"/>
    <w:rsid w:val="003F2E07"/>
    <w:rsid w:val="003F4365"/>
    <w:rsid w:val="003F47DF"/>
    <w:rsid w:val="003F5B98"/>
    <w:rsid w:val="00403CDC"/>
    <w:rsid w:val="00413302"/>
    <w:rsid w:val="00425441"/>
    <w:rsid w:val="0042578C"/>
    <w:rsid w:val="00435DBE"/>
    <w:rsid w:val="00437093"/>
    <w:rsid w:val="00445831"/>
    <w:rsid w:val="00447608"/>
    <w:rsid w:val="0044769C"/>
    <w:rsid w:val="00461248"/>
    <w:rsid w:val="00472F43"/>
    <w:rsid w:val="00473ABF"/>
    <w:rsid w:val="00481BAF"/>
    <w:rsid w:val="00482790"/>
    <w:rsid w:val="004868AF"/>
    <w:rsid w:val="0048714F"/>
    <w:rsid w:val="00491D26"/>
    <w:rsid w:val="004A0796"/>
    <w:rsid w:val="004B7C47"/>
    <w:rsid w:val="004C4981"/>
    <w:rsid w:val="004D2B8E"/>
    <w:rsid w:val="004D4467"/>
    <w:rsid w:val="004E200B"/>
    <w:rsid w:val="004E30C9"/>
    <w:rsid w:val="004E5BAB"/>
    <w:rsid w:val="004E5C6D"/>
    <w:rsid w:val="004E6031"/>
    <w:rsid w:val="004F05C7"/>
    <w:rsid w:val="004F115E"/>
    <w:rsid w:val="004F1678"/>
    <w:rsid w:val="004F746B"/>
    <w:rsid w:val="004F7BEB"/>
    <w:rsid w:val="004F7E81"/>
    <w:rsid w:val="00500FF9"/>
    <w:rsid w:val="00502AB4"/>
    <w:rsid w:val="0050602C"/>
    <w:rsid w:val="005076DD"/>
    <w:rsid w:val="0051468B"/>
    <w:rsid w:val="00515314"/>
    <w:rsid w:val="0051557E"/>
    <w:rsid w:val="00520263"/>
    <w:rsid w:val="00521002"/>
    <w:rsid w:val="00524649"/>
    <w:rsid w:val="00530108"/>
    <w:rsid w:val="005333F3"/>
    <w:rsid w:val="0053563F"/>
    <w:rsid w:val="00542849"/>
    <w:rsid w:val="00544339"/>
    <w:rsid w:val="00547200"/>
    <w:rsid w:val="005500A1"/>
    <w:rsid w:val="005502FF"/>
    <w:rsid w:val="00551DC2"/>
    <w:rsid w:val="00555096"/>
    <w:rsid w:val="00555FDC"/>
    <w:rsid w:val="005567EB"/>
    <w:rsid w:val="00560DD1"/>
    <w:rsid w:val="00566A55"/>
    <w:rsid w:val="00571D62"/>
    <w:rsid w:val="00572FDF"/>
    <w:rsid w:val="00577624"/>
    <w:rsid w:val="00584844"/>
    <w:rsid w:val="00585D28"/>
    <w:rsid w:val="00587000"/>
    <w:rsid w:val="00587694"/>
    <w:rsid w:val="00587F5A"/>
    <w:rsid w:val="00590964"/>
    <w:rsid w:val="005920AF"/>
    <w:rsid w:val="005A1DA2"/>
    <w:rsid w:val="005A3CF6"/>
    <w:rsid w:val="005A3E1A"/>
    <w:rsid w:val="005A6BDD"/>
    <w:rsid w:val="005A7A19"/>
    <w:rsid w:val="005B15B6"/>
    <w:rsid w:val="005B2460"/>
    <w:rsid w:val="005B2B47"/>
    <w:rsid w:val="005B4BC7"/>
    <w:rsid w:val="005B5ECA"/>
    <w:rsid w:val="005C11AB"/>
    <w:rsid w:val="005C14CD"/>
    <w:rsid w:val="005C2EE6"/>
    <w:rsid w:val="005C39C5"/>
    <w:rsid w:val="005C4C61"/>
    <w:rsid w:val="005C7A5C"/>
    <w:rsid w:val="005D1533"/>
    <w:rsid w:val="005D4590"/>
    <w:rsid w:val="005D5D7E"/>
    <w:rsid w:val="005D738B"/>
    <w:rsid w:val="005D7AFF"/>
    <w:rsid w:val="005E1E6A"/>
    <w:rsid w:val="005E3DDA"/>
    <w:rsid w:val="005E5C7B"/>
    <w:rsid w:val="005F3F63"/>
    <w:rsid w:val="00601F2D"/>
    <w:rsid w:val="00621D68"/>
    <w:rsid w:val="00621F72"/>
    <w:rsid w:val="00630060"/>
    <w:rsid w:val="00647B9B"/>
    <w:rsid w:val="00647D37"/>
    <w:rsid w:val="006505F9"/>
    <w:rsid w:val="006521A0"/>
    <w:rsid w:val="00653955"/>
    <w:rsid w:val="00655C3A"/>
    <w:rsid w:val="006561C8"/>
    <w:rsid w:val="00656526"/>
    <w:rsid w:val="00656904"/>
    <w:rsid w:val="0066115E"/>
    <w:rsid w:val="00661FA4"/>
    <w:rsid w:val="00670341"/>
    <w:rsid w:val="006704AB"/>
    <w:rsid w:val="00673620"/>
    <w:rsid w:val="00673EFD"/>
    <w:rsid w:val="0067623B"/>
    <w:rsid w:val="006868ED"/>
    <w:rsid w:val="00686DDA"/>
    <w:rsid w:val="006901D8"/>
    <w:rsid w:val="006A0BDF"/>
    <w:rsid w:val="006A24E9"/>
    <w:rsid w:val="006A759A"/>
    <w:rsid w:val="006B483F"/>
    <w:rsid w:val="006B497A"/>
    <w:rsid w:val="006B6925"/>
    <w:rsid w:val="006B7C8F"/>
    <w:rsid w:val="006C4B9B"/>
    <w:rsid w:val="006C744C"/>
    <w:rsid w:val="006D48CD"/>
    <w:rsid w:val="006E0518"/>
    <w:rsid w:val="006E0EC6"/>
    <w:rsid w:val="006E1F06"/>
    <w:rsid w:val="006E3267"/>
    <w:rsid w:val="006E5B02"/>
    <w:rsid w:val="006F0D3C"/>
    <w:rsid w:val="006F4637"/>
    <w:rsid w:val="007010DF"/>
    <w:rsid w:val="007037C2"/>
    <w:rsid w:val="00705472"/>
    <w:rsid w:val="00706011"/>
    <w:rsid w:val="007066EA"/>
    <w:rsid w:val="00706A5C"/>
    <w:rsid w:val="0071246A"/>
    <w:rsid w:val="007127FE"/>
    <w:rsid w:val="00714AD9"/>
    <w:rsid w:val="00715631"/>
    <w:rsid w:val="00720C22"/>
    <w:rsid w:val="0072352F"/>
    <w:rsid w:val="007247E4"/>
    <w:rsid w:val="00726040"/>
    <w:rsid w:val="00732F12"/>
    <w:rsid w:val="00740250"/>
    <w:rsid w:val="00746652"/>
    <w:rsid w:val="007522F0"/>
    <w:rsid w:val="007526B7"/>
    <w:rsid w:val="007535A5"/>
    <w:rsid w:val="0075508F"/>
    <w:rsid w:val="00760DB4"/>
    <w:rsid w:val="00762831"/>
    <w:rsid w:val="00762AA9"/>
    <w:rsid w:val="00762FD5"/>
    <w:rsid w:val="007705A5"/>
    <w:rsid w:val="007755FA"/>
    <w:rsid w:val="00787DA1"/>
    <w:rsid w:val="00790D47"/>
    <w:rsid w:val="0079106A"/>
    <w:rsid w:val="007920B1"/>
    <w:rsid w:val="0079255D"/>
    <w:rsid w:val="007927AB"/>
    <w:rsid w:val="00792B48"/>
    <w:rsid w:val="00792EC1"/>
    <w:rsid w:val="00794F8B"/>
    <w:rsid w:val="007976D8"/>
    <w:rsid w:val="007A4A32"/>
    <w:rsid w:val="007A6600"/>
    <w:rsid w:val="007B0AA6"/>
    <w:rsid w:val="007B25F5"/>
    <w:rsid w:val="007B5C78"/>
    <w:rsid w:val="007B60C9"/>
    <w:rsid w:val="007C02D1"/>
    <w:rsid w:val="007C3373"/>
    <w:rsid w:val="007C4E74"/>
    <w:rsid w:val="007D04D1"/>
    <w:rsid w:val="007D1DF2"/>
    <w:rsid w:val="007D3D78"/>
    <w:rsid w:val="007D5F35"/>
    <w:rsid w:val="007D7FEF"/>
    <w:rsid w:val="007E0631"/>
    <w:rsid w:val="007E16FE"/>
    <w:rsid w:val="007E2E6E"/>
    <w:rsid w:val="007F2450"/>
    <w:rsid w:val="007F3374"/>
    <w:rsid w:val="007F39BC"/>
    <w:rsid w:val="00800D8E"/>
    <w:rsid w:val="00803616"/>
    <w:rsid w:val="00805C06"/>
    <w:rsid w:val="00806E40"/>
    <w:rsid w:val="00817542"/>
    <w:rsid w:val="00823CDE"/>
    <w:rsid w:val="00824E4F"/>
    <w:rsid w:val="00826475"/>
    <w:rsid w:val="00826932"/>
    <w:rsid w:val="008304F9"/>
    <w:rsid w:val="00835898"/>
    <w:rsid w:val="008505C9"/>
    <w:rsid w:val="00857B81"/>
    <w:rsid w:val="00862CB1"/>
    <w:rsid w:val="00867D29"/>
    <w:rsid w:val="00874323"/>
    <w:rsid w:val="00874AB5"/>
    <w:rsid w:val="00887E2C"/>
    <w:rsid w:val="00894DBA"/>
    <w:rsid w:val="008A00CE"/>
    <w:rsid w:val="008A1DA0"/>
    <w:rsid w:val="008A3F67"/>
    <w:rsid w:val="008A44F0"/>
    <w:rsid w:val="008A5836"/>
    <w:rsid w:val="008B3FA4"/>
    <w:rsid w:val="008C19F3"/>
    <w:rsid w:val="008C2AFE"/>
    <w:rsid w:val="008D3AE6"/>
    <w:rsid w:val="008E6020"/>
    <w:rsid w:val="008E6F6D"/>
    <w:rsid w:val="008F196B"/>
    <w:rsid w:val="008F440E"/>
    <w:rsid w:val="008F7DC8"/>
    <w:rsid w:val="0090216C"/>
    <w:rsid w:val="00904063"/>
    <w:rsid w:val="00904FD2"/>
    <w:rsid w:val="00907B04"/>
    <w:rsid w:val="0091162A"/>
    <w:rsid w:val="0091794B"/>
    <w:rsid w:val="0092246E"/>
    <w:rsid w:val="00926463"/>
    <w:rsid w:val="00930826"/>
    <w:rsid w:val="00932FCE"/>
    <w:rsid w:val="009347AA"/>
    <w:rsid w:val="009431D2"/>
    <w:rsid w:val="00943A25"/>
    <w:rsid w:val="00944653"/>
    <w:rsid w:val="00951C70"/>
    <w:rsid w:val="00953840"/>
    <w:rsid w:val="00955428"/>
    <w:rsid w:val="00967F34"/>
    <w:rsid w:val="009720BE"/>
    <w:rsid w:val="009724A5"/>
    <w:rsid w:val="00990C32"/>
    <w:rsid w:val="009911DB"/>
    <w:rsid w:val="0099205F"/>
    <w:rsid w:val="009961BC"/>
    <w:rsid w:val="00996503"/>
    <w:rsid w:val="00996629"/>
    <w:rsid w:val="009975B9"/>
    <w:rsid w:val="0099783E"/>
    <w:rsid w:val="009A0AC0"/>
    <w:rsid w:val="009A3A0A"/>
    <w:rsid w:val="009A6E99"/>
    <w:rsid w:val="009B0A10"/>
    <w:rsid w:val="009B13DE"/>
    <w:rsid w:val="009B197C"/>
    <w:rsid w:val="009B1A61"/>
    <w:rsid w:val="009C00FE"/>
    <w:rsid w:val="009C08FD"/>
    <w:rsid w:val="009C393D"/>
    <w:rsid w:val="009C5CA8"/>
    <w:rsid w:val="009D3283"/>
    <w:rsid w:val="009D3740"/>
    <w:rsid w:val="009D3B30"/>
    <w:rsid w:val="009D49A5"/>
    <w:rsid w:val="009D5399"/>
    <w:rsid w:val="009E307A"/>
    <w:rsid w:val="009E3312"/>
    <w:rsid w:val="009E3655"/>
    <w:rsid w:val="009E51E9"/>
    <w:rsid w:val="009F0680"/>
    <w:rsid w:val="009F17C2"/>
    <w:rsid w:val="009F19AA"/>
    <w:rsid w:val="00A02A4A"/>
    <w:rsid w:val="00A05B0A"/>
    <w:rsid w:val="00A062D5"/>
    <w:rsid w:val="00A076CB"/>
    <w:rsid w:val="00A203B4"/>
    <w:rsid w:val="00A2146A"/>
    <w:rsid w:val="00A23BAB"/>
    <w:rsid w:val="00A259BD"/>
    <w:rsid w:val="00A3513A"/>
    <w:rsid w:val="00A35D08"/>
    <w:rsid w:val="00A43BE6"/>
    <w:rsid w:val="00A46E79"/>
    <w:rsid w:val="00A505D5"/>
    <w:rsid w:val="00A53523"/>
    <w:rsid w:val="00A561D6"/>
    <w:rsid w:val="00A6405C"/>
    <w:rsid w:val="00A66715"/>
    <w:rsid w:val="00A700F6"/>
    <w:rsid w:val="00A706F6"/>
    <w:rsid w:val="00A74564"/>
    <w:rsid w:val="00A7599D"/>
    <w:rsid w:val="00A767DE"/>
    <w:rsid w:val="00A769D1"/>
    <w:rsid w:val="00A8282A"/>
    <w:rsid w:val="00A8378B"/>
    <w:rsid w:val="00A84EB7"/>
    <w:rsid w:val="00A85E50"/>
    <w:rsid w:val="00A94384"/>
    <w:rsid w:val="00A95D62"/>
    <w:rsid w:val="00AB0115"/>
    <w:rsid w:val="00AB0E4B"/>
    <w:rsid w:val="00AB10E6"/>
    <w:rsid w:val="00AB2941"/>
    <w:rsid w:val="00AB6884"/>
    <w:rsid w:val="00AC26CA"/>
    <w:rsid w:val="00AC2DBC"/>
    <w:rsid w:val="00AE1036"/>
    <w:rsid w:val="00AE7DF8"/>
    <w:rsid w:val="00AF0304"/>
    <w:rsid w:val="00AF10AF"/>
    <w:rsid w:val="00AF39C0"/>
    <w:rsid w:val="00AF4AC6"/>
    <w:rsid w:val="00AF7C0D"/>
    <w:rsid w:val="00B0170C"/>
    <w:rsid w:val="00B0513D"/>
    <w:rsid w:val="00B06EAB"/>
    <w:rsid w:val="00B07467"/>
    <w:rsid w:val="00B10525"/>
    <w:rsid w:val="00B118E3"/>
    <w:rsid w:val="00B12516"/>
    <w:rsid w:val="00B12BD8"/>
    <w:rsid w:val="00B160B3"/>
    <w:rsid w:val="00B21838"/>
    <w:rsid w:val="00B25B43"/>
    <w:rsid w:val="00B25B73"/>
    <w:rsid w:val="00B30E9B"/>
    <w:rsid w:val="00B32130"/>
    <w:rsid w:val="00B34E93"/>
    <w:rsid w:val="00B36D12"/>
    <w:rsid w:val="00B36DEA"/>
    <w:rsid w:val="00B37C27"/>
    <w:rsid w:val="00B40841"/>
    <w:rsid w:val="00B4346A"/>
    <w:rsid w:val="00B51ECB"/>
    <w:rsid w:val="00B52F5D"/>
    <w:rsid w:val="00B6105E"/>
    <w:rsid w:val="00B62379"/>
    <w:rsid w:val="00B66D6C"/>
    <w:rsid w:val="00B66FFF"/>
    <w:rsid w:val="00B72740"/>
    <w:rsid w:val="00B8039C"/>
    <w:rsid w:val="00B829C3"/>
    <w:rsid w:val="00B854FB"/>
    <w:rsid w:val="00B85EC2"/>
    <w:rsid w:val="00B900A6"/>
    <w:rsid w:val="00B9061B"/>
    <w:rsid w:val="00B91929"/>
    <w:rsid w:val="00BA3DAB"/>
    <w:rsid w:val="00BA4548"/>
    <w:rsid w:val="00BA50F2"/>
    <w:rsid w:val="00BA61C6"/>
    <w:rsid w:val="00BA64F5"/>
    <w:rsid w:val="00BA70AA"/>
    <w:rsid w:val="00BB488B"/>
    <w:rsid w:val="00BB5062"/>
    <w:rsid w:val="00BB54A3"/>
    <w:rsid w:val="00BB5537"/>
    <w:rsid w:val="00BC3087"/>
    <w:rsid w:val="00BC45AD"/>
    <w:rsid w:val="00BC46AC"/>
    <w:rsid w:val="00BD2A80"/>
    <w:rsid w:val="00BD2AF0"/>
    <w:rsid w:val="00BD3D81"/>
    <w:rsid w:val="00BD433C"/>
    <w:rsid w:val="00BF0B11"/>
    <w:rsid w:val="00BF1F2E"/>
    <w:rsid w:val="00BF6751"/>
    <w:rsid w:val="00BF7B7C"/>
    <w:rsid w:val="00C04327"/>
    <w:rsid w:val="00C10B8B"/>
    <w:rsid w:val="00C11480"/>
    <w:rsid w:val="00C1357C"/>
    <w:rsid w:val="00C15F8B"/>
    <w:rsid w:val="00C163F9"/>
    <w:rsid w:val="00C173C4"/>
    <w:rsid w:val="00C178DD"/>
    <w:rsid w:val="00C20E98"/>
    <w:rsid w:val="00C228E8"/>
    <w:rsid w:val="00C24474"/>
    <w:rsid w:val="00C25224"/>
    <w:rsid w:val="00C31F0C"/>
    <w:rsid w:val="00C33C00"/>
    <w:rsid w:val="00C36263"/>
    <w:rsid w:val="00C42F6F"/>
    <w:rsid w:val="00C44839"/>
    <w:rsid w:val="00C47907"/>
    <w:rsid w:val="00C5376C"/>
    <w:rsid w:val="00C55BAC"/>
    <w:rsid w:val="00C56455"/>
    <w:rsid w:val="00C6006C"/>
    <w:rsid w:val="00C6182B"/>
    <w:rsid w:val="00C63B58"/>
    <w:rsid w:val="00C6766C"/>
    <w:rsid w:val="00C71319"/>
    <w:rsid w:val="00C72222"/>
    <w:rsid w:val="00C8182F"/>
    <w:rsid w:val="00C82996"/>
    <w:rsid w:val="00C84EDA"/>
    <w:rsid w:val="00C96BE2"/>
    <w:rsid w:val="00CA0625"/>
    <w:rsid w:val="00CA179E"/>
    <w:rsid w:val="00CA78BE"/>
    <w:rsid w:val="00CC1964"/>
    <w:rsid w:val="00CC213D"/>
    <w:rsid w:val="00CC7E4B"/>
    <w:rsid w:val="00CD18D6"/>
    <w:rsid w:val="00CD1EF8"/>
    <w:rsid w:val="00CD2319"/>
    <w:rsid w:val="00CD2EEA"/>
    <w:rsid w:val="00CE6DD0"/>
    <w:rsid w:val="00CF2A7A"/>
    <w:rsid w:val="00CF41D9"/>
    <w:rsid w:val="00CF55B5"/>
    <w:rsid w:val="00D32C77"/>
    <w:rsid w:val="00D43D55"/>
    <w:rsid w:val="00D43E4F"/>
    <w:rsid w:val="00D4471C"/>
    <w:rsid w:val="00D4520E"/>
    <w:rsid w:val="00D4744D"/>
    <w:rsid w:val="00D477CD"/>
    <w:rsid w:val="00D5160A"/>
    <w:rsid w:val="00D56759"/>
    <w:rsid w:val="00D6051D"/>
    <w:rsid w:val="00D60ABA"/>
    <w:rsid w:val="00D64B3C"/>
    <w:rsid w:val="00D939B7"/>
    <w:rsid w:val="00D9406E"/>
    <w:rsid w:val="00D95574"/>
    <w:rsid w:val="00D979D8"/>
    <w:rsid w:val="00DA1279"/>
    <w:rsid w:val="00DA2D97"/>
    <w:rsid w:val="00DC519C"/>
    <w:rsid w:val="00DD0C0A"/>
    <w:rsid w:val="00DD3191"/>
    <w:rsid w:val="00DD5634"/>
    <w:rsid w:val="00DD621A"/>
    <w:rsid w:val="00DD7374"/>
    <w:rsid w:val="00DE0DD4"/>
    <w:rsid w:val="00DF5709"/>
    <w:rsid w:val="00E03181"/>
    <w:rsid w:val="00E034E7"/>
    <w:rsid w:val="00E10F0D"/>
    <w:rsid w:val="00E125C4"/>
    <w:rsid w:val="00E1532C"/>
    <w:rsid w:val="00E2173C"/>
    <w:rsid w:val="00E346F1"/>
    <w:rsid w:val="00E362B7"/>
    <w:rsid w:val="00E46CEE"/>
    <w:rsid w:val="00E50547"/>
    <w:rsid w:val="00E50DBB"/>
    <w:rsid w:val="00E5600D"/>
    <w:rsid w:val="00E560B0"/>
    <w:rsid w:val="00E56844"/>
    <w:rsid w:val="00E63799"/>
    <w:rsid w:val="00E74ABB"/>
    <w:rsid w:val="00E8143F"/>
    <w:rsid w:val="00E87134"/>
    <w:rsid w:val="00E92501"/>
    <w:rsid w:val="00E94956"/>
    <w:rsid w:val="00E94FA0"/>
    <w:rsid w:val="00E955B7"/>
    <w:rsid w:val="00E963C8"/>
    <w:rsid w:val="00EA3984"/>
    <w:rsid w:val="00EB00C5"/>
    <w:rsid w:val="00EB7B9A"/>
    <w:rsid w:val="00EC1CE0"/>
    <w:rsid w:val="00EC6F08"/>
    <w:rsid w:val="00ED361C"/>
    <w:rsid w:val="00ED6C85"/>
    <w:rsid w:val="00EE2ECB"/>
    <w:rsid w:val="00EE58D6"/>
    <w:rsid w:val="00EE7BCC"/>
    <w:rsid w:val="00EF7074"/>
    <w:rsid w:val="00F019D2"/>
    <w:rsid w:val="00F060FC"/>
    <w:rsid w:val="00F10BA0"/>
    <w:rsid w:val="00F1673F"/>
    <w:rsid w:val="00F16762"/>
    <w:rsid w:val="00F20B59"/>
    <w:rsid w:val="00F21E5B"/>
    <w:rsid w:val="00F255E9"/>
    <w:rsid w:val="00F27AA6"/>
    <w:rsid w:val="00F32D30"/>
    <w:rsid w:val="00F337FF"/>
    <w:rsid w:val="00F4290A"/>
    <w:rsid w:val="00F42E03"/>
    <w:rsid w:val="00F51B05"/>
    <w:rsid w:val="00F5400C"/>
    <w:rsid w:val="00F60054"/>
    <w:rsid w:val="00F63463"/>
    <w:rsid w:val="00F71211"/>
    <w:rsid w:val="00F71DDF"/>
    <w:rsid w:val="00F761A9"/>
    <w:rsid w:val="00F765A8"/>
    <w:rsid w:val="00F81F89"/>
    <w:rsid w:val="00F8657C"/>
    <w:rsid w:val="00F90642"/>
    <w:rsid w:val="00F93D58"/>
    <w:rsid w:val="00F942FB"/>
    <w:rsid w:val="00FA3D57"/>
    <w:rsid w:val="00FC03EF"/>
    <w:rsid w:val="00FC6EEB"/>
    <w:rsid w:val="00FD242E"/>
    <w:rsid w:val="00FE46B5"/>
    <w:rsid w:val="00FF2079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2C48D"/>
  <w15:docId w15:val="{410DA882-D001-4804-8BCE-A8D2D2D2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11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4F8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styleId="Hyperlink">
    <w:name w:val="Hyperlink"/>
    <w:basedOn w:val="DefaultParagraphFont"/>
    <w:uiPriority w:val="99"/>
    <w:rsid w:val="00794F8B"/>
    <w:rPr>
      <w:color w:val="0000FF"/>
      <w:u w:val="single"/>
    </w:rPr>
  </w:style>
  <w:style w:type="paragraph" w:styleId="Footer">
    <w:name w:val="footer"/>
    <w:basedOn w:val="Normal"/>
    <w:rsid w:val="00C15F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5F8B"/>
  </w:style>
  <w:style w:type="paragraph" w:styleId="BalloonText">
    <w:name w:val="Balloon Text"/>
    <w:basedOn w:val="Normal"/>
    <w:semiHidden/>
    <w:rsid w:val="00166A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11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14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1480"/>
    <w:rPr>
      <w:b/>
      <w:bCs/>
    </w:rPr>
  </w:style>
  <w:style w:type="paragraph" w:styleId="Header">
    <w:name w:val="header"/>
    <w:basedOn w:val="Normal"/>
    <w:link w:val="HeaderChar"/>
    <w:rsid w:val="00C55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5BAC"/>
    <w:rPr>
      <w:sz w:val="24"/>
      <w:szCs w:val="24"/>
    </w:rPr>
  </w:style>
  <w:style w:type="paragraph" w:customStyle="1" w:styleId="Style0">
    <w:name w:val="Style0"/>
    <w:rsid w:val="00E346F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B0777"/>
    <w:pPr>
      <w:ind w:left="720"/>
    </w:pPr>
  </w:style>
  <w:style w:type="paragraph" w:styleId="NoSpacing">
    <w:name w:val="No Spacing"/>
    <w:uiPriority w:val="1"/>
    <w:qFormat/>
    <w:rsid w:val="002C7EED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C2E2D"/>
    <w:pPr>
      <w:spacing w:after="180"/>
    </w:pPr>
  </w:style>
  <w:style w:type="character" w:styleId="FollowedHyperlink">
    <w:name w:val="FollowedHyperlink"/>
    <w:basedOn w:val="DefaultParagraphFont"/>
    <w:rsid w:val="003243D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91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5E5C7B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F71DDF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EndnoteText">
    <w:name w:val="endnote text"/>
    <w:basedOn w:val="Normal"/>
    <w:link w:val="EndnoteTextChar"/>
    <w:semiHidden/>
    <w:unhideWhenUsed/>
    <w:rsid w:val="00C618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182B"/>
  </w:style>
  <w:style w:type="character" w:styleId="EndnoteReference">
    <w:name w:val="endnote reference"/>
    <w:basedOn w:val="DefaultParagraphFont"/>
    <w:semiHidden/>
    <w:unhideWhenUsed/>
    <w:rsid w:val="00C6182B"/>
    <w:rPr>
      <w:vertAlign w:val="superscript"/>
    </w:rPr>
  </w:style>
  <w:style w:type="paragraph" w:styleId="Revision">
    <w:name w:val="Revision"/>
    <w:hidden/>
    <w:uiPriority w:val="99"/>
    <w:semiHidden/>
    <w:rsid w:val="00E5684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665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7E06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0631"/>
  </w:style>
  <w:style w:type="character" w:styleId="FootnoteReference">
    <w:name w:val="footnote reference"/>
    <w:basedOn w:val="DefaultParagraphFont"/>
    <w:semiHidden/>
    <w:unhideWhenUsed/>
    <w:rsid w:val="007E0631"/>
    <w:rPr>
      <w:vertAlign w:val="superscript"/>
    </w:rPr>
  </w:style>
  <w:style w:type="paragraph" w:customStyle="1" w:styleId="Default">
    <w:name w:val="Default"/>
    <w:rsid w:val="002A77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627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5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72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8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0@cdc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wward@cdc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cinda.P.Dalzell@censu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himizu@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9DAB-4C82-4D5F-8A6F-C203FEF6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B</vt:lpstr>
    </vt:vector>
  </TitlesOfParts>
  <Company>ITSO</Company>
  <LinksUpToDate>false</LinksUpToDate>
  <CharactersWithSpaces>14805</CharactersWithSpaces>
  <SharedDoc>false</SharedDoc>
  <HLinks>
    <vt:vector size="24" baseType="variant"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1245217</vt:i4>
      </vt:variant>
      <vt:variant>
        <vt:i4>6</vt:i4>
      </vt:variant>
      <vt:variant>
        <vt:i4>0</vt:i4>
      </vt:variant>
      <vt:variant>
        <vt:i4>5</vt:i4>
      </vt:variant>
      <vt:variant>
        <vt:lpwstr>mailto:joseph.john.huesman@census.gov</vt:lpwstr>
      </vt:variant>
      <vt:variant>
        <vt:lpwstr/>
      </vt:variant>
      <vt:variant>
        <vt:i4>1900657</vt:i4>
      </vt:variant>
      <vt:variant>
        <vt:i4>3</vt:i4>
      </vt:variant>
      <vt:variant>
        <vt:i4>0</vt:i4>
      </vt:variant>
      <vt:variant>
        <vt:i4>5</vt:i4>
      </vt:variant>
      <vt:variant>
        <vt:lpwstr>mailto:Ims1@cdc.gov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mailto:daw0@cdc.gov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B</dc:title>
  <dc:creator>MJH5</dc:creator>
  <cp:lastModifiedBy>King, Summer (CDC/DDPHSS/NCHS/OD)</cp:lastModifiedBy>
  <cp:revision>8</cp:revision>
  <cp:lastPrinted>2020-03-16T20:28:00Z</cp:lastPrinted>
  <dcterms:created xsi:type="dcterms:W3CDTF">2020-03-17T21:34:00Z</dcterms:created>
  <dcterms:modified xsi:type="dcterms:W3CDTF">2020-03-24T18:34:00Z</dcterms:modified>
</cp:coreProperties>
</file>