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08" w:rsidP="00D16BBC" w:rsidRDefault="00873808" w14:paraId="2ABCA81E" w14:textId="77777777">
      <w:pPr>
        <w:tabs>
          <w:tab w:val="center" w:pos="4680"/>
        </w:tabs>
        <w:jc w:val="center"/>
        <w:rPr>
          <w:b/>
          <w:bCs/>
          <w:sz w:val="32"/>
          <w:szCs w:val="32"/>
        </w:rPr>
      </w:pPr>
      <w:r>
        <w:rPr>
          <w:b/>
          <w:bCs/>
          <w:sz w:val="32"/>
          <w:szCs w:val="32"/>
        </w:rPr>
        <w:t>Supporting Statement A</w:t>
      </w:r>
    </w:p>
    <w:p w:rsidR="00873808" w:rsidP="00D16BBC" w:rsidRDefault="00873808" w14:paraId="228A4218" w14:textId="77777777">
      <w:pPr>
        <w:tabs>
          <w:tab w:val="center" w:pos="4680"/>
        </w:tabs>
        <w:jc w:val="center"/>
        <w:rPr>
          <w:b/>
          <w:bCs/>
          <w:sz w:val="32"/>
          <w:szCs w:val="32"/>
        </w:rPr>
      </w:pPr>
    </w:p>
    <w:p w:rsidR="00873808" w:rsidP="00D16BBC" w:rsidRDefault="00B143EA" w14:paraId="2D16593A" w14:textId="1BBDEA18">
      <w:pPr>
        <w:tabs>
          <w:tab w:val="center" w:pos="4680"/>
        </w:tabs>
        <w:jc w:val="center"/>
        <w:rPr>
          <w:b/>
          <w:bCs/>
          <w:sz w:val="32"/>
          <w:szCs w:val="32"/>
        </w:rPr>
      </w:pPr>
      <w:r w:rsidRPr="00B143EA">
        <w:rPr>
          <w:b/>
          <w:bCs/>
          <w:sz w:val="32"/>
          <w:szCs w:val="32"/>
        </w:rPr>
        <w:t xml:space="preserve">National Practitioner Data Bank (NPDB) </w:t>
      </w:r>
      <w:r w:rsidR="00DE6104">
        <w:rPr>
          <w:b/>
          <w:bCs/>
          <w:sz w:val="32"/>
          <w:szCs w:val="32"/>
        </w:rPr>
        <w:t xml:space="preserve"> </w:t>
      </w:r>
      <w:r w:rsidRPr="00B143EA">
        <w:rPr>
          <w:b/>
          <w:bCs/>
          <w:sz w:val="32"/>
          <w:szCs w:val="32"/>
        </w:rPr>
        <w:t xml:space="preserve">Attestation of Reports by Hospitals, Medical Malpractice Payers, Health Plans, Health </w:t>
      </w:r>
      <w:r w:rsidR="00F610BB">
        <w:rPr>
          <w:b/>
          <w:bCs/>
          <w:sz w:val="32"/>
          <w:szCs w:val="32"/>
        </w:rPr>
        <w:t>Centers</w:t>
      </w:r>
      <w:r w:rsidR="00A32238">
        <w:rPr>
          <w:b/>
          <w:bCs/>
          <w:sz w:val="32"/>
          <w:szCs w:val="32"/>
        </w:rPr>
        <w:t>,</w:t>
      </w:r>
      <w:r w:rsidR="001160B6">
        <w:rPr>
          <w:b/>
          <w:bCs/>
          <w:sz w:val="32"/>
          <w:szCs w:val="32"/>
        </w:rPr>
        <w:t xml:space="preserve"> and</w:t>
      </w:r>
      <w:r w:rsidR="00166FEE">
        <w:rPr>
          <w:b/>
          <w:bCs/>
          <w:sz w:val="32"/>
          <w:szCs w:val="32"/>
        </w:rPr>
        <w:t xml:space="preserve"> </w:t>
      </w:r>
      <w:r w:rsidR="009E5A9C">
        <w:rPr>
          <w:b/>
          <w:bCs/>
          <w:sz w:val="32"/>
          <w:szCs w:val="32"/>
        </w:rPr>
        <w:t>O</w:t>
      </w:r>
      <w:r w:rsidR="00166FEE">
        <w:rPr>
          <w:b/>
          <w:bCs/>
          <w:sz w:val="32"/>
          <w:szCs w:val="32"/>
        </w:rPr>
        <w:t>ther</w:t>
      </w:r>
      <w:r w:rsidR="001160B6">
        <w:rPr>
          <w:b/>
          <w:bCs/>
          <w:sz w:val="32"/>
          <w:szCs w:val="32"/>
        </w:rPr>
        <w:t xml:space="preserve"> </w:t>
      </w:r>
      <w:r w:rsidRPr="00AE78E6" w:rsidR="00111C87">
        <w:rPr>
          <w:b/>
          <w:bCs/>
          <w:sz w:val="32"/>
          <w:szCs w:val="32"/>
        </w:rPr>
        <w:t>Eligible</w:t>
      </w:r>
      <w:r w:rsidR="00EF4FDA">
        <w:rPr>
          <w:b/>
          <w:bCs/>
          <w:sz w:val="32"/>
          <w:szCs w:val="32"/>
        </w:rPr>
        <w:t xml:space="preserve"> Entities</w:t>
      </w:r>
    </w:p>
    <w:p w:rsidR="00873808" w:rsidP="00D16BBC" w:rsidRDefault="0084508D" w14:paraId="6FF28CAF" w14:textId="77777777">
      <w:pPr>
        <w:tabs>
          <w:tab w:val="center" w:pos="4680"/>
        </w:tabs>
        <w:jc w:val="center"/>
        <w:rPr>
          <w:b/>
          <w:bCs/>
          <w:sz w:val="32"/>
          <w:szCs w:val="32"/>
        </w:rPr>
      </w:pPr>
      <w:r>
        <w:rPr>
          <w:b/>
          <w:bCs/>
          <w:sz w:val="32"/>
          <w:szCs w:val="32"/>
        </w:rPr>
        <w:t xml:space="preserve"> </w:t>
      </w:r>
    </w:p>
    <w:p w:rsidR="00873808" w:rsidP="00D16BBC" w:rsidRDefault="00873808" w14:paraId="4D69DCFD" w14:textId="35F7FB75">
      <w:pPr>
        <w:tabs>
          <w:tab w:val="center" w:pos="4680"/>
        </w:tabs>
        <w:jc w:val="center"/>
        <w:rPr>
          <w:b/>
          <w:bCs/>
          <w:sz w:val="32"/>
          <w:szCs w:val="32"/>
        </w:rPr>
      </w:pPr>
      <w:r>
        <w:rPr>
          <w:b/>
          <w:bCs/>
          <w:sz w:val="32"/>
          <w:szCs w:val="32"/>
        </w:rPr>
        <w:t>OMB Control No</w:t>
      </w:r>
      <w:r w:rsidR="00B7053A">
        <w:rPr>
          <w:b/>
          <w:bCs/>
          <w:sz w:val="32"/>
          <w:szCs w:val="32"/>
        </w:rPr>
        <w:t xml:space="preserve">.  </w:t>
      </w:r>
      <w:r w:rsidRPr="00B143EA">
        <w:rPr>
          <w:b/>
          <w:bCs/>
          <w:sz w:val="32"/>
          <w:szCs w:val="32"/>
        </w:rPr>
        <w:t>09</w:t>
      </w:r>
      <w:r w:rsidR="00B712BF">
        <w:rPr>
          <w:b/>
          <w:bCs/>
          <w:sz w:val="32"/>
          <w:szCs w:val="32"/>
        </w:rPr>
        <w:t>06</w:t>
      </w:r>
      <w:r w:rsidRPr="00B143EA">
        <w:rPr>
          <w:b/>
          <w:bCs/>
          <w:sz w:val="32"/>
          <w:szCs w:val="32"/>
        </w:rPr>
        <w:t>-</w:t>
      </w:r>
      <w:r w:rsidR="008F409A">
        <w:rPr>
          <w:b/>
          <w:bCs/>
          <w:sz w:val="32"/>
          <w:szCs w:val="32"/>
        </w:rPr>
        <w:t>0028</w:t>
      </w:r>
    </w:p>
    <w:p w:rsidR="00021E71" w:rsidP="00D16BBC" w:rsidRDefault="00021E71" w14:paraId="2B90E135" w14:textId="76E93C01">
      <w:pPr>
        <w:tabs>
          <w:tab w:val="center" w:pos="4680"/>
        </w:tabs>
        <w:jc w:val="center"/>
        <w:rPr>
          <w:b/>
          <w:bCs/>
          <w:sz w:val="32"/>
          <w:szCs w:val="32"/>
        </w:rPr>
      </w:pPr>
      <w:r>
        <w:rPr>
          <w:b/>
          <w:bCs/>
          <w:sz w:val="32"/>
          <w:szCs w:val="32"/>
        </w:rPr>
        <w:t>Revision</w:t>
      </w:r>
    </w:p>
    <w:p w:rsidRPr="00BA1A0C" w:rsidR="00873808" w:rsidP="00D16BBC" w:rsidRDefault="00873808" w14:paraId="714FA45B" w14:textId="77777777">
      <w:pPr>
        <w:tabs>
          <w:tab w:val="center" w:pos="4680"/>
        </w:tabs>
        <w:rPr>
          <w:b/>
          <w:bCs/>
          <w:sz w:val="32"/>
          <w:szCs w:val="32"/>
        </w:rPr>
      </w:pPr>
    </w:p>
    <w:p w:rsidR="00873808" w:rsidP="00D16BBC" w:rsidRDefault="00873808" w14:paraId="17613E15" w14:textId="73D99EEA">
      <w:pPr>
        <w:rPr>
          <w:sz w:val="24"/>
        </w:rPr>
      </w:pPr>
      <w:r>
        <w:rPr>
          <w:b/>
          <w:sz w:val="24"/>
        </w:rPr>
        <w:t>Terms of Clearance</w:t>
      </w:r>
      <w:r w:rsidRPr="00BA1A0C">
        <w:rPr>
          <w:b/>
          <w:sz w:val="24"/>
        </w:rPr>
        <w:t>:</w:t>
      </w:r>
      <w:r>
        <w:rPr>
          <w:b/>
          <w:sz w:val="24"/>
        </w:rPr>
        <w:t xml:space="preserve"> </w:t>
      </w:r>
      <w:r w:rsidR="0017126C">
        <w:rPr>
          <w:b/>
          <w:sz w:val="24"/>
        </w:rPr>
        <w:t xml:space="preserve"> </w:t>
      </w:r>
      <w:r w:rsidR="008F409A">
        <w:rPr>
          <w:sz w:val="24"/>
        </w:rPr>
        <w:t>Re</w:t>
      </w:r>
      <w:r w:rsidR="009A4DE5">
        <w:rPr>
          <w:sz w:val="24"/>
        </w:rPr>
        <w:t>vision</w:t>
      </w:r>
    </w:p>
    <w:p w:rsidRPr="00DC31E2" w:rsidR="00873808" w:rsidP="00D16BBC" w:rsidRDefault="00873808" w14:paraId="08976B66" w14:textId="77777777">
      <w:pPr>
        <w:rPr>
          <w:sz w:val="24"/>
        </w:rPr>
      </w:pPr>
    </w:p>
    <w:p w:rsidR="00873808" w:rsidP="00D16BBC" w:rsidRDefault="00754B18" w14:paraId="33FFCB46" w14:textId="77777777">
      <w:pPr>
        <w:rPr>
          <w:b/>
          <w:bCs/>
          <w:sz w:val="24"/>
        </w:rPr>
      </w:pPr>
      <w:r>
        <w:rPr>
          <w:b/>
          <w:bCs/>
          <w:sz w:val="24"/>
        </w:rPr>
        <w:t>A</w:t>
      </w:r>
      <w:r w:rsidR="00873808">
        <w:rPr>
          <w:b/>
          <w:bCs/>
          <w:sz w:val="24"/>
        </w:rPr>
        <w:t>.</w:t>
      </w:r>
      <w:r w:rsidR="00873808">
        <w:rPr>
          <w:b/>
          <w:bCs/>
          <w:sz w:val="24"/>
        </w:rPr>
        <w:tab/>
        <w:t>Justification</w:t>
      </w:r>
    </w:p>
    <w:p w:rsidR="006801EE" w:rsidP="00D16BBC" w:rsidRDefault="006801EE" w14:paraId="7725FE24" w14:textId="77777777">
      <w:pPr>
        <w:rPr>
          <w:b/>
          <w:bCs/>
          <w:sz w:val="24"/>
        </w:rPr>
      </w:pPr>
    </w:p>
    <w:p w:rsidR="00873808" w:rsidP="00D16BBC" w:rsidRDefault="00873808" w14:paraId="07939063" w14:textId="77777777">
      <w:pPr>
        <w:pStyle w:val="frn"/>
        <w:spacing w:before="0"/>
        <w:outlineLvl w:val="0"/>
      </w:pPr>
      <w:bookmarkStart w:name="_Toc413843486" w:id="0"/>
      <w:r>
        <w:t>Circumstances Making the Collection of Information Necessary</w:t>
      </w:r>
      <w:bookmarkEnd w:id="0"/>
    </w:p>
    <w:p w:rsidR="002E26E2" w:rsidP="0043437D" w:rsidRDefault="002E26E2" w14:paraId="4316C942" w14:textId="77777777">
      <w:pPr>
        <w:widowControl/>
        <w:rPr>
          <w:sz w:val="24"/>
        </w:rPr>
      </w:pPr>
    </w:p>
    <w:p w:rsidR="0099597F" w:rsidP="0099597F" w:rsidRDefault="00255678" w14:paraId="5C33B1A8" w14:textId="300545F7">
      <w:pPr>
        <w:rPr>
          <w:sz w:val="24"/>
        </w:rPr>
      </w:pPr>
      <w:r>
        <w:rPr>
          <w:sz w:val="24"/>
        </w:rPr>
        <w:t xml:space="preserve">This is a request for </w:t>
      </w:r>
      <w:r w:rsidRPr="00DE6104" w:rsidR="00DE6104">
        <w:rPr>
          <w:sz w:val="24"/>
        </w:rPr>
        <w:t>Office of Management and Budget (</w:t>
      </w:r>
      <w:r>
        <w:rPr>
          <w:sz w:val="24"/>
        </w:rPr>
        <w:t>OMB</w:t>
      </w:r>
      <w:r w:rsidRPr="00DE6104" w:rsidR="00DE6104">
        <w:rPr>
          <w:sz w:val="24"/>
        </w:rPr>
        <w:t>)</w:t>
      </w:r>
      <w:r>
        <w:rPr>
          <w:sz w:val="24"/>
        </w:rPr>
        <w:t xml:space="preserve"> approval of</w:t>
      </w:r>
      <w:r w:rsidR="00021E71">
        <w:rPr>
          <w:sz w:val="24"/>
        </w:rPr>
        <w:t xml:space="preserve"> a</w:t>
      </w:r>
      <w:r>
        <w:rPr>
          <w:sz w:val="24"/>
        </w:rPr>
        <w:t xml:space="preserve"> </w:t>
      </w:r>
      <w:r w:rsidR="008918DE">
        <w:rPr>
          <w:sz w:val="24"/>
        </w:rPr>
        <w:t>revised</w:t>
      </w:r>
      <w:r>
        <w:rPr>
          <w:sz w:val="24"/>
        </w:rPr>
        <w:t xml:space="preserve"> National Practitioner Data Bank (NPDB) information collection activity; the attestation of reports</w:t>
      </w:r>
      <w:r w:rsidR="00A2516B">
        <w:rPr>
          <w:sz w:val="24"/>
        </w:rPr>
        <w:t>, quer</w:t>
      </w:r>
      <w:r w:rsidR="00276FD0">
        <w:rPr>
          <w:sz w:val="24"/>
        </w:rPr>
        <w:t>ie</w:t>
      </w:r>
      <w:r w:rsidR="008918DE">
        <w:rPr>
          <w:sz w:val="24"/>
        </w:rPr>
        <w:t>s</w:t>
      </w:r>
      <w:r w:rsidR="00A2516B">
        <w:rPr>
          <w:sz w:val="24"/>
        </w:rPr>
        <w:t>, and confidentiality compliance</w:t>
      </w:r>
      <w:r>
        <w:rPr>
          <w:sz w:val="24"/>
        </w:rPr>
        <w:t xml:space="preserve"> by</w:t>
      </w:r>
      <w:r w:rsidR="00824DDD">
        <w:rPr>
          <w:sz w:val="24"/>
        </w:rPr>
        <w:t xml:space="preserve"> </w:t>
      </w:r>
      <w:r w:rsidRPr="00D41A30" w:rsidR="00D41A30">
        <w:rPr>
          <w:sz w:val="24"/>
        </w:rPr>
        <w:t>eligible</w:t>
      </w:r>
      <w:r w:rsidR="00D41A30">
        <w:rPr>
          <w:sz w:val="24"/>
        </w:rPr>
        <w:t xml:space="preserve"> entities </w:t>
      </w:r>
      <w:r w:rsidR="00824DDD">
        <w:rPr>
          <w:sz w:val="24"/>
        </w:rPr>
        <w:t>such as</w:t>
      </w:r>
      <w:r>
        <w:rPr>
          <w:sz w:val="24"/>
        </w:rPr>
        <w:t xml:space="preserve"> hospitals, medical malpractice payers, health plans, health </w:t>
      </w:r>
      <w:r w:rsidR="00752DB4">
        <w:rPr>
          <w:sz w:val="24"/>
        </w:rPr>
        <w:t>c</w:t>
      </w:r>
      <w:r w:rsidR="00F610BB">
        <w:rPr>
          <w:sz w:val="24"/>
        </w:rPr>
        <w:t>enters</w:t>
      </w:r>
      <w:r w:rsidRPr="00E25427" w:rsidR="006F1535">
        <w:rPr>
          <w:rStyle w:val="FootnoteReference"/>
          <w:position w:val="6"/>
          <w:sz w:val="16"/>
          <w:szCs w:val="16"/>
        </w:rPr>
        <w:footnoteReference w:id="2"/>
      </w:r>
      <w:r w:rsidR="00276FD0">
        <w:rPr>
          <w:sz w:val="24"/>
        </w:rPr>
        <w:t xml:space="preserve"> </w:t>
      </w:r>
      <w:r w:rsidR="00DF4127">
        <w:rPr>
          <w:sz w:val="24"/>
        </w:rPr>
        <w:t>a</w:t>
      </w:r>
      <w:r w:rsidR="003B2244">
        <w:rPr>
          <w:sz w:val="24"/>
        </w:rPr>
        <w:t xml:space="preserve">nd </w:t>
      </w:r>
      <w:r w:rsidR="0072648E">
        <w:rPr>
          <w:sz w:val="24"/>
        </w:rPr>
        <w:t xml:space="preserve">other </w:t>
      </w:r>
      <w:r w:rsidR="00111C87">
        <w:rPr>
          <w:sz w:val="24"/>
        </w:rPr>
        <w:t>eligible</w:t>
      </w:r>
      <w:r w:rsidR="005C641D">
        <w:rPr>
          <w:sz w:val="24"/>
        </w:rPr>
        <w:t xml:space="preserve"> entities</w:t>
      </w:r>
      <w:r w:rsidRPr="001E4CEB" w:rsidR="006F1535">
        <w:rPr>
          <w:rStyle w:val="FootnoteReference"/>
          <w:position w:val="6"/>
          <w:sz w:val="14"/>
        </w:rPr>
        <w:footnoteReference w:id="3"/>
      </w:r>
      <w:r w:rsidR="00B7053A">
        <w:rPr>
          <w:sz w:val="24"/>
        </w:rPr>
        <w:t xml:space="preserve">.  </w:t>
      </w:r>
      <w:r w:rsidR="0037108A">
        <w:rPr>
          <w:sz w:val="24"/>
        </w:rPr>
        <w:t xml:space="preserve">The </w:t>
      </w:r>
      <w:r w:rsidR="00680119">
        <w:rPr>
          <w:sz w:val="24"/>
        </w:rPr>
        <w:t xml:space="preserve">NPDB </w:t>
      </w:r>
      <w:r w:rsidRPr="002E26E2" w:rsidR="00680119">
        <w:rPr>
          <w:sz w:val="24"/>
        </w:rPr>
        <w:t>protects</w:t>
      </w:r>
      <w:r w:rsidR="005B2802">
        <w:rPr>
          <w:sz w:val="24"/>
        </w:rPr>
        <w:t xml:space="preserve"> </w:t>
      </w:r>
      <w:r w:rsidRPr="008D43EC" w:rsidR="005B2802">
        <w:rPr>
          <w:sz w:val="24"/>
        </w:rPr>
        <w:t>the public, and reduce</w:t>
      </w:r>
      <w:r w:rsidR="00BE108F">
        <w:rPr>
          <w:sz w:val="24"/>
        </w:rPr>
        <w:t>s</w:t>
      </w:r>
      <w:r w:rsidRPr="008D43EC" w:rsidR="005B2802">
        <w:rPr>
          <w:sz w:val="24"/>
        </w:rPr>
        <w:t xml:space="preserve"> health care fraud and abuse in the </w:t>
      </w:r>
      <w:r w:rsidR="005B2802">
        <w:rPr>
          <w:sz w:val="24"/>
        </w:rPr>
        <w:t xml:space="preserve">United States by </w:t>
      </w:r>
      <w:r w:rsidRPr="008D43EC" w:rsidR="005B2802">
        <w:rPr>
          <w:sz w:val="24"/>
        </w:rPr>
        <w:t>prevent</w:t>
      </w:r>
      <w:r w:rsidR="005B2802">
        <w:rPr>
          <w:sz w:val="24"/>
        </w:rPr>
        <w:t>ing</w:t>
      </w:r>
      <w:r w:rsidRPr="008D43EC" w:rsidR="005B2802">
        <w:rPr>
          <w:sz w:val="24"/>
        </w:rPr>
        <w:t xml:space="preserve"> incompetent practitioners from moving state to state without disclosure or discovery of previous damaging or incompetent performance</w:t>
      </w:r>
      <w:r w:rsidR="0017126C">
        <w:rPr>
          <w:sz w:val="24"/>
        </w:rPr>
        <w:t xml:space="preserve">.  </w:t>
      </w:r>
      <w:r w:rsidRPr="0072393C" w:rsidR="0099597F">
        <w:rPr>
          <w:sz w:val="24"/>
        </w:rPr>
        <w:t xml:space="preserve">Responsibility for </w:t>
      </w:r>
      <w:r w:rsidR="0037108A">
        <w:rPr>
          <w:sz w:val="24"/>
        </w:rPr>
        <w:t xml:space="preserve">the </w:t>
      </w:r>
      <w:r w:rsidR="00680119">
        <w:rPr>
          <w:sz w:val="24"/>
        </w:rPr>
        <w:t xml:space="preserve">NPDB </w:t>
      </w:r>
      <w:r w:rsidRPr="0072393C" w:rsidR="00680119">
        <w:rPr>
          <w:sz w:val="24"/>
        </w:rPr>
        <w:t>implementation</w:t>
      </w:r>
      <w:r w:rsidRPr="0072393C" w:rsidR="0099597F">
        <w:rPr>
          <w:sz w:val="24"/>
        </w:rPr>
        <w:t xml:space="preserve"> and operation resides in the </w:t>
      </w:r>
      <w:r w:rsidR="0099597F">
        <w:rPr>
          <w:sz w:val="24"/>
        </w:rPr>
        <w:t>Division of Practitioner Data Bank (DPDB), Bureau of Health Workforce</w:t>
      </w:r>
      <w:r w:rsidRPr="0072393C" w:rsidR="0099597F">
        <w:rPr>
          <w:sz w:val="24"/>
        </w:rPr>
        <w:t>, Health Resources and Services Administration (HRSA), Department of Health and Human Services (HHS)</w:t>
      </w:r>
      <w:r w:rsidR="00B7053A">
        <w:rPr>
          <w:sz w:val="24"/>
        </w:rPr>
        <w:t xml:space="preserve">.  </w:t>
      </w:r>
    </w:p>
    <w:p w:rsidR="005B2802" w:rsidP="005B2802" w:rsidRDefault="005B2802" w14:paraId="46335B37" w14:textId="77777777">
      <w:pPr>
        <w:widowControl/>
        <w:rPr>
          <w:sz w:val="24"/>
        </w:rPr>
      </w:pPr>
    </w:p>
    <w:p w:rsidR="005B2802" w:rsidP="005B2802" w:rsidRDefault="009A1F83" w14:paraId="3B3F1703" w14:textId="035CF21A">
      <w:pPr>
        <w:widowControl/>
        <w:rPr>
          <w:sz w:val="24"/>
        </w:rPr>
      </w:pPr>
      <w:r>
        <w:rPr>
          <w:sz w:val="24"/>
        </w:rPr>
        <w:t>NPDB</w:t>
      </w:r>
      <w:r w:rsidR="005B2802">
        <w:rPr>
          <w:sz w:val="24"/>
        </w:rPr>
        <w:t xml:space="preserve"> regulations mandate that multiple entity types includ</w:t>
      </w:r>
      <w:r w:rsidR="003B244C">
        <w:rPr>
          <w:sz w:val="24"/>
        </w:rPr>
        <w:t>ing</w:t>
      </w:r>
      <w:r w:rsidR="005B2802">
        <w:rPr>
          <w:sz w:val="24"/>
        </w:rPr>
        <w:t xml:space="preserve"> state licensing boards, health plans, government agencies</w:t>
      </w:r>
      <w:r w:rsidR="000E6DAE">
        <w:rPr>
          <w:sz w:val="24"/>
        </w:rPr>
        <w:t xml:space="preserve">, </w:t>
      </w:r>
      <w:r w:rsidR="00A32238">
        <w:rPr>
          <w:sz w:val="24"/>
        </w:rPr>
        <w:t>h</w:t>
      </w:r>
      <w:r w:rsidR="00BE704F">
        <w:rPr>
          <w:sz w:val="24"/>
        </w:rPr>
        <w:t xml:space="preserve">ealth </w:t>
      </w:r>
      <w:r w:rsidR="00A32238">
        <w:rPr>
          <w:sz w:val="24"/>
        </w:rPr>
        <w:t>c</w:t>
      </w:r>
      <w:r w:rsidR="00BE704F">
        <w:rPr>
          <w:sz w:val="24"/>
        </w:rPr>
        <w:t>enters</w:t>
      </w:r>
      <w:r w:rsidR="00636CB1">
        <w:rPr>
          <w:sz w:val="24"/>
        </w:rPr>
        <w:t xml:space="preserve">, </w:t>
      </w:r>
      <w:r w:rsidR="000E6DAE">
        <w:rPr>
          <w:sz w:val="24"/>
        </w:rPr>
        <w:t>a</w:t>
      </w:r>
      <w:r w:rsidR="009F053F">
        <w:rPr>
          <w:sz w:val="24"/>
        </w:rPr>
        <w:t xml:space="preserve">nd </w:t>
      </w:r>
      <w:r w:rsidR="00FC5A75">
        <w:rPr>
          <w:sz w:val="24"/>
        </w:rPr>
        <w:t xml:space="preserve">other </w:t>
      </w:r>
      <w:r w:rsidR="00111C87">
        <w:rPr>
          <w:sz w:val="24"/>
        </w:rPr>
        <w:t>eligible</w:t>
      </w:r>
      <w:r w:rsidR="000E6DAE">
        <w:rPr>
          <w:sz w:val="24"/>
        </w:rPr>
        <w:t xml:space="preserve"> entities </w:t>
      </w:r>
      <w:r w:rsidR="005B2802">
        <w:rPr>
          <w:sz w:val="24"/>
        </w:rPr>
        <w:t xml:space="preserve">report </w:t>
      </w:r>
      <w:r w:rsidR="0099597F">
        <w:rPr>
          <w:sz w:val="24"/>
        </w:rPr>
        <w:t>certain adverse</w:t>
      </w:r>
      <w:r w:rsidR="005B2802">
        <w:rPr>
          <w:sz w:val="24"/>
        </w:rPr>
        <w:t xml:space="preserve"> actions taken against practitioners, providers, or suppliers</w:t>
      </w:r>
      <w:r w:rsidR="0017126C">
        <w:rPr>
          <w:sz w:val="24"/>
        </w:rPr>
        <w:t xml:space="preserve">.  </w:t>
      </w:r>
      <w:r w:rsidRPr="00A32238" w:rsidR="00A32238">
        <w:rPr>
          <w:sz w:val="24"/>
        </w:rPr>
        <w:t>NPDB regulations mandate medical malpractice payers to report to the NPDB payments made on behalf of practitioners</w:t>
      </w:r>
      <w:r w:rsidR="0017126C">
        <w:rPr>
          <w:sz w:val="24"/>
        </w:rPr>
        <w:t xml:space="preserve">.  </w:t>
      </w:r>
      <w:r w:rsidR="00E04BBF">
        <w:rPr>
          <w:sz w:val="24"/>
        </w:rPr>
        <w:t xml:space="preserve">State licensing boards, health plans, government agencies, other health care entities, and other eligible </w:t>
      </w:r>
      <w:proofErr w:type="gramStart"/>
      <w:r w:rsidR="00E04BBF">
        <w:rPr>
          <w:sz w:val="24"/>
        </w:rPr>
        <w:t xml:space="preserve">entities </w:t>
      </w:r>
      <w:r w:rsidR="006529A9">
        <w:rPr>
          <w:sz w:val="24"/>
        </w:rPr>
        <w:t xml:space="preserve"> have</w:t>
      </w:r>
      <w:proofErr w:type="gramEnd"/>
      <w:r w:rsidR="006529A9">
        <w:rPr>
          <w:sz w:val="24"/>
        </w:rPr>
        <w:t xml:space="preserve"> the option to query on practitioners</w:t>
      </w:r>
      <w:r w:rsidR="0017126C">
        <w:rPr>
          <w:sz w:val="24"/>
        </w:rPr>
        <w:t xml:space="preserve">.  </w:t>
      </w:r>
      <w:r w:rsidR="00636CB1">
        <w:rPr>
          <w:sz w:val="24"/>
        </w:rPr>
        <w:t>The NPDB regulations also mandate that h</w:t>
      </w:r>
      <w:r w:rsidR="006529A9">
        <w:rPr>
          <w:sz w:val="24"/>
        </w:rPr>
        <w:t xml:space="preserve">ospitals </w:t>
      </w:r>
      <w:r w:rsidR="00636CB1">
        <w:rPr>
          <w:sz w:val="24"/>
        </w:rPr>
        <w:t xml:space="preserve">report </w:t>
      </w:r>
      <w:r w:rsidR="007518D4">
        <w:rPr>
          <w:sz w:val="24"/>
        </w:rPr>
        <w:t>certain adverse actions taken against practitioners, providers, or suppliers, and are required</w:t>
      </w:r>
      <w:r w:rsidR="006529A9">
        <w:rPr>
          <w:sz w:val="24"/>
        </w:rPr>
        <w:t xml:space="preserve"> by federal law to query the NPDB</w:t>
      </w:r>
      <w:r w:rsidR="00B7053A">
        <w:rPr>
          <w:sz w:val="24"/>
        </w:rPr>
        <w:t xml:space="preserve">.  </w:t>
      </w:r>
      <w:r w:rsidR="005B2802">
        <w:rPr>
          <w:sz w:val="24"/>
        </w:rPr>
        <w:t xml:space="preserve"> </w:t>
      </w:r>
    </w:p>
    <w:p w:rsidR="00D1216C" w:rsidP="005B2802" w:rsidRDefault="00824627" w14:paraId="26B7CAD4" w14:textId="7AECAD5D">
      <w:pPr>
        <w:rPr>
          <w:sz w:val="24"/>
        </w:rPr>
      </w:pPr>
      <w:r w:rsidRPr="00836BF5">
        <w:rPr>
          <w:sz w:val="24"/>
        </w:rPr>
        <w:lastRenderedPageBreak/>
        <w:t xml:space="preserve">The NPDB engages in compliance activities to ensure the </w:t>
      </w:r>
      <w:r w:rsidRPr="001C3929">
        <w:rPr>
          <w:sz w:val="24"/>
        </w:rPr>
        <w:t>accuracy and completeness of the information in the NPDB</w:t>
      </w:r>
      <w:r w:rsidR="0017126C">
        <w:rPr>
          <w:sz w:val="24"/>
        </w:rPr>
        <w:t xml:space="preserve">.  </w:t>
      </w:r>
      <w:r w:rsidR="0099597F">
        <w:rPr>
          <w:sz w:val="24"/>
        </w:rPr>
        <w:t>Evaluating</w:t>
      </w:r>
      <w:r w:rsidRPr="00D3511B" w:rsidR="005B2802">
        <w:rPr>
          <w:sz w:val="24"/>
        </w:rPr>
        <w:t xml:space="preserve"> </w:t>
      </w:r>
      <w:r w:rsidR="0099597F">
        <w:rPr>
          <w:sz w:val="24"/>
        </w:rPr>
        <w:t>and</w:t>
      </w:r>
      <w:r w:rsidRPr="00D3511B" w:rsidR="005B2802">
        <w:rPr>
          <w:sz w:val="24"/>
        </w:rPr>
        <w:t xml:space="preserve"> measuring </w:t>
      </w:r>
      <w:r w:rsidR="0099597F">
        <w:rPr>
          <w:sz w:val="24"/>
        </w:rPr>
        <w:t>certain</w:t>
      </w:r>
      <w:r w:rsidR="005B2802">
        <w:rPr>
          <w:sz w:val="24"/>
        </w:rPr>
        <w:t xml:space="preserve"> entit</w:t>
      </w:r>
      <w:r w:rsidR="0099597F">
        <w:rPr>
          <w:sz w:val="24"/>
        </w:rPr>
        <w:t>ies</w:t>
      </w:r>
      <w:r w:rsidR="005B2802">
        <w:rPr>
          <w:sz w:val="24"/>
        </w:rPr>
        <w:t xml:space="preserve">’ </w:t>
      </w:r>
      <w:r w:rsidRPr="00D3511B" w:rsidR="005B2802">
        <w:rPr>
          <w:sz w:val="24"/>
        </w:rPr>
        <w:t xml:space="preserve">compliance with </w:t>
      </w:r>
      <w:r w:rsidR="0037108A">
        <w:rPr>
          <w:sz w:val="24"/>
        </w:rPr>
        <w:t xml:space="preserve">the </w:t>
      </w:r>
      <w:r w:rsidR="00680119">
        <w:rPr>
          <w:sz w:val="24"/>
        </w:rPr>
        <w:t xml:space="preserve">NPDB </w:t>
      </w:r>
      <w:r w:rsidR="00FF5248">
        <w:rPr>
          <w:sz w:val="24"/>
        </w:rPr>
        <w:t>regulatory</w:t>
      </w:r>
      <w:r w:rsidRPr="00D3511B" w:rsidR="005B2802">
        <w:rPr>
          <w:sz w:val="24"/>
        </w:rPr>
        <w:t xml:space="preserve"> requirements</w:t>
      </w:r>
      <w:r w:rsidR="003B244C">
        <w:rPr>
          <w:sz w:val="24"/>
        </w:rPr>
        <w:t xml:space="preserve"> </w:t>
      </w:r>
      <w:r w:rsidR="0099597F">
        <w:rPr>
          <w:sz w:val="24"/>
        </w:rPr>
        <w:t>is difficult due to constraints discussed below</w:t>
      </w:r>
      <w:r w:rsidR="0017126C">
        <w:rPr>
          <w:sz w:val="24"/>
        </w:rPr>
        <w:t xml:space="preserve">.  </w:t>
      </w:r>
      <w:r w:rsidR="00BE704F">
        <w:rPr>
          <w:sz w:val="24"/>
        </w:rPr>
        <w:t>Attestation is the NPDB’s national outreach and education initiative to</w:t>
      </w:r>
      <w:r w:rsidRPr="00BE704F" w:rsidR="00BE704F">
        <w:rPr>
          <w:sz w:val="24"/>
        </w:rPr>
        <w:t xml:space="preserve"> ensure that all eligible organizations are meeting their NPDB </w:t>
      </w:r>
      <w:r w:rsidRPr="00BE704F" w:rsidR="00FF5248">
        <w:rPr>
          <w:sz w:val="24"/>
        </w:rPr>
        <w:t>re</w:t>
      </w:r>
      <w:r w:rsidR="00FF5248">
        <w:rPr>
          <w:sz w:val="24"/>
        </w:rPr>
        <w:t>gulatory</w:t>
      </w:r>
      <w:r w:rsidRPr="00BE704F" w:rsidR="00FF5248">
        <w:rPr>
          <w:sz w:val="24"/>
        </w:rPr>
        <w:t xml:space="preserve"> </w:t>
      </w:r>
      <w:r w:rsidRPr="00BE704F" w:rsidR="00BE704F">
        <w:rPr>
          <w:sz w:val="24"/>
        </w:rPr>
        <w:t>requirements</w:t>
      </w:r>
      <w:r w:rsidR="00FB769A">
        <w:rPr>
          <w:sz w:val="24"/>
        </w:rPr>
        <w:t xml:space="preserve"> (e.g., reporting, querying, and confidentiality)</w:t>
      </w:r>
      <w:r w:rsidR="00B7053A">
        <w:rPr>
          <w:sz w:val="24"/>
        </w:rPr>
        <w:t xml:space="preserve">.  </w:t>
      </w:r>
      <w:r w:rsidRPr="00BE704F" w:rsidR="00BE704F">
        <w:rPr>
          <w:sz w:val="24"/>
        </w:rPr>
        <w:t xml:space="preserve">During attestation, </w:t>
      </w:r>
      <w:r w:rsidR="00FF5248">
        <w:rPr>
          <w:sz w:val="24"/>
        </w:rPr>
        <w:t>entitie</w:t>
      </w:r>
      <w:r w:rsidRPr="00BE704F" w:rsidR="00FF5248">
        <w:rPr>
          <w:sz w:val="24"/>
        </w:rPr>
        <w:t xml:space="preserve">s </w:t>
      </w:r>
      <w:r w:rsidRPr="00BE704F" w:rsidR="00BE704F">
        <w:rPr>
          <w:sz w:val="24"/>
        </w:rPr>
        <w:t xml:space="preserve">will confirm that they have submitted all reportable actions and </w:t>
      </w:r>
      <w:proofErr w:type="gramStart"/>
      <w:r w:rsidRPr="00BE704F" w:rsidR="00BE704F">
        <w:rPr>
          <w:sz w:val="24"/>
        </w:rPr>
        <w:t>medical</w:t>
      </w:r>
      <w:proofErr w:type="gramEnd"/>
      <w:r w:rsidRPr="00BE704F" w:rsidR="00BE704F">
        <w:rPr>
          <w:sz w:val="24"/>
        </w:rPr>
        <w:t xml:space="preserve"> malpractice pay</w:t>
      </w:r>
      <w:r w:rsidR="00A17EC1">
        <w:rPr>
          <w:sz w:val="24"/>
        </w:rPr>
        <w:t>ments to the NPDB</w:t>
      </w:r>
      <w:r w:rsidR="00B7053A">
        <w:rPr>
          <w:sz w:val="24"/>
        </w:rPr>
        <w:t xml:space="preserve">.  </w:t>
      </w:r>
      <w:r w:rsidR="00FF5248">
        <w:rPr>
          <w:sz w:val="24"/>
        </w:rPr>
        <w:t>Entities will also attest to their querying and confidentiality compliance, as applicable</w:t>
      </w:r>
      <w:r w:rsidR="0017126C">
        <w:rPr>
          <w:sz w:val="24"/>
        </w:rPr>
        <w:t xml:space="preserve">.  </w:t>
      </w:r>
      <w:r w:rsidR="00FF5248">
        <w:rPr>
          <w:sz w:val="24"/>
        </w:rPr>
        <w:t>Attestation will occur</w:t>
      </w:r>
      <w:r w:rsidR="00A17EC1">
        <w:rPr>
          <w:sz w:val="24"/>
        </w:rPr>
        <w:t xml:space="preserve"> when</w:t>
      </w:r>
      <w:r w:rsidR="00FF5248">
        <w:rPr>
          <w:sz w:val="24"/>
        </w:rPr>
        <w:t xml:space="preserve"> entities</w:t>
      </w:r>
      <w:r w:rsidR="006F6E85">
        <w:rPr>
          <w:sz w:val="24"/>
        </w:rPr>
        <w:t xml:space="preserve"> </w:t>
      </w:r>
      <w:r w:rsidR="00A17EC1">
        <w:rPr>
          <w:sz w:val="24"/>
        </w:rPr>
        <w:t>renew their registration with the NPDB every two years</w:t>
      </w:r>
      <w:r w:rsidR="0017126C">
        <w:rPr>
          <w:sz w:val="24"/>
        </w:rPr>
        <w:t xml:space="preserve">.  </w:t>
      </w:r>
      <w:r w:rsidR="003F69AA">
        <w:rPr>
          <w:sz w:val="24"/>
        </w:rPr>
        <w:t>T</w:t>
      </w:r>
      <w:r w:rsidR="003B0699">
        <w:rPr>
          <w:sz w:val="24"/>
        </w:rPr>
        <w:t xml:space="preserve">o adequately serve our mission, the NPDB is committed to ensuring that </w:t>
      </w:r>
      <w:proofErr w:type="gramStart"/>
      <w:r w:rsidR="00FF5248">
        <w:rPr>
          <w:sz w:val="24"/>
        </w:rPr>
        <w:t>NPDB  users</w:t>
      </w:r>
      <w:proofErr w:type="gramEnd"/>
      <w:r w:rsidR="003B0699">
        <w:rPr>
          <w:sz w:val="24"/>
        </w:rPr>
        <w:t xml:space="preserve"> understand and adhere to the legally mandated reporting</w:t>
      </w:r>
      <w:r w:rsidR="00BE506A">
        <w:rPr>
          <w:sz w:val="24"/>
        </w:rPr>
        <w:t>,</w:t>
      </w:r>
      <w:r w:rsidR="00524213">
        <w:rPr>
          <w:sz w:val="24"/>
        </w:rPr>
        <w:t xml:space="preserve"> </w:t>
      </w:r>
      <w:r w:rsidR="00BE506A">
        <w:rPr>
          <w:sz w:val="24"/>
        </w:rPr>
        <w:t>querying, and confidentiality</w:t>
      </w:r>
      <w:r w:rsidR="003B0699">
        <w:rPr>
          <w:sz w:val="24"/>
        </w:rPr>
        <w:t xml:space="preserve"> requirements</w:t>
      </w:r>
      <w:r w:rsidR="00B7053A">
        <w:rPr>
          <w:sz w:val="24"/>
        </w:rPr>
        <w:t xml:space="preserve">.  </w:t>
      </w:r>
      <w:r w:rsidR="002D69A2">
        <w:rPr>
          <w:sz w:val="24"/>
        </w:rPr>
        <w:t xml:space="preserve"> </w:t>
      </w:r>
    </w:p>
    <w:p w:rsidR="00D1216C" w:rsidP="005B2802" w:rsidRDefault="00D1216C" w14:paraId="73ECF311" w14:textId="77777777">
      <w:pPr>
        <w:rPr>
          <w:sz w:val="24"/>
        </w:rPr>
      </w:pPr>
    </w:p>
    <w:p w:rsidR="005B2802" w:rsidP="005B2802" w:rsidRDefault="005B2802" w14:paraId="6435BB06" w14:textId="270BF353">
      <w:pPr>
        <w:rPr>
          <w:sz w:val="24"/>
        </w:rPr>
      </w:pPr>
      <w:r w:rsidRPr="006256CC">
        <w:rPr>
          <w:sz w:val="24"/>
        </w:rPr>
        <w:t>There is speculation</w:t>
      </w:r>
      <w:r w:rsidR="00FF5248">
        <w:rPr>
          <w:sz w:val="24"/>
        </w:rPr>
        <w:t>,</w:t>
      </w:r>
      <w:r w:rsidRPr="006256CC">
        <w:rPr>
          <w:sz w:val="24"/>
        </w:rPr>
        <w:t xml:space="preserve"> and often great variance in opinion amongst different interest groups</w:t>
      </w:r>
      <w:r w:rsidR="00FF5248">
        <w:rPr>
          <w:sz w:val="24"/>
        </w:rPr>
        <w:t>,</w:t>
      </w:r>
      <w:r w:rsidRPr="006256CC">
        <w:rPr>
          <w:sz w:val="24"/>
        </w:rPr>
        <w:t xml:space="preserve"> about the level of </w:t>
      </w:r>
      <w:r w:rsidR="00D1216C">
        <w:rPr>
          <w:sz w:val="24"/>
        </w:rPr>
        <w:t>adherence to</w:t>
      </w:r>
      <w:r w:rsidRPr="006256CC">
        <w:rPr>
          <w:sz w:val="24"/>
        </w:rPr>
        <w:t xml:space="preserve"> </w:t>
      </w:r>
      <w:r w:rsidR="0037108A">
        <w:rPr>
          <w:sz w:val="24"/>
        </w:rPr>
        <w:t xml:space="preserve">the </w:t>
      </w:r>
      <w:r w:rsidR="00680119">
        <w:rPr>
          <w:sz w:val="24"/>
        </w:rPr>
        <w:t>NPDB’s</w:t>
      </w:r>
      <w:r w:rsidRPr="006256CC">
        <w:rPr>
          <w:sz w:val="24"/>
        </w:rPr>
        <w:t xml:space="preserve"> </w:t>
      </w:r>
      <w:proofErr w:type="spellStart"/>
      <w:r w:rsidRPr="006256CC">
        <w:rPr>
          <w:sz w:val="24"/>
        </w:rPr>
        <w:t>reportingresponsibilities</w:t>
      </w:r>
      <w:proofErr w:type="spellEnd"/>
      <w:r w:rsidR="00B7053A">
        <w:rPr>
          <w:sz w:val="24"/>
        </w:rPr>
        <w:t xml:space="preserve">.  </w:t>
      </w:r>
      <w:r w:rsidR="00D1216C">
        <w:rPr>
          <w:sz w:val="24"/>
        </w:rPr>
        <w:t>Without a</w:t>
      </w:r>
      <w:r>
        <w:rPr>
          <w:sz w:val="24"/>
        </w:rPr>
        <w:t xml:space="preserve"> method</w:t>
      </w:r>
      <w:r w:rsidRPr="006256CC">
        <w:rPr>
          <w:sz w:val="24"/>
        </w:rPr>
        <w:t xml:space="preserve"> for cross-referencing data in a way that provides valuable insight into </w:t>
      </w:r>
      <w:r>
        <w:rPr>
          <w:sz w:val="24"/>
        </w:rPr>
        <w:t>an entity’s</w:t>
      </w:r>
      <w:r w:rsidRPr="006256CC">
        <w:rPr>
          <w:sz w:val="24"/>
        </w:rPr>
        <w:t xml:space="preserve"> compliance</w:t>
      </w:r>
      <w:r w:rsidR="00D1216C">
        <w:rPr>
          <w:sz w:val="24"/>
        </w:rPr>
        <w:t>, the NPDB has been unable to gauge entities’ understanding or commitment to their reporting requirements</w:t>
      </w:r>
      <w:r w:rsidR="00B7053A">
        <w:rPr>
          <w:sz w:val="24"/>
        </w:rPr>
        <w:t xml:space="preserve">.  </w:t>
      </w:r>
      <w:r w:rsidR="00AE40BF">
        <w:rPr>
          <w:sz w:val="24"/>
        </w:rPr>
        <w:t xml:space="preserve"> </w:t>
      </w:r>
      <w:r w:rsidRPr="001C3929" w:rsidR="00824627">
        <w:rPr>
          <w:sz w:val="24"/>
        </w:rPr>
        <w:t xml:space="preserve">Through the </w:t>
      </w:r>
      <w:r w:rsidR="00D31419">
        <w:rPr>
          <w:sz w:val="24"/>
        </w:rPr>
        <w:t>Attestation process</w:t>
      </w:r>
      <w:r w:rsidRPr="001C3929" w:rsidR="00824627">
        <w:rPr>
          <w:sz w:val="24"/>
        </w:rPr>
        <w:t xml:space="preserve">, the NPDB can better determine which </w:t>
      </w:r>
      <w:r w:rsidRPr="00781BF9" w:rsidR="00824627">
        <w:rPr>
          <w:sz w:val="24"/>
        </w:rPr>
        <w:t xml:space="preserve">medical malpractice payers, health plans, </w:t>
      </w:r>
      <w:r w:rsidR="00C51F70">
        <w:rPr>
          <w:sz w:val="24"/>
        </w:rPr>
        <w:t>hospitals</w:t>
      </w:r>
      <w:r w:rsidR="00111C87">
        <w:rPr>
          <w:sz w:val="24"/>
        </w:rPr>
        <w:t>,</w:t>
      </w:r>
      <w:r w:rsidR="00C51F70">
        <w:rPr>
          <w:sz w:val="24"/>
        </w:rPr>
        <w:t xml:space="preserve"> health centers,</w:t>
      </w:r>
      <w:r w:rsidRPr="00781BF9" w:rsidR="00824627">
        <w:rPr>
          <w:sz w:val="24"/>
        </w:rPr>
        <w:t xml:space="preserve"> </w:t>
      </w:r>
      <w:r w:rsidR="00111C87">
        <w:rPr>
          <w:sz w:val="24"/>
        </w:rPr>
        <w:t xml:space="preserve">and other eligible entities </w:t>
      </w:r>
      <w:r w:rsidRPr="001C3929" w:rsidR="00824627">
        <w:rPr>
          <w:sz w:val="24"/>
        </w:rPr>
        <w:t>are meeting</w:t>
      </w:r>
      <w:r w:rsidRPr="00836BF5" w:rsidR="00824627">
        <w:rPr>
          <w:sz w:val="24"/>
        </w:rPr>
        <w:t xml:space="preserve"> the reporting</w:t>
      </w:r>
      <w:r w:rsidR="00BE506A">
        <w:rPr>
          <w:sz w:val="24"/>
        </w:rPr>
        <w:t>, querying, and confidentiality</w:t>
      </w:r>
      <w:r w:rsidRPr="00836BF5" w:rsidR="00824627">
        <w:rPr>
          <w:sz w:val="24"/>
        </w:rPr>
        <w:t xml:space="preserve"> requirements, and which</w:t>
      </w:r>
      <w:r w:rsidR="00824627">
        <w:rPr>
          <w:sz w:val="24"/>
        </w:rPr>
        <w:t xml:space="preserve"> of</w:t>
      </w:r>
      <w:r w:rsidRPr="00836BF5" w:rsidR="00824627">
        <w:rPr>
          <w:sz w:val="24"/>
        </w:rPr>
        <w:t xml:space="preserve"> </w:t>
      </w:r>
      <w:r w:rsidR="00824627">
        <w:rPr>
          <w:sz w:val="24"/>
        </w:rPr>
        <w:t>these entities</w:t>
      </w:r>
      <w:r w:rsidRPr="00836BF5" w:rsidR="00824627">
        <w:rPr>
          <w:sz w:val="24"/>
        </w:rPr>
        <w:t xml:space="preserve"> may require additional outreach and assistance</w:t>
      </w:r>
      <w:r w:rsidR="00B7053A">
        <w:rPr>
          <w:sz w:val="24"/>
        </w:rPr>
        <w:t xml:space="preserve">.  </w:t>
      </w:r>
      <w:r w:rsidRPr="00836BF5" w:rsidR="00824627">
        <w:rPr>
          <w:sz w:val="24"/>
        </w:rPr>
        <w:t xml:space="preserve">The </w:t>
      </w:r>
      <w:r w:rsidRPr="000E6DAE" w:rsidR="000E6DAE">
        <w:rPr>
          <w:sz w:val="24"/>
        </w:rPr>
        <w:t>biennial</w:t>
      </w:r>
      <w:r w:rsidRPr="00836BF5" w:rsidR="00824627">
        <w:rPr>
          <w:sz w:val="24"/>
        </w:rPr>
        <w:t xml:space="preserve"> </w:t>
      </w:r>
      <w:r w:rsidR="00D31419">
        <w:rPr>
          <w:sz w:val="24"/>
        </w:rPr>
        <w:t>Attestation process</w:t>
      </w:r>
      <w:r w:rsidRPr="00836BF5" w:rsidR="00824627">
        <w:rPr>
          <w:sz w:val="24"/>
        </w:rPr>
        <w:t xml:space="preserve"> will strengthen the robustness of the data in the NPDB, improving the accuracy of query responses for entitie</w:t>
      </w:r>
      <w:r w:rsidR="00A8286C">
        <w:rPr>
          <w:sz w:val="24"/>
        </w:rPr>
        <w:t xml:space="preserve">s with access to </w:t>
      </w:r>
      <w:r w:rsidR="0037108A">
        <w:rPr>
          <w:sz w:val="24"/>
        </w:rPr>
        <w:t xml:space="preserve">the </w:t>
      </w:r>
      <w:r w:rsidR="00680119">
        <w:rPr>
          <w:sz w:val="24"/>
        </w:rPr>
        <w:t>NPDB reports</w:t>
      </w:r>
      <w:r w:rsidR="00B7053A">
        <w:rPr>
          <w:sz w:val="24"/>
        </w:rPr>
        <w:t xml:space="preserve">.  </w:t>
      </w:r>
    </w:p>
    <w:p w:rsidRPr="00DB7BD3" w:rsidR="006801EE" w:rsidP="001E4CEB" w:rsidRDefault="006801EE" w14:paraId="7C54CC16" w14:textId="77777777">
      <w:pPr>
        <w:pStyle w:val="Heading2"/>
        <w:spacing w:before="0"/>
        <w:rPr>
          <w:sz w:val="24"/>
        </w:rPr>
      </w:pPr>
    </w:p>
    <w:p w:rsidR="00F40995" w:rsidP="005B2802" w:rsidRDefault="00F40995" w14:paraId="7BC704F1" w14:textId="2F2E5DAB">
      <w:pPr>
        <w:rPr>
          <w:sz w:val="24"/>
        </w:rPr>
      </w:pPr>
      <w:r>
        <w:rPr>
          <w:sz w:val="24"/>
        </w:rPr>
        <w:t xml:space="preserve">Summary of </w:t>
      </w:r>
      <w:r w:rsidR="00345D1C">
        <w:rPr>
          <w:sz w:val="24"/>
        </w:rPr>
        <w:t xml:space="preserve">the proposed </w:t>
      </w:r>
      <w:r>
        <w:rPr>
          <w:sz w:val="24"/>
        </w:rPr>
        <w:t>changes since the last clearance:</w:t>
      </w:r>
    </w:p>
    <w:p w:rsidRPr="00F40995" w:rsidR="00F40995" w:rsidP="00F40995" w:rsidRDefault="00F40995" w14:paraId="1D1594E7" w14:textId="77777777">
      <w:pPr>
        <w:rPr>
          <w:sz w:val="24"/>
        </w:rPr>
      </w:pPr>
    </w:p>
    <w:p w:rsidRPr="007B6E03" w:rsidR="007B6E03" w:rsidP="007B6E03" w:rsidRDefault="007B6E03" w14:paraId="3AB718A0" w14:textId="66E1E867">
      <w:pPr>
        <w:numPr>
          <w:ilvl w:val="0"/>
          <w:numId w:val="47"/>
        </w:numPr>
        <w:contextualSpacing/>
        <w:rPr>
          <w:sz w:val="24"/>
        </w:rPr>
      </w:pPr>
      <w:r w:rsidRPr="007B6E03">
        <w:rPr>
          <w:sz w:val="24"/>
        </w:rPr>
        <w:t>Add Query and Confidentiality language to the instruments</w:t>
      </w:r>
      <w:r w:rsidR="00B7053A">
        <w:rPr>
          <w:sz w:val="24"/>
        </w:rPr>
        <w:t xml:space="preserve">.  </w:t>
      </w:r>
      <w:r w:rsidRPr="007B6E03">
        <w:rPr>
          <w:sz w:val="24"/>
        </w:rPr>
        <w:t xml:space="preserve"> </w:t>
      </w:r>
    </w:p>
    <w:p w:rsidRPr="007B6E03" w:rsidR="007B6E03" w:rsidP="007B6E03" w:rsidRDefault="007B6E03" w14:paraId="1D3876FD" w14:textId="51DCBFFD">
      <w:pPr>
        <w:ind w:left="1440"/>
        <w:contextualSpacing/>
        <w:rPr>
          <w:sz w:val="24"/>
        </w:rPr>
      </w:pPr>
      <w:r w:rsidRPr="007B6E03">
        <w:rPr>
          <w:sz w:val="24"/>
        </w:rPr>
        <w:t>Beyond attesting to meeting NPDB reporting requirements, entities will also attest to querying and confidentiality compliance</w:t>
      </w:r>
      <w:r w:rsidR="00B7053A">
        <w:rPr>
          <w:sz w:val="24"/>
        </w:rPr>
        <w:t xml:space="preserve">.  </w:t>
      </w:r>
    </w:p>
    <w:p w:rsidRPr="007B6E03" w:rsidR="007B6E03" w:rsidP="007B6E03" w:rsidRDefault="007B6E03" w14:paraId="1A39789E" w14:textId="77777777">
      <w:pPr>
        <w:numPr>
          <w:ilvl w:val="0"/>
          <w:numId w:val="47"/>
        </w:numPr>
        <w:contextualSpacing/>
        <w:rPr>
          <w:sz w:val="24"/>
        </w:rPr>
      </w:pPr>
      <w:r w:rsidRPr="007B6E03">
        <w:rPr>
          <w:sz w:val="24"/>
        </w:rPr>
        <w:t>Change Title of ICR</w:t>
      </w:r>
    </w:p>
    <w:p w:rsidRPr="007B6E03" w:rsidR="007B6E03" w:rsidP="007B6E03" w:rsidRDefault="007B6E03" w14:paraId="29D4FB6C" w14:textId="77777777">
      <w:pPr>
        <w:ind w:left="1440"/>
        <w:rPr>
          <w:sz w:val="24"/>
        </w:rPr>
      </w:pPr>
      <w:r w:rsidRPr="007B6E03">
        <w:rPr>
          <w:sz w:val="24"/>
        </w:rPr>
        <w:t>Current Title:  National Practitioner Data Bank Attestation of Reports by Hospitals, Medical Malpractice Payers, Health Plans, and Certain Other Health Care Entities</w:t>
      </w:r>
    </w:p>
    <w:p w:rsidRPr="007B6E03" w:rsidR="007B6E03" w:rsidP="007B6E03" w:rsidRDefault="007B6E03" w14:paraId="6ABE36A6" w14:textId="77777777">
      <w:pPr>
        <w:ind w:left="1440"/>
        <w:rPr>
          <w:sz w:val="24"/>
        </w:rPr>
      </w:pPr>
      <w:r w:rsidRPr="007B6E03">
        <w:rPr>
          <w:sz w:val="24"/>
        </w:rPr>
        <w:t>Proposed New Title:  National Practitioner Data Bank Attestation of Reports by Hospitals, Medical Malpractice Payers, Health Plans, Health Centers, and Other Eligible Entities</w:t>
      </w:r>
    </w:p>
    <w:p w:rsidRPr="007B6E03" w:rsidR="007B6E03" w:rsidP="007B6E03" w:rsidRDefault="007B6E03" w14:paraId="1E436509" w14:textId="77777777">
      <w:pPr>
        <w:numPr>
          <w:ilvl w:val="0"/>
          <w:numId w:val="47"/>
        </w:numPr>
        <w:contextualSpacing/>
        <w:rPr>
          <w:sz w:val="24"/>
        </w:rPr>
      </w:pPr>
      <w:r w:rsidRPr="007B6E03">
        <w:rPr>
          <w:sz w:val="24"/>
        </w:rPr>
        <w:t>Add NPDB Guidebook definition for Eligible Entities in footnote.</w:t>
      </w:r>
    </w:p>
    <w:p w:rsidRPr="007B6E03" w:rsidR="007B6E03" w:rsidP="007B6E03" w:rsidRDefault="007B6E03" w14:paraId="1A87BEDF" w14:textId="4706983B">
      <w:pPr>
        <w:numPr>
          <w:ilvl w:val="0"/>
          <w:numId w:val="47"/>
        </w:numPr>
        <w:contextualSpacing/>
        <w:rPr>
          <w:sz w:val="24"/>
        </w:rPr>
      </w:pPr>
      <w:r w:rsidRPr="007B6E03">
        <w:rPr>
          <w:sz w:val="24"/>
        </w:rPr>
        <w:t>Discontinue use of the Generic Form</w:t>
      </w:r>
      <w:r w:rsidR="00B7053A">
        <w:rPr>
          <w:sz w:val="24"/>
        </w:rPr>
        <w:t xml:space="preserve">.  </w:t>
      </w:r>
      <w:r w:rsidRPr="007B6E03">
        <w:rPr>
          <w:sz w:val="24"/>
        </w:rPr>
        <w:t xml:space="preserve"> </w:t>
      </w:r>
    </w:p>
    <w:p w:rsidRPr="007B6E03" w:rsidR="007B6E03" w:rsidP="007B6E03" w:rsidRDefault="007B6E03" w14:paraId="64B2381E" w14:textId="34D1F209">
      <w:pPr>
        <w:ind w:left="1440"/>
        <w:contextualSpacing/>
        <w:rPr>
          <w:sz w:val="24"/>
        </w:rPr>
      </w:pPr>
      <w:r w:rsidRPr="007B6E03">
        <w:rPr>
          <w:sz w:val="24"/>
        </w:rPr>
        <w:t>Currently Hospitals, Medical Malpractice Payers, and Health Plans use the Generic Form to attest</w:t>
      </w:r>
      <w:r w:rsidR="00B7053A">
        <w:rPr>
          <w:sz w:val="24"/>
        </w:rPr>
        <w:t xml:space="preserve">.  </w:t>
      </w:r>
      <w:r w:rsidRPr="007B6E03">
        <w:rPr>
          <w:sz w:val="24"/>
        </w:rPr>
        <w:t>This revision includes making each attestation form specific to entity type based on reporting/querying requirements.</w:t>
      </w:r>
    </w:p>
    <w:p w:rsidRPr="007B6E03" w:rsidR="007B6E03" w:rsidP="007B6E03" w:rsidRDefault="007B6E03" w14:paraId="241FBF33" w14:textId="77777777">
      <w:pPr>
        <w:numPr>
          <w:ilvl w:val="0"/>
          <w:numId w:val="47"/>
        </w:numPr>
        <w:contextualSpacing/>
        <w:rPr>
          <w:sz w:val="24"/>
        </w:rPr>
      </w:pPr>
      <w:r w:rsidRPr="007B6E03">
        <w:rPr>
          <w:sz w:val="24"/>
        </w:rPr>
        <w:t>Revise attestation question so that all entities will receive the same question.</w:t>
      </w:r>
    </w:p>
    <w:p w:rsidRPr="007B6E03" w:rsidR="007B6E03" w:rsidP="007B6E03" w:rsidRDefault="007B6E03" w14:paraId="70F6DB5F" w14:textId="77777777">
      <w:pPr>
        <w:numPr>
          <w:ilvl w:val="0"/>
          <w:numId w:val="48"/>
        </w:numPr>
        <w:contextualSpacing/>
        <w:rPr>
          <w:sz w:val="24"/>
        </w:rPr>
      </w:pPr>
      <w:r w:rsidRPr="007B6E03">
        <w:rPr>
          <w:sz w:val="24"/>
        </w:rPr>
        <w:t>Current question for health centers:</w:t>
      </w:r>
    </w:p>
    <w:p w:rsidRPr="007B6E03" w:rsidR="007B6E03" w:rsidP="007B6E03" w:rsidRDefault="007B6E03" w14:paraId="494AAF2B" w14:textId="77777777">
      <w:pPr>
        <w:ind w:left="1080"/>
        <w:rPr>
          <w:sz w:val="24"/>
        </w:rPr>
      </w:pPr>
      <w:r w:rsidRPr="007B6E03">
        <w:rPr>
          <w:sz w:val="24"/>
        </w:rPr>
        <w:t>Has your organization reported all adverse actions taken from Month DD, YYYY to Month DD, YYYY affecting the clinical privileges of a physician or dentist as defined above?</w:t>
      </w:r>
    </w:p>
    <w:p w:rsidRPr="007B6E03" w:rsidR="007B6E03" w:rsidP="007B6E03" w:rsidRDefault="007B6E03" w14:paraId="512ECE93" w14:textId="77777777">
      <w:pPr>
        <w:ind w:left="1080"/>
        <w:rPr>
          <w:sz w:val="24"/>
        </w:rPr>
      </w:pPr>
      <w:r w:rsidRPr="007B6E03">
        <w:rPr>
          <w:sz w:val="24"/>
        </w:rPr>
        <w:t>•     Yes, all required reports are submitted</w:t>
      </w:r>
    </w:p>
    <w:p w:rsidRPr="007B6E03" w:rsidR="007B6E03" w:rsidP="007B6E03" w:rsidRDefault="007B6E03" w14:paraId="0BB7C1F6" w14:textId="77777777">
      <w:pPr>
        <w:ind w:left="1080"/>
        <w:rPr>
          <w:sz w:val="24"/>
        </w:rPr>
      </w:pPr>
      <w:r w:rsidRPr="007B6E03">
        <w:rPr>
          <w:sz w:val="24"/>
        </w:rPr>
        <w:lastRenderedPageBreak/>
        <w:t>•     No, some required reports have not been submitted</w:t>
      </w:r>
    </w:p>
    <w:p w:rsidRPr="007B6E03" w:rsidR="007B6E03" w:rsidP="007B6E03" w:rsidRDefault="007B6E03" w14:paraId="2398A4B4" w14:textId="77777777">
      <w:pPr>
        <w:ind w:left="1080"/>
        <w:rPr>
          <w:sz w:val="24"/>
        </w:rPr>
      </w:pPr>
      <w:r w:rsidRPr="007B6E03">
        <w:rPr>
          <w:sz w:val="24"/>
        </w:rPr>
        <w:t>If “no”, why not? ________</w:t>
      </w:r>
    </w:p>
    <w:p w:rsidRPr="007B6E03" w:rsidR="007B6E03" w:rsidP="007B6E03" w:rsidRDefault="007B6E03" w14:paraId="31F358EB" w14:textId="64F6A490">
      <w:pPr>
        <w:numPr>
          <w:ilvl w:val="0"/>
          <w:numId w:val="48"/>
        </w:numPr>
        <w:contextualSpacing/>
        <w:rPr>
          <w:sz w:val="24"/>
        </w:rPr>
      </w:pPr>
      <w:r w:rsidRPr="007B6E03">
        <w:rPr>
          <w:sz w:val="24"/>
        </w:rPr>
        <w:t>Current question for hospitals, health plans, medical malpractice payers</w:t>
      </w:r>
      <w:r>
        <w:rPr>
          <w:sz w:val="24"/>
        </w:rPr>
        <w:t>:</w:t>
      </w:r>
    </w:p>
    <w:p w:rsidRPr="007B6E03" w:rsidR="007B6E03" w:rsidP="007B6E03" w:rsidRDefault="007B6E03" w14:paraId="5FA70CCE" w14:textId="4355602A">
      <w:pPr>
        <w:ind w:left="1080"/>
        <w:rPr>
          <w:sz w:val="24"/>
        </w:rPr>
      </w:pPr>
      <w:r w:rsidRPr="007B6E03">
        <w:rPr>
          <w:sz w:val="24"/>
        </w:rPr>
        <w:t>Has your organization submitted all reports, as required by law, from &lt;MM DD</w:t>
      </w:r>
      <w:r w:rsidRPr="007B6E03" w:rsidR="00345D1C">
        <w:rPr>
          <w:sz w:val="24"/>
        </w:rPr>
        <w:t>, YYYY</w:t>
      </w:r>
      <w:r w:rsidRPr="007B6E03">
        <w:rPr>
          <w:sz w:val="24"/>
        </w:rPr>
        <w:t>&gt;, to &lt;MM DD, YYYY</w:t>
      </w:r>
      <w:r w:rsidRPr="007B6E03" w:rsidR="00345D1C">
        <w:rPr>
          <w:sz w:val="24"/>
        </w:rPr>
        <w:t>&gt;?</w:t>
      </w:r>
    </w:p>
    <w:p w:rsidRPr="007B6E03" w:rsidR="007B6E03" w:rsidP="007B6E03" w:rsidRDefault="007B6E03" w14:paraId="26A32815" w14:textId="77777777">
      <w:pPr>
        <w:ind w:left="1080"/>
        <w:rPr>
          <w:sz w:val="24"/>
        </w:rPr>
      </w:pPr>
      <w:r w:rsidRPr="007B6E03">
        <w:rPr>
          <w:sz w:val="24"/>
        </w:rPr>
        <w:t>•     Yes, all required reports are submitted</w:t>
      </w:r>
    </w:p>
    <w:p w:rsidRPr="007B6E03" w:rsidR="007B6E03" w:rsidP="007B6E03" w:rsidRDefault="007B6E03" w14:paraId="5C458106" w14:textId="77777777">
      <w:pPr>
        <w:ind w:left="1080"/>
        <w:rPr>
          <w:sz w:val="24"/>
        </w:rPr>
      </w:pPr>
      <w:r w:rsidRPr="007B6E03">
        <w:rPr>
          <w:sz w:val="24"/>
        </w:rPr>
        <w:t>•     No, some required reports have not been submitted</w:t>
      </w:r>
    </w:p>
    <w:p w:rsidRPr="007B6E03" w:rsidR="007B6E03" w:rsidP="007B6E03" w:rsidRDefault="007B6E03" w14:paraId="7173A363" w14:textId="77777777">
      <w:pPr>
        <w:ind w:left="1080"/>
        <w:rPr>
          <w:sz w:val="24"/>
        </w:rPr>
      </w:pPr>
      <w:r w:rsidRPr="007B6E03">
        <w:rPr>
          <w:sz w:val="24"/>
        </w:rPr>
        <w:t>If “no”, why not? ________</w:t>
      </w:r>
    </w:p>
    <w:p w:rsidRPr="007B6E03" w:rsidR="007B6E03" w:rsidP="007B6E03" w:rsidRDefault="007B6E03" w14:paraId="7C4FEF7E" w14:textId="35CA8463">
      <w:pPr>
        <w:numPr>
          <w:ilvl w:val="0"/>
          <w:numId w:val="48"/>
        </w:numPr>
        <w:contextualSpacing/>
        <w:rPr>
          <w:sz w:val="24"/>
        </w:rPr>
      </w:pPr>
      <w:r w:rsidRPr="007B6E03">
        <w:rPr>
          <w:sz w:val="24"/>
        </w:rPr>
        <w:t>New question for all registered entities</w:t>
      </w:r>
      <w:r>
        <w:rPr>
          <w:sz w:val="24"/>
        </w:rPr>
        <w:t>:</w:t>
      </w:r>
    </w:p>
    <w:p w:rsidRPr="007B6E03" w:rsidR="007B6E03" w:rsidP="007B6E03" w:rsidRDefault="007B6E03" w14:paraId="21A3AF95" w14:textId="77777777">
      <w:pPr>
        <w:ind w:left="1080"/>
        <w:rPr>
          <w:sz w:val="24"/>
        </w:rPr>
      </w:pPr>
      <w:r w:rsidRPr="007B6E03">
        <w:rPr>
          <w:sz w:val="24"/>
        </w:rPr>
        <w:t>Has your organization complied with all NPDB regulatory requirements as outlined above?</w:t>
      </w:r>
    </w:p>
    <w:p w:rsidRPr="007B6E03" w:rsidR="007B6E03" w:rsidP="007B6E03" w:rsidRDefault="007B6E03" w14:paraId="1F93B5E1" w14:textId="77777777">
      <w:pPr>
        <w:ind w:left="1080"/>
        <w:rPr>
          <w:sz w:val="24"/>
        </w:rPr>
      </w:pPr>
      <w:r w:rsidRPr="007B6E03">
        <w:rPr>
          <w:sz w:val="24"/>
        </w:rPr>
        <w:t>•</w:t>
      </w:r>
      <w:r w:rsidRPr="007B6E03">
        <w:rPr>
          <w:sz w:val="24"/>
        </w:rPr>
        <w:tab/>
        <w:t xml:space="preserve">Yes </w:t>
      </w:r>
    </w:p>
    <w:p w:rsidRPr="007B6E03" w:rsidR="007B6E03" w:rsidP="007B6E03" w:rsidRDefault="007B6E03" w14:paraId="00B54EE9" w14:textId="77777777">
      <w:pPr>
        <w:ind w:left="1080"/>
        <w:rPr>
          <w:sz w:val="24"/>
        </w:rPr>
      </w:pPr>
      <w:r w:rsidRPr="007B6E03">
        <w:rPr>
          <w:sz w:val="24"/>
        </w:rPr>
        <w:t>•</w:t>
      </w:r>
      <w:r w:rsidRPr="007B6E03">
        <w:rPr>
          <w:sz w:val="24"/>
        </w:rPr>
        <w:tab/>
        <w:t>No</w:t>
      </w:r>
    </w:p>
    <w:p w:rsidRPr="007B6E03" w:rsidR="007B6E03" w:rsidP="007B6E03" w:rsidRDefault="007B6E03" w14:paraId="46A0EFC6" w14:textId="7507BA2E">
      <w:pPr>
        <w:rPr>
          <w:sz w:val="24"/>
        </w:rPr>
      </w:pPr>
      <w:r w:rsidRPr="007B6E03">
        <w:rPr>
          <w:sz w:val="24"/>
        </w:rPr>
        <w:t xml:space="preserve">                  If “no”, why not</w:t>
      </w:r>
      <w:r w:rsidRPr="007B6E03" w:rsidR="00345D1C">
        <w:rPr>
          <w:sz w:val="24"/>
        </w:rPr>
        <w:t>? _</w:t>
      </w:r>
      <w:r w:rsidRPr="007B6E03">
        <w:rPr>
          <w:sz w:val="24"/>
        </w:rPr>
        <w:t>___</w:t>
      </w:r>
    </w:p>
    <w:p w:rsidR="006801EE" w:rsidP="00D16BBC" w:rsidRDefault="006801EE" w14:paraId="186B7B61" w14:textId="77777777">
      <w:pPr>
        <w:pStyle w:val="Heading2"/>
        <w:spacing w:before="0"/>
        <w:rPr>
          <w:rFonts w:ascii="Times New Roman" w:hAnsi="Times New Roman" w:cs="Times New Roman"/>
          <w:bCs w:val="0"/>
          <w:color w:val="auto"/>
          <w:sz w:val="24"/>
        </w:rPr>
      </w:pPr>
    </w:p>
    <w:p w:rsidR="00873808" w:rsidP="00D16BBC" w:rsidRDefault="00F3082F" w14:paraId="5C26724F" w14:textId="0D197D37">
      <w:pPr>
        <w:pStyle w:val="Heading2"/>
        <w:spacing w:before="0"/>
        <w:rPr>
          <w:rFonts w:ascii="Times New Roman" w:hAnsi="Times New Roman" w:cs="Times New Roman"/>
          <w:bCs w:val="0"/>
          <w:color w:val="auto"/>
          <w:sz w:val="24"/>
        </w:rPr>
      </w:pPr>
      <w:bookmarkStart w:name="_Toc413843487" w:id="1"/>
      <w:r>
        <w:rPr>
          <w:rFonts w:ascii="Times New Roman" w:hAnsi="Times New Roman" w:cs="Times New Roman"/>
          <w:bCs w:val="0"/>
          <w:color w:val="auto"/>
          <w:sz w:val="24"/>
        </w:rPr>
        <w:t>I</w:t>
      </w:r>
      <w:r w:rsidR="00B7053A">
        <w:rPr>
          <w:rFonts w:ascii="Times New Roman" w:hAnsi="Times New Roman" w:cs="Times New Roman"/>
          <w:bCs w:val="0"/>
          <w:color w:val="auto"/>
          <w:sz w:val="24"/>
        </w:rPr>
        <w:t xml:space="preserve">.  </w:t>
      </w:r>
      <w:r w:rsidRPr="00825AF4" w:rsidR="00873808">
        <w:rPr>
          <w:rFonts w:ascii="Times New Roman" w:hAnsi="Times New Roman" w:cs="Times New Roman"/>
          <w:bCs w:val="0"/>
          <w:color w:val="auto"/>
          <w:sz w:val="24"/>
        </w:rPr>
        <w:t xml:space="preserve">Legal Authorities Governing the </w:t>
      </w:r>
      <w:r w:rsidRPr="00825AF4" w:rsidR="00A73D35">
        <w:rPr>
          <w:rFonts w:ascii="Times New Roman" w:hAnsi="Times New Roman" w:cs="Times New Roman"/>
          <w:bCs w:val="0"/>
          <w:color w:val="auto"/>
          <w:sz w:val="24"/>
        </w:rPr>
        <w:t>NPDB</w:t>
      </w:r>
      <w:bookmarkEnd w:id="1"/>
    </w:p>
    <w:p w:rsidRPr="005E5F7A" w:rsidR="005E5F7A" w:rsidP="005E5F7A" w:rsidRDefault="005E5F7A" w14:paraId="49FC2687" w14:textId="77777777"/>
    <w:p w:rsidRPr="00AE1EE7" w:rsidR="00DA6505" w:rsidP="00AE1EE7" w:rsidRDefault="00DA6505" w14:paraId="695EDD1C" w14:textId="72E0CB31">
      <w:pPr>
        <w:pStyle w:val="BodyText"/>
        <w:spacing w:after="0"/>
        <w:rPr>
          <w:sz w:val="24"/>
        </w:rPr>
      </w:pPr>
      <w:r>
        <w:rPr>
          <w:sz w:val="24"/>
        </w:rPr>
        <w:t>As discussed below, there are multiple legal authorities governing the NPDB</w:t>
      </w:r>
      <w:r w:rsidR="0017126C">
        <w:rPr>
          <w:sz w:val="24"/>
        </w:rPr>
        <w:t xml:space="preserve">.  </w:t>
      </w:r>
      <w:r w:rsidR="0037108A">
        <w:rPr>
          <w:sz w:val="24"/>
        </w:rPr>
        <w:t xml:space="preserve">The </w:t>
      </w:r>
      <w:r w:rsidR="00680119">
        <w:rPr>
          <w:sz w:val="24"/>
        </w:rPr>
        <w:t>NPDB regulations</w:t>
      </w:r>
      <w:r>
        <w:rPr>
          <w:sz w:val="24"/>
        </w:rPr>
        <w:t xml:space="preserve"> are applicable to entities in all 50 States, the District of Columbia, and the U.S</w:t>
      </w:r>
      <w:r w:rsidR="00B7053A">
        <w:rPr>
          <w:sz w:val="24"/>
        </w:rPr>
        <w:t xml:space="preserve">.  </w:t>
      </w:r>
      <w:proofErr w:type="gramStart"/>
      <w:r>
        <w:rPr>
          <w:sz w:val="24"/>
        </w:rPr>
        <w:t>territories</w:t>
      </w:r>
      <w:proofErr w:type="gramEnd"/>
      <w:r>
        <w:rPr>
          <w:sz w:val="24"/>
        </w:rPr>
        <w:t xml:space="preserve"> of American Samoa, Guam, Northern Marianas, Puerto Rico, and </w:t>
      </w:r>
      <w:r w:rsidR="006C31D3">
        <w:rPr>
          <w:sz w:val="24"/>
        </w:rPr>
        <w:t xml:space="preserve">the </w:t>
      </w:r>
      <w:r>
        <w:rPr>
          <w:sz w:val="24"/>
        </w:rPr>
        <w:t>Virgin Islands</w:t>
      </w:r>
      <w:r w:rsidR="00B7053A">
        <w:rPr>
          <w:sz w:val="24"/>
        </w:rPr>
        <w:t xml:space="preserve">.  </w:t>
      </w:r>
      <w:r>
        <w:rPr>
          <w:sz w:val="24"/>
        </w:rPr>
        <w:t xml:space="preserve">For simplicity, any reference to a </w:t>
      </w:r>
      <w:r w:rsidRPr="00034967">
        <w:rPr>
          <w:sz w:val="24"/>
        </w:rPr>
        <w:t>state</w:t>
      </w:r>
      <w:r>
        <w:rPr>
          <w:sz w:val="24"/>
        </w:rPr>
        <w:t xml:space="preserve"> or entity in this Supporting Statement should be interpreted to include the District of Columbia and the five U.S</w:t>
      </w:r>
      <w:r w:rsidR="00B7053A">
        <w:rPr>
          <w:sz w:val="24"/>
        </w:rPr>
        <w:t xml:space="preserve">. </w:t>
      </w:r>
      <w:r>
        <w:rPr>
          <w:sz w:val="24"/>
        </w:rPr>
        <w:t>territories</w:t>
      </w:r>
      <w:r w:rsidR="00B7053A">
        <w:rPr>
          <w:sz w:val="24"/>
        </w:rPr>
        <w:t xml:space="preserve">.  </w:t>
      </w:r>
    </w:p>
    <w:p w:rsidR="00BF22DC" w:rsidP="00BF22DC" w:rsidRDefault="00BF22DC" w14:paraId="775573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BF22DC" w:rsidR="00BF22DC" w:rsidP="00BF22DC" w:rsidRDefault="00BF22DC" w14:paraId="2445B0BD" w14:textId="3E6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w:t>
      </w:r>
      <w:r w:rsidR="00230D4E">
        <w:rPr>
          <w:rFonts w:eastAsiaTheme="minorEastAsia"/>
          <w:sz w:val="24"/>
        </w:rPr>
        <w:t>four</w:t>
      </w:r>
      <w:r w:rsidRPr="00BF22DC">
        <w:rPr>
          <w:rFonts w:eastAsiaTheme="minorEastAsia"/>
          <w:sz w:val="24"/>
        </w:rPr>
        <w:t xml:space="preserve"> significant laws that currently govern </w:t>
      </w:r>
      <w:r w:rsidR="0037108A">
        <w:rPr>
          <w:rFonts w:eastAsiaTheme="minorEastAsia"/>
          <w:sz w:val="24"/>
        </w:rPr>
        <w:t xml:space="preserve">the </w:t>
      </w:r>
      <w:r w:rsidR="00680119">
        <w:rPr>
          <w:rFonts w:eastAsiaTheme="minorEastAsia"/>
          <w:sz w:val="24"/>
        </w:rPr>
        <w:t xml:space="preserve">NPDB </w:t>
      </w:r>
      <w:r w:rsidRPr="00BF22DC" w:rsidR="00680119">
        <w:rPr>
          <w:rFonts w:eastAsiaTheme="minorEastAsia"/>
          <w:sz w:val="24"/>
        </w:rPr>
        <w:t>operations</w:t>
      </w:r>
      <w:r w:rsidRPr="00BF22DC">
        <w:rPr>
          <w:rFonts w:eastAsiaTheme="minorEastAsia"/>
          <w:sz w:val="24"/>
        </w:rPr>
        <w:t xml:space="preserve"> are summarized</w:t>
      </w:r>
      <w:r w:rsidR="00F0421A">
        <w:rPr>
          <w:rFonts w:eastAsiaTheme="minorEastAsia"/>
          <w:sz w:val="24"/>
        </w:rPr>
        <w:t xml:space="preserve"> </w:t>
      </w:r>
      <w:r w:rsidRPr="00BF22DC">
        <w:rPr>
          <w:rFonts w:eastAsiaTheme="minorEastAsia"/>
          <w:sz w:val="24"/>
        </w:rPr>
        <w:t>below</w:t>
      </w:r>
      <w:r w:rsidR="00B7053A">
        <w:rPr>
          <w:rFonts w:eastAsiaTheme="minorEastAsia"/>
          <w:sz w:val="24"/>
        </w:rPr>
        <w:t xml:space="preserve">.  </w:t>
      </w:r>
      <w:r w:rsidR="0037108A">
        <w:rPr>
          <w:rFonts w:eastAsiaTheme="minorEastAsia"/>
          <w:sz w:val="24"/>
        </w:rPr>
        <w:t xml:space="preserve">The </w:t>
      </w:r>
      <w:r w:rsidR="00680119">
        <w:rPr>
          <w:rFonts w:eastAsiaTheme="minorEastAsia"/>
          <w:sz w:val="24"/>
        </w:rPr>
        <w:t xml:space="preserve">NPDB </w:t>
      </w:r>
      <w:r w:rsidRPr="00BF22DC" w:rsidR="00680119">
        <w:rPr>
          <w:rFonts w:eastAsiaTheme="minorEastAsia"/>
          <w:sz w:val="24"/>
        </w:rPr>
        <w:t>regulations</w:t>
      </w:r>
      <w:r w:rsidRPr="00BF22DC">
        <w:rPr>
          <w:rFonts w:eastAsiaTheme="minorEastAsia"/>
          <w:sz w:val="24"/>
        </w:rPr>
        <w:t xml:space="preserve"> implementing these laws are codified at </w:t>
      </w:r>
      <w:hyperlink w:history="1" r:id="rId13">
        <w:r w:rsidRPr="00112474">
          <w:rPr>
            <w:rStyle w:val="Hyperlink"/>
            <w:rFonts w:eastAsiaTheme="minorEastAsia"/>
            <w:sz w:val="24"/>
          </w:rPr>
          <w:t>45 CFR Part 60</w:t>
        </w:r>
      </w:hyperlink>
      <w:r w:rsidRPr="00BF22DC">
        <w:rPr>
          <w:rFonts w:eastAsiaTheme="minorEastAsia"/>
          <w:sz w:val="24"/>
        </w:rPr>
        <w:t>.</w:t>
      </w:r>
    </w:p>
    <w:p w:rsidR="00AE1EE7" w:rsidP="00BF22DC" w:rsidRDefault="00AE1EE7" w14:paraId="209A1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17126C" w:rsidR="00AE1EE7" w:rsidP="00BF22DC" w:rsidRDefault="00DB40EB" w14:paraId="69ABD86F" w14:textId="75610778">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eastAsiaTheme="minorEastAsia"/>
          <w:b/>
          <w:color w:val="auto"/>
          <w:sz w:val="24"/>
          <w:u w:val="none"/>
        </w:rPr>
      </w:pPr>
      <w:hyperlink w:history="1" r:id="rId14">
        <w:r w:rsidRPr="000C612B" w:rsidR="000C612B">
          <w:rPr>
            <w:rStyle w:val="Hyperlink"/>
            <w:rFonts w:eastAsiaTheme="minorEastAsia"/>
            <w:b/>
            <w:sz w:val="24"/>
          </w:rPr>
          <w:t xml:space="preserve">Title IV of Public Law 99-660, Health Care Quality Improvement Act (HCQIA) of 1986 </w:t>
        </w:r>
      </w:hyperlink>
    </w:p>
    <w:p w:rsidRPr="001E4CEB" w:rsidR="0017126C" w:rsidP="0017126C" w:rsidRDefault="0017126C" w14:paraId="266886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heme="minorEastAsia"/>
          <w:b/>
          <w:sz w:val="24"/>
        </w:rPr>
      </w:pPr>
    </w:p>
    <w:p w:rsidRPr="00BF22DC" w:rsidR="00BF22DC" w:rsidP="00BF22DC" w:rsidRDefault="00BF22DC" w14:paraId="009B046D" w14:textId="6A45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The intent of Title IV is to improve the quality of health care by encouraging State</w:t>
      </w:r>
      <w:r w:rsidR="00F0421A">
        <w:rPr>
          <w:rFonts w:eastAsiaTheme="minorEastAsia"/>
          <w:sz w:val="24"/>
        </w:rPr>
        <w:t xml:space="preserve"> </w:t>
      </w:r>
      <w:r w:rsidRPr="00BF22DC">
        <w:rPr>
          <w:rFonts w:eastAsiaTheme="minorEastAsia"/>
          <w:sz w:val="24"/>
        </w:rPr>
        <w:t>licensing boards, professional societies, hospitals, and other health care entities to</w:t>
      </w:r>
      <w:r w:rsidR="00F0421A">
        <w:rPr>
          <w:rFonts w:eastAsiaTheme="minorEastAsia"/>
          <w:sz w:val="24"/>
        </w:rPr>
        <w:t xml:space="preserve"> restrict the ability of </w:t>
      </w:r>
      <w:r w:rsidRPr="00BF22DC">
        <w:rPr>
          <w:rFonts w:eastAsiaTheme="minorEastAsia"/>
          <w:sz w:val="24"/>
        </w:rPr>
        <w:t>incompetent physicians, dentists, and other health care</w:t>
      </w:r>
      <w:r w:rsidR="00F0421A">
        <w:rPr>
          <w:rFonts w:eastAsiaTheme="minorEastAsia"/>
          <w:sz w:val="24"/>
        </w:rPr>
        <w:t xml:space="preserve"> </w:t>
      </w:r>
      <w:r w:rsidRPr="00BF22DC">
        <w:rPr>
          <w:rFonts w:eastAsiaTheme="minorEastAsia"/>
          <w:sz w:val="24"/>
        </w:rPr>
        <w:t>practitioners to move from State to State without disclosure or discovery of</w:t>
      </w:r>
      <w:r w:rsidR="00F0421A">
        <w:rPr>
          <w:rFonts w:eastAsiaTheme="minorEastAsia"/>
          <w:sz w:val="24"/>
        </w:rPr>
        <w:t xml:space="preserve"> </w:t>
      </w:r>
      <w:r w:rsidRPr="00BF22DC">
        <w:rPr>
          <w:rFonts w:eastAsiaTheme="minorEastAsia"/>
          <w:sz w:val="24"/>
        </w:rPr>
        <w:t>previous medical malpractice payment and adverse action history</w:t>
      </w:r>
      <w:r w:rsidR="0017126C">
        <w:rPr>
          <w:rFonts w:eastAsiaTheme="minorEastAsia"/>
          <w:sz w:val="24"/>
        </w:rPr>
        <w:t xml:space="preserve">.  </w:t>
      </w:r>
      <w:r w:rsidRPr="00BF22DC">
        <w:rPr>
          <w:rFonts w:eastAsiaTheme="minorEastAsia"/>
          <w:sz w:val="24"/>
        </w:rPr>
        <w:t>These adverse</w:t>
      </w:r>
      <w:r w:rsidR="00F0421A">
        <w:rPr>
          <w:rFonts w:eastAsiaTheme="minorEastAsia"/>
          <w:sz w:val="24"/>
        </w:rPr>
        <w:t xml:space="preserve"> </w:t>
      </w:r>
      <w:r w:rsidRPr="00BF22DC">
        <w:rPr>
          <w:rFonts w:eastAsiaTheme="minorEastAsia"/>
          <w:sz w:val="24"/>
        </w:rPr>
        <w:t>actions include certain licensure, clinical privileges, and professional society</w:t>
      </w:r>
      <w:r w:rsidR="00F0421A">
        <w:rPr>
          <w:rFonts w:eastAsiaTheme="minorEastAsia"/>
          <w:sz w:val="24"/>
        </w:rPr>
        <w:t xml:space="preserve"> </w:t>
      </w:r>
      <w:r w:rsidRPr="00BF22DC">
        <w:rPr>
          <w:rFonts w:eastAsiaTheme="minorEastAsia"/>
          <w:sz w:val="24"/>
        </w:rPr>
        <w:t>membership actions, as well as Drug Enforcement Administration (DEA)</w:t>
      </w:r>
      <w:r w:rsidR="00F0421A">
        <w:rPr>
          <w:rFonts w:eastAsiaTheme="minorEastAsia"/>
          <w:sz w:val="24"/>
        </w:rPr>
        <w:t xml:space="preserve"> </w:t>
      </w:r>
      <w:r w:rsidRPr="00BF22DC">
        <w:rPr>
          <w:rFonts w:eastAsiaTheme="minorEastAsia"/>
          <w:sz w:val="24"/>
        </w:rPr>
        <w:t>controlled-substance registration actions and exclusions from participation in</w:t>
      </w:r>
      <w:r w:rsidR="00F0421A">
        <w:rPr>
          <w:rFonts w:eastAsiaTheme="minorEastAsia"/>
          <w:sz w:val="24"/>
        </w:rPr>
        <w:t xml:space="preserve"> </w:t>
      </w:r>
      <w:r w:rsidRPr="00BF22DC">
        <w:rPr>
          <w:rFonts w:eastAsiaTheme="minorEastAsia"/>
          <w:sz w:val="24"/>
        </w:rPr>
        <w:t>Medicare, Medicaid, and other Federal health care programs.</w:t>
      </w:r>
    </w:p>
    <w:p w:rsidR="00BF22DC" w:rsidP="00BF22DC" w:rsidRDefault="00BF22DC" w14:paraId="56058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EB23AF" w:rsidR="00BF22DC" w:rsidP="00AE1EE7" w:rsidRDefault="00EB23AF" w14:paraId="206989AE" w14:textId="77777777">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eastAsiaTheme="minorEastAsia"/>
          <w:b/>
          <w:sz w:val="24"/>
        </w:rPr>
      </w:pPr>
      <w:r>
        <w:rPr>
          <w:rFonts w:eastAsiaTheme="minorEastAsia"/>
          <w:b/>
          <w:sz w:val="24"/>
        </w:rPr>
        <w:fldChar w:fldCharType="begin"/>
      </w:r>
      <w:r>
        <w:rPr>
          <w:rFonts w:eastAsiaTheme="minorEastAsia"/>
          <w:b/>
          <w:sz w:val="24"/>
        </w:rPr>
        <w:instrText xml:space="preserve"> HYPERLINK "https://www.ssa.gov/OP_Home/ssact/title19/1921.htm" </w:instrText>
      </w:r>
      <w:r>
        <w:rPr>
          <w:rFonts w:eastAsiaTheme="minorEastAsia"/>
          <w:b/>
          <w:sz w:val="24"/>
        </w:rPr>
        <w:fldChar w:fldCharType="separate"/>
      </w:r>
      <w:r w:rsidRPr="00EB23AF" w:rsidR="000C612B">
        <w:rPr>
          <w:rStyle w:val="Hyperlink"/>
          <w:rFonts w:eastAsiaTheme="minorEastAsia"/>
          <w:b/>
          <w:sz w:val="24"/>
        </w:rPr>
        <w:t>Section 1921 of the Social Security Act</w:t>
      </w:r>
    </w:p>
    <w:p w:rsidRPr="00BF22DC" w:rsidR="00BF22DC" w:rsidP="00BF22DC" w:rsidRDefault="00EB23AF" w14:paraId="6A42D7E2" w14:textId="63E4D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rPr>
        <w:fldChar w:fldCharType="end"/>
      </w:r>
    </w:p>
    <w:p w:rsidRPr="00BF22DC" w:rsidR="00BF22DC" w:rsidP="00BF22DC" w:rsidRDefault="00BF22DC" w14:paraId="2160E646" w14:textId="70372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Section 1921 was enacted to provide protection from unfit health care practitioners</w:t>
      </w:r>
      <w:r w:rsidR="00F0421A">
        <w:rPr>
          <w:rFonts w:eastAsiaTheme="minorEastAsia"/>
          <w:sz w:val="24"/>
        </w:rPr>
        <w:t xml:space="preserve"> </w:t>
      </w:r>
      <w:r w:rsidRPr="00BF22DC">
        <w:rPr>
          <w:rFonts w:eastAsiaTheme="minorEastAsia"/>
          <w:sz w:val="24"/>
        </w:rPr>
        <w:t>to beneficiaries participating in Medicare and State health care programs and to</w:t>
      </w:r>
      <w:r w:rsidR="00F0421A">
        <w:rPr>
          <w:rFonts w:eastAsiaTheme="minorEastAsia"/>
          <w:sz w:val="24"/>
        </w:rPr>
        <w:t xml:space="preserve"> </w:t>
      </w:r>
      <w:r w:rsidRPr="00BF22DC">
        <w:rPr>
          <w:rFonts w:eastAsiaTheme="minorEastAsia"/>
          <w:sz w:val="24"/>
        </w:rPr>
        <w:t>improve the anti-fraud provisions of these programs</w:t>
      </w:r>
      <w:r w:rsidR="0017126C">
        <w:rPr>
          <w:rFonts w:eastAsiaTheme="minorEastAsia"/>
          <w:sz w:val="24"/>
        </w:rPr>
        <w:t xml:space="preserve">.  </w:t>
      </w:r>
      <w:r w:rsidRPr="00BF22DC">
        <w:rPr>
          <w:rFonts w:eastAsiaTheme="minorEastAsia"/>
          <w:sz w:val="24"/>
        </w:rPr>
        <w:t>Information collected and</w:t>
      </w:r>
      <w:r w:rsidR="00F0421A">
        <w:rPr>
          <w:rFonts w:eastAsiaTheme="minorEastAsia"/>
          <w:sz w:val="24"/>
        </w:rPr>
        <w:t xml:space="preserve"> </w:t>
      </w:r>
      <w:r w:rsidRPr="00BF22DC">
        <w:rPr>
          <w:rFonts w:eastAsiaTheme="minorEastAsia"/>
          <w:sz w:val="24"/>
        </w:rPr>
        <w:t>disclosed by the NPDB under Section 1921 includes State licensure and</w:t>
      </w:r>
      <w:r w:rsidR="00F0421A">
        <w:rPr>
          <w:rFonts w:eastAsiaTheme="minorEastAsia"/>
          <w:sz w:val="24"/>
        </w:rPr>
        <w:t xml:space="preserve"> </w:t>
      </w:r>
      <w:r w:rsidRPr="00BF22DC">
        <w:rPr>
          <w:rFonts w:eastAsiaTheme="minorEastAsia"/>
          <w:sz w:val="24"/>
        </w:rPr>
        <w:t>certification actions against health care practitioners, entities, providers, and</w:t>
      </w:r>
      <w:r w:rsidR="00F0421A">
        <w:rPr>
          <w:rFonts w:eastAsiaTheme="minorEastAsia"/>
          <w:sz w:val="24"/>
        </w:rPr>
        <w:t xml:space="preserve"> </w:t>
      </w:r>
      <w:r w:rsidRPr="00BF22DC">
        <w:rPr>
          <w:rFonts w:eastAsiaTheme="minorEastAsia"/>
          <w:sz w:val="24"/>
        </w:rPr>
        <w:t>suppliers; negative actions or findings by peer review organizations and private</w:t>
      </w:r>
      <w:r w:rsidR="00F0421A">
        <w:rPr>
          <w:rFonts w:eastAsiaTheme="minorEastAsia"/>
          <w:sz w:val="24"/>
        </w:rPr>
        <w:t xml:space="preserve"> </w:t>
      </w:r>
      <w:r w:rsidRPr="00BF22DC">
        <w:rPr>
          <w:rFonts w:eastAsiaTheme="minorEastAsia"/>
          <w:sz w:val="24"/>
        </w:rPr>
        <w:t>accreditation organizations; and certain final adverse actions taken by certain State</w:t>
      </w:r>
    </w:p>
    <w:p w:rsidR="00BF22DC" w:rsidP="00BF22DC" w:rsidRDefault="00F0421A" w14:paraId="1D6ED7DC" w14:textId="290E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Agencies</w:t>
      </w:r>
      <w:r w:rsidRPr="00BF22DC" w:rsidR="00BF22DC">
        <w:rPr>
          <w:rFonts w:eastAsiaTheme="minorEastAsia"/>
          <w:sz w:val="24"/>
        </w:rPr>
        <w:t>, including State law enforcement agencies, State Medicaid fraud control</w:t>
      </w:r>
      <w:r>
        <w:rPr>
          <w:rFonts w:eastAsiaTheme="minorEastAsia"/>
          <w:sz w:val="24"/>
        </w:rPr>
        <w:t xml:space="preserve"> </w:t>
      </w:r>
      <w:r w:rsidRPr="00BF22DC" w:rsidR="00BF22DC">
        <w:rPr>
          <w:rFonts w:eastAsiaTheme="minorEastAsia"/>
          <w:sz w:val="24"/>
        </w:rPr>
        <w:t xml:space="preserve">units, and </w:t>
      </w:r>
      <w:r w:rsidRPr="00BF22DC" w:rsidR="00BF22DC">
        <w:rPr>
          <w:rFonts w:eastAsiaTheme="minorEastAsia"/>
          <w:sz w:val="24"/>
        </w:rPr>
        <w:lastRenderedPageBreak/>
        <w:t>State agencies administering or supervising the administration of State</w:t>
      </w:r>
      <w:r>
        <w:rPr>
          <w:rFonts w:eastAsiaTheme="minorEastAsia"/>
          <w:sz w:val="24"/>
        </w:rPr>
        <w:t xml:space="preserve"> </w:t>
      </w:r>
      <w:r w:rsidRPr="00BF22DC" w:rsidR="00BF22DC">
        <w:rPr>
          <w:rFonts w:eastAsiaTheme="minorEastAsia"/>
          <w:sz w:val="24"/>
        </w:rPr>
        <w:t>health care programs</w:t>
      </w:r>
      <w:r w:rsidR="00B7053A">
        <w:rPr>
          <w:rFonts w:eastAsiaTheme="minorEastAsia"/>
          <w:sz w:val="24"/>
        </w:rPr>
        <w:t xml:space="preserve">.  </w:t>
      </w:r>
      <w:r w:rsidRPr="00BF22DC" w:rsidR="00BF22DC">
        <w:rPr>
          <w:rFonts w:eastAsiaTheme="minorEastAsia"/>
          <w:sz w:val="24"/>
        </w:rPr>
        <w:t>These final adverse actions include exclusions from a State</w:t>
      </w:r>
      <w:r w:rsidRPr="00BF22DC" w:rsidR="00BF22DC">
        <w:t xml:space="preserve"> </w:t>
      </w:r>
      <w:r w:rsidRPr="00BF22DC" w:rsidR="00BF22DC">
        <w:rPr>
          <w:rFonts w:eastAsiaTheme="minorEastAsia"/>
          <w:sz w:val="24"/>
        </w:rPr>
        <w:t>health ca</w:t>
      </w:r>
      <w:r>
        <w:rPr>
          <w:rFonts w:eastAsiaTheme="minorEastAsia"/>
          <w:sz w:val="24"/>
        </w:rPr>
        <w:t xml:space="preserve">re program, health care-related </w:t>
      </w:r>
      <w:r w:rsidRPr="00BF22DC" w:rsidR="00BF22DC">
        <w:rPr>
          <w:rFonts w:eastAsiaTheme="minorEastAsia"/>
          <w:sz w:val="24"/>
        </w:rPr>
        <w:t>criminal convictions and civil judgments in</w:t>
      </w:r>
      <w:r>
        <w:rPr>
          <w:rFonts w:eastAsiaTheme="minorEastAsia"/>
          <w:sz w:val="24"/>
        </w:rPr>
        <w:t xml:space="preserve"> </w:t>
      </w:r>
      <w:r w:rsidRPr="00BF22DC" w:rsidR="00BF22DC">
        <w:rPr>
          <w:rFonts w:eastAsiaTheme="minorEastAsia"/>
          <w:sz w:val="24"/>
        </w:rPr>
        <w:t>State court, and other adjudicated actions or decisions specified in regulations.</w:t>
      </w:r>
    </w:p>
    <w:p w:rsidRPr="00BF22DC" w:rsidR="00BF22DC" w:rsidP="00BF22DC" w:rsidRDefault="00BF22DC" w14:paraId="405BD0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17126C" w:rsidR="00BF22DC" w:rsidP="00AE1EE7" w:rsidRDefault="00DB40EB" w14:paraId="4F465DBA" w14:textId="3BB7249E">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rFonts w:eastAsiaTheme="minorEastAsia"/>
          <w:b/>
          <w:color w:val="auto"/>
          <w:sz w:val="24"/>
          <w:u w:val="none"/>
        </w:rPr>
      </w:pPr>
      <w:hyperlink w:history="1" r:id="rId15">
        <w:r w:rsidRPr="00657A5F" w:rsidR="005D6C51">
          <w:rPr>
            <w:rStyle w:val="Hyperlink"/>
            <w:b/>
            <w:sz w:val="24"/>
          </w:rPr>
          <w:t>Section 1128E of the Social Security Act</w:t>
        </w:r>
      </w:hyperlink>
    </w:p>
    <w:p w:rsidRPr="00AE1EE7" w:rsidR="0017126C" w:rsidP="0017126C" w:rsidRDefault="0017126C" w14:paraId="7C049D2F"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DA6505" w:rsidP="00BF22DC" w:rsidRDefault="00BF22DC" w14:paraId="66C5A7FA" w14:textId="7EE6A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original purpose of </w:t>
      </w:r>
      <w:hyperlink w:history="1" r:id="rId16">
        <w:r w:rsidRPr="005D6C51">
          <w:rPr>
            <w:rStyle w:val="Hyperlink"/>
            <w:rFonts w:eastAsiaTheme="minorEastAsia"/>
            <w:sz w:val="24"/>
          </w:rPr>
          <w:t>Section 1128E</w:t>
        </w:r>
      </w:hyperlink>
      <w:r w:rsidRPr="00BF22DC">
        <w:rPr>
          <w:rFonts w:eastAsiaTheme="minorEastAsia"/>
          <w:sz w:val="24"/>
        </w:rPr>
        <w:t xml:space="preserve"> was to establish a national data collection</w:t>
      </w:r>
      <w:r w:rsidR="00F0421A">
        <w:rPr>
          <w:rFonts w:eastAsiaTheme="minorEastAsia"/>
          <w:sz w:val="24"/>
        </w:rPr>
        <w:t xml:space="preserve"> program, </w:t>
      </w:r>
      <w:r w:rsidRPr="00BF22DC">
        <w:rPr>
          <w:rFonts w:eastAsiaTheme="minorEastAsia"/>
          <w:sz w:val="24"/>
        </w:rPr>
        <w:t>formerly known as the HIPDB, to combat health care fraud and abuse</w:t>
      </w:r>
      <w:r w:rsidR="0017126C">
        <w:rPr>
          <w:rFonts w:eastAsiaTheme="minorEastAsia"/>
          <w:sz w:val="24"/>
        </w:rPr>
        <w:t xml:space="preserve">.  </w:t>
      </w:r>
      <w:r w:rsidR="00F0421A">
        <w:rPr>
          <w:rFonts w:eastAsiaTheme="minorEastAsia"/>
          <w:sz w:val="24"/>
        </w:rPr>
        <w:t xml:space="preserve">Section 1128E </w:t>
      </w:r>
      <w:r w:rsidRPr="00BF22DC">
        <w:rPr>
          <w:rFonts w:eastAsiaTheme="minorEastAsia"/>
          <w:sz w:val="24"/>
        </w:rPr>
        <w:t>information is now collected and disclosed by the NPDB and</w:t>
      </w:r>
      <w:r w:rsidR="00F0421A">
        <w:rPr>
          <w:rFonts w:eastAsiaTheme="minorEastAsia"/>
          <w:sz w:val="24"/>
        </w:rPr>
        <w:t xml:space="preserve"> </w:t>
      </w:r>
      <w:r w:rsidRPr="00BF22DC">
        <w:rPr>
          <w:rFonts w:eastAsiaTheme="minorEastAsia"/>
          <w:sz w:val="24"/>
        </w:rPr>
        <w:t>includes certain final adverse actions taken by Federal agencies and health plans</w:t>
      </w:r>
      <w:r w:rsidR="00F0421A">
        <w:rPr>
          <w:rFonts w:eastAsiaTheme="minorEastAsia"/>
          <w:sz w:val="24"/>
        </w:rPr>
        <w:t xml:space="preserve"> </w:t>
      </w:r>
      <w:r w:rsidRPr="00BF22DC">
        <w:rPr>
          <w:rFonts w:eastAsiaTheme="minorEastAsia"/>
          <w:sz w:val="24"/>
        </w:rPr>
        <w:t>against health care practitioners, providers, and suppliers</w:t>
      </w:r>
      <w:r w:rsidR="0017126C">
        <w:rPr>
          <w:rFonts w:eastAsiaTheme="minorEastAsia"/>
          <w:sz w:val="24"/>
        </w:rPr>
        <w:t xml:space="preserve">.  </w:t>
      </w:r>
      <w:r w:rsidRPr="00BF22DC">
        <w:rPr>
          <w:rFonts w:eastAsiaTheme="minorEastAsia"/>
          <w:sz w:val="24"/>
        </w:rPr>
        <w:t>These actions consist of</w:t>
      </w:r>
      <w:r w:rsidR="00F0421A">
        <w:rPr>
          <w:rFonts w:eastAsiaTheme="minorEastAsia"/>
          <w:sz w:val="24"/>
        </w:rPr>
        <w:t xml:space="preserve"> </w:t>
      </w:r>
      <w:r w:rsidRPr="00BF22DC">
        <w:rPr>
          <w:rFonts w:eastAsiaTheme="minorEastAsia"/>
          <w:sz w:val="24"/>
        </w:rPr>
        <w:t>Federal licensure and certification actions, exclusions from participation in a</w:t>
      </w:r>
      <w:r w:rsidR="00F0421A">
        <w:rPr>
          <w:rFonts w:eastAsiaTheme="minorEastAsia"/>
          <w:sz w:val="24"/>
        </w:rPr>
        <w:t xml:space="preserve"> </w:t>
      </w:r>
      <w:r w:rsidRPr="00BF22DC">
        <w:rPr>
          <w:rFonts w:eastAsiaTheme="minorEastAsia"/>
          <w:sz w:val="24"/>
        </w:rPr>
        <w:t>Federal health care program, health care-related criminal convictions and civil</w:t>
      </w:r>
      <w:r w:rsidR="00F0421A">
        <w:rPr>
          <w:rFonts w:eastAsiaTheme="minorEastAsia"/>
          <w:sz w:val="24"/>
        </w:rPr>
        <w:t xml:space="preserve"> </w:t>
      </w:r>
      <w:r w:rsidRPr="00BF22DC">
        <w:rPr>
          <w:rFonts w:eastAsiaTheme="minorEastAsia"/>
          <w:sz w:val="24"/>
        </w:rPr>
        <w:t>judgments, and other adjudicated actions or decisions specified in regulations</w:t>
      </w:r>
      <w:r w:rsidR="0017126C">
        <w:rPr>
          <w:rFonts w:eastAsiaTheme="minorEastAsia"/>
          <w:sz w:val="24"/>
        </w:rPr>
        <w:t xml:space="preserve">.  </w:t>
      </w:r>
      <w:r w:rsidRPr="00BF22DC">
        <w:rPr>
          <w:rFonts w:eastAsiaTheme="minorEastAsia"/>
          <w:sz w:val="24"/>
        </w:rPr>
        <w:t>Table A-1 outlines these statutes.</w:t>
      </w:r>
    </w:p>
    <w:p w:rsidRPr="001F7800" w:rsidR="00207305" w:rsidP="001F7800" w:rsidRDefault="00207305" w14:paraId="47CA19A1" w14:textId="77777777">
      <w:pPr>
        <w:pStyle w:val="BodyText"/>
        <w:spacing w:after="0"/>
        <w:rPr>
          <w:b/>
          <w:sz w:val="24"/>
        </w:rPr>
      </w:pPr>
    </w:p>
    <w:p w:rsidRPr="003F69AA" w:rsidR="003F69AA" w:rsidP="008478DA" w:rsidRDefault="00DB40EB" w14:paraId="7AF7FD41" w14:textId="77777777">
      <w:pPr>
        <w:pStyle w:val="ListParagraph"/>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hyperlink w:history="1" r:id="rId17">
        <w:r w:rsidRPr="008478DA" w:rsidR="003F69AA">
          <w:rPr>
            <w:rStyle w:val="Hyperlink"/>
            <w:rFonts w:eastAsiaTheme="minorEastAsia"/>
            <w:b/>
            <w:sz w:val="24"/>
          </w:rPr>
          <w:t>Section 6403 of the Patient Protection and Affordable Care Act of 2010</w:t>
        </w:r>
      </w:hyperlink>
    </w:p>
    <w:p w:rsidRPr="003F69AA" w:rsidR="003F69AA" w:rsidP="003F69AA" w:rsidRDefault="003F69AA" w14:paraId="16BBAF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Pr="00FB769A" w:rsidR="003F69AA" w:rsidP="003F69AA" w:rsidRDefault="003F69AA" w14:paraId="394042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FB769A">
        <w:rPr>
          <w:rFonts w:eastAsiaTheme="minorEastAsia"/>
          <w:sz w:val="24"/>
        </w:rPr>
        <w:t>Section 6403 of the Patient Protection and Affordable Care Act of 2010 (hereinafter referred to as Section 6403), Public Law 111-148, amended sections 1921 and 1128E to eliminate duplication between the former HIPDB and the NPDB, and required the Secretary to establish a transition period for transferring data collected in the HIPDB to the NPDB and to cease HIPDB operations, which occurred on May 6, 2013.</w:t>
      </w:r>
    </w:p>
    <w:p w:rsidRPr="003F69AA" w:rsidR="003F69AA" w:rsidP="003F69AA" w:rsidRDefault="003F69AA" w14:paraId="715691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u w:val="single"/>
        </w:rPr>
      </w:pPr>
    </w:p>
    <w:p w:rsidRPr="00825AF4" w:rsidR="005B2802" w:rsidP="005B2802" w:rsidRDefault="005B2802" w14:paraId="2F462056" w14:textId="4C90B74C">
      <w:pPr>
        <w:pStyle w:val="BodyText"/>
        <w:spacing w:after="0"/>
        <w:rPr>
          <w:b/>
          <w:sz w:val="24"/>
        </w:rPr>
      </w:pPr>
      <w:r w:rsidRPr="00825AF4">
        <w:rPr>
          <w:b/>
          <w:sz w:val="24"/>
        </w:rPr>
        <w:t>II</w:t>
      </w:r>
      <w:proofErr w:type="gramStart"/>
      <w:r w:rsidR="00B7053A">
        <w:rPr>
          <w:b/>
          <w:sz w:val="24"/>
        </w:rPr>
        <w:t xml:space="preserve">.  </w:t>
      </w:r>
      <w:r w:rsidRPr="00825AF4" w:rsidR="00DA6505">
        <w:rPr>
          <w:b/>
          <w:sz w:val="24"/>
        </w:rPr>
        <w:t>Information</w:t>
      </w:r>
      <w:proofErr w:type="gramEnd"/>
      <w:r w:rsidRPr="00825AF4" w:rsidR="00DA6505">
        <w:rPr>
          <w:b/>
          <w:sz w:val="24"/>
        </w:rPr>
        <w:t xml:space="preserve"> </w:t>
      </w:r>
      <w:r w:rsidR="006F6CA4">
        <w:rPr>
          <w:b/>
          <w:sz w:val="24"/>
        </w:rPr>
        <w:t xml:space="preserve">Collection </w:t>
      </w:r>
      <w:r w:rsidRPr="00825AF4" w:rsidR="00DA6505">
        <w:rPr>
          <w:b/>
          <w:sz w:val="24"/>
        </w:rPr>
        <w:t xml:space="preserve">and Compliance </w:t>
      </w:r>
    </w:p>
    <w:p w:rsidR="00DA6505" w:rsidP="005B2802" w:rsidRDefault="00DA6505" w14:paraId="30535DD5" w14:textId="77777777">
      <w:pPr>
        <w:pStyle w:val="BodyText"/>
        <w:spacing w:after="0"/>
        <w:rPr>
          <w:sz w:val="24"/>
        </w:rPr>
      </w:pPr>
    </w:p>
    <w:p w:rsidR="005B2802" w:rsidP="005B2802" w:rsidRDefault="005B2802" w14:paraId="09437F03" w14:textId="77777777">
      <w:pPr>
        <w:pStyle w:val="BodyText"/>
        <w:spacing w:after="0"/>
        <w:rPr>
          <w:sz w:val="24"/>
        </w:rPr>
      </w:pPr>
      <w:r w:rsidRPr="007842E1">
        <w:rPr>
          <w:sz w:val="24"/>
        </w:rPr>
        <w:t>The regulations in part</w:t>
      </w:r>
      <w:r w:rsidR="007F2DE1">
        <w:rPr>
          <w:sz w:val="24"/>
        </w:rPr>
        <w:t xml:space="preserve"> 45 CFR 60</w:t>
      </w:r>
      <w:r w:rsidRPr="007842E1">
        <w:rPr>
          <w:sz w:val="24"/>
        </w:rPr>
        <w:t xml:space="preserve"> establish reporting requirements applicable to hospitals, health care entities, Boards of Medical Examiners, and professional societies of health care practitioners which take adverse licensure or professional review actions; state licensing or certification authorities, peer review organizations, and private accreditation entities that take licensure or certification actions or negative actions or findings against health care practitioners, health care entities, providers, or suppliers; entities (including insurance companies) making payments as a result of medical malpractice actions or claims; and Federal government agencies, state law and fraud enforcement agencies and health plans that take final adverse actions against health care practitioners, providers, and suppliers.</w:t>
      </w:r>
    </w:p>
    <w:p w:rsidR="005B2802" w:rsidP="005B2802" w:rsidRDefault="005B2802" w14:paraId="7D6C4644" w14:textId="77777777">
      <w:pPr>
        <w:pStyle w:val="BodyText"/>
        <w:spacing w:after="0"/>
        <w:rPr>
          <w:sz w:val="24"/>
        </w:rPr>
      </w:pPr>
    </w:p>
    <w:p w:rsidR="007F2DE1" w:rsidP="007F2DE1" w:rsidRDefault="007F2DE1" w14:paraId="3DD0970A" w14:textId="5588D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I</w:t>
      </w:r>
      <w:r w:rsidRPr="0072393C">
        <w:rPr>
          <w:rFonts w:eastAsiaTheme="minorEastAsia"/>
          <w:sz w:val="24"/>
        </w:rPr>
        <w:t xml:space="preserve">nformation must be reported to the NPDB as required under </w:t>
      </w:r>
      <w:r w:rsidRPr="00760131">
        <w:rPr>
          <w:bCs/>
          <w:sz w:val="24"/>
        </w:rPr>
        <w:t>§</w:t>
      </w:r>
      <w:r>
        <w:rPr>
          <w:bCs/>
          <w:sz w:val="24"/>
        </w:rPr>
        <w:t>§ 6</w:t>
      </w:r>
      <w:r w:rsidRPr="0072393C">
        <w:rPr>
          <w:rFonts w:eastAsiaTheme="minorEastAsia"/>
          <w:sz w:val="24"/>
        </w:rPr>
        <w:t>0.7, 60.8, 60.9, 60.10, 60.11, 60.12, 60.13, 60.14, 60.15 and 60.16</w:t>
      </w:r>
      <w:r w:rsidR="00B7053A">
        <w:rPr>
          <w:rFonts w:eastAsiaTheme="minorEastAsia"/>
          <w:sz w:val="24"/>
        </w:rPr>
        <w:t xml:space="preserve">.  </w:t>
      </w:r>
      <w:r w:rsidRPr="0072393C">
        <w:rPr>
          <w:rFonts w:eastAsiaTheme="minorEastAsia"/>
          <w:sz w:val="24"/>
        </w:rPr>
        <w:t xml:space="preserve">Information required under </w:t>
      </w:r>
      <w:r w:rsidRPr="00760131">
        <w:rPr>
          <w:bCs/>
          <w:sz w:val="24"/>
        </w:rPr>
        <w:t>§</w:t>
      </w:r>
      <w:r>
        <w:rPr>
          <w:bCs/>
          <w:sz w:val="24"/>
        </w:rPr>
        <w:t>§ 6</w:t>
      </w:r>
      <w:r w:rsidRPr="0072393C">
        <w:rPr>
          <w:rFonts w:eastAsiaTheme="minorEastAsia"/>
          <w:sz w:val="24"/>
        </w:rPr>
        <w:t>0.7, 60.8, and 60.12 must be submitted to the NPDB within 30 days following the action to be reported, beginning with actions occurring on or after September 1, 1990; i</w:t>
      </w:r>
      <w:r>
        <w:rPr>
          <w:rFonts w:eastAsiaTheme="minorEastAsia"/>
          <w:sz w:val="24"/>
        </w:rPr>
        <w:t xml:space="preserve">nformation required under </w:t>
      </w:r>
      <w:r>
        <w:rPr>
          <w:bCs/>
          <w:sz w:val="24"/>
        </w:rPr>
        <w:t xml:space="preserve">§ </w:t>
      </w:r>
      <w:r w:rsidRPr="0072393C">
        <w:rPr>
          <w:rFonts w:eastAsiaTheme="minorEastAsia"/>
          <w:sz w:val="24"/>
        </w:rPr>
        <w:t xml:space="preserve">60.11 must be submitted to the NPDB within 30 days following the action to be reported, beginning with actions occurring on or after January 1, 1992; and information required under </w:t>
      </w:r>
      <w:r w:rsidRPr="00760131">
        <w:rPr>
          <w:bCs/>
          <w:sz w:val="24"/>
        </w:rPr>
        <w:t>§</w:t>
      </w:r>
      <w:r>
        <w:rPr>
          <w:bCs/>
          <w:sz w:val="24"/>
        </w:rPr>
        <w:t>§ 6</w:t>
      </w:r>
      <w:r w:rsidRPr="0072393C">
        <w:rPr>
          <w:rFonts w:eastAsiaTheme="minorEastAsia"/>
          <w:sz w:val="24"/>
        </w:rPr>
        <w:t>0.9, 60.10, 60.13, 60.14, 60.15, and 60.16 must be submitted to the NPDB within 30 days following the action to be reported, beginning with actions occurring on or after August 21, 1996</w:t>
      </w:r>
      <w:r w:rsidR="00B7053A">
        <w:rPr>
          <w:rFonts w:eastAsiaTheme="minorEastAsia"/>
          <w:sz w:val="24"/>
        </w:rPr>
        <w:t xml:space="preserve">.  </w:t>
      </w:r>
      <w:r>
        <w:rPr>
          <w:rFonts w:eastAsiaTheme="minorEastAsia"/>
          <w:sz w:val="24"/>
        </w:rPr>
        <w:t>Below</w:t>
      </w:r>
      <w:r w:rsidRPr="0072393C">
        <w:rPr>
          <w:rFonts w:eastAsiaTheme="minorEastAsia"/>
          <w:sz w:val="24"/>
        </w:rPr>
        <w:t xml:space="preserve"> is the list of reportable actions:</w:t>
      </w:r>
    </w:p>
    <w:p w:rsidRPr="0072393C" w:rsidR="007F2DE1" w:rsidP="007F2DE1" w:rsidRDefault="007F2DE1" w14:paraId="063F29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7F2DE1" w:rsidP="007F2DE1" w:rsidRDefault="007F2DE1" w14:paraId="402EEA41"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lastRenderedPageBreak/>
        <w:t>Ma</w:t>
      </w:r>
      <w:r>
        <w:rPr>
          <w:rFonts w:eastAsiaTheme="minorEastAsia"/>
          <w:sz w:val="24"/>
        </w:rPr>
        <w:t>lpractice payments (</w:t>
      </w:r>
      <w:r>
        <w:rPr>
          <w:bCs/>
          <w:sz w:val="24"/>
        </w:rPr>
        <w:t>§ 6</w:t>
      </w:r>
      <w:r w:rsidRPr="00A33381">
        <w:rPr>
          <w:rFonts w:eastAsiaTheme="minorEastAsia"/>
          <w:sz w:val="24"/>
        </w:rPr>
        <w:t>0.7);</w:t>
      </w:r>
    </w:p>
    <w:p w:rsidR="007F2DE1" w:rsidP="007F2DE1" w:rsidRDefault="007F2DE1" w14:paraId="62DD849F"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Licensure and ce</w:t>
      </w:r>
      <w:r>
        <w:rPr>
          <w:rFonts w:eastAsiaTheme="minorEastAsia"/>
          <w:sz w:val="24"/>
        </w:rPr>
        <w:t>rtification actions (</w:t>
      </w:r>
      <w:r w:rsidRPr="00760131">
        <w:rPr>
          <w:bCs/>
          <w:sz w:val="24"/>
        </w:rPr>
        <w:t>§</w:t>
      </w:r>
      <w:r>
        <w:rPr>
          <w:bCs/>
          <w:sz w:val="24"/>
        </w:rPr>
        <w:t>§ 6</w:t>
      </w:r>
      <w:r w:rsidRPr="00A33381">
        <w:rPr>
          <w:rFonts w:eastAsiaTheme="minorEastAsia"/>
          <w:sz w:val="24"/>
        </w:rPr>
        <w:t>0.8, 60.9, and 60.10);</w:t>
      </w:r>
    </w:p>
    <w:p w:rsidR="007F2DE1" w:rsidP="007F2DE1" w:rsidRDefault="007F2DE1" w14:paraId="6735ACC3"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Nega</w:t>
      </w:r>
      <w:r>
        <w:rPr>
          <w:rFonts w:eastAsiaTheme="minorEastAsia"/>
          <w:sz w:val="24"/>
        </w:rPr>
        <w:t>tive actions or findings (</w:t>
      </w:r>
      <w:r>
        <w:rPr>
          <w:bCs/>
          <w:sz w:val="24"/>
        </w:rPr>
        <w:t>§ 6</w:t>
      </w:r>
      <w:r w:rsidRPr="00A33381">
        <w:rPr>
          <w:rFonts w:eastAsiaTheme="minorEastAsia"/>
          <w:sz w:val="24"/>
        </w:rPr>
        <w:t>0.11);</w:t>
      </w:r>
    </w:p>
    <w:p w:rsidR="007F2DE1" w:rsidP="007F2DE1" w:rsidRDefault="007F2DE1" w14:paraId="1131AF5A"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Adverse actions (</w:t>
      </w:r>
      <w:r>
        <w:rPr>
          <w:bCs/>
          <w:sz w:val="24"/>
        </w:rPr>
        <w:t>§ 6</w:t>
      </w:r>
      <w:r w:rsidRPr="00A33381">
        <w:rPr>
          <w:rFonts w:eastAsiaTheme="minorEastAsia"/>
          <w:sz w:val="24"/>
        </w:rPr>
        <w:t>0.12);</w:t>
      </w:r>
    </w:p>
    <w:p w:rsidR="007F2DE1" w:rsidP="007F2DE1" w:rsidRDefault="007F2DE1" w14:paraId="3A20C27F"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criminal convictions (</w:t>
      </w:r>
      <w:r>
        <w:rPr>
          <w:bCs/>
          <w:sz w:val="24"/>
        </w:rPr>
        <w:t>§ 6</w:t>
      </w:r>
      <w:r w:rsidRPr="00A33381">
        <w:rPr>
          <w:rFonts w:eastAsiaTheme="minorEastAsia"/>
          <w:sz w:val="24"/>
        </w:rPr>
        <w:t>0.13);</w:t>
      </w:r>
    </w:p>
    <w:p w:rsidR="007F2DE1" w:rsidP="007F2DE1" w:rsidRDefault="007F2DE1" w14:paraId="15D261D3"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civil judgments (</w:t>
      </w:r>
      <w:r>
        <w:rPr>
          <w:bCs/>
          <w:sz w:val="24"/>
        </w:rPr>
        <w:t>§ 6</w:t>
      </w:r>
      <w:r w:rsidRPr="00A33381">
        <w:rPr>
          <w:rFonts w:eastAsiaTheme="minorEastAsia"/>
          <w:sz w:val="24"/>
        </w:rPr>
        <w:t>0.14);</w:t>
      </w:r>
    </w:p>
    <w:p w:rsidR="007F2DE1" w:rsidP="007F2DE1" w:rsidRDefault="007F2DE1" w14:paraId="42FF8D68"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Exclusions from Federal or S</w:t>
      </w:r>
      <w:r>
        <w:rPr>
          <w:rFonts w:eastAsiaTheme="minorEastAsia"/>
          <w:sz w:val="24"/>
        </w:rPr>
        <w:t>tate health care programs (</w:t>
      </w:r>
      <w:r>
        <w:rPr>
          <w:bCs/>
          <w:sz w:val="24"/>
        </w:rPr>
        <w:t>§ 6</w:t>
      </w:r>
      <w:r w:rsidRPr="00A33381">
        <w:rPr>
          <w:rFonts w:eastAsiaTheme="minorEastAsia"/>
          <w:sz w:val="24"/>
        </w:rPr>
        <w:t>0.15); and</w:t>
      </w:r>
    </w:p>
    <w:p w:rsidRPr="00A33381" w:rsidR="007F2DE1" w:rsidP="007F2DE1" w:rsidRDefault="007F2DE1" w14:paraId="60E099A2"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Other adjudica</w:t>
      </w:r>
      <w:r>
        <w:rPr>
          <w:rFonts w:eastAsiaTheme="minorEastAsia"/>
          <w:sz w:val="24"/>
        </w:rPr>
        <w:t>ted actions or decisions (</w:t>
      </w:r>
      <w:r>
        <w:rPr>
          <w:bCs/>
          <w:sz w:val="24"/>
        </w:rPr>
        <w:t>§ 6</w:t>
      </w:r>
      <w:r w:rsidRPr="00A33381">
        <w:rPr>
          <w:rFonts w:eastAsiaTheme="minorEastAsia"/>
          <w:sz w:val="24"/>
        </w:rPr>
        <w:t>0.16).</w:t>
      </w:r>
    </w:p>
    <w:p w:rsidR="007F2DE1" w:rsidP="007F2DE1" w:rsidRDefault="007F2DE1" w14:paraId="2372C7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824627" w:rsidR="008A6ADC" w:rsidP="00824627" w:rsidRDefault="007F2DE1" w14:paraId="05549A96" w14:textId="7C48D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Persons or entities responsible for submitting reports</w:t>
      </w:r>
      <w:r>
        <w:rPr>
          <w:rFonts w:eastAsiaTheme="minorEastAsia"/>
          <w:sz w:val="24"/>
        </w:rPr>
        <w:t xml:space="preserve"> of malpractice payments (</w:t>
      </w:r>
      <w:r w:rsidRPr="00760131">
        <w:rPr>
          <w:bCs/>
          <w:sz w:val="24"/>
        </w:rPr>
        <w:t>§</w:t>
      </w:r>
      <w:r>
        <w:rPr>
          <w:bCs/>
          <w:sz w:val="24"/>
        </w:rPr>
        <w:t xml:space="preserve"> </w:t>
      </w:r>
      <w:r w:rsidRPr="0072393C">
        <w:rPr>
          <w:rFonts w:eastAsiaTheme="minorEastAsia"/>
          <w:sz w:val="24"/>
        </w:rPr>
        <w:t>60.7), ne</w:t>
      </w:r>
      <w:r>
        <w:rPr>
          <w:rFonts w:eastAsiaTheme="minorEastAsia"/>
          <w:sz w:val="24"/>
        </w:rPr>
        <w:t>gative actions or findings (</w:t>
      </w:r>
      <w:r w:rsidRPr="00760131">
        <w:rPr>
          <w:bCs/>
          <w:sz w:val="24"/>
        </w:rPr>
        <w:t>§</w:t>
      </w:r>
      <w:r>
        <w:rPr>
          <w:bCs/>
          <w:sz w:val="24"/>
        </w:rPr>
        <w:t xml:space="preserve"> </w:t>
      </w:r>
      <w:r w:rsidRPr="0072393C">
        <w:rPr>
          <w:rFonts w:eastAsiaTheme="minorEastAsia"/>
          <w:sz w:val="24"/>
        </w:rPr>
        <w:t>60</w:t>
      </w:r>
      <w:r>
        <w:rPr>
          <w:rFonts w:eastAsiaTheme="minorEastAsia"/>
          <w:sz w:val="24"/>
        </w:rPr>
        <w:t>.11), or adverse actions (</w:t>
      </w:r>
      <w:r w:rsidRPr="00760131">
        <w:rPr>
          <w:bCs/>
          <w:sz w:val="24"/>
        </w:rPr>
        <w:t>§</w:t>
      </w:r>
      <w:r>
        <w:rPr>
          <w:bCs/>
          <w:sz w:val="24"/>
        </w:rPr>
        <w:t xml:space="preserve"> </w:t>
      </w:r>
      <w:r w:rsidRPr="0072393C">
        <w:rPr>
          <w:rFonts w:eastAsiaTheme="minorEastAsia"/>
          <w:sz w:val="24"/>
        </w:rPr>
        <w:t>60.12) must additionally provide to their respective State authorities a copy of the report they submit to the NPDB</w:t>
      </w:r>
      <w:r w:rsidR="00B7053A">
        <w:rPr>
          <w:rFonts w:eastAsiaTheme="minorEastAsia"/>
          <w:sz w:val="24"/>
        </w:rPr>
        <w:t xml:space="preserve">.  </w:t>
      </w:r>
      <w:r w:rsidR="00FB3148">
        <w:rPr>
          <w:rFonts w:eastAsiaTheme="minorEastAsia"/>
          <w:sz w:val="24"/>
        </w:rPr>
        <w:t>I</w:t>
      </w:r>
      <w:r w:rsidR="00812A8E">
        <w:rPr>
          <w:rFonts w:eastAsiaTheme="minorEastAsia"/>
          <w:sz w:val="24"/>
        </w:rPr>
        <w:t>n 2019</w:t>
      </w:r>
      <w:r w:rsidR="00FB3148">
        <w:rPr>
          <w:rFonts w:eastAsiaTheme="minorEastAsia"/>
          <w:sz w:val="24"/>
        </w:rPr>
        <w:t>,</w:t>
      </w:r>
      <w:r w:rsidR="004D3B51">
        <w:rPr>
          <w:rFonts w:eastAsiaTheme="minorEastAsia"/>
          <w:sz w:val="24"/>
        </w:rPr>
        <w:t xml:space="preserve"> </w:t>
      </w:r>
      <w:r w:rsidR="0090572F">
        <w:rPr>
          <w:rFonts w:eastAsiaTheme="minorEastAsia"/>
          <w:sz w:val="24"/>
        </w:rPr>
        <w:t xml:space="preserve">the NPDB provided more than 9.3 million query </w:t>
      </w:r>
      <w:r w:rsidR="00345D1C">
        <w:rPr>
          <w:rFonts w:eastAsiaTheme="minorEastAsia"/>
          <w:sz w:val="24"/>
        </w:rPr>
        <w:t>responses</w:t>
      </w:r>
      <w:r w:rsidR="0090572F">
        <w:rPr>
          <w:rFonts w:eastAsiaTheme="minorEastAsia"/>
          <w:sz w:val="24"/>
        </w:rPr>
        <w:t xml:space="preserve"> and received more than </w:t>
      </w:r>
      <w:r w:rsidR="00BF1885">
        <w:rPr>
          <w:rFonts w:eastAsiaTheme="minorEastAsia"/>
          <w:sz w:val="24"/>
        </w:rPr>
        <w:t>87,000</w:t>
      </w:r>
      <w:r w:rsidR="0090572F">
        <w:rPr>
          <w:rFonts w:eastAsiaTheme="minorEastAsia"/>
          <w:sz w:val="24"/>
        </w:rPr>
        <w:t xml:space="preserve"> reports</w:t>
      </w:r>
      <w:r w:rsidR="00B7053A">
        <w:rPr>
          <w:sz w:val="24"/>
        </w:rPr>
        <w:t xml:space="preserve">.  </w:t>
      </w:r>
      <w:r w:rsidR="008A6ADC">
        <w:rPr>
          <w:sz w:val="24"/>
        </w:rPr>
        <w:t xml:space="preserve"> </w:t>
      </w:r>
    </w:p>
    <w:p w:rsidR="008A6ADC" w:rsidP="005B2802" w:rsidRDefault="008A6ADC" w14:paraId="19BB1628" w14:textId="77777777">
      <w:pPr>
        <w:pStyle w:val="BodyText"/>
        <w:spacing w:after="0"/>
        <w:rPr>
          <w:sz w:val="24"/>
        </w:rPr>
      </w:pPr>
    </w:p>
    <w:p w:rsidR="007F2DE1" w:rsidP="005B2802" w:rsidRDefault="007F2DE1" w14:paraId="512990E1" w14:textId="7E6C6A74">
      <w:pPr>
        <w:pStyle w:val="BodyText"/>
        <w:spacing w:after="0"/>
        <w:rPr>
          <w:sz w:val="24"/>
        </w:rPr>
      </w:pPr>
      <w:r>
        <w:rPr>
          <w:sz w:val="24"/>
        </w:rPr>
        <w:t>The NPDB engages in regular state licensing complian</w:t>
      </w:r>
      <w:r w:rsidR="00CE55EB">
        <w:rPr>
          <w:sz w:val="24"/>
        </w:rPr>
        <w:t>ce activities</w:t>
      </w:r>
      <w:r w:rsidR="00731859">
        <w:rPr>
          <w:sz w:val="24"/>
        </w:rPr>
        <w:t xml:space="preserve">.  </w:t>
      </w:r>
      <w:r>
        <w:rPr>
          <w:sz w:val="24"/>
        </w:rPr>
        <w:t xml:space="preserve">The comprehensive </w:t>
      </w:r>
      <w:r w:rsidR="00824627">
        <w:rPr>
          <w:sz w:val="24"/>
        </w:rPr>
        <w:t xml:space="preserve">licensing board </w:t>
      </w:r>
      <w:r>
        <w:rPr>
          <w:sz w:val="24"/>
        </w:rPr>
        <w:t>compliance activities involve case management, targeted outreach, and</w:t>
      </w:r>
      <w:r w:rsidR="007D63ED">
        <w:rPr>
          <w:sz w:val="24"/>
        </w:rPr>
        <w:t xml:space="preserve"> matching of publically available information to that in the NPDB</w:t>
      </w:r>
      <w:r w:rsidR="00731859">
        <w:rPr>
          <w:sz w:val="24"/>
        </w:rPr>
        <w:t xml:space="preserve">.  </w:t>
      </w:r>
      <w:r w:rsidR="007D63ED">
        <w:rPr>
          <w:sz w:val="24"/>
        </w:rPr>
        <w:t xml:space="preserve">While the effort has been largely automated to reduce burden on the registered entities and </w:t>
      </w:r>
      <w:r w:rsidR="0037108A">
        <w:rPr>
          <w:sz w:val="24"/>
        </w:rPr>
        <w:t xml:space="preserve">the </w:t>
      </w:r>
      <w:r w:rsidR="00F0421A">
        <w:rPr>
          <w:sz w:val="24"/>
        </w:rPr>
        <w:t>NPDB staff</w:t>
      </w:r>
      <w:r w:rsidR="007D63ED">
        <w:rPr>
          <w:sz w:val="24"/>
        </w:rPr>
        <w:t xml:space="preserve">, the review and matching process can be time consuming for </w:t>
      </w:r>
      <w:r w:rsidR="0037108A">
        <w:rPr>
          <w:sz w:val="24"/>
        </w:rPr>
        <w:t xml:space="preserve">the </w:t>
      </w:r>
      <w:r w:rsidR="00F0421A">
        <w:rPr>
          <w:sz w:val="24"/>
        </w:rPr>
        <w:t>NPDB staff</w:t>
      </w:r>
      <w:r w:rsidR="007D63ED">
        <w:rPr>
          <w:sz w:val="24"/>
        </w:rPr>
        <w:t xml:space="preserve"> and contractors</w:t>
      </w:r>
      <w:r w:rsidR="00B7053A">
        <w:rPr>
          <w:sz w:val="24"/>
        </w:rPr>
        <w:t xml:space="preserve">.  </w:t>
      </w:r>
      <w:r w:rsidR="007D63ED">
        <w:rPr>
          <w:sz w:val="24"/>
        </w:rPr>
        <w:t>Duplicating this effort with other entities such as hospitals, medical malpractice payers, health plans</w:t>
      </w:r>
      <w:r w:rsidR="00860188">
        <w:rPr>
          <w:sz w:val="24"/>
        </w:rPr>
        <w:t>, certain other health care entities and other eligible e</w:t>
      </w:r>
      <w:r w:rsidRPr="00860188" w:rsidR="00860188">
        <w:rPr>
          <w:sz w:val="24"/>
        </w:rPr>
        <w:t>ntities</w:t>
      </w:r>
      <w:r w:rsidR="007D63ED">
        <w:rPr>
          <w:sz w:val="24"/>
        </w:rPr>
        <w:t xml:space="preserve"> would </w:t>
      </w:r>
      <w:r w:rsidR="00E93A39">
        <w:rPr>
          <w:sz w:val="24"/>
        </w:rPr>
        <w:t xml:space="preserve">not </w:t>
      </w:r>
      <w:r w:rsidR="00680119">
        <w:rPr>
          <w:sz w:val="24"/>
        </w:rPr>
        <w:t xml:space="preserve">be </w:t>
      </w:r>
      <w:r w:rsidR="007D63ED">
        <w:rPr>
          <w:sz w:val="24"/>
        </w:rPr>
        <w:t>possible, due to the lack of publically available information on the types of actions taken by those</w:t>
      </w:r>
      <w:r w:rsidR="00E93A39">
        <w:rPr>
          <w:sz w:val="24"/>
        </w:rPr>
        <w:t xml:space="preserve"> entities</w:t>
      </w:r>
      <w:r w:rsidR="008A6ADC">
        <w:rPr>
          <w:sz w:val="24"/>
        </w:rPr>
        <w:t>, and the volume of reports</w:t>
      </w:r>
      <w:r w:rsidR="00B7053A">
        <w:rPr>
          <w:sz w:val="24"/>
        </w:rPr>
        <w:t xml:space="preserve">.  </w:t>
      </w:r>
      <w:r w:rsidR="008A6ADC">
        <w:rPr>
          <w:sz w:val="24"/>
        </w:rPr>
        <w:t xml:space="preserve"> </w:t>
      </w:r>
      <w:r w:rsidR="00824627">
        <w:rPr>
          <w:sz w:val="24"/>
        </w:rPr>
        <w:t>In the face of these constraints, the NPDB determined th</w:t>
      </w:r>
      <w:r w:rsidR="006F6CA4">
        <w:rPr>
          <w:sz w:val="24"/>
        </w:rPr>
        <w:t xml:space="preserve">at an </w:t>
      </w:r>
      <w:r w:rsidR="00D31419">
        <w:rPr>
          <w:sz w:val="24"/>
        </w:rPr>
        <w:t>Attestation process</w:t>
      </w:r>
      <w:r w:rsidR="00E93A39">
        <w:rPr>
          <w:sz w:val="24"/>
        </w:rPr>
        <w:t xml:space="preserve"> woul</w:t>
      </w:r>
      <w:r w:rsidR="006F6CA4">
        <w:rPr>
          <w:sz w:val="24"/>
        </w:rPr>
        <w:t xml:space="preserve">d </w:t>
      </w:r>
      <w:r w:rsidR="00824627">
        <w:rPr>
          <w:sz w:val="24"/>
        </w:rPr>
        <w:t xml:space="preserve">be the most effective and efficient way to evaluate and address </w:t>
      </w:r>
      <w:r w:rsidR="006F6CA4">
        <w:rPr>
          <w:sz w:val="24"/>
        </w:rPr>
        <w:t>t</w:t>
      </w:r>
      <w:r w:rsidR="00824627">
        <w:rPr>
          <w:sz w:val="24"/>
        </w:rPr>
        <w:t>h</w:t>
      </w:r>
      <w:r w:rsidR="006F6CA4">
        <w:rPr>
          <w:sz w:val="24"/>
        </w:rPr>
        <w:t>e</w:t>
      </w:r>
      <w:r w:rsidR="00824627">
        <w:rPr>
          <w:sz w:val="24"/>
        </w:rPr>
        <w:t xml:space="preserve"> compliance of other entities</w:t>
      </w:r>
      <w:r w:rsidR="00B7053A">
        <w:rPr>
          <w:sz w:val="24"/>
        </w:rPr>
        <w:t xml:space="preserve">.  </w:t>
      </w:r>
    </w:p>
    <w:p w:rsidR="00824627" w:rsidP="005B2802" w:rsidRDefault="00824627" w14:paraId="42A7FAE7" w14:textId="77777777">
      <w:pPr>
        <w:pStyle w:val="BodyText"/>
        <w:spacing w:after="0"/>
        <w:rPr>
          <w:sz w:val="24"/>
        </w:rPr>
      </w:pPr>
    </w:p>
    <w:p w:rsidRPr="00680119" w:rsidR="00680119" w:rsidP="006F6CA4" w:rsidRDefault="006F6CA4" w14:paraId="415150BA" w14:textId="220ECB04">
      <w:pPr>
        <w:pStyle w:val="BodyText"/>
        <w:spacing w:after="0"/>
        <w:rPr>
          <w:sz w:val="24"/>
        </w:rPr>
      </w:pPr>
      <w:r w:rsidRPr="006F6CA4">
        <w:rPr>
          <w:sz w:val="24"/>
        </w:rPr>
        <w:t>T</w:t>
      </w:r>
      <w:r w:rsidR="005D3369">
        <w:rPr>
          <w:sz w:val="24"/>
        </w:rPr>
        <w:t>hrough Attestation</w:t>
      </w:r>
      <w:r w:rsidRPr="006F6CA4">
        <w:rPr>
          <w:sz w:val="24"/>
        </w:rPr>
        <w:t xml:space="preserve">, </w:t>
      </w:r>
      <w:r w:rsidR="00255F3A">
        <w:rPr>
          <w:sz w:val="24"/>
        </w:rPr>
        <w:t xml:space="preserve">hospitals, </w:t>
      </w:r>
      <w:r w:rsidRPr="006F6CA4">
        <w:rPr>
          <w:sz w:val="24"/>
        </w:rPr>
        <w:t xml:space="preserve">medical malpractice payers, health plans, </w:t>
      </w:r>
      <w:r w:rsidR="00202CDC">
        <w:rPr>
          <w:sz w:val="24"/>
        </w:rPr>
        <w:t xml:space="preserve">health centers, </w:t>
      </w:r>
      <w:r w:rsidRPr="006F6CA4">
        <w:rPr>
          <w:sz w:val="24"/>
        </w:rPr>
        <w:t xml:space="preserve">and other </w:t>
      </w:r>
      <w:r w:rsidR="00860188">
        <w:rPr>
          <w:sz w:val="24"/>
        </w:rPr>
        <w:t>eligible</w:t>
      </w:r>
      <w:r w:rsidR="009F053F">
        <w:rPr>
          <w:sz w:val="24"/>
        </w:rPr>
        <w:t xml:space="preserve"> </w:t>
      </w:r>
      <w:r w:rsidRPr="006F6CA4">
        <w:rPr>
          <w:sz w:val="24"/>
        </w:rPr>
        <w:t>entities</w:t>
      </w:r>
      <w:r w:rsidR="00153A76">
        <w:rPr>
          <w:sz w:val="24"/>
        </w:rPr>
        <w:t>,</w:t>
      </w:r>
      <w:r w:rsidR="005D3369">
        <w:rPr>
          <w:sz w:val="24"/>
        </w:rPr>
        <w:t xml:space="preserve"> </w:t>
      </w:r>
      <w:r w:rsidRPr="006F6CA4">
        <w:rPr>
          <w:sz w:val="24"/>
        </w:rPr>
        <w:t xml:space="preserve">will be required to attest that they </w:t>
      </w:r>
      <w:r w:rsidR="00202CDC">
        <w:rPr>
          <w:sz w:val="24"/>
        </w:rPr>
        <w:t>complied with</w:t>
      </w:r>
      <w:r w:rsidRPr="006F6CA4">
        <w:rPr>
          <w:sz w:val="24"/>
        </w:rPr>
        <w:t xml:space="preserve"> all NPDB</w:t>
      </w:r>
      <w:r w:rsidR="00202CDC">
        <w:rPr>
          <w:sz w:val="24"/>
        </w:rPr>
        <w:t xml:space="preserve"> regulatory requirements (e.g., reporting, querying, confidentiality)</w:t>
      </w:r>
      <w:r w:rsidR="00B7053A">
        <w:rPr>
          <w:sz w:val="24"/>
        </w:rPr>
        <w:t xml:space="preserve">.  </w:t>
      </w:r>
      <w:r w:rsidRPr="006F6CA4">
        <w:rPr>
          <w:sz w:val="24"/>
        </w:rPr>
        <w:t xml:space="preserve">The </w:t>
      </w:r>
      <w:r w:rsidR="00D31419">
        <w:rPr>
          <w:sz w:val="24"/>
        </w:rPr>
        <w:t>Attestation process</w:t>
      </w:r>
      <w:r w:rsidRPr="006F6CA4">
        <w:rPr>
          <w:sz w:val="24"/>
        </w:rPr>
        <w:t xml:space="preserve"> will be completely automated through the secure </w:t>
      </w:r>
      <w:r w:rsidR="00F0421A">
        <w:rPr>
          <w:sz w:val="24"/>
        </w:rPr>
        <w:t xml:space="preserve">NPDB </w:t>
      </w:r>
      <w:r w:rsidRPr="006F6CA4" w:rsidR="00F0421A">
        <w:rPr>
          <w:sz w:val="24"/>
        </w:rPr>
        <w:t>system</w:t>
      </w:r>
      <w:r w:rsidRPr="006F6CA4">
        <w:rPr>
          <w:sz w:val="24"/>
        </w:rPr>
        <w:t xml:space="preserve"> </w:t>
      </w:r>
      <w:r w:rsidR="00F31ECA">
        <w:rPr>
          <w:sz w:val="24"/>
        </w:rPr>
        <w:t>(OMB No</w:t>
      </w:r>
      <w:r w:rsidR="00B7053A">
        <w:rPr>
          <w:sz w:val="24"/>
        </w:rPr>
        <w:t xml:space="preserve">. </w:t>
      </w:r>
      <w:r w:rsidR="00F31ECA">
        <w:rPr>
          <w:sz w:val="24"/>
        </w:rPr>
        <w:t xml:space="preserve">0915-0054) </w:t>
      </w:r>
      <w:r w:rsidRPr="006F6CA4">
        <w:rPr>
          <w:sz w:val="24"/>
        </w:rPr>
        <w:t>(</w:t>
      </w:r>
      <w:hyperlink w:history="1" r:id="rId18">
        <w:r w:rsidRPr="00680119" w:rsidR="00680119">
          <w:rPr>
            <w:rStyle w:val="Hyperlink"/>
            <w:sz w:val="24"/>
          </w:rPr>
          <w:t>https://www.npdb.hrsa.gov</w:t>
        </w:r>
      </w:hyperlink>
      <w:r w:rsidRPr="001E4CEB" w:rsidR="00680119">
        <w:rPr>
          <w:rStyle w:val="Hyperlink"/>
        </w:rPr>
        <w:t>)</w:t>
      </w:r>
      <w:r w:rsidRPr="00680119" w:rsidR="00680119">
        <w:rPr>
          <w:sz w:val="24"/>
        </w:rPr>
        <w:t>, using both secure email messaging and system notifications to alert entities registered with the NPDB of their responsibility to attest</w:t>
      </w:r>
      <w:r w:rsidR="00B7053A">
        <w:rPr>
          <w:sz w:val="24"/>
        </w:rPr>
        <w:t xml:space="preserve">.  </w:t>
      </w:r>
      <w:r w:rsidRPr="00680119" w:rsidR="00680119">
        <w:rPr>
          <w:sz w:val="24"/>
        </w:rPr>
        <w:t>All entities with reporting requirements and querying access to the NPDB must register with the NPDB before gaining access to the secure NPDB system for all reporting and querying transactions</w:t>
      </w:r>
      <w:r w:rsidR="00B7053A">
        <w:rPr>
          <w:sz w:val="24"/>
        </w:rPr>
        <w:t xml:space="preserve">.  </w:t>
      </w:r>
      <w:r w:rsidRPr="00680119" w:rsidR="00680119">
        <w:rPr>
          <w:sz w:val="24"/>
        </w:rPr>
        <w:t xml:space="preserve">  </w:t>
      </w:r>
      <w:r w:rsidRPr="00680119" w:rsidR="00680119">
        <w:rPr>
          <w:sz w:val="24"/>
          <w:vertAlign w:val="superscript"/>
        </w:rPr>
        <w:t xml:space="preserve"> </w:t>
      </w:r>
      <w:r w:rsidRPr="00680119" w:rsidR="00680119">
        <w:rPr>
          <w:sz w:val="24"/>
        </w:rPr>
        <w:t xml:space="preserve">    </w:t>
      </w:r>
    </w:p>
    <w:p w:rsidRPr="00680119" w:rsidR="00680119" w:rsidP="001E4CEB" w:rsidRDefault="00680119" w14:paraId="6792BD1E" w14:textId="77777777">
      <w:pPr>
        <w:pStyle w:val="BodyText"/>
        <w:rPr>
          <w:sz w:val="24"/>
        </w:rPr>
      </w:pPr>
    </w:p>
    <w:p w:rsidRPr="006F6CA4" w:rsidR="006F6CA4" w:rsidP="001E4CEB" w:rsidRDefault="00202CDC" w14:paraId="036E2808" w14:textId="2FB4A673">
      <w:pPr>
        <w:pStyle w:val="BodyText"/>
        <w:rPr>
          <w:sz w:val="24"/>
        </w:rPr>
      </w:pPr>
      <w:r>
        <w:rPr>
          <w:sz w:val="24"/>
        </w:rPr>
        <w:t>All registered entities will use</w:t>
      </w:r>
      <w:r w:rsidRPr="00680119" w:rsidR="00680119">
        <w:rPr>
          <w:sz w:val="24"/>
        </w:rPr>
        <w:t xml:space="preserve"> the secure NPDB system </w:t>
      </w:r>
      <w:r>
        <w:rPr>
          <w:sz w:val="24"/>
        </w:rPr>
        <w:t>to submit their Attestation</w:t>
      </w:r>
      <w:r w:rsidR="00731859">
        <w:rPr>
          <w:sz w:val="24"/>
        </w:rPr>
        <w:t xml:space="preserve">. </w:t>
      </w:r>
      <w:r w:rsidRPr="00680119" w:rsidR="00680119">
        <w:rPr>
          <w:sz w:val="24"/>
        </w:rPr>
        <w:t xml:space="preserve">NPDB will ask these entities to attest </w:t>
      </w:r>
      <w:r>
        <w:rPr>
          <w:sz w:val="24"/>
        </w:rPr>
        <w:t xml:space="preserve">to </w:t>
      </w:r>
      <w:r w:rsidRPr="00680119" w:rsidR="00680119">
        <w:rPr>
          <w:sz w:val="24"/>
        </w:rPr>
        <w:t>their reporting</w:t>
      </w:r>
      <w:r w:rsidRPr="00895155" w:rsidR="00895155">
        <w:rPr>
          <w:sz w:val="24"/>
        </w:rPr>
        <w:t>, querying, and confidentiality</w:t>
      </w:r>
      <w:r w:rsidRPr="00680119" w:rsidR="00680119">
        <w:rPr>
          <w:sz w:val="24"/>
        </w:rPr>
        <w:t xml:space="preserve"> compliance every two years</w:t>
      </w:r>
      <w:r w:rsidR="00B7053A">
        <w:rPr>
          <w:sz w:val="24"/>
        </w:rPr>
        <w:t xml:space="preserve">.  </w:t>
      </w:r>
    </w:p>
    <w:p w:rsidR="00D1562C" w:rsidP="001E4CEB" w:rsidRDefault="00D1562C" w14:paraId="34025F3F" w14:textId="77777777">
      <w:pPr>
        <w:rPr>
          <w:sz w:val="24"/>
        </w:rPr>
      </w:pPr>
    </w:p>
    <w:p w:rsidR="00CD1182" w:rsidP="001E4CEB" w:rsidRDefault="00CD1182" w14:paraId="5A0CD165" w14:textId="747D54DA">
      <w:pPr>
        <w:pStyle w:val="BodyText"/>
        <w:tabs>
          <w:tab w:val="left" w:pos="5668"/>
        </w:tabs>
        <w:rPr>
          <w:sz w:val="24"/>
        </w:rPr>
      </w:pPr>
      <w:r w:rsidRPr="00761E29">
        <w:rPr>
          <w:sz w:val="24"/>
        </w:rPr>
        <w:t>As the health</w:t>
      </w:r>
      <w:r w:rsidR="00B369E5">
        <w:rPr>
          <w:sz w:val="24"/>
        </w:rPr>
        <w:t xml:space="preserve"> </w:t>
      </w:r>
      <w:r w:rsidRPr="00761E29">
        <w:rPr>
          <w:sz w:val="24"/>
        </w:rPr>
        <w:t>care industry contin</w:t>
      </w:r>
      <w:r>
        <w:rPr>
          <w:sz w:val="24"/>
        </w:rPr>
        <w:t xml:space="preserve">ues to evolve, </w:t>
      </w:r>
      <w:r w:rsidR="00D1562C">
        <w:rPr>
          <w:sz w:val="24"/>
        </w:rPr>
        <w:t>the structures of our reporting entities have changed</w:t>
      </w:r>
      <w:r w:rsidR="00731859">
        <w:rPr>
          <w:sz w:val="24"/>
        </w:rPr>
        <w:t xml:space="preserve">.  </w:t>
      </w:r>
      <w:r w:rsidRPr="006A2DCC">
        <w:rPr>
          <w:sz w:val="24"/>
        </w:rPr>
        <w:t xml:space="preserve">There is a need to understand </w:t>
      </w:r>
      <w:r>
        <w:rPr>
          <w:sz w:val="24"/>
        </w:rPr>
        <w:t xml:space="preserve">entity reporting operations in the context of these new </w:t>
      </w:r>
      <w:r w:rsidRPr="006A2DCC">
        <w:rPr>
          <w:sz w:val="24"/>
        </w:rPr>
        <w:t>environments</w:t>
      </w:r>
      <w:r w:rsidR="00731859">
        <w:rPr>
          <w:sz w:val="24"/>
        </w:rPr>
        <w:t xml:space="preserve">.  </w:t>
      </w:r>
      <w:r w:rsidRPr="006256CC">
        <w:rPr>
          <w:sz w:val="24"/>
        </w:rPr>
        <w:t xml:space="preserve">Through </w:t>
      </w:r>
      <w:r>
        <w:rPr>
          <w:sz w:val="24"/>
        </w:rPr>
        <w:t xml:space="preserve">the </w:t>
      </w:r>
      <w:r w:rsidR="00D31419">
        <w:rPr>
          <w:sz w:val="24"/>
        </w:rPr>
        <w:t>Attestation process</w:t>
      </w:r>
      <w:r w:rsidRPr="006256CC">
        <w:rPr>
          <w:sz w:val="24"/>
        </w:rPr>
        <w:t xml:space="preserve">, </w:t>
      </w:r>
      <w:r w:rsidR="0037108A">
        <w:rPr>
          <w:sz w:val="24"/>
        </w:rPr>
        <w:t xml:space="preserve">the </w:t>
      </w:r>
      <w:r w:rsidR="00F0421A">
        <w:rPr>
          <w:sz w:val="24"/>
        </w:rPr>
        <w:t xml:space="preserve">NPDB </w:t>
      </w:r>
      <w:r w:rsidRPr="006256CC" w:rsidR="00F0421A">
        <w:rPr>
          <w:sz w:val="24"/>
        </w:rPr>
        <w:t>will</w:t>
      </w:r>
      <w:r w:rsidRPr="006256CC">
        <w:rPr>
          <w:sz w:val="24"/>
        </w:rPr>
        <w:t xml:space="preserve"> have the opportunity to</w:t>
      </w:r>
      <w:r>
        <w:rPr>
          <w:sz w:val="24"/>
        </w:rPr>
        <w:t xml:space="preserve"> </w:t>
      </w:r>
      <w:r w:rsidRPr="006256CC">
        <w:rPr>
          <w:sz w:val="24"/>
        </w:rPr>
        <w:t xml:space="preserve">learn more about entities and further gauge their understanding and compliance with </w:t>
      </w:r>
      <w:r w:rsidR="0037108A">
        <w:rPr>
          <w:sz w:val="24"/>
        </w:rPr>
        <w:t xml:space="preserve">the </w:t>
      </w:r>
      <w:r w:rsidR="00F0421A">
        <w:rPr>
          <w:sz w:val="24"/>
        </w:rPr>
        <w:t xml:space="preserve">NPDB </w:t>
      </w:r>
      <w:r w:rsidRPr="006256CC" w:rsidR="000C32C1">
        <w:rPr>
          <w:sz w:val="24"/>
        </w:rPr>
        <w:t>re</w:t>
      </w:r>
      <w:r w:rsidR="000C32C1">
        <w:rPr>
          <w:sz w:val="24"/>
        </w:rPr>
        <w:t>gulatory</w:t>
      </w:r>
      <w:r>
        <w:rPr>
          <w:sz w:val="24"/>
        </w:rPr>
        <w:t xml:space="preserve"> </w:t>
      </w:r>
      <w:r w:rsidRPr="006256CC">
        <w:rPr>
          <w:sz w:val="24"/>
        </w:rPr>
        <w:t>requirements</w:t>
      </w:r>
      <w:r w:rsidR="00B7053A">
        <w:rPr>
          <w:sz w:val="24"/>
        </w:rPr>
        <w:t xml:space="preserve">.  </w:t>
      </w:r>
      <w:r>
        <w:rPr>
          <w:sz w:val="24"/>
        </w:rPr>
        <w:t>In turn, the NPDB will be in a better position to improve its operations</w:t>
      </w:r>
      <w:r w:rsidR="00D1562C">
        <w:rPr>
          <w:sz w:val="24"/>
        </w:rPr>
        <w:t>, maintain a complete and accurate repository of information,</w:t>
      </w:r>
      <w:r>
        <w:rPr>
          <w:sz w:val="24"/>
        </w:rPr>
        <w:t xml:space="preserve"> and </w:t>
      </w:r>
      <w:r w:rsidR="00D1562C">
        <w:rPr>
          <w:sz w:val="24"/>
        </w:rPr>
        <w:t>contribute to protecting</w:t>
      </w:r>
      <w:r>
        <w:rPr>
          <w:sz w:val="24"/>
        </w:rPr>
        <w:t xml:space="preserve"> public safety</w:t>
      </w:r>
      <w:r w:rsidR="00B7053A">
        <w:rPr>
          <w:sz w:val="24"/>
        </w:rPr>
        <w:t xml:space="preserve">.  </w:t>
      </w:r>
    </w:p>
    <w:p w:rsidR="00873808" w:rsidP="00D16BBC" w:rsidRDefault="00873808" w14:paraId="3904AA8E" w14:textId="77777777">
      <w:pPr>
        <w:pStyle w:val="frn"/>
        <w:spacing w:before="0"/>
        <w:outlineLvl w:val="0"/>
      </w:pPr>
      <w:bookmarkStart w:name="_Toc413843489" w:id="2"/>
      <w:r>
        <w:lastRenderedPageBreak/>
        <w:t>Purpose and Use of Information Collection</w:t>
      </w:r>
      <w:bookmarkEnd w:id="2"/>
    </w:p>
    <w:p w:rsidRPr="0072393C" w:rsidR="00CE55EB" w:rsidRDefault="00CE55EB" w14:paraId="030FEA2C" w14:textId="77777777">
      <w:pPr>
        <w:widowControl/>
        <w:rPr>
          <w:b/>
          <w:color w:val="000000"/>
          <w:sz w:val="24"/>
        </w:rPr>
      </w:pPr>
    </w:p>
    <w:p w:rsidRPr="0072393C" w:rsidR="005B2802" w:rsidP="00BF1885" w:rsidRDefault="005B2802" w14:paraId="149752A2" w14:textId="09A8D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 xml:space="preserve">The </w:t>
      </w:r>
      <w:r w:rsidRPr="0072393C">
        <w:rPr>
          <w:sz w:val="24"/>
        </w:rPr>
        <w:t>NPDB</w:t>
      </w:r>
      <w:r>
        <w:rPr>
          <w:sz w:val="24"/>
        </w:rPr>
        <w:t xml:space="preserve"> serves as a single</w:t>
      </w:r>
      <w:r w:rsidRPr="0072393C">
        <w:rPr>
          <w:sz w:val="24"/>
        </w:rPr>
        <w:t xml:space="preserve"> flagging system; its principal purpose is to facilitate comprehensive review of </w:t>
      </w:r>
      <w:r w:rsidRPr="007A0C99">
        <w:rPr>
          <w:sz w:val="24"/>
        </w:rPr>
        <w:t>health care</w:t>
      </w:r>
      <w:r>
        <w:rPr>
          <w:sz w:val="24"/>
        </w:rPr>
        <w:t xml:space="preserve"> </w:t>
      </w:r>
      <w:r w:rsidRPr="0072393C">
        <w:rPr>
          <w:sz w:val="24"/>
        </w:rPr>
        <w:t>practitioners' professional credentials and background</w:t>
      </w:r>
      <w:r w:rsidR="00B7053A">
        <w:rPr>
          <w:sz w:val="24"/>
        </w:rPr>
        <w:t xml:space="preserve">.  </w:t>
      </w:r>
      <w:r>
        <w:rPr>
          <w:sz w:val="24"/>
        </w:rPr>
        <w:t xml:space="preserve">The </w:t>
      </w:r>
      <w:r w:rsidR="00D31419">
        <w:rPr>
          <w:sz w:val="24"/>
        </w:rPr>
        <w:t>Attestation process</w:t>
      </w:r>
      <w:r>
        <w:rPr>
          <w:sz w:val="24"/>
        </w:rPr>
        <w:t xml:space="preserve"> will aid </w:t>
      </w:r>
      <w:r w:rsidR="004C7FDB">
        <w:rPr>
          <w:sz w:val="24"/>
        </w:rPr>
        <w:t xml:space="preserve">the </w:t>
      </w:r>
      <w:r>
        <w:rPr>
          <w:sz w:val="24"/>
        </w:rPr>
        <w:t xml:space="preserve">NPDB in fulfilling its mission by assuring that reporting entities are appropriately meeting </w:t>
      </w:r>
      <w:r w:rsidR="0037108A">
        <w:rPr>
          <w:sz w:val="24"/>
        </w:rPr>
        <w:t xml:space="preserve">the </w:t>
      </w:r>
      <w:r w:rsidR="00F0421A">
        <w:rPr>
          <w:sz w:val="24"/>
        </w:rPr>
        <w:t xml:space="preserve">NPDB </w:t>
      </w:r>
      <w:r w:rsidR="008A0078">
        <w:rPr>
          <w:sz w:val="24"/>
        </w:rPr>
        <w:t>regulatory</w:t>
      </w:r>
      <w:r>
        <w:rPr>
          <w:sz w:val="24"/>
        </w:rPr>
        <w:t xml:space="preserve"> requirements, in turn providing valuable information about a healthcare practitioner’s background to </w:t>
      </w:r>
      <w:r w:rsidR="0037108A">
        <w:rPr>
          <w:sz w:val="24"/>
        </w:rPr>
        <w:t xml:space="preserve">the </w:t>
      </w:r>
      <w:r w:rsidR="00F0421A">
        <w:rPr>
          <w:sz w:val="24"/>
        </w:rPr>
        <w:t>NPDB’s</w:t>
      </w:r>
      <w:r>
        <w:rPr>
          <w:sz w:val="24"/>
        </w:rPr>
        <w:t xml:space="preserve"> users throughout the United States</w:t>
      </w:r>
      <w:r w:rsidR="00B7053A">
        <w:rPr>
          <w:sz w:val="24"/>
        </w:rPr>
        <w:t xml:space="preserve">.  </w:t>
      </w:r>
      <w:r>
        <w:rPr>
          <w:rFonts w:eastAsiaTheme="minorEastAsia"/>
          <w:sz w:val="24"/>
        </w:rPr>
        <w:t xml:space="preserve">The </w:t>
      </w:r>
      <w:r w:rsidR="00D31419">
        <w:rPr>
          <w:rFonts w:eastAsiaTheme="minorEastAsia"/>
          <w:sz w:val="24"/>
        </w:rPr>
        <w:t>Attestation process</w:t>
      </w:r>
      <w:r>
        <w:rPr>
          <w:rFonts w:eastAsiaTheme="minorEastAsia"/>
          <w:sz w:val="24"/>
        </w:rPr>
        <w:t xml:space="preserve"> will serve as an accountability measure that will enable the NPDB</w:t>
      </w:r>
      <w:r w:rsidRPr="0072393C">
        <w:rPr>
          <w:rFonts w:eastAsiaTheme="minorEastAsia"/>
          <w:sz w:val="24"/>
        </w:rPr>
        <w:t xml:space="preserve"> to </w:t>
      </w:r>
      <w:r>
        <w:rPr>
          <w:rFonts w:eastAsiaTheme="minorEastAsia"/>
          <w:sz w:val="24"/>
        </w:rPr>
        <w:t xml:space="preserve">better </w:t>
      </w:r>
      <w:r w:rsidRPr="0072393C">
        <w:rPr>
          <w:rFonts w:eastAsiaTheme="minorEastAsia"/>
          <w:sz w:val="24"/>
        </w:rPr>
        <w:t>fulfill its mission to collect and provide complete, accurate, timely, and reliable information on the nation’s health care practitioners, providers, and suppliers to improve health care quality, promote patient safety, and deter fraud and abuse.</w:t>
      </w:r>
    </w:p>
    <w:p w:rsidR="005B2802" w:rsidP="00BF1885" w:rsidRDefault="005B2802" w14:paraId="0C49D09F" w14:textId="77777777">
      <w:pPr>
        <w:pStyle w:val="BodyText"/>
        <w:spacing w:after="0"/>
        <w:rPr>
          <w:sz w:val="24"/>
        </w:rPr>
      </w:pPr>
    </w:p>
    <w:p w:rsidR="00C3539F" w:rsidP="00BF1885" w:rsidRDefault="006D46E3" w14:paraId="06D51DFC" w14:textId="1EAE2879">
      <w:pPr>
        <w:pStyle w:val="BodyText"/>
        <w:spacing w:after="0"/>
        <w:rPr>
          <w:sz w:val="24"/>
        </w:rPr>
      </w:pPr>
      <w:r>
        <w:rPr>
          <w:rFonts w:eastAsiaTheme="minorEastAsia"/>
          <w:sz w:val="24"/>
        </w:rPr>
        <w:t>U</w:t>
      </w:r>
      <w:r w:rsidRPr="0072393C">
        <w:rPr>
          <w:rFonts w:eastAsiaTheme="minorEastAsia"/>
          <w:sz w:val="24"/>
        </w:rPr>
        <w:t xml:space="preserve">sers </w:t>
      </w:r>
      <w:r>
        <w:rPr>
          <w:rFonts w:eastAsiaTheme="minorEastAsia"/>
          <w:sz w:val="24"/>
        </w:rPr>
        <w:t xml:space="preserve">of the NPDB </w:t>
      </w:r>
      <w:r w:rsidRPr="0072393C">
        <w:rPr>
          <w:rFonts w:eastAsiaTheme="minorEastAsia"/>
          <w:sz w:val="24"/>
        </w:rPr>
        <w:t>include</w:t>
      </w:r>
      <w:r>
        <w:rPr>
          <w:rFonts w:eastAsiaTheme="minorEastAsia"/>
          <w:sz w:val="24"/>
        </w:rPr>
        <w:t xml:space="preserve"> r</w:t>
      </w:r>
      <w:r w:rsidRPr="0072393C">
        <w:rPr>
          <w:rFonts w:eastAsiaTheme="minorEastAsia"/>
          <w:sz w:val="24"/>
        </w:rPr>
        <w:t xml:space="preserve">eporters (entities that are required to submit reports) and </w:t>
      </w:r>
      <w:r>
        <w:rPr>
          <w:rFonts w:eastAsiaTheme="minorEastAsia"/>
          <w:sz w:val="24"/>
        </w:rPr>
        <w:t>q</w:t>
      </w:r>
      <w:r w:rsidRPr="0072393C">
        <w:rPr>
          <w:rFonts w:eastAsiaTheme="minorEastAsia"/>
          <w:sz w:val="24"/>
        </w:rPr>
        <w:t>ueriers (entities that are authorized to request for information</w:t>
      </w:r>
      <w:r w:rsidRPr="00D221D3">
        <w:rPr>
          <w:rFonts w:eastAsiaTheme="minorEastAsia"/>
          <w:sz w:val="24"/>
        </w:rPr>
        <w:t>)</w:t>
      </w:r>
      <w:r w:rsidR="00B7053A">
        <w:rPr>
          <w:rFonts w:eastAsiaTheme="minorEastAsia"/>
          <w:sz w:val="24"/>
        </w:rPr>
        <w:t xml:space="preserve">.  </w:t>
      </w:r>
      <w:r>
        <w:rPr>
          <w:rFonts w:eastAsiaTheme="minorEastAsia"/>
          <w:sz w:val="24"/>
        </w:rPr>
        <w:t xml:space="preserve">Data collected through the </w:t>
      </w:r>
      <w:r w:rsidR="00D31419">
        <w:rPr>
          <w:rFonts w:eastAsiaTheme="minorEastAsia"/>
          <w:sz w:val="24"/>
        </w:rPr>
        <w:t>Attestation process</w:t>
      </w:r>
      <w:r>
        <w:rPr>
          <w:rFonts w:eastAsiaTheme="minorEastAsia"/>
          <w:sz w:val="24"/>
        </w:rPr>
        <w:t xml:space="preserve"> will inform </w:t>
      </w:r>
      <w:r w:rsidR="0037108A">
        <w:rPr>
          <w:rFonts w:eastAsiaTheme="minorEastAsia"/>
          <w:sz w:val="24"/>
        </w:rPr>
        <w:t xml:space="preserve">the </w:t>
      </w:r>
      <w:r w:rsidR="00F0421A">
        <w:rPr>
          <w:rFonts w:eastAsiaTheme="minorEastAsia"/>
          <w:sz w:val="24"/>
        </w:rPr>
        <w:t>NPDB operations</w:t>
      </w:r>
      <w:r>
        <w:rPr>
          <w:rFonts w:eastAsiaTheme="minorEastAsia"/>
          <w:sz w:val="24"/>
        </w:rPr>
        <w:t xml:space="preserve"> and facilitate the structuring of compliance efforts in a manner that is the most effective</w:t>
      </w:r>
      <w:r w:rsidR="003806F7">
        <w:rPr>
          <w:rFonts w:eastAsiaTheme="minorEastAsia"/>
          <w:sz w:val="24"/>
        </w:rPr>
        <w:t xml:space="preserve">.  </w:t>
      </w:r>
      <w:r>
        <w:rPr>
          <w:rFonts w:eastAsiaTheme="minorEastAsia"/>
          <w:sz w:val="24"/>
        </w:rPr>
        <w:t xml:space="preserve">The </w:t>
      </w:r>
      <w:r w:rsidR="00D31419">
        <w:rPr>
          <w:rFonts w:eastAsiaTheme="minorEastAsia"/>
          <w:sz w:val="24"/>
        </w:rPr>
        <w:t>Attestation process</w:t>
      </w:r>
      <w:r>
        <w:rPr>
          <w:rFonts w:eastAsiaTheme="minorEastAsia"/>
          <w:sz w:val="24"/>
        </w:rPr>
        <w:t xml:space="preserve"> will also serve as a catalyst to collect meaningful data about reporting entities which can later </w:t>
      </w:r>
      <w:r w:rsidRPr="005725C9">
        <w:rPr>
          <w:rFonts w:eastAsiaTheme="minorEastAsia"/>
          <w:sz w:val="24"/>
        </w:rPr>
        <w:t>be transformed into actionable information and serve as a platform for future initiatives</w:t>
      </w:r>
      <w:r w:rsidR="003806F7">
        <w:rPr>
          <w:rFonts w:eastAsiaTheme="minorEastAsia"/>
          <w:sz w:val="24"/>
        </w:rPr>
        <w:t xml:space="preserve">.  </w:t>
      </w:r>
      <w:r w:rsidRPr="005F162C" w:rsidR="00C3539F">
        <w:rPr>
          <w:sz w:val="24"/>
        </w:rPr>
        <w:t xml:space="preserve">The Attestation forms will collect the following information: information regarding sub-sites and entity relationships; contact information for the </w:t>
      </w:r>
      <w:r w:rsidR="001E4CEB">
        <w:rPr>
          <w:sz w:val="24"/>
        </w:rPr>
        <w:t>person authorized to attest</w:t>
      </w:r>
      <w:r w:rsidRPr="005F162C" w:rsidR="00C3539F">
        <w:rPr>
          <w:sz w:val="24"/>
        </w:rPr>
        <w:t>; and a statement attesting</w:t>
      </w:r>
      <w:r w:rsidRPr="00EE4420" w:rsidR="00FA1683">
        <w:rPr>
          <w:sz w:val="24"/>
        </w:rPr>
        <w:t xml:space="preserve"> </w:t>
      </w:r>
      <w:r w:rsidRPr="005F162C" w:rsidR="00C3539F">
        <w:rPr>
          <w:sz w:val="24"/>
        </w:rPr>
        <w:t xml:space="preserve">whether or not all </w:t>
      </w:r>
      <w:r w:rsidR="00FA1683">
        <w:rPr>
          <w:sz w:val="24"/>
        </w:rPr>
        <w:t>qualified entities</w:t>
      </w:r>
      <w:r w:rsidRPr="005F162C" w:rsidR="00C3539F">
        <w:rPr>
          <w:sz w:val="24"/>
        </w:rPr>
        <w:t xml:space="preserve"> have </w:t>
      </w:r>
      <w:r w:rsidR="00FA1683">
        <w:rPr>
          <w:sz w:val="24"/>
        </w:rPr>
        <w:t xml:space="preserve">complied with </w:t>
      </w:r>
      <w:r w:rsidRPr="00EE4420" w:rsidR="00FA1683">
        <w:rPr>
          <w:sz w:val="24"/>
        </w:rPr>
        <w:t>all reporting, querying, and confidentiality requirements</w:t>
      </w:r>
      <w:r w:rsidRPr="005F162C" w:rsidR="00C3539F">
        <w:rPr>
          <w:sz w:val="24"/>
        </w:rPr>
        <w:t>.</w:t>
      </w:r>
    </w:p>
    <w:p w:rsidR="006D46E3" w:rsidP="00BF1885" w:rsidRDefault="006D46E3" w14:paraId="38EC0532" w14:textId="77777777">
      <w:pPr>
        <w:pStyle w:val="BodyText"/>
        <w:spacing w:after="0"/>
        <w:rPr>
          <w:rFonts w:eastAsiaTheme="minorEastAsia"/>
          <w:sz w:val="24"/>
        </w:rPr>
      </w:pPr>
    </w:p>
    <w:p w:rsidR="005B2802" w:rsidP="00BF1885" w:rsidRDefault="005B2802" w14:paraId="1E998A0B" w14:textId="21BFBA0A">
      <w:pPr>
        <w:pStyle w:val="BodyText"/>
        <w:spacing w:after="0"/>
        <w:rPr>
          <w:sz w:val="24"/>
        </w:rPr>
      </w:pPr>
      <w:r>
        <w:rPr>
          <w:sz w:val="24"/>
        </w:rPr>
        <w:t>In addition to</w:t>
      </w:r>
      <w:r w:rsidRPr="00C25CA9">
        <w:rPr>
          <w:sz w:val="24"/>
        </w:rPr>
        <w:t xml:space="preserve"> strengthen</w:t>
      </w:r>
      <w:r>
        <w:rPr>
          <w:sz w:val="24"/>
        </w:rPr>
        <w:t>ing</w:t>
      </w:r>
      <w:r w:rsidRPr="00C25CA9">
        <w:rPr>
          <w:sz w:val="24"/>
        </w:rPr>
        <w:t xml:space="preserve"> </w:t>
      </w:r>
      <w:r w:rsidR="0037108A">
        <w:rPr>
          <w:sz w:val="24"/>
        </w:rPr>
        <w:t xml:space="preserve">the </w:t>
      </w:r>
      <w:r w:rsidR="00424CBA">
        <w:rPr>
          <w:sz w:val="24"/>
        </w:rPr>
        <w:t>NPDB</w:t>
      </w:r>
      <w:r w:rsidRPr="00C25CA9">
        <w:rPr>
          <w:sz w:val="24"/>
        </w:rPr>
        <w:t xml:space="preserve">’s efforts to </w:t>
      </w:r>
      <w:r>
        <w:rPr>
          <w:sz w:val="24"/>
        </w:rPr>
        <w:t>establish</w:t>
      </w:r>
      <w:r w:rsidRPr="00C25CA9">
        <w:rPr>
          <w:sz w:val="24"/>
        </w:rPr>
        <w:t xml:space="preserve"> </w:t>
      </w:r>
      <w:r>
        <w:rPr>
          <w:sz w:val="24"/>
        </w:rPr>
        <w:t xml:space="preserve">accountability, </w:t>
      </w:r>
      <w:r w:rsidR="006D46E3">
        <w:rPr>
          <w:sz w:val="24"/>
        </w:rPr>
        <w:t xml:space="preserve">Attestation will </w:t>
      </w:r>
      <w:r>
        <w:rPr>
          <w:sz w:val="24"/>
        </w:rPr>
        <w:t xml:space="preserve"> </w:t>
      </w:r>
      <w:r w:rsidR="00234E07">
        <w:rPr>
          <w:sz w:val="24"/>
        </w:rPr>
        <w:t xml:space="preserve">contribute to the NPDB’s </w:t>
      </w:r>
      <w:r w:rsidR="00F0421A">
        <w:rPr>
          <w:sz w:val="24"/>
        </w:rPr>
        <w:t>ability</w:t>
      </w:r>
      <w:r w:rsidR="00234E07">
        <w:rPr>
          <w:sz w:val="24"/>
        </w:rPr>
        <w:t xml:space="preserve"> to meet its mission and help maintain a quality health workforce </w:t>
      </w:r>
      <w:r w:rsidRPr="00C25CA9">
        <w:rPr>
          <w:sz w:val="24"/>
        </w:rPr>
        <w:t>by encouraging hospitals</w:t>
      </w:r>
      <w:r w:rsidR="00234E07">
        <w:rPr>
          <w:sz w:val="24"/>
        </w:rPr>
        <w:t xml:space="preserve">, </w:t>
      </w:r>
      <w:r w:rsidR="008031E5">
        <w:rPr>
          <w:sz w:val="24"/>
        </w:rPr>
        <w:t>medical malpractice payers</w:t>
      </w:r>
      <w:r w:rsidR="00680119">
        <w:rPr>
          <w:sz w:val="24"/>
        </w:rPr>
        <w:t>, health plans</w:t>
      </w:r>
      <w:r w:rsidRPr="00C25CA9">
        <w:rPr>
          <w:sz w:val="24"/>
        </w:rPr>
        <w:t>,</w:t>
      </w:r>
      <w:r w:rsidR="00424CBA">
        <w:rPr>
          <w:sz w:val="24"/>
        </w:rPr>
        <w:t xml:space="preserve"> </w:t>
      </w:r>
      <w:r w:rsidR="008031E5">
        <w:rPr>
          <w:sz w:val="24"/>
        </w:rPr>
        <w:t xml:space="preserve">certain </w:t>
      </w:r>
      <w:r w:rsidR="00966FAE">
        <w:rPr>
          <w:sz w:val="24"/>
        </w:rPr>
        <w:t>other health care entities</w:t>
      </w:r>
      <w:r w:rsidR="00E00FDF">
        <w:rPr>
          <w:sz w:val="24"/>
        </w:rPr>
        <w:t xml:space="preserve">, </w:t>
      </w:r>
      <w:r w:rsidRPr="00153A76" w:rsidR="00E00FDF">
        <w:rPr>
          <w:sz w:val="24"/>
        </w:rPr>
        <w:t xml:space="preserve">and other </w:t>
      </w:r>
      <w:r w:rsidRPr="00153A76" w:rsidR="00146C54">
        <w:rPr>
          <w:sz w:val="24"/>
        </w:rPr>
        <w:t xml:space="preserve">eligible </w:t>
      </w:r>
      <w:r w:rsidRPr="00153A76" w:rsidR="00E00FDF">
        <w:rPr>
          <w:sz w:val="24"/>
        </w:rPr>
        <w:t>entities</w:t>
      </w:r>
      <w:r w:rsidRPr="00C25CA9">
        <w:rPr>
          <w:sz w:val="24"/>
        </w:rPr>
        <w:t>, to identify and discipline those who engage in unprofessional behavior; and to restrict</w:t>
      </w:r>
      <w:r w:rsidRPr="0072393C">
        <w:rPr>
          <w:sz w:val="24"/>
        </w:rPr>
        <w:t xml:space="preserve"> the ability of incompetent health care practitioners, </w:t>
      </w:r>
      <w:r w:rsidRPr="00B143EA">
        <w:rPr>
          <w:sz w:val="24"/>
        </w:rPr>
        <w:t>providers, or suppliers to move from state to state without disclosure of previous damaging or incompetent performance</w:t>
      </w:r>
      <w:r w:rsidR="003806F7">
        <w:rPr>
          <w:sz w:val="24"/>
        </w:rPr>
        <w:t xml:space="preserve">.  </w:t>
      </w:r>
      <w:r w:rsidR="00234E07">
        <w:rPr>
          <w:sz w:val="24"/>
        </w:rPr>
        <w:t xml:space="preserve">Attestation for medical malpractice payers will ensure </w:t>
      </w:r>
      <w:r w:rsidR="00680119">
        <w:rPr>
          <w:sz w:val="24"/>
        </w:rPr>
        <w:t>standardized</w:t>
      </w:r>
      <w:r w:rsidR="00234E07">
        <w:rPr>
          <w:sz w:val="24"/>
        </w:rPr>
        <w:t xml:space="preserve"> reporting across different adjudicative processes and models, in response to a changing industry with variability in the application </w:t>
      </w:r>
      <w:r w:rsidR="00680119">
        <w:rPr>
          <w:sz w:val="24"/>
        </w:rPr>
        <w:t>of the</w:t>
      </w:r>
      <w:r w:rsidR="0037108A">
        <w:rPr>
          <w:sz w:val="24"/>
        </w:rPr>
        <w:t xml:space="preserve"> </w:t>
      </w:r>
      <w:r w:rsidR="00680119">
        <w:rPr>
          <w:sz w:val="24"/>
        </w:rPr>
        <w:t xml:space="preserve">NPDB </w:t>
      </w:r>
      <w:r w:rsidR="008A0078">
        <w:rPr>
          <w:sz w:val="24"/>
        </w:rPr>
        <w:t>regulatory</w:t>
      </w:r>
      <w:r w:rsidR="00234E07">
        <w:rPr>
          <w:sz w:val="24"/>
        </w:rPr>
        <w:t xml:space="preserve"> requirements</w:t>
      </w:r>
      <w:r w:rsidR="00B7053A">
        <w:rPr>
          <w:sz w:val="24"/>
        </w:rPr>
        <w:t xml:space="preserve">.  </w:t>
      </w:r>
      <w:r w:rsidRPr="0072393C" w:rsidR="00D31419">
        <w:rPr>
          <w:sz w:val="24"/>
        </w:rPr>
        <w:t xml:space="preserve"> </w:t>
      </w:r>
    </w:p>
    <w:p w:rsidRPr="0072393C" w:rsidR="00873808" w:rsidRDefault="00873808" w14:paraId="035189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P="00D16BBC" w:rsidRDefault="00873808" w14:paraId="6A1CCA0E" w14:textId="77777777">
      <w:pPr>
        <w:pStyle w:val="frn"/>
        <w:spacing w:before="0"/>
        <w:outlineLvl w:val="0"/>
      </w:pPr>
      <w:bookmarkStart w:name="_Toc407786303" w:id="3"/>
      <w:bookmarkStart w:name="_Toc408317166" w:id="4"/>
      <w:bookmarkStart w:name="_Toc408319678" w:id="5"/>
      <w:bookmarkStart w:name="_Toc407786304" w:id="6"/>
      <w:bookmarkStart w:name="_Toc408317167" w:id="7"/>
      <w:bookmarkStart w:name="_Toc408319679" w:id="8"/>
      <w:bookmarkStart w:name="_Toc407786305" w:id="9"/>
      <w:bookmarkStart w:name="_Toc408317168" w:id="10"/>
      <w:bookmarkStart w:name="_Toc408319680" w:id="11"/>
      <w:bookmarkStart w:name="_Toc407786306" w:id="12"/>
      <w:bookmarkStart w:name="_Toc408317169" w:id="13"/>
      <w:bookmarkStart w:name="_Toc408319681" w:id="14"/>
      <w:bookmarkStart w:name="_Toc407786307" w:id="15"/>
      <w:bookmarkStart w:name="_Toc408317170" w:id="16"/>
      <w:bookmarkStart w:name="_Toc408319682" w:id="17"/>
      <w:bookmarkStart w:name="_Toc407786308" w:id="18"/>
      <w:bookmarkStart w:name="_Toc408317171" w:id="19"/>
      <w:bookmarkStart w:name="_Toc408319683" w:id="20"/>
      <w:bookmarkStart w:name="_Toc407786309" w:id="21"/>
      <w:bookmarkStart w:name="_Toc408317172" w:id="22"/>
      <w:bookmarkStart w:name="_Toc408319684" w:id="23"/>
      <w:bookmarkStart w:name="_Toc407786310" w:id="24"/>
      <w:bookmarkStart w:name="_Toc408317173" w:id="25"/>
      <w:bookmarkStart w:name="_Toc408319685" w:id="26"/>
      <w:bookmarkStart w:name="_Toc407786311" w:id="27"/>
      <w:bookmarkStart w:name="_Toc408317174" w:id="28"/>
      <w:bookmarkStart w:name="_Toc408319686" w:id="29"/>
      <w:bookmarkStart w:name="_Toc407786312" w:id="30"/>
      <w:bookmarkStart w:name="_Toc408317175" w:id="31"/>
      <w:bookmarkStart w:name="_Toc408319687" w:id="32"/>
      <w:bookmarkStart w:name="_Toc407786313" w:id="33"/>
      <w:bookmarkStart w:name="_Toc408317176" w:id="34"/>
      <w:bookmarkStart w:name="_Toc408319688" w:id="35"/>
      <w:bookmarkStart w:name="_Toc407786314" w:id="36"/>
      <w:bookmarkStart w:name="_Toc408317177" w:id="37"/>
      <w:bookmarkStart w:name="_Toc408319689" w:id="38"/>
      <w:bookmarkStart w:name="_Toc407786315" w:id="39"/>
      <w:bookmarkStart w:name="_Toc408317178" w:id="40"/>
      <w:bookmarkStart w:name="_Toc408319690" w:id="41"/>
      <w:bookmarkStart w:name="_Toc407786316" w:id="42"/>
      <w:bookmarkStart w:name="_Toc408317179" w:id="43"/>
      <w:bookmarkStart w:name="_Toc408319691" w:id="44"/>
      <w:bookmarkStart w:name="_Toc407786317" w:id="45"/>
      <w:bookmarkStart w:name="_Toc408317180" w:id="46"/>
      <w:bookmarkStart w:name="_Toc408319692" w:id="47"/>
      <w:bookmarkStart w:name="_Toc407786318" w:id="48"/>
      <w:bookmarkStart w:name="_Toc408317181" w:id="49"/>
      <w:bookmarkStart w:name="_Toc408319693" w:id="50"/>
      <w:bookmarkStart w:name="_Toc407786319" w:id="51"/>
      <w:bookmarkStart w:name="_Toc408317182" w:id="52"/>
      <w:bookmarkStart w:name="_Toc408319694" w:id="53"/>
      <w:bookmarkStart w:name="_Toc407786320" w:id="54"/>
      <w:bookmarkStart w:name="_Toc408317183" w:id="55"/>
      <w:bookmarkStart w:name="_Toc408319695" w:id="56"/>
      <w:bookmarkStart w:name="_Toc407786523" w:id="57"/>
      <w:bookmarkStart w:name="_Toc408317386" w:id="58"/>
      <w:bookmarkStart w:name="_Toc408319898" w:id="59"/>
      <w:bookmarkStart w:name="_Toc407786524" w:id="60"/>
      <w:bookmarkStart w:name="_Toc408317387" w:id="61"/>
      <w:bookmarkStart w:name="_Toc408319899" w:id="62"/>
      <w:bookmarkStart w:name="_Toc413843490" w:id="6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Use of Improved Information Technology and Burden Reduction</w:t>
      </w:r>
      <w:bookmarkEnd w:id="63"/>
    </w:p>
    <w:p w:rsidR="00873808" w:rsidP="00D16BBC" w:rsidRDefault="00873808" w14:paraId="6D806B1B" w14:textId="77777777">
      <w:pPr>
        <w:pStyle w:val="BodyText"/>
        <w:spacing w:after="0"/>
        <w:rPr>
          <w:sz w:val="24"/>
        </w:rPr>
      </w:pPr>
    </w:p>
    <w:p w:rsidRPr="00EB29AF" w:rsidR="00EB29AF" w:rsidP="00EB29AF" w:rsidRDefault="00EB29AF" w14:paraId="7299CA7D" w14:textId="1A4A7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EB29AF">
        <w:rPr>
          <w:sz w:val="24"/>
        </w:rPr>
        <w:t xml:space="preserve">Attestation will be an entirely automated process completed via the secure </w:t>
      </w:r>
      <w:r w:rsidR="0037108A">
        <w:rPr>
          <w:sz w:val="24"/>
        </w:rPr>
        <w:t xml:space="preserve">the </w:t>
      </w:r>
      <w:r w:rsidR="00680119">
        <w:rPr>
          <w:sz w:val="24"/>
        </w:rPr>
        <w:t xml:space="preserve">NPDB </w:t>
      </w:r>
      <w:r w:rsidRPr="00EB29AF" w:rsidR="00680119">
        <w:rPr>
          <w:sz w:val="24"/>
        </w:rPr>
        <w:t>system</w:t>
      </w:r>
      <w:r w:rsidRPr="00EB29AF">
        <w:rPr>
          <w:sz w:val="24"/>
        </w:rPr>
        <w:t xml:space="preserve"> (</w:t>
      </w:r>
      <w:hyperlink w:history="1" r:id="rId19">
        <w:r w:rsidRPr="00390BAF">
          <w:rPr>
            <w:rStyle w:val="Hyperlink"/>
            <w:sz w:val="24"/>
          </w:rPr>
          <w:t>https://www.npdb.hrsa.gov</w:t>
        </w:r>
      </w:hyperlink>
      <w:r w:rsidRPr="00EB29AF">
        <w:rPr>
          <w:sz w:val="24"/>
        </w:rPr>
        <w:t>)</w:t>
      </w:r>
      <w:r w:rsidR="00B7053A">
        <w:rPr>
          <w:sz w:val="24"/>
        </w:rPr>
        <w:t xml:space="preserve">.  </w:t>
      </w:r>
      <w:r w:rsidRPr="00EB29AF">
        <w:rPr>
          <w:sz w:val="24"/>
        </w:rPr>
        <w:t xml:space="preserve"> The secure system will use both secure email messaging and system notifications to alert entities registered with the NPDB of their responsibility to attest</w:t>
      </w:r>
      <w:r w:rsidR="00B7053A">
        <w:rPr>
          <w:sz w:val="24"/>
        </w:rPr>
        <w:t xml:space="preserve">.  </w:t>
      </w:r>
      <w:r w:rsidRPr="00EB29AF">
        <w:rPr>
          <w:sz w:val="24"/>
        </w:rPr>
        <w:t xml:space="preserve"> All entities with attestation requirements to the NPDB must first register with the NPDB before gaining access to the secure </w:t>
      </w:r>
      <w:r w:rsidR="0037108A">
        <w:rPr>
          <w:sz w:val="24"/>
        </w:rPr>
        <w:t xml:space="preserve">the </w:t>
      </w:r>
      <w:r w:rsidR="00680119">
        <w:rPr>
          <w:sz w:val="24"/>
        </w:rPr>
        <w:t xml:space="preserve">NPDB </w:t>
      </w:r>
      <w:r w:rsidRPr="00EB29AF" w:rsidR="00680119">
        <w:rPr>
          <w:sz w:val="24"/>
        </w:rPr>
        <w:t>system</w:t>
      </w:r>
      <w:r w:rsidR="00B7053A">
        <w:rPr>
          <w:sz w:val="24"/>
        </w:rPr>
        <w:t xml:space="preserve">.  </w:t>
      </w:r>
      <w:r w:rsidRPr="00EB29AF">
        <w:rPr>
          <w:sz w:val="24"/>
        </w:rPr>
        <w:t xml:space="preserve"> All </w:t>
      </w:r>
      <w:r w:rsidR="00D31419">
        <w:rPr>
          <w:sz w:val="24"/>
        </w:rPr>
        <w:t>Attestation process</w:t>
      </w:r>
      <w:r w:rsidRPr="00EB29AF">
        <w:rPr>
          <w:sz w:val="24"/>
        </w:rPr>
        <w:t>es are performed through this secure website.</w:t>
      </w:r>
    </w:p>
    <w:p w:rsidR="004916D5" w:rsidRDefault="004916D5" w14:paraId="012B7C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P="00D16BBC" w:rsidRDefault="00873808" w14:paraId="7C50FD18" w14:textId="77777777">
      <w:pPr>
        <w:pStyle w:val="frn"/>
        <w:spacing w:before="0"/>
        <w:outlineLvl w:val="0"/>
      </w:pPr>
      <w:bookmarkStart w:name="_Toc407786526" w:id="64"/>
      <w:bookmarkStart w:name="_Toc408317389" w:id="65"/>
      <w:bookmarkStart w:name="_Toc408319901" w:id="66"/>
      <w:bookmarkStart w:name="_Toc413843491" w:id="67"/>
      <w:bookmarkEnd w:id="64"/>
      <w:bookmarkEnd w:id="65"/>
      <w:bookmarkEnd w:id="66"/>
      <w:r>
        <w:t>Efforts to  Identify Duplication and Use of Similar Information</w:t>
      </w:r>
      <w:bookmarkEnd w:id="67"/>
    </w:p>
    <w:p w:rsidR="00EE527B" w:rsidP="00D16BBC" w:rsidRDefault="00EE527B" w14:paraId="4A0A74F6" w14:textId="77777777">
      <w:pPr>
        <w:rPr>
          <w:sz w:val="24"/>
        </w:rPr>
      </w:pPr>
    </w:p>
    <w:p w:rsidR="00EE527B" w:rsidP="00D16BBC" w:rsidRDefault="00873808" w14:paraId="0E35CE52" w14:textId="1C8C649F">
      <w:pPr>
        <w:rPr>
          <w:sz w:val="24"/>
        </w:rPr>
      </w:pPr>
      <w:r w:rsidRPr="00B40E1D">
        <w:rPr>
          <w:sz w:val="24"/>
        </w:rPr>
        <w:t>There is a large amount of confidential information in the NPDB that is not available from any other source</w:t>
      </w:r>
      <w:r w:rsidR="00B7053A">
        <w:rPr>
          <w:sz w:val="24"/>
        </w:rPr>
        <w:t xml:space="preserve">.  </w:t>
      </w:r>
      <w:r w:rsidRPr="00B40E1D">
        <w:rPr>
          <w:sz w:val="24"/>
        </w:rPr>
        <w:t xml:space="preserve">Prior to 1990, when the NPDB began operations, a single, consolidated, national repository of information on medical malpractice payments, State licensure disciplinary actions, </w:t>
      </w:r>
      <w:r w:rsidRPr="00B40E1D">
        <w:rPr>
          <w:sz w:val="24"/>
        </w:rPr>
        <w:lastRenderedPageBreak/>
        <w:t>adverse actions on clinical privileges and professional society membership did not exist</w:t>
      </w:r>
      <w:r w:rsidR="003806F7">
        <w:rPr>
          <w:sz w:val="24"/>
        </w:rPr>
        <w:t xml:space="preserve">.  </w:t>
      </w:r>
      <w:r w:rsidRPr="00B40E1D">
        <w:rPr>
          <w:sz w:val="24"/>
        </w:rPr>
        <w:t>The Federation of State Medical Boards (FSMB)</w:t>
      </w:r>
      <w:r w:rsidR="00F16539">
        <w:rPr>
          <w:sz w:val="24"/>
        </w:rPr>
        <w:t xml:space="preserve"> has maintained a data b</w:t>
      </w:r>
      <w:r w:rsidRPr="00B40E1D">
        <w:rPr>
          <w:sz w:val="24"/>
        </w:rPr>
        <w:t>ank of information on State Medical Board licensure actions</w:t>
      </w:r>
      <w:r w:rsidR="00B7053A">
        <w:rPr>
          <w:sz w:val="24"/>
        </w:rPr>
        <w:t xml:space="preserve">.  </w:t>
      </w:r>
      <w:r w:rsidRPr="00B40E1D">
        <w:rPr>
          <w:sz w:val="24"/>
        </w:rPr>
        <w:t>Although all States</w:t>
      </w:r>
      <w:r w:rsidR="00F16539">
        <w:rPr>
          <w:sz w:val="24"/>
        </w:rPr>
        <w:t xml:space="preserve"> report, participation in this data b</w:t>
      </w:r>
      <w:r w:rsidRPr="00B40E1D">
        <w:rPr>
          <w:sz w:val="24"/>
        </w:rPr>
        <w:t>ank is voluntary</w:t>
      </w:r>
      <w:r w:rsidR="00B7053A">
        <w:rPr>
          <w:sz w:val="24"/>
        </w:rPr>
        <w:t xml:space="preserve">.  </w:t>
      </w:r>
      <w:r w:rsidRPr="00B40E1D">
        <w:rPr>
          <w:sz w:val="24"/>
        </w:rPr>
        <w:t xml:space="preserve"> </w:t>
      </w:r>
    </w:p>
    <w:p w:rsidR="00EE527B" w:rsidP="00D16BBC" w:rsidRDefault="00EE527B" w14:paraId="4138E82C" w14:textId="77777777">
      <w:pPr>
        <w:rPr>
          <w:sz w:val="24"/>
        </w:rPr>
      </w:pPr>
    </w:p>
    <w:p w:rsidRPr="00B40E1D" w:rsidR="00873808" w:rsidP="00D16BBC" w:rsidRDefault="00873808" w14:paraId="3F2FA54B" w14:textId="26D2927B">
      <w:pPr>
        <w:rPr>
          <w:sz w:val="24"/>
        </w:rPr>
      </w:pPr>
      <w:r w:rsidRPr="00B40E1D">
        <w:rPr>
          <w:sz w:val="24"/>
        </w:rPr>
        <w:t>The majority of States require some form of reporting of medical malpractice payments, usually to State Medical Boards, but such information is not routinely compiled on a national basis</w:t>
      </w:r>
      <w:r w:rsidR="003806F7">
        <w:rPr>
          <w:sz w:val="24"/>
        </w:rPr>
        <w:t xml:space="preserve">.  </w:t>
      </w:r>
      <w:r w:rsidRPr="00B40E1D">
        <w:rPr>
          <w:sz w:val="24"/>
        </w:rPr>
        <w:t>In some States, information on adverse actions taken by health care entities is reported to the State licensing board, but it has never been collected systematically or been generally available</w:t>
      </w:r>
      <w:r w:rsidR="00B7053A">
        <w:rPr>
          <w:sz w:val="24"/>
        </w:rPr>
        <w:t xml:space="preserve">.  </w:t>
      </w:r>
      <w:r w:rsidRPr="00B40E1D">
        <w:rPr>
          <w:sz w:val="24"/>
        </w:rPr>
        <w:t xml:space="preserve">Similarly, there has been no centralized reporting of professional society membership adverse </w:t>
      </w:r>
      <w:r w:rsidRPr="00B40E1D" w:rsidR="00867B38">
        <w:rPr>
          <w:sz w:val="24"/>
        </w:rPr>
        <w:t>actions</w:t>
      </w:r>
      <w:r w:rsidR="00B7053A">
        <w:rPr>
          <w:sz w:val="24"/>
        </w:rPr>
        <w:t xml:space="preserve">.  </w:t>
      </w:r>
      <w:r w:rsidRPr="00B40E1D" w:rsidR="00867B38">
        <w:rPr>
          <w:sz w:val="24"/>
        </w:rPr>
        <w:t>HRSA</w:t>
      </w:r>
      <w:r w:rsidRPr="00B40E1D">
        <w:rPr>
          <w:sz w:val="24"/>
        </w:rPr>
        <w:t xml:space="preserve"> drew on the experience of similar existing information collection systems to the extent feasible when developing the NPDB</w:t>
      </w:r>
      <w:r w:rsidR="003806F7">
        <w:rPr>
          <w:sz w:val="24"/>
        </w:rPr>
        <w:t xml:space="preserve">.  </w:t>
      </w:r>
      <w:r w:rsidRPr="00B40E1D">
        <w:rPr>
          <w:sz w:val="24"/>
        </w:rPr>
        <w:t>For example, the classification system used in reporting licensure disciplinary actions is a modification of the system used by the FSMB</w:t>
      </w:r>
      <w:r w:rsidR="003806F7">
        <w:rPr>
          <w:sz w:val="24"/>
        </w:rPr>
        <w:t xml:space="preserve">.  </w:t>
      </w:r>
      <w:r w:rsidRPr="00B40E1D">
        <w:rPr>
          <w:sz w:val="24"/>
        </w:rPr>
        <w:t>The classification system used for acts or omissions that resulted in a medical malpractice insurance payment is adapted from a coding system developed by the Harvard Risk Management Foundation</w:t>
      </w:r>
      <w:r w:rsidR="00B7053A">
        <w:rPr>
          <w:sz w:val="24"/>
        </w:rPr>
        <w:t xml:space="preserve">.  </w:t>
      </w:r>
      <w:r w:rsidR="00057980">
        <w:rPr>
          <w:sz w:val="24"/>
        </w:rPr>
        <w:t>S</w:t>
      </w:r>
      <w:r w:rsidRPr="00B40E1D">
        <w:rPr>
          <w:sz w:val="24"/>
        </w:rPr>
        <w:t>tandardized methods of collecting the required information typically do not exist.</w:t>
      </w:r>
    </w:p>
    <w:p w:rsidRPr="00B40E1D" w:rsidR="00873808" w:rsidRDefault="00873808" w14:paraId="21E508C3" w14:textId="77777777">
      <w:pPr>
        <w:widowControl/>
        <w:rPr>
          <w:b/>
          <w:bCs/>
          <w:sz w:val="24"/>
        </w:rPr>
      </w:pPr>
    </w:p>
    <w:p w:rsidR="00873808" w:rsidP="00D16BBC" w:rsidRDefault="00873808" w14:paraId="6A8DE47F" w14:textId="77777777">
      <w:pPr>
        <w:pStyle w:val="frn"/>
        <w:spacing w:before="0"/>
        <w:outlineLvl w:val="0"/>
        <w:rPr>
          <w:color w:val="000000"/>
        </w:rPr>
      </w:pPr>
      <w:bookmarkStart w:name="_Toc407786528" w:id="68"/>
      <w:bookmarkStart w:name="_Toc408317391" w:id="69"/>
      <w:bookmarkStart w:name="_Toc408319903" w:id="70"/>
      <w:bookmarkStart w:name="_Toc413843492" w:id="71"/>
      <w:bookmarkEnd w:id="68"/>
      <w:bookmarkEnd w:id="69"/>
      <w:bookmarkEnd w:id="70"/>
      <w:r>
        <w:t>Impact on Small Businesses or Other Small Entities</w:t>
      </w:r>
      <w:bookmarkEnd w:id="71"/>
    </w:p>
    <w:p w:rsidRPr="0072393C" w:rsidR="00244B64" w:rsidRDefault="00244B64" w14:paraId="6083DD29" w14:textId="77777777">
      <w:pPr>
        <w:widowControl/>
        <w:rPr>
          <w:sz w:val="24"/>
        </w:rPr>
      </w:pPr>
    </w:p>
    <w:p w:rsidR="003806F7" w:rsidP="005B2802" w:rsidRDefault="005B2802" w14:paraId="2C95A922" w14:textId="77777777">
      <w:pPr>
        <w:widowControl/>
        <w:rPr>
          <w:sz w:val="24"/>
        </w:rPr>
      </w:pPr>
      <w:r w:rsidRPr="00A01303">
        <w:rPr>
          <w:sz w:val="24"/>
        </w:rPr>
        <w:t>The information collected is not expected to have a significant effect on small businesses</w:t>
      </w:r>
      <w:r w:rsidR="003806F7">
        <w:rPr>
          <w:sz w:val="24"/>
        </w:rPr>
        <w:t xml:space="preserve">.  </w:t>
      </w:r>
    </w:p>
    <w:p w:rsidR="005B2802" w:rsidP="005B2802" w:rsidRDefault="005B2802" w14:paraId="3DC865DB" w14:textId="4CC13EDE">
      <w:pPr>
        <w:widowControl/>
        <w:rPr>
          <w:sz w:val="24"/>
        </w:rPr>
      </w:pPr>
      <w:r w:rsidRPr="00A01303">
        <w:rPr>
          <w:sz w:val="24"/>
        </w:rPr>
        <w:t>The electronic forms are incorporated into web interfaces which all end-users routinely use when fulfilling querying and reporting requirements</w:t>
      </w:r>
      <w:r w:rsidR="00B7053A">
        <w:rPr>
          <w:sz w:val="24"/>
        </w:rPr>
        <w:t xml:space="preserve">.  </w:t>
      </w:r>
    </w:p>
    <w:p w:rsidR="005B2802" w:rsidP="005B2802" w:rsidRDefault="005B2802" w14:paraId="4BF854FB" w14:textId="77777777">
      <w:pPr>
        <w:widowControl/>
        <w:rPr>
          <w:sz w:val="24"/>
        </w:rPr>
      </w:pPr>
    </w:p>
    <w:p w:rsidR="005B2802" w:rsidP="005B2802" w:rsidRDefault="005B2802" w14:paraId="10E0F388" w14:textId="0B312E52">
      <w:pPr>
        <w:widowControl/>
        <w:rPr>
          <w:sz w:val="24"/>
        </w:rPr>
      </w:pPr>
      <w:r w:rsidRPr="00A01303">
        <w:rPr>
          <w:sz w:val="24"/>
        </w:rPr>
        <w:t xml:space="preserve">Attempts are made to keep data collections to the minimum needed to differentiate adequately among </w:t>
      </w:r>
      <w:r w:rsidRPr="00A01303" w:rsidR="00680119">
        <w:rPr>
          <w:sz w:val="24"/>
        </w:rPr>
        <w:t>entities with</w:t>
      </w:r>
      <w:r w:rsidRPr="00A01303">
        <w:rPr>
          <w:sz w:val="24"/>
        </w:rPr>
        <w:t xml:space="preserve"> different reporting requirements and identify if entities are compliant with statutory requirements</w:t>
      </w:r>
      <w:r w:rsidR="00B7053A">
        <w:rPr>
          <w:sz w:val="24"/>
        </w:rPr>
        <w:t xml:space="preserve">.  </w:t>
      </w:r>
      <w:r w:rsidRPr="00B40E1D">
        <w:rPr>
          <w:sz w:val="24"/>
        </w:rPr>
        <w:t xml:space="preserve">An eligible entity may use an authorized </w:t>
      </w:r>
      <w:r w:rsidRPr="00AF494B">
        <w:rPr>
          <w:sz w:val="24"/>
        </w:rPr>
        <w:t xml:space="preserve">agent to respond to the </w:t>
      </w:r>
      <w:r w:rsidR="00D31419">
        <w:rPr>
          <w:sz w:val="24"/>
        </w:rPr>
        <w:t>Attestation process</w:t>
      </w:r>
      <w:r w:rsidRPr="00AF494B">
        <w:rPr>
          <w:sz w:val="24"/>
        </w:rPr>
        <w:t xml:space="preserve"> if it uses an authorized agent for reporting to </w:t>
      </w:r>
      <w:r w:rsidR="004A27E5">
        <w:rPr>
          <w:sz w:val="24"/>
        </w:rPr>
        <w:t xml:space="preserve">the </w:t>
      </w:r>
      <w:r w:rsidRPr="00AF494B">
        <w:rPr>
          <w:sz w:val="24"/>
        </w:rPr>
        <w:t>NPDB.</w:t>
      </w:r>
    </w:p>
    <w:p w:rsidRPr="00AF494B" w:rsidR="00EE527B" w:rsidP="00D16BBC" w:rsidRDefault="00AF494B" w14:paraId="52D17E71" w14:textId="77777777">
      <w:pPr>
        <w:widowControl/>
        <w:rPr>
          <w:sz w:val="24"/>
          <w:highlight w:val="yellow"/>
        </w:rPr>
      </w:pPr>
      <w:r>
        <w:rPr>
          <w:sz w:val="24"/>
          <w:highlight w:val="yellow"/>
        </w:rPr>
        <w:t xml:space="preserve"> </w:t>
      </w:r>
    </w:p>
    <w:p w:rsidRPr="00D16BBC" w:rsidR="00873808" w:rsidP="00D16BBC" w:rsidRDefault="00873808" w14:paraId="49EC87B2" w14:textId="77777777">
      <w:pPr>
        <w:pStyle w:val="frn"/>
        <w:spacing w:before="0"/>
        <w:outlineLvl w:val="0"/>
      </w:pPr>
      <w:bookmarkStart w:name="_Toc407786530" w:id="72"/>
      <w:bookmarkStart w:name="_Toc408317393" w:id="73"/>
      <w:bookmarkStart w:name="_Toc408319905" w:id="74"/>
      <w:bookmarkStart w:name="_Toc407786531" w:id="75"/>
      <w:bookmarkStart w:name="_Toc408317394" w:id="76"/>
      <w:bookmarkStart w:name="_Toc408319906" w:id="77"/>
      <w:bookmarkStart w:name="_Toc413843493" w:id="78"/>
      <w:bookmarkEnd w:id="72"/>
      <w:bookmarkEnd w:id="73"/>
      <w:bookmarkEnd w:id="74"/>
      <w:bookmarkEnd w:id="75"/>
      <w:bookmarkEnd w:id="76"/>
      <w:bookmarkEnd w:id="77"/>
      <w:r w:rsidRPr="00D16BBC">
        <w:t>Consequences of Collecting the Information Less Frequently</w:t>
      </w:r>
      <w:bookmarkEnd w:id="78"/>
    </w:p>
    <w:p w:rsidRPr="0072393C" w:rsidR="00873808" w:rsidRDefault="00873808" w14:paraId="121E9EEB" w14:textId="77777777">
      <w:pPr>
        <w:widowControl/>
        <w:rPr>
          <w:sz w:val="24"/>
          <w:highlight w:val="yellow"/>
        </w:rPr>
      </w:pPr>
    </w:p>
    <w:p w:rsidRPr="007B6A9E" w:rsidR="005B2802" w:rsidP="005B2802" w:rsidRDefault="005B2802" w14:paraId="3BC35C63" w14:textId="087F44F5">
      <w:pPr>
        <w:widowControl/>
        <w:rPr>
          <w:sz w:val="24"/>
        </w:rPr>
      </w:pPr>
      <w:r>
        <w:rPr>
          <w:sz w:val="24"/>
        </w:rPr>
        <w:t>Attestation of compliance with reporting</w:t>
      </w:r>
      <w:r w:rsidR="004E2ED2">
        <w:rPr>
          <w:sz w:val="24"/>
        </w:rPr>
        <w:t>, querying, and confidentiality</w:t>
      </w:r>
      <w:r>
        <w:rPr>
          <w:sz w:val="24"/>
        </w:rPr>
        <w:t xml:space="preserve"> requirements will be collected by </w:t>
      </w:r>
      <w:r w:rsidR="00593417">
        <w:rPr>
          <w:sz w:val="24"/>
        </w:rPr>
        <w:t xml:space="preserve">the </w:t>
      </w:r>
      <w:r>
        <w:rPr>
          <w:sz w:val="24"/>
        </w:rPr>
        <w:t>NPDB</w:t>
      </w:r>
      <w:r w:rsidRPr="00B40E1D">
        <w:rPr>
          <w:sz w:val="24"/>
        </w:rPr>
        <w:t xml:space="preserve"> </w:t>
      </w:r>
      <w:r w:rsidR="00680119">
        <w:rPr>
          <w:sz w:val="24"/>
        </w:rPr>
        <w:t>biennially</w:t>
      </w:r>
      <w:r w:rsidR="003806F7">
        <w:rPr>
          <w:sz w:val="24"/>
        </w:rPr>
        <w:t xml:space="preserve">.  </w:t>
      </w:r>
      <w:r w:rsidRPr="007B6A9E">
        <w:rPr>
          <w:sz w:val="24"/>
        </w:rPr>
        <w:t xml:space="preserve">Determining options for frequency of </w:t>
      </w:r>
      <w:r>
        <w:rPr>
          <w:sz w:val="24"/>
        </w:rPr>
        <w:t>attestation</w:t>
      </w:r>
      <w:r w:rsidRPr="007B6A9E">
        <w:rPr>
          <w:sz w:val="24"/>
        </w:rPr>
        <w:t xml:space="preserve"> was thoroughly discussed</w:t>
      </w:r>
      <w:r w:rsidR="00593417">
        <w:rPr>
          <w:sz w:val="24"/>
        </w:rPr>
        <w:t>, taking</w:t>
      </w:r>
      <w:r w:rsidRPr="007B6A9E">
        <w:rPr>
          <w:sz w:val="24"/>
        </w:rPr>
        <w:t xml:space="preserve"> the following operational variables into consideration:</w:t>
      </w:r>
    </w:p>
    <w:p w:rsidRPr="007B6A9E" w:rsidR="005B2802" w:rsidP="005B2802" w:rsidRDefault="005B2802" w14:paraId="50BC1296" w14:textId="77777777">
      <w:pPr>
        <w:widowControl/>
        <w:rPr>
          <w:sz w:val="24"/>
        </w:rPr>
      </w:pPr>
    </w:p>
    <w:p w:rsidRPr="00770F8E" w:rsidR="005B2802" w:rsidP="005B2802" w:rsidRDefault="005B2802" w14:paraId="5A21EF6A" w14:textId="77777777">
      <w:pPr>
        <w:pStyle w:val="ListParagraph"/>
        <w:widowControl/>
        <w:numPr>
          <w:ilvl w:val="0"/>
          <w:numId w:val="40"/>
        </w:numPr>
        <w:rPr>
          <w:sz w:val="24"/>
        </w:rPr>
      </w:pPr>
      <w:r w:rsidRPr="00770F8E">
        <w:rPr>
          <w:sz w:val="24"/>
        </w:rPr>
        <w:t>The projected amount of adverse action reports by reporting entities</w:t>
      </w:r>
    </w:p>
    <w:p w:rsidRPr="00770F8E" w:rsidR="005B2802" w:rsidP="005B2802" w:rsidRDefault="005B2802" w14:paraId="62EA9710" w14:textId="77777777">
      <w:pPr>
        <w:pStyle w:val="ListParagraph"/>
        <w:widowControl/>
        <w:numPr>
          <w:ilvl w:val="0"/>
          <w:numId w:val="40"/>
        </w:numPr>
        <w:rPr>
          <w:sz w:val="24"/>
        </w:rPr>
      </w:pPr>
      <w:r w:rsidRPr="00770F8E">
        <w:rPr>
          <w:sz w:val="24"/>
        </w:rPr>
        <w:t xml:space="preserve">Amount of time and effort required of each entity in order to respond to </w:t>
      </w:r>
      <w:r w:rsidR="00767A9C">
        <w:rPr>
          <w:sz w:val="24"/>
        </w:rPr>
        <w:t xml:space="preserve">the </w:t>
      </w:r>
      <w:r w:rsidR="00D31419">
        <w:rPr>
          <w:sz w:val="24"/>
        </w:rPr>
        <w:t>Attestation process</w:t>
      </w:r>
      <w:r w:rsidRPr="00770F8E">
        <w:rPr>
          <w:sz w:val="24"/>
        </w:rPr>
        <w:t>.</w:t>
      </w:r>
    </w:p>
    <w:p w:rsidRPr="00770F8E" w:rsidR="005B2802" w:rsidP="005B2802" w:rsidRDefault="005B2802" w14:paraId="5CB22DAF" w14:textId="77777777">
      <w:pPr>
        <w:pStyle w:val="ListParagraph"/>
        <w:widowControl/>
        <w:numPr>
          <w:ilvl w:val="0"/>
          <w:numId w:val="40"/>
        </w:numPr>
        <w:rPr>
          <w:sz w:val="24"/>
        </w:rPr>
      </w:pPr>
      <w:r w:rsidRPr="00770F8E">
        <w:rPr>
          <w:sz w:val="24"/>
        </w:rPr>
        <w:t xml:space="preserve">Correlating follow-up actions required of </w:t>
      </w:r>
      <w:r w:rsidR="00767A9C">
        <w:rPr>
          <w:sz w:val="24"/>
        </w:rPr>
        <w:t xml:space="preserve">the </w:t>
      </w:r>
      <w:r w:rsidRPr="00770F8E">
        <w:rPr>
          <w:sz w:val="24"/>
        </w:rPr>
        <w:t>NPDB for each attestation submitted by an entity.</w:t>
      </w:r>
    </w:p>
    <w:p w:rsidRPr="00770F8E" w:rsidR="005B2802" w:rsidP="005B2802" w:rsidRDefault="005B2802" w14:paraId="3A8F697E" w14:textId="77777777">
      <w:pPr>
        <w:pStyle w:val="ListParagraph"/>
        <w:widowControl/>
        <w:numPr>
          <w:ilvl w:val="0"/>
          <w:numId w:val="40"/>
        </w:numPr>
        <w:rPr>
          <w:sz w:val="24"/>
        </w:rPr>
      </w:pPr>
      <w:r w:rsidRPr="00770F8E">
        <w:rPr>
          <w:sz w:val="24"/>
        </w:rPr>
        <w:t xml:space="preserve">Amount of time and workload required of </w:t>
      </w:r>
      <w:r w:rsidR="0037108A">
        <w:rPr>
          <w:sz w:val="24"/>
        </w:rPr>
        <w:t>the NPDB</w:t>
      </w:r>
      <w:r w:rsidRPr="00770F8E">
        <w:rPr>
          <w:sz w:val="24"/>
        </w:rPr>
        <w:t xml:space="preserve"> staff for follow-up actions on attestations.</w:t>
      </w:r>
    </w:p>
    <w:p w:rsidRPr="00770F8E" w:rsidR="005B2802" w:rsidP="005B2802" w:rsidRDefault="005B2802" w14:paraId="2ACED53A" w14:textId="77777777">
      <w:pPr>
        <w:pStyle w:val="ListParagraph"/>
        <w:widowControl/>
        <w:numPr>
          <w:ilvl w:val="0"/>
          <w:numId w:val="40"/>
        </w:numPr>
        <w:rPr>
          <w:sz w:val="24"/>
        </w:rPr>
      </w:pPr>
      <w:r w:rsidRPr="00770F8E">
        <w:rPr>
          <w:sz w:val="24"/>
        </w:rPr>
        <w:t xml:space="preserve">Impact of frequency on overall deployment, introduction, and acceptance of the new </w:t>
      </w:r>
      <w:r w:rsidR="00D31419">
        <w:rPr>
          <w:sz w:val="24"/>
        </w:rPr>
        <w:t>Attestation process</w:t>
      </w:r>
      <w:r w:rsidRPr="00770F8E">
        <w:rPr>
          <w:sz w:val="24"/>
        </w:rPr>
        <w:t xml:space="preserve"> by entities.</w:t>
      </w:r>
    </w:p>
    <w:p w:rsidR="005B2802" w:rsidP="005B2802" w:rsidRDefault="005B2802" w14:paraId="5BD6CC5D" w14:textId="77777777">
      <w:pPr>
        <w:widowControl/>
        <w:rPr>
          <w:sz w:val="24"/>
        </w:rPr>
      </w:pPr>
    </w:p>
    <w:p w:rsidR="005B2802" w:rsidP="005B2802" w:rsidRDefault="005B2802" w14:paraId="5A6AF1C3" w14:textId="1D45A63C">
      <w:pPr>
        <w:widowControl/>
        <w:rPr>
          <w:sz w:val="24"/>
        </w:rPr>
      </w:pPr>
      <w:r>
        <w:rPr>
          <w:sz w:val="24"/>
        </w:rPr>
        <w:t xml:space="preserve">It was determined that </w:t>
      </w:r>
      <w:r w:rsidRPr="00456C12">
        <w:rPr>
          <w:sz w:val="24"/>
        </w:rPr>
        <w:t xml:space="preserve">it would be most effective to </w:t>
      </w:r>
      <w:r w:rsidR="00010C6A">
        <w:rPr>
          <w:sz w:val="24"/>
        </w:rPr>
        <w:t>revise</w:t>
      </w:r>
      <w:r w:rsidRPr="00456C12">
        <w:rPr>
          <w:sz w:val="24"/>
        </w:rPr>
        <w:t xml:space="preserve"> the </w:t>
      </w:r>
      <w:r w:rsidR="00010C6A">
        <w:rPr>
          <w:sz w:val="24"/>
        </w:rPr>
        <w:t>biennial</w:t>
      </w:r>
      <w:r w:rsidRPr="00456C12">
        <w:rPr>
          <w:sz w:val="24"/>
        </w:rPr>
        <w:t xml:space="preserve"> </w:t>
      </w:r>
      <w:r w:rsidR="00D31419">
        <w:rPr>
          <w:sz w:val="24"/>
        </w:rPr>
        <w:t>Attestation process</w:t>
      </w:r>
      <w:r w:rsidRPr="00456C12">
        <w:rPr>
          <w:sz w:val="24"/>
        </w:rPr>
        <w:t xml:space="preserve"> which would ensure adequate involvement and understanding of compliance requirements by </w:t>
      </w:r>
      <w:r>
        <w:rPr>
          <w:sz w:val="24"/>
        </w:rPr>
        <w:t>entities</w:t>
      </w:r>
      <w:r w:rsidR="00680119">
        <w:rPr>
          <w:sz w:val="24"/>
        </w:rPr>
        <w:t>,</w:t>
      </w:r>
      <w:r w:rsidRPr="00456C12">
        <w:rPr>
          <w:sz w:val="24"/>
        </w:rPr>
        <w:t xml:space="preserve"> </w:t>
      </w:r>
      <w:r w:rsidRPr="00456C12">
        <w:rPr>
          <w:sz w:val="24"/>
        </w:rPr>
        <w:lastRenderedPageBreak/>
        <w:t>while not creating burdensome and overwhelming tasks for involved parties</w:t>
      </w:r>
      <w:r w:rsidR="003806F7">
        <w:rPr>
          <w:sz w:val="24"/>
        </w:rPr>
        <w:t xml:space="preserve">.  </w:t>
      </w:r>
      <w:r w:rsidR="00680119">
        <w:rPr>
          <w:sz w:val="24"/>
        </w:rPr>
        <w:t>Biennial</w:t>
      </w:r>
      <w:r w:rsidRPr="00456C12">
        <w:rPr>
          <w:sz w:val="24"/>
        </w:rPr>
        <w:t xml:space="preserve"> frequency would also increase acceptance of the new</w:t>
      </w:r>
      <w:r>
        <w:rPr>
          <w:sz w:val="24"/>
        </w:rPr>
        <w:t xml:space="preserve"> process</w:t>
      </w:r>
      <w:r w:rsidRPr="00456C12">
        <w:rPr>
          <w:sz w:val="24"/>
        </w:rPr>
        <w:t xml:space="preserve"> by </w:t>
      </w:r>
      <w:r>
        <w:rPr>
          <w:sz w:val="24"/>
        </w:rPr>
        <w:t>entities</w:t>
      </w:r>
      <w:r w:rsidRPr="00456C12">
        <w:rPr>
          <w:sz w:val="24"/>
        </w:rPr>
        <w:t xml:space="preserve"> and in-turn further enable DPDB’s effectiveness and efficiency in meeting </w:t>
      </w:r>
      <w:r>
        <w:rPr>
          <w:sz w:val="24"/>
        </w:rPr>
        <w:t xml:space="preserve">its </w:t>
      </w:r>
      <w:r w:rsidRPr="00456C12">
        <w:rPr>
          <w:sz w:val="24"/>
        </w:rPr>
        <w:t>overall objectives.</w:t>
      </w:r>
    </w:p>
    <w:p w:rsidR="005B2802" w:rsidP="005B2802" w:rsidRDefault="005B2802" w14:paraId="53C9A7D8" w14:textId="77777777">
      <w:pPr>
        <w:widowControl/>
        <w:rPr>
          <w:sz w:val="24"/>
        </w:rPr>
      </w:pPr>
    </w:p>
    <w:p w:rsidR="005B2802" w:rsidP="005B2802" w:rsidRDefault="005B2802" w14:paraId="7A38F9C8" w14:textId="6773CC9F">
      <w:pPr>
        <w:widowControl/>
        <w:rPr>
          <w:sz w:val="24"/>
        </w:rPr>
      </w:pPr>
      <w:r w:rsidRPr="00B40E1D">
        <w:rPr>
          <w:sz w:val="24"/>
        </w:rPr>
        <w:t xml:space="preserve">HCQIA requires </w:t>
      </w:r>
      <w:r w:rsidR="00107A4E">
        <w:rPr>
          <w:sz w:val="24"/>
        </w:rPr>
        <w:t xml:space="preserve">timely </w:t>
      </w:r>
      <w:r w:rsidRPr="00B40E1D">
        <w:rPr>
          <w:sz w:val="24"/>
        </w:rPr>
        <w:t>reporting to the NPDB to increase its capacity to provide current information on health care providers to its users</w:t>
      </w:r>
      <w:r w:rsidR="003806F7">
        <w:rPr>
          <w:sz w:val="24"/>
        </w:rPr>
        <w:t xml:space="preserve">.  </w:t>
      </w:r>
      <w:r>
        <w:rPr>
          <w:sz w:val="24"/>
        </w:rPr>
        <w:t xml:space="preserve">In order to sufficiently track information reported by entities and </w:t>
      </w:r>
      <w:r w:rsidR="00680119">
        <w:rPr>
          <w:sz w:val="24"/>
        </w:rPr>
        <w:t>ensure</w:t>
      </w:r>
      <w:r>
        <w:rPr>
          <w:sz w:val="24"/>
        </w:rPr>
        <w:t xml:space="preserve"> </w:t>
      </w:r>
      <w:r w:rsidR="00ED4994">
        <w:rPr>
          <w:sz w:val="24"/>
        </w:rPr>
        <w:t xml:space="preserve">timely reporting and </w:t>
      </w:r>
      <w:r>
        <w:rPr>
          <w:sz w:val="24"/>
        </w:rPr>
        <w:t xml:space="preserve">reliability of </w:t>
      </w:r>
      <w:r w:rsidR="0037108A">
        <w:rPr>
          <w:sz w:val="24"/>
        </w:rPr>
        <w:t>the NPDB</w:t>
      </w:r>
      <w:r>
        <w:rPr>
          <w:sz w:val="24"/>
        </w:rPr>
        <w:t xml:space="preserve"> data, </w:t>
      </w:r>
      <w:r w:rsidR="00680119">
        <w:rPr>
          <w:sz w:val="24"/>
        </w:rPr>
        <w:t>biennial</w:t>
      </w:r>
      <w:r>
        <w:rPr>
          <w:sz w:val="24"/>
        </w:rPr>
        <w:t xml:space="preserve"> collection of attestation by entities, at the minimum, would be necessary</w:t>
      </w:r>
      <w:r w:rsidR="00B7053A">
        <w:rPr>
          <w:sz w:val="24"/>
        </w:rPr>
        <w:t xml:space="preserve">.  </w:t>
      </w:r>
    </w:p>
    <w:p w:rsidR="005B2802" w:rsidP="005B2802" w:rsidRDefault="005B2802" w14:paraId="76D37892" w14:textId="77777777">
      <w:pPr>
        <w:widowControl/>
        <w:rPr>
          <w:sz w:val="24"/>
        </w:rPr>
      </w:pPr>
    </w:p>
    <w:p w:rsidR="005B2802" w:rsidP="005B2802" w:rsidRDefault="005B2802" w14:paraId="29C57040" w14:textId="07249401">
      <w:pPr>
        <w:widowControl/>
        <w:rPr>
          <w:sz w:val="24"/>
        </w:rPr>
      </w:pPr>
      <w:r w:rsidRPr="00B40E1D">
        <w:rPr>
          <w:sz w:val="24"/>
        </w:rPr>
        <w:t xml:space="preserve">Less frequent collection would </w:t>
      </w:r>
      <w:r>
        <w:rPr>
          <w:sz w:val="24"/>
        </w:rPr>
        <w:t xml:space="preserve">compromise the quality and integrity of </w:t>
      </w:r>
      <w:r w:rsidR="0037108A">
        <w:rPr>
          <w:sz w:val="24"/>
        </w:rPr>
        <w:t xml:space="preserve">the </w:t>
      </w:r>
      <w:r w:rsidR="00F0421A">
        <w:rPr>
          <w:sz w:val="24"/>
        </w:rPr>
        <w:t>NPDB data</w:t>
      </w:r>
      <w:r>
        <w:rPr>
          <w:sz w:val="24"/>
        </w:rPr>
        <w:t xml:space="preserve"> and its related operations, as it would deny access to valuable information and observable evidence that entities are compliant with </w:t>
      </w:r>
      <w:r w:rsidR="0037108A">
        <w:rPr>
          <w:sz w:val="24"/>
        </w:rPr>
        <w:t xml:space="preserve">the </w:t>
      </w:r>
      <w:r w:rsidR="00F0421A">
        <w:rPr>
          <w:sz w:val="24"/>
        </w:rPr>
        <w:t xml:space="preserve">NPDB </w:t>
      </w:r>
      <w:r w:rsidR="008A0078">
        <w:rPr>
          <w:sz w:val="24"/>
        </w:rPr>
        <w:t>regulatory</w:t>
      </w:r>
      <w:r>
        <w:rPr>
          <w:sz w:val="24"/>
        </w:rPr>
        <w:t xml:space="preserve"> requirements</w:t>
      </w:r>
      <w:r w:rsidR="003806F7">
        <w:rPr>
          <w:sz w:val="24"/>
        </w:rPr>
        <w:t xml:space="preserve">.  </w:t>
      </w:r>
      <w:r>
        <w:rPr>
          <w:sz w:val="24"/>
        </w:rPr>
        <w:t xml:space="preserve">Furthermore, it would increase the risk to </w:t>
      </w:r>
      <w:r w:rsidR="0037108A">
        <w:rPr>
          <w:sz w:val="24"/>
        </w:rPr>
        <w:t xml:space="preserve">the </w:t>
      </w:r>
      <w:r w:rsidR="00F0421A">
        <w:rPr>
          <w:sz w:val="24"/>
        </w:rPr>
        <w:t>NPDB end</w:t>
      </w:r>
      <w:r>
        <w:rPr>
          <w:sz w:val="24"/>
        </w:rPr>
        <w:t xml:space="preserve">-users and the patient safety </w:t>
      </w:r>
      <w:r w:rsidR="00D80EC5">
        <w:rPr>
          <w:sz w:val="24"/>
        </w:rPr>
        <w:t>within</w:t>
      </w:r>
      <w:r>
        <w:rPr>
          <w:sz w:val="24"/>
        </w:rPr>
        <w:t xml:space="preserve"> their entities</w:t>
      </w:r>
      <w:r w:rsidR="003806F7">
        <w:rPr>
          <w:sz w:val="24"/>
        </w:rPr>
        <w:t xml:space="preserve">.  </w:t>
      </w:r>
      <w:r>
        <w:rPr>
          <w:sz w:val="24"/>
        </w:rPr>
        <w:t>Consequently, it would also place</w:t>
      </w:r>
      <w:r w:rsidRPr="00B40E1D">
        <w:rPr>
          <w:sz w:val="24"/>
        </w:rPr>
        <w:t xml:space="preserve"> HHS</w:t>
      </w:r>
      <w:r>
        <w:rPr>
          <w:sz w:val="24"/>
        </w:rPr>
        <w:t xml:space="preserve"> at risk of being</w:t>
      </w:r>
      <w:r w:rsidRPr="00B40E1D">
        <w:rPr>
          <w:sz w:val="24"/>
        </w:rPr>
        <w:t xml:space="preserve"> non-c</w:t>
      </w:r>
      <w:r>
        <w:rPr>
          <w:sz w:val="24"/>
        </w:rPr>
        <w:t>ompliant</w:t>
      </w:r>
      <w:r w:rsidRPr="00B40E1D">
        <w:rPr>
          <w:sz w:val="24"/>
        </w:rPr>
        <w:t xml:space="preserve"> with HCQIA</w:t>
      </w:r>
      <w:r>
        <w:rPr>
          <w:sz w:val="24"/>
        </w:rPr>
        <w:t>, as well as expose HHS to vulnerability of public scrutiny</w:t>
      </w:r>
      <w:r w:rsidR="00B7053A">
        <w:rPr>
          <w:sz w:val="24"/>
        </w:rPr>
        <w:t xml:space="preserve">.  </w:t>
      </w:r>
    </w:p>
    <w:p w:rsidRPr="003E3CEA" w:rsidR="00EE527B" w:rsidRDefault="00EE527B" w14:paraId="167020CB" w14:textId="77777777">
      <w:pPr>
        <w:widowControl/>
        <w:rPr>
          <w:sz w:val="24"/>
        </w:rPr>
      </w:pPr>
    </w:p>
    <w:p w:rsidR="00873808" w:rsidP="00D16BBC" w:rsidRDefault="00873808" w14:paraId="66A6C18B" w14:textId="77777777">
      <w:pPr>
        <w:pStyle w:val="frn"/>
        <w:spacing w:before="0"/>
        <w:outlineLvl w:val="0"/>
      </w:pPr>
      <w:bookmarkStart w:name="_Toc413843494" w:id="79"/>
      <w:r>
        <w:t>Special Circumstances Relating to the Guidelines of 5 CFR 1320.5</w:t>
      </w:r>
      <w:bookmarkEnd w:id="79"/>
    </w:p>
    <w:p w:rsidR="00EE527B" w:rsidP="00D16BBC" w:rsidRDefault="00EE527B" w14:paraId="265BDB5F" w14:textId="77777777">
      <w:pPr>
        <w:widowControl/>
        <w:rPr>
          <w:sz w:val="24"/>
        </w:rPr>
      </w:pPr>
    </w:p>
    <w:p w:rsidR="00873808" w:rsidP="00D16BBC" w:rsidRDefault="00873808" w14:paraId="2CFB983D" w14:textId="77777777">
      <w:pPr>
        <w:widowControl/>
        <w:rPr>
          <w:sz w:val="24"/>
        </w:rPr>
      </w:pPr>
      <w:r>
        <w:rPr>
          <w:sz w:val="24"/>
        </w:rPr>
        <w:t>This request fully complies with the aforementioned regulations.</w:t>
      </w:r>
    </w:p>
    <w:p w:rsidRPr="003B154F" w:rsidR="00EE527B" w:rsidP="00D16BBC" w:rsidRDefault="00EE527B" w14:paraId="4B0C3600" w14:textId="77777777">
      <w:pPr>
        <w:widowControl/>
        <w:rPr>
          <w:sz w:val="24"/>
        </w:rPr>
      </w:pPr>
    </w:p>
    <w:p w:rsidR="00873808" w:rsidP="00D16BBC" w:rsidRDefault="00873808" w14:paraId="2E806FAC" w14:textId="77777777">
      <w:pPr>
        <w:pStyle w:val="frn"/>
        <w:spacing w:before="0"/>
        <w:outlineLvl w:val="0"/>
      </w:pPr>
      <w:bookmarkStart w:name="_Toc413843495" w:id="80"/>
      <w:r>
        <w:t>Comments in Response to the Federal Register Notice/Outside Consultation</w:t>
      </w:r>
      <w:bookmarkEnd w:id="80"/>
    </w:p>
    <w:p w:rsidR="00EE527B" w:rsidP="00D16BBC" w:rsidRDefault="00EE527B" w14:paraId="1048F2E1" w14:textId="77777777">
      <w:pPr>
        <w:pStyle w:val="frn"/>
        <w:numPr>
          <w:ilvl w:val="0"/>
          <w:numId w:val="0"/>
        </w:numPr>
        <w:spacing w:before="0"/>
        <w:ind w:left="1080"/>
        <w:outlineLvl w:val="0"/>
      </w:pPr>
    </w:p>
    <w:p w:rsidRPr="00BA50F3" w:rsidR="00EB29AF" w:rsidP="00EB29AF" w:rsidRDefault="00EB29AF" w14:paraId="599A4999" w14:textId="2EAD35C9">
      <w:pPr>
        <w:rPr>
          <w:b/>
          <w:sz w:val="24"/>
        </w:rPr>
      </w:pPr>
      <w:r w:rsidRPr="00DE3A45">
        <w:rPr>
          <w:b/>
          <w:sz w:val="24"/>
        </w:rPr>
        <w:t>8A:</w:t>
      </w:r>
      <w:r>
        <w:rPr>
          <w:b/>
          <w:sz w:val="24"/>
        </w:rPr>
        <w:t xml:space="preserve"> </w:t>
      </w:r>
      <w:r w:rsidRPr="0072393C">
        <w:rPr>
          <w:sz w:val="24"/>
        </w:rPr>
        <w:t xml:space="preserve">A 60-day Federal Register Notice was published in the </w:t>
      </w:r>
      <w:r w:rsidRPr="0072393C">
        <w:rPr>
          <w:i/>
          <w:iCs/>
          <w:sz w:val="24"/>
        </w:rPr>
        <w:t xml:space="preserve">Federal Register </w:t>
      </w:r>
      <w:r>
        <w:rPr>
          <w:sz w:val="24"/>
        </w:rPr>
        <w:t xml:space="preserve">on </w:t>
      </w:r>
      <w:r w:rsidR="00810C10">
        <w:rPr>
          <w:sz w:val="24"/>
        </w:rPr>
        <w:t>(</w:t>
      </w:r>
      <w:r w:rsidR="00D80F1E">
        <w:rPr>
          <w:sz w:val="24"/>
        </w:rPr>
        <w:t xml:space="preserve">December 19, </w:t>
      </w:r>
      <w:r w:rsidRPr="001E4CEB" w:rsidR="00D80F1E">
        <w:rPr>
          <w:sz w:val="24"/>
        </w:rPr>
        <w:t>2019</w:t>
      </w:r>
      <w:r w:rsidRPr="001E4CEB" w:rsidR="00004192">
        <w:rPr>
          <w:sz w:val="24"/>
        </w:rPr>
        <w:t>)</w:t>
      </w:r>
      <w:r w:rsidRPr="001E4CEB">
        <w:rPr>
          <w:sz w:val="24"/>
        </w:rPr>
        <w:t>, Vol</w:t>
      </w:r>
      <w:r w:rsidR="00B7053A">
        <w:rPr>
          <w:sz w:val="24"/>
        </w:rPr>
        <w:t xml:space="preserve">.  </w:t>
      </w:r>
      <w:r w:rsidRPr="001E4CEB">
        <w:rPr>
          <w:sz w:val="24"/>
        </w:rPr>
        <w:t>8</w:t>
      </w:r>
      <w:r w:rsidRPr="001E4CEB" w:rsidR="00D80F1E">
        <w:rPr>
          <w:sz w:val="24"/>
        </w:rPr>
        <w:t>4</w:t>
      </w:r>
      <w:r w:rsidRPr="001E4CEB">
        <w:rPr>
          <w:sz w:val="24"/>
        </w:rPr>
        <w:t>, No</w:t>
      </w:r>
      <w:r w:rsidR="00B7053A">
        <w:rPr>
          <w:sz w:val="24"/>
        </w:rPr>
        <w:t xml:space="preserve">.  </w:t>
      </w:r>
      <w:r w:rsidRPr="001E4CEB" w:rsidR="00D80F1E">
        <w:rPr>
          <w:sz w:val="24"/>
        </w:rPr>
        <w:t>244</w:t>
      </w:r>
      <w:r w:rsidRPr="001E4CEB">
        <w:rPr>
          <w:sz w:val="24"/>
        </w:rPr>
        <w:t>; pp</w:t>
      </w:r>
      <w:r w:rsidR="00B7053A">
        <w:rPr>
          <w:sz w:val="24"/>
        </w:rPr>
        <w:t xml:space="preserve">.  </w:t>
      </w:r>
      <w:r w:rsidRPr="001E4CEB" w:rsidR="00D80F1E">
        <w:rPr>
          <w:sz w:val="24"/>
        </w:rPr>
        <w:t>69751 - 69753</w:t>
      </w:r>
      <w:r w:rsidR="00B7053A">
        <w:rPr>
          <w:sz w:val="24"/>
        </w:rPr>
        <w:t xml:space="preserve">.  </w:t>
      </w:r>
      <w:r w:rsidRPr="001E4CEB">
        <w:rPr>
          <w:sz w:val="24"/>
        </w:rPr>
        <w:t>There were no public comments</w:t>
      </w:r>
      <w:r w:rsidR="00B7053A">
        <w:rPr>
          <w:sz w:val="24"/>
        </w:rPr>
        <w:t xml:space="preserve">.  </w:t>
      </w:r>
    </w:p>
    <w:p w:rsidR="00EB29AF" w:rsidP="00EB29AF" w:rsidRDefault="00EB29AF" w14:paraId="0F0664B3" w14:textId="77777777">
      <w:pPr>
        <w:rPr>
          <w:b/>
          <w:sz w:val="24"/>
        </w:rPr>
      </w:pPr>
    </w:p>
    <w:p w:rsidRPr="001E4CEB" w:rsidR="00EB29AF" w:rsidP="00EB29AF" w:rsidRDefault="00EB29AF" w14:paraId="0351F302" w14:textId="75E9A53E">
      <w:pPr>
        <w:rPr>
          <w:b/>
          <w:sz w:val="24"/>
        </w:rPr>
      </w:pPr>
      <w:r w:rsidRPr="00DE3A45">
        <w:rPr>
          <w:b/>
          <w:sz w:val="24"/>
        </w:rPr>
        <w:t>8B:</w:t>
      </w:r>
      <w:r>
        <w:rPr>
          <w:b/>
          <w:sz w:val="24"/>
        </w:rPr>
        <w:t xml:space="preserve"> </w:t>
      </w:r>
      <w:r w:rsidRPr="0072393C">
        <w:rPr>
          <w:sz w:val="24"/>
        </w:rPr>
        <w:t xml:space="preserve">In </w:t>
      </w:r>
      <w:r w:rsidR="00B67F2D">
        <w:rPr>
          <w:sz w:val="24"/>
        </w:rPr>
        <w:t>2016, per the PRA guidance</w:t>
      </w:r>
      <w:r w:rsidRPr="0072393C">
        <w:rPr>
          <w:sz w:val="24"/>
        </w:rPr>
        <w:t xml:space="preserve">, </w:t>
      </w:r>
      <w:r>
        <w:rPr>
          <w:sz w:val="24"/>
        </w:rPr>
        <w:t>DPDB</w:t>
      </w:r>
      <w:r w:rsidRPr="0072393C">
        <w:rPr>
          <w:sz w:val="24"/>
        </w:rPr>
        <w:t xml:space="preserve"> consulted with users of the NPDB to detect any problems they may have had with </w:t>
      </w:r>
      <w:r>
        <w:rPr>
          <w:sz w:val="24"/>
        </w:rPr>
        <w:t xml:space="preserve">the </w:t>
      </w:r>
      <w:r w:rsidR="00B67F2D">
        <w:rPr>
          <w:sz w:val="24"/>
        </w:rPr>
        <w:t xml:space="preserve">established </w:t>
      </w:r>
      <w:r>
        <w:rPr>
          <w:sz w:val="24"/>
        </w:rPr>
        <w:t xml:space="preserve">electronic </w:t>
      </w:r>
      <w:r w:rsidR="00D31419">
        <w:rPr>
          <w:sz w:val="24"/>
        </w:rPr>
        <w:t>Attestation process</w:t>
      </w:r>
      <w:r w:rsidR="00B7053A">
        <w:rPr>
          <w:sz w:val="24"/>
        </w:rPr>
        <w:t xml:space="preserve">.  </w:t>
      </w:r>
      <w:r w:rsidR="00B67F2D">
        <w:rPr>
          <w:sz w:val="24"/>
        </w:rPr>
        <w:t xml:space="preserve">At that time, consultation </w:t>
      </w:r>
      <w:r w:rsidRPr="00E416E7" w:rsidR="00B67F2D">
        <w:rPr>
          <w:sz w:val="24"/>
        </w:rPr>
        <w:t>effort</w:t>
      </w:r>
      <w:r w:rsidR="00B67F2D">
        <w:rPr>
          <w:sz w:val="24"/>
        </w:rPr>
        <w:t>s were done with persons outside</w:t>
      </w:r>
      <w:r w:rsidRPr="00E416E7">
        <w:rPr>
          <w:sz w:val="24"/>
        </w:rPr>
        <w:t xml:space="preserve"> of </w:t>
      </w:r>
      <w:r w:rsidR="00B67F2D">
        <w:rPr>
          <w:sz w:val="24"/>
        </w:rPr>
        <w:t xml:space="preserve">the agency and </w:t>
      </w:r>
      <w:r w:rsidRPr="00E416E7" w:rsidR="00B67F2D">
        <w:rPr>
          <w:sz w:val="24"/>
        </w:rPr>
        <w:t xml:space="preserve">feedback </w:t>
      </w:r>
      <w:r w:rsidR="00B67F2D">
        <w:rPr>
          <w:sz w:val="24"/>
        </w:rPr>
        <w:t>was</w:t>
      </w:r>
      <w:r w:rsidRPr="00E416E7">
        <w:rPr>
          <w:sz w:val="24"/>
        </w:rPr>
        <w:t xml:space="preserve"> collected </w:t>
      </w:r>
      <w:r w:rsidRPr="00FC5170">
        <w:rPr>
          <w:sz w:val="24"/>
        </w:rPr>
        <w:t>from 6 users</w:t>
      </w:r>
      <w:r w:rsidRPr="002A4283">
        <w:rPr>
          <w:sz w:val="24"/>
        </w:rPr>
        <w:t xml:space="preserve"> in </w:t>
      </w:r>
      <w:r w:rsidRPr="00203C99">
        <w:rPr>
          <w:sz w:val="24"/>
        </w:rPr>
        <w:t>usability evaluation sessions (approved through HRSA generic clearance, OMB 0915-0212)</w:t>
      </w:r>
      <w:r w:rsidR="00B7053A">
        <w:rPr>
          <w:sz w:val="24"/>
        </w:rPr>
        <w:t xml:space="preserve">.  </w:t>
      </w:r>
      <w:r w:rsidRPr="00E416E7">
        <w:rPr>
          <w:sz w:val="24"/>
        </w:rPr>
        <w:t xml:space="preserve">See </w:t>
      </w:r>
      <w:hyperlink w:history="1" w:anchor="Table5UserFeedback">
        <w:r w:rsidRPr="00E416E7">
          <w:rPr>
            <w:rStyle w:val="Hyperlink"/>
            <w:sz w:val="24"/>
          </w:rPr>
          <w:t xml:space="preserve">Table </w:t>
        </w:r>
      </w:hyperlink>
      <w:r w:rsidRPr="00E416E7">
        <w:rPr>
          <w:rStyle w:val="Hyperlink"/>
          <w:sz w:val="24"/>
        </w:rPr>
        <w:t>1</w:t>
      </w:r>
      <w:r w:rsidRPr="00E416E7">
        <w:rPr>
          <w:sz w:val="24"/>
        </w:rPr>
        <w:t xml:space="preserve"> for specific event details</w:t>
      </w:r>
      <w:r w:rsidR="00B7053A">
        <w:rPr>
          <w:sz w:val="24"/>
        </w:rPr>
        <w:t xml:space="preserve">.  </w:t>
      </w:r>
      <w:r>
        <w:rPr>
          <w:sz w:val="24"/>
        </w:rPr>
        <w:t xml:space="preserve">These sessions allowed DPDB to </w:t>
      </w:r>
      <w:r w:rsidRPr="0072393C">
        <w:rPr>
          <w:sz w:val="24"/>
        </w:rPr>
        <w:t>gather feedback from users and get suggestions on areas for improvement</w:t>
      </w:r>
      <w:r w:rsidR="00B67F2D">
        <w:rPr>
          <w:sz w:val="24"/>
        </w:rPr>
        <w:t>, which have been implemented</w:t>
      </w:r>
      <w:r w:rsidR="00B7053A">
        <w:rPr>
          <w:sz w:val="24"/>
        </w:rPr>
        <w:t xml:space="preserve">.  </w:t>
      </w:r>
      <w:r w:rsidR="00B67F2D">
        <w:rPr>
          <w:sz w:val="24"/>
        </w:rPr>
        <w:t>In addition to this formal feedback, pretesting of the attestation forms, including extensive review and editing was done by DPDB staff, including usability testing to ensure content was clear and the navigation of all forms were both user-friendly and efficient</w:t>
      </w:r>
      <w:r w:rsidR="00607914">
        <w:rPr>
          <w:sz w:val="24"/>
        </w:rPr>
        <w:t xml:space="preserve">.  </w:t>
      </w:r>
      <w:r w:rsidR="003D4C30">
        <w:rPr>
          <w:sz w:val="24"/>
        </w:rPr>
        <w:t xml:space="preserve">Revising the </w:t>
      </w:r>
      <w:r w:rsidR="00B67F2D">
        <w:rPr>
          <w:sz w:val="24"/>
        </w:rPr>
        <w:t xml:space="preserve">attestation forms </w:t>
      </w:r>
      <w:r w:rsidR="003D4C30">
        <w:rPr>
          <w:sz w:val="24"/>
        </w:rPr>
        <w:t>to customize content based on entity type</w:t>
      </w:r>
      <w:r w:rsidRPr="0072393C">
        <w:rPr>
          <w:sz w:val="24"/>
        </w:rPr>
        <w:t xml:space="preserve"> </w:t>
      </w:r>
    </w:p>
    <w:p w:rsidR="00EB29AF" w:rsidP="001E4CEB" w:rsidRDefault="00EB29AF" w14:paraId="79E44E3E" w14:textId="77777777">
      <w:pPr>
        <w:rPr>
          <w:sz w:val="24"/>
        </w:rPr>
      </w:pPr>
    </w:p>
    <w:p w:rsidR="00EB29AF" w:rsidP="00EB29AF" w:rsidRDefault="00EB29AF" w14:paraId="469A9B68" w14:textId="7CCE4E90">
      <w:pPr>
        <w:rPr>
          <w:b/>
          <w:bCs/>
          <w:sz w:val="24"/>
        </w:rPr>
      </w:pPr>
      <w:bookmarkStart w:name="Table5UserFeedback" w:id="81"/>
      <w:r w:rsidRPr="00FC5170">
        <w:rPr>
          <w:b/>
          <w:bCs/>
          <w:sz w:val="24"/>
        </w:rPr>
        <w:t>Table 1</w:t>
      </w:r>
      <w:bookmarkEnd w:id="81"/>
      <w:r w:rsidRPr="00FC5170">
        <w:rPr>
          <w:b/>
          <w:bCs/>
          <w:sz w:val="24"/>
        </w:rPr>
        <w:t>:</w:t>
      </w:r>
      <w:r w:rsidR="00AD0394">
        <w:rPr>
          <w:b/>
          <w:bCs/>
          <w:sz w:val="24"/>
        </w:rPr>
        <w:t xml:space="preserve"> OMB 0915-0212</w:t>
      </w:r>
      <w:r w:rsidRPr="00FC5170">
        <w:rPr>
          <w:b/>
          <w:bCs/>
          <w:sz w:val="24"/>
        </w:rPr>
        <w:t xml:space="preserve"> User Feedback Gathering Events</w:t>
      </w:r>
    </w:p>
    <w:p w:rsidRPr="00FC5170" w:rsidR="00607914" w:rsidP="00EB29AF" w:rsidRDefault="00607914" w14:paraId="11A8F05D" w14:textId="77777777">
      <w:pPr>
        <w:rPr>
          <w:b/>
          <w:bCs/>
          <w:sz w:val="24"/>
        </w:rPr>
      </w:pPr>
    </w:p>
    <w:tbl>
      <w:tblPr>
        <w:tblStyle w:val="TableGrid"/>
        <w:tblW w:w="9288" w:type="dxa"/>
        <w:tblLayout w:type="fixed"/>
        <w:tblLook w:val="04A0" w:firstRow="1" w:lastRow="0" w:firstColumn="1" w:lastColumn="0" w:noHBand="0" w:noVBand="1"/>
      </w:tblPr>
      <w:tblGrid>
        <w:gridCol w:w="2628"/>
        <w:gridCol w:w="3780"/>
        <w:gridCol w:w="2880"/>
      </w:tblGrid>
      <w:tr w:rsidRPr="00FC5170" w:rsidR="00EB29AF" w:rsidTr="00D80EC5" w14:paraId="00B11FCF" w14:textId="77777777">
        <w:trPr>
          <w:tblHeader/>
        </w:trPr>
        <w:tc>
          <w:tcPr>
            <w:tcW w:w="2628" w:type="dxa"/>
            <w:shd w:val="clear" w:color="auto" w:fill="A6A6A6" w:themeFill="background1" w:themeFillShade="A6"/>
            <w:vAlign w:val="bottom"/>
          </w:tcPr>
          <w:p w:rsidRPr="00FC5170" w:rsidR="00EB29AF" w:rsidP="00D80EC5" w:rsidRDefault="00EB29AF" w14:paraId="3448D181" w14:textId="77777777">
            <w:pPr>
              <w:rPr>
                <w:b/>
                <w:bCs/>
                <w:sz w:val="24"/>
              </w:rPr>
            </w:pPr>
            <w:r w:rsidRPr="00FC5170">
              <w:rPr>
                <w:b/>
                <w:bCs/>
                <w:sz w:val="24"/>
              </w:rPr>
              <w:t>Usability Event Topic</w:t>
            </w:r>
          </w:p>
        </w:tc>
        <w:tc>
          <w:tcPr>
            <w:tcW w:w="3780" w:type="dxa"/>
            <w:shd w:val="clear" w:color="auto" w:fill="A6A6A6" w:themeFill="background1" w:themeFillShade="A6"/>
            <w:vAlign w:val="bottom"/>
          </w:tcPr>
          <w:p w:rsidRPr="00FC5170" w:rsidR="00EB29AF" w:rsidP="00D80EC5" w:rsidRDefault="00EB29AF" w14:paraId="689A0AD7" w14:textId="77777777">
            <w:pPr>
              <w:jc w:val="center"/>
              <w:rPr>
                <w:b/>
                <w:bCs/>
                <w:sz w:val="24"/>
              </w:rPr>
            </w:pPr>
            <w:r w:rsidRPr="00FC5170">
              <w:rPr>
                <w:b/>
                <w:bCs/>
                <w:sz w:val="24"/>
              </w:rPr>
              <w:t>Date/Time Frame</w:t>
            </w:r>
          </w:p>
        </w:tc>
        <w:tc>
          <w:tcPr>
            <w:tcW w:w="2880" w:type="dxa"/>
            <w:shd w:val="clear" w:color="auto" w:fill="A6A6A6" w:themeFill="background1" w:themeFillShade="A6"/>
            <w:vAlign w:val="bottom"/>
          </w:tcPr>
          <w:p w:rsidRPr="00FC5170" w:rsidR="00EB29AF" w:rsidP="00D80EC5" w:rsidRDefault="00EB29AF" w14:paraId="789ED728" w14:textId="77777777">
            <w:pPr>
              <w:jc w:val="center"/>
              <w:rPr>
                <w:b/>
                <w:bCs/>
                <w:sz w:val="24"/>
              </w:rPr>
            </w:pPr>
            <w:r w:rsidRPr="00FC5170">
              <w:rPr>
                <w:b/>
                <w:bCs/>
                <w:sz w:val="24"/>
              </w:rPr>
              <w:t>Number of Attendees/Participants</w:t>
            </w:r>
          </w:p>
        </w:tc>
      </w:tr>
      <w:tr w:rsidRPr="00FC5170" w:rsidR="00EB29AF" w:rsidTr="00D80EC5" w14:paraId="42625642" w14:textId="77777777">
        <w:tc>
          <w:tcPr>
            <w:tcW w:w="2628" w:type="dxa"/>
            <w:tcBorders>
              <w:left w:val="single" w:color="auto" w:sz="4" w:space="0"/>
            </w:tcBorders>
            <w:vAlign w:val="center"/>
          </w:tcPr>
          <w:p w:rsidRPr="00FC5170" w:rsidR="00EB29AF" w:rsidP="00D80EC5" w:rsidRDefault="00EB29AF" w14:paraId="261DE87F" w14:textId="77777777">
            <w:pPr>
              <w:rPr>
                <w:bCs/>
                <w:sz w:val="24"/>
              </w:rPr>
            </w:pPr>
            <w:r w:rsidRPr="00FC5170">
              <w:rPr>
                <w:sz w:val="24"/>
              </w:rPr>
              <w:t>Health Center Form Usability Testing</w:t>
            </w:r>
          </w:p>
        </w:tc>
        <w:tc>
          <w:tcPr>
            <w:tcW w:w="3780" w:type="dxa"/>
            <w:vAlign w:val="center"/>
          </w:tcPr>
          <w:p w:rsidRPr="00FC5170" w:rsidR="00EB29AF" w:rsidP="00D80EC5" w:rsidRDefault="00EB29AF" w14:paraId="646D0EA0" w14:textId="77777777">
            <w:pPr>
              <w:jc w:val="center"/>
              <w:rPr>
                <w:bCs/>
                <w:sz w:val="24"/>
              </w:rPr>
            </w:pPr>
            <w:r w:rsidRPr="00FC5170">
              <w:rPr>
                <w:sz w:val="24"/>
              </w:rPr>
              <w:t>January 2016 – February 2016</w:t>
            </w:r>
          </w:p>
        </w:tc>
        <w:tc>
          <w:tcPr>
            <w:tcW w:w="2880" w:type="dxa"/>
            <w:vAlign w:val="center"/>
          </w:tcPr>
          <w:p w:rsidRPr="00FC5170" w:rsidR="00EB29AF" w:rsidP="00D80EC5" w:rsidRDefault="00EB29AF" w14:paraId="46D70833" w14:textId="77777777">
            <w:pPr>
              <w:jc w:val="center"/>
              <w:rPr>
                <w:bCs/>
                <w:sz w:val="24"/>
              </w:rPr>
            </w:pPr>
            <w:r w:rsidRPr="00FC5170">
              <w:rPr>
                <w:sz w:val="24"/>
              </w:rPr>
              <w:t>6</w:t>
            </w:r>
          </w:p>
        </w:tc>
      </w:tr>
      <w:tr w:rsidRPr="00587E3A" w:rsidR="00EB29AF" w:rsidTr="00D80EC5" w14:paraId="04754FD8" w14:textId="77777777">
        <w:tc>
          <w:tcPr>
            <w:tcW w:w="6408" w:type="dxa"/>
            <w:gridSpan w:val="2"/>
            <w:tcBorders>
              <w:left w:val="single" w:color="auto" w:sz="4" w:space="0"/>
            </w:tcBorders>
          </w:tcPr>
          <w:p w:rsidRPr="00FC5170" w:rsidR="00EB29AF" w:rsidP="00D80EC5" w:rsidRDefault="00EB29AF" w14:paraId="5193F1A0" w14:textId="77777777">
            <w:pPr>
              <w:jc w:val="right"/>
              <w:rPr>
                <w:b/>
                <w:sz w:val="24"/>
              </w:rPr>
            </w:pPr>
            <w:r w:rsidRPr="00FC5170">
              <w:rPr>
                <w:b/>
                <w:sz w:val="24"/>
              </w:rPr>
              <w:t>TOTAL</w:t>
            </w:r>
          </w:p>
        </w:tc>
        <w:tc>
          <w:tcPr>
            <w:tcW w:w="2880" w:type="dxa"/>
          </w:tcPr>
          <w:p w:rsidRPr="00D16BBC" w:rsidR="00EB29AF" w:rsidP="00D80EC5" w:rsidRDefault="00EB29AF" w14:paraId="33A96430" w14:textId="77777777">
            <w:pPr>
              <w:jc w:val="center"/>
              <w:rPr>
                <w:b/>
                <w:sz w:val="24"/>
              </w:rPr>
            </w:pPr>
            <w:r w:rsidRPr="00FC5170">
              <w:rPr>
                <w:b/>
                <w:sz w:val="24"/>
              </w:rPr>
              <w:t>6</w:t>
            </w:r>
          </w:p>
        </w:tc>
      </w:tr>
    </w:tbl>
    <w:p w:rsidR="00EB29AF" w:rsidP="00EB29AF" w:rsidRDefault="00EB29AF" w14:paraId="2384D31C" w14:textId="77777777">
      <w:pPr>
        <w:rPr>
          <w:bCs/>
          <w:sz w:val="24"/>
        </w:rPr>
      </w:pPr>
    </w:p>
    <w:p w:rsidRPr="00E416E7" w:rsidR="00EB29AF" w:rsidP="00EB29AF" w:rsidRDefault="00EB29AF" w14:paraId="39A39125" w14:textId="0B968A80">
      <w:pPr>
        <w:rPr>
          <w:bCs/>
          <w:sz w:val="24"/>
        </w:rPr>
      </w:pPr>
      <w:r w:rsidRPr="00E416E7">
        <w:rPr>
          <w:bCs/>
          <w:sz w:val="24"/>
        </w:rPr>
        <w:t>A summary of the comments received are provided below</w:t>
      </w:r>
      <w:r w:rsidR="00B7053A">
        <w:rPr>
          <w:bCs/>
          <w:sz w:val="24"/>
        </w:rPr>
        <w:t xml:space="preserve">.  </w:t>
      </w:r>
      <w:r w:rsidRPr="00E416E7">
        <w:rPr>
          <w:bCs/>
          <w:sz w:val="24"/>
        </w:rPr>
        <w:t>As noted, the NPDB has resolved some of t</w:t>
      </w:r>
      <w:r>
        <w:rPr>
          <w:bCs/>
          <w:sz w:val="24"/>
        </w:rPr>
        <w:t>he problems identified by users</w:t>
      </w:r>
      <w:r w:rsidR="00B7053A">
        <w:rPr>
          <w:bCs/>
          <w:sz w:val="24"/>
        </w:rPr>
        <w:t xml:space="preserve">.  </w:t>
      </w:r>
      <w:r w:rsidR="00CF0CDF">
        <w:rPr>
          <w:bCs/>
          <w:sz w:val="24"/>
        </w:rPr>
        <w:t xml:space="preserve">Despite user testing only occurring on the Health </w:t>
      </w:r>
      <w:r w:rsidR="00CF0CDF">
        <w:rPr>
          <w:bCs/>
          <w:sz w:val="24"/>
        </w:rPr>
        <w:lastRenderedPageBreak/>
        <w:t xml:space="preserve">Center Form, all suggestions were incorporated </w:t>
      </w:r>
      <w:r w:rsidR="00F21E1C">
        <w:rPr>
          <w:bCs/>
          <w:sz w:val="24"/>
        </w:rPr>
        <w:t>across all attestatio</w:t>
      </w:r>
      <w:r w:rsidR="00345D1C">
        <w:rPr>
          <w:bCs/>
          <w:sz w:val="24"/>
        </w:rPr>
        <w:t xml:space="preserve">n </w:t>
      </w:r>
      <w:r w:rsidR="00F21E1C">
        <w:rPr>
          <w:bCs/>
          <w:sz w:val="24"/>
        </w:rPr>
        <w:t>f</w:t>
      </w:r>
      <w:r w:rsidRPr="00F21E1C" w:rsidR="00CF0CDF">
        <w:rPr>
          <w:bCs/>
          <w:sz w:val="24"/>
        </w:rPr>
        <w:t>orms</w:t>
      </w:r>
      <w:r w:rsidR="00CF0CDF">
        <w:rPr>
          <w:bCs/>
          <w:sz w:val="24"/>
        </w:rPr>
        <w:t xml:space="preserve"> given their strong similarities</w:t>
      </w:r>
      <w:r w:rsidR="00D777A7">
        <w:rPr>
          <w:bCs/>
          <w:sz w:val="24"/>
        </w:rPr>
        <w:t>.</w:t>
      </w:r>
    </w:p>
    <w:p w:rsidRPr="00432340" w:rsidR="00EB29AF" w:rsidP="00EB29AF" w:rsidRDefault="00EB29AF" w14:paraId="53040637" w14:textId="77777777">
      <w:pPr>
        <w:rPr>
          <w:b/>
          <w:bCs/>
          <w:sz w:val="24"/>
          <w:highlight w:val="yellow"/>
        </w:rPr>
      </w:pPr>
    </w:p>
    <w:p w:rsidRPr="002A4283" w:rsidR="00EB29AF" w:rsidP="00EB29AF" w:rsidRDefault="00EB29AF" w14:paraId="5C6F5AA6" w14:textId="77777777">
      <w:pPr>
        <w:rPr>
          <w:b/>
          <w:bCs/>
          <w:sz w:val="24"/>
        </w:rPr>
      </w:pPr>
      <w:r w:rsidRPr="002A4283">
        <w:rPr>
          <w:b/>
          <w:bCs/>
          <w:sz w:val="24"/>
        </w:rPr>
        <w:t>Suggestions that have been implemented:</w:t>
      </w:r>
    </w:p>
    <w:p w:rsidR="00EB29AF" w:rsidP="00EB29AF" w:rsidRDefault="00EB29AF" w14:paraId="36F57702" w14:textId="77777777">
      <w:pPr>
        <w:pStyle w:val="ListParagraph"/>
        <w:widowControl/>
        <w:numPr>
          <w:ilvl w:val="0"/>
          <w:numId w:val="14"/>
        </w:numPr>
        <w:autoSpaceDE/>
        <w:adjustRightInd/>
        <w:contextualSpacing/>
        <w:rPr>
          <w:sz w:val="24"/>
        </w:rPr>
      </w:pPr>
      <w:r w:rsidRPr="002A4283">
        <w:rPr>
          <w:sz w:val="24"/>
        </w:rPr>
        <w:t>Display</w:t>
      </w:r>
      <w:r>
        <w:rPr>
          <w:sz w:val="24"/>
        </w:rPr>
        <w:t>ed</w:t>
      </w:r>
      <w:r w:rsidRPr="002A4283">
        <w:rPr>
          <w:sz w:val="24"/>
        </w:rPr>
        <w:t xml:space="preserve"> an alert for all users that </w:t>
      </w:r>
      <w:r w:rsidR="00D80EC5">
        <w:rPr>
          <w:sz w:val="24"/>
        </w:rPr>
        <w:t>the A</w:t>
      </w:r>
      <w:r w:rsidR="00B05D0B">
        <w:rPr>
          <w:sz w:val="24"/>
        </w:rPr>
        <w:t xml:space="preserve">ttestation </w:t>
      </w:r>
      <w:r w:rsidRPr="002A4283">
        <w:rPr>
          <w:sz w:val="24"/>
        </w:rPr>
        <w:t>is required and must be completed by the administrator</w:t>
      </w:r>
    </w:p>
    <w:p w:rsidR="00EB29AF" w:rsidP="00EB29AF" w:rsidRDefault="00EB29AF" w14:paraId="01E3665D" w14:textId="77777777">
      <w:pPr>
        <w:pStyle w:val="ListParagraph"/>
        <w:widowControl/>
        <w:numPr>
          <w:ilvl w:val="0"/>
          <w:numId w:val="14"/>
        </w:numPr>
        <w:autoSpaceDE/>
        <w:adjustRightInd/>
        <w:contextualSpacing/>
        <w:rPr>
          <w:sz w:val="24"/>
        </w:rPr>
      </w:pPr>
      <w:r w:rsidRPr="003349C2">
        <w:rPr>
          <w:sz w:val="24"/>
        </w:rPr>
        <w:t>Streamlined attestation screens to enable better self-service, reduce errors, and enable faster transactions with fewer steps</w:t>
      </w:r>
    </w:p>
    <w:p w:rsidRPr="003349C2" w:rsidR="00EB29AF" w:rsidP="00EB29AF" w:rsidRDefault="00EB29AF" w14:paraId="0BDAC113" w14:textId="77777777">
      <w:pPr>
        <w:pStyle w:val="ListParagraph"/>
        <w:widowControl/>
        <w:numPr>
          <w:ilvl w:val="0"/>
          <w:numId w:val="14"/>
        </w:numPr>
        <w:autoSpaceDE/>
        <w:adjustRightInd/>
        <w:contextualSpacing/>
        <w:rPr>
          <w:sz w:val="24"/>
        </w:rPr>
      </w:pPr>
      <w:r>
        <w:rPr>
          <w:sz w:val="24"/>
        </w:rPr>
        <w:t>Reduced extraneous text</w:t>
      </w:r>
    </w:p>
    <w:p w:rsidRPr="002A4283" w:rsidR="00EB29AF" w:rsidP="00EB29AF" w:rsidRDefault="00EB29AF" w14:paraId="622DADB9" w14:textId="77777777">
      <w:pPr>
        <w:pStyle w:val="ListParagraph"/>
        <w:widowControl/>
        <w:numPr>
          <w:ilvl w:val="0"/>
          <w:numId w:val="14"/>
        </w:numPr>
        <w:autoSpaceDE/>
        <w:adjustRightInd/>
        <w:contextualSpacing/>
        <w:rPr>
          <w:sz w:val="24"/>
        </w:rPr>
      </w:pPr>
      <w:r w:rsidRPr="003349C2">
        <w:rPr>
          <w:sz w:val="24"/>
        </w:rPr>
        <w:t xml:space="preserve">Reduced or hid extra fields on the attestation forms </w:t>
      </w:r>
    </w:p>
    <w:p w:rsidRPr="003349C2" w:rsidR="00EB29AF" w:rsidP="00EB29AF" w:rsidRDefault="00EB29AF" w14:paraId="0D6E8F68" w14:textId="77777777">
      <w:pPr>
        <w:pStyle w:val="ListParagraph"/>
        <w:widowControl/>
        <w:numPr>
          <w:ilvl w:val="0"/>
          <w:numId w:val="14"/>
        </w:numPr>
        <w:autoSpaceDE/>
        <w:adjustRightInd/>
        <w:contextualSpacing/>
        <w:rPr>
          <w:sz w:val="24"/>
        </w:rPr>
      </w:pPr>
      <w:r w:rsidRPr="003349C2">
        <w:rPr>
          <w:sz w:val="24"/>
        </w:rPr>
        <w:t>Made it easier to find an error on the form</w:t>
      </w:r>
    </w:p>
    <w:p w:rsidR="00EB29AF" w:rsidP="00EB29AF" w:rsidRDefault="00EB29AF" w14:paraId="658040FA" w14:textId="77777777">
      <w:pPr>
        <w:pStyle w:val="ListParagraph"/>
        <w:widowControl/>
        <w:numPr>
          <w:ilvl w:val="0"/>
          <w:numId w:val="14"/>
        </w:numPr>
        <w:autoSpaceDE/>
        <w:adjustRightInd/>
        <w:contextualSpacing/>
        <w:rPr>
          <w:sz w:val="24"/>
        </w:rPr>
      </w:pPr>
      <w:r w:rsidRPr="003349C2">
        <w:rPr>
          <w:sz w:val="24"/>
        </w:rPr>
        <w:t xml:space="preserve">Allowed attesting users to save all data in the attestation workflow, instead of losing the data when they go back to a previous step </w:t>
      </w:r>
    </w:p>
    <w:p w:rsidR="00EB29AF" w:rsidP="00EB29AF" w:rsidRDefault="00EB29AF" w14:paraId="04499981" w14:textId="77777777">
      <w:pPr>
        <w:pStyle w:val="ListParagraph"/>
        <w:numPr>
          <w:ilvl w:val="0"/>
          <w:numId w:val="14"/>
        </w:numPr>
        <w:rPr>
          <w:sz w:val="24"/>
        </w:rPr>
      </w:pPr>
      <w:r w:rsidRPr="002A4283">
        <w:rPr>
          <w:sz w:val="24"/>
        </w:rPr>
        <w:t>Eliminate</w:t>
      </w:r>
      <w:r>
        <w:rPr>
          <w:sz w:val="24"/>
        </w:rPr>
        <w:t>d</w:t>
      </w:r>
      <w:r w:rsidRPr="002A4283">
        <w:rPr>
          <w:sz w:val="24"/>
        </w:rPr>
        <w:t xml:space="preserve"> requirement to add comments for missing reports</w:t>
      </w:r>
      <w:r>
        <w:rPr>
          <w:sz w:val="24"/>
        </w:rPr>
        <w:t xml:space="preserve">; </w:t>
      </w:r>
      <w:r w:rsidRPr="002A4283">
        <w:rPr>
          <w:sz w:val="24"/>
        </w:rPr>
        <w:t>only request</w:t>
      </w:r>
      <w:r>
        <w:rPr>
          <w:sz w:val="24"/>
        </w:rPr>
        <w:t>ed</w:t>
      </w:r>
      <w:r w:rsidRPr="002A4283">
        <w:rPr>
          <w:sz w:val="24"/>
        </w:rPr>
        <w:t xml:space="preserve"> the reason rather than</w:t>
      </w:r>
      <w:r>
        <w:rPr>
          <w:sz w:val="24"/>
        </w:rPr>
        <w:t xml:space="preserve"> details of the missing reports</w:t>
      </w:r>
    </w:p>
    <w:p w:rsidRPr="002A4283" w:rsidR="00EB29AF" w:rsidP="00EB29AF" w:rsidRDefault="00EB29AF" w14:paraId="1692A5CF" w14:textId="77777777">
      <w:pPr>
        <w:pStyle w:val="ListParagraph"/>
        <w:numPr>
          <w:ilvl w:val="0"/>
          <w:numId w:val="14"/>
        </w:numPr>
        <w:rPr>
          <w:sz w:val="24"/>
        </w:rPr>
      </w:pPr>
      <w:r>
        <w:rPr>
          <w:sz w:val="24"/>
        </w:rPr>
        <w:t>Included</w:t>
      </w:r>
      <w:r w:rsidRPr="002A4283">
        <w:rPr>
          <w:sz w:val="24"/>
        </w:rPr>
        <w:t xml:space="preserve"> an option for users to exit </w:t>
      </w:r>
      <w:r>
        <w:rPr>
          <w:sz w:val="24"/>
        </w:rPr>
        <w:t>attestation</w:t>
      </w:r>
      <w:r w:rsidRPr="002A4283">
        <w:rPr>
          <w:sz w:val="24"/>
        </w:rPr>
        <w:t xml:space="preserve"> and enter missing reports</w:t>
      </w:r>
      <w:r>
        <w:rPr>
          <w:sz w:val="24"/>
        </w:rPr>
        <w:t xml:space="preserve"> at a later, convenient time</w:t>
      </w:r>
    </w:p>
    <w:p w:rsidRPr="00A81C65" w:rsidR="00C13138" w:rsidP="00A81C65" w:rsidRDefault="00C13138" w14:paraId="12EFB5AB" w14:textId="77777777">
      <w:pPr>
        <w:widowControl/>
        <w:autoSpaceDE/>
        <w:adjustRightInd/>
        <w:contextualSpacing/>
        <w:rPr>
          <w:sz w:val="24"/>
        </w:rPr>
      </w:pPr>
    </w:p>
    <w:p w:rsidR="00873808" w:rsidP="00D16BBC" w:rsidRDefault="00873808" w14:paraId="11190ED5" w14:textId="77777777">
      <w:pPr>
        <w:pStyle w:val="frn"/>
        <w:spacing w:before="0"/>
        <w:outlineLvl w:val="0"/>
      </w:pPr>
      <w:bookmarkStart w:name="_Toc413843496" w:id="82"/>
      <w:r>
        <w:t>Explanation of any Payment/Gift to Respondents</w:t>
      </w:r>
      <w:bookmarkEnd w:id="82"/>
    </w:p>
    <w:p w:rsidR="00390FFA" w:rsidP="00D16BBC" w:rsidRDefault="00390FFA" w14:paraId="095AAD37" w14:textId="77777777">
      <w:pPr>
        <w:rPr>
          <w:rStyle w:val="Hyperlink"/>
          <w:b/>
          <w:color w:val="auto"/>
          <w:sz w:val="24"/>
          <w:u w:val="none"/>
        </w:rPr>
      </w:pPr>
    </w:p>
    <w:p w:rsidR="00873808" w:rsidP="00D16BBC" w:rsidRDefault="00873808" w14:paraId="76B3D46B" w14:textId="77777777">
      <w:pPr>
        <w:rPr>
          <w:rStyle w:val="Hyperlink"/>
          <w:color w:val="auto"/>
          <w:sz w:val="24"/>
          <w:u w:val="none"/>
        </w:rPr>
      </w:pPr>
      <w:r w:rsidRPr="00AD14FC">
        <w:rPr>
          <w:rStyle w:val="Hyperlink"/>
          <w:color w:val="auto"/>
          <w:sz w:val="24"/>
          <w:u w:val="none"/>
        </w:rPr>
        <w:t>There will be no compensation to respondents.</w:t>
      </w:r>
    </w:p>
    <w:p w:rsidR="00390FFA" w:rsidP="00D16BBC" w:rsidRDefault="00390FFA" w14:paraId="6BE90AF9" w14:textId="3EC31DD0">
      <w:pPr>
        <w:rPr>
          <w:sz w:val="24"/>
        </w:rPr>
      </w:pPr>
    </w:p>
    <w:p w:rsidR="00873808" w:rsidP="00D16BBC" w:rsidRDefault="00873808" w14:paraId="6656E745" w14:textId="77777777">
      <w:pPr>
        <w:pStyle w:val="frn"/>
        <w:spacing w:before="0"/>
        <w:outlineLvl w:val="0"/>
      </w:pPr>
      <w:bookmarkStart w:name="_Toc413843497" w:id="83"/>
      <w:r>
        <w:t>Assurance of Confidentiality Provided to Respondents</w:t>
      </w:r>
      <w:bookmarkEnd w:id="83"/>
    </w:p>
    <w:p w:rsidR="00873808" w:rsidRDefault="00873808" w14:paraId="2EF322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07A4E" w:rsidR="00AB216A" w:rsidP="00AB216A" w:rsidRDefault="00AB216A" w14:paraId="408AD90E" w14:textId="099E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EB29AF">
        <w:rPr>
          <w:sz w:val="24"/>
        </w:rPr>
        <w:t>A number of security features are employed to assure the confidentiality of the information transmitted as well as to prevent unauthorized access</w:t>
      </w:r>
      <w:r w:rsidR="00B7053A">
        <w:rPr>
          <w:sz w:val="24"/>
        </w:rPr>
        <w:t xml:space="preserve">.  </w:t>
      </w:r>
      <w:r w:rsidRPr="00EB29AF">
        <w:rPr>
          <w:sz w:val="24"/>
        </w:rPr>
        <w:t>HRSA follows the National Institute of Standards and Technology security guidelines</w:t>
      </w:r>
      <w:r w:rsidR="00B7053A">
        <w:rPr>
          <w:sz w:val="24"/>
        </w:rPr>
        <w:t xml:space="preserve">.  </w:t>
      </w:r>
      <w:r w:rsidRPr="00EB29AF">
        <w:rPr>
          <w:sz w:val="24"/>
        </w:rPr>
        <w:t>More specifically, the NPDB has extensive operational, management, and technical controls that ensure the security of the system and protect the data in the system</w:t>
      </w:r>
      <w:r w:rsidR="00B7053A">
        <w:rPr>
          <w:sz w:val="24"/>
        </w:rPr>
        <w:t xml:space="preserve">.  </w:t>
      </w:r>
      <w:r w:rsidRPr="00EB29AF">
        <w:rPr>
          <w:sz w:val="24"/>
        </w:rPr>
        <w:t>The NPDB contains information classified under the Privacy Act that is considered personally identifiable information (PII)</w:t>
      </w:r>
      <w:r w:rsidR="00B7053A">
        <w:rPr>
          <w:sz w:val="24"/>
        </w:rPr>
        <w:t xml:space="preserve">.  </w:t>
      </w:r>
      <w:r w:rsidRPr="00EB29AF">
        <w:rPr>
          <w:sz w:val="24"/>
        </w:rPr>
        <w:t xml:space="preserve">On a </w:t>
      </w:r>
      <w:r>
        <w:rPr>
          <w:sz w:val="24"/>
        </w:rPr>
        <w:t>biennial</w:t>
      </w:r>
      <w:r w:rsidRPr="00EB29AF">
        <w:rPr>
          <w:sz w:val="24"/>
        </w:rPr>
        <w:t xml:space="preserve"> basis, the NPDB conducts a detailed security review process that tests the effectiveness of the security controls to ensure the PII in the system remains safe</w:t>
      </w:r>
      <w:r w:rsidR="00B7053A">
        <w:rPr>
          <w:sz w:val="24"/>
        </w:rPr>
        <w:t xml:space="preserve">.  </w:t>
      </w:r>
      <w:r w:rsidRPr="00EB29AF">
        <w:rPr>
          <w:sz w:val="24"/>
        </w:rPr>
        <w:t xml:space="preserve">In accordance with HHS policy, a </w:t>
      </w:r>
      <w:hyperlink w:history="1" r:id="rId20">
        <w:r w:rsidRPr="00021E71">
          <w:rPr>
            <w:rStyle w:val="Hyperlink"/>
            <w:color w:val="auto"/>
            <w:sz w:val="24"/>
          </w:rPr>
          <w:t>Privacy Impact Assessment</w:t>
        </w:r>
      </w:hyperlink>
      <w:r w:rsidRPr="00021E71">
        <w:rPr>
          <w:sz w:val="24"/>
          <w:u w:val="single"/>
        </w:rPr>
        <w:t xml:space="preserve"> </w:t>
      </w:r>
      <w:r w:rsidRPr="00EB29AF">
        <w:rPr>
          <w:sz w:val="24"/>
        </w:rPr>
        <w:t>has been completed for the NPDB</w:t>
      </w:r>
      <w:r w:rsidR="00B7053A">
        <w:rPr>
          <w:sz w:val="24"/>
        </w:rPr>
        <w:t xml:space="preserve">.  </w:t>
      </w:r>
      <w:r w:rsidRPr="00EB29AF">
        <w:rPr>
          <w:sz w:val="24"/>
        </w:rPr>
        <w:t>Finally, every three years, the NPDB is Certified and Accredited as a requirement to have an Authority to Operate, in order to function as a Federal system.</w:t>
      </w:r>
    </w:p>
    <w:p w:rsidR="00AB216A" w:rsidP="00F65E45" w:rsidRDefault="00AB216A" w14:paraId="3E5ED9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Pr="0078067A" w:rsidR="00F65E45" w:rsidP="00F65E45" w:rsidRDefault="00F65E45" w14:paraId="57D5D50D" w14:textId="0366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Data will be kept private to the extent allowed by law</w:t>
      </w:r>
      <w:r w:rsidR="00B7053A">
        <w:rPr>
          <w:sz w:val="24"/>
        </w:rPr>
        <w:t xml:space="preserve">.  </w:t>
      </w:r>
      <w:r>
        <w:rPr>
          <w:sz w:val="24"/>
        </w:rPr>
        <w:t xml:space="preserve">Should the </w:t>
      </w:r>
      <w:r w:rsidR="00D31419">
        <w:rPr>
          <w:sz w:val="24"/>
        </w:rPr>
        <w:t>Attestation process</w:t>
      </w:r>
      <w:r>
        <w:rPr>
          <w:sz w:val="24"/>
        </w:rPr>
        <w:t xml:space="preserve"> lead to activities which establish a failure to</w:t>
      </w:r>
      <w:r w:rsidR="004C5821">
        <w:rPr>
          <w:sz w:val="24"/>
        </w:rPr>
        <w:t xml:space="preserve"> report by a reporting entity, </w:t>
      </w:r>
      <w:r>
        <w:rPr>
          <w:sz w:val="24"/>
        </w:rPr>
        <w:t>to include licensure and certificati</w:t>
      </w:r>
      <w:r w:rsidR="00D80EC5">
        <w:rPr>
          <w:sz w:val="24"/>
        </w:rPr>
        <w:t>on actions taken by states</w:t>
      </w:r>
      <w:r>
        <w:rPr>
          <w:sz w:val="24"/>
        </w:rPr>
        <w:t xml:space="preserve">, or other adjudicated actions, </w:t>
      </w:r>
      <w:r>
        <w:rPr>
          <w:rFonts w:eastAsiaTheme="minorEastAsia"/>
          <w:sz w:val="24"/>
        </w:rPr>
        <w:t>p</w:t>
      </w:r>
      <w:r w:rsidRPr="0054392D">
        <w:rPr>
          <w:rFonts w:eastAsiaTheme="minorEastAsia"/>
          <w:sz w:val="24"/>
        </w:rPr>
        <w:t>u</w:t>
      </w:r>
      <w:r>
        <w:rPr>
          <w:rFonts w:eastAsiaTheme="minorEastAsia"/>
          <w:sz w:val="24"/>
        </w:rPr>
        <w:t xml:space="preserve">rsuant to procedures at 45 CFR Part 60, the Secretary is authorized </w:t>
      </w:r>
      <w:r w:rsidR="00680119">
        <w:rPr>
          <w:rFonts w:eastAsiaTheme="minorEastAsia"/>
          <w:sz w:val="24"/>
        </w:rPr>
        <w:t>to provide</w:t>
      </w:r>
      <w:r w:rsidRPr="007424D6">
        <w:rPr>
          <w:rFonts w:eastAsiaTheme="minorEastAsia"/>
          <w:sz w:val="24"/>
        </w:rPr>
        <w:t xml:space="preserve"> for a publication of a public report that identifies fa</w:t>
      </w:r>
      <w:r>
        <w:rPr>
          <w:rFonts w:eastAsiaTheme="minorEastAsia"/>
          <w:sz w:val="24"/>
        </w:rPr>
        <w:t xml:space="preserve">ilures to report information to </w:t>
      </w:r>
      <w:r w:rsidR="0037108A">
        <w:rPr>
          <w:rFonts w:eastAsiaTheme="minorEastAsia"/>
          <w:sz w:val="24"/>
        </w:rPr>
        <w:t xml:space="preserve">the </w:t>
      </w:r>
      <w:r w:rsidR="00680119">
        <w:rPr>
          <w:rFonts w:eastAsiaTheme="minorEastAsia"/>
          <w:sz w:val="24"/>
        </w:rPr>
        <w:t xml:space="preserve">NPDB </w:t>
      </w:r>
      <w:r w:rsidRPr="007424D6" w:rsidR="00680119">
        <w:rPr>
          <w:rFonts w:eastAsiaTheme="minorEastAsia"/>
          <w:sz w:val="24"/>
        </w:rPr>
        <w:t>as</w:t>
      </w:r>
      <w:r w:rsidRPr="007424D6">
        <w:rPr>
          <w:rFonts w:eastAsiaTheme="minorEastAsia"/>
          <w:sz w:val="24"/>
        </w:rPr>
        <w:t xml:space="preserve"> required to be reported under </w:t>
      </w:r>
      <w:r>
        <w:rPr>
          <w:rFonts w:eastAsiaTheme="minorEastAsia"/>
          <w:sz w:val="24"/>
        </w:rPr>
        <w:t>45 CFR Part 60, Sections 60.9, 60.10, 60.13, 60.14, 60.15 and 60.16</w:t>
      </w:r>
      <w:r w:rsidR="00B7053A">
        <w:rPr>
          <w:rFonts w:eastAsiaTheme="minorEastAsia"/>
          <w:sz w:val="24"/>
        </w:rPr>
        <w:t xml:space="preserve">.  </w:t>
      </w:r>
      <w:r>
        <w:rPr>
          <w:rFonts w:eastAsiaTheme="minorEastAsia"/>
          <w:sz w:val="24"/>
        </w:rPr>
        <w:t xml:space="preserve">Pursuant to 45§60.12, the Secretary is authorized to </w:t>
      </w:r>
      <w:r w:rsidRPr="001851A7">
        <w:rPr>
          <w:rFonts w:eastAsiaTheme="minorEastAsia"/>
          <w:sz w:val="24"/>
        </w:rPr>
        <w:t>publish the name of the health care</w:t>
      </w:r>
      <w:r>
        <w:rPr>
          <w:rFonts w:eastAsiaTheme="minorEastAsia"/>
          <w:sz w:val="24"/>
        </w:rPr>
        <w:t xml:space="preserve"> entity in the Federal Register if the Secretary has reason to believe that a health care entity has substantially failed to report information in accordance with 45 CFR §60.12 and all requirements under 45CFR §60.12 (1-2) are met</w:t>
      </w:r>
      <w:r w:rsidR="00B7053A">
        <w:rPr>
          <w:rFonts w:eastAsiaTheme="minorEastAsia"/>
          <w:sz w:val="24"/>
        </w:rPr>
        <w:t xml:space="preserve">.  </w:t>
      </w:r>
    </w:p>
    <w:p w:rsidR="00F65E45" w:rsidP="00F65E45" w:rsidRDefault="00F65E45" w14:paraId="415B36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873808" w:rsidRDefault="00F65E45" w14:paraId="633A50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54392D">
        <w:rPr>
          <w:rFonts w:eastAsiaTheme="minorEastAsia"/>
          <w:sz w:val="24"/>
        </w:rPr>
        <w:lastRenderedPageBreak/>
        <w:t>Nothing in this section will prevent the disclosure of information by a party from its own files used to create such reports where disclosure is otherwise authorized under applicable State or Federal law.</w:t>
      </w:r>
    </w:p>
    <w:p w:rsidRPr="0072393C" w:rsidR="00390FFA" w:rsidRDefault="00390FFA" w14:paraId="4F2034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P="00D16BBC" w:rsidRDefault="00873808" w14:paraId="2185A6BC" w14:textId="77777777">
      <w:pPr>
        <w:pStyle w:val="frn"/>
        <w:spacing w:before="0"/>
        <w:outlineLvl w:val="0"/>
      </w:pPr>
      <w:bookmarkStart w:name="_Toc413843498" w:id="84"/>
      <w:r>
        <w:t>Justification for Sensitive Questions</w:t>
      </w:r>
      <w:bookmarkEnd w:id="84"/>
    </w:p>
    <w:p w:rsidR="00EF4AD6" w:rsidP="00F65E45" w:rsidRDefault="00EF4AD6" w14:paraId="1F5A30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u w:val="none"/>
        </w:rPr>
      </w:pPr>
    </w:p>
    <w:p w:rsidR="00EF4AD6" w:rsidP="00F65E45" w:rsidRDefault="00747C6D" w14:paraId="620AF1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u w:val="none"/>
        </w:rPr>
      </w:pPr>
      <w:r>
        <w:rPr>
          <w:rStyle w:val="Hyperlink"/>
          <w:color w:val="auto"/>
          <w:sz w:val="24"/>
          <w:u w:val="none"/>
        </w:rPr>
        <w:t xml:space="preserve">The </w:t>
      </w:r>
      <w:r w:rsidR="00D31419">
        <w:rPr>
          <w:rStyle w:val="Hyperlink"/>
          <w:color w:val="auto"/>
          <w:sz w:val="24"/>
          <w:u w:val="none"/>
        </w:rPr>
        <w:t>Attestation process</w:t>
      </w:r>
      <w:r>
        <w:rPr>
          <w:rStyle w:val="Hyperlink"/>
          <w:color w:val="auto"/>
          <w:sz w:val="24"/>
          <w:u w:val="none"/>
        </w:rPr>
        <w:t xml:space="preserve"> in itself</w:t>
      </w:r>
      <w:r w:rsidRPr="00EF4AD6" w:rsidR="00EF4AD6">
        <w:rPr>
          <w:rStyle w:val="Hyperlink"/>
          <w:color w:val="auto"/>
          <w:sz w:val="24"/>
          <w:u w:val="none"/>
        </w:rPr>
        <w:t xml:space="preserve"> does not contain questions pertaining to sex, behavior, attitude, religious beliefs, or any other matters that are commonly considered private or sensitive in nature.</w:t>
      </w:r>
    </w:p>
    <w:p w:rsidRPr="0072393C" w:rsidR="00873808" w:rsidRDefault="00873808" w14:paraId="58E1CD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P="00D16BBC" w:rsidRDefault="00873808" w14:paraId="6985085F" w14:textId="77777777">
      <w:pPr>
        <w:pStyle w:val="frn"/>
        <w:spacing w:before="0"/>
        <w:outlineLvl w:val="0"/>
      </w:pPr>
      <w:bookmarkStart w:name="_Toc407786538" w:id="85"/>
      <w:bookmarkStart w:name="_Toc408317401" w:id="86"/>
      <w:bookmarkStart w:name="_Toc408319913" w:id="87"/>
      <w:bookmarkStart w:name="_Toc413843499" w:id="88"/>
      <w:bookmarkEnd w:id="85"/>
      <w:bookmarkEnd w:id="86"/>
      <w:bookmarkEnd w:id="87"/>
      <w:r>
        <w:t>Estimates of Annualized Hour and Cost Burden</w:t>
      </w:r>
      <w:bookmarkEnd w:id="88"/>
      <w:r>
        <w:t xml:space="preserve">  </w:t>
      </w:r>
    </w:p>
    <w:p w:rsidR="00390FFA" w:rsidP="00D16BBC" w:rsidRDefault="00390FFA" w14:paraId="2F9F26BD" w14:textId="77777777">
      <w:pPr>
        <w:rPr>
          <w:sz w:val="24"/>
        </w:rPr>
      </w:pPr>
    </w:p>
    <w:p w:rsidR="00E104A0" w:rsidP="00E104A0" w:rsidRDefault="00E104A0" w14:paraId="48D960A6" w14:textId="2B9D50F8">
      <w:pPr>
        <w:rPr>
          <w:sz w:val="24"/>
        </w:rPr>
      </w:pPr>
      <w:bookmarkStart w:name="_Toc413843500" w:id="89"/>
      <w:r>
        <w:rPr>
          <w:sz w:val="24"/>
        </w:rPr>
        <w:t xml:space="preserve">This section summarizes the total </w:t>
      </w:r>
      <w:r w:rsidR="006B11B3">
        <w:rPr>
          <w:sz w:val="24"/>
        </w:rPr>
        <w:t xml:space="preserve">estimated </w:t>
      </w:r>
      <w:r>
        <w:rPr>
          <w:sz w:val="24"/>
        </w:rPr>
        <w:t>burden hours for information collection and the cost associated with those hours</w:t>
      </w:r>
      <w:r w:rsidR="00B7053A">
        <w:rPr>
          <w:sz w:val="24"/>
        </w:rPr>
        <w:t xml:space="preserve">.  </w:t>
      </w:r>
      <w:hyperlink w:history="1" w:anchor="Table6BurdenHours">
        <w:r w:rsidRPr="002E5D66">
          <w:rPr>
            <w:rStyle w:val="Hyperlink"/>
            <w:sz w:val="24"/>
          </w:rPr>
          <w:t xml:space="preserve">Table </w:t>
        </w:r>
      </w:hyperlink>
      <w:r>
        <w:rPr>
          <w:rStyle w:val="Hyperlink"/>
          <w:sz w:val="24"/>
        </w:rPr>
        <w:t>2</w:t>
      </w:r>
      <w:r>
        <w:rPr>
          <w:sz w:val="24"/>
        </w:rPr>
        <w:t xml:space="preserve"> provides the estimated annualized burden hours and </w:t>
      </w:r>
      <w:hyperlink w:history="1" w:anchor="Table7CostBurden">
        <w:r w:rsidRPr="002E5D66">
          <w:rPr>
            <w:rStyle w:val="Hyperlink"/>
            <w:sz w:val="24"/>
          </w:rPr>
          <w:t xml:space="preserve">Table </w:t>
        </w:r>
      </w:hyperlink>
      <w:r>
        <w:rPr>
          <w:rStyle w:val="Hyperlink"/>
          <w:sz w:val="24"/>
        </w:rPr>
        <w:t>3</w:t>
      </w:r>
      <w:r>
        <w:rPr>
          <w:sz w:val="24"/>
        </w:rPr>
        <w:t xml:space="preserve"> shows the estimated annualized cost burden</w:t>
      </w:r>
      <w:r w:rsidR="00B7053A">
        <w:rPr>
          <w:sz w:val="24"/>
        </w:rPr>
        <w:t xml:space="preserve">.  </w:t>
      </w:r>
    </w:p>
    <w:p w:rsidR="00E104A0" w:rsidP="00EB29AF" w:rsidRDefault="00E104A0" w14:paraId="0275924B" w14:textId="77777777">
      <w:pPr>
        <w:rPr>
          <w:sz w:val="24"/>
          <w:highlight w:val="yellow"/>
        </w:rPr>
      </w:pPr>
    </w:p>
    <w:p w:rsidRPr="00A21BE9" w:rsidR="007E71CD" w:rsidP="00DF61BB" w:rsidRDefault="00EB29AF" w14:paraId="35F7D423" w14:textId="7711BB27">
      <w:pPr>
        <w:widowControl/>
        <w:tabs>
          <w:tab w:val="num" w:pos="720"/>
        </w:tabs>
        <w:rPr>
          <w:b/>
          <w:sz w:val="24"/>
        </w:rPr>
      </w:pPr>
      <w:r>
        <w:rPr>
          <w:b/>
          <w:sz w:val="24"/>
        </w:rPr>
        <w:t>12A</w:t>
      </w:r>
      <w:proofErr w:type="gramStart"/>
      <w:r w:rsidR="00B7053A">
        <w:rPr>
          <w:b/>
          <w:sz w:val="24"/>
        </w:rPr>
        <w:t xml:space="preserve">.  </w:t>
      </w:r>
      <w:r>
        <w:rPr>
          <w:b/>
          <w:sz w:val="24"/>
        </w:rPr>
        <w:t>Estimated</w:t>
      </w:r>
      <w:proofErr w:type="gramEnd"/>
      <w:r>
        <w:rPr>
          <w:b/>
          <w:sz w:val="24"/>
        </w:rPr>
        <w:t xml:space="preserve"> Annualized Burden Hours</w:t>
      </w:r>
      <w:r w:rsidR="00C35385">
        <w:rPr>
          <w:b/>
          <w:sz w:val="24"/>
        </w:rPr>
        <w:br/>
      </w:r>
      <w:bookmarkStart w:name="Table6BurdenHours" w:id="90"/>
    </w:p>
    <w:p w:rsidR="00C35385" w:rsidP="00EB29AF" w:rsidRDefault="00EB29AF" w14:paraId="3CE19156" w14:textId="77777777">
      <w:pPr>
        <w:widowControl/>
        <w:tabs>
          <w:tab w:val="num" w:pos="720"/>
        </w:tabs>
        <w:rPr>
          <w:b/>
          <w:sz w:val="24"/>
        </w:rPr>
      </w:pPr>
      <w:r>
        <w:rPr>
          <w:b/>
          <w:sz w:val="24"/>
        </w:rPr>
        <w:t xml:space="preserve">Table </w:t>
      </w:r>
      <w:bookmarkEnd w:id="90"/>
      <w:r>
        <w:rPr>
          <w:b/>
          <w:sz w:val="24"/>
        </w:rPr>
        <w:t>2: Estimated Annualized Burden Hours</w:t>
      </w:r>
    </w:p>
    <w:p w:rsidR="001F7800" w:rsidP="001F7800" w:rsidRDefault="001F7800" w14:paraId="1C068D6F" w14:textId="77777777">
      <w:pPr>
        <w:rPr>
          <w:sz w:val="24"/>
          <w:highlight w:val="yellow"/>
        </w:rPr>
      </w:pPr>
    </w:p>
    <w:tbl>
      <w:tblPr>
        <w:tblW w:w="9450" w:type="dxa"/>
        <w:tblInd w:w="-3" w:type="dxa"/>
        <w:tblLayout w:type="fixed"/>
        <w:tblCellMar>
          <w:left w:w="97" w:type="dxa"/>
          <w:right w:w="97" w:type="dxa"/>
        </w:tblCellMar>
        <w:tblLook w:val="0000" w:firstRow="0" w:lastRow="0" w:firstColumn="0" w:lastColumn="0" w:noHBand="0" w:noVBand="0"/>
      </w:tblPr>
      <w:tblGrid>
        <w:gridCol w:w="3150"/>
        <w:gridCol w:w="1350"/>
        <w:gridCol w:w="1260"/>
        <w:gridCol w:w="1080"/>
        <w:gridCol w:w="1080"/>
        <w:gridCol w:w="1530"/>
      </w:tblGrid>
      <w:tr w:rsidRPr="00F57BF4" w:rsidR="001F7800" w:rsidTr="00DB40EB" w14:paraId="38A50C8C" w14:textId="77777777">
        <w:trPr>
          <w:trHeight w:val="769"/>
        </w:trPr>
        <w:tc>
          <w:tcPr>
            <w:tcW w:w="315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426CADF8" w14:textId="77777777">
            <w:pPr>
              <w:rPr>
                <w:b/>
                <w:sz w:val="18"/>
              </w:rPr>
            </w:pPr>
            <w:r w:rsidRPr="00CA5CCE">
              <w:rPr>
                <w:b/>
                <w:sz w:val="18"/>
              </w:rPr>
              <w:t>Form Name</w:t>
            </w:r>
          </w:p>
        </w:tc>
        <w:tc>
          <w:tcPr>
            <w:tcW w:w="135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5E5AEA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rPr>
            </w:pPr>
            <w:r w:rsidRPr="00CA5CCE">
              <w:rPr>
                <w:b/>
                <w:sz w:val="18"/>
              </w:rPr>
              <w:t>Number of Respondents</w:t>
            </w:r>
          </w:p>
        </w:tc>
        <w:tc>
          <w:tcPr>
            <w:tcW w:w="126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1CD581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rPr>
            </w:pPr>
            <w:r w:rsidRPr="00CA5CCE">
              <w:rPr>
                <w:b/>
                <w:sz w:val="18"/>
              </w:rPr>
              <w:t>Number of Responses per Respondent</w:t>
            </w:r>
          </w:p>
        </w:tc>
        <w:tc>
          <w:tcPr>
            <w:tcW w:w="108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573D6D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rPr>
            </w:pPr>
            <w:r w:rsidRPr="00CA5CCE">
              <w:rPr>
                <w:b/>
                <w:sz w:val="18"/>
              </w:rPr>
              <w:t>Total Responses</w:t>
            </w:r>
          </w:p>
        </w:tc>
        <w:tc>
          <w:tcPr>
            <w:tcW w:w="108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01E227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rPr>
            </w:pPr>
            <w:r w:rsidRPr="00CA5CCE">
              <w:rPr>
                <w:b/>
                <w:sz w:val="18"/>
              </w:rPr>
              <w:t>Average Burden per Response (in hours)</w:t>
            </w:r>
          </w:p>
        </w:tc>
        <w:tc>
          <w:tcPr>
            <w:tcW w:w="1530" w:type="dxa"/>
            <w:tcBorders>
              <w:top w:val="single" w:color="auto" w:sz="2" w:space="0"/>
              <w:left w:val="single" w:color="auto" w:sz="2" w:space="0"/>
              <w:bottom w:val="single" w:color="auto" w:sz="2" w:space="0"/>
              <w:right w:val="single" w:color="auto" w:sz="2" w:space="0"/>
            </w:tcBorders>
            <w:shd w:val="clear" w:color="auto" w:fill="BFBFBF"/>
            <w:vAlign w:val="bottom"/>
          </w:tcPr>
          <w:p w:rsidRPr="00CA5CCE" w:rsidR="001F7800" w:rsidP="001F7800" w:rsidRDefault="001F7800" w14:paraId="5C07F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rPr>
            </w:pPr>
            <w:r w:rsidRPr="00CA5CCE">
              <w:rPr>
                <w:b/>
                <w:sz w:val="18"/>
              </w:rPr>
              <w:t>Total Burden Hours</w:t>
            </w:r>
            <w:r w:rsidRPr="00125FF2">
              <w:rPr>
                <w:b/>
                <w:sz w:val="18"/>
                <w:szCs w:val="18"/>
                <w:vertAlign w:val="superscript"/>
              </w:rPr>
              <w:footnoteReference w:id="4"/>
            </w:r>
          </w:p>
        </w:tc>
      </w:tr>
      <w:tr w:rsidRPr="00F57BF4" w:rsidR="001F7800" w:rsidTr="001F7800" w14:paraId="5BB2F315" w14:textId="77777777">
        <w:tc>
          <w:tcPr>
            <w:tcW w:w="31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2EDF2D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125FF2">
              <w:rPr>
                <w:sz w:val="18"/>
                <w:szCs w:val="18"/>
              </w:rPr>
              <w:t xml:space="preserve">Authorized Agent Attestation </w:t>
            </w:r>
          </w:p>
        </w:tc>
        <w:tc>
          <w:tcPr>
            <w:tcW w:w="13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42E07A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350</w:t>
            </w:r>
          </w:p>
        </w:tc>
        <w:tc>
          <w:tcPr>
            <w:tcW w:w="126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38BF27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184C8E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350</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4BFEE8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53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0D3C41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350</w:t>
            </w:r>
          </w:p>
        </w:tc>
      </w:tr>
      <w:tr w:rsidRPr="00F57BF4" w:rsidR="001F7800" w:rsidTr="001F7800" w14:paraId="06C5193B" w14:textId="77777777">
        <w:tc>
          <w:tcPr>
            <w:tcW w:w="315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7B245D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sidRPr="00CA5CCE">
              <w:rPr>
                <w:sz w:val="18"/>
              </w:rPr>
              <w:t xml:space="preserve">Health Center </w:t>
            </w:r>
            <w:r w:rsidRPr="00125FF2">
              <w:rPr>
                <w:sz w:val="18"/>
                <w:szCs w:val="18"/>
              </w:rPr>
              <w:t xml:space="preserve">Attestation </w:t>
            </w:r>
          </w:p>
        </w:tc>
        <w:tc>
          <w:tcPr>
            <w:tcW w:w="135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3D1FD3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125FF2">
              <w:rPr>
                <w:sz w:val="18"/>
                <w:szCs w:val="18"/>
                <w:lang w:val="fr-FR"/>
              </w:rPr>
              <w:t>650</w:t>
            </w:r>
          </w:p>
        </w:tc>
        <w:tc>
          <w:tcPr>
            <w:tcW w:w="126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09090B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CA5CCE">
              <w:rPr>
                <w:sz w:val="18"/>
                <w:lang w:val="fr-FR"/>
              </w:rPr>
              <w:t>1</w:t>
            </w: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3B1039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125FF2">
              <w:rPr>
                <w:sz w:val="18"/>
                <w:szCs w:val="18"/>
                <w:lang w:val="fr-FR"/>
              </w:rPr>
              <w:t>650</w:t>
            </w: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788D8D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CA5CCE">
              <w:rPr>
                <w:sz w:val="18"/>
                <w:lang w:val="fr-FR"/>
              </w:rPr>
              <w:t>1</w:t>
            </w:r>
          </w:p>
        </w:tc>
        <w:tc>
          <w:tcPr>
            <w:tcW w:w="153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697D4B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125FF2">
              <w:rPr>
                <w:sz w:val="18"/>
                <w:szCs w:val="18"/>
                <w:lang w:val="fr-FR"/>
              </w:rPr>
              <w:t>650</w:t>
            </w:r>
          </w:p>
        </w:tc>
      </w:tr>
      <w:tr w:rsidRPr="00F57BF4" w:rsidR="001F7800" w:rsidTr="001F7800" w14:paraId="7BD45696" w14:textId="77777777">
        <w:tc>
          <w:tcPr>
            <w:tcW w:w="31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5265AF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125FF2">
              <w:rPr>
                <w:sz w:val="18"/>
                <w:szCs w:val="18"/>
              </w:rPr>
              <w:t xml:space="preserve">Hospital Attestation </w:t>
            </w:r>
          </w:p>
        </w:tc>
        <w:tc>
          <w:tcPr>
            <w:tcW w:w="13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221304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3,250</w:t>
            </w:r>
          </w:p>
        </w:tc>
        <w:tc>
          <w:tcPr>
            <w:tcW w:w="126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4E8E6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48087D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3,250</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08D41D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53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4C8740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3,250</w:t>
            </w:r>
          </w:p>
        </w:tc>
      </w:tr>
      <w:tr w:rsidRPr="00F57BF4" w:rsidR="001F7800" w:rsidTr="001F7800" w14:paraId="7ABC5FA8" w14:textId="77777777">
        <w:tc>
          <w:tcPr>
            <w:tcW w:w="31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1C0AB9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125FF2">
              <w:rPr>
                <w:sz w:val="18"/>
                <w:szCs w:val="18"/>
              </w:rPr>
              <w:t xml:space="preserve">Medical Malpractice, Peer Review Organization, </w:t>
            </w:r>
            <w:r>
              <w:rPr>
                <w:sz w:val="18"/>
                <w:szCs w:val="18"/>
              </w:rPr>
              <w:t xml:space="preserve">or </w:t>
            </w:r>
            <w:r w:rsidRPr="00125FF2">
              <w:rPr>
                <w:sz w:val="18"/>
                <w:szCs w:val="18"/>
              </w:rPr>
              <w:t xml:space="preserve">Private Accreditation Organization Attestation </w:t>
            </w:r>
          </w:p>
        </w:tc>
        <w:tc>
          <w:tcPr>
            <w:tcW w:w="135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627355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2</w:t>
            </w:r>
            <w:r>
              <w:rPr>
                <w:sz w:val="18"/>
                <w:szCs w:val="18"/>
                <w:lang w:val="fr-FR"/>
              </w:rPr>
              <w:t>5</w:t>
            </w:r>
            <w:r w:rsidRPr="00125FF2">
              <w:rPr>
                <w:sz w:val="18"/>
                <w:szCs w:val="18"/>
                <w:lang w:val="fr-FR"/>
              </w:rPr>
              <w:t>0</w:t>
            </w:r>
          </w:p>
        </w:tc>
        <w:tc>
          <w:tcPr>
            <w:tcW w:w="126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7D9F29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5E0CD2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2</w:t>
            </w:r>
            <w:r>
              <w:rPr>
                <w:sz w:val="18"/>
                <w:szCs w:val="18"/>
                <w:lang w:val="fr-FR"/>
              </w:rPr>
              <w:t>5</w:t>
            </w:r>
            <w:r w:rsidRPr="00125FF2">
              <w:rPr>
                <w:sz w:val="18"/>
                <w:szCs w:val="18"/>
                <w:lang w:val="fr-FR"/>
              </w:rPr>
              <w:t>0</w:t>
            </w:r>
          </w:p>
        </w:tc>
        <w:tc>
          <w:tcPr>
            <w:tcW w:w="108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2CF7C1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1</w:t>
            </w:r>
          </w:p>
        </w:tc>
        <w:tc>
          <w:tcPr>
            <w:tcW w:w="1530" w:type="dxa"/>
            <w:tcBorders>
              <w:top w:val="single" w:color="auto" w:sz="2" w:space="0"/>
              <w:left w:val="single" w:color="auto" w:sz="2" w:space="0"/>
              <w:bottom w:val="single" w:color="auto" w:sz="2" w:space="0"/>
              <w:right w:val="single" w:color="auto" w:sz="2" w:space="0"/>
            </w:tcBorders>
          </w:tcPr>
          <w:p w:rsidRPr="00125FF2" w:rsidR="001F7800" w:rsidP="001F7800" w:rsidRDefault="001F7800" w14:paraId="37BD78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lang w:val="fr-FR"/>
              </w:rPr>
            </w:pPr>
            <w:r w:rsidRPr="00125FF2">
              <w:rPr>
                <w:sz w:val="18"/>
                <w:szCs w:val="18"/>
                <w:lang w:val="fr-FR"/>
              </w:rPr>
              <w:t>2</w:t>
            </w:r>
            <w:r>
              <w:rPr>
                <w:sz w:val="18"/>
                <w:szCs w:val="18"/>
                <w:lang w:val="fr-FR"/>
              </w:rPr>
              <w:t>5</w:t>
            </w:r>
            <w:r w:rsidRPr="00125FF2">
              <w:rPr>
                <w:sz w:val="18"/>
                <w:szCs w:val="18"/>
                <w:lang w:val="fr-FR"/>
              </w:rPr>
              <w:t>0</w:t>
            </w:r>
          </w:p>
        </w:tc>
      </w:tr>
      <w:tr w:rsidRPr="00F57BF4" w:rsidR="001F7800" w:rsidTr="001F7800" w14:paraId="619A7279" w14:textId="77777777">
        <w:tc>
          <w:tcPr>
            <w:tcW w:w="3150" w:type="dxa"/>
            <w:tcBorders>
              <w:top w:val="single" w:color="auto" w:sz="2" w:space="0"/>
              <w:left w:val="single" w:color="auto" w:sz="2" w:space="0"/>
              <w:bottom w:val="single" w:color="auto" w:sz="2" w:space="0"/>
              <w:right w:val="single" w:color="auto" w:sz="2" w:space="0"/>
            </w:tcBorders>
          </w:tcPr>
          <w:p w:rsidR="001F7800" w:rsidP="001F7800" w:rsidRDefault="001F7800" w14:paraId="27AEB9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18"/>
                <w:szCs w:val="18"/>
              </w:rPr>
            </w:pPr>
            <w:r w:rsidRPr="00125FF2">
              <w:rPr>
                <w:sz w:val="18"/>
                <w:szCs w:val="18"/>
              </w:rPr>
              <w:t xml:space="preserve">Other Eligible Entity Attestation </w:t>
            </w:r>
          </w:p>
          <w:p w:rsidRPr="00125FF2" w:rsidR="001F7800" w:rsidP="001F7800" w:rsidRDefault="001F7800" w14:paraId="7518CF31"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sz w:val="18"/>
                <w:szCs w:val="18"/>
              </w:rPr>
              <w:t>Agencies administering federal programs, including contract entities</w:t>
            </w:r>
          </w:p>
          <w:p w:rsidRPr="00125FF2" w:rsidR="001F7800" w:rsidP="001F7800" w:rsidRDefault="001F7800" w14:paraId="53D17FD7"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sz w:val="18"/>
                <w:szCs w:val="18"/>
              </w:rPr>
              <w:t xml:space="preserve">Federal law enforcement officials </w:t>
            </w:r>
            <w:r>
              <w:rPr>
                <w:sz w:val="18"/>
                <w:szCs w:val="18"/>
              </w:rPr>
              <w:t>and</w:t>
            </w:r>
            <w:r w:rsidRPr="00125FF2">
              <w:rPr>
                <w:sz w:val="18"/>
                <w:szCs w:val="18"/>
              </w:rPr>
              <w:t xml:space="preserve"> agencies (including DEA, HHS OIG, </w:t>
            </w:r>
            <w:r>
              <w:rPr>
                <w:sz w:val="18"/>
                <w:szCs w:val="18"/>
              </w:rPr>
              <w:t>and</w:t>
            </w:r>
            <w:r w:rsidRPr="00125FF2">
              <w:rPr>
                <w:sz w:val="18"/>
                <w:szCs w:val="18"/>
              </w:rPr>
              <w:t xml:space="preserve"> federal prosecutors) </w:t>
            </w:r>
          </w:p>
          <w:p w:rsidRPr="00125FF2" w:rsidR="001F7800" w:rsidP="001F7800" w:rsidRDefault="001F7800" w14:paraId="27222A75"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sz w:val="18"/>
                <w:szCs w:val="18"/>
              </w:rPr>
              <w:t>Federal licensing or certification agencies</w:t>
            </w:r>
          </w:p>
          <w:p w:rsidRPr="00125FF2" w:rsidR="001F7800" w:rsidP="001F7800" w:rsidRDefault="001F7800" w14:paraId="64C38BB1"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CA5CCE">
              <w:rPr>
                <w:sz w:val="18"/>
              </w:rPr>
              <w:t>Health Plans</w:t>
            </w:r>
          </w:p>
          <w:p w:rsidRPr="00125FF2" w:rsidR="001F7800" w:rsidP="001F7800" w:rsidRDefault="001F7800" w14:paraId="3CD2E030"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sz w:val="18"/>
                <w:szCs w:val="18"/>
              </w:rPr>
              <w:t>Other health care entities with formal peer review</w:t>
            </w:r>
          </w:p>
          <w:p w:rsidRPr="00125FF2" w:rsidR="001F7800" w:rsidP="001F7800" w:rsidRDefault="001F7800" w14:paraId="00EF77F2"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iCs/>
                <w:sz w:val="18"/>
                <w:szCs w:val="18"/>
              </w:rPr>
              <w:t>Other Health care service providers</w:t>
            </w:r>
          </w:p>
          <w:p w:rsidRPr="00125FF2" w:rsidR="001F7800" w:rsidP="001F7800" w:rsidRDefault="001F7800" w14:paraId="7DD91E9B"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iCs/>
                <w:sz w:val="18"/>
                <w:szCs w:val="18"/>
              </w:rPr>
              <w:t>Professional Societies with formal peer review</w:t>
            </w:r>
          </w:p>
          <w:p w:rsidR="001F7800" w:rsidP="001F7800" w:rsidRDefault="001F7800" w14:paraId="0D781A26"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szCs w:val="18"/>
              </w:rPr>
            </w:pPr>
            <w:r w:rsidRPr="00125FF2">
              <w:rPr>
                <w:iCs/>
                <w:sz w:val="18"/>
                <w:szCs w:val="18"/>
              </w:rPr>
              <w:t>State agencies administering or supervising state programs</w:t>
            </w:r>
          </w:p>
          <w:p w:rsidRPr="00CA5CCE" w:rsidR="001F7800" w:rsidP="001F7800" w:rsidRDefault="001F7800" w14:paraId="538FC9CB" w14:textId="77777777">
            <w:pPr>
              <w:numPr>
                <w:ilvl w:val="0"/>
                <w:numId w:val="4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sz w:val="18"/>
              </w:rPr>
            </w:pPr>
            <w:r w:rsidRPr="0040719E">
              <w:rPr>
                <w:sz w:val="18"/>
                <w:szCs w:val="18"/>
              </w:rPr>
              <w:lastRenderedPageBreak/>
              <w:t>State law or fraud enforcement agencies (including Medicaid fraud control units &amp; state prosecutors)</w:t>
            </w:r>
          </w:p>
        </w:tc>
        <w:tc>
          <w:tcPr>
            <w:tcW w:w="135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4E3D4E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Pr>
                <w:sz w:val="18"/>
                <w:szCs w:val="18"/>
                <w:lang w:val="fr-FR"/>
              </w:rPr>
              <w:lastRenderedPageBreak/>
              <w:t>7,100</w:t>
            </w:r>
          </w:p>
        </w:tc>
        <w:tc>
          <w:tcPr>
            <w:tcW w:w="126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20EA48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CA5CCE">
              <w:rPr>
                <w:sz w:val="18"/>
                <w:lang w:val="fr-FR"/>
              </w:rPr>
              <w:t>1</w:t>
            </w: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56DC4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Pr>
                <w:sz w:val="18"/>
                <w:szCs w:val="18"/>
                <w:lang w:val="fr-FR"/>
              </w:rPr>
              <w:t>7,100</w:t>
            </w: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5C499A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sidRPr="00CA5CCE">
              <w:rPr>
                <w:sz w:val="18"/>
                <w:lang w:val="fr-FR"/>
              </w:rPr>
              <w:t>1</w:t>
            </w:r>
          </w:p>
        </w:tc>
        <w:tc>
          <w:tcPr>
            <w:tcW w:w="153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0EA817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lang w:val="fr-FR"/>
              </w:rPr>
            </w:pPr>
            <w:r>
              <w:rPr>
                <w:sz w:val="18"/>
                <w:szCs w:val="18"/>
                <w:lang w:val="fr-FR"/>
              </w:rPr>
              <w:t>7,100</w:t>
            </w:r>
          </w:p>
        </w:tc>
      </w:tr>
      <w:tr w:rsidRPr="00F57BF4" w:rsidR="001F7800" w:rsidTr="001F7800" w14:paraId="5BC17661" w14:textId="77777777">
        <w:tc>
          <w:tcPr>
            <w:tcW w:w="315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7D26782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contextualSpacing/>
            </w:pPr>
            <w:r w:rsidRPr="00CA5CCE">
              <w:t>Total</w:t>
            </w:r>
          </w:p>
        </w:tc>
        <w:tc>
          <w:tcPr>
            <w:tcW w:w="135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47DC55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szCs w:val="20"/>
                <w:lang w:val="fr-FR"/>
              </w:rPr>
              <w:t>11,600</w:t>
            </w:r>
          </w:p>
        </w:tc>
        <w:tc>
          <w:tcPr>
            <w:tcW w:w="126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6AB96D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66A43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szCs w:val="20"/>
                <w:lang w:val="fr-FR"/>
              </w:rPr>
              <w:t>11,600</w:t>
            </w:r>
          </w:p>
        </w:tc>
        <w:tc>
          <w:tcPr>
            <w:tcW w:w="108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455705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530" w:type="dxa"/>
            <w:tcBorders>
              <w:top w:val="single" w:color="auto" w:sz="2" w:space="0"/>
              <w:left w:val="single" w:color="auto" w:sz="2" w:space="0"/>
              <w:bottom w:val="single" w:color="auto" w:sz="2" w:space="0"/>
              <w:right w:val="single" w:color="auto" w:sz="2" w:space="0"/>
            </w:tcBorders>
          </w:tcPr>
          <w:p w:rsidRPr="00CA5CCE" w:rsidR="001F7800" w:rsidP="001F7800" w:rsidRDefault="001F7800" w14:paraId="367C5B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szCs w:val="20"/>
                <w:lang w:val="fr-FR"/>
              </w:rPr>
              <w:t>11,600</w:t>
            </w:r>
          </w:p>
        </w:tc>
      </w:tr>
    </w:tbl>
    <w:p w:rsidR="00A21BE9" w:rsidP="00EB29AF" w:rsidRDefault="00A21BE9" w14:paraId="2B1F93D8" w14:textId="77777777">
      <w:pPr>
        <w:widowControl/>
        <w:rPr>
          <w:b/>
          <w:sz w:val="24"/>
        </w:rPr>
      </w:pPr>
    </w:p>
    <w:p w:rsidR="00EB29AF" w:rsidP="00EB29AF" w:rsidRDefault="00EB29AF" w14:paraId="4340BDC6" w14:textId="575D097B">
      <w:pPr>
        <w:widowControl/>
        <w:rPr>
          <w:sz w:val="24"/>
        </w:rPr>
      </w:pPr>
      <w:r>
        <w:rPr>
          <w:b/>
          <w:sz w:val="24"/>
        </w:rPr>
        <w:t>12B</w:t>
      </w:r>
      <w:proofErr w:type="gramStart"/>
      <w:r w:rsidR="00B7053A">
        <w:rPr>
          <w:sz w:val="24"/>
        </w:rPr>
        <w:t xml:space="preserve">.  </w:t>
      </w:r>
      <w:r>
        <w:rPr>
          <w:b/>
          <w:sz w:val="24"/>
        </w:rPr>
        <w:t>Estimated</w:t>
      </w:r>
      <w:proofErr w:type="gramEnd"/>
      <w:r>
        <w:rPr>
          <w:b/>
          <w:sz w:val="24"/>
        </w:rPr>
        <w:t xml:space="preserve"> Annualized Cost Burden</w:t>
      </w:r>
    </w:p>
    <w:p w:rsidR="00EB29AF" w:rsidP="00EB29AF" w:rsidRDefault="00EB29AF" w14:paraId="25BD312B" w14:textId="77777777">
      <w:pPr>
        <w:widowControl/>
        <w:rPr>
          <w:sz w:val="24"/>
        </w:rPr>
      </w:pPr>
    </w:p>
    <w:p w:rsidRPr="00832126" w:rsidR="00EB29AF" w:rsidP="00EB29AF" w:rsidRDefault="00EB29AF" w14:paraId="66140919" w14:textId="1940DAF5">
      <w:pPr>
        <w:widowControl/>
        <w:rPr>
          <w:sz w:val="24"/>
        </w:rPr>
      </w:pPr>
      <w:r w:rsidRPr="00832126">
        <w:rPr>
          <w:sz w:val="24"/>
        </w:rPr>
        <w:t>The Department of Labor website was used to determine appropriate wage rates for respondents (</w:t>
      </w:r>
      <w:hyperlink w:history="1" r:id="rId21">
        <w:r w:rsidRPr="00832126">
          <w:rPr>
            <w:rStyle w:val="Hyperlink"/>
            <w:sz w:val="24"/>
          </w:rPr>
          <w:t>http://www.bls.gov/bls/blswage.htm</w:t>
        </w:r>
      </w:hyperlink>
      <w:r w:rsidRPr="00832126">
        <w:rPr>
          <w:sz w:val="24"/>
        </w:rPr>
        <w:t>)</w:t>
      </w:r>
      <w:r w:rsidR="00B7053A">
        <w:rPr>
          <w:sz w:val="24"/>
        </w:rPr>
        <w:t xml:space="preserve">.  </w:t>
      </w:r>
      <w:r w:rsidRPr="00832126">
        <w:rPr>
          <w:sz w:val="24"/>
        </w:rPr>
        <w:t xml:space="preserve">The mean hourly wages for the following professions were selected </w:t>
      </w:r>
      <w:r>
        <w:rPr>
          <w:sz w:val="24"/>
        </w:rPr>
        <w:t xml:space="preserve">as samples </w:t>
      </w:r>
      <w:r w:rsidRPr="00832126">
        <w:rPr>
          <w:sz w:val="24"/>
        </w:rPr>
        <w:t>from the website:</w:t>
      </w:r>
      <w:r>
        <w:rPr>
          <w:sz w:val="24"/>
        </w:rPr>
        <w:br/>
      </w:r>
    </w:p>
    <w:p w:rsidRPr="00832126" w:rsidR="00EB29AF" w:rsidP="00EB29AF" w:rsidRDefault="00DB40EB" w14:paraId="29ADF30D" w14:textId="74151E35">
      <w:pPr>
        <w:pStyle w:val="ListParagraph"/>
        <w:widowControl/>
        <w:numPr>
          <w:ilvl w:val="0"/>
          <w:numId w:val="17"/>
        </w:numPr>
        <w:rPr>
          <w:sz w:val="24"/>
        </w:rPr>
      </w:pPr>
      <w:hyperlink w:history="1" r:id="rId22">
        <w:r w:rsidRPr="00832126" w:rsidR="00EB29AF">
          <w:rPr>
            <w:rStyle w:val="Hyperlink"/>
            <w:sz w:val="24"/>
          </w:rPr>
          <w:t>Education, Training, and Library Occupations</w:t>
        </w:r>
      </w:hyperlink>
      <w:r w:rsidRPr="00832126" w:rsidR="00EB29AF">
        <w:rPr>
          <w:sz w:val="24"/>
        </w:rPr>
        <w:t xml:space="preserve"> ($</w:t>
      </w:r>
      <w:r w:rsidR="00806767">
        <w:rPr>
          <w:sz w:val="24"/>
        </w:rPr>
        <w:t>27.22</w:t>
      </w:r>
      <w:r w:rsidRPr="00832126" w:rsidR="00EB29AF">
        <w:rPr>
          <w:sz w:val="24"/>
        </w:rPr>
        <w:t>)</w:t>
      </w:r>
    </w:p>
    <w:p w:rsidRPr="00832126" w:rsidR="00EB29AF" w:rsidP="00EB29AF" w:rsidRDefault="00DB40EB" w14:paraId="115213F1" w14:textId="6934D4C2">
      <w:pPr>
        <w:pStyle w:val="ListParagraph"/>
        <w:widowControl/>
        <w:numPr>
          <w:ilvl w:val="0"/>
          <w:numId w:val="17"/>
        </w:numPr>
        <w:rPr>
          <w:sz w:val="24"/>
        </w:rPr>
      </w:pPr>
      <w:hyperlink w:history="1" r:id="rId23">
        <w:r w:rsidRPr="00832126" w:rsidR="00EB29AF">
          <w:rPr>
            <w:rStyle w:val="Hyperlink"/>
            <w:sz w:val="24"/>
          </w:rPr>
          <w:t>Claims Adjusters, Appraisers, Examiners, and Investigators</w:t>
        </w:r>
      </w:hyperlink>
      <w:r w:rsidRPr="00832126" w:rsidR="00EB29AF">
        <w:rPr>
          <w:sz w:val="24"/>
        </w:rPr>
        <w:t xml:space="preserve"> ($32</w:t>
      </w:r>
      <w:r w:rsidR="00806767">
        <w:rPr>
          <w:sz w:val="24"/>
        </w:rPr>
        <w:t>.47</w:t>
      </w:r>
      <w:r w:rsidRPr="00832126" w:rsidR="00EB29AF">
        <w:rPr>
          <w:sz w:val="24"/>
        </w:rPr>
        <w:t>)</w:t>
      </w:r>
    </w:p>
    <w:p w:rsidRPr="00832126" w:rsidR="00EB29AF" w:rsidP="00EB29AF" w:rsidRDefault="00DB40EB" w14:paraId="14D3AC57" w14:textId="2AD2F9E8">
      <w:pPr>
        <w:pStyle w:val="ListParagraph"/>
        <w:widowControl/>
        <w:numPr>
          <w:ilvl w:val="0"/>
          <w:numId w:val="17"/>
        </w:numPr>
        <w:rPr>
          <w:sz w:val="24"/>
        </w:rPr>
      </w:pPr>
      <w:hyperlink w:history="1" r:id="rId24">
        <w:r w:rsidRPr="00832126" w:rsidR="00EB29AF">
          <w:rPr>
            <w:rStyle w:val="Hyperlink"/>
            <w:sz w:val="24"/>
          </w:rPr>
          <w:t>Business and Financial Operations Occupations</w:t>
        </w:r>
      </w:hyperlink>
      <w:r w:rsidRPr="00832126" w:rsidR="00EB29AF">
        <w:rPr>
          <w:sz w:val="24"/>
        </w:rPr>
        <w:t xml:space="preserve"> ($3</w:t>
      </w:r>
      <w:r w:rsidR="00806767">
        <w:rPr>
          <w:sz w:val="24"/>
        </w:rPr>
        <w:t>6.98</w:t>
      </w:r>
      <w:r w:rsidRPr="00832126" w:rsidR="00EB29AF">
        <w:rPr>
          <w:sz w:val="24"/>
        </w:rPr>
        <w:t>)</w:t>
      </w:r>
    </w:p>
    <w:p w:rsidRPr="00832126" w:rsidR="00EB29AF" w:rsidP="00EB29AF" w:rsidRDefault="00DB40EB" w14:paraId="17874A64" w14:textId="7ACA148A">
      <w:pPr>
        <w:pStyle w:val="ListParagraph"/>
        <w:widowControl/>
        <w:numPr>
          <w:ilvl w:val="0"/>
          <w:numId w:val="17"/>
        </w:numPr>
        <w:rPr>
          <w:sz w:val="24"/>
        </w:rPr>
      </w:pPr>
      <w:hyperlink w:history="1" r:id="rId25">
        <w:r w:rsidRPr="00832126" w:rsidR="00EB29AF">
          <w:rPr>
            <w:rStyle w:val="Hyperlink"/>
            <w:sz w:val="24"/>
          </w:rPr>
          <w:t>Healthcare Practitioners and Technical Occupations</w:t>
        </w:r>
      </w:hyperlink>
      <w:r w:rsidRPr="00832126" w:rsidR="00EB29AF">
        <w:rPr>
          <w:sz w:val="24"/>
        </w:rPr>
        <w:t xml:space="preserve"> ($3</w:t>
      </w:r>
      <w:r w:rsidR="00806767">
        <w:rPr>
          <w:sz w:val="24"/>
        </w:rPr>
        <w:t>9.42</w:t>
      </w:r>
      <w:r w:rsidRPr="00832126" w:rsidR="00EB29AF">
        <w:rPr>
          <w:sz w:val="24"/>
        </w:rPr>
        <w:t>)</w:t>
      </w:r>
    </w:p>
    <w:p w:rsidRPr="00832126" w:rsidR="00EB29AF" w:rsidP="00EB29AF" w:rsidRDefault="00DB40EB" w14:paraId="3C3DAE6D" w14:textId="3582FB7A">
      <w:pPr>
        <w:pStyle w:val="ListParagraph"/>
        <w:widowControl/>
        <w:numPr>
          <w:ilvl w:val="0"/>
          <w:numId w:val="17"/>
        </w:numPr>
        <w:rPr>
          <w:sz w:val="24"/>
        </w:rPr>
      </w:pPr>
      <w:hyperlink w:history="1" r:id="rId26">
        <w:r w:rsidRPr="00832126" w:rsidR="00EB29AF">
          <w:rPr>
            <w:rStyle w:val="Hyperlink"/>
            <w:sz w:val="24"/>
          </w:rPr>
          <w:t>Administrative Services Managers</w:t>
        </w:r>
      </w:hyperlink>
      <w:r w:rsidRPr="00832126" w:rsidR="00EB29AF">
        <w:rPr>
          <w:sz w:val="24"/>
        </w:rPr>
        <w:t xml:space="preserve"> ($4</w:t>
      </w:r>
      <w:r w:rsidR="00806767">
        <w:rPr>
          <w:sz w:val="24"/>
        </w:rPr>
        <w:t>6.24</w:t>
      </w:r>
      <w:r w:rsidRPr="00832126" w:rsidR="00EB29AF">
        <w:rPr>
          <w:sz w:val="24"/>
        </w:rPr>
        <w:t>)</w:t>
      </w:r>
    </w:p>
    <w:p w:rsidRPr="00832126" w:rsidR="00EB29AF" w:rsidP="00EB29AF" w:rsidRDefault="00DB40EB" w14:paraId="25596C1B" w14:textId="7CF64F35">
      <w:pPr>
        <w:pStyle w:val="ListParagraph"/>
        <w:widowControl/>
        <w:numPr>
          <w:ilvl w:val="0"/>
          <w:numId w:val="17"/>
        </w:numPr>
        <w:rPr>
          <w:sz w:val="24"/>
        </w:rPr>
      </w:pPr>
      <w:hyperlink w:history="1" r:id="rId27">
        <w:r w:rsidRPr="00832126" w:rsidR="00EB29AF">
          <w:rPr>
            <w:rStyle w:val="Hyperlink"/>
            <w:sz w:val="24"/>
          </w:rPr>
          <w:t>Management Occupations</w:t>
        </w:r>
      </w:hyperlink>
      <w:r w:rsidRPr="00832126" w:rsidR="00EB29AF">
        <w:rPr>
          <w:sz w:val="24"/>
        </w:rPr>
        <w:t xml:space="preserve"> ($5</w:t>
      </w:r>
      <w:r w:rsidR="00806767">
        <w:rPr>
          <w:sz w:val="24"/>
        </w:rPr>
        <w:t>8.44</w:t>
      </w:r>
      <w:r w:rsidRPr="00832126" w:rsidR="00EB29AF">
        <w:rPr>
          <w:sz w:val="24"/>
        </w:rPr>
        <w:t>)</w:t>
      </w:r>
    </w:p>
    <w:p w:rsidRPr="00787D96" w:rsidR="00EB29AF" w:rsidP="00EB29AF" w:rsidRDefault="00EB29AF" w14:paraId="72951FD9" w14:textId="77777777">
      <w:pPr>
        <w:widowControl/>
        <w:ind w:left="360"/>
        <w:rPr>
          <w:sz w:val="24"/>
        </w:rPr>
      </w:pPr>
    </w:p>
    <w:p w:rsidRPr="009F4451" w:rsidR="00EB29AF" w:rsidP="00EB29AF" w:rsidRDefault="00EB29AF" w14:paraId="5DF3B214" w14:textId="2DA344E1">
      <w:pPr>
        <w:widowControl/>
        <w:rPr>
          <w:sz w:val="24"/>
        </w:rPr>
      </w:pPr>
      <w:bookmarkStart w:name="Table9CostBurden" w:id="91"/>
      <w:bookmarkStart w:name="Table7CostBurden" w:id="92"/>
      <w:r>
        <w:rPr>
          <w:sz w:val="24"/>
        </w:rPr>
        <w:t xml:space="preserve">Attesting entities will likely utilize varying levels of professionals to complete </w:t>
      </w:r>
      <w:r w:rsidRPr="00787D96">
        <w:rPr>
          <w:sz w:val="24"/>
        </w:rPr>
        <w:t xml:space="preserve">the </w:t>
      </w:r>
      <w:r w:rsidR="00D31419">
        <w:rPr>
          <w:sz w:val="24"/>
        </w:rPr>
        <w:t>Attestation process</w:t>
      </w:r>
      <w:r w:rsidR="00B7053A">
        <w:rPr>
          <w:sz w:val="24"/>
        </w:rPr>
        <w:t xml:space="preserve">.  </w:t>
      </w:r>
      <w:r>
        <w:rPr>
          <w:sz w:val="24"/>
        </w:rPr>
        <w:t>In order to provide an adequate estimated annualized cost burden, t</w:t>
      </w:r>
      <w:r w:rsidRPr="00787D96">
        <w:rPr>
          <w:sz w:val="24"/>
        </w:rPr>
        <w:t>he highest occupational rate (Management Occupations $5</w:t>
      </w:r>
      <w:r w:rsidR="00806767">
        <w:rPr>
          <w:sz w:val="24"/>
        </w:rPr>
        <w:t>8.44</w:t>
      </w:r>
      <w:r w:rsidRPr="00787D96">
        <w:rPr>
          <w:sz w:val="24"/>
        </w:rPr>
        <w:t xml:space="preserve">) was </w:t>
      </w:r>
      <w:r>
        <w:rPr>
          <w:sz w:val="24"/>
        </w:rPr>
        <w:t>selected</w:t>
      </w:r>
      <w:r w:rsidRPr="00787D96">
        <w:rPr>
          <w:sz w:val="24"/>
        </w:rPr>
        <w:t xml:space="preserve"> </w:t>
      </w:r>
      <w:r>
        <w:rPr>
          <w:sz w:val="24"/>
        </w:rPr>
        <w:t xml:space="preserve">to perform </w:t>
      </w:r>
      <w:r w:rsidRPr="00787D96">
        <w:rPr>
          <w:sz w:val="24"/>
        </w:rPr>
        <w:t>this estimate</w:t>
      </w:r>
      <w:r w:rsidR="00B7053A">
        <w:rPr>
          <w:sz w:val="24"/>
        </w:rPr>
        <w:t xml:space="preserve">.  </w:t>
      </w:r>
      <w:r w:rsidRPr="00787D96">
        <w:rPr>
          <w:sz w:val="24"/>
        </w:rPr>
        <w:t xml:space="preserve"> </w:t>
      </w:r>
      <w:r>
        <w:rPr>
          <w:sz w:val="24"/>
        </w:rPr>
        <w:br/>
      </w:r>
    </w:p>
    <w:p w:rsidRPr="00787D96" w:rsidR="00EB29AF" w:rsidP="00EB29AF" w:rsidRDefault="00EB29AF" w14:paraId="690398FB" w14:textId="77777777">
      <w:pPr>
        <w:widowControl/>
        <w:rPr>
          <w:sz w:val="24"/>
        </w:rPr>
      </w:pPr>
      <w:r w:rsidRPr="00787D96">
        <w:rPr>
          <w:b/>
          <w:sz w:val="24"/>
        </w:rPr>
        <w:t xml:space="preserve">Table </w:t>
      </w:r>
      <w:bookmarkEnd w:id="91"/>
      <w:bookmarkEnd w:id="92"/>
      <w:r w:rsidRPr="00787D96">
        <w:rPr>
          <w:b/>
          <w:sz w:val="24"/>
        </w:rPr>
        <w:t>3:</w:t>
      </w:r>
      <w:r w:rsidRPr="00787D96">
        <w:rPr>
          <w:sz w:val="24"/>
        </w:rPr>
        <w:t xml:space="preserve"> </w:t>
      </w:r>
      <w:r w:rsidRPr="00787D96">
        <w:rPr>
          <w:b/>
          <w:sz w:val="24"/>
        </w:rPr>
        <w:t>Estimated Annualized Cost Burden</w:t>
      </w:r>
    </w:p>
    <w:p w:rsidR="00FD0B7B" w:rsidP="00EB29AF" w:rsidRDefault="00FD0B7B" w14:paraId="1E8B20C1" w14:textId="77777777">
      <w:pPr>
        <w:pStyle w:val="frn"/>
        <w:numPr>
          <w:ilvl w:val="0"/>
          <w:numId w:val="0"/>
        </w:numPr>
        <w:spacing w:before="0"/>
        <w:ind w:left="1080"/>
        <w:outlineLvl w:val="0"/>
      </w:pPr>
    </w:p>
    <w:tbl>
      <w:tblPr>
        <w:tblStyle w:val="TableGrid"/>
        <w:tblW w:w="9000" w:type="dxa"/>
        <w:tblInd w:w="108" w:type="dxa"/>
        <w:tblLook w:val="04A0" w:firstRow="1" w:lastRow="0" w:firstColumn="1" w:lastColumn="0" w:noHBand="0" w:noVBand="1"/>
      </w:tblPr>
      <w:tblGrid>
        <w:gridCol w:w="1620"/>
        <w:gridCol w:w="2134"/>
        <w:gridCol w:w="1466"/>
        <w:gridCol w:w="1530"/>
        <w:gridCol w:w="2250"/>
      </w:tblGrid>
      <w:tr w:rsidRPr="00787D96" w:rsidR="009601D5" w:rsidTr="00DB40EB" w14:paraId="4FD56B48" w14:textId="77777777">
        <w:trPr>
          <w:trHeight w:val="287"/>
          <w:tblHeader/>
        </w:trPr>
        <w:tc>
          <w:tcPr>
            <w:tcW w:w="1620" w:type="dxa"/>
            <w:shd w:val="clear" w:color="auto" w:fill="BFBFBF" w:themeFill="background1" w:themeFillShade="BF"/>
            <w:noWrap/>
            <w:vAlign w:val="bottom"/>
            <w:hideMark/>
          </w:tcPr>
          <w:p w:rsidRPr="00FA60D7" w:rsidR="00EB29AF" w:rsidP="00D80EC5" w:rsidRDefault="00EB29AF" w14:paraId="4A10C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A60D7">
              <w:rPr>
                <w:b/>
              </w:rPr>
              <w:t>Respondent</w:t>
            </w:r>
          </w:p>
        </w:tc>
        <w:tc>
          <w:tcPr>
            <w:tcW w:w="2134" w:type="dxa"/>
            <w:shd w:val="clear" w:color="auto" w:fill="BFBFBF" w:themeFill="background1" w:themeFillShade="BF"/>
            <w:noWrap/>
            <w:vAlign w:val="bottom"/>
            <w:hideMark/>
          </w:tcPr>
          <w:p w:rsidRPr="00FA60D7" w:rsidR="00EB29AF" w:rsidP="00D80EC5" w:rsidRDefault="00EB29AF" w14:paraId="01D73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FA60D7">
              <w:rPr>
                <w:b/>
              </w:rPr>
              <w:t>Form Name</w:t>
            </w:r>
          </w:p>
        </w:tc>
        <w:tc>
          <w:tcPr>
            <w:tcW w:w="1466" w:type="dxa"/>
            <w:shd w:val="clear" w:color="auto" w:fill="BFBFBF" w:themeFill="background1" w:themeFillShade="BF"/>
            <w:vAlign w:val="bottom"/>
          </w:tcPr>
          <w:p w:rsidRPr="00FA60D7" w:rsidR="00EB29AF" w:rsidP="00D80EC5" w:rsidRDefault="00EB29AF" w14:paraId="37F85E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FA60D7">
              <w:rPr>
                <w:b/>
              </w:rPr>
              <w:t>Total Burden Hours</w:t>
            </w:r>
          </w:p>
        </w:tc>
        <w:tc>
          <w:tcPr>
            <w:tcW w:w="1530" w:type="dxa"/>
            <w:shd w:val="clear" w:color="auto" w:fill="BFBFBF" w:themeFill="background1" w:themeFillShade="BF"/>
            <w:vAlign w:val="bottom"/>
          </w:tcPr>
          <w:p w:rsidRPr="00FA60D7" w:rsidR="00EB29AF" w:rsidP="00D80EC5" w:rsidRDefault="00EB29AF" w14:paraId="4E47D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FA60D7">
              <w:rPr>
                <w:b/>
              </w:rPr>
              <w:t>Hourly Wage Rate</w:t>
            </w:r>
          </w:p>
        </w:tc>
        <w:tc>
          <w:tcPr>
            <w:tcW w:w="2250" w:type="dxa"/>
            <w:shd w:val="clear" w:color="auto" w:fill="BFBFBF" w:themeFill="background1" w:themeFillShade="BF"/>
            <w:vAlign w:val="bottom"/>
          </w:tcPr>
          <w:p w:rsidRPr="00FA60D7" w:rsidR="00EB29AF" w:rsidP="00D80EC5" w:rsidRDefault="00EB29AF" w14:paraId="35E29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FA60D7">
              <w:rPr>
                <w:b/>
              </w:rPr>
              <w:t>Total Respondent Costs</w:t>
            </w:r>
          </w:p>
        </w:tc>
      </w:tr>
      <w:tr w:rsidRPr="00787D96" w:rsidR="009601D5" w:rsidTr="00FA60D7" w14:paraId="7204ADE3" w14:textId="77777777">
        <w:trPr>
          <w:trHeight w:val="881"/>
        </w:trPr>
        <w:tc>
          <w:tcPr>
            <w:tcW w:w="1620" w:type="dxa"/>
            <w:vMerge w:val="restart"/>
            <w:vAlign w:val="center"/>
            <w:hideMark/>
          </w:tcPr>
          <w:p w:rsidRPr="00FA60D7" w:rsidR="00EB29AF" w:rsidP="00D80EC5" w:rsidRDefault="00EB29AF" w14:paraId="49817D9A" w14:textId="77777777">
            <w:pPr>
              <w:rPr>
                <w:sz w:val="22"/>
              </w:rPr>
            </w:pPr>
            <w:r w:rsidRPr="00FA60D7">
              <w:rPr>
                <w:sz w:val="22"/>
              </w:rPr>
              <w:t>Management Occupations</w:t>
            </w:r>
          </w:p>
        </w:tc>
        <w:tc>
          <w:tcPr>
            <w:tcW w:w="2134" w:type="dxa"/>
            <w:tcBorders>
              <w:bottom w:val="single" w:color="auto" w:sz="4" w:space="0"/>
            </w:tcBorders>
            <w:vAlign w:val="center"/>
            <w:hideMark/>
          </w:tcPr>
          <w:p w:rsidRPr="00FA60D7" w:rsidR="00EB29AF" w:rsidP="00D80EC5" w:rsidRDefault="00FD0B7B" w14:paraId="07BC4BA0" w14:textId="7495C9E8">
            <w:pPr>
              <w:rPr>
                <w:sz w:val="22"/>
              </w:rPr>
            </w:pPr>
            <w:r w:rsidRPr="00624843">
              <w:t xml:space="preserve">Agent Attestation </w:t>
            </w:r>
          </w:p>
        </w:tc>
        <w:tc>
          <w:tcPr>
            <w:tcW w:w="1466" w:type="dxa"/>
            <w:vAlign w:val="center"/>
          </w:tcPr>
          <w:p w:rsidRPr="00624843" w:rsidR="00FD0B7B" w:rsidP="00524FE5" w:rsidRDefault="00FD0B7B" w14:paraId="3A0B8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Pr="00FA60D7" w:rsidR="00EB29AF" w:rsidP="00D80EC5" w:rsidRDefault="00FD0B7B" w14:paraId="5DADE1F6" w14:textId="316FB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r w:rsidRPr="00624843">
              <w:t>3</w:t>
            </w:r>
            <w:r w:rsidR="00834A48">
              <w:t>50</w:t>
            </w:r>
          </w:p>
        </w:tc>
        <w:tc>
          <w:tcPr>
            <w:tcW w:w="1530" w:type="dxa"/>
            <w:vMerge w:val="restart"/>
            <w:noWrap/>
            <w:vAlign w:val="center"/>
          </w:tcPr>
          <w:p w:rsidRPr="00624843" w:rsidR="00FD0B7B" w:rsidP="00524FE5" w:rsidRDefault="00FD0B7B" w14:paraId="6EC26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Pr="00624843" w:rsidR="00FD0B7B" w:rsidP="00524FE5" w:rsidRDefault="00FD0B7B" w14:paraId="33553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Pr="00624843" w:rsidR="00FD0B7B" w:rsidP="00524FE5" w:rsidRDefault="00FD0B7B" w14:paraId="68728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24843">
              <w:t>$58.44</w:t>
            </w:r>
          </w:p>
          <w:p w:rsidRPr="00624843" w:rsidR="00FD0B7B" w:rsidP="00524FE5" w:rsidRDefault="00FD0B7B" w14:paraId="0DDE6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Pr="00FA60D7" w:rsidR="00EB29AF" w:rsidP="00D80EC5" w:rsidRDefault="00EB29AF" w14:paraId="72C273FB" w14:textId="255E3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p>
        </w:tc>
        <w:tc>
          <w:tcPr>
            <w:tcW w:w="2250" w:type="dxa"/>
            <w:vMerge w:val="restart"/>
            <w:noWrap/>
            <w:vAlign w:val="center"/>
          </w:tcPr>
          <w:p w:rsidRPr="00624843" w:rsidR="00FD0B7B" w:rsidP="00524FE5" w:rsidRDefault="00FD0B7B" w14:paraId="27191C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Pr="00624843" w:rsidR="00FD0B7B" w:rsidP="00524FE5" w:rsidRDefault="00FD0B7B" w14:paraId="096B66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24843">
              <w:t>$</w:t>
            </w:r>
            <w:r w:rsidR="00834A48">
              <w:t>6</w:t>
            </w:r>
            <w:r w:rsidR="000A09B6">
              <w:t>77</w:t>
            </w:r>
            <w:r w:rsidR="00834A48">
              <w:t>,</w:t>
            </w:r>
            <w:r w:rsidR="000A09B6">
              <w:t>904</w:t>
            </w:r>
            <w:r w:rsidR="00834A48">
              <w:t>.00</w:t>
            </w:r>
          </w:p>
          <w:p w:rsidRPr="00FA60D7" w:rsidR="00EB29AF" w:rsidP="00D80EC5" w:rsidRDefault="00EB29AF" w14:paraId="28E84751" w14:textId="29802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r>
      <w:tr w:rsidRPr="00624843" w:rsidR="007B3986" w:rsidTr="00524FE5" w14:paraId="71E7BB93" w14:textId="77777777">
        <w:trPr>
          <w:trHeight w:val="337"/>
        </w:trPr>
        <w:tc>
          <w:tcPr>
            <w:tcW w:w="1620" w:type="dxa"/>
            <w:vMerge/>
            <w:vAlign w:val="center"/>
          </w:tcPr>
          <w:p w:rsidRPr="00624843" w:rsidR="007B3986" w:rsidP="00524FE5" w:rsidRDefault="007B3986" w14:paraId="785120DF" w14:textId="77777777">
            <w:pPr>
              <w:rPr>
                <w:bCs/>
              </w:rPr>
            </w:pPr>
          </w:p>
        </w:tc>
        <w:tc>
          <w:tcPr>
            <w:tcW w:w="2134" w:type="dxa"/>
            <w:tcBorders>
              <w:bottom w:val="single" w:color="auto" w:sz="4" w:space="0"/>
            </w:tcBorders>
            <w:vAlign w:val="center"/>
          </w:tcPr>
          <w:p w:rsidRPr="00624843" w:rsidR="007B3986" w:rsidP="00524FE5" w:rsidRDefault="007B3986" w14:paraId="5B66FE66" w14:textId="77777777">
            <w:r>
              <w:t>Health Center Attestation</w:t>
            </w:r>
          </w:p>
        </w:tc>
        <w:tc>
          <w:tcPr>
            <w:tcW w:w="1466" w:type="dxa"/>
            <w:vAlign w:val="center"/>
          </w:tcPr>
          <w:p w:rsidRPr="00624843" w:rsidR="007B3986" w:rsidP="00524FE5" w:rsidRDefault="00834A48" w14:paraId="193A8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650</w:t>
            </w:r>
          </w:p>
        </w:tc>
        <w:tc>
          <w:tcPr>
            <w:tcW w:w="1530" w:type="dxa"/>
            <w:vMerge/>
            <w:noWrap/>
            <w:vAlign w:val="center"/>
          </w:tcPr>
          <w:p w:rsidRPr="00624843" w:rsidR="007B3986" w:rsidP="00524FE5" w:rsidRDefault="007B3986" w14:paraId="75043A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2250" w:type="dxa"/>
            <w:vMerge/>
            <w:noWrap/>
            <w:vAlign w:val="center"/>
          </w:tcPr>
          <w:p w:rsidRPr="00624843" w:rsidR="007B3986" w:rsidP="00524FE5" w:rsidRDefault="007B3986" w14:paraId="3E4ED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r>
      <w:tr w:rsidRPr="00624843" w:rsidR="00FD0B7B" w:rsidTr="00524FE5" w14:paraId="6EFF455E" w14:textId="77777777">
        <w:trPr>
          <w:trHeight w:val="337"/>
        </w:trPr>
        <w:tc>
          <w:tcPr>
            <w:tcW w:w="1620" w:type="dxa"/>
            <w:vMerge/>
            <w:vAlign w:val="center"/>
          </w:tcPr>
          <w:p w:rsidRPr="00624843" w:rsidR="00FD0B7B" w:rsidP="00524FE5" w:rsidRDefault="00FD0B7B" w14:paraId="6213E9CA" w14:textId="77777777">
            <w:pPr>
              <w:rPr>
                <w:bCs/>
              </w:rPr>
            </w:pPr>
          </w:p>
        </w:tc>
        <w:tc>
          <w:tcPr>
            <w:tcW w:w="2134" w:type="dxa"/>
            <w:tcBorders>
              <w:bottom w:val="single" w:color="auto" w:sz="4" w:space="0"/>
            </w:tcBorders>
            <w:vAlign w:val="center"/>
          </w:tcPr>
          <w:p w:rsidRPr="00624843" w:rsidR="00FD0B7B" w:rsidP="00524FE5" w:rsidRDefault="00FD0B7B" w14:paraId="30FCE019" w14:textId="77777777">
            <w:r w:rsidRPr="00624843">
              <w:t xml:space="preserve">Hospital Attestation </w:t>
            </w:r>
          </w:p>
        </w:tc>
        <w:tc>
          <w:tcPr>
            <w:tcW w:w="1466" w:type="dxa"/>
            <w:vAlign w:val="center"/>
          </w:tcPr>
          <w:p w:rsidRPr="00624843" w:rsidR="00FD0B7B" w:rsidP="00524FE5" w:rsidRDefault="00FD0B7B" w14:paraId="702DE0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624843">
              <w:t>3</w:t>
            </w:r>
            <w:r w:rsidR="00834A48">
              <w:t>,250</w:t>
            </w:r>
          </w:p>
        </w:tc>
        <w:tc>
          <w:tcPr>
            <w:tcW w:w="1530" w:type="dxa"/>
            <w:vMerge/>
            <w:noWrap/>
            <w:vAlign w:val="center"/>
          </w:tcPr>
          <w:p w:rsidRPr="00624843" w:rsidR="00FD0B7B" w:rsidP="00524FE5" w:rsidRDefault="00FD0B7B" w14:paraId="2B019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2250" w:type="dxa"/>
            <w:vMerge/>
            <w:noWrap/>
            <w:vAlign w:val="center"/>
          </w:tcPr>
          <w:p w:rsidRPr="00624843" w:rsidR="00FD0B7B" w:rsidP="00524FE5" w:rsidRDefault="00FD0B7B" w14:paraId="76492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r>
      <w:tr w:rsidRPr="00787D96" w:rsidR="009601D5" w:rsidTr="004D3B51" w14:paraId="3D3D9F20" w14:textId="77777777">
        <w:trPr>
          <w:trHeight w:val="337"/>
        </w:trPr>
        <w:tc>
          <w:tcPr>
            <w:tcW w:w="1620" w:type="dxa"/>
            <w:vMerge/>
            <w:vAlign w:val="center"/>
          </w:tcPr>
          <w:p w:rsidRPr="004D3B51" w:rsidR="00EB29AF" w:rsidP="00D80EC5" w:rsidRDefault="00EB29AF" w14:paraId="388FD7E6" w14:textId="77777777">
            <w:pPr>
              <w:rPr>
                <w:sz w:val="22"/>
              </w:rPr>
            </w:pPr>
          </w:p>
        </w:tc>
        <w:tc>
          <w:tcPr>
            <w:tcW w:w="2134" w:type="dxa"/>
            <w:tcBorders>
              <w:bottom w:val="single" w:color="auto" w:sz="4" w:space="0"/>
            </w:tcBorders>
            <w:vAlign w:val="center"/>
          </w:tcPr>
          <w:p w:rsidRPr="00FA60D7" w:rsidR="00334404" w:rsidP="00FA60D7" w:rsidRDefault="00334404" w14:paraId="4B0FF8CB" w14:textId="66FEF5CD">
            <w:r w:rsidRPr="00FA60D7">
              <w:t xml:space="preserve">Medical Malpractice </w:t>
            </w:r>
            <w:r w:rsidRPr="00624843" w:rsidR="00FD0B7B">
              <w:t>Payer Attestation</w:t>
            </w:r>
            <w:r w:rsidR="009E5A9C">
              <w:t xml:space="preserve">, </w:t>
            </w:r>
            <w:r w:rsidRPr="00624843" w:rsidR="00FD0B7B">
              <w:t xml:space="preserve"> </w:t>
            </w:r>
            <w:r w:rsidRPr="009E5A9C" w:rsidR="009E5A9C">
              <w:rPr>
                <w:sz w:val="18"/>
                <w:szCs w:val="18"/>
              </w:rPr>
              <w:t xml:space="preserve">Peer Review Organizations, </w:t>
            </w:r>
            <w:r w:rsidR="009E5A9C">
              <w:rPr>
                <w:sz w:val="18"/>
                <w:szCs w:val="18"/>
              </w:rPr>
              <w:t xml:space="preserve">or </w:t>
            </w:r>
            <w:r w:rsidRPr="009E5A9C" w:rsidR="009E5A9C">
              <w:rPr>
                <w:sz w:val="18"/>
                <w:szCs w:val="18"/>
              </w:rPr>
              <w:t>Private Accreditation Organizations</w:t>
            </w:r>
          </w:p>
        </w:tc>
        <w:tc>
          <w:tcPr>
            <w:tcW w:w="1466" w:type="dxa"/>
            <w:vAlign w:val="center"/>
          </w:tcPr>
          <w:p w:rsidRPr="00FA60D7" w:rsidR="00EB29AF" w:rsidP="00D80EC5" w:rsidRDefault="00834A48" w14:paraId="3EC85D70" w14:textId="5E28A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r>
              <w:t>2</w:t>
            </w:r>
            <w:r w:rsidR="000A09B6">
              <w:t>5</w:t>
            </w:r>
            <w:r>
              <w:t>0</w:t>
            </w:r>
          </w:p>
        </w:tc>
        <w:tc>
          <w:tcPr>
            <w:tcW w:w="1530" w:type="dxa"/>
            <w:vMerge/>
            <w:noWrap/>
            <w:vAlign w:val="center"/>
          </w:tcPr>
          <w:p w:rsidRPr="004D3B51" w:rsidR="00EB29AF" w:rsidP="00D80EC5" w:rsidRDefault="00EB29AF" w14:paraId="27B5556D" w14:textId="57B07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p>
        </w:tc>
        <w:tc>
          <w:tcPr>
            <w:tcW w:w="2250" w:type="dxa"/>
            <w:vMerge/>
            <w:noWrap/>
            <w:vAlign w:val="center"/>
          </w:tcPr>
          <w:p w:rsidRPr="004D3B51" w:rsidR="00EB29AF" w:rsidP="00D80EC5" w:rsidRDefault="00EB29AF" w14:paraId="729AF1DD" w14:textId="28EB24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p>
        </w:tc>
      </w:tr>
      <w:tr w:rsidRPr="00624843" w:rsidR="00FD0B7B" w:rsidTr="00524FE5" w14:paraId="22535CDC" w14:textId="77777777">
        <w:trPr>
          <w:trHeight w:val="337"/>
        </w:trPr>
        <w:tc>
          <w:tcPr>
            <w:tcW w:w="1620" w:type="dxa"/>
            <w:vMerge/>
            <w:vAlign w:val="center"/>
          </w:tcPr>
          <w:p w:rsidRPr="00624843" w:rsidR="00FD0B7B" w:rsidP="00524FE5" w:rsidRDefault="00FD0B7B" w14:paraId="3624DBB7" w14:textId="77777777">
            <w:pPr>
              <w:rPr>
                <w:bCs/>
              </w:rPr>
            </w:pPr>
          </w:p>
        </w:tc>
        <w:tc>
          <w:tcPr>
            <w:tcW w:w="2134" w:type="dxa"/>
            <w:tcBorders>
              <w:bottom w:val="single" w:color="auto" w:sz="4" w:space="0"/>
            </w:tcBorders>
            <w:vAlign w:val="center"/>
          </w:tcPr>
          <w:p w:rsidRPr="00624843" w:rsidR="00FD0B7B" w:rsidP="00524FE5" w:rsidRDefault="006D4C5F" w14:paraId="3F0DDDDD" w14:textId="77777777">
            <w:r>
              <w:t xml:space="preserve">Other </w:t>
            </w:r>
            <w:r w:rsidR="00033394">
              <w:t xml:space="preserve">Eligible </w:t>
            </w:r>
            <w:r w:rsidR="00166FEE">
              <w:t>Entit</w:t>
            </w:r>
            <w:r w:rsidR="00033394">
              <w:t>y</w:t>
            </w:r>
            <w:r w:rsidR="00166FEE">
              <w:t xml:space="preserve"> </w:t>
            </w:r>
            <w:r w:rsidRPr="00624843" w:rsidR="00FD0B7B">
              <w:t xml:space="preserve">Attestation </w:t>
            </w:r>
          </w:p>
        </w:tc>
        <w:tc>
          <w:tcPr>
            <w:tcW w:w="1466" w:type="dxa"/>
            <w:tcBorders>
              <w:bottom w:val="single" w:color="auto" w:sz="4" w:space="0"/>
            </w:tcBorders>
            <w:vAlign w:val="center"/>
          </w:tcPr>
          <w:p w:rsidRPr="00624843" w:rsidR="00FD0B7B" w:rsidP="00524FE5" w:rsidRDefault="000A09B6" w14:paraId="12052D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7,100</w:t>
            </w:r>
          </w:p>
        </w:tc>
        <w:tc>
          <w:tcPr>
            <w:tcW w:w="1530" w:type="dxa"/>
            <w:vMerge/>
            <w:tcBorders>
              <w:bottom w:val="single" w:color="auto" w:sz="4" w:space="0"/>
            </w:tcBorders>
            <w:noWrap/>
            <w:vAlign w:val="center"/>
          </w:tcPr>
          <w:p w:rsidRPr="00624843" w:rsidR="00FD0B7B" w:rsidP="00524FE5" w:rsidRDefault="00FD0B7B" w14:paraId="6BB7BB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2250" w:type="dxa"/>
            <w:vMerge/>
            <w:tcBorders>
              <w:bottom w:val="single" w:color="auto" w:sz="4" w:space="0"/>
            </w:tcBorders>
            <w:noWrap/>
            <w:vAlign w:val="center"/>
          </w:tcPr>
          <w:p w:rsidRPr="00624843" w:rsidR="00FD0B7B" w:rsidP="00524FE5" w:rsidRDefault="00FD0B7B" w14:paraId="02AC2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r>
      <w:tr w:rsidRPr="00D06724" w:rsidR="009601D5" w:rsidTr="00710797" w14:paraId="189B4BE2" w14:textId="77777777">
        <w:trPr>
          <w:trHeight w:val="300"/>
        </w:trPr>
        <w:tc>
          <w:tcPr>
            <w:tcW w:w="1620" w:type="dxa"/>
            <w:shd w:val="clear" w:color="auto" w:fill="D9D9D9" w:themeFill="background1" w:themeFillShade="D9"/>
            <w:noWrap/>
            <w:vAlign w:val="center"/>
          </w:tcPr>
          <w:p w:rsidRPr="00FA60D7" w:rsidR="00EB29AF" w:rsidP="00D80EC5" w:rsidRDefault="00EB29AF" w14:paraId="000E6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r w:rsidRPr="00FA60D7">
              <w:rPr>
                <w:b/>
                <w:sz w:val="22"/>
              </w:rPr>
              <w:t>TOTAL</w:t>
            </w:r>
          </w:p>
        </w:tc>
        <w:tc>
          <w:tcPr>
            <w:tcW w:w="2134" w:type="dxa"/>
            <w:shd w:val="clear" w:color="auto" w:fill="D9D9D9" w:themeFill="background1" w:themeFillShade="D9"/>
            <w:noWrap/>
            <w:vAlign w:val="center"/>
          </w:tcPr>
          <w:p w:rsidRPr="00FA60D7" w:rsidR="00EB29AF" w:rsidP="00D80EC5" w:rsidRDefault="00EB29AF" w14:paraId="42C1FA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rPr>
            </w:pPr>
          </w:p>
        </w:tc>
        <w:tc>
          <w:tcPr>
            <w:tcW w:w="1466" w:type="dxa"/>
            <w:shd w:val="clear" w:color="auto" w:fill="D9D9D9" w:themeFill="background1" w:themeFillShade="D9"/>
            <w:vAlign w:val="center"/>
          </w:tcPr>
          <w:p w:rsidRPr="00FA60D7" w:rsidR="00EB29AF" w:rsidP="00D80EC5" w:rsidRDefault="00FD0B7B" w14:paraId="26BF5F5F" w14:textId="5FF35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rPr>
            </w:pPr>
            <w:r w:rsidRPr="00624843">
              <w:rPr>
                <w:b/>
              </w:rPr>
              <w:t>11</w:t>
            </w:r>
            <w:r w:rsidR="009E5A9C">
              <w:rPr>
                <w:b/>
              </w:rPr>
              <w:t>,</w:t>
            </w:r>
            <w:r w:rsidR="000A09B6">
              <w:rPr>
                <w:b/>
              </w:rPr>
              <w:t>60</w:t>
            </w:r>
            <w:r w:rsidR="00834A48">
              <w:rPr>
                <w:b/>
              </w:rPr>
              <w:t>0</w:t>
            </w:r>
          </w:p>
        </w:tc>
        <w:tc>
          <w:tcPr>
            <w:tcW w:w="1530" w:type="dxa"/>
            <w:shd w:val="clear" w:color="auto" w:fill="D9D9D9" w:themeFill="background1" w:themeFillShade="D9"/>
            <w:noWrap/>
            <w:vAlign w:val="center"/>
          </w:tcPr>
          <w:p w:rsidRPr="00FA60D7" w:rsidR="00EB29AF" w:rsidP="00D80EC5" w:rsidRDefault="00EB29AF" w14:paraId="16BA7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rPr>
            </w:pPr>
          </w:p>
        </w:tc>
        <w:tc>
          <w:tcPr>
            <w:tcW w:w="2250" w:type="dxa"/>
            <w:shd w:val="clear" w:color="auto" w:fill="D9D9D9" w:themeFill="background1" w:themeFillShade="D9"/>
            <w:noWrap/>
            <w:vAlign w:val="center"/>
          </w:tcPr>
          <w:p w:rsidRPr="00FA60D7" w:rsidR="00EB29AF" w:rsidP="00D80EC5" w:rsidRDefault="00334404" w14:paraId="0ABD3B5E" w14:textId="14720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FA60D7">
              <w:rPr>
                <w:b/>
              </w:rPr>
              <w:t>$</w:t>
            </w:r>
            <w:r w:rsidR="00834A48">
              <w:t>6</w:t>
            </w:r>
            <w:r w:rsidR="000A09B6">
              <w:t>77</w:t>
            </w:r>
            <w:r w:rsidR="00834A48">
              <w:t>,</w:t>
            </w:r>
            <w:r w:rsidR="000A09B6">
              <w:t>904</w:t>
            </w:r>
            <w:r w:rsidR="00834A48">
              <w:t>.</w:t>
            </w:r>
            <w:r w:rsidR="000A09B6">
              <w:t>0</w:t>
            </w:r>
            <w:r w:rsidR="00834A48">
              <w:t>0</w:t>
            </w:r>
          </w:p>
        </w:tc>
      </w:tr>
    </w:tbl>
    <w:p w:rsidR="00EB29AF" w:rsidP="00EB29AF" w:rsidRDefault="00EB29AF" w14:paraId="18BAE290" w14:textId="77777777">
      <w:pPr>
        <w:pStyle w:val="frn"/>
        <w:numPr>
          <w:ilvl w:val="0"/>
          <w:numId w:val="0"/>
        </w:numPr>
        <w:spacing w:before="0"/>
        <w:ind w:left="1080"/>
        <w:outlineLvl w:val="0"/>
      </w:pPr>
    </w:p>
    <w:p w:rsidR="00873808" w:rsidP="00D16BBC" w:rsidRDefault="00BB35BD" w14:paraId="54927066" w14:textId="21D95F21">
      <w:pPr>
        <w:pStyle w:val="frn"/>
        <w:spacing w:before="0"/>
        <w:outlineLvl w:val="0"/>
      </w:pPr>
      <w:r>
        <w:t>Estimates of O</w:t>
      </w:r>
      <w:r w:rsidR="00873808">
        <w:t xml:space="preserve">ther Total Annual Cost Burden to Respondents or </w:t>
      </w:r>
      <w:r w:rsidR="00867B38">
        <w:t>Record-keepers</w:t>
      </w:r>
      <w:r w:rsidR="00873808">
        <w:t>/Capital Costs</w:t>
      </w:r>
      <w:bookmarkEnd w:id="89"/>
    </w:p>
    <w:p w:rsidR="00B143EA" w:rsidP="009601D5" w:rsidRDefault="00873808" w14:paraId="10EEDAD7" w14:textId="77777777">
      <w:pPr>
        <w:widowControl/>
        <w:rPr>
          <w:sz w:val="24"/>
        </w:rPr>
      </w:pPr>
      <w:r w:rsidRPr="00EC71B6">
        <w:rPr>
          <w:sz w:val="24"/>
        </w:rPr>
        <w:br/>
      </w:r>
      <w:r w:rsidRPr="00585047" w:rsidR="009601D5">
        <w:rPr>
          <w:sz w:val="24"/>
        </w:rPr>
        <w:t>Other than their time, there is no cost to respondents.</w:t>
      </w:r>
    </w:p>
    <w:p w:rsidR="00C35385" w:rsidP="009601D5" w:rsidRDefault="00C35385" w14:paraId="364E1F28" w14:textId="78F3B4F3">
      <w:pPr>
        <w:widowControl/>
        <w:rPr>
          <w:sz w:val="24"/>
        </w:rPr>
      </w:pPr>
    </w:p>
    <w:p w:rsidR="00DB40EB" w:rsidP="009601D5" w:rsidRDefault="00DB40EB" w14:paraId="3871BE5F" w14:textId="77777777">
      <w:pPr>
        <w:widowControl/>
        <w:rPr>
          <w:sz w:val="24"/>
        </w:rPr>
      </w:pPr>
    </w:p>
    <w:p w:rsidRPr="007212C1" w:rsidR="00873808" w:rsidP="00D16BBC" w:rsidRDefault="00873808" w14:paraId="6E0E0C15" w14:textId="77777777">
      <w:pPr>
        <w:pStyle w:val="frn"/>
        <w:spacing w:before="0"/>
        <w:outlineLvl w:val="0"/>
      </w:pPr>
      <w:bookmarkStart w:name="_Toc413843501" w:id="93"/>
      <w:r>
        <w:lastRenderedPageBreak/>
        <w:t>Annualized Cost to Federal Government</w:t>
      </w:r>
      <w:bookmarkEnd w:id="93"/>
    </w:p>
    <w:p w:rsidR="00873808" w:rsidRDefault="00873808" w14:paraId="2BF277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601D5" w:rsidP="009601D5" w:rsidRDefault="00DB40EB" w14:paraId="0FE1CBEC" w14:textId="2F48CFCE">
      <w:pPr>
        <w:widowControl/>
        <w:rPr>
          <w:color w:val="000000"/>
          <w:sz w:val="24"/>
        </w:rPr>
      </w:pPr>
      <w:hyperlink w:history="1" w:anchor="Table9CostBurden">
        <w:r w:rsidRPr="00903ADE" w:rsidR="009601D5">
          <w:rPr>
            <w:rStyle w:val="Hyperlink"/>
            <w:sz w:val="24"/>
          </w:rPr>
          <w:t xml:space="preserve">Table </w:t>
        </w:r>
      </w:hyperlink>
      <w:r w:rsidR="009601D5">
        <w:rPr>
          <w:rStyle w:val="Hyperlink"/>
          <w:sz w:val="24"/>
        </w:rPr>
        <w:t>4</w:t>
      </w:r>
      <w:r w:rsidR="009601D5">
        <w:rPr>
          <w:color w:val="000000"/>
          <w:sz w:val="24"/>
        </w:rPr>
        <w:t xml:space="preserve"> details the specific items that </w:t>
      </w:r>
      <w:r w:rsidR="002A62B5">
        <w:rPr>
          <w:color w:val="000000"/>
          <w:sz w:val="24"/>
        </w:rPr>
        <w:t>are</w:t>
      </w:r>
      <w:r w:rsidR="009601D5">
        <w:rPr>
          <w:color w:val="000000"/>
          <w:sz w:val="24"/>
        </w:rPr>
        <w:t xml:space="preserve"> included in the calculation of </w:t>
      </w:r>
      <w:r w:rsidR="002A62B5">
        <w:rPr>
          <w:color w:val="000000"/>
          <w:sz w:val="24"/>
        </w:rPr>
        <w:t>the estimated annualized cost to the Federal government</w:t>
      </w:r>
      <w:r w:rsidR="00B7053A">
        <w:rPr>
          <w:color w:val="000000"/>
          <w:sz w:val="24"/>
        </w:rPr>
        <w:t xml:space="preserve">.  </w:t>
      </w:r>
      <w:r w:rsidR="002A62B5">
        <w:rPr>
          <w:color w:val="000000"/>
          <w:sz w:val="24"/>
        </w:rPr>
        <w:t xml:space="preserve"> </w:t>
      </w:r>
      <w:r w:rsidR="009601D5">
        <w:rPr>
          <w:color w:val="000000"/>
          <w:sz w:val="24"/>
        </w:rPr>
        <w:t xml:space="preserve"> </w:t>
      </w:r>
    </w:p>
    <w:p w:rsidR="009601D5" w:rsidP="009601D5" w:rsidRDefault="009601D5" w14:paraId="6458D2D5" w14:textId="77777777">
      <w:pPr>
        <w:widowControl/>
        <w:rPr>
          <w:b/>
          <w:sz w:val="24"/>
        </w:rPr>
      </w:pPr>
    </w:p>
    <w:p w:rsidR="009601D5" w:rsidP="009601D5" w:rsidRDefault="009601D5" w14:paraId="3E9D14C3" w14:textId="58C1ABF3">
      <w:pPr>
        <w:widowControl/>
        <w:rPr>
          <w:b/>
          <w:sz w:val="24"/>
        </w:rPr>
      </w:pPr>
      <w:r w:rsidRPr="008E5137">
        <w:rPr>
          <w:b/>
          <w:sz w:val="24"/>
        </w:rPr>
        <w:t>Table 4</w:t>
      </w:r>
      <w:r w:rsidRPr="009B2E8B">
        <w:rPr>
          <w:b/>
          <w:sz w:val="24"/>
        </w:rPr>
        <w:t>:</w:t>
      </w:r>
      <w:r>
        <w:rPr>
          <w:sz w:val="24"/>
        </w:rPr>
        <w:t xml:space="preserve"> </w:t>
      </w:r>
      <w:r>
        <w:rPr>
          <w:b/>
          <w:sz w:val="24"/>
        </w:rPr>
        <w:t>Estimated Annualized Cost to Federal Government</w:t>
      </w:r>
    </w:p>
    <w:p w:rsidR="00DB40EB" w:rsidP="009601D5" w:rsidRDefault="00DB40EB" w14:paraId="18EE5F86" w14:textId="77777777">
      <w:pPr>
        <w:widowControl/>
        <w:rPr>
          <w:sz w:val="24"/>
        </w:rPr>
      </w:pPr>
    </w:p>
    <w:tbl>
      <w:tblPr>
        <w:tblW w:w="90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ook w:val="04A0" w:firstRow="1" w:lastRow="0" w:firstColumn="1" w:lastColumn="0" w:noHBand="0" w:noVBand="1"/>
      </w:tblPr>
      <w:tblGrid>
        <w:gridCol w:w="2535"/>
        <w:gridCol w:w="4590"/>
        <w:gridCol w:w="1890"/>
      </w:tblGrid>
      <w:tr w:rsidRPr="00E81537" w:rsidR="009601D5" w:rsidTr="00D80EC5" w14:paraId="1D2B84BA" w14:textId="77777777">
        <w:trPr>
          <w:trHeight w:val="300"/>
          <w:tblHeader/>
        </w:trPr>
        <w:tc>
          <w:tcPr>
            <w:tcW w:w="2535" w:type="dxa"/>
            <w:shd w:val="clear" w:color="000000" w:fill="A6A6A6" w:themeFill="background1" w:themeFillShade="A6"/>
            <w:noWrap/>
            <w:vAlign w:val="bottom"/>
          </w:tcPr>
          <w:p w:rsidRPr="00E81537" w:rsidR="009601D5" w:rsidP="00D80EC5" w:rsidRDefault="009601D5" w14:paraId="2B325F72" w14:textId="77777777">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000000" w:fill="A6A6A6" w:themeFill="background1" w:themeFillShade="A6"/>
            <w:noWrap/>
            <w:vAlign w:val="bottom"/>
          </w:tcPr>
          <w:p w:rsidRPr="00E81537" w:rsidR="009601D5" w:rsidP="00D80EC5" w:rsidRDefault="009601D5" w14:paraId="468473C0" w14:textId="77777777">
            <w:pPr>
              <w:widowControl/>
              <w:autoSpaceDE/>
              <w:autoSpaceDN/>
              <w:adjustRightInd/>
              <w:rPr>
                <w:b/>
                <w:color w:val="000000"/>
                <w:sz w:val="24"/>
              </w:rPr>
            </w:pPr>
            <w:r>
              <w:rPr>
                <w:b/>
                <w:color w:val="000000"/>
                <w:sz w:val="24"/>
              </w:rPr>
              <w:t>Details</w:t>
            </w:r>
          </w:p>
        </w:tc>
        <w:tc>
          <w:tcPr>
            <w:tcW w:w="1890" w:type="dxa"/>
            <w:shd w:val="clear" w:color="000000" w:fill="A6A6A6" w:themeFill="background1" w:themeFillShade="A6"/>
            <w:noWrap/>
            <w:vAlign w:val="bottom"/>
          </w:tcPr>
          <w:p w:rsidRPr="00E81537" w:rsidR="009601D5" w:rsidP="00D80EC5" w:rsidRDefault="009601D5" w14:paraId="625976B2" w14:textId="77777777">
            <w:pPr>
              <w:widowControl/>
              <w:autoSpaceDE/>
              <w:autoSpaceDN/>
              <w:adjustRightInd/>
              <w:rPr>
                <w:b/>
                <w:color w:val="000000"/>
                <w:sz w:val="24"/>
              </w:rPr>
            </w:pPr>
            <w:r>
              <w:rPr>
                <w:b/>
                <w:color w:val="000000"/>
                <w:sz w:val="24"/>
              </w:rPr>
              <w:t>Annual Value</w:t>
            </w:r>
          </w:p>
        </w:tc>
      </w:tr>
      <w:tr w:rsidRPr="00E81537" w:rsidR="009601D5" w:rsidTr="00D80EC5" w14:paraId="68C929A9" w14:textId="77777777">
        <w:trPr>
          <w:trHeight w:val="300"/>
        </w:trPr>
        <w:tc>
          <w:tcPr>
            <w:tcW w:w="2535" w:type="dxa"/>
            <w:shd w:val="clear" w:color="000000" w:fill="auto"/>
            <w:noWrap/>
            <w:hideMark/>
          </w:tcPr>
          <w:p w:rsidRPr="00A929D5" w:rsidR="009601D5" w:rsidP="00D80EC5" w:rsidRDefault="0037108A" w14:paraId="298F82ED" w14:textId="77777777">
            <w:pPr>
              <w:widowControl/>
              <w:autoSpaceDE/>
              <w:autoSpaceDN/>
              <w:adjustRightInd/>
              <w:rPr>
                <w:color w:val="000000"/>
                <w:sz w:val="24"/>
              </w:rPr>
            </w:pPr>
            <w:r>
              <w:rPr>
                <w:color w:val="000000"/>
                <w:sz w:val="24"/>
              </w:rPr>
              <w:t xml:space="preserve">The NPDB </w:t>
            </w:r>
            <w:r w:rsidRPr="00A929D5" w:rsidR="009601D5">
              <w:rPr>
                <w:color w:val="000000"/>
                <w:sz w:val="24"/>
              </w:rPr>
              <w:t xml:space="preserve"> Program Staff</w:t>
            </w:r>
          </w:p>
          <w:p w:rsidRPr="00A929D5" w:rsidR="009601D5" w:rsidP="00D80EC5" w:rsidRDefault="009601D5" w14:paraId="019E9026" w14:textId="77777777">
            <w:pPr>
              <w:widowControl/>
              <w:autoSpaceDE/>
              <w:autoSpaceDN/>
              <w:adjustRightInd/>
              <w:rPr>
                <w:color w:val="000000"/>
                <w:sz w:val="24"/>
              </w:rPr>
            </w:pPr>
          </w:p>
        </w:tc>
        <w:tc>
          <w:tcPr>
            <w:tcW w:w="4590" w:type="dxa"/>
            <w:shd w:val="clear" w:color="000000" w:fill="auto"/>
            <w:noWrap/>
            <w:hideMark/>
          </w:tcPr>
          <w:p w:rsidR="00E944FF" w:rsidP="005C641D" w:rsidRDefault="00E944FF" w14:paraId="7F6608D5" w14:textId="47E34E34">
            <w:pPr>
              <w:widowControl/>
              <w:autoSpaceDE/>
              <w:autoSpaceDN/>
              <w:adjustRightInd/>
              <w:rPr>
                <w:color w:val="000000"/>
                <w:sz w:val="24"/>
              </w:rPr>
            </w:pPr>
            <w:r>
              <w:rPr>
                <w:color w:val="000000"/>
                <w:sz w:val="24"/>
              </w:rPr>
              <w:t>27</w:t>
            </w:r>
            <w:r w:rsidRPr="00A929D5" w:rsidR="009601D5">
              <w:rPr>
                <w:color w:val="000000"/>
                <w:sz w:val="24"/>
              </w:rPr>
              <w:t xml:space="preserve"> government full-time equivalent staff involved in various aspects of support </w:t>
            </w:r>
            <w:r w:rsidR="00F1437A">
              <w:rPr>
                <w:color w:val="000000"/>
                <w:sz w:val="24"/>
              </w:rPr>
              <w:t xml:space="preserve">including </w:t>
            </w:r>
            <w:r w:rsidRPr="00A929D5" w:rsidR="009601D5">
              <w:rPr>
                <w:color w:val="000000"/>
                <w:sz w:val="24"/>
              </w:rPr>
              <w:t>contract management and oversight, IT investments, disputes, compliance, policy, and general oversight and management of DPDB operations</w:t>
            </w:r>
            <w:r w:rsidR="00B7053A">
              <w:rPr>
                <w:color w:val="000000"/>
                <w:sz w:val="24"/>
              </w:rPr>
              <w:t xml:space="preserve">.  </w:t>
            </w:r>
            <w:r w:rsidR="00894D7F">
              <w:rPr>
                <w:color w:val="000000"/>
                <w:sz w:val="24"/>
              </w:rPr>
              <w:t xml:space="preserve"> </w:t>
            </w:r>
          </w:p>
          <w:p w:rsidR="00E944FF" w:rsidP="005C641D" w:rsidRDefault="00E944FF" w14:paraId="17C33CB9" w14:textId="687EBF40">
            <w:pPr>
              <w:widowControl/>
              <w:autoSpaceDE/>
              <w:autoSpaceDN/>
              <w:adjustRightInd/>
              <w:rPr>
                <w:color w:val="000000"/>
                <w:sz w:val="24"/>
              </w:rPr>
            </w:pPr>
            <w:r>
              <w:rPr>
                <w:color w:val="000000"/>
                <w:sz w:val="24"/>
              </w:rPr>
              <w:t>($5,800,00 FY2019</w:t>
            </w:r>
            <w:r w:rsidR="00482BFC">
              <w:rPr>
                <w:color w:val="000000"/>
                <w:sz w:val="24"/>
              </w:rPr>
              <w:t xml:space="preserve"> salary expense for </w:t>
            </w:r>
            <w:r>
              <w:rPr>
                <w:color w:val="000000"/>
                <w:sz w:val="24"/>
              </w:rPr>
              <w:t>27</w:t>
            </w:r>
            <w:r w:rsidR="00482BFC">
              <w:rPr>
                <w:color w:val="000000"/>
                <w:sz w:val="24"/>
              </w:rPr>
              <w:t xml:space="preserve"> FTE @</w:t>
            </w:r>
            <w:r>
              <w:rPr>
                <w:color w:val="000000"/>
                <w:sz w:val="24"/>
              </w:rPr>
              <w:t xml:space="preserve"> </w:t>
            </w:r>
            <w:r w:rsidR="005C641D">
              <w:rPr>
                <w:color w:val="000000"/>
                <w:sz w:val="24"/>
              </w:rPr>
              <w:t>2</w:t>
            </w:r>
            <w:r w:rsidR="00482BFC">
              <w:rPr>
                <w:color w:val="000000"/>
                <w:sz w:val="24"/>
              </w:rPr>
              <w:t>5% effort)</w:t>
            </w:r>
          </w:p>
          <w:p w:rsidRPr="00A929D5" w:rsidR="009601D5" w:rsidP="005C641D" w:rsidRDefault="009601D5" w14:paraId="3B0CB14F" w14:textId="529ACD4F">
            <w:pPr>
              <w:widowControl/>
              <w:autoSpaceDE/>
              <w:autoSpaceDN/>
              <w:adjustRightInd/>
              <w:rPr>
                <w:color w:val="000000"/>
                <w:sz w:val="24"/>
              </w:rPr>
            </w:pPr>
          </w:p>
        </w:tc>
        <w:tc>
          <w:tcPr>
            <w:tcW w:w="1890" w:type="dxa"/>
            <w:shd w:val="clear" w:color="000000" w:fill="auto"/>
            <w:noWrap/>
            <w:hideMark/>
          </w:tcPr>
          <w:p w:rsidRPr="00CB6735" w:rsidR="009601D5" w:rsidP="008359F1" w:rsidRDefault="009601D5" w14:paraId="70FB03AE" w14:textId="683EF41C">
            <w:pPr>
              <w:widowControl/>
              <w:autoSpaceDE/>
              <w:autoSpaceDN/>
              <w:adjustRightInd/>
              <w:rPr>
                <w:color w:val="000000"/>
                <w:sz w:val="24"/>
              </w:rPr>
            </w:pPr>
            <w:r w:rsidRPr="00203C99">
              <w:rPr>
                <w:sz w:val="24"/>
              </w:rPr>
              <w:t>$</w:t>
            </w:r>
            <w:r w:rsidR="008359F1">
              <w:rPr>
                <w:sz w:val="24"/>
              </w:rPr>
              <w:t>1,</w:t>
            </w:r>
            <w:r w:rsidR="00E944FF">
              <w:rPr>
                <w:sz w:val="24"/>
              </w:rPr>
              <w:t>450</w:t>
            </w:r>
            <w:r w:rsidR="008359F1">
              <w:rPr>
                <w:sz w:val="24"/>
              </w:rPr>
              <w:t>,000</w:t>
            </w:r>
          </w:p>
        </w:tc>
      </w:tr>
      <w:tr w:rsidRPr="00E81537" w:rsidR="009601D5" w:rsidTr="00D80EC5" w14:paraId="4FE47BC0" w14:textId="77777777">
        <w:trPr>
          <w:trHeight w:val="300"/>
        </w:trPr>
        <w:tc>
          <w:tcPr>
            <w:tcW w:w="2535" w:type="dxa"/>
            <w:shd w:val="clear" w:color="000000" w:fill="auto"/>
            <w:noWrap/>
            <w:hideMark/>
          </w:tcPr>
          <w:p w:rsidRPr="00A929D5" w:rsidR="009601D5" w:rsidP="00D80EC5" w:rsidRDefault="0037108A" w14:paraId="0850378D" w14:textId="77777777">
            <w:pPr>
              <w:widowControl/>
              <w:autoSpaceDE/>
              <w:autoSpaceDN/>
              <w:adjustRightInd/>
              <w:rPr>
                <w:color w:val="000000"/>
                <w:sz w:val="24"/>
              </w:rPr>
            </w:pPr>
            <w:r>
              <w:rPr>
                <w:color w:val="000000"/>
                <w:sz w:val="24"/>
              </w:rPr>
              <w:t xml:space="preserve">The NPDB </w:t>
            </w:r>
            <w:r w:rsidRPr="00A929D5" w:rsidR="009601D5">
              <w:rPr>
                <w:color w:val="000000"/>
                <w:sz w:val="24"/>
              </w:rPr>
              <w:t xml:space="preserve"> Support Contract</w:t>
            </w:r>
          </w:p>
        </w:tc>
        <w:tc>
          <w:tcPr>
            <w:tcW w:w="4590" w:type="dxa"/>
            <w:shd w:val="clear" w:color="000000" w:fill="auto"/>
            <w:noWrap/>
            <w:hideMark/>
          </w:tcPr>
          <w:p w:rsidRPr="00A929D5" w:rsidR="009601D5" w:rsidP="00D80EC5" w:rsidRDefault="009601D5" w14:paraId="086FD911" w14:textId="3BE3454D">
            <w:pPr>
              <w:rPr>
                <w:color w:val="000000"/>
                <w:sz w:val="24"/>
              </w:rPr>
            </w:pPr>
            <w:r w:rsidRPr="00A929D5">
              <w:rPr>
                <w:color w:val="000000"/>
                <w:sz w:val="24"/>
              </w:rPr>
              <w:t xml:space="preserve">Support contract for the operation, maintenance, and enhancement of the NPDB IT system, customer service center, maintenance of the public </w:t>
            </w:r>
            <w:r w:rsidR="0037108A">
              <w:rPr>
                <w:color w:val="000000"/>
                <w:sz w:val="24"/>
              </w:rPr>
              <w:t xml:space="preserve">the </w:t>
            </w:r>
            <w:r w:rsidR="00680119">
              <w:rPr>
                <w:color w:val="000000"/>
                <w:sz w:val="24"/>
              </w:rPr>
              <w:t xml:space="preserve">NPDB </w:t>
            </w:r>
            <w:r w:rsidRPr="00A929D5" w:rsidR="00680119">
              <w:rPr>
                <w:color w:val="000000"/>
                <w:sz w:val="24"/>
              </w:rPr>
              <w:t>website</w:t>
            </w:r>
            <w:r w:rsidRPr="00A929D5">
              <w:rPr>
                <w:color w:val="000000"/>
                <w:sz w:val="24"/>
              </w:rPr>
              <w:t>, and related technical services.</w:t>
            </w:r>
            <w:r w:rsidR="00482BFC">
              <w:rPr>
                <w:color w:val="000000"/>
                <w:sz w:val="24"/>
              </w:rPr>
              <w:t>($</w:t>
            </w:r>
            <w:r w:rsidR="00E944FF">
              <w:rPr>
                <w:color w:val="000000"/>
                <w:sz w:val="24"/>
              </w:rPr>
              <w:t>13,3</w:t>
            </w:r>
            <w:r w:rsidRPr="00E944FF" w:rsidR="00482BFC">
              <w:rPr>
                <w:color w:val="000000"/>
                <w:sz w:val="24"/>
              </w:rPr>
              <w:t>0</w:t>
            </w:r>
            <w:r w:rsidR="00E944FF">
              <w:rPr>
                <w:color w:val="000000"/>
                <w:sz w:val="24"/>
              </w:rPr>
              <w:t>0</w:t>
            </w:r>
            <w:r w:rsidR="00894D7F">
              <w:rPr>
                <w:color w:val="000000"/>
                <w:sz w:val="24"/>
              </w:rPr>
              <w:t xml:space="preserve">,000 contract expense in </w:t>
            </w:r>
            <w:r w:rsidR="00E944FF">
              <w:rPr>
                <w:color w:val="000000"/>
                <w:sz w:val="24"/>
              </w:rPr>
              <w:t>FY2019</w:t>
            </w:r>
            <w:r w:rsidR="00482BFC">
              <w:rPr>
                <w:color w:val="000000"/>
                <w:sz w:val="24"/>
              </w:rPr>
              <w:t xml:space="preserve"> @ </w:t>
            </w:r>
            <w:r w:rsidR="005C641D">
              <w:rPr>
                <w:color w:val="000000"/>
                <w:sz w:val="24"/>
              </w:rPr>
              <w:t>1</w:t>
            </w:r>
            <w:r w:rsidR="00482BFC">
              <w:rPr>
                <w:color w:val="000000"/>
                <w:sz w:val="24"/>
              </w:rPr>
              <w:t>5% effort)</w:t>
            </w:r>
            <w:r w:rsidR="00E944FF">
              <w:rPr>
                <w:strike/>
                <w:color w:val="000000"/>
                <w:sz w:val="24"/>
              </w:rPr>
              <w:t xml:space="preserve"> </w:t>
            </w:r>
          </w:p>
        </w:tc>
        <w:tc>
          <w:tcPr>
            <w:tcW w:w="1890" w:type="dxa"/>
            <w:shd w:val="clear" w:color="000000" w:fill="auto"/>
            <w:noWrap/>
            <w:hideMark/>
          </w:tcPr>
          <w:p w:rsidRPr="00CB6735" w:rsidR="009601D5" w:rsidP="008359F1" w:rsidRDefault="009601D5" w14:paraId="45E72789" w14:textId="18E671E4">
            <w:pPr>
              <w:widowControl/>
              <w:autoSpaceDE/>
              <w:autoSpaceDN/>
              <w:adjustRightInd/>
              <w:rPr>
                <w:color w:val="000000"/>
                <w:sz w:val="24"/>
              </w:rPr>
            </w:pPr>
            <w:r w:rsidRPr="00203C99">
              <w:rPr>
                <w:color w:val="000000"/>
                <w:sz w:val="24"/>
              </w:rPr>
              <w:t>$</w:t>
            </w:r>
            <w:r w:rsidR="008359F1">
              <w:rPr>
                <w:color w:val="000000"/>
                <w:sz w:val="24"/>
              </w:rPr>
              <w:t>1,</w:t>
            </w:r>
            <w:r w:rsidR="00E944FF">
              <w:rPr>
                <w:color w:val="000000"/>
                <w:sz w:val="24"/>
              </w:rPr>
              <w:t>995</w:t>
            </w:r>
            <w:r w:rsidR="008359F1">
              <w:rPr>
                <w:color w:val="000000"/>
                <w:sz w:val="24"/>
              </w:rPr>
              <w:t>,000</w:t>
            </w:r>
            <w:r w:rsidRPr="00CB6735">
              <w:rPr>
                <w:color w:val="000000"/>
                <w:sz w:val="24"/>
              </w:rPr>
              <w:t xml:space="preserve"> </w:t>
            </w:r>
            <w:r w:rsidR="00E944FF">
              <w:rPr>
                <w:color w:val="FF0000"/>
                <w:sz w:val="24"/>
              </w:rPr>
              <w:t xml:space="preserve"> </w:t>
            </w:r>
          </w:p>
        </w:tc>
      </w:tr>
      <w:tr w:rsidRPr="00E81537" w:rsidR="009601D5" w:rsidTr="00710797" w14:paraId="41FF5D06" w14:textId="77777777">
        <w:trPr>
          <w:trHeight w:val="300"/>
        </w:trPr>
        <w:tc>
          <w:tcPr>
            <w:tcW w:w="7125" w:type="dxa"/>
            <w:gridSpan w:val="2"/>
            <w:shd w:val="clear" w:color="auto" w:fill="D9D9D9" w:themeFill="background1" w:themeFillShade="D9"/>
            <w:noWrap/>
            <w:vAlign w:val="bottom"/>
          </w:tcPr>
          <w:p w:rsidRPr="00A929D5" w:rsidR="009601D5" w:rsidP="00D80EC5" w:rsidRDefault="009601D5" w14:paraId="0B6C4B72" w14:textId="77777777">
            <w:pPr>
              <w:widowControl/>
              <w:autoSpaceDE/>
              <w:autoSpaceDN/>
              <w:adjustRightInd/>
              <w:jc w:val="right"/>
              <w:rPr>
                <w:b/>
                <w:color w:val="000000"/>
                <w:sz w:val="24"/>
              </w:rPr>
            </w:pPr>
            <w:r w:rsidRPr="00A929D5">
              <w:rPr>
                <w:b/>
                <w:color w:val="000000"/>
                <w:sz w:val="24"/>
              </w:rPr>
              <w:t>Estimated Annualized Cost to Federal Government</w:t>
            </w:r>
          </w:p>
        </w:tc>
        <w:tc>
          <w:tcPr>
            <w:tcW w:w="1890" w:type="dxa"/>
            <w:shd w:val="clear" w:color="auto" w:fill="D9D9D9" w:themeFill="background1" w:themeFillShade="D9"/>
            <w:noWrap/>
            <w:vAlign w:val="bottom"/>
          </w:tcPr>
          <w:p w:rsidRPr="00203C99" w:rsidR="009601D5" w:rsidP="008359F1" w:rsidRDefault="009601D5" w14:paraId="54970DF5" w14:textId="5BAC0647">
            <w:pPr>
              <w:widowControl/>
              <w:autoSpaceDE/>
              <w:autoSpaceDN/>
              <w:adjustRightInd/>
              <w:rPr>
                <w:b/>
                <w:color w:val="000000"/>
                <w:sz w:val="24"/>
              </w:rPr>
            </w:pPr>
            <w:r w:rsidRPr="00203C99">
              <w:rPr>
                <w:b/>
                <w:color w:val="000000"/>
                <w:sz w:val="24"/>
              </w:rPr>
              <w:t>$</w:t>
            </w:r>
            <w:r w:rsidR="008359F1">
              <w:rPr>
                <w:b/>
                <w:color w:val="000000"/>
                <w:sz w:val="24"/>
              </w:rPr>
              <w:t>3,</w:t>
            </w:r>
            <w:r w:rsidR="00E944FF">
              <w:rPr>
                <w:b/>
                <w:color w:val="000000"/>
                <w:sz w:val="24"/>
              </w:rPr>
              <w:t>445</w:t>
            </w:r>
            <w:r w:rsidR="008359F1">
              <w:rPr>
                <w:b/>
                <w:color w:val="000000"/>
                <w:sz w:val="24"/>
              </w:rPr>
              <w:t>,000</w:t>
            </w:r>
          </w:p>
        </w:tc>
      </w:tr>
    </w:tbl>
    <w:p w:rsidRPr="00BC5394" w:rsidR="00530C4D" w:rsidRDefault="00530C4D" w14:paraId="7CA09408" w14:textId="77777777">
      <w:pPr>
        <w:rPr>
          <w:color w:val="000000"/>
          <w:sz w:val="24"/>
        </w:rPr>
      </w:pPr>
    </w:p>
    <w:p w:rsidR="00873808" w:rsidP="00D16BBC" w:rsidRDefault="00873808" w14:paraId="375BE37A" w14:textId="0D05A776">
      <w:pPr>
        <w:pStyle w:val="frn"/>
        <w:spacing w:before="0"/>
        <w:outlineLvl w:val="0"/>
      </w:pPr>
      <w:bookmarkStart w:name="_Toc413843502" w:id="94"/>
      <w:r>
        <w:t>Explanation for Program Changes or Adjustments</w:t>
      </w:r>
      <w:bookmarkEnd w:id="94"/>
    </w:p>
    <w:p w:rsidR="00AB4A85" w:rsidP="00884A10" w:rsidRDefault="00AB4A85" w14:paraId="5B32A0CD" w14:textId="77777777">
      <w:pPr>
        <w:rPr>
          <w:sz w:val="24"/>
        </w:rPr>
      </w:pPr>
    </w:p>
    <w:p w:rsidRPr="00EC3C60" w:rsidR="009F07B6" w:rsidRDefault="00F310BC" w14:paraId="4E4743EA" w14:textId="4FA009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C3C60">
        <w:rPr>
          <w:sz w:val="24"/>
        </w:rPr>
        <w:t xml:space="preserve">There is an expected increase in burden from 6,735 hours to 11,600 hours due to </w:t>
      </w:r>
      <w:r w:rsidRPr="00EC3C60" w:rsidR="00EC3C60">
        <w:rPr>
          <w:iCs/>
          <w:sz w:val="24"/>
        </w:rPr>
        <w:t>t</w:t>
      </w:r>
      <w:r w:rsidRPr="00EC3C60" w:rsidR="00C44D1B">
        <w:rPr>
          <w:iCs/>
          <w:sz w:val="24"/>
        </w:rPr>
        <w:t xml:space="preserve">he Attestation effort </w:t>
      </w:r>
      <w:r w:rsidRPr="00EC3C60" w:rsidR="00EC3C60">
        <w:rPr>
          <w:iCs/>
          <w:sz w:val="24"/>
        </w:rPr>
        <w:t>expanding</w:t>
      </w:r>
      <w:r w:rsidRPr="00EC3C60" w:rsidR="00C44D1B">
        <w:rPr>
          <w:iCs/>
          <w:sz w:val="24"/>
        </w:rPr>
        <w:t xml:space="preserve"> to all entities who are registered with the NPDB.</w:t>
      </w:r>
    </w:p>
    <w:p w:rsidRPr="00EC3C60" w:rsidR="00F310BC" w:rsidRDefault="00F310BC" w14:paraId="1BD303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C5821" w:rsidR="00873808" w:rsidP="00D16BBC" w:rsidRDefault="00873808" w14:paraId="1F053616" w14:textId="77777777">
      <w:pPr>
        <w:pStyle w:val="frn"/>
        <w:spacing w:before="0"/>
        <w:outlineLvl w:val="0"/>
      </w:pPr>
      <w:bookmarkStart w:name="_Toc408317406" w:id="95"/>
      <w:bookmarkStart w:name="_Toc408319918" w:id="96"/>
      <w:bookmarkStart w:name="_Toc408317407" w:id="97"/>
      <w:bookmarkStart w:name="_Toc408319919" w:id="98"/>
      <w:bookmarkStart w:name="_Toc413843503" w:id="99"/>
      <w:bookmarkEnd w:id="95"/>
      <w:bookmarkEnd w:id="96"/>
      <w:bookmarkEnd w:id="97"/>
      <w:bookmarkEnd w:id="98"/>
      <w:r w:rsidRPr="004C5821">
        <w:t>Plans for Tabulation, Publication, and Project Time Schedule</w:t>
      </w:r>
      <w:bookmarkEnd w:id="99"/>
    </w:p>
    <w:p w:rsidRPr="004C5821" w:rsidR="00873808" w:rsidRDefault="00873808" w14:paraId="25F8A7CF" w14:textId="77777777">
      <w:pPr>
        <w:widowControl/>
        <w:rPr>
          <w:sz w:val="24"/>
        </w:rPr>
      </w:pPr>
    </w:p>
    <w:p w:rsidR="002D726A" w:rsidP="00F65E45" w:rsidRDefault="002D726A" w14:paraId="4F4A846B" w14:textId="752B93D2">
      <w:pPr>
        <w:widowControl/>
        <w:rPr>
          <w:sz w:val="24"/>
        </w:rPr>
      </w:pPr>
      <w:r>
        <w:rPr>
          <w:sz w:val="24"/>
        </w:rPr>
        <w:t xml:space="preserve">The data set will be analyzed by </w:t>
      </w:r>
      <w:r w:rsidR="00F5092A">
        <w:rPr>
          <w:sz w:val="24"/>
        </w:rPr>
        <w:t xml:space="preserve">the </w:t>
      </w:r>
      <w:r>
        <w:rPr>
          <w:sz w:val="24"/>
        </w:rPr>
        <w:t xml:space="preserve">NPDB for purposes of </w:t>
      </w:r>
      <w:r w:rsidR="00457364">
        <w:rPr>
          <w:sz w:val="24"/>
        </w:rPr>
        <w:t>anticipating, shaping, and executing</w:t>
      </w:r>
      <w:r w:rsidR="00A46EB5">
        <w:rPr>
          <w:sz w:val="24"/>
        </w:rPr>
        <w:t xml:space="preserve"> compliance efforts as well as</w:t>
      </w:r>
      <w:r w:rsidR="00457364">
        <w:rPr>
          <w:sz w:val="24"/>
        </w:rPr>
        <w:t xml:space="preserve"> </w:t>
      </w:r>
      <w:r w:rsidRPr="00A46EB5" w:rsidR="00A46EB5">
        <w:rPr>
          <w:sz w:val="24"/>
        </w:rPr>
        <w:t>develop</w:t>
      </w:r>
      <w:r w:rsidR="00A46EB5">
        <w:rPr>
          <w:sz w:val="24"/>
        </w:rPr>
        <w:t>ing</w:t>
      </w:r>
      <w:r w:rsidRPr="00A46EB5" w:rsidR="00A46EB5">
        <w:rPr>
          <w:sz w:val="24"/>
        </w:rPr>
        <w:t xml:space="preserve"> appropriate strategies to achieve </w:t>
      </w:r>
      <w:r w:rsidR="0037108A">
        <w:rPr>
          <w:sz w:val="24"/>
        </w:rPr>
        <w:t xml:space="preserve">the </w:t>
      </w:r>
      <w:r w:rsidR="00680119">
        <w:rPr>
          <w:sz w:val="24"/>
        </w:rPr>
        <w:t xml:space="preserve">NPDB </w:t>
      </w:r>
      <w:r w:rsidRPr="00A46EB5" w:rsidR="00680119">
        <w:rPr>
          <w:sz w:val="24"/>
        </w:rPr>
        <w:t>objectives</w:t>
      </w:r>
      <w:r w:rsidR="00B7053A">
        <w:rPr>
          <w:sz w:val="24"/>
        </w:rPr>
        <w:t xml:space="preserve">.  </w:t>
      </w:r>
    </w:p>
    <w:p w:rsidR="00F65E45" w:rsidP="00F65E45" w:rsidRDefault="00F65E45" w14:paraId="78C6DD00" w14:textId="77777777">
      <w:pPr>
        <w:widowControl/>
        <w:rPr>
          <w:sz w:val="24"/>
        </w:rPr>
      </w:pPr>
      <w:r w:rsidRPr="004C5821">
        <w:rPr>
          <w:sz w:val="24"/>
        </w:rPr>
        <w:t xml:space="preserve">Ultimately, data stripped of identifiers will be available to HRSA for use in preparation </w:t>
      </w:r>
      <w:r w:rsidR="00680119">
        <w:rPr>
          <w:sz w:val="24"/>
        </w:rPr>
        <w:t xml:space="preserve">of </w:t>
      </w:r>
      <w:r w:rsidRPr="004C5821" w:rsidR="00680119">
        <w:rPr>
          <w:sz w:val="24"/>
        </w:rPr>
        <w:t>Reports</w:t>
      </w:r>
      <w:r w:rsidRPr="004C5821">
        <w:rPr>
          <w:sz w:val="24"/>
        </w:rPr>
        <w:t xml:space="preserve"> to Congress, HRSA, and others for research purposes.</w:t>
      </w:r>
    </w:p>
    <w:p w:rsidR="00E45BA3" w:rsidP="00F65E45" w:rsidRDefault="00E45BA3" w14:paraId="00194AEE" w14:textId="77777777">
      <w:pPr>
        <w:widowControl/>
        <w:rPr>
          <w:sz w:val="24"/>
        </w:rPr>
      </w:pPr>
    </w:p>
    <w:p w:rsidR="00E45BA3" w:rsidP="00F65E45" w:rsidRDefault="00E45BA3" w14:paraId="655C3EBC" w14:textId="68D2592D">
      <w:pPr>
        <w:widowControl/>
        <w:rPr>
          <w:rFonts w:eastAsiaTheme="minorEastAsia"/>
          <w:sz w:val="24"/>
        </w:rPr>
      </w:pPr>
      <w:r>
        <w:rPr>
          <w:sz w:val="24"/>
        </w:rPr>
        <w:t xml:space="preserve">Should the </w:t>
      </w:r>
      <w:r w:rsidR="00D31419">
        <w:rPr>
          <w:sz w:val="24"/>
        </w:rPr>
        <w:t>Attestation process</w:t>
      </w:r>
      <w:r>
        <w:rPr>
          <w:sz w:val="24"/>
        </w:rPr>
        <w:t xml:space="preserve"> lead to activities which establish a failure to report by a reporting entity, to include licensure and certification actions taken by states, or other adjudicated actions, </w:t>
      </w:r>
      <w:r>
        <w:rPr>
          <w:rFonts w:eastAsiaTheme="minorEastAsia"/>
          <w:sz w:val="24"/>
        </w:rPr>
        <w:t>p</w:t>
      </w:r>
      <w:r w:rsidRPr="0054392D">
        <w:rPr>
          <w:rFonts w:eastAsiaTheme="minorEastAsia"/>
          <w:sz w:val="24"/>
        </w:rPr>
        <w:t>u</w:t>
      </w:r>
      <w:r>
        <w:rPr>
          <w:rFonts w:eastAsiaTheme="minorEastAsia"/>
          <w:sz w:val="24"/>
        </w:rPr>
        <w:t xml:space="preserve">rsuant to procedures at 45 CFR Part 60, the Secretary is authorized </w:t>
      </w:r>
      <w:r w:rsidR="00680119">
        <w:rPr>
          <w:rFonts w:eastAsiaTheme="minorEastAsia"/>
          <w:sz w:val="24"/>
        </w:rPr>
        <w:t>to provide</w:t>
      </w:r>
      <w:r w:rsidRPr="007424D6">
        <w:rPr>
          <w:rFonts w:eastAsiaTheme="minorEastAsia"/>
          <w:sz w:val="24"/>
        </w:rPr>
        <w:t xml:space="preserve"> for a publication of a public report that identifies fa</w:t>
      </w:r>
      <w:r>
        <w:rPr>
          <w:rFonts w:eastAsiaTheme="minorEastAsia"/>
          <w:sz w:val="24"/>
        </w:rPr>
        <w:t xml:space="preserve">ilures to report information to </w:t>
      </w:r>
      <w:r w:rsidR="0037108A">
        <w:rPr>
          <w:rFonts w:eastAsiaTheme="minorEastAsia"/>
          <w:sz w:val="24"/>
        </w:rPr>
        <w:t xml:space="preserve">the </w:t>
      </w:r>
      <w:r w:rsidR="00680119">
        <w:rPr>
          <w:rFonts w:eastAsiaTheme="minorEastAsia"/>
          <w:sz w:val="24"/>
        </w:rPr>
        <w:t xml:space="preserve">NPDB </w:t>
      </w:r>
      <w:r w:rsidRPr="007424D6" w:rsidR="00680119">
        <w:rPr>
          <w:rFonts w:eastAsiaTheme="minorEastAsia"/>
          <w:sz w:val="24"/>
        </w:rPr>
        <w:t>as</w:t>
      </w:r>
      <w:r w:rsidRPr="007424D6">
        <w:rPr>
          <w:rFonts w:eastAsiaTheme="minorEastAsia"/>
          <w:sz w:val="24"/>
        </w:rPr>
        <w:t xml:space="preserve"> required to be reported under </w:t>
      </w:r>
      <w:r>
        <w:rPr>
          <w:rFonts w:eastAsiaTheme="minorEastAsia"/>
          <w:sz w:val="24"/>
        </w:rPr>
        <w:t>45 CFR Part 60, Sections 60.9, 60.10, 60.13, 60.14, 60.15 and 60.16</w:t>
      </w:r>
      <w:r w:rsidR="00B7053A">
        <w:rPr>
          <w:rFonts w:eastAsiaTheme="minorEastAsia"/>
          <w:sz w:val="24"/>
        </w:rPr>
        <w:t xml:space="preserve">.  </w:t>
      </w:r>
      <w:r>
        <w:rPr>
          <w:rFonts w:eastAsiaTheme="minorEastAsia"/>
          <w:sz w:val="24"/>
        </w:rPr>
        <w:t xml:space="preserve">Pursuant to 45§60.12, the Secretary is authorized to </w:t>
      </w:r>
      <w:r w:rsidRPr="001851A7">
        <w:rPr>
          <w:rFonts w:eastAsiaTheme="minorEastAsia"/>
          <w:sz w:val="24"/>
        </w:rPr>
        <w:t>publish the name of the health care</w:t>
      </w:r>
      <w:r>
        <w:rPr>
          <w:rFonts w:eastAsiaTheme="minorEastAsia"/>
          <w:sz w:val="24"/>
        </w:rPr>
        <w:t xml:space="preserve"> entity in the Federal Register if the Secretary has reason to believe that a health care entity has substantially failed to </w:t>
      </w:r>
      <w:r>
        <w:rPr>
          <w:rFonts w:eastAsiaTheme="minorEastAsia"/>
          <w:sz w:val="24"/>
        </w:rPr>
        <w:lastRenderedPageBreak/>
        <w:t>report information in accordance with 45 CFR §60.12 and all requirements under 45CFR §60.12 (1-2) are met.</w:t>
      </w:r>
    </w:p>
    <w:p w:rsidR="00390FFA" w:rsidRDefault="00390FFA" w14:paraId="1EDFADEF" w14:textId="77777777">
      <w:pPr>
        <w:widowControl/>
        <w:rPr>
          <w:sz w:val="24"/>
        </w:rPr>
      </w:pPr>
      <w:bookmarkStart w:name="_GoBack" w:id="100"/>
      <w:bookmarkEnd w:id="100"/>
    </w:p>
    <w:p w:rsidR="00873808" w:rsidP="00D16BBC" w:rsidRDefault="00873808" w14:paraId="06205FB4" w14:textId="77777777">
      <w:pPr>
        <w:pStyle w:val="frn"/>
        <w:spacing w:before="0"/>
        <w:outlineLvl w:val="0"/>
      </w:pPr>
      <w:bookmarkStart w:name="_Toc413843504" w:id="101"/>
      <w:r>
        <w:t>Reason(s) Display of OMB Expiration Date is Inappropriate</w:t>
      </w:r>
      <w:bookmarkEnd w:id="101"/>
    </w:p>
    <w:p w:rsidR="00873808" w:rsidRDefault="00873808" w14:paraId="23042082" w14:textId="77777777">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13B27" w:rsidRDefault="00013B27" w14:paraId="705FE3D4" w14:textId="64BFCBC1">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OMB number and </w:t>
      </w:r>
      <w:r w:rsidR="00C8537D">
        <w:rPr>
          <w:sz w:val="24"/>
        </w:rPr>
        <w:t>e</w:t>
      </w:r>
      <w:r>
        <w:rPr>
          <w:sz w:val="24"/>
        </w:rPr>
        <w:t>xpiration date will be displayed on every page of every form/instrument.</w:t>
      </w:r>
    </w:p>
    <w:p w:rsidRPr="00995784" w:rsidR="00390FFA" w:rsidRDefault="00390FFA" w14:paraId="29B43C98" w14:textId="77777777">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995784" w:rsidR="00873808" w:rsidP="00D16BBC" w:rsidRDefault="00873808" w14:paraId="0285615F" w14:textId="77777777">
      <w:pPr>
        <w:pStyle w:val="frn"/>
        <w:spacing w:before="0"/>
        <w:outlineLvl w:val="0"/>
      </w:pPr>
      <w:bookmarkStart w:name="_Toc413843505" w:id="102"/>
      <w:r>
        <w:t>Exceptions to Certification for Paperwork Reduction Act Submissions</w:t>
      </w:r>
      <w:bookmarkEnd w:id="102"/>
    </w:p>
    <w:p w:rsidR="00873808" w:rsidP="00D16BBC" w:rsidRDefault="00873808" w14:paraId="51F53E4C" w14:textId="77777777">
      <w:pPr>
        <w:pStyle w:val="BodyTextIndent"/>
        <w:ind w:left="0"/>
        <w:rPr>
          <w:rFonts w:ascii="Times New Roman" w:hAnsi="Times New Roman"/>
        </w:rPr>
      </w:pPr>
    </w:p>
    <w:p w:rsidR="00873808" w:rsidP="00D16BBC" w:rsidRDefault="00873808" w14:paraId="4863B9B6" w14:textId="77777777">
      <w:pPr>
        <w:pStyle w:val="BodyTextIndent"/>
        <w:ind w:left="0"/>
        <w:rPr>
          <w:rFonts w:ascii="Times New Roman" w:hAnsi="Times New Roman"/>
        </w:rPr>
      </w:pPr>
      <w:r w:rsidRPr="00EC71B6">
        <w:rPr>
          <w:rFonts w:ascii="Times New Roman" w:hAnsi="Times New Roman"/>
        </w:rPr>
        <w:t>There are no exceptions to the certification.</w:t>
      </w:r>
    </w:p>
    <w:p w:rsidRPr="005946E7" w:rsidR="0060213F" w:rsidP="005946E7" w:rsidRDefault="0060213F" w14:paraId="34D84C44" w14:textId="1E3B10B2">
      <w:pPr>
        <w:widowControl/>
        <w:autoSpaceDE/>
        <w:autoSpaceDN/>
        <w:adjustRightInd/>
        <w:rPr>
          <w:b/>
          <w:sz w:val="24"/>
          <w:u w:val="single"/>
        </w:rPr>
      </w:pPr>
    </w:p>
    <w:sectPr w:rsidRPr="005946E7" w:rsidR="0060213F" w:rsidSect="0017126C">
      <w:footerReference w:type="default" r:id="rId28"/>
      <w:endnotePr>
        <w:numFmt w:val="decimal"/>
      </w:endnotePr>
      <w:pgSz w:w="12240" w:h="15840"/>
      <w:pgMar w:top="1440" w:right="1440" w:bottom="1440" w:left="1440" w:header="144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4CB5" w14:textId="77777777" w:rsidR="00FC14A6" w:rsidRDefault="00FC14A6">
      <w:r>
        <w:separator/>
      </w:r>
    </w:p>
  </w:endnote>
  <w:endnote w:type="continuationSeparator" w:id="0">
    <w:p w14:paraId="1D8024A1" w14:textId="77777777" w:rsidR="00FC14A6" w:rsidRDefault="00FC14A6">
      <w:r>
        <w:continuationSeparator/>
      </w:r>
    </w:p>
  </w:endnote>
  <w:endnote w:type="continuationNotice" w:id="1">
    <w:p w14:paraId="0E87E6BE" w14:textId="77777777" w:rsidR="00FC14A6" w:rsidRDefault="00FC1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8979" w14:textId="77777777" w:rsidR="001F7800" w:rsidRDefault="001F7800">
    <w:pPr>
      <w:spacing w:line="240" w:lineRule="exact"/>
    </w:pPr>
  </w:p>
  <w:p w14:paraId="61CCB4CE" w14:textId="4D262C49" w:rsidR="001F7800" w:rsidRDefault="001F780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B40EB">
      <w:rPr>
        <w:noProof/>
        <w:sz w:val="24"/>
      </w:rPr>
      <w:t>12</w:t>
    </w:r>
    <w:r>
      <w:rPr>
        <w:sz w:val="24"/>
      </w:rPr>
      <w:fldChar w:fldCharType="end"/>
    </w:r>
  </w:p>
  <w:p w14:paraId="0541387A" w14:textId="77777777" w:rsidR="001F7800" w:rsidRDefault="001F780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239D" w14:textId="77777777" w:rsidR="00FC14A6" w:rsidRDefault="00FC14A6">
      <w:r>
        <w:separator/>
      </w:r>
    </w:p>
  </w:footnote>
  <w:footnote w:type="continuationSeparator" w:id="0">
    <w:p w14:paraId="7FBBE98E" w14:textId="77777777" w:rsidR="00FC14A6" w:rsidRDefault="00FC14A6">
      <w:r>
        <w:continuationSeparator/>
      </w:r>
    </w:p>
  </w:footnote>
  <w:footnote w:type="continuationNotice" w:id="1">
    <w:p w14:paraId="671FD0ED" w14:textId="77777777" w:rsidR="00FC14A6" w:rsidRDefault="00FC14A6"/>
  </w:footnote>
  <w:footnote w:id="2">
    <w:p w14:paraId="65062358" w14:textId="4FD55474" w:rsidR="001F7800" w:rsidRPr="0000617A" w:rsidRDefault="001F7800">
      <w:pPr>
        <w:pStyle w:val="FootnoteText"/>
        <w:rPr>
          <w:sz w:val="18"/>
          <w:szCs w:val="18"/>
        </w:rPr>
      </w:pPr>
      <w:r w:rsidRPr="0000617A">
        <w:rPr>
          <w:rStyle w:val="FootnoteReference"/>
          <w:sz w:val="18"/>
          <w:szCs w:val="18"/>
          <w:vertAlign w:val="superscript"/>
        </w:rPr>
        <w:footnoteRef/>
      </w:r>
      <w:r w:rsidRPr="0000617A">
        <w:rPr>
          <w:sz w:val="18"/>
          <w:szCs w:val="18"/>
          <w:vertAlign w:val="superscript"/>
        </w:rPr>
        <w:t xml:space="preserve"> </w:t>
      </w:r>
      <w:r w:rsidRPr="0000617A">
        <w:rPr>
          <w:sz w:val="18"/>
          <w:szCs w:val="18"/>
        </w:rPr>
        <w:t xml:space="preserve"> Unless otherwise noted, the term “</w:t>
      </w:r>
      <w:r>
        <w:rPr>
          <w:sz w:val="18"/>
          <w:szCs w:val="18"/>
        </w:rPr>
        <w:t>health centers</w:t>
      </w:r>
      <w:r w:rsidRPr="0000617A">
        <w:rPr>
          <w:sz w:val="18"/>
          <w:szCs w:val="18"/>
        </w:rPr>
        <w:t>” refers to health centers whose access and reporting obligations are addressed in the NPDB statutory and regulatory requirements for health care entities</w:t>
      </w:r>
      <w:r w:rsidR="00607914">
        <w:rPr>
          <w:sz w:val="18"/>
          <w:szCs w:val="18"/>
        </w:rPr>
        <w:t xml:space="preserve">. </w:t>
      </w:r>
      <w:r w:rsidRPr="0000617A">
        <w:rPr>
          <w:sz w:val="18"/>
          <w:szCs w:val="18"/>
        </w:rPr>
        <w:t xml:space="preserve"> In this document, “health center” refers to organizations that receive grants under the HRSA Health Center Program as authorized under section 330 of the Public Health Service Act, as amended (referred to as “grantees”) and FQHC Look-Alike organizations, which meet all the Health Center Program requirements but do not receive Health Center Program grants</w:t>
      </w:r>
      <w:r w:rsidR="00B7053A">
        <w:rPr>
          <w:sz w:val="18"/>
          <w:szCs w:val="18"/>
        </w:rPr>
        <w:t xml:space="preserve">.  </w:t>
      </w:r>
      <w:r w:rsidRPr="0000617A">
        <w:rPr>
          <w:sz w:val="18"/>
          <w:szCs w:val="18"/>
        </w:rPr>
        <w:t>It does not refer to FQHCs that are sponsored by tribal or Urban Indian Health Organizations, except for those that receive Health Center Program grants</w:t>
      </w:r>
      <w:r w:rsidR="00B7053A">
        <w:rPr>
          <w:sz w:val="18"/>
          <w:szCs w:val="18"/>
        </w:rPr>
        <w:t xml:space="preserve">.  </w:t>
      </w:r>
      <w:r w:rsidRPr="0000617A">
        <w:rPr>
          <w:sz w:val="18"/>
          <w:szCs w:val="18"/>
        </w:rPr>
        <w:t xml:space="preserve"> </w:t>
      </w:r>
    </w:p>
  </w:footnote>
  <w:footnote w:id="3">
    <w:p w14:paraId="49273DA0" w14:textId="1C688CBA" w:rsidR="001F7800" w:rsidRDefault="001F7800" w:rsidP="00A462C8">
      <w:pPr>
        <w:rPr>
          <w:sz w:val="18"/>
          <w:szCs w:val="18"/>
        </w:rPr>
      </w:pPr>
      <w:r w:rsidRPr="00006DAB">
        <w:rPr>
          <w:rStyle w:val="FootnoteReference"/>
          <w:sz w:val="16"/>
          <w:vertAlign w:val="superscript"/>
        </w:rPr>
        <w:footnoteRef/>
      </w:r>
      <w:r w:rsidRPr="0000617A">
        <w:rPr>
          <w:sz w:val="18"/>
          <w:szCs w:val="18"/>
        </w:rPr>
        <w:t xml:space="preserve"> “</w:t>
      </w:r>
      <w:r>
        <w:rPr>
          <w:sz w:val="18"/>
          <w:szCs w:val="18"/>
        </w:rPr>
        <w:t>O</w:t>
      </w:r>
      <w:r w:rsidRPr="0000617A">
        <w:rPr>
          <w:sz w:val="18"/>
          <w:szCs w:val="18"/>
        </w:rPr>
        <w:t xml:space="preserve">ther </w:t>
      </w:r>
      <w:hyperlink r:id="rId1" w:history="1">
        <w:r w:rsidRPr="0000617A">
          <w:rPr>
            <w:rStyle w:val="Hyperlink"/>
            <w:sz w:val="18"/>
            <w:szCs w:val="18"/>
          </w:rPr>
          <w:t>eligible entities</w:t>
        </w:r>
      </w:hyperlink>
      <w:r w:rsidRPr="0000617A">
        <w:rPr>
          <w:sz w:val="18"/>
          <w:szCs w:val="18"/>
        </w:rPr>
        <w:t xml:space="preserve">” are entities </w:t>
      </w:r>
      <w:r w:rsidRPr="00286ACC">
        <w:rPr>
          <w:sz w:val="18"/>
          <w:szCs w:val="18"/>
        </w:rPr>
        <w:t xml:space="preserve">that participate in the NPDB </w:t>
      </w:r>
      <w:r>
        <w:rPr>
          <w:sz w:val="18"/>
          <w:szCs w:val="18"/>
        </w:rPr>
        <w:t xml:space="preserve">and </w:t>
      </w:r>
      <w:r w:rsidRPr="00286ACC">
        <w:rPr>
          <w:sz w:val="18"/>
          <w:szCs w:val="18"/>
        </w:rPr>
        <w:t>are defined in the provisions of Title IV, Section 1921, Section 1128E, and implementing regulations</w:t>
      </w:r>
      <w:r w:rsidR="00B7053A">
        <w:rPr>
          <w:sz w:val="18"/>
          <w:szCs w:val="18"/>
        </w:rPr>
        <w:t xml:space="preserve">.  </w:t>
      </w:r>
      <w:r w:rsidRPr="00286ACC">
        <w:rPr>
          <w:sz w:val="18"/>
          <w:szCs w:val="18"/>
        </w:rPr>
        <w:t>In addition, a few federal agencies also participate with the NPDB through federal memorandums of understanding</w:t>
      </w:r>
      <w:r w:rsidR="00B7053A">
        <w:rPr>
          <w:sz w:val="18"/>
          <w:szCs w:val="18"/>
        </w:rPr>
        <w:t xml:space="preserve">.  </w:t>
      </w:r>
      <w:r w:rsidRPr="00286ACC">
        <w:rPr>
          <w:sz w:val="18"/>
          <w:szCs w:val="18"/>
        </w:rPr>
        <w:t>Eligible entities are responsible for complying with all reporting and/or querying requirements that apply; some entities may qualify as more than one type of eligible entity</w:t>
      </w:r>
      <w:r w:rsidR="00B7053A">
        <w:rPr>
          <w:sz w:val="18"/>
          <w:szCs w:val="18"/>
        </w:rPr>
        <w:t xml:space="preserve">.  </w:t>
      </w:r>
      <w:r w:rsidRPr="00286ACC">
        <w:rPr>
          <w:sz w:val="18"/>
          <w:szCs w:val="18"/>
        </w:rPr>
        <w:t>Each eligible entity must certify its eligibility in order to report to the NPDB, query the NPDB, or both</w:t>
      </w:r>
      <w:r w:rsidR="00607914">
        <w:rPr>
          <w:sz w:val="18"/>
          <w:szCs w:val="18"/>
        </w:rPr>
        <w:t>.</w:t>
      </w:r>
      <w:r w:rsidR="00B7053A">
        <w:rPr>
          <w:sz w:val="18"/>
          <w:szCs w:val="18"/>
        </w:rPr>
        <w:t xml:space="preserve"> </w:t>
      </w:r>
      <w:r w:rsidRPr="00286ACC">
        <w:rPr>
          <w:sz w:val="18"/>
          <w:szCs w:val="18"/>
        </w:rPr>
        <w:t>Information from the NPDB is available only to those entities specified as eligible in the statutes and regulations</w:t>
      </w:r>
      <w:r w:rsidR="00607914">
        <w:rPr>
          <w:sz w:val="18"/>
          <w:szCs w:val="18"/>
        </w:rPr>
        <w:t xml:space="preserve">.  </w:t>
      </w:r>
      <w:r w:rsidRPr="00286ACC">
        <w:rPr>
          <w:sz w:val="18"/>
          <w:szCs w:val="18"/>
        </w:rPr>
        <w:t>Not all entities have the same reporting requirements or level of query access</w:t>
      </w:r>
      <w:r w:rsidR="00B7053A">
        <w:rPr>
          <w:sz w:val="18"/>
          <w:szCs w:val="18"/>
        </w:rPr>
        <w:t xml:space="preserve">.  </w:t>
      </w:r>
    </w:p>
    <w:p w14:paraId="72D02863" w14:textId="5B104BF8" w:rsidR="001F7800" w:rsidRDefault="001F7800">
      <w:pPr>
        <w:pStyle w:val="FootnoteText"/>
      </w:pPr>
    </w:p>
  </w:footnote>
  <w:footnote w:id="4">
    <w:p w14:paraId="27E73C35" w14:textId="7F8E9887" w:rsidR="001F7800" w:rsidRPr="00B23F8E" w:rsidRDefault="001F7800" w:rsidP="001F7800">
      <w:pPr>
        <w:pStyle w:val="FootnoteText"/>
        <w:rPr>
          <w:sz w:val="16"/>
          <w:szCs w:val="16"/>
        </w:rPr>
      </w:pPr>
      <w:r w:rsidRPr="00B23F8E">
        <w:rPr>
          <w:rStyle w:val="FootnoteReference"/>
          <w:sz w:val="16"/>
          <w:szCs w:val="16"/>
          <w:vertAlign w:val="superscript"/>
        </w:rPr>
        <w:footnoteRef/>
      </w:r>
      <w:r w:rsidRPr="00B23F8E">
        <w:rPr>
          <w:sz w:val="16"/>
          <w:szCs w:val="16"/>
          <w:vertAlign w:val="superscript"/>
        </w:rPr>
        <w:t xml:space="preserve"> </w:t>
      </w:r>
      <w:r w:rsidRPr="00B23F8E">
        <w:rPr>
          <w:sz w:val="16"/>
          <w:szCs w:val="16"/>
        </w:rPr>
        <w:t xml:space="preserve">There are approximately 700 authorized agents; 1,300 health centers; 6,500 hospitals; 500 medical malpractice payers, peer review organizations, and private accreditation organizations; and 14,200 other eligible entities, for an estimated total of 23,200 registered </w:t>
      </w:r>
      <w:r w:rsidRPr="00B23F8E">
        <w:rPr>
          <w:color w:val="000000"/>
          <w:sz w:val="16"/>
          <w:szCs w:val="16"/>
        </w:rPr>
        <w:t xml:space="preserve">entities currently in attestation or scheduled for attestation </w:t>
      </w:r>
      <w:r w:rsidRPr="00B23F8E">
        <w:rPr>
          <w:sz w:val="16"/>
          <w:szCs w:val="16"/>
        </w:rPr>
        <w:t>with the NPDB</w:t>
      </w:r>
      <w:r w:rsidR="00B7053A">
        <w:rPr>
          <w:sz w:val="16"/>
          <w:szCs w:val="16"/>
        </w:rPr>
        <w:t xml:space="preserve">.  </w:t>
      </w:r>
      <w:r w:rsidRPr="00B23F8E">
        <w:rPr>
          <w:sz w:val="16"/>
          <w:szCs w:val="16"/>
        </w:rPr>
        <w:t>However, the reporting entities may include multiple sites that are registered independently in the system, thereby increasing the total number of respondents</w:t>
      </w:r>
      <w:r w:rsidR="00607914">
        <w:rPr>
          <w:sz w:val="16"/>
          <w:szCs w:val="16"/>
        </w:rPr>
        <w:t xml:space="preserve">. </w:t>
      </w:r>
      <w:r w:rsidRPr="00B23F8E">
        <w:rPr>
          <w:sz w:val="16"/>
          <w:szCs w:val="16"/>
        </w:rPr>
        <w:t xml:space="preserve"> Given that entities will only be required to complete attestation biennially, these estimates are divided in half for the annualized burden hours</w:t>
      </w:r>
      <w:r w:rsidR="00B7053A">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1427838"/>
    <w:multiLevelType w:val="hybridMultilevel"/>
    <w:tmpl w:val="3E7A2E8A"/>
    <w:lvl w:ilvl="0" w:tplc="FCFCF6D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23714A7"/>
    <w:multiLevelType w:val="hybridMultilevel"/>
    <w:tmpl w:val="AD9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5566C"/>
    <w:multiLevelType w:val="hybridMultilevel"/>
    <w:tmpl w:val="27CE6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7AF5122"/>
    <w:multiLevelType w:val="hybridMultilevel"/>
    <w:tmpl w:val="BBF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26DBC"/>
    <w:multiLevelType w:val="hybridMultilevel"/>
    <w:tmpl w:val="44D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8AE"/>
    <w:multiLevelType w:val="hybridMultilevel"/>
    <w:tmpl w:val="876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25445F43"/>
    <w:multiLevelType w:val="singleLevel"/>
    <w:tmpl w:val="ADD8CDEA"/>
    <w:lvl w:ilvl="0">
      <w:start w:val="1"/>
      <w:numFmt w:val="bullet"/>
      <w:lvlText w:val=""/>
      <w:lvlJc w:val="left"/>
      <w:pPr>
        <w:tabs>
          <w:tab w:val="num" w:pos="450"/>
        </w:tabs>
        <w:ind w:left="450" w:hanging="360"/>
      </w:pPr>
      <w:rPr>
        <w:rFonts w:ascii="Wingdings" w:hAnsi="Wingdings" w:cs="Wingdings" w:hint="default"/>
        <w:b w:val="0"/>
        <w:bCs w:val="0"/>
        <w:i w:val="0"/>
        <w:iCs w:val="0"/>
        <w:sz w:val="18"/>
        <w:szCs w:val="18"/>
      </w:rPr>
    </w:lvl>
  </w:abstractNum>
  <w:abstractNum w:abstractNumId="10" w15:restartNumberingAfterBreak="0">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34FB1"/>
    <w:multiLevelType w:val="singleLevel"/>
    <w:tmpl w:val="9438A432"/>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13" w15:restartNumberingAfterBreak="0">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25988"/>
    <w:multiLevelType w:val="hybridMultilevel"/>
    <w:tmpl w:val="E0DCD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B6740D"/>
    <w:multiLevelType w:val="hybridMultilevel"/>
    <w:tmpl w:val="F0C8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F182E"/>
    <w:multiLevelType w:val="hybridMultilevel"/>
    <w:tmpl w:val="D34455FE"/>
    <w:lvl w:ilvl="0" w:tplc="4FB09676">
      <w:start w:val="1"/>
      <w:numFmt w:val="bullet"/>
      <w:lvlText w:val=""/>
      <w:lvlJc w:val="left"/>
      <w:pPr>
        <w:tabs>
          <w:tab w:val="num" w:pos="720"/>
        </w:tabs>
        <w:ind w:left="72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C3697"/>
    <w:multiLevelType w:val="hybridMultilevel"/>
    <w:tmpl w:val="530AFBA6"/>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441EC08C">
      <w:start w:val="1921"/>
      <w:numFmt w:val="bullet"/>
      <w:lvlText w:val=""/>
      <w:lvlJc w:val="left"/>
      <w:pPr>
        <w:tabs>
          <w:tab w:val="num" w:pos="1800"/>
        </w:tabs>
        <w:ind w:left="1800" w:hanging="360"/>
      </w:pPr>
      <w:rPr>
        <w:rFonts w:ascii="Wingdings" w:eastAsia="Times New Roman" w:hAnsi="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34027E9B"/>
    <w:multiLevelType w:val="hybridMultilevel"/>
    <w:tmpl w:val="BE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B0869"/>
    <w:multiLevelType w:val="hybridMultilevel"/>
    <w:tmpl w:val="4036C7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84EDC"/>
    <w:multiLevelType w:val="hybridMultilevel"/>
    <w:tmpl w:val="C64AB7DE"/>
    <w:lvl w:ilvl="0" w:tplc="F2B6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375F0"/>
    <w:multiLevelType w:val="hybridMultilevel"/>
    <w:tmpl w:val="D508251E"/>
    <w:lvl w:ilvl="0" w:tplc="506CC9C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F2BBB"/>
    <w:multiLevelType w:val="hybridMultilevel"/>
    <w:tmpl w:val="D382BD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60B5C9B"/>
    <w:multiLevelType w:val="multilevel"/>
    <w:tmpl w:val="AFF6FF26"/>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7B815A5"/>
    <w:multiLevelType w:val="hybridMultilevel"/>
    <w:tmpl w:val="F8D0E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D7109"/>
    <w:multiLevelType w:val="hybridMultilevel"/>
    <w:tmpl w:val="F01C138A"/>
    <w:lvl w:ilvl="0" w:tplc="EB64FBB8">
      <w:start w:val="1"/>
      <w:numFmt w:val="decimal"/>
      <w:pStyle w:val="frn"/>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4D25CB"/>
    <w:multiLevelType w:val="hybridMultilevel"/>
    <w:tmpl w:val="42AC40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82AE0"/>
    <w:multiLevelType w:val="hybridMultilevel"/>
    <w:tmpl w:val="0BD8A448"/>
    <w:lvl w:ilvl="0" w:tplc="783AB5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B2DA3"/>
    <w:multiLevelType w:val="hybridMultilevel"/>
    <w:tmpl w:val="BB82F558"/>
    <w:lvl w:ilvl="0" w:tplc="5066BC00">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6" w15:restartNumberingAfterBreak="0">
    <w:nsid w:val="5F6E4169"/>
    <w:multiLevelType w:val="hybridMultilevel"/>
    <w:tmpl w:val="5100E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543E0F"/>
    <w:multiLevelType w:val="singleLevel"/>
    <w:tmpl w:val="A4F82ED8"/>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8" w15:restartNumberingAfterBreak="0">
    <w:nsid w:val="633820E1"/>
    <w:multiLevelType w:val="hybridMultilevel"/>
    <w:tmpl w:val="27E00B22"/>
    <w:lvl w:ilvl="0" w:tplc="4FB09676">
      <w:start w:val="1"/>
      <w:numFmt w:val="bullet"/>
      <w:lvlText w:val=""/>
      <w:lvlJc w:val="left"/>
      <w:pPr>
        <w:tabs>
          <w:tab w:val="num" w:pos="360"/>
        </w:tabs>
        <w:ind w:left="360" w:hanging="360"/>
      </w:pPr>
      <w:rPr>
        <w:rFonts w:ascii="Wingdings" w:hAnsi="Wingdings" w:cs="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0751F"/>
    <w:multiLevelType w:val="singleLevel"/>
    <w:tmpl w:val="7ECCFD70"/>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40" w15:restartNumberingAfterBreak="0">
    <w:nsid w:val="723476D4"/>
    <w:multiLevelType w:val="hybridMultilevel"/>
    <w:tmpl w:val="509E2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C4436"/>
    <w:multiLevelType w:val="hybridMultilevel"/>
    <w:tmpl w:val="3F52A40A"/>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1247A"/>
    <w:multiLevelType w:val="hybridMultilevel"/>
    <w:tmpl w:val="2D1C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772A6"/>
    <w:multiLevelType w:val="hybridMultilevel"/>
    <w:tmpl w:val="E5B037E0"/>
    <w:lvl w:ilvl="0" w:tplc="D6CA84B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7"/>
  </w:num>
  <w:num w:numId="3">
    <w:abstractNumId w:val="9"/>
  </w:num>
  <w:num w:numId="4">
    <w:abstractNumId w:val="18"/>
  </w:num>
  <w:num w:numId="5">
    <w:abstractNumId w:val="16"/>
  </w:num>
  <w:num w:numId="6">
    <w:abstractNumId w:val="28"/>
  </w:num>
  <w:num w:numId="7">
    <w:abstractNumId w:val="37"/>
  </w:num>
  <w:num w:numId="8">
    <w:abstractNumId w:val="12"/>
  </w:num>
  <w:num w:numId="9">
    <w:abstractNumId w:val="39"/>
  </w:num>
  <w:num w:numId="10">
    <w:abstractNumId w:val="41"/>
  </w:num>
  <w:num w:numId="11">
    <w:abstractNumId w:val="38"/>
  </w:num>
  <w:num w:numId="12">
    <w:abstractNumId w:val="30"/>
  </w:num>
  <w:num w:numId="13">
    <w:abstractNumId w:val="26"/>
  </w:num>
  <w:num w:numId="14">
    <w:abstractNumId w:val="32"/>
  </w:num>
  <w:num w:numId="15">
    <w:abstractNumId w:val="5"/>
  </w:num>
  <w:num w:numId="16">
    <w:abstractNumId w:val="3"/>
  </w:num>
  <w:num w:numId="17">
    <w:abstractNumId w:val="27"/>
  </w:num>
  <w:num w:numId="18">
    <w:abstractNumId w:val="25"/>
  </w:num>
  <w:num w:numId="19">
    <w:abstractNumId w:val="23"/>
  </w:num>
  <w:num w:numId="20">
    <w:abstractNumId w:val="33"/>
  </w:num>
  <w:num w:numId="21">
    <w:abstractNumId w:val="10"/>
  </w:num>
  <w:num w:numId="22">
    <w:abstractNumId w:val="22"/>
  </w:num>
  <w:num w:numId="23">
    <w:abstractNumId w:val="11"/>
  </w:num>
  <w:num w:numId="24">
    <w:abstractNumId w:val="0"/>
  </w:num>
  <w:num w:numId="25">
    <w:abstractNumId w:val="4"/>
  </w:num>
  <w:num w:numId="26">
    <w:abstractNumId w:val="8"/>
  </w:num>
  <w:num w:numId="27">
    <w:abstractNumId w:val="29"/>
  </w:num>
  <w:num w:numId="28">
    <w:abstractNumId w:val="13"/>
  </w:num>
  <w:num w:numId="29">
    <w:abstractNumId w:val="34"/>
  </w:num>
  <w:num w:numId="30">
    <w:abstractNumId w:val="17"/>
  </w:num>
  <w:num w:numId="31">
    <w:abstractNumId w:val="6"/>
  </w:num>
  <w:num w:numId="32">
    <w:abstractNumId w:val="19"/>
  </w:num>
  <w:num w:numId="33">
    <w:abstractNumId w:val="43"/>
  </w:num>
  <w:num w:numId="34">
    <w:abstractNumId w:val="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2"/>
  </w:num>
  <w:num w:numId="38">
    <w:abstractNumId w:val="6"/>
  </w:num>
  <w:num w:numId="39">
    <w:abstractNumId w:val="35"/>
  </w:num>
  <w:num w:numId="40">
    <w:abstractNumId w:val="36"/>
  </w:num>
  <w:num w:numId="41">
    <w:abstractNumId w:val="21"/>
  </w:num>
  <w:num w:numId="42">
    <w:abstractNumId w:val="24"/>
  </w:num>
  <w:num w:numId="43">
    <w:abstractNumId w:val="1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
  </w:num>
  <w:num w:numId="47">
    <w:abstractNumId w:val="4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8"/>
    <w:rsid w:val="00004192"/>
    <w:rsid w:val="0000617A"/>
    <w:rsid w:val="00006DAB"/>
    <w:rsid w:val="00010C6A"/>
    <w:rsid w:val="00013B27"/>
    <w:rsid w:val="000168AA"/>
    <w:rsid w:val="00021E71"/>
    <w:rsid w:val="00021E7E"/>
    <w:rsid w:val="000224D5"/>
    <w:rsid w:val="000242CC"/>
    <w:rsid w:val="00030AC1"/>
    <w:rsid w:val="00030DF9"/>
    <w:rsid w:val="0003310C"/>
    <w:rsid w:val="00033394"/>
    <w:rsid w:val="00034967"/>
    <w:rsid w:val="000375F1"/>
    <w:rsid w:val="00041B8A"/>
    <w:rsid w:val="00042CBC"/>
    <w:rsid w:val="00051132"/>
    <w:rsid w:val="00052EBC"/>
    <w:rsid w:val="00053444"/>
    <w:rsid w:val="00053CDA"/>
    <w:rsid w:val="00055C93"/>
    <w:rsid w:val="0005664B"/>
    <w:rsid w:val="00057980"/>
    <w:rsid w:val="00062196"/>
    <w:rsid w:val="000642EE"/>
    <w:rsid w:val="00065414"/>
    <w:rsid w:val="00066795"/>
    <w:rsid w:val="000667D0"/>
    <w:rsid w:val="00072CDE"/>
    <w:rsid w:val="00072DF9"/>
    <w:rsid w:val="00074BFA"/>
    <w:rsid w:val="00076C43"/>
    <w:rsid w:val="00084052"/>
    <w:rsid w:val="00093A76"/>
    <w:rsid w:val="000A09B6"/>
    <w:rsid w:val="000A0AB0"/>
    <w:rsid w:val="000A11AE"/>
    <w:rsid w:val="000A2174"/>
    <w:rsid w:val="000A2FC2"/>
    <w:rsid w:val="000A4EE0"/>
    <w:rsid w:val="000B4437"/>
    <w:rsid w:val="000C0D0D"/>
    <w:rsid w:val="000C32C1"/>
    <w:rsid w:val="000C48BE"/>
    <w:rsid w:val="000C612B"/>
    <w:rsid w:val="000C6699"/>
    <w:rsid w:val="000C6D32"/>
    <w:rsid w:val="000D0E33"/>
    <w:rsid w:val="000D2C0C"/>
    <w:rsid w:val="000E07D0"/>
    <w:rsid w:val="000E181F"/>
    <w:rsid w:val="000E2FAE"/>
    <w:rsid w:val="000E6DAE"/>
    <w:rsid w:val="000E79C4"/>
    <w:rsid w:val="000F104D"/>
    <w:rsid w:val="000F1495"/>
    <w:rsid w:val="000F200F"/>
    <w:rsid w:val="000F5267"/>
    <w:rsid w:val="000F57F9"/>
    <w:rsid w:val="00104E86"/>
    <w:rsid w:val="00107A4E"/>
    <w:rsid w:val="00110C5A"/>
    <w:rsid w:val="0011192E"/>
    <w:rsid w:val="00111C87"/>
    <w:rsid w:val="00112474"/>
    <w:rsid w:val="001150FA"/>
    <w:rsid w:val="001160B6"/>
    <w:rsid w:val="00116CC2"/>
    <w:rsid w:val="001219AD"/>
    <w:rsid w:val="00125400"/>
    <w:rsid w:val="001254F3"/>
    <w:rsid w:val="00126F08"/>
    <w:rsid w:val="00127748"/>
    <w:rsid w:val="00127A81"/>
    <w:rsid w:val="00134F19"/>
    <w:rsid w:val="00140EA1"/>
    <w:rsid w:val="00141A32"/>
    <w:rsid w:val="00141BEF"/>
    <w:rsid w:val="00142743"/>
    <w:rsid w:val="00146C54"/>
    <w:rsid w:val="00147CDD"/>
    <w:rsid w:val="0015375E"/>
    <w:rsid w:val="00153A76"/>
    <w:rsid w:val="00154A9F"/>
    <w:rsid w:val="00154ACD"/>
    <w:rsid w:val="001608DF"/>
    <w:rsid w:val="00160C93"/>
    <w:rsid w:val="001661BD"/>
    <w:rsid w:val="00166DD0"/>
    <w:rsid w:val="00166FEE"/>
    <w:rsid w:val="00170EC8"/>
    <w:rsid w:val="0017126C"/>
    <w:rsid w:val="00172267"/>
    <w:rsid w:val="00172C03"/>
    <w:rsid w:val="00177B76"/>
    <w:rsid w:val="00180D88"/>
    <w:rsid w:val="00187308"/>
    <w:rsid w:val="00187488"/>
    <w:rsid w:val="00196CDC"/>
    <w:rsid w:val="001A1216"/>
    <w:rsid w:val="001A1C8C"/>
    <w:rsid w:val="001A1FF3"/>
    <w:rsid w:val="001A2EC9"/>
    <w:rsid w:val="001A7015"/>
    <w:rsid w:val="001A73C2"/>
    <w:rsid w:val="001B50EC"/>
    <w:rsid w:val="001B6F1D"/>
    <w:rsid w:val="001C6DAE"/>
    <w:rsid w:val="001D0274"/>
    <w:rsid w:val="001D3CF1"/>
    <w:rsid w:val="001D5ED1"/>
    <w:rsid w:val="001D6EED"/>
    <w:rsid w:val="001E0307"/>
    <w:rsid w:val="001E197E"/>
    <w:rsid w:val="001E1E89"/>
    <w:rsid w:val="001E20E7"/>
    <w:rsid w:val="001E4CEB"/>
    <w:rsid w:val="001E7DBB"/>
    <w:rsid w:val="001F553C"/>
    <w:rsid w:val="001F6792"/>
    <w:rsid w:val="001F7800"/>
    <w:rsid w:val="00202CDC"/>
    <w:rsid w:val="0020471B"/>
    <w:rsid w:val="0020618E"/>
    <w:rsid w:val="002067E8"/>
    <w:rsid w:val="00206AC5"/>
    <w:rsid w:val="00206D79"/>
    <w:rsid w:val="00206EB8"/>
    <w:rsid w:val="00207305"/>
    <w:rsid w:val="00210CF9"/>
    <w:rsid w:val="00210F5E"/>
    <w:rsid w:val="0021132C"/>
    <w:rsid w:val="0021204D"/>
    <w:rsid w:val="00212A18"/>
    <w:rsid w:val="002160B9"/>
    <w:rsid w:val="0021782E"/>
    <w:rsid w:val="002216AD"/>
    <w:rsid w:val="0022238B"/>
    <w:rsid w:val="00222429"/>
    <w:rsid w:val="0022569E"/>
    <w:rsid w:val="00226FE2"/>
    <w:rsid w:val="00230D4E"/>
    <w:rsid w:val="002331DD"/>
    <w:rsid w:val="0023377E"/>
    <w:rsid w:val="00234078"/>
    <w:rsid w:val="00234A32"/>
    <w:rsid w:val="00234E07"/>
    <w:rsid w:val="00241A31"/>
    <w:rsid w:val="00241BEA"/>
    <w:rsid w:val="0024246D"/>
    <w:rsid w:val="00244B64"/>
    <w:rsid w:val="002549BF"/>
    <w:rsid w:val="00255217"/>
    <w:rsid w:val="00255678"/>
    <w:rsid w:val="00255F3A"/>
    <w:rsid w:val="00257F25"/>
    <w:rsid w:val="00261889"/>
    <w:rsid w:val="00262A3B"/>
    <w:rsid w:val="00262E77"/>
    <w:rsid w:val="00264471"/>
    <w:rsid w:val="00266289"/>
    <w:rsid w:val="002701B8"/>
    <w:rsid w:val="00270F96"/>
    <w:rsid w:val="0027165B"/>
    <w:rsid w:val="002716B5"/>
    <w:rsid w:val="0027337B"/>
    <w:rsid w:val="00276FD0"/>
    <w:rsid w:val="00281674"/>
    <w:rsid w:val="002817FF"/>
    <w:rsid w:val="002832F1"/>
    <w:rsid w:val="00283844"/>
    <w:rsid w:val="0028625B"/>
    <w:rsid w:val="00286ACC"/>
    <w:rsid w:val="0028753B"/>
    <w:rsid w:val="002924EC"/>
    <w:rsid w:val="002930EB"/>
    <w:rsid w:val="002958A1"/>
    <w:rsid w:val="00296F42"/>
    <w:rsid w:val="002971DF"/>
    <w:rsid w:val="00297DC3"/>
    <w:rsid w:val="002A0BCA"/>
    <w:rsid w:val="002A10D9"/>
    <w:rsid w:val="002A26CB"/>
    <w:rsid w:val="002A55D0"/>
    <w:rsid w:val="002A62B5"/>
    <w:rsid w:val="002B2BEA"/>
    <w:rsid w:val="002B3D07"/>
    <w:rsid w:val="002C1D94"/>
    <w:rsid w:val="002C6996"/>
    <w:rsid w:val="002D3C64"/>
    <w:rsid w:val="002D69A2"/>
    <w:rsid w:val="002D726A"/>
    <w:rsid w:val="002E26E2"/>
    <w:rsid w:val="002E4B6C"/>
    <w:rsid w:val="002E50CE"/>
    <w:rsid w:val="002E5D66"/>
    <w:rsid w:val="002F0C22"/>
    <w:rsid w:val="002F1C0C"/>
    <w:rsid w:val="002F4353"/>
    <w:rsid w:val="00301FAA"/>
    <w:rsid w:val="003063D2"/>
    <w:rsid w:val="00306675"/>
    <w:rsid w:val="00312ACB"/>
    <w:rsid w:val="003271E3"/>
    <w:rsid w:val="00330A4F"/>
    <w:rsid w:val="00334404"/>
    <w:rsid w:val="00334641"/>
    <w:rsid w:val="00336E6F"/>
    <w:rsid w:val="00337040"/>
    <w:rsid w:val="003376E4"/>
    <w:rsid w:val="003445D8"/>
    <w:rsid w:val="003457A0"/>
    <w:rsid w:val="00345A43"/>
    <w:rsid w:val="00345D1C"/>
    <w:rsid w:val="00347883"/>
    <w:rsid w:val="00351C11"/>
    <w:rsid w:val="0035257E"/>
    <w:rsid w:val="0036185F"/>
    <w:rsid w:val="00362CC0"/>
    <w:rsid w:val="00366ECA"/>
    <w:rsid w:val="0036767C"/>
    <w:rsid w:val="0037108A"/>
    <w:rsid w:val="0037208E"/>
    <w:rsid w:val="003806F7"/>
    <w:rsid w:val="00380FAD"/>
    <w:rsid w:val="0038204A"/>
    <w:rsid w:val="0038737D"/>
    <w:rsid w:val="00390FFA"/>
    <w:rsid w:val="00391E50"/>
    <w:rsid w:val="00394601"/>
    <w:rsid w:val="00397773"/>
    <w:rsid w:val="003979D1"/>
    <w:rsid w:val="003A0469"/>
    <w:rsid w:val="003A0BA4"/>
    <w:rsid w:val="003A0D6A"/>
    <w:rsid w:val="003B0699"/>
    <w:rsid w:val="003B15FB"/>
    <w:rsid w:val="003B2244"/>
    <w:rsid w:val="003B244C"/>
    <w:rsid w:val="003B3511"/>
    <w:rsid w:val="003B3B0D"/>
    <w:rsid w:val="003B516C"/>
    <w:rsid w:val="003B66EE"/>
    <w:rsid w:val="003B7172"/>
    <w:rsid w:val="003C3C23"/>
    <w:rsid w:val="003D0DF9"/>
    <w:rsid w:val="003D141A"/>
    <w:rsid w:val="003D1D0E"/>
    <w:rsid w:val="003D4C30"/>
    <w:rsid w:val="003E1617"/>
    <w:rsid w:val="003E2632"/>
    <w:rsid w:val="003E39B7"/>
    <w:rsid w:val="003E6303"/>
    <w:rsid w:val="003E67D1"/>
    <w:rsid w:val="003F4484"/>
    <w:rsid w:val="003F69AA"/>
    <w:rsid w:val="00400945"/>
    <w:rsid w:val="004012FF"/>
    <w:rsid w:val="00404328"/>
    <w:rsid w:val="00407767"/>
    <w:rsid w:val="00407D45"/>
    <w:rsid w:val="004129EC"/>
    <w:rsid w:val="004139BE"/>
    <w:rsid w:val="00415938"/>
    <w:rsid w:val="0041626E"/>
    <w:rsid w:val="00420500"/>
    <w:rsid w:val="00421C3A"/>
    <w:rsid w:val="00424234"/>
    <w:rsid w:val="00424CBA"/>
    <w:rsid w:val="00424E7A"/>
    <w:rsid w:val="00430C1B"/>
    <w:rsid w:val="0043274E"/>
    <w:rsid w:val="0043437D"/>
    <w:rsid w:val="00440F24"/>
    <w:rsid w:val="0044230A"/>
    <w:rsid w:val="00445981"/>
    <w:rsid w:val="00451782"/>
    <w:rsid w:val="00456797"/>
    <w:rsid w:val="00456C12"/>
    <w:rsid w:val="00457364"/>
    <w:rsid w:val="00463F2A"/>
    <w:rsid w:val="00466704"/>
    <w:rsid w:val="00466CFC"/>
    <w:rsid w:val="00476A17"/>
    <w:rsid w:val="004809C8"/>
    <w:rsid w:val="004820FF"/>
    <w:rsid w:val="004825E5"/>
    <w:rsid w:val="00482BFC"/>
    <w:rsid w:val="0048346A"/>
    <w:rsid w:val="00483FE5"/>
    <w:rsid w:val="004842A9"/>
    <w:rsid w:val="004859E8"/>
    <w:rsid w:val="00486D3D"/>
    <w:rsid w:val="004916D5"/>
    <w:rsid w:val="00493026"/>
    <w:rsid w:val="00497C5F"/>
    <w:rsid w:val="004A1D1A"/>
    <w:rsid w:val="004A27E5"/>
    <w:rsid w:val="004A2B38"/>
    <w:rsid w:val="004A69D6"/>
    <w:rsid w:val="004B07D3"/>
    <w:rsid w:val="004B15E8"/>
    <w:rsid w:val="004B30E6"/>
    <w:rsid w:val="004B4E95"/>
    <w:rsid w:val="004C05FF"/>
    <w:rsid w:val="004C5821"/>
    <w:rsid w:val="004C5B80"/>
    <w:rsid w:val="004C5B96"/>
    <w:rsid w:val="004C7FDB"/>
    <w:rsid w:val="004D3B51"/>
    <w:rsid w:val="004D3F2F"/>
    <w:rsid w:val="004E2ED2"/>
    <w:rsid w:val="004E4A6E"/>
    <w:rsid w:val="004E7A06"/>
    <w:rsid w:val="004F3F99"/>
    <w:rsid w:val="004F7C83"/>
    <w:rsid w:val="00500765"/>
    <w:rsid w:val="00500E15"/>
    <w:rsid w:val="00502325"/>
    <w:rsid w:val="00503348"/>
    <w:rsid w:val="00507899"/>
    <w:rsid w:val="00510C42"/>
    <w:rsid w:val="005136F0"/>
    <w:rsid w:val="0051413B"/>
    <w:rsid w:val="005154DE"/>
    <w:rsid w:val="00515A06"/>
    <w:rsid w:val="00524213"/>
    <w:rsid w:val="00524FE5"/>
    <w:rsid w:val="00526B3F"/>
    <w:rsid w:val="00527FC5"/>
    <w:rsid w:val="00530C4D"/>
    <w:rsid w:val="005345CC"/>
    <w:rsid w:val="005354D9"/>
    <w:rsid w:val="00536EFD"/>
    <w:rsid w:val="00543AEA"/>
    <w:rsid w:val="005444DF"/>
    <w:rsid w:val="00545F6A"/>
    <w:rsid w:val="00550106"/>
    <w:rsid w:val="00550BB2"/>
    <w:rsid w:val="00561956"/>
    <w:rsid w:val="00562E5A"/>
    <w:rsid w:val="00563A1C"/>
    <w:rsid w:val="00571E57"/>
    <w:rsid w:val="00572579"/>
    <w:rsid w:val="005725C9"/>
    <w:rsid w:val="00577EDB"/>
    <w:rsid w:val="00580AF3"/>
    <w:rsid w:val="00582F4C"/>
    <w:rsid w:val="0058654E"/>
    <w:rsid w:val="00586836"/>
    <w:rsid w:val="0058723E"/>
    <w:rsid w:val="00587E3A"/>
    <w:rsid w:val="00593417"/>
    <w:rsid w:val="005946E7"/>
    <w:rsid w:val="005A010C"/>
    <w:rsid w:val="005A6E0E"/>
    <w:rsid w:val="005B0499"/>
    <w:rsid w:val="005B26BA"/>
    <w:rsid w:val="005B2802"/>
    <w:rsid w:val="005B32DE"/>
    <w:rsid w:val="005B4CA7"/>
    <w:rsid w:val="005C04C8"/>
    <w:rsid w:val="005C27BA"/>
    <w:rsid w:val="005C56C9"/>
    <w:rsid w:val="005C641D"/>
    <w:rsid w:val="005D117A"/>
    <w:rsid w:val="005D181B"/>
    <w:rsid w:val="005D3369"/>
    <w:rsid w:val="005D4099"/>
    <w:rsid w:val="005D47FF"/>
    <w:rsid w:val="005D5416"/>
    <w:rsid w:val="005D6C51"/>
    <w:rsid w:val="005D7D81"/>
    <w:rsid w:val="005E04E0"/>
    <w:rsid w:val="005E2ACF"/>
    <w:rsid w:val="005E5F7A"/>
    <w:rsid w:val="005E65E9"/>
    <w:rsid w:val="005F14E3"/>
    <w:rsid w:val="005F162C"/>
    <w:rsid w:val="0060080F"/>
    <w:rsid w:val="00600885"/>
    <w:rsid w:val="006009E8"/>
    <w:rsid w:val="0060213F"/>
    <w:rsid w:val="00602F54"/>
    <w:rsid w:val="006051CC"/>
    <w:rsid w:val="00606322"/>
    <w:rsid w:val="00607914"/>
    <w:rsid w:val="006103E0"/>
    <w:rsid w:val="0061771C"/>
    <w:rsid w:val="00620F8D"/>
    <w:rsid w:val="00621A08"/>
    <w:rsid w:val="006236E8"/>
    <w:rsid w:val="00624C8D"/>
    <w:rsid w:val="006256CC"/>
    <w:rsid w:val="006258FC"/>
    <w:rsid w:val="0063135E"/>
    <w:rsid w:val="00632183"/>
    <w:rsid w:val="00632E9E"/>
    <w:rsid w:val="00634BC5"/>
    <w:rsid w:val="00635662"/>
    <w:rsid w:val="00636CB1"/>
    <w:rsid w:val="00640006"/>
    <w:rsid w:val="00640161"/>
    <w:rsid w:val="0064507B"/>
    <w:rsid w:val="00645A49"/>
    <w:rsid w:val="00647459"/>
    <w:rsid w:val="00650260"/>
    <w:rsid w:val="006529A9"/>
    <w:rsid w:val="00657978"/>
    <w:rsid w:val="00657A5F"/>
    <w:rsid w:val="0066397A"/>
    <w:rsid w:val="00663DC8"/>
    <w:rsid w:val="00667833"/>
    <w:rsid w:val="00680119"/>
    <w:rsid w:val="006801EE"/>
    <w:rsid w:val="00680981"/>
    <w:rsid w:val="00680DB0"/>
    <w:rsid w:val="0068394E"/>
    <w:rsid w:val="006839D9"/>
    <w:rsid w:val="006841D6"/>
    <w:rsid w:val="0068531E"/>
    <w:rsid w:val="006862DD"/>
    <w:rsid w:val="00687004"/>
    <w:rsid w:val="00687575"/>
    <w:rsid w:val="006918DA"/>
    <w:rsid w:val="00691A66"/>
    <w:rsid w:val="00693464"/>
    <w:rsid w:val="00693FEE"/>
    <w:rsid w:val="006958CC"/>
    <w:rsid w:val="006965BF"/>
    <w:rsid w:val="006A0157"/>
    <w:rsid w:val="006A0765"/>
    <w:rsid w:val="006A29BC"/>
    <w:rsid w:val="006A2DCC"/>
    <w:rsid w:val="006A6F31"/>
    <w:rsid w:val="006B11B3"/>
    <w:rsid w:val="006B4591"/>
    <w:rsid w:val="006B45F9"/>
    <w:rsid w:val="006B543D"/>
    <w:rsid w:val="006C31D3"/>
    <w:rsid w:val="006C69A4"/>
    <w:rsid w:val="006D3C65"/>
    <w:rsid w:val="006D46E3"/>
    <w:rsid w:val="006D4C5F"/>
    <w:rsid w:val="006E71D9"/>
    <w:rsid w:val="006F1535"/>
    <w:rsid w:val="006F3A47"/>
    <w:rsid w:val="006F68D8"/>
    <w:rsid w:val="006F6CA4"/>
    <w:rsid w:val="006F6E85"/>
    <w:rsid w:val="007023B1"/>
    <w:rsid w:val="00702E29"/>
    <w:rsid w:val="0070360F"/>
    <w:rsid w:val="00706F76"/>
    <w:rsid w:val="00710669"/>
    <w:rsid w:val="00710797"/>
    <w:rsid w:val="00710D02"/>
    <w:rsid w:val="00711D04"/>
    <w:rsid w:val="0071309E"/>
    <w:rsid w:val="007134ED"/>
    <w:rsid w:val="00713CBA"/>
    <w:rsid w:val="00714FCC"/>
    <w:rsid w:val="0071572A"/>
    <w:rsid w:val="0071583C"/>
    <w:rsid w:val="0071735F"/>
    <w:rsid w:val="0072286E"/>
    <w:rsid w:val="0072319F"/>
    <w:rsid w:val="00723A03"/>
    <w:rsid w:val="0072648E"/>
    <w:rsid w:val="00731859"/>
    <w:rsid w:val="0073220C"/>
    <w:rsid w:val="00733340"/>
    <w:rsid w:val="00735897"/>
    <w:rsid w:val="00735DAB"/>
    <w:rsid w:val="00736EF0"/>
    <w:rsid w:val="00737515"/>
    <w:rsid w:val="00737702"/>
    <w:rsid w:val="007424D6"/>
    <w:rsid w:val="007463E5"/>
    <w:rsid w:val="0074694B"/>
    <w:rsid w:val="00747C6D"/>
    <w:rsid w:val="007518D4"/>
    <w:rsid w:val="00752D80"/>
    <w:rsid w:val="00752DB4"/>
    <w:rsid w:val="00754B18"/>
    <w:rsid w:val="00754EB5"/>
    <w:rsid w:val="007561C1"/>
    <w:rsid w:val="00757470"/>
    <w:rsid w:val="00761E29"/>
    <w:rsid w:val="007636C4"/>
    <w:rsid w:val="007643C3"/>
    <w:rsid w:val="00766EB5"/>
    <w:rsid w:val="00767A9C"/>
    <w:rsid w:val="00770F8E"/>
    <w:rsid w:val="00772797"/>
    <w:rsid w:val="00774CE1"/>
    <w:rsid w:val="00777DC5"/>
    <w:rsid w:val="0078197F"/>
    <w:rsid w:val="007825C8"/>
    <w:rsid w:val="007842E1"/>
    <w:rsid w:val="007842FA"/>
    <w:rsid w:val="00791D52"/>
    <w:rsid w:val="0079424E"/>
    <w:rsid w:val="007942B2"/>
    <w:rsid w:val="007960B0"/>
    <w:rsid w:val="007963F1"/>
    <w:rsid w:val="007A2BC0"/>
    <w:rsid w:val="007A324C"/>
    <w:rsid w:val="007A3D87"/>
    <w:rsid w:val="007A4DBC"/>
    <w:rsid w:val="007A6270"/>
    <w:rsid w:val="007A635B"/>
    <w:rsid w:val="007A7B9A"/>
    <w:rsid w:val="007B1337"/>
    <w:rsid w:val="007B3986"/>
    <w:rsid w:val="007B5847"/>
    <w:rsid w:val="007B6A9E"/>
    <w:rsid w:val="007B6E03"/>
    <w:rsid w:val="007B7E7A"/>
    <w:rsid w:val="007C4662"/>
    <w:rsid w:val="007C56D9"/>
    <w:rsid w:val="007C5BE1"/>
    <w:rsid w:val="007C6225"/>
    <w:rsid w:val="007D2379"/>
    <w:rsid w:val="007D5E38"/>
    <w:rsid w:val="007D63ED"/>
    <w:rsid w:val="007D6EE6"/>
    <w:rsid w:val="007E1B83"/>
    <w:rsid w:val="007E71CD"/>
    <w:rsid w:val="007E7374"/>
    <w:rsid w:val="007E7F15"/>
    <w:rsid w:val="007F23E0"/>
    <w:rsid w:val="007F2DE1"/>
    <w:rsid w:val="007F3086"/>
    <w:rsid w:val="007F3204"/>
    <w:rsid w:val="007F3A19"/>
    <w:rsid w:val="007F3FC5"/>
    <w:rsid w:val="007F52E5"/>
    <w:rsid w:val="008024E5"/>
    <w:rsid w:val="008031E5"/>
    <w:rsid w:val="00804CAD"/>
    <w:rsid w:val="00806767"/>
    <w:rsid w:val="00810C10"/>
    <w:rsid w:val="0081173E"/>
    <w:rsid w:val="008117F2"/>
    <w:rsid w:val="00812A8E"/>
    <w:rsid w:val="00815025"/>
    <w:rsid w:val="008155A8"/>
    <w:rsid w:val="008170FE"/>
    <w:rsid w:val="008173E7"/>
    <w:rsid w:val="00817C5A"/>
    <w:rsid w:val="00823330"/>
    <w:rsid w:val="00824202"/>
    <w:rsid w:val="00824627"/>
    <w:rsid w:val="00824DDD"/>
    <w:rsid w:val="00825AF4"/>
    <w:rsid w:val="008263A0"/>
    <w:rsid w:val="00827AE8"/>
    <w:rsid w:val="00834A48"/>
    <w:rsid w:val="008359F1"/>
    <w:rsid w:val="008423B1"/>
    <w:rsid w:val="0084508D"/>
    <w:rsid w:val="00845332"/>
    <w:rsid w:val="0084695F"/>
    <w:rsid w:val="008478DA"/>
    <w:rsid w:val="0085185B"/>
    <w:rsid w:val="008527D3"/>
    <w:rsid w:val="00854DA5"/>
    <w:rsid w:val="00855597"/>
    <w:rsid w:val="00860188"/>
    <w:rsid w:val="0086431F"/>
    <w:rsid w:val="00867B38"/>
    <w:rsid w:val="00870411"/>
    <w:rsid w:val="008704D7"/>
    <w:rsid w:val="0087080B"/>
    <w:rsid w:val="00873808"/>
    <w:rsid w:val="00873CA3"/>
    <w:rsid w:val="00881338"/>
    <w:rsid w:val="00883BC0"/>
    <w:rsid w:val="00884A10"/>
    <w:rsid w:val="00885227"/>
    <w:rsid w:val="008918DE"/>
    <w:rsid w:val="008919D2"/>
    <w:rsid w:val="0089234F"/>
    <w:rsid w:val="00892C84"/>
    <w:rsid w:val="00894D7F"/>
    <w:rsid w:val="00895155"/>
    <w:rsid w:val="008A0078"/>
    <w:rsid w:val="008A24DE"/>
    <w:rsid w:val="008A5D9C"/>
    <w:rsid w:val="008A5FF5"/>
    <w:rsid w:val="008A6ADC"/>
    <w:rsid w:val="008A700B"/>
    <w:rsid w:val="008B0328"/>
    <w:rsid w:val="008B470D"/>
    <w:rsid w:val="008C25FB"/>
    <w:rsid w:val="008C2D98"/>
    <w:rsid w:val="008C5276"/>
    <w:rsid w:val="008C5B02"/>
    <w:rsid w:val="008C60ED"/>
    <w:rsid w:val="008D1328"/>
    <w:rsid w:val="008D43EC"/>
    <w:rsid w:val="008D482F"/>
    <w:rsid w:val="008D55C0"/>
    <w:rsid w:val="008D608F"/>
    <w:rsid w:val="008D74A0"/>
    <w:rsid w:val="008E15DB"/>
    <w:rsid w:val="008E5299"/>
    <w:rsid w:val="008E6B7D"/>
    <w:rsid w:val="008E6DC2"/>
    <w:rsid w:val="008F409A"/>
    <w:rsid w:val="009016B1"/>
    <w:rsid w:val="00901CA7"/>
    <w:rsid w:val="0090212C"/>
    <w:rsid w:val="00902379"/>
    <w:rsid w:val="00903ADE"/>
    <w:rsid w:val="0090572F"/>
    <w:rsid w:val="00906B32"/>
    <w:rsid w:val="00910AD7"/>
    <w:rsid w:val="009117B2"/>
    <w:rsid w:val="009158FB"/>
    <w:rsid w:val="00915FD7"/>
    <w:rsid w:val="009205FD"/>
    <w:rsid w:val="009231DD"/>
    <w:rsid w:val="00927CE8"/>
    <w:rsid w:val="00934692"/>
    <w:rsid w:val="00941A08"/>
    <w:rsid w:val="0094279C"/>
    <w:rsid w:val="00943FE4"/>
    <w:rsid w:val="00955747"/>
    <w:rsid w:val="00955A3A"/>
    <w:rsid w:val="00955F3B"/>
    <w:rsid w:val="009601D5"/>
    <w:rsid w:val="009618E9"/>
    <w:rsid w:val="00963602"/>
    <w:rsid w:val="009645EE"/>
    <w:rsid w:val="00966FAE"/>
    <w:rsid w:val="00967067"/>
    <w:rsid w:val="009725A1"/>
    <w:rsid w:val="00974D0E"/>
    <w:rsid w:val="009757D8"/>
    <w:rsid w:val="00976B48"/>
    <w:rsid w:val="00976ED4"/>
    <w:rsid w:val="009801EE"/>
    <w:rsid w:val="00982E61"/>
    <w:rsid w:val="00986635"/>
    <w:rsid w:val="0099068B"/>
    <w:rsid w:val="00990701"/>
    <w:rsid w:val="0099102F"/>
    <w:rsid w:val="0099597F"/>
    <w:rsid w:val="009959C3"/>
    <w:rsid w:val="00995DB0"/>
    <w:rsid w:val="009966FE"/>
    <w:rsid w:val="009A0402"/>
    <w:rsid w:val="009A1F83"/>
    <w:rsid w:val="009A264C"/>
    <w:rsid w:val="009A327F"/>
    <w:rsid w:val="009A3497"/>
    <w:rsid w:val="009A3D15"/>
    <w:rsid w:val="009A4DC2"/>
    <w:rsid w:val="009A4DE5"/>
    <w:rsid w:val="009A5B20"/>
    <w:rsid w:val="009A5DA8"/>
    <w:rsid w:val="009A6FE9"/>
    <w:rsid w:val="009B15F4"/>
    <w:rsid w:val="009B1BEF"/>
    <w:rsid w:val="009B45C3"/>
    <w:rsid w:val="009B48C1"/>
    <w:rsid w:val="009B59D0"/>
    <w:rsid w:val="009B6E8B"/>
    <w:rsid w:val="009C1EED"/>
    <w:rsid w:val="009C222A"/>
    <w:rsid w:val="009D3046"/>
    <w:rsid w:val="009D309C"/>
    <w:rsid w:val="009D54DF"/>
    <w:rsid w:val="009D667D"/>
    <w:rsid w:val="009E5A9C"/>
    <w:rsid w:val="009F053F"/>
    <w:rsid w:val="009F07B6"/>
    <w:rsid w:val="009F0D61"/>
    <w:rsid w:val="009F0E7F"/>
    <w:rsid w:val="009F14A2"/>
    <w:rsid w:val="009F1C66"/>
    <w:rsid w:val="009F24A8"/>
    <w:rsid w:val="009F309F"/>
    <w:rsid w:val="009F4194"/>
    <w:rsid w:val="009F5A00"/>
    <w:rsid w:val="00A01303"/>
    <w:rsid w:val="00A02DB3"/>
    <w:rsid w:val="00A04BE1"/>
    <w:rsid w:val="00A05FDF"/>
    <w:rsid w:val="00A07594"/>
    <w:rsid w:val="00A15537"/>
    <w:rsid w:val="00A16937"/>
    <w:rsid w:val="00A16C02"/>
    <w:rsid w:val="00A17EC1"/>
    <w:rsid w:val="00A21BE9"/>
    <w:rsid w:val="00A23F54"/>
    <w:rsid w:val="00A241F9"/>
    <w:rsid w:val="00A2516B"/>
    <w:rsid w:val="00A3013D"/>
    <w:rsid w:val="00A3116F"/>
    <w:rsid w:val="00A32238"/>
    <w:rsid w:val="00A3284C"/>
    <w:rsid w:val="00A34EFC"/>
    <w:rsid w:val="00A34F6B"/>
    <w:rsid w:val="00A36310"/>
    <w:rsid w:val="00A4078D"/>
    <w:rsid w:val="00A45704"/>
    <w:rsid w:val="00A462C8"/>
    <w:rsid w:val="00A46E0C"/>
    <w:rsid w:val="00A46EB5"/>
    <w:rsid w:val="00A47565"/>
    <w:rsid w:val="00A5069A"/>
    <w:rsid w:val="00A52983"/>
    <w:rsid w:val="00A54DFF"/>
    <w:rsid w:val="00A56BD0"/>
    <w:rsid w:val="00A577A9"/>
    <w:rsid w:val="00A625D5"/>
    <w:rsid w:val="00A70AD7"/>
    <w:rsid w:val="00A72C68"/>
    <w:rsid w:val="00A73D35"/>
    <w:rsid w:val="00A74664"/>
    <w:rsid w:val="00A76B63"/>
    <w:rsid w:val="00A81C65"/>
    <w:rsid w:val="00A8286C"/>
    <w:rsid w:val="00A83BBC"/>
    <w:rsid w:val="00A8760E"/>
    <w:rsid w:val="00A96C2C"/>
    <w:rsid w:val="00AA0069"/>
    <w:rsid w:val="00AA3744"/>
    <w:rsid w:val="00AA4DEC"/>
    <w:rsid w:val="00AA66F5"/>
    <w:rsid w:val="00AA6742"/>
    <w:rsid w:val="00AA6831"/>
    <w:rsid w:val="00AB216A"/>
    <w:rsid w:val="00AB43AE"/>
    <w:rsid w:val="00AB4A85"/>
    <w:rsid w:val="00AC4942"/>
    <w:rsid w:val="00AC4C33"/>
    <w:rsid w:val="00AC4FA8"/>
    <w:rsid w:val="00AC5E0E"/>
    <w:rsid w:val="00AC6B06"/>
    <w:rsid w:val="00AD0394"/>
    <w:rsid w:val="00AD14FC"/>
    <w:rsid w:val="00AD1891"/>
    <w:rsid w:val="00AD2B4B"/>
    <w:rsid w:val="00AD2EAE"/>
    <w:rsid w:val="00AD3099"/>
    <w:rsid w:val="00AD45FE"/>
    <w:rsid w:val="00AD5678"/>
    <w:rsid w:val="00AD65B5"/>
    <w:rsid w:val="00AD77AB"/>
    <w:rsid w:val="00AD7DAC"/>
    <w:rsid w:val="00AE0438"/>
    <w:rsid w:val="00AE1EE7"/>
    <w:rsid w:val="00AE2B32"/>
    <w:rsid w:val="00AE2DC7"/>
    <w:rsid w:val="00AE40BF"/>
    <w:rsid w:val="00AE5EFB"/>
    <w:rsid w:val="00AE6B5B"/>
    <w:rsid w:val="00AE78E6"/>
    <w:rsid w:val="00AF016D"/>
    <w:rsid w:val="00AF381E"/>
    <w:rsid w:val="00AF494B"/>
    <w:rsid w:val="00AF64F0"/>
    <w:rsid w:val="00AF7CEC"/>
    <w:rsid w:val="00B01746"/>
    <w:rsid w:val="00B018BD"/>
    <w:rsid w:val="00B02D35"/>
    <w:rsid w:val="00B04CBB"/>
    <w:rsid w:val="00B05D0B"/>
    <w:rsid w:val="00B06724"/>
    <w:rsid w:val="00B112A8"/>
    <w:rsid w:val="00B143EA"/>
    <w:rsid w:val="00B16C9F"/>
    <w:rsid w:val="00B243F3"/>
    <w:rsid w:val="00B2730E"/>
    <w:rsid w:val="00B35314"/>
    <w:rsid w:val="00B3606A"/>
    <w:rsid w:val="00B369E5"/>
    <w:rsid w:val="00B44802"/>
    <w:rsid w:val="00B53889"/>
    <w:rsid w:val="00B56BAB"/>
    <w:rsid w:val="00B600DC"/>
    <w:rsid w:val="00B67F2D"/>
    <w:rsid w:val="00B7053A"/>
    <w:rsid w:val="00B712BF"/>
    <w:rsid w:val="00B74EE8"/>
    <w:rsid w:val="00B75A54"/>
    <w:rsid w:val="00B8090A"/>
    <w:rsid w:val="00B8248B"/>
    <w:rsid w:val="00B832D2"/>
    <w:rsid w:val="00B86DB5"/>
    <w:rsid w:val="00B90692"/>
    <w:rsid w:val="00B92904"/>
    <w:rsid w:val="00B94168"/>
    <w:rsid w:val="00BA2E33"/>
    <w:rsid w:val="00BA3801"/>
    <w:rsid w:val="00BB0C85"/>
    <w:rsid w:val="00BB2385"/>
    <w:rsid w:val="00BB355E"/>
    <w:rsid w:val="00BB35BD"/>
    <w:rsid w:val="00BC12AC"/>
    <w:rsid w:val="00BC2286"/>
    <w:rsid w:val="00BC2364"/>
    <w:rsid w:val="00BD4283"/>
    <w:rsid w:val="00BD42A7"/>
    <w:rsid w:val="00BD6007"/>
    <w:rsid w:val="00BE108F"/>
    <w:rsid w:val="00BE1621"/>
    <w:rsid w:val="00BE2666"/>
    <w:rsid w:val="00BE2CDC"/>
    <w:rsid w:val="00BE4C17"/>
    <w:rsid w:val="00BE506A"/>
    <w:rsid w:val="00BE704F"/>
    <w:rsid w:val="00BE7962"/>
    <w:rsid w:val="00BF05F9"/>
    <w:rsid w:val="00BF0E51"/>
    <w:rsid w:val="00BF1885"/>
    <w:rsid w:val="00BF22DC"/>
    <w:rsid w:val="00C02619"/>
    <w:rsid w:val="00C05609"/>
    <w:rsid w:val="00C05E8D"/>
    <w:rsid w:val="00C11837"/>
    <w:rsid w:val="00C13138"/>
    <w:rsid w:val="00C14ECA"/>
    <w:rsid w:val="00C151A2"/>
    <w:rsid w:val="00C17BC9"/>
    <w:rsid w:val="00C2176E"/>
    <w:rsid w:val="00C2459B"/>
    <w:rsid w:val="00C25527"/>
    <w:rsid w:val="00C25CA9"/>
    <w:rsid w:val="00C27BE2"/>
    <w:rsid w:val="00C27F5D"/>
    <w:rsid w:val="00C3076B"/>
    <w:rsid w:val="00C30CD9"/>
    <w:rsid w:val="00C32E35"/>
    <w:rsid w:val="00C35067"/>
    <w:rsid w:val="00C35385"/>
    <w:rsid w:val="00C3539F"/>
    <w:rsid w:val="00C35E9E"/>
    <w:rsid w:val="00C36A4A"/>
    <w:rsid w:val="00C40B2E"/>
    <w:rsid w:val="00C41A83"/>
    <w:rsid w:val="00C44D1B"/>
    <w:rsid w:val="00C45151"/>
    <w:rsid w:val="00C46E7F"/>
    <w:rsid w:val="00C512B5"/>
    <w:rsid w:val="00C51F70"/>
    <w:rsid w:val="00C53E51"/>
    <w:rsid w:val="00C56515"/>
    <w:rsid w:val="00C578D9"/>
    <w:rsid w:val="00C63DC0"/>
    <w:rsid w:val="00C65CC9"/>
    <w:rsid w:val="00C840F6"/>
    <w:rsid w:val="00C8537D"/>
    <w:rsid w:val="00C945E8"/>
    <w:rsid w:val="00C95165"/>
    <w:rsid w:val="00C96BF3"/>
    <w:rsid w:val="00CA1B81"/>
    <w:rsid w:val="00CA687C"/>
    <w:rsid w:val="00CB1E01"/>
    <w:rsid w:val="00CB308A"/>
    <w:rsid w:val="00CB6735"/>
    <w:rsid w:val="00CC60A0"/>
    <w:rsid w:val="00CC7A2A"/>
    <w:rsid w:val="00CD0E8C"/>
    <w:rsid w:val="00CD1182"/>
    <w:rsid w:val="00CD2F54"/>
    <w:rsid w:val="00CD583F"/>
    <w:rsid w:val="00CD7130"/>
    <w:rsid w:val="00CE27A9"/>
    <w:rsid w:val="00CE55EB"/>
    <w:rsid w:val="00CE5AC1"/>
    <w:rsid w:val="00CE7406"/>
    <w:rsid w:val="00CE7A6F"/>
    <w:rsid w:val="00CF0CDF"/>
    <w:rsid w:val="00CF4CDF"/>
    <w:rsid w:val="00CF5378"/>
    <w:rsid w:val="00CF5E74"/>
    <w:rsid w:val="00D055C2"/>
    <w:rsid w:val="00D063C9"/>
    <w:rsid w:val="00D06724"/>
    <w:rsid w:val="00D0754D"/>
    <w:rsid w:val="00D1216C"/>
    <w:rsid w:val="00D12FD3"/>
    <w:rsid w:val="00D1562C"/>
    <w:rsid w:val="00D16BBC"/>
    <w:rsid w:val="00D17AC4"/>
    <w:rsid w:val="00D21131"/>
    <w:rsid w:val="00D24822"/>
    <w:rsid w:val="00D26073"/>
    <w:rsid w:val="00D31419"/>
    <w:rsid w:val="00D31C1E"/>
    <w:rsid w:val="00D33BD4"/>
    <w:rsid w:val="00D34E6F"/>
    <w:rsid w:val="00D3511B"/>
    <w:rsid w:val="00D355F8"/>
    <w:rsid w:val="00D37E66"/>
    <w:rsid w:val="00D41A30"/>
    <w:rsid w:val="00D42283"/>
    <w:rsid w:val="00D567AC"/>
    <w:rsid w:val="00D603EC"/>
    <w:rsid w:val="00D61714"/>
    <w:rsid w:val="00D621B2"/>
    <w:rsid w:val="00D70188"/>
    <w:rsid w:val="00D71141"/>
    <w:rsid w:val="00D73733"/>
    <w:rsid w:val="00D7496B"/>
    <w:rsid w:val="00D75522"/>
    <w:rsid w:val="00D777A7"/>
    <w:rsid w:val="00D77F8F"/>
    <w:rsid w:val="00D80609"/>
    <w:rsid w:val="00D80EC5"/>
    <w:rsid w:val="00D80F1E"/>
    <w:rsid w:val="00D92301"/>
    <w:rsid w:val="00D9296E"/>
    <w:rsid w:val="00D935FE"/>
    <w:rsid w:val="00D953F0"/>
    <w:rsid w:val="00DA018F"/>
    <w:rsid w:val="00DA22B0"/>
    <w:rsid w:val="00DA47C0"/>
    <w:rsid w:val="00DA6505"/>
    <w:rsid w:val="00DB128F"/>
    <w:rsid w:val="00DB23A4"/>
    <w:rsid w:val="00DB40EB"/>
    <w:rsid w:val="00DB77CE"/>
    <w:rsid w:val="00DB7BD3"/>
    <w:rsid w:val="00DC6318"/>
    <w:rsid w:val="00DE12FD"/>
    <w:rsid w:val="00DE1F8E"/>
    <w:rsid w:val="00DE27B2"/>
    <w:rsid w:val="00DE3DD6"/>
    <w:rsid w:val="00DE6104"/>
    <w:rsid w:val="00DF14A4"/>
    <w:rsid w:val="00DF4127"/>
    <w:rsid w:val="00DF588C"/>
    <w:rsid w:val="00DF61BB"/>
    <w:rsid w:val="00E0002B"/>
    <w:rsid w:val="00E00FDF"/>
    <w:rsid w:val="00E01906"/>
    <w:rsid w:val="00E03397"/>
    <w:rsid w:val="00E04BBF"/>
    <w:rsid w:val="00E06762"/>
    <w:rsid w:val="00E104A0"/>
    <w:rsid w:val="00E123B4"/>
    <w:rsid w:val="00E12BB8"/>
    <w:rsid w:val="00E137F5"/>
    <w:rsid w:val="00E14DE7"/>
    <w:rsid w:val="00E16063"/>
    <w:rsid w:val="00E22372"/>
    <w:rsid w:val="00E23EF8"/>
    <w:rsid w:val="00E25427"/>
    <w:rsid w:val="00E2553F"/>
    <w:rsid w:val="00E4210E"/>
    <w:rsid w:val="00E4347D"/>
    <w:rsid w:val="00E443AA"/>
    <w:rsid w:val="00E44DD0"/>
    <w:rsid w:val="00E45BA3"/>
    <w:rsid w:val="00E461CA"/>
    <w:rsid w:val="00E51B79"/>
    <w:rsid w:val="00E57879"/>
    <w:rsid w:val="00E64287"/>
    <w:rsid w:val="00E6690E"/>
    <w:rsid w:val="00E67BA7"/>
    <w:rsid w:val="00E730AC"/>
    <w:rsid w:val="00E80C83"/>
    <w:rsid w:val="00E917A9"/>
    <w:rsid w:val="00E93060"/>
    <w:rsid w:val="00E93A39"/>
    <w:rsid w:val="00E944FF"/>
    <w:rsid w:val="00EA12F5"/>
    <w:rsid w:val="00EA3B5C"/>
    <w:rsid w:val="00EA5700"/>
    <w:rsid w:val="00EA7AE0"/>
    <w:rsid w:val="00EB23AF"/>
    <w:rsid w:val="00EB29AF"/>
    <w:rsid w:val="00EB51B6"/>
    <w:rsid w:val="00EB5F47"/>
    <w:rsid w:val="00EC161D"/>
    <w:rsid w:val="00EC3C60"/>
    <w:rsid w:val="00EC7BB5"/>
    <w:rsid w:val="00ED0CE7"/>
    <w:rsid w:val="00ED15CB"/>
    <w:rsid w:val="00ED1881"/>
    <w:rsid w:val="00ED3355"/>
    <w:rsid w:val="00ED4994"/>
    <w:rsid w:val="00EE16E8"/>
    <w:rsid w:val="00EE4420"/>
    <w:rsid w:val="00EE482E"/>
    <w:rsid w:val="00EE527B"/>
    <w:rsid w:val="00EE6749"/>
    <w:rsid w:val="00EF033A"/>
    <w:rsid w:val="00EF175A"/>
    <w:rsid w:val="00EF249C"/>
    <w:rsid w:val="00EF4AD6"/>
    <w:rsid w:val="00EF4D2C"/>
    <w:rsid w:val="00EF4FDA"/>
    <w:rsid w:val="00EF609C"/>
    <w:rsid w:val="00EF6FF9"/>
    <w:rsid w:val="00F0075E"/>
    <w:rsid w:val="00F00D02"/>
    <w:rsid w:val="00F012CE"/>
    <w:rsid w:val="00F01B36"/>
    <w:rsid w:val="00F01E43"/>
    <w:rsid w:val="00F0421A"/>
    <w:rsid w:val="00F0527F"/>
    <w:rsid w:val="00F06425"/>
    <w:rsid w:val="00F10AA1"/>
    <w:rsid w:val="00F11727"/>
    <w:rsid w:val="00F11AEF"/>
    <w:rsid w:val="00F1437A"/>
    <w:rsid w:val="00F16539"/>
    <w:rsid w:val="00F16EFF"/>
    <w:rsid w:val="00F2041E"/>
    <w:rsid w:val="00F21167"/>
    <w:rsid w:val="00F21DD9"/>
    <w:rsid w:val="00F21E1C"/>
    <w:rsid w:val="00F27350"/>
    <w:rsid w:val="00F3082F"/>
    <w:rsid w:val="00F310BC"/>
    <w:rsid w:val="00F31965"/>
    <w:rsid w:val="00F31ECA"/>
    <w:rsid w:val="00F32002"/>
    <w:rsid w:val="00F343F5"/>
    <w:rsid w:val="00F35B57"/>
    <w:rsid w:val="00F37C1C"/>
    <w:rsid w:val="00F40995"/>
    <w:rsid w:val="00F4479A"/>
    <w:rsid w:val="00F45FA8"/>
    <w:rsid w:val="00F5092A"/>
    <w:rsid w:val="00F5260D"/>
    <w:rsid w:val="00F57A43"/>
    <w:rsid w:val="00F609B7"/>
    <w:rsid w:val="00F610BB"/>
    <w:rsid w:val="00F624D0"/>
    <w:rsid w:val="00F62F8D"/>
    <w:rsid w:val="00F63CB3"/>
    <w:rsid w:val="00F6437B"/>
    <w:rsid w:val="00F65E45"/>
    <w:rsid w:val="00F6706D"/>
    <w:rsid w:val="00F74BBC"/>
    <w:rsid w:val="00F76BE8"/>
    <w:rsid w:val="00F77705"/>
    <w:rsid w:val="00F813EE"/>
    <w:rsid w:val="00F909D9"/>
    <w:rsid w:val="00F91364"/>
    <w:rsid w:val="00F919C5"/>
    <w:rsid w:val="00F93144"/>
    <w:rsid w:val="00F951C2"/>
    <w:rsid w:val="00F9643F"/>
    <w:rsid w:val="00F96C61"/>
    <w:rsid w:val="00FA1683"/>
    <w:rsid w:val="00FA3B49"/>
    <w:rsid w:val="00FA5E59"/>
    <w:rsid w:val="00FA60D7"/>
    <w:rsid w:val="00FA7861"/>
    <w:rsid w:val="00FB3148"/>
    <w:rsid w:val="00FB38E7"/>
    <w:rsid w:val="00FB63CC"/>
    <w:rsid w:val="00FB6F40"/>
    <w:rsid w:val="00FB752D"/>
    <w:rsid w:val="00FB769A"/>
    <w:rsid w:val="00FC114D"/>
    <w:rsid w:val="00FC14A6"/>
    <w:rsid w:val="00FC25FA"/>
    <w:rsid w:val="00FC44AB"/>
    <w:rsid w:val="00FC5A75"/>
    <w:rsid w:val="00FD0B7B"/>
    <w:rsid w:val="00FD3258"/>
    <w:rsid w:val="00FD3CA3"/>
    <w:rsid w:val="00FD5871"/>
    <w:rsid w:val="00FE39A8"/>
    <w:rsid w:val="00FE63AB"/>
    <w:rsid w:val="00FF0373"/>
    <w:rsid w:val="00FF0E23"/>
    <w:rsid w:val="00FF113E"/>
    <w:rsid w:val="00FF1F94"/>
    <w:rsid w:val="00FF2B21"/>
    <w:rsid w:val="00FF2C12"/>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A86187"/>
  <w15:docId w15:val="{19430BC1-D377-4101-8AB8-F747331D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7BD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link w:val="ListParagraphChar"/>
    <w:uiPriority w:val="34"/>
    <w:qFormat/>
    <w:rsid w:val="00873808"/>
    <w:pPr>
      <w:ind w:left="720"/>
    </w:pPr>
  </w:style>
  <w:style w:type="character" w:styleId="Hyperlink">
    <w:name w:val="Hyperlink"/>
    <w:basedOn w:val="DefaultParagraphFont"/>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rsid w:val="00873808"/>
    <w:rPr>
      <w:sz w:val="16"/>
      <w:szCs w:val="16"/>
    </w:rPr>
  </w:style>
  <w:style w:type="paragraph" w:styleId="CommentText">
    <w:name w:val="annotation text"/>
    <w:basedOn w:val="Normal"/>
    <w:link w:val="CommentTextChar"/>
    <w:uiPriority w:val="99"/>
    <w:rsid w:val="00873808"/>
    <w:rPr>
      <w:szCs w:val="20"/>
    </w:rPr>
  </w:style>
  <w:style w:type="character" w:customStyle="1" w:styleId="CommentTextChar">
    <w:name w:val="Comment Text Char"/>
    <w:basedOn w:val="DefaultParagraphFont"/>
    <w:link w:val="CommentText"/>
    <w:uiPriority w:val="99"/>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spacing w:before="24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 w:type="paragraph" w:styleId="Revision">
    <w:name w:val="Revision"/>
    <w:hidden/>
    <w:uiPriority w:val="99"/>
    <w:semiHidden/>
    <w:rsid w:val="00244B64"/>
    <w:rPr>
      <w:szCs w:val="24"/>
    </w:rPr>
  </w:style>
  <w:style w:type="table" w:customStyle="1" w:styleId="TableGrid2">
    <w:name w:val="Table Grid2"/>
    <w:basedOn w:val="TableNormal"/>
    <w:next w:val="TableGrid"/>
    <w:uiPriority w:val="59"/>
    <w:rsid w:val="00C3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55747"/>
    <w:rPr>
      <w:szCs w:val="24"/>
    </w:rPr>
  </w:style>
  <w:style w:type="character" w:customStyle="1" w:styleId="apple-converted-space">
    <w:name w:val="apple-converted-space"/>
    <w:basedOn w:val="DefaultParagraphFont"/>
    <w:rsid w:val="00854DA5"/>
  </w:style>
  <w:style w:type="character" w:styleId="Emphasis">
    <w:name w:val="Emphasis"/>
    <w:basedOn w:val="DefaultParagraphFont"/>
    <w:uiPriority w:val="20"/>
    <w:qFormat/>
    <w:rsid w:val="00854DA5"/>
    <w:rPr>
      <w:i/>
      <w:iCs/>
    </w:rPr>
  </w:style>
  <w:style w:type="paragraph" w:styleId="FootnoteText">
    <w:name w:val="footnote text"/>
    <w:basedOn w:val="Normal"/>
    <w:link w:val="FootnoteTextChar"/>
    <w:rsid w:val="00EB29AF"/>
    <w:rPr>
      <w:szCs w:val="20"/>
    </w:rPr>
  </w:style>
  <w:style w:type="character" w:customStyle="1" w:styleId="FootnoteTextChar">
    <w:name w:val="Footnote Text Char"/>
    <w:basedOn w:val="DefaultParagraphFont"/>
    <w:link w:val="FootnoteText"/>
    <w:rsid w:val="00EB29AF"/>
  </w:style>
  <w:style w:type="character" w:customStyle="1" w:styleId="Heading3Char">
    <w:name w:val="Heading 3 Char"/>
    <w:basedOn w:val="DefaultParagraphFont"/>
    <w:link w:val="Heading3"/>
    <w:semiHidden/>
    <w:rsid w:val="00DB7BD3"/>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semiHidden/>
    <w:unhideWhenUsed/>
    <w:rsid w:val="00DB7BD3"/>
    <w:rPr>
      <w:szCs w:val="20"/>
    </w:rPr>
  </w:style>
  <w:style w:type="character" w:customStyle="1" w:styleId="EndnoteTextChar">
    <w:name w:val="Endnote Text Char"/>
    <w:basedOn w:val="DefaultParagraphFont"/>
    <w:link w:val="EndnoteText"/>
    <w:semiHidden/>
    <w:rsid w:val="00DB7BD3"/>
  </w:style>
  <w:style w:type="character" w:styleId="EndnoteReference">
    <w:name w:val="endnote reference"/>
    <w:basedOn w:val="DefaultParagraphFont"/>
    <w:semiHidden/>
    <w:unhideWhenUsed/>
    <w:rsid w:val="00DB7B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775">
      <w:bodyDiv w:val="1"/>
      <w:marLeft w:val="0"/>
      <w:marRight w:val="0"/>
      <w:marTop w:val="0"/>
      <w:marBottom w:val="0"/>
      <w:divBdr>
        <w:top w:val="none" w:sz="0" w:space="0" w:color="auto"/>
        <w:left w:val="none" w:sz="0" w:space="0" w:color="auto"/>
        <w:bottom w:val="none" w:sz="0" w:space="0" w:color="auto"/>
        <w:right w:val="none" w:sz="0" w:space="0" w:color="auto"/>
      </w:divBdr>
    </w:div>
    <w:div w:id="89401003">
      <w:bodyDiv w:val="1"/>
      <w:marLeft w:val="0"/>
      <w:marRight w:val="0"/>
      <w:marTop w:val="0"/>
      <w:marBottom w:val="0"/>
      <w:divBdr>
        <w:top w:val="none" w:sz="0" w:space="0" w:color="auto"/>
        <w:left w:val="none" w:sz="0" w:space="0" w:color="auto"/>
        <w:bottom w:val="none" w:sz="0" w:space="0" w:color="auto"/>
        <w:right w:val="none" w:sz="0" w:space="0" w:color="auto"/>
      </w:divBdr>
    </w:div>
    <w:div w:id="130026836">
      <w:bodyDiv w:val="1"/>
      <w:marLeft w:val="0"/>
      <w:marRight w:val="0"/>
      <w:marTop w:val="0"/>
      <w:marBottom w:val="0"/>
      <w:divBdr>
        <w:top w:val="none" w:sz="0" w:space="0" w:color="auto"/>
        <w:left w:val="none" w:sz="0" w:space="0" w:color="auto"/>
        <w:bottom w:val="none" w:sz="0" w:space="0" w:color="auto"/>
        <w:right w:val="none" w:sz="0" w:space="0" w:color="auto"/>
      </w:divBdr>
    </w:div>
    <w:div w:id="238830185">
      <w:bodyDiv w:val="1"/>
      <w:marLeft w:val="0"/>
      <w:marRight w:val="0"/>
      <w:marTop w:val="0"/>
      <w:marBottom w:val="0"/>
      <w:divBdr>
        <w:top w:val="none" w:sz="0" w:space="0" w:color="auto"/>
        <w:left w:val="none" w:sz="0" w:space="0" w:color="auto"/>
        <w:bottom w:val="none" w:sz="0" w:space="0" w:color="auto"/>
        <w:right w:val="none" w:sz="0" w:space="0" w:color="auto"/>
      </w:divBdr>
    </w:div>
    <w:div w:id="313528017">
      <w:bodyDiv w:val="1"/>
      <w:marLeft w:val="0"/>
      <w:marRight w:val="0"/>
      <w:marTop w:val="0"/>
      <w:marBottom w:val="0"/>
      <w:divBdr>
        <w:top w:val="none" w:sz="0" w:space="0" w:color="auto"/>
        <w:left w:val="none" w:sz="0" w:space="0" w:color="auto"/>
        <w:bottom w:val="none" w:sz="0" w:space="0" w:color="auto"/>
        <w:right w:val="none" w:sz="0" w:space="0" w:color="auto"/>
      </w:divBdr>
    </w:div>
    <w:div w:id="476265083">
      <w:bodyDiv w:val="1"/>
      <w:marLeft w:val="0"/>
      <w:marRight w:val="0"/>
      <w:marTop w:val="0"/>
      <w:marBottom w:val="0"/>
      <w:divBdr>
        <w:top w:val="none" w:sz="0" w:space="0" w:color="auto"/>
        <w:left w:val="none" w:sz="0" w:space="0" w:color="auto"/>
        <w:bottom w:val="none" w:sz="0" w:space="0" w:color="auto"/>
        <w:right w:val="none" w:sz="0" w:space="0" w:color="auto"/>
      </w:divBdr>
    </w:div>
    <w:div w:id="479543644">
      <w:bodyDiv w:val="1"/>
      <w:marLeft w:val="0"/>
      <w:marRight w:val="0"/>
      <w:marTop w:val="0"/>
      <w:marBottom w:val="0"/>
      <w:divBdr>
        <w:top w:val="none" w:sz="0" w:space="0" w:color="auto"/>
        <w:left w:val="none" w:sz="0" w:space="0" w:color="auto"/>
        <w:bottom w:val="none" w:sz="0" w:space="0" w:color="auto"/>
        <w:right w:val="none" w:sz="0" w:space="0" w:color="auto"/>
      </w:divBdr>
    </w:div>
    <w:div w:id="545064552">
      <w:bodyDiv w:val="1"/>
      <w:marLeft w:val="0"/>
      <w:marRight w:val="0"/>
      <w:marTop w:val="30"/>
      <w:marBottom w:val="750"/>
      <w:divBdr>
        <w:top w:val="none" w:sz="0" w:space="0" w:color="auto"/>
        <w:left w:val="none" w:sz="0" w:space="0" w:color="auto"/>
        <w:bottom w:val="none" w:sz="0" w:space="0" w:color="auto"/>
        <w:right w:val="none" w:sz="0" w:space="0" w:color="auto"/>
      </w:divBdr>
      <w:divsChild>
        <w:div w:id="1794327333">
          <w:marLeft w:val="0"/>
          <w:marRight w:val="0"/>
          <w:marTop w:val="0"/>
          <w:marBottom w:val="0"/>
          <w:divBdr>
            <w:top w:val="none" w:sz="0" w:space="0" w:color="auto"/>
            <w:left w:val="none" w:sz="0" w:space="0" w:color="auto"/>
            <w:bottom w:val="none" w:sz="0" w:space="0" w:color="auto"/>
            <w:right w:val="none" w:sz="0" w:space="0" w:color="auto"/>
          </w:divBdr>
        </w:div>
      </w:divsChild>
    </w:div>
    <w:div w:id="762342887">
      <w:bodyDiv w:val="1"/>
      <w:marLeft w:val="0"/>
      <w:marRight w:val="0"/>
      <w:marTop w:val="0"/>
      <w:marBottom w:val="0"/>
      <w:divBdr>
        <w:top w:val="none" w:sz="0" w:space="0" w:color="auto"/>
        <w:left w:val="none" w:sz="0" w:space="0" w:color="auto"/>
        <w:bottom w:val="none" w:sz="0" w:space="0" w:color="auto"/>
        <w:right w:val="none" w:sz="0" w:space="0" w:color="auto"/>
      </w:divBdr>
    </w:div>
    <w:div w:id="799229448">
      <w:bodyDiv w:val="1"/>
      <w:marLeft w:val="0"/>
      <w:marRight w:val="0"/>
      <w:marTop w:val="0"/>
      <w:marBottom w:val="0"/>
      <w:divBdr>
        <w:top w:val="none" w:sz="0" w:space="0" w:color="auto"/>
        <w:left w:val="none" w:sz="0" w:space="0" w:color="auto"/>
        <w:bottom w:val="none" w:sz="0" w:space="0" w:color="auto"/>
        <w:right w:val="none" w:sz="0" w:space="0" w:color="auto"/>
      </w:divBdr>
    </w:div>
    <w:div w:id="805050009">
      <w:bodyDiv w:val="1"/>
      <w:marLeft w:val="0"/>
      <w:marRight w:val="0"/>
      <w:marTop w:val="0"/>
      <w:marBottom w:val="0"/>
      <w:divBdr>
        <w:top w:val="none" w:sz="0" w:space="0" w:color="auto"/>
        <w:left w:val="none" w:sz="0" w:space="0" w:color="auto"/>
        <w:bottom w:val="none" w:sz="0" w:space="0" w:color="auto"/>
        <w:right w:val="none" w:sz="0" w:space="0" w:color="auto"/>
      </w:divBdr>
    </w:div>
    <w:div w:id="852577258">
      <w:bodyDiv w:val="1"/>
      <w:marLeft w:val="0"/>
      <w:marRight w:val="0"/>
      <w:marTop w:val="0"/>
      <w:marBottom w:val="0"/>
      <w:divBdr>
        <w:top w:val="none" w:sz="0" w:space="0" w:color="auto"/>
        <w:left w:val="none" w:sz="0" w:space="0" w:color="auto"/>
        <w:bottom w:val="none" w:sz="0" w:space="0" w:color="auto"/>
        <w:right w:val="none" w:sz="0" w:space="0" w:color="auto"/>
      </w:divBdr>
    </w:div>
    <w:div w:id="945649828">
      <w:bodyDiv w:val="1"/>
      <w:marLeft w:val="0"/>
      <w:marRight w:val="0"/>
      <w:marTop w:val="0"/>
      <w:marBottom w:val="0"/>
      <w:divBdr>
        <w:top w:val="none" w:sz="0" w:space="0" w:color="auto"/>
        <w:left w:val="none" w:sz="0" w:space="0" w:color="auto"/>
        <w:bottom w:val="none" w:sz="0" w:space="0" w:color="auto"/>
        <w:right w:val="none" w:sz="0" w:space="0" w:color="auto"/>
      </w:divBdr>
    </w:div>
    <w:div w:id="1004892852">
      <w:bodyDiv w:val="1"/>
      <w:marLeft w:val="0"/>
      <w:marRight w:val="0"/>
      <w:marTop w:val="0"/>
      <w:marBottom w:val="0"/>
      <w:divBdr>
        <w:top w:val="none" w:sz="0" w:space="0" w:color="auto"/>
        <w:left w:val="none" w:sz="0" w:space="0" w:color="auto"/>
        <w:bottom w:val="none" w:sz="0" w:space="0" w:color="auto"/>
        <w:right w:val="none" w:sz="0" w:space="0" w:color="auto"/>
      </w:divBdr>
    </w:div>
    <w:div w:id="1134559739">
      <w:bodyDiv w:val="1"/>
      <w:marLeft w:val="0"/>
      <w:marRight w:val="0"/>
      <w:marTop w:val="0"/>
      <w:marBottom w:val="0"/>
      <w:divBdr>
        <w:top w:val="none" w:sz="0" w:space="0" w:color="auto"/>
        <w:left w:val="none" w:sz="0" w:space="0" w:color="auto"/>
        <w:bottom w:val="none" w:sz="0" w:space="0" w:color="auto"/>
        <w:right w:val="none" w:sz="0" w:space="0" w:color="auto"/>
      </w:divBdr>
    </w:div>
    <w:div w:id="1367608461">
      <w:bodyDiv w:val="1"/>
      <w:marLeft w:val="0"/>
      <w:marRight w:val="0"/>
      <w:marTop w:val="0"/>
      <w:marBottom w:val="0"/>
      <w:divBdr>
        <w:top w:val="none" w:sz="0" w:space="0" w:color="auto"/>
        <w:left w:val="none" w:sz="0" w:space="0" w:color="auto"/>
        <w:bottom w:val="none" w:sz="0" w:space="0" w:color="auto"/>
        <w:right w:val="none" w:sz="0" w:space="0" w:color="auto"/>
      </w:divBdr>
      <w:divsChild>
        <w:div w:id="1470708092">
          <w:marLeft w:val="0"/>
          <w:marRight w:val="0"/>
          <w:marTop w:val="0"/>
          <w:marBottom w:val="0"/>
          <w:divBdr>
            <w:top w:val="none" w:sz="0" w:space="0" w:color="auto"/>
            <w:left w:val="none" w:sz="0" w:space="0" w:color="auto"/>
            <w:bottom w:val="none" w:sz="0" w:space="0" w:color="auto"/>
            <w:right w:val="none" w:sz="0" w:space="0" w:color="auto"/>
          </w:divBdr>
          <w:divsChild>
            <w:div w:id="782578974">
              <w:marLeft w:val="0"/>
              <w:marRight w:val="0"/>
              <w:marTop w:val="0"/>
              <w:marBottom w:val="0"/>
              <w:divBdr>
                <w:top w:val="none" w:sz="0" w:space="0" w:color="auto"/>
                <w:left w:val="none" w:sz="0" w:space="0" w:color="auto"/>
                <w:bottom w:val="none" w:sz="0" w:space="0" w:color="auto"/>
                <w:right w:val="none" w:sz="0" w:space="0" w:color="auto"/>
              </w:divBdr>
              <w:divsChild>
                <w:div w:id="2040811954">
                  <w:marLeft w:val="0"/>
                  <w:marRight w:val="0"/>
                  <w:marTop w:val="0"/>
                  <w:marBottom w:val="0"/>
                  <w:divBdr>
                    <w:top w:val="none" w:sz="0" w:space="0" w:color="auto"/>
                    <w:left w:val="none" w:sz="0" w:space="0" w:color="auto"/>
                    <w:bottom w:val="none" w:sz="0" w:space="0" w:color="auto"/>
                    <w:right w:val="none" w:sz="0" w:space="0" w:color="auto"/>
                  </w:divBdr>
                  <w:divsChild>
                    <w:div w:id="6013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595">
      <w:bodyDiv w:val="1"/>
      <w:marLeft w:val="0"/>
      <w:marRight w:val="0"/>
      <w:marTop w:val="0"/>
      <w:marBottom w:val="0"/>
      <w:divBdr>
        <w:top w:val="none" w:sz="0" w:space="0" w:color="auto"/>
        <w:left w:val="none" w:sz="0" w:space="0" w:color="auto"/>
        <w:bottom w:val="none" w:sz="0" w:space="0" w:color="auto"/>
        <w:right w:val="none" w:sz="0" w:space="0" w:color="auto"/>
      </w:divBdr>
    </w:div>
    <w:div w:id="1509637125">
      <w:bodyDiv w:val="1"/>
      <w:marLeft w:val="0"/>
      <w:marRight w:val="0"/>
      <w:marTop w:val="0"/>
      <w:marBottom w:val="0"/>
      <w:divBdr>
        <w:top w:val="none" w:sz="0" w:space="0" w:color="auto"/>
        <w:left w:val="none" w:sz="0" w:space="0" w:color="auto"/>
        <w:bottom w:val="none" w:sz="0" w:space="0" w:color="auto"/>
        <w:right w:val="none" w:sz="0" w:space="0" w:color="auto"/>
      </w:divBdr>
    </w:div>
    <w:div w:id="1556814335">
      <w:bodyDiv w:val="1"/>
      <w:marLeft w:val="0"/>
      <w:marRight w:val="0"/>
      <w:marTop w:val="0"/>
      <w:marBottom w:val="0"/>
      <w:divBdr>
        <w:top w:val="none" w:sz="0" w:space="0" w:color="auto"/>
        <w:left w:val="none" w:sz="0" w:space="0" w:color="auto"/>
        <w:bottom w:val="none" w:sz="0" w:space="0" w:color="auto"/>
        <w:right w:val="none" w:sz="0" w:space="0" w:color="auto"/>
      </w:divBdr>
    </w:div>
    <w:div w:id="1560508789">
      <w:bodyDiv w:val="1"/>
      <w:marLeft w:val="0"/>
      <w:marRight w:val="0"/>
      <w:marTop w:val="0"/>
      <w:marBottom w:val="0"/>
      <w:divBdr>
        <w:top w:val="none" w:sz="0" w:space="0" w:color="auto"/>
        <w:left w:val="none" w:sz="0" w:space="0" w:color="auto"/>
        <w:bottom w:val="none" w:sz="0" w:space="0" w:color="auto"/>
        <w:right w:val="none" w:sz="0" w:space="0" w:color="auto"/>
      </w:divBdr>
    </w:div>
    <w:div w:id="1628974547">
      <w:bodyDiv w:val="1"/>
      <w:marLeft w:val="0"/>
      <w:marRight w:val="0"/>
      <w:marTop w:val="0"/>
      <w:marBottom w:val="0"/>
      <w:divBdr>
        <w:top w:val="none" w:sz="0" w:space="0" w:color="auto"/>
        <w:left w:val="none" w:sz="0" w:space="0" w:color="auto"/>
        <w:bottom w:val="none" w:sz="0" w:space="0" w:color="auto"/>
        <w:right w:val="none" w:sz="0" w:space="0" w:color="auto"/>
      </w:divBdr>
    </w:div>
    <w:div w:id="1655448670">
      <w:bodyDiv w:val="1"/>
      <w:marLeft w:val="0"/>
      <w:marRight w:val="0"/>
      <w:marTop w:val="0"/>
      <w:marBottom w:val="0"/>
      <w:divBdr>
        <w:top w:val="none" w:sz="0" w:space="0" w:color="auto"/>
        <w:left w:val="none" w:sz="0" w:space="0" w:color="auto"/>
        <w:bottom w:val="none" w:sz="0" w:space="0" w:color="auto"/>
        <w:right w:val="none" w:sz="0" w:space="0" w:color="auto"/>
      </w:divBdr>
    </w:div>
    <w:div w:id="1749375968">
      <w:bodyDiv w:val="1"/>
      <w:marLeft w:val="0"/>
      <w:marRight w:val="0"/>
      <w:marTop w:val="0"/>
      <w:marBottom w:val="0"/>
      <w:divBdr>
        <w:top w:val="none" w:sz="0" w:space="0" w:color="auto"/>
        <w:left w:val="none" w:sz="0" w:space="0" w:color="auto"/>
        <w:bottom w:val="none" w:sz="0" w:space="0" w:color="auto"/>
        <w:right w:val="none" w:sz="0" w:space="0" w:color="auto"/>
      </w:divBdr>
      <w:divsChild>
        <w:div w:id="1226721214">
          <w:marLeft w:val="0"/>
          <w:marRight w:val="0"/>
          <w:marTop w:val="0"/>
          <w:marBottom w:val="0"/>
          <w:divBdr>
            <w:top w:val="none" w:sz="0" w:space="0" w:color="auto"/>
            <w:left w:val="none" w:sz="0" w:space="0" w:color="auto"/>
            <w:bottom w:val="none" w:sz="0" w:space="0" w:color="auto"/>
            <w:right w:val="none" w:sz="0" w:space="0" w:color="auto"/>
          </w:divBdr>
          <w:divsChild>
            <w:div w:id="2079550857">
              <w:marLeft w:val="0"/>
              <w:marRight w:val="0"/>
              <w:marTop w:val="0"/>
              <w:marBottom w:val="0"/>
              <w:divBdr>
                <w:top w:val="none" w:sz="0" w:space="0" w:color="auto"/>
                <w:left w:val="none" w:sz="0" w:space="0" w:color="auto"/>
                <w:bottom w:val="none" w:sz="0" w:space="0" w:color="auto"/>
                <w:right w:val="none" w:sz="0" w:space="0" w:color="auto"/>
              </w:divBdr>
              <w:divsChild>
                <w:div w:id="48502742">
                  <w:marLeft w:val="0"/>
                  <w:marRight w:val="0"/>
                  <w:marTop w:val="0"/>
                  <w:marBottom w:val="0"/>
                  <w:divBdr>
                    <w:top w:val="none" w:sz="0" w:space="0" w:color="auto"/>
                    <w:left w:val="none" w:sz="0" w:space="0" w:color="auto"/>
                    <w:bottom w:val="none" w:sz="0" w:space="0" w:color="auto"/>
                    <w:right w:val="none" w:sz="0" w:space="0" w:color="auto"/>
                  </w:divBdr>
                  <w:divsChild>
                    <w:div w:id="2070418040">
                      <w:marLeft w:val="0"/>
                      <w:marRight w:val="0"/>
                      <w:marTop w:val="0"/>
                      <w:marBottom w:val="0"/>
                      <w:divBdr>
                        <w:top w:val="none" w:sz="0" w:space="0" w:color="auto"/>
                        <w:left w:val="none" w:sz="0" w:space="0" w:color="auto"/>
                        <w:bottom w:val="none" w:sz="0" w:space="0" w:color="auto"/>
                        <w:right w:val="none" w:sz="0" w:space="0" w:color="auto"/>
                      </w:divBdr>
                      <w:divsChild>
                        <w:div w:id="1475754635">
                          <w:marLeft w:val="0"/>
                          <w:marRight w:val="0"/>
                          <w:marTop w:val="0"/>
                          <w:marBottom w:val="0"/>
                          <w:divBdr>
                            <w:top w:val="none" w:sz="0" w:space="0" w:color="auto"/>
                            <w:left w:val="none" w:sz="0" w:space="0" w:color="auto"/>
                            <w:bottom w:val="none" w:sz="0" w:space="0" w:color="auto"/>
                            <w:right w:val="none" w:sz="0" w:space="0" w:color="auto"/>
                          </w:divBdr>
                          <w:divsChild>
                            <w:div w:id="2034531082">
                              <w:marLeft w:val="0"/>
                              <w:marRight w:val="0"/>
                              <w:marTop w:val="0"/>
                              <w:marBottom w:val="0"/>
                              <w:divBdr>
                                <w:top w:val="none" w:sz="0" w:space="0" w:color="auto"/>
                                <w:left w:val="none" w:sz="0" w:space="0" w:color="auto"/>
                                <w:bottom w:val="none" w:sz="0" w:space="0" w:color="auto"/>
                                <w:right w:val="none" w:sz="0" w:space="0" w:color="auto"/>
                              </w:divBdr>
                              <w:divsChild>
                                <w:div w:id="1940676377">
                                  <w:marLeft w:val="0"/>
                                  <w:marRight w:val="0"/>
                                  <w:marTop w:val="0"/>
                                  <w:marBottom w:val="0"/>
                                  <w:divBdr>
                                    <w:top w:val="none" w:sz="0" w:space="0" w:color="auto"/>
                                    <w:left w:val="none" w:sz="0" w:space="0" w:color="auto"/>
                                    <w:bottom w:val="none" w:sz="0" w:space="0" w:color="auto"/>
                                    <w:right w:val="none" w:sz="0" w:space="0" w:color="auto"/>
                                  </w:divBdr>
                                  <w:divsChild>
                                    <w:div w:id="18626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569863">
      <w:bodyDiv w:val="1"/>
      <w:marLeft w:val="0"/>
      <w:marRight w:val="0"/>
      <w:marTop w:val="0"/>
      <w:marBottom w:val="0"/>
      <w:divBdr>
        <w:top w:val="none" w:sz="0" w:space="0" w:color="auto"/>
        <w:left w:val="none" w:sz="0" w:space="0" w:color="auto"/>
        <w:bottom w:val="none" w:sz="0" w:space="0" w:color="auto"/>
        <w:right w:val="none" w:sz="0" w:space="0" w:color="auto"/>
      </w:divBdr>
    </w:div>
    <w:div w:id="1995602614">
      <w:bodyDiv w:val="1"/>
      <w:marLeft w:val="0"/>
      <w:marRight w:val="0"/>
      <w:marTop w:val="0"/>
      <w:marBottom w:val="0"/>
      <w:divBdr>
        <w:top w:val="none" w:sz="0" w:space="0" w:color="auto"/>
        <w:left w:val="none" w:sz="0" w:space="0" w:color="auto"/>
        <w:bottom w:val="none" w:sz="0" w:space="0" w:color="auto"/>
        <w:right w:val="none" w:sz="0" w:space="0" w:color="auto"/>
      </w:divBdr>
    </w:div>
    <w:div w:id="2013095948">
      <w:bodyDiv w:val="1"/>
      <w:marLeft w:val="0"/>
      <w:marRight w:val="0"/>
      <w:marTop w:val="0"/>
      <w:marBottom w:val="0"/>
      <w:divBdr>
        <w:top w:val="none" w:sz="0" w:space="0" w:color="auto"/>
        <w:left w:val="none" w:sz="0" w:space="0" w:color="auto"/>
        <w:bottom w:val="none" w:sz="0" w:space="0" w:color="auto"/>
        <w:right w:val="none" w:sz="0" w:space="0" w:color="auto"/>
      </w:divBdr>
    </w:div>
    <w:div w:id="20481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info.gov/app/details/CFR-2016-title45-vol1/CFR-2016-title45-vol1-part60" TargetMode="External"/><Relationship Id="rId18" Type="http://schemas.openxmlformats.org/officeDocument/2006/relationships/hyperlink" Target="https://www.npdb.hrsa.gov" TargetMode="External"/><Relationship Id="rId26" Type="http://schemas.openxmlformats.org/officeDocument/2006/relationships/hyperlink" Target="http://www.bls.gov/ooh/management/administrative-services-managers.htm" TargetMode="External"/><Relationship Id="rId3" Type="http://schemas.openxmlformats.org/officeDocument/2006/relationships/customXml" Target="../customXml/item3.xml"/><Relationship Id="rId21" Type="http://schemas.openxmlformats.org/officeDocument/2006/relationships/hyperlink" Target="http://www.bls.gov/bls/blswage.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info.gov/content/pkg/PLAW-111publ148/html/PLAW-111publ148.htm" TargetMode="External"/><Relationship Id="rId25" Type="http://schemas.openxmlformats.org/officeDocument/2006/relationships/hyperlink" Target="http://www.bls.gov/oes/current/oes290000.htm" TargetMode="External"/><Relationship Id="rId2" Type="http://schemas.openxmlformats.org/officeDocument/2006/relationships/customXml" Target="../customXml/item2.xml"/><Relationship Id="rId16" Type="http://schemas.openxmlformats.org/officeDocument/2006/relationships/hyperlink" Target="https://www.ssa.gov/OP_Home/ssact/title11/1128E.htm" TargetMode="External"/><Relationship Id="rId20" Type="http://schemas.openxmlformats.org/officeDocument/2006/relationships/hyperlink" Target="http://www.hhs.gov/sites/default/files/bhw-national-practitioner-data-bank.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ls.gov/oes/current/oes130000.htm" TargetMode="External"/><Relationship Id="rId5" Type="http://schemas.openxmlformats.org/officeDocument/2006/relationships/customXml" Target="../customXml/item5.xml"/><Relationship Id="rId15" Type="http://schemas.openxmlformats.org/officeDocument/2006/relationships/hyperlink" Target="https://www.ssa.gov/OP_Home/ssact/title11/1128E.htm" TargetMode="External"/><Relationship Id="rId23" Type="http://schemas.openxmlformats.org/officeDocument/2006/relationships/hyperlink" Target="http://www.bls.gov/ooh/business-and-financial/claims-adjusters-appraisers-examiners-and-investigators.ht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npdb.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sa.gov/OP_Home/comp2/F099-660.html" TargetMode="External"/><Relationship Id="rId22" Type="http://schemas.openxmlformats.org/officeDocument/2006/relationships/hyperlink" Target="http://www.bls.gov/oes/current/oes250000.htm" TargetMode="External"/><Relationship Id="rId27" Type="http://schemas.openxmlformats.org/officeDocument/2006/relationships/hyperlink" Target="http://www.bls.gov/oes/current/oes110000.ht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db.hrsa.gov/guidebook/BWhatIsAnEligibleEntity.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29DE-92D1-4F83-B2B9-5B73E96DEDEA}">
  <ds:schemaRefs>
    <ds:schemaRef ds:uri="Microsoft.SharePoint.Taxonomy.ContentTypeSync"/>
  </ds:schemaRefs>
</ds:datastoreItem>
</file>

<file path=customXml/itemProps2.xml><?xml version="1.0" encoding="utf-8"?>
<ds:datastoreItem xmlns:ds="http://schemas.openxmlformats.org/officeDocument/2006/customXml" ds:itemID="{6ABE50C3-8D5E-4A51-AAC3-6A8E2DC0C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CA2A92-DDFE-4B86-9B3D-2AF5B9C222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AEE880-2DB8-488A-B61D-5DCCB4EFD8A6}">
  <ds:schemaRefs>
    <ds:schemaRef ds:uri="http://schemas.microsoft.com/sharepoint/v3/contenttype/forms"/>
  </ds:schemaRefs>
</ds:datastoreItem>
</file>

<file path=customXml/itemProps5.xml><?xml version="1.0" encoding="utf-8"?>
<ds:datastoreItem xmlns:ds="http://schemas.openxmlformats.org/officeDocument/2006/customXml" ds:itemID="{FCA3B5C0-6D8A-432D-8124-A5B8D6161FBE}">
  <ds:schemaRefs>
    <ds:schemaRef ds:uri="Microsoft.SharePoint.Taxonomy.ContentTypeSync"/>
  </ds:schemaRefs>
</ds:datastoreItem>
</file>

<file path=customXml/itemProps6.xml><?xml version="1.0" encoding="utf-8"?>
<ds:datastoreItem xmlns:ds="http://schemas.openxmlformats.org/officeDocument/2006/customXml" ds:itemID="{1101E79B-47A5-41B9-9784-BAAF3965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4654</Words>
  <Characters>28733</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DNguyen</dc:creator>
  <cp:lastModifiedBy>Elyana N.  Bowman</cp:lastModifiedBy>
  <cp:revision>26</cp:revision>
  <cp:lastPrinted>2020-02-18T22:01:00Z</cp:lastPrinted>
  <dcterms:created xsi:type="dcterms:W3CDTF">2020-03-04T02:02:00Z</dcterms:created>
  <dcterms:modified xsi:type="dcterms:W3CDTF">2020-04-10T16:18:00Z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6237a0e3-176f-43af-ab89-a663ee5387bf</vt:lpwstr>
  </property>
  <property fmtid="{D5CDD505-2E9C-101B-9397-08002B2CF9AE}" pid="4" name="TaxKeyword">
    <vt:lpwstr/>
  </property>
  <property fmtid="{D5CDD505-2E9C-101B-9397-08002B2CF9AE}" pid="5" name="TaxKeywordTaxHTField">
    <vt:lpwstr/>
  </property>
  <property fmtid="{D5CDD505-2E9C-101B-9397-08002B2CF9AE}" pid="6" name="Year">
    <vt:lpwstr>2016</vt:lpwstr>
  </property>
  <property fmtid="{D5CDD505-2E9C-101B-9397-08002B2CF9AE}" pid="7" name="Details">
    <vt:lpwstr>Supporting Statement</vt:lpwstr>
  </property>
  <property fmtid="{D5CDD505-2E9C-101B-9397-08002B2CF9AE}" pid="8" name="Month">
    <vt:lpwstr>July</vt:lpwstr>
  </property>
  <property fmtid="{D5CDD505-2E9C-101B-9397-08002B2CF9AE}" pid="9" name="Draft">
    <vt:bool>true</vt:bool>
  </property>
  <property fmtid="{D5CDD505-2E9C-101B-9397-08002B2CF9AE}" pid="10" name="_dlc_DocId">
    <vt:lpwstr>DZXA3YQD6WY2-191-632</vt:lpwstr>
  </property>
  <property fmtid="{D5CDD505-2E9C-101B-9397-08002B2CF9AE}" pid="11" name="Disposition0">
    <vt:lpwstr>DRAFT</vt:lpwstr>
  </property>
  <property fmtid="{D5CDD505-2E9C-101B-9397-08002B2CF9AE}" pid="12" name="_dlc_DocIdUrl">
    <vt:lpwstr>https://sharepoint.hrsa.gov/teams/bhpr/dpdb/_layouts/DocIdRedir.aspx?ID=DZXA3YQD6WY2-191-632, DZXA3YQD6WY2-191-632</vt:lpwstr>
  </property>
</Properties>
</file>