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25CB" w:rsidR="004C7516" w:rsidP="00006BB0" w:rsidRDefault="00F92ACC">
      <w:pPr>
        <w:pStyle w:val="NormalWeb"/>
        <w:spacing w:before="120" w:beforeAutospacing="0" w:after="120" w:afterAutospacing="0"/>
        <w:jc w:val="center"/>
        <w:rPr>
          <w:sz w:val="22"/>
          <w:szCs w:val="22"/>
          <w:u w:val="single"/>
        </w:rPr>
      </w:pPr>
      <w:bookmarkStart w:name="cs31d" w:id="0"/>
      <w:r w:rsidRPr="000D25CB">
        <w:rPr>
          <w:sz w:val="22"/>
          <w:szCs w:val="22"/>
          <w:u w:val="single"/>
        </w:rPr>
        <w:t>SUPPORTING STATEMENT</w:t>
      </w:r>
      <w:r w:rsidRPr="000D25CB" w:rsidR="000A2459">
        <w:rPr>
          <w:sz w:val="22"/>
          <w:szCs w:val="22"/>
          <w:u w:val="single"/>
        </w:rPr>
        <w:t xml:space="preserve"> – PART A</w:t>
      </w:r>
    </w:p>
    <w:p w:rsidR="00445581" w:rsidP="00006BB0" w:rsidRDefault="00FC0793">
      <w:pPr>
        <w:pStyle w:val="NormalWeb"/>
        <w:spacing w:before="120" w:beforeAutospacing="0" w:after="120" w:afterAutospacing="0"/>
        <w:jc w:val="center"/>
        <w:rPr>
          <w:sz w:val="22"/>
          <w:szCs w:val="22"/>
          <w:u w:val="single"/>
        </w:rPr>
      </w:pPr>
      <w:r w:rsidRPr="000D25CB">
        <w:rPr>
          <w:sz w:val="22"/>
          <w:szCs w:val="22"/>
          <w:u w:val="single"/>
        </w:rPr>
        <w:t xml:space="preserve">Industry Cost Collection Report </w:t>
      </w:r>
      <w:r w:rsidRPr="000D25CB" w:rsidR="00445581">
        <w:rPr>
          <w:sz w:val="22"/>
          <w:szCs w:val="22"/>
          <w:u w:val="single"/>
        </w:rPr>
        <w:t xml:space="preserve">– OMB </w:t>
      </w:r>
      <w:r w:rsidRPr="000D25CB" w:rsidR="00127A99">
        <w:rPr>
          <w:sz w:val="22"/>
          <w:szCs w:val="22"/>
          <w:u w:val="single"/>
        </w:rPr>
        <w:t>0704-0458</w:t>
      </w:r>
    </w:p>
    <w:p w:rsidR="009F0B59" w:rsidP="00006BB0" w:rsidRDefault="009F0B59">
      <w:pPr>
        <w:pStyle w:val="NormalWeb"/>
        <w:spacing w:before="120" w:beforeAutospacing="0" w:after="120" w:afterAutospacing="0"/>
        <w:jc w:val="center"/>
        <w:rPr>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4F4A9A" w:rsidR="009F0B59" w:rsidTr="004F4A9A">
        <w:tc>
          <w:tcPr>
            <w:tcW w:w="9576" w:type="dxa"/>
            <w:shd w:val="clear" w:color="auto" w:fill="auto"/>
          </w:tcPr>
          <w:p w:rsidRPr="004F4A9A" w:rsidR="009F0B59" w:rsidP="004F4A9A" w:rsidRDefault="009F0B59">
            <w:pPr>
              <w:pStyle w:val="NormalWeb"/>
              <w:spacing w:before="120" w:beforeAutospacing="0" w:after="120" w:afterAutospacing="0"/>
              <w:rPr>
                <w:b/>
                <w:sz w:val="22"/>
                <w:szCs w:val="22"/>
                <w:u w:val="single"/>
              </w:rPr>
            </w:pPr>
            <w:r w:rsidRPr="004F4A9A">
              <w:rPr>
                <w:b/>
                <w:sz w:val="22"/>
                <w:szCs w:val="22"/>
                <w:u w:val="single"/>
              </w:rPr>
              <w:t>Summary of Changes</w:t>
            </w:r>
          </w:p>
          <w:p w:rsidRPr="004F4A9A" w:rsidR="009F0B59" w:rsidP="004F4A9A" w:rsidRDefault="006C6FEA">
            <w:pPr>
              <w:pStyle w:val="NormalWeb"/>
              <w:numPr>
                <w:ilvl w:val="0"/>
                <w:numId w:val="16"/>
              </w:numPr>
              <w:spacing w:before="120" w:beforeAutospacing="0" w:after="120" w:afterAutospacing="0"/>
              <w:rPr>
                <w:sz w:val="22"/>
                <w:szCs w:val="22"/>
                <w:u w:val="single"/>
              </w:rPr>
            </w:pPr>
            <w:r w:rsidRPr="004F4A9A">
              <w:rPr>
                <w:sz w:val="22"/>
                <w:szCs w:val="22"/>
              </w:rPr>
              <w:t>The burden estimates for respondent and Federal labor have slightly increased since this ICRs last approval in 2017. This is due to a rise in estimated labor costs for respondents and an increase in the number of respondents.</w:t>
            </w:r>
          </w:p>
        </w:tc>
      </w:tr>
    </w:tbl>
    <w:p w:rsidRPr="000D25CB" w:rsidR="009F0B59" w:rsidP="00006BB0" w:rsidRDefault="009F0B59">
      <w:pPr>
        <w:pStyle w:val="NormalWeb"/>
        <w:spacing w:before="120" w:beforeAutospacing="0" w:after="120" w:afterAutospacing="0"/>
        <w:jc w:val="center"/>
        <w:rPr>
          <w:sz w:val="22"/>
          <w:szCs w:val="22"/>
          <w:u w:val="single"/>
        </w:rPr>
      </w:pPr>
    </w:p>
    <w:p w:rsidRPr="000D25CB" w:rsidR="005E0A0F" w:rsidP="008429D4" w:rsidRDefault="005E0A0F">
      <w:pPr>
        <w:pStyle w:val="NormalWeb"/>
        <w:numPr>
          <w:ilvl w:val="0"/>
          <w:numId w:val="4"/>
        </w:numPr>
        <w:spacing w:before="120" w:beforeAutospacing="0" w:after="120" w:afterAutospacing="0"/>
        <w:jc w:val="both"/>
        <w:rPr>
          <w:sz w:val="22"/>
          <w:szCs w:val="22"/>
          <w:u w:val="single"/>
        </w:rPr>
      </w:pPr>
      <w:r w:rsidRPr="000D25CB">
        <w:rPr>
          <w:sz w:val="22"/>
          <w:szCs w:val="22"/>
          <w:u w:val="single"/>
        </w:rPr>
        <w:t>JUSTIFICATION</w:t>
      </w:r>
      <w:r w:rsidRPr="000D25CB">
        <w:rPr>
          <w:sz w:val="22"/>
          <w:szCs w:val="22"/>
        </w:rPr>
        <w:cr/>
      </w:r>
      <w:bookmarkStart w:name="cp432" w:id="1"/>
      <w:bookmarkEnd w:id="0"/>
      <w:r w:rsidRPr="000D25CB">
        <w:rPr>
          <w:sz w:val="22"/>
          <w:szCs w:val="22"/>
          <w:u w:val="single"/>
        </w:rPr>
        <w:t>Need for the Information Collection</w:t>
      </w:r>
    </w:p>
    <w:p w:rsidRPr="000D25CB" w:rsidR="00A0351C" w:rsidP="00006BB0" w:rsidRDefault="009128BC">
      <w:pPr>
        <w:pStyle w:val="NormalWeb"/>
        <w:spacing w:before="120" w:beforeAutospacing="0" w:after="120" w:afterAutospacing="0"/>
        <w:ind w:left="720"/>
        <w:jc w:val="both"/>
        <w:rPr>
          <w:sz w:val="22"/>
          <w:szCs w:val="22"/>
        </w:rPr>
      </w:pPr>
      <w:r w:rsidRPr="000D25CB">
        <w:rPr>
          <w:sz w:val="22"/>
          <w:szCs w:val="22"/>
        </w:rPr>
        <w:t xml:space="preserve">Executive Order </w:t>
      </w:r>
      <w:r w:rsidRPr="000D25CB" w:rsidR="00316E72">
        <w:rPr>
          <w:sz w:val="22"/>
          <w:szCs w:val="22"/>
        </w:rPr>
        <w:t>(EO</w:t>
      </w:r>
      <w:r w:rsidRPr="000D25CB" w:rsidR="00006BB0">
        <w:rPr>
          <w:sz w:val="22"/>
          <w:szCs w:val="22"/>
        </w:rPr>
        <w:t xml:space="preserve">) </w:t>
      </w:r>
      <w:r w:rsidRPr="000D25CB">
        <w:rPr>
          <w:sz w:val="22"/>
          <w:szCs w:val="22"/>
        </w:rPr>
        <w:t>12829</w:t>
      </w:r>
      <w:r w:rsidRPr="000D25CB" w:rsidR="00316E72">
        <w:rPr>
          <w:sz w:val="22"/>
          <w:szCs w:val="22"/>
        </w:rPr>
        <w:t xml:space="preserve">, “National Industrial Security Program (NISP)”, </w:t>
      </w:r>
      <w:r w:rsidRPr="000D25CB">
        <w:rPr>
          <w:sz w:val="22"/>
          <w:szCs w:val="22"/>
        </w:rPr>
        <w:t>required agency heads to account each year for intra-agency costs associated with the impl</w:t>
      </w:r>
      <w:r w:rsidRPr="000D25CB" w:rsidR="0032094E">
        <w:rPr>
          <w:sz w:val="22"/>
          <w:szCs w:val="22"/>
        </w:rPr>
        <w:t>ementation</w:t>
      </w:r>
      <w:r w:rsidRPr="000D25CB">
        <w:rPr>
          <w:sz w:val="22"/>
          <w:szCs w:val="22"/>
        </w:rPr>
        <w:t xml:space="preserve"> of the NISP and to report these costs to the Director, Information Security Oversight Office (ISOO), who is responsible for including them in annual reports to the President</w:t>
      </w:r>
      <w:r w:rsidRPr="000D25CB" w:rsidR="00006BB0">
        <w:rPr>
          <w:sz w:val="22"/>
          <w:szCs w:val="22"/>
        </w:rPr>
        <w:t xml:space="preserve">. </w:t>
      </w:r>
      <w:r w:rsidRPr="000D25CB">
        <w:rPr>
          <w:sz w:val="22"/>
          <w:szCs w:val="22"/>
        </w:rPr>
        <w:t xml:space="preserve">In furtherance of this requirement, and pursuant with 32 </w:t>
      </w:r>
      <w:r w:rsidRPr="000D25CB" w:rsidR="00006BB0">
        <w:rPr>
          <w:sz w:val="22"/>
          <w:szCs w:val="22"/>
        </w:rPr>
        <w:t>Code of Federal Regulations (</w:t>
      </w:r>
      <w:r w:rsidRPr="000D25CB">
        <w:rPr>
          <w:sz w:val="22"/>
          <w:szCs w:val="22"/>
        </w:rPr>
        <w:t>CFR</w:t>
      </w:r>
      <w:r w:rsidRPr="000D25CB" w:rsidR="00006BB0">
        <w:rPr>
          <w:sz w:val="22"/>
          <w:szCs w:val="22"/>
        </w:rPr>
        <w:t>)</w:t>
      </w:r>
      <w:r w:rsidRPr="000D25CB">
        <w:rPr>
          <w:sz w:val="22"/>
          <w:szCs w:val="22"/>
        </w:rPr>
        <w:t xml:space="preserve">, Subpart F, section 2001.61 (b); </w:t>
      </w:r>
      <w:r w:rsidRPr="000D25CB" w:rsidR="007D430D">
        <w:rPr>
          <w:sz w:val="22"/>
          <w:szCs w:val="22"/>
        </w:rPr>
        <w:t>“</w:t>
      </w:r>
      <w:r w:rsidRPr="000D25CB">
        <w:rPr>
          <w:sz w:val="22"/>
          <w:szCs w:val="22"/>
        </w:rPr>
        <w:t>Classified National Security Information; Final Rule,</w:t>
      </w:r>
      <w:r w:rsidRPr="000D25CB" w:rsidR="007D430D">
        <w:rPr>
          <w:sz w:val="22"/>
          <w:szCs w:val="22"/>
        </w:rPr>
        <w:t>”</w:t>
      </w:r>
      <w:r w:rsidRPr="000D25CB">
        <w:rPr>
          <w:sz w:val="22"/>
          <w:szCs w:val="22"/>
        </w:rPr>
        <w:t xml:space="preserve"> the Secretary of Defense, acting as executive agent for the NISP, is obligated to collect cost estimates for classification-related activities of contractors, licensees, certificate holders, and grantees and report them to ISOO annually</w:t>
      </w:r>
      <w:r w:rsidRPr="000D25CB" w:rsidR="00006BB0">
        <w:rPr>
          <w:sz w:val="22"/>
          <w:szCs w:val="22"/>
        </w:rPr>
        <w:t xml:space="preserve">. </w:t>
      </w:r>
      <w:r w:rsidRPr="000D25CB">
        <w:rPr>
          <w:sz w:val="22"/>
          <w:szCs w:val="22"/>
        </w:rPr>
        <w:t>The cost collection methodology employed by this Department since 1996 was validated with the ISOO in December, 2007.</w:t>
      </w:r>
    </w:p>
    <w:p w:rsidRPr="000D25CB" w:rsidR="004357E9" w:rsidP="00006BB0" w:rsidRDefault="004357E9">
      <w:pPr>
        <w:pStyle w:val="NormalWeb"/>
        <w:spacing w:before="120" w:beforeAutospacing="0" w:after="120" w:afterAutospacing="0"/>
        <w:ind w:left="720"/>
        <w:jc w:val="both"/>
        <w:rPr>
          <w:sz w:val="22"/>
          <w:szCs w:val="22"/>
        </w:rPr>
      </w:pPr>
      <w:r w:rsidRPr="000D25CB">
        <w:rPr>
          <w:sz w:val="22"/>
          <w:szCs w:val="22"/>
        </w:rPr>
        <w:t>Department of Defense Directive</w:t>
      </w:r>
      <w:r w:rsidRPr="000D25CB" w:rsidR="00006BB0">
        <w:rPr>
          <w:sz w:val="22"/>
          <w:szCs w:val="22"/>
        </w:rPr>
        <w:t xml:space="preserve"> (DoDD)</w:t>
      </w:r>
      <w:r w:rsidRPr="000D25CB">
        <w:rPr>
          <w:sz w:val="22"/>
          <w:szCs w:val="22"/>
        </w:rPr>
        <w:t xml:space="preserve"> 5105.42, “Subject: </w:t>
      </w:r>
      <w:r w:rsidRPr="000D25CB" w:rsidR="006304F9">
        <w:rPr>
          <w:sz w:val="22"/>
          <w:szCs w:val="22"/>
        </w:rPr>
        <w:t>Defense Counterintelligence and Security Agency</w:t>
      </w:r>
      <w:r w:rsidRPr="000D25CB" w:rsidR="00006BB0">
        <w:rPr>
          <w:sz w:val="22"/>
          <w:szCs w:val="22"/>
        </w:rPr>
        <w:t xml:space="preserve"> (DCSA)</w:t>
      </w:r>
      <w:r w:rsidRPr="000D25CB">
        <w:rPr>
          <w:sz w:val="22"/>
          <w:szCs w:val="22"/>
        </w:rPr>
        <w:t xml:space="preserve">”, delineates the mission, functions and responsibilities of </w:t>
      </w:r>
      <w:r w:rsidRPr="000D25CB" w:rsidR="006304F9">
        <w:rPr>
          <w:sz w:val="22"/>
          <w:szCs w:val="22"/>
        </w:rPr>
        <w:t>DCSA</w:t>
      </w:r>
      <w:r w:rsidRPr="000D25CB" w:rsidR="00006BB0">
        <w:rPr>
          <w:sz w:val="22"/>
          <w:szCs w:val="22"/>
        </w:rPr>
        <w:t xml:space="preserve">. </w:t>
      </w:r>
      <w:r w:rsidRPr="000D25CB">
        <w:rPr>
          <w:sz w:val="22"/>
          <w:szCs w:val="22"/>
        </w:rPr>
        <w:t>In accordance with this Directive</w:t>
      </w:r>
      <w:r w:rsidRPr="000D25CB" w:rsidR="00006BB0">
        <w:rPr>
          <w:sz w:val="22"/>
          <w:szCs w:val="22"/>
        </w:rPr>
        <w:t>,</w:t>
      </w:r>
      <w:r w:rsidRPr="000D25CB">
        <w:rPr>
          <w:sz w:val="22"/>
          <w:szCs w:val="22"/>
        </w:rPr>
        <w:t xml:space="preserve"> </w:t>
      </w:r>
      <w:r w:rsidRPr="000D25CB" w:rsidR="006304F9">
        <w:rPr>
          <w:sz w:val="22"/>
          <w:szCs w:val="22"/>
        </w:rPr>
        <w:t>DCSA</w:t>
      </w:r>
      <w:r w:rsidRPr="000D25CB">
        <w:rPr>
          <w:sz w:val="22"/>
          <w:szCs w:val="22"/>
        </w:rPr>
        <w:t xml:space="preserve"> was an Agency of the Department of Defense </w:t>
      </w:r>
      <w:r w:rsidRPr="000D25CB" w:rsidR="00006BB0">
        <w:rPr>
          <w:sz w:val="22"/>
          <w:szCs w:val="22"/>
        </w:rPr>
        <w:t xml:space="preserve">(DoD) </w:t>
      </w:r>
      <w:r w:rsidRPr="000D25CB">
        <w:rPr>
          <w:sz w:val="22"/>
          <w:szCs w:val="22"/>
        </w:rPr>
        <w:t>under the authority, direction, and control of the Assistant Secretary of Defense (Command, Control, Communication and Intelligence) (ASD(C3I))</w:t>
      </w:r>
      <w:r w:rsidRPr="000D25CB" w:rsidR="00006BB0">
        <w:rPr>
          <w:sz w:val="22"/>
          <w:szCs w:val="22"/>
        </w:rPr>
        <w:t xml:space="preserve">. </w:t>
      </w:r>
      <w:r w:rsidRPr="000D25CB">
        <w:rPr>
          <w:sz w:val="22"/>
          <w:szCs w:val="22"/>
        </w:rPr>
        <w:t xml:space="preserve">Subsequently, Deputy Secretary of Defense Memorandum, </w:t>
      </w:r>
      <w:r w:rsidRPr="000D25CB" w:rsidR="00006BB0">
        <w:rPr>
          <w:sz w:val="22"/>
          <w:szCs w:val="22"/>
        </w:rPr>
        <w:t>“</w:t>
      </w:r>
      <w:r w:rsidRPr="000D25CB">
        <w:rPr>
          <w:sz w:val="22"/>
          <w:szCs w:val="22"/>
        </w:rPr>
        <w:t>Subject: Implementation Guidance on Restructuring Defense Intelligence – and Related Matters</w:t>
      </w:r>
      <w:r w:rsidRPr="000D25CB" w:rsidR="00006BB0">
        <w:rPr>
          <w:sz w:val="22"/>
          <w:szCs w:val="22"/>
        </w:rPr>
        <w:t>”</w:t>
      </w:r>
      <w:r w:rsidRPr="000D25CB">
        <w:rPr>
          <w:sz w:val="22"/>
          <w:szCs w:val="22"/>
        </w:rPr>
        <w:t>, dated, May 8, 2003, created and transferred the Industrial Security and Personnel Security responsibilities of ASD(C3I) to the Office of  the Undersecretary of Defense for Intelligence (OUSD(I))</w:t>
      </w:r>
      <w:r w:rsidRPr="000D25CB" w:rsidR="00006BB0">
        <w:rPr>
          <w:sz w:val="22"/>
          <w:szCs w:val="22"/>
        </w:rPr>
        <w:t xml:space="preserve">. </w:t>
      </w:r>
      <w:r w:rsidRPr="000D25CB">
        <w:rPr>
          <w:sz w:val="22"/>
          <w:szCs w:val="22"/>
        </w:rPr>
        <w:t>As such</w:t>
      </w:r>
      <w:r w:rsidRPr="000D25CB" w:rsidR="00006BB0">
        <w:rPr>
          <w:sz w:val="22"/>
          <w:szCs w:val="22"/>
        </w:rPr>
        <w:t>,</w:t>
      </w:r>
      <w:r w:rsidRPr="000D25CB">
        <w:rPr>
          <w:sz w:val="22"/>
          <w:szCs w:val="22"/>
        </w:rPr>
        <w:t xml:space="preserve"> </w:t>
      </w:r>
      <w:r w:rsidRPr="000D25CB" w:rsidR="006304F9">
        <w:rPr>
          <w:sz w:val="22"/>
          <w:szCs w:val="22"/>
        </w:rPr>
        <w:t>DCSA</w:t>
      </w:r>
      <w:r w:rsidRPr="000D25CB">
        <w:rPr>
          <w:sz w:val="22"/>
          <w:szCs w:val="22"/>
        </w:rPr>
        <w:t xml:space="preserve"> was also transferred under the</w:t>
      </w:r>
      <w:r w:rsidRPr="000D25CB" w:rsidR="00006BB0">
        <w:rPr>
          <w:sz w:val="22"/>
          <w:szCs w:val="22"/>
        </w:rPr>
        <w:t xml:space="preserve"> management and control of OUSD</w:t>
      </w:r>
      <w:r w:rsidRPr="000D25CB">
        <w:rPr>
          <w:sz w:val="22"/>
          <w:szCs w:val="22"/>
        </w:rPr>
        <w:t>(I)</w:t>
      </w:r>
      <w:r w:rsidRPr="000D25CB" w:rsidR="00006BB0">
        <w:rPr>
          <w:sz w:val="22"/>
          <w:szCs w:val="22"/>
        </w:rPr>
        <w:t xml:space="preserve">. </w:t>
      </w:r>
      <w:r w:rsidRPr="000D25CB">
        <w:rPr>
          <w:sz w:val="22"/>
          <w:szCs w:val="22"/>
        </w:rPr>
        <w:t xml:space="preserve">In February 2005, </w:t>
      </w:r>
      <w:r w:rsidRPr="000D25CB" w:rsidR="006304F9">
        <w:rPr>
          <w:sz w:val="22"/>
          <w:szCs w:val="22"/>
        </w:rPr>
        <w:t>DCSA</w:t>
      </w:r>
      <w:r w:rsidRPr="000D25CB">
        <w:rPr>
          <w:sz w:val="22"/>
          <w:szCs w:val="22"/>
        </w:rPr>
        <w:t xml:space="preserve"> transferred the conduct of personnel security investigations to the Office of Personnel Management (OPM). As it pertains to this request for authority to collect information, </w:t>
      </w:r>
      <w:r w:rsidRPr="000D25CB" w:rsidR="006304F9">
        <w:rPr>
          <w:sz w:val="22"/>
          <w:szCs w:val="22"/>
        </w:rPr>
        <w:t>DCSA</w:t>
      </w:r>
      <w:r w:rsidRPr="000D25CB">
        <w:rPr>
          <w:sz w:val="22"/>
          <w:szCs w:val="22"/>
        </w:rPr>
        <w:t xml:space="preserve"> is currently responsible for the following:</w:t>
      </w:r>
    </w:p>
    <w:p w:rsidRPr="000D25CB" w:rsidR="004357E9" w:rsidP="008429D4" w:rsidRDefault="004357E9">
      <w:pPr>
        <w:pStyle w:val="NormalWeb"/>
        <w:numPr>
          <w:ilvl w:val="0"/>
          <w:numId w:val="1"/>
        </w:numPr>
        <w:spacing w:before="120" w:beforeAutospacing="0" w:after="120" w:afterAutospacing="0"/>
        <w:ind w:left="1080"/>
        <w:jc w:val="both"/>
        <w:rPr>
          <w:sz w:val="22"/>
          <w:szCs w:val="22"/>
        </w:rPr>
      </w:pPr>
      <w:r w:rsidRPr="000D25CB">
        <w:rPr>
          <w:sz w:val="22"/>
          <w:szCs w:val="22"/>
        </w:rPr>
        <w:t xml:space="preserve">Administer and implement the Defense portion of the </w:t>
      </w:r>
      <w:r w:rsidRPr="000D25CB" w:rsidR="00316E72">
        <w:rPr>
          <w:sz w:val="22"/>
          <w:szCs w:val="22"/>
        </w:rPr>
        <w:t>NISP</w:t>
      </w:r>
      <w:r w:rsidRPr="000D25CB">
        <w:rPr>
          <w:sz w:val="22"/>
          <w:szCs w:val="22"/>
        </w:rPr>
        <w:t xml:space="preserve"> for DoD and 3</w:t>
      </w:r>
      <w:r w:rsidRPr="000D25CB" w:rsidR="003B040F">
        <w:rPr>
          <w:sz w:val="22"/>
          <w:szCs w:val="22"/>
        </w:rPr>
        <w:t>3</w:t>
      </w:r>
      <w:r w:rsidRPr="000D25CB">
        <w:rPr>
          <w:sz w:val="22"/>
          <w:szCs w:val="22"/>
        </w:rPr>
        <w:t xml:space="preserve"> other Non-DoD agencies pursuant to EO 12829 (reference (e).</w:t>
      </w:r>
    </w:p>
    <w:p w:rsidRPr="000D25CB" w:rsidR="004357E9" w:rsidP="008429D4" w:rsidRDefault="004357E9">
      <w:pPr>
        <w:pStyle w:val="NormalWeb"/>
        <w:numPr>
          <w:ilvl w:val="0"/>
          <w:numId w:val="1"/>
        </w:numPr>
        <w:spacing w:before="120" w:beforeAutospacing="0" w:after="120" w:afterAutospacing="0"/>
        <w:ind w:left="1080"/>
        <w:jc w:val="both"/>
        <w:rPr>
          <w:sz w:val="22"/>
          <w:szCs w:val="22"/>
        </w:rPr>
      </w:pPr>
      <w:r w:rsidRPr="000D25CB">
        <w:rPr>
          <w:sz w:val="22"/>
          <w:szCs w:val="22"/>
        </w:rPr>
        <w:t xml:space="preserve">Exercise authority delegated to the Secretary of Defense for issuance of security clearances to contractor employees, pursuant to EO 12829. </w:t>
      </w:r>
    </w:p>
    <w:p w:rsidRPr="000D25CB" w:rsidR="004357E9" w:rsidP="00316E72" w:rsidRDefault="004357E9">
      <w:pPr>
        <w:pStyle w:val="NormalWeb"/>
        <w:spacing w:before="120" w:beforeAutospacing="0" w:after="120" w:afterAutospacing="0"/>
        <w:ind w:left="720"/>
        <w:jc w:val="both"/>
        <w:rPr>
          <w:sz w:val="22"/>
          <w:szCs w:val="22"/>
        </w:rPr>
      </w:pPr>
      <w:r w:rsidRPr="000D25CB">
        <w:rPr>
          <w:sz w:val="22"/>
          <w:szCs w:val="22"/>
        </w:rPr>
        <w:t xml:space="preserve">EO 12829 also authorizes the Executive Agent to issue, after consultation with affected agencies, standard forms that will promote </w:t>
      </w:r>
      <w:r w:rsidRPr="000D25CB" w:rsidR="00316E72">
        <w:rPr>
          <w:sz w:val="22"/>
          <w:szCs w:val="22"/>
        </w:rPr>
        <w:t>the implementation of the NISP.</w:t>
      </w:r>
    </w:p>
    <w:bookmarkEnd w:id="1"/>
    <w:p w:rsidRPr="000D25CB" w:rsidR="005E0A0F" w:rsidP="008429D4" w:rsidRDefault="005E0A0F">
      <w:pPr>
        <w:pStyle w:val="NormalWeb"/>
        <w:numPr>
          <w:ilvl w:val="0"/>
          <w:numId w:val="4"/>
        </w:numPr>
        <w:spacing w:before="120" w:beforeAutospacing="0" w:after="120" w:afterAutospacing="0"/>
        <w:jc w:val="both"/>
        <w:rPr>
          <w:sz w:val="22"/>
          <w:szCs w:val="22"/>
          <w:u w:val="single"/>
        </w:rPr>
      </w:pPr>
      <w:r w:rsidRPr="000D25CB">
        <w:rPr>
          <w:sz w:val="22"/>
          <w:szCs w:val="22"/>
          <w:u w:val="single"/>
        </w:rPr>
        <w:t>Use of the Information</w:t>
      </w:r>
    </w:p>
    <w:p w:rsidRPr="000D25CB" w:rsidR="00026915" w:rsidP="00316E72" w:rsidRDefault="003922AA">
      <w:pPr>
        <w:spacing w:before="120" w:after="120"/>
        <w:ind w:left="720" w:right="104"/>
        <w:jc w:val="both"/>
        <w:rPr>
          <w:sz w:val="22"/>
          <w:szCs w:val="22"/>
        </w:rPr>
      </w:pPr>
      <w:r w:rsidRPr="000D25CB">
        <w:rPr>
          <w:sz w:val="22"/>
          <w:szCs w:val="22"/>
        </w:rPr>
        <w:t xml:space="preserve">A </w:t>
      </w:r>
      <w:r w:rsidRPr="000D25CB" w:rsidR="008E0F76">
        <w:rPr>
          <w:sz w:val="22"/>
          <w:szCs w:val="22"/>
        </w:rPr>
        <w:t xml:space="preserve">commercial </w:t>
      </w:r>
      <w:r w:rsidRPr="000D25CB">
        <w:rPr>
          <w:sz w:val="22"/>
          <w:szCs w:val="22"/>
        </w:rPr>
        <w:t xml:space="preserve">web-based survey tool hosts the </w:t>
      </w:r>
      <w:r w:rsidRPr="000D25CB" w:rsidR="00F13467">
        <w:rPr>
          <w:sz w:val="22"/>
          <w:szCs w:val="22"/>
        </w:rPr>
        <w:t>data collection</w:t>
      </w:r>
      <w:r w:rsidRPr="000D25CB" w:rsidR="00006BB0">
        <w:rPr>
          <w:sz w:val="22"/>
          <w:szCs w:val="22"/>
        </w:rPr>
        <w:t xml:space="preserve">. </w:t>
      </w:r>
      <w:r w:rsidRPr="000D25CB" w:rsidR="00DE0536">
        <w:rPr>
          <w:sz w:val="22"/>
          <w:szCs w:val="22"/>
        </w:rPr>
        <w:t xml:space="preserve">Prior to the annual launch of this collection, </w:t>
      </w:r>
      <w:r w:rsidRPr="000D25CB" w:rsidR="006304F9">
        <w:rPr>
          <w:sz w:val="22"/>
          <w:szCs w:val="22"/>
        </w:rPr>
        <w:t>DCSA</w:t>
      </w:r>
      <w:r w:rsidRPr="000D25CB" w:rsidR="00DE0536">
        <w:rPr>
          <w:sz w:val="22"/>
          <w:szCs w:val="22"/>
        </w:rPr>
        <w:t xml:space="preserve"> randomly selects active NISP facilities that will be able to submit security costs. </w:t>
      </w:r>
      <w:r w:rsidRPr="000D25CB">
        <w:rPr>
          <w:sz w:val="22"/>
          <w:szCs w:val="22"/>
        </w:rPr>
        <w:t>The random selection to submit facility cost estimates is dependent on</w:t>
      </w:r>
      <w:r w:rsidRPr="000D25CB" w:rsidR="00270A6D">
        <w:rPr>
          <w:sz w:val="22"/>
          <w:szCs w:val="22"/>
        </w:rPr>
        <w:t xml:space="preserve"> the facility having an active Facility C</w:t>
      </w:r>
      <w:r w:rsidRPr="000D25CB">
        <w:rPr>
          <w:sz w:val="22"/>
          <w:szCs w:val="22"/>
        </w:rPr>
        <w:t xml:space="preserve">learance (FCL) and permanent </w:t>
      </w:r>
      <w:r w:rsidRPr="000D25CB" w:rsidR="00270A6D">
        <w:rPr>
          <w:rStyle w:val="tgc"/>
          <w:color w:val="222222"/>
          <w:sz w:val="22"/>
          <w:szCs w:val="22"/>
          <w:lang w:val="en"/>
        </w:rPr>
        <w:t xml:space="preserve">Commercial and Government Entity (CAGE) </w:t>
      </w:r>
      <w:r w:rsidRPr="000D25CB" w:rsidR="00270A6D">
        <w:rPr>
          <w:rStyle w:val="tgc"/>
          <w:bCs/>
          <w:color w:val="222222"/>
          <w:sz w:val="22"/>
          <w:szCs w:val="22"/>
          <w:lang w:val="en"/>
        </w:rPr>
        <w:t>Code</w:t>
      </w:r>
      <w:r w:rsidRPr="000D25CB" w:rsidR="00006BB0">
        <w:rPr>
          <w:rStyle w:val="tgc"/>
          <w:color w:val="222222"/>
          <w:sz w:val="22"/>
          <w:szCs w:val="22"/>
          <w:lang w:val="en"/>
        </w:rPr>
        <w:t xml:space="preserve">. </w:t>
      </w:r>
      <w:r w:rsidRPr="000D25CB">
        <w:rPr>
          <w:sz w:val="22"/>
          <w:szCs w:val="22"/>
        </w:rPr>
        <w:t>The data collection must be completed during the annual reporting period, which covers a two-week span</w:t>
      </w:r>
      <w:r w:rsidRPr="000D25CB" w:rsidR="00006BB0">
        <w:rPr>
          <w:sz w:val="22"/>
          <w:szCs w:val="22"/>
        </w:rPr>
        <w:t xml:space="preserve">. </w:t>
      </w:r>
      <w:r w:rsidRPr="000D25CB" w:rsidR="00316E72">
        <w:rPr>
          <w:sz w:val="22"/>
          <w:szCs w:val="22"/>
        </w:rPr>
        <w:t>T</w:t>
      </w:r>
      <w:r w:rsidRPr="000D25CB" w:rsidR="00DE0536">
        <w:rPr>
          <w:sz w:val="22"/>
          <w:szCs w:val="22"/>
        </w:rPr>
        <w:t xml:space="preserve">he collection is </w:t>
      </w:r>
      <w:r w:rsidRPr="000D25CB" w:rsidR="00316E72">
        <w:rPr>
          <w:sz w:val="22"/>
          <w:szCs w:val="22"/>
        </w:rPr>
        <w:t xml:space="preserve">typically </w:t>
      </w:r>
      <w:r w:rsidRPr="000D25CB" w:rsidR="00DE0536">
        <w:rPr>
          <w:sz w:val="22"/>
          <w:szCs w:val="22"/>
        </w:rPr>
        <w:t xml:space="preserve">deployed </w:t>
      </w:r>
      <w:r w:rsidRPr="000D25CB">
        <w:rPr>
          <w:sz w:val="22"/>
          <w:szCs w:val="22"/>
        </w:rPr>
        <w:t xml:space="preserve">during the month of January. </w:t>
      </w:r>
    </w:p>
    <w:p w:rsidRPr="000D25CB" w:rsidR="003922AA" w:rsidP="00316E72" w:rsidRDefault="00026915">
      <w:pPr>
        <w:spacing w:before="120" w:after="120"/>
        <w:ind w:left="720" w:right="104"/>
        <w:jc w:val="both"/>
        <w:rPr>
          <w:sz w:val="22"/>
          <w:szCs w:val="22"/>
        </w:rPr>
      </w:pPr>
      <w:r w:rsidRPr="000D25CB">
        <w:rPr>
          <w:sz w:val="22"/>
          <w:szCs w:val="22"/>
        </w:rPr>
        <w:lastRenderedPageBreak/>
        <w:t>The recipients</w:t>
      </w:r>
      <w:r w:rsidRPr="000D25CB" w:rsidR="00270A6D">
        <w:rPr>
          <w:sz w:val="22"/>
          <w:szCs w:val="22"/>
        </w:rPr>
        <w:t xml:space="preserve"> from each of the facilities</w:t>
      </w:r>
      <w:r w:rsidRPr="000D25CB" w:rsidR="003922AA">
        <w:rPr>
          <w:sz w:val="22"/>
          <w:szCs w:val="22"/>
        </w:rPr>
        <w:t xml:space="preserve">, referred to as Facility Security Officers (FSO), receive </w:t>
      </w:r>
      <w:r w:rsidRPr="000D25CB" w:rsidR="008E0F76">
        <w:rPr>
          <w:sz w:val="22"/>
          <w:szCs w:val="22"/>
        </w:rPr>
        <w:t xml:space="preserve">an </w:t>
      </w:r>
      <w:r w:rsidRPr="000D25CB" w:rsidR="003922AA">
        <w:rPr>
          <w:sz w:val="22"/>
          <w:szCs w:val="22"/>
        </w:rPr>
        <w:t xml:space="preserve">email </w:t>
      </w:r>
      <w:r w:rsidRPr="000D25CB" w:rsidR="008E0F76">
        <w:rPr>
          <w:sz w:val="22"/>
          <w:szCs w:val="22"/>
        </w:rPr>
        <w:t>invitation</w:t>
      </w:r>
      <w:r w:rsidRPr="000D25CB" w:rsidR="003922AA">
        <w:rPr>
          <w:sz w:val="22"/>
          <w:szCs w:val="22"/>
        </w:rPr>
        <w:t xml:space="preserve"> at the launch of the reporting period</w:t>
      </w:r>
      <w:r w:rsidRPr="000D25CB" w:rsidR="00006BB0">
        <w:rPr>
          <w:sz w:val="22"/>
          <w:szCs w:val="22"/>
        </w:rPr>
        <w:t xml:space="preserve">. </w:t>
      </w:r>
      <w:r w:rsidRPr="000D25CB" w:rsidR="003922AA">
        <w:rPr>
          <w:sz w:val="22"/>
          <w:szCs w:val="22"/>
        </w:rPr>
        <w:t xml:space="preserve"> </w:t>
      </w:r>
      <w:r w:rsidRPr="000D25CB">
        <w:rPr>
          <w:sz w:val="22"/>
          <w:szCs w:val="22"/>
        </w:rPr>
        <w:t>The FSO is a contractor that supervises and directs security-related activities and measures within a facility</w:t>
      </w:r>
      <w:r w:rsidRPr="000D25CB" w:rsidR="00006BB0">
        <w:rPr>
          <w:sz w:val="22"/>
          <w:szCs w:val="22"/>
        </w:rPr>
        <w:t xml:space="preserve">. </w:t>
      </w:r>
      <w:r w:rsidRPr="000D25CB" w:rsidR="003922AA">
        <w:rPr>
          <w:sz w:val="22"/>
          <w:szCs w:val="22"/>
        </w:rPr>
        <w:t xml:space="preserve">The FSO will click </w:t>
      </w:r>
      <w:r w:rsidRPr="000D25CB" w:rsidR="008E0F76">
        <w:rPr>
          <w:sz w:val="22"/>
          <w:szCs w:val="22"/>
        </w:rPr>
        <w:t>a</w:t>
      </w:r>
      <w:r w:rsidRPr="000D25CB" w:rsidR="00E80654">
        <w:rPr>
          <w:sz w:val="22"/>
          <w:szCs w:val="22"/>
        </w:rPr>
        <w:t xml:space="preserve"> </w:t>
      </w:r>
      <w:r w:rsidRPr="000D25CB" w:rsidR="00316E72">
        <w:rPr>
          <w:sz w:val="22"/>
          <w:szCs w:val="22"/>
        </w:rPr>
        <w:t>Uniform Resource Locator (</w:t>
      </w:r>
      <w:r w:rsidRPr="000D25CB" w:rsidR="008E0F76">
        <w:rPr>
          <w:sz w:val="22"/>
          <w:szCs w:val="22"/>
        </w:rPr>
        <w:t>URL</w:t>
      </w:r>
      <w:r w:rsidRPr="000D25CB" w:rsidR="00316E72">
        <w:rPr>
          <w:sz w:val="22"/>
          <w:szCs w:val="22"/>
        </w:rPr>
        <w:t>)</w:t>
      </w:r>
      <w:r w:rsidRPr="000D25CB" w:rsidR="008E0F76">
        <w:rPr>
          <w:sz w:val="22"/>
          <w:szCs w:val="22"/>
        </w:rPr>
        <w:t xml:space="preserve"> </w:t>
      </w:r>
      <w:r w:rsidRPr="000D25CB" w:rsidR="003922AA">
        <w:rPr>
          <w:sz w:val="22"/>
          <w:szCs w:val="22"/>
        </w:rPr>
        <w:t xml:space="preserve">link </w:t>
      </w:r>
      <w:r w:rsidRPr="000D25CB" w:rsidR="008E0F76">
        <w:rPr>
          <w:sz w:val="22"/>
          <w:szCs w:val="22"/>
        </w:rPr>
        <w:t xml:space="preserve">contained within the email invitation </w:t>
      </w:r>
      <w:r w:rsidRPr="000D25CB" w:rsidR="003922AA">
        <w:rPr>
          <w:sz w:val="22"/>
          <w:szCs w:val="22"/>
        </w:rPr>
        <w:t>to</w:t>
      </w:r>
      <w:r w:rsidRPr="000D25CB" w:rsidR="008E0F76">
        <w:rPr>
          <w:sz w:val="22"/>
          <w:szCs w:val="22"/>
        </w:rPr>
        <w:t xml:space="preserve"> complete the data collection. </w:t>
      </w:r>
      <w:r w:rsidRPr="000D25CB" w:rsidR="003922AA">
        <w:rPr>
          <w:sz w:val="22"/>
          <w:szCs w:val="22"/>
        </w:rPr>
        <w:t xml:space="preserve">There will be </w:t>
      </w:r>
      <w:r w:rsidRPr="000D25CB" w:rsidR="008E0F76">
        <w:rPr>
          <w:sz w:val="22"/>
          <w:szCs w:val="22"/>
        </w:rPr>
        <w:t>weekly</w:t>
      </w:r>
      <w:r w:rsidRPr="000D25CB" w:rsidR="003922AA">
        <w:rPr>
          <w:sz w:val="22"/>
          <w:szCs w:val="22"/>
        </w:rPr>
        <w:t xml:space="preserve"> follow-up reminders</w:t>
      </w:r>
      <w:r w:rsidRPr="000D25CB" w:rsidR="008E0F76">
        <w:rPr>
          <w:sz w:val="22"/>
          <w:szCs w:val="22"/>
        </w:rPr>
        <w:t xml:space="preserve"> sent from the survey vendor to the FSO </w:t>
      </w:r>
      <w:r w:rsidRPr="000D25CB" w:rsidR="003922AA">
        <w:rPr>
          <w:sz w:val="22"/>
          <w:szCs w:val="22"/>
        </w:rPr>
        <w:t xml:space="preserve">during the reporting period to those facilities yet to submit their cost estimates. </w:t>
      </w:r>
    </w:p>
    <w:p w:rsidRPr="000D25CB" w:rsidR="001B635E" w:rsidP="00316E72" w:rsidRDefault="00270A6D">
      <w:pPr>
        <w:pStyle w:val="NormalWeb"/>
        <w:spacing w:before="120" w:beforeAutospacing="0" w:after="120" w:afterAutospacing="0"/>
        <w:ind w:left="720"/>
        <w:jc w:val="both"/>
        <w:rPr>
          <w:sz w:val="22"/>
          <w:szCs w:val="22"/>
        </w:rPr>
      </w:pPr>
      <w:r w:rsidRPr="000D25CB">
        <w:rPr>
          <w:sz w:val="22"/>
          <w:szCs w:val="22"/>
        </w:rPr>
        <w:t>I</w:t>
      </w:r>
      <w:r w:rsidRPr="000D25CB" w:rsidR="003922AA">
        <w:rPr>
          <w:sz w:val="22"/>
          <w:szCs w:val="22"/>
        </w:rPr>
        <w:t xml:space="preserve">nformation provided will become part of </w:t>
      </w:r>
      <w:r w:rsidRPr="000D25CB" w:rsidR="006304F9">
        <w:rPr>
          <w:sz w:val="22"/>
          <w:szCs w:val="22"/>
        </w:rPr>
        <w:t>DCSA</w:t>
      </w:r>
      <w:r w:rsidRPr="000D25CB" w:rsidR="003922AA">
        <w:rPr>
          <w:sz w:val="22"/>
          <w:szCs w:val="22"/>
        </w:rPr>
        <w:t xml:space="preserve"> records of cleared contractor facility data collections, retrieved by the name of the facility CAGE Code, not the FSO contact information</w:t>
      </w:r>
      <w:r w:rsidRPr="000D25CB" w:rsidR="00006BB0">
        <w:rPr>
          <w:sz w:val="22"/>
          <w:szCs w:val="22"/>
        </w:rPr>
        <w:t xml:space="preserve">. </w:t>
      </w:r>
      <w:r w:rsidRPr="000D25CB" w:rsidR="006304F9">
        <w:rPr>
          <w:sz w:val="22"/>
          <w:szCs w:val="22"/>
        </w:rPr>
        <w:t>DCSA</w:t>
      </w:r>
      <w:r w:rsidRPr="000D25CB" w:rsidR="001B635E">
        <w:rPr>
          <w:sz w:val="22"/>
          <w:szCs w:val="22"/>
        </w:rPr>
        <w:t xml:space="preserve"> is tasked to collect the costs </w:t>
      </w:r>
      <w:r w:rsidRPr="000D25CB" w:rsidR="00E80654">
        <w:rPr>
          <w:sz w:val="22"/>
          <w:szCs w:val="22"/>
        </w:rPr>
        <w:t>from NISP</w:t>
      </w:r>
      <w:r w:rsidRPr="000D25CB" w:rsidR="001B635E">
        <w:rPr>
          <w:sz w:val="22"/>
          <w:szCs w:val="22"/>
        </w:rPr>
        <w:t xml:space="preserve"> contractors who possess classified inform</w:t>
      </w:r>
      <w:r w:rsidRPr="000D25CB" w:rsidR="00E80654">
        <w:rPr>
          <w:sz w:val="22"/>
          <w:szCs w:val="22"/>
        </w:rPr>
        <w:t>ation at their cleared facility p</w:t>
      </w:r>
      <w:r w:rsidRPr="000D25CB" w:rsidR="001B635E">
        <w:rPr>
          <w:sz w:val="22"/>
          <w:szCs w:val="22"/>
        </w:rPr>
        <w:t xml:space="preserve">ursuant to </w:t>
      </w:r>
      <w:r w:rsidRPr="000D25CB" w:rsidR="00E80654">
        <w:rPr>
          <w:sz w:val="22"/>
          <w:szCs w:val="22"/>
        </w:rPr>
        <w:t xml:space="preserve">the </w:t>
      </w:r>
      <w:r w:rsidRPr="000D25CB" w:rsidR="001B635E">
        <w:rPr>
          <w:sz w:val="22"/>
          <w:szCs w:val="22"/>
        </w:rPr>
        <w:t>reporting requirement of 32 CFR Part 2001, Subpart F, section 2001.61 (b); Classifie</w:t>
      </w:r>
      <w:r w:rsidRPr="000D25CB" w:rsidR="00E80654">
        <w:rPr>
          <w:sz w:val="22"/>
          <w:szCs w:val="22"/>
        </w:rPr>
        <w:t>d National Security Information</w:t>
      </w:r>
      <w:r w:rsidRPr="000D25CB" w:rsidR="00006BB0">
        <w:rPr>
          <w:sz w:val="22"/>
          <w:szCs w:val="22"/>
        </w:rPr>
        <w:t xml:space="preserve">. </w:t>
      </w:r>
      <w:r w:rsidRPr="000D25CB" w:rsidR="00E80654">
        <w:rPr>
          <w:sz w:val="22"/>
          <w:szCs w:val="22"/>
        </w:rPr>
        <w:t>T</w:t>
      </w:r>
      <w:r w:rsidRPr="000D25CB" w:rsidR="001B635E">
        <w:rPr>
          <w:sz w:val="22"/>
          <w:szCs w:val="22"/>
        </w:rPr>
        <w:t xml:space="preserve">he DoD estimates aggregate security costs for contractors to the </w:t>
      </w:r>
      <w:r w:rsidRPr="000D25CB" w:rsidR="00E80654">
        <w:rPr>
          <w:sz w:val="22"/>
          <w:szCs w:val="22"/>
        </w:rPr>
        <w:t>ISOO</w:t>
      </w:r>
      <w:r w:rsidRPr="000D25CB" w:rsidR="00006BB0">
        <w:rPr>
          <w:sz w:val="22"/>
          <w:szCs w:val="22"/>
        </w:rPr>
        <w:t xml:space="preserve">. </w:t>
      </w:r>
    </w:p>
    <w:p w:rsidRPr="000D25CB" w:rsidR="005E0A0F" w:rsidP="008429D4" w:rsidRDefault="005E0A0F">
      <w:pPr>
        <w:pStyle w:val="NormalWeb"/>
        <w:numPr>
          <w:ilvl w:val="0"/>
          <w:numId w:val="4"/>
        </w:numPr>
        <w:spacing w:before="120" w:beforeAutospacing="0" w:after="120" w:afterAutospacing="0"/>
        <w:jc w:val="both"/>
        <w:rPr>
          <w:sz w:val="22"/>
          <w:szCs w:val="22"/>
          <w:u w:val="single"/>
        </w:rPr>
      </w:pPr>
      <w:r w:rsidRPr="000D25CB">
        <w:rPr>
          <w:sz w:val="22"/>
          <w:szCs w:val="22"/>
          <w:u w:val="single"/>
        </w:rPr>
        <w:t>Use of Information Technology</w:t>
      </w:r>
    </w:p>
    <w:p w:rsidRPr="000D25CB" w:rsidR="006A6400" w:rsidP="00316E72" w:rsidRDefault="00686360">
      <w:pPr>
        <w:spacing w:before="120" w:after="120"/>
        <w:ind w:left="720" w:right="104"/>
        <w:jc w:val="both"/>
        <w:rPr>
          <w:color w:val="000000"/>
          <w:sz w:val="22"/>
          <w:szCs w:val="22"/>
        </w:rPr>
      </w:pPr>
      <w:r w:rsidRPr="000D25CB">
        <w:rPr>
          <w:color w:val="000000"/>
          <w:sz w:val="22"/>
          <w:szCs w:val="22"/>
        </w:rPr>
        <w:t>The</w:t>
      </w:r>
      <w:r w:rsidRPr="000D25CB">
        <w:rPr>
          <w:color w:val="000000"/>
          <w:spacing w:val="31"/>
          <w:sz w:val="22"/>
          <w:szCs w:val="22"/>
        </w:rPr>
        <w:t xml:space="preserve"> </w:t>
      </w:r>
      <w:r w:rsidRPr="000D25CB">
        <w:rPr>
          <w:color w:val="000000"/>
          <w:sz w:val="22"/>
          <w:szCs w:val="22"/>
        </w:rPr>
        <w:t>use</w:t>
      </w:r>
      <w:r w:rsidRPr="000D25CB">
        <w:rPr>
          <w:color w:val="000000"/>
          <w:spacing w:val="3"/>
          <w:sz w:val="22"/>
          <w:szCs w:val="22"/>
        </w:rPr>
        <w:t xml:space="preserve"> </w:t>
      </w:r>
      <w:r w:rsidRPr="000D25CB">
        <w:rPr>
          <w:color w:val="000000"/>
          <w:sz w:val="22"/>
          <w:szCs w:val="22"/>
        </w:rPr>
        <w:t>of</w:t>
      </w:r>
      <w:r w:rsidRPr="000D25CB">
        <w:rPr>
          <w:color w:val="000000"/>
          <w:spacing w:val="19"/>
          <w:sz w:val="22"/>
          <w:szCs w:val="22"/>
        </w:rPr>
        <w:t xml:space="preserve"> </w:t>
      </w:r>
      <w:r w:rsidRPr="000D25CB">
        <w:rPr>
          <w:color w:val="000000"/>
          <w:sz w:val="22"/>
          <w:szCs w:val="22"/>
        </w:rPr>
        <w:t xml:space="preserve">information </w:t>
      </w:r>
      <w:r w:rsidRPr="000D25CB">
        <w:rPr>
          <w:color w:val="000000"/>
          <w:spacing w:val="10"/>
          <w:sz w:val="22"/>
          <w:szCs w:val="22"/>
        </w:rPr>
        <w:t>technology</w:t>
      </w:r>
      <w:r w:rsidRPr="000D25CB">
        <w:rPr>
          <w:color w:val="000000"/>
          <w:spacing w:val="52"/>
          <w:sz w:val="22"/>
          <w:szCs w:val="22"/>
        </w:rPr>
        <w:t xml:space="preserve"> </w:t>
      </w:r>
      <w:r w:rsidRPr="000D25CB">
        <w:rPr>
          <w:color w:val="000000"/>
          <w:sz w:val="22"/>
          <w:szCs w:val="22"/>
        </w:rPr>
        <w:t>has</w:t>
      </w:r>
      <w:r w:rsidRPr="000D25CB">
        <w:rPr>
          <w:color w:val="000000"/>
          <w:spacing w:val="21"/>
          <w:sz w:val="22"/>
          <w:szCs w:val="22"/>
        </w:rPr>
        <w:t xml:space="preserve"> </w:t>
      </w:r>
      <w:r w:rsidRPr="000D25CB">
        <w:rPr>
          <w:color w:val="000000"/>
          <w:sz w:val="22"/>
          <w:szCs w:val="22"/>
        </w:rPr>
        <w:t>been</w:t>
      </w:r>
      <w:r w:rsidRPr="000D25CB">
        <w:rPr>
          <w:color w:val="000000"/>
          <w:spacing w:val="19"/>
          <w:sz w:val="22"/>
          <w:szCs w:val="22"/>
        </w:rPr>
        <w:t xml:space="preserve"> </w:t>
      </w:r>
      <w:r w:rsidRPr="000D25CB">
        <w:rPr>
          <w:color w:val="000000"/>
          <w:sz w:val="22"/>
          <w:szCs w:val="22"/>
        </w:rPr>
        <w:t xml:space="preserve">considered </w:t>
      </w:r>
      <w:r w:rsidRPr="000D25CB">
        <w:rPr>
          <w:color w:val="000000"/>
          <w:spacing w:val="9"/>
          <w:sz w:val="22"/>
          <w:szCs w:val="22"/>
        </w:rPr>
        <w:t>appropriate</w:t>
      </w:r>
      <w:r w:rsidRPr="000D25CB">
        <w:rPr>
          <w:color w:val="000000"/>
          <w:spacing w:val="53"/>
          <w:sz w:val="22"/>
          <w:szCs w:val="22"/>
        </w:rPr>
        <w:t xml:space="preserve"> </w:t>
      </w:r>
      <w:r w:rsidRPr="000D25CB">
        <w:rPr>
          <w:color w:val="000000"/>
          <w:sz w:val="22"/>
          <w:szCs w:val="22"/>
        </w:rPr>
        <w:t>for</w:t>
      </w:r>
      <w:r w:rsidRPr="000D25CB">
        <w:rPr>
          <w:color w:val="000000"/>
          <w:spacing w:val="25"/>
          <w:sz w:val="22"/>
          <w:szCs w:val="22"/>
        </w:rPr>
        <w:t xml:space="preserve"> </w:t>
      </w:r>
      <w:r w:rsidRPr="000D25CB">
        <w:rPr>
          <w:color w:val="000000"/>
          <w:sz w:val="22"/>
          <w:szCs w:val="22"/>
        </w:rPr>
        <w:t>the</w:t>
      </w:r>
      <w:r w:rsidRPr="000D25CB">
        <w:rPr>
          <w:color w:val="000000"/>
          <w:spacing w:val="10"/>
          <w:sz w:val="22"/>
          <w:szCs w:val="22"/>
        </w:rPr>
        <w:t xml:space="preserve"> </w:t>
      </w:r>
      <w:r w:rsidRPr="000D25CB">
        <w:rPr>
          <w:color w:val="000000"/>
          <w:sz w:val="22"/>
          <w:szCs w:val="22"/>
        </w:rPr>
        <w:t>purposes</w:t>
      </w:r>
      <w:r w:rsidRPr="000D25CB">
        <w:rPr>
          <w:color w:val="000000"/>
          <w:spacing w:val="38"/>
          <w:sz w:val="22"/>
          <w:szCs w:val="22"/>
        </w:rPr>
        <w:t xml:space="preserve"> </w:t>
      </w:r>
      <w:r w:rsidRPr="000D25CB">
        <w:rPr>
          <w:color w:val="000000"/>
          <w:w w:val="112"/>
          <w:sz w:val="22"/>
          <w:szCs w:val="22"/>
        </w:rPr>
        <w:t xml:space="preserve">of </w:t>
      </w:r>
      <w:r w:rsidRPr="000D25CB">
        <w:rPr>
          <w:color w:val="000000"/>
          <w:sz w:val="22"/>
          <w:szCs w:val="22"/>
        </w:rPr>
        <w:t>this</w:t>
      </w:r>
      <w:r w:rsidRPr="000D25CB">
        <w:rPr>
          <w:color w:val="000000"/>
          <w:spacing w:val="7"/>
          <w:sz w:val="22"/>
          <w:szCs w:val="22"/>
        </w:rPr>
        <w:t xml:space="preserve"> </w:t>
      </w:r>
      <w:r w:rsidRPr="000D25CB">
        <w:rPr>
          <w:color w:val="000000"/>
          <w:sz w:val="22"/>
          <w:szCs w:val="22"/>
        </w:rPr>
        <w:t>collection.</w:t>
      </w:r>
      <w:r w:rsidRPr="000D25CB">
        <w:rPr>
          <w:color w:val="000000"/>
          <w:spacing w:val="31"/>
          <w:sz w:val="22"/>
          <w:szCs w:val="22"/>
        </w:rPr>
        <w:t xml:space="preserve"> </w:t>
      </w:r>
      <w:r w:rsidRPr="000D25CB">
        <w:rPr>
          <w:color w:val="000000"/>
          <w:sz w:val="22"/>
          <w:szCs w:val="22"/>
        </w:rPr>
        <w:t>The</w:t>
      </w:r>
      <w:r w:rsidRPr="000D25CB">
        <w:rPr>
          <w:color w:val="000000"/>
          <w:spacing w:val="23"/>
          <w:sz w:val="22"/>
          <w:szCs w:val="22"/>
        </w:rPr>
        <w:t xml:space="preserve"> </w:t>
      </w:r>
      <w:r w:rsidRPr="000D25CB">
        <w:rPr>
          <w:color w:val="000000"/>
          <w:sz w:val="22"/>
          <w:szCs w:val="22"/>
        </w:rPr>
        <w:t>email</w:t>
      </w:r>
      <w:r w:rsidRPr="000D25CB">
        <w:rPr>
          <w:color w:val="000000"/>
          <w:spacing w:val="25"/>
          <w:sz w:val="22"/>
          <w:szCs w:val="22"/>
        </w:rPr>
        <w:t xml:space="preserve"> </w:t>
      </w:r>
      <w:r w:rsidRPr="000D25CB">
        <w:rPr>
          <w:color w:val="000000"/>
          <w:sz w:val="22"/>
          <w:szCs w:val="22"/>
        </w:rPr>
        <w:t>invitation</w:t>
      </w:r>
      <w:r w:rsidRPr="000D25CB">
        <w:rPr>
          <w:color w:val="000000"/>
          <w:spacing w:val="48"/>
          <w:sz w:val="22"/>
          <w:szCs w:val="22"/>
        </w:rPr>
        <w:t xml:space="preserve"> </w:t>
      </w:r>
      <w:r w:rsidRPr="000D25CB">
        <w:rPr>
          <w:color w:val="000000"/>
          <w:sz w:val="22"/>
          <w:szCs w:val="22"/>
        </w:rPr>
        <w:t>includes</w:t>
      </w:r>
      <w:r w:rsidRPr="000D25CB">
        <w:rPr>
          <w:color w:val="000000"/>
          <w:spacing w:val="50"/>
          <w:sz w:val="22"/>
          <w:szCs w:val="22"/>
        </w:rPr>
        <w:t xml:space="preserve"> </w:t>
      </w:r>
      <w:r w:rsidRPr="000D25CB">
        <w:rPr>
          <w:color w:val="000000"/>
          <w:sz w:val="22"/>
          <w:szCs w:val="22"/>
        </w:rPr>
        <w:t>a</w:t>
      </w:r>
      <w:r w:rsidRPr="000D25CB">
        <w:rPr>
          <w:color w:val="000000"/>
          <w:spacing w:val="3"/>
          <w:sz w:val="22"/>
          <w:szCs w:val="22"/>
        </w:rPr>
        <w:t xml:space="preserve"> </w:t>
      </w:r>
      <w:r w:rsidRPr="000D25CB">
        <w:rPr>
          <w:color w:val="000000"/>
          <w:sz w:val="22"/>
          <w:szCs w:val="22"/>
        </w:rPr>
        <w:t>secure</w:t>
      </w:r>
      <w:r w:rsidRPr="000D25CB">
        <w:rPr>
          <w:color w:val="000000"/>
          <w:spacing w:val="39"/>
          <w:sz w:val="22"/>
          <w:szCs w:val="22"/>
        </w:rPr>
        <w:t xml:space="preserve"> </w:t>
      </w:r>
      <w:r w:rsidRPr="000D25CB">
        <w:rPr>
          <w:color w:val="000000"/>
          <w:sz w:val="22"/>
          <w:szCs w:val="22"/>
        </w:rPr>
        <w:t>link</w:t>
      </w:r>
      <w:r w:rsidRPr="000D25CB">
        <w:rPr>
          <w:color w:val="000000"/>
          <w:spacing w:val="25"/>
          <w:sz w:val="22"/>
          <w:szCs w:val="22"/>
        </w:rPr>
        <w:t xml:space="preserve"> </w:t>
      </w:r>
      <w:r w:rsidRPr="000D25CB">
        <w:rPr>
          <w:color w:val="000000"/>
          <w:sz w:val="22"/>
          <w:szCs w:val="22"/>
        </w:rPr>
        <w:t>to</w:t>
      </w:r>
      <w:r w:rsidRPr="000D25CB">
        <w:rPr>
          <w:color w:val="000000"/>
          <w:spacing w:val="11"/>
          <w:sz w:val="22"/>
          <w:szCs w:val="22"/>
        </w:rPr>
        <w:t xml:space="preserve"> </w:t>
      </w:r>
      <w:r w:rsidRPr="000D25CB">
        <w:rPr>
          <w:color w:val="000000"/>
          <w:sz w:val="22"/>
          <w:szCs w:val="22"/>
        </w:rPr>
        <w:t>access</w:t>
      </w:r>
      <w:r w:rsidRPr="000D25CB">
        <w:rPr>
          <w:color w:val="000000"/>
          <w:spacing w:val="30"/>
          <w:sz w:val="22"/>
          <w:szCs w:val="22"/>
        </w:rPr>
        <w:t xml:space="preserve"> </w:t>
      </w:r>
      <w:r w:rsidRPr="000D25CB">
        <w:rPr>
          <w:color w:val="000000"/>
          <w:sz w:val="22"/>
          <w:szCs w:val="22"/>
        </w:rPr>
        <w:t>and</w:t>
      </w:r>
      <w:r w:rsidRPr="000D25CB">
        <w:rPr>
          <w:color w:val="000000"/>
          <w:spacing w:val="14"/>
          <w:sz w:val="22"/>
          <w:szCs w:val="22"/>
        </w:rPr>
        <w:t xml:space="preserve"> </w:t>
      </w:r>
      <w:r w:rsidRPr="000D25CB">
        <w:rPr>
          <w:color w:val="000000"/>
          <w:sz w:val="22"/>
          <w:szCs w:val="22"/>
        </w:rPr>
        <w:t>complete</w:t>
      </w:r>
      <w:r w:rsidRPr="000D25CB">
        <w:rPr>
          <w:color w:val="000000"/>
          <w:spacing w:val="56"/>
          <w:sz w:val="22"/>
          <w:szCs w:val="22"/>
        </w:rPr>
        <w:t xml:space="preserve"> </w:t>
      </w:r>
      <w:r w:rsidRPr="000D25CB">
        <w:rPr>
          <w:color w:val="000000"/>
          <w:sz w:val="22"/>
          <w:szCs w:val="22"/>
        </w:rPr>
        <w:t>the</w:t>
      </w:r>
      <w:r w:rsidRPr="000D25CB">
        <w:rPr>
          <w:color w:val="000000"/>
          <w:spacing w:val="16"/>
          <w:sz w:val="22"/>
          <w:szCs w:val="22"/>
        </w:rPr>
        <w:t xml:space="preserve"> </w:t>
      </w:r>
      <w:r w:rsidRPr="000D25CB">
        <w:rPr>
          <w:color w:val="000000"/>
          <w:sz w:val="22"/>
          <w:szCs w:val="22"/>
        </w:rPr>
        <w:t>online</w:t>
      </w:r>
      <w:r w:rsidRPr="000D25CB">
        <w:rPr>
          <w:color w:val="000000"/>
          <w:spacing w:val="27"/>
          <w:sz w:val="22"/>
          <w:szCs w:val="22"/>
        </w:rPr>
        <w:t xml:space="preserve"> </w:t>
      </w:r>
      <w:r w:rsidR="00FC61A3">
        <w:rPr>
          <w:color w:val="000000"/>
          <w:w w:val="108"/>
          <w:sz w:val="22"/>
          <w:szCs w:val="22"/>
        </w:rPr>
        <w:t>data collection</w:t>
      </w:r>
      <w:r w:rsidRPr="000D25CB" w:rsidR="00006BB0">
        <w:rPr>
          <w:color w:val="000000"/>
          <w:w w:val="146"/>
          <w:sz w:val="22"/>
          <w:szCs w:val="22"/>
        </w:rPr>
        <w:t xml:space="preserve">. </w:t>
      </w:r>
      <w:r w:rsidRPr="000D25CB">
        <w:rPr>
          <w:color w:val="000000"/>
          <w:w w:val="104"/>
          <w:sz w:val="22"/>
          <w:szCs w:val="22"/>
        </w:rPr>
        <w:t>1</w:t>
      </w:r>
      <w:r w:rsidRPr="000D25CB" w:rsidR="002F11FC">
        <w:rPr>
          <w:color w:val="000000"/>
          <w:sz w:val="22"/>
          <w:szCs w:val="22"/>
        </w:rPr>
        <w:t xml:space="preserve">00% of </w:t>
      </w:r>
      <w:r w:rsidRPr="000D25CB">
        <w:rPr>
          <w:color w:val="000000"/>
          <w:sz w:val="22"/>
          <w:szCs w:val="22"/>
        </w:rPr>
        <w:t>contractor</w:t>
      </w:r>
      <w:r w:rsidRPr="000D25CB">
        <w:rPr>
          <w:color w:val="000000"/>
          <w:spacing w:val="47"/>
          <w:sz w:val="22"/>
          <w:szCs w:val="22"/>
        </w:rPr>
        <w:t xml:space="preserve"> </w:t>
      </w:r>
      <w:r w:rsidRPr="000D25CB" w:rsidR="002F11FC">
        <w:rPr>
          <w:color w:val="000000"/>
          <w:w w:val="104"/>
          <w:sz w:val="22"/>
          <w:szCs w:val="22"/>
        </w:rPr>
        <w:t>facilities participating in this data collection</w:t>
      </w:r>
      <w:r w:rsidRPr="000D25CB">
        <w:rPr>
          <w:color w:val="000000"/>
          <w:spacing w:val="18"/>
          <w:sz w:val="22"/>
          <w:szCs w:val="22"/>
        </w:rPr>
        <w:t xml:space="preserve"> </w:t>
      </w:r>
      <w:r w:rsidRPr="000D25CB">
        <w:rPr>
          <w:color w:val="000000"/>
          <w:sz w:val="22"/>
          <w:szCs w:val="22"/>
        </w:rPr>
        <w:t>complete</w:t>
      </w:r>
      <w:r w:rsidRPr="000D25CB">
        <w:rPr>
          <w:color w:val="000000"/>
          <w:spacing w:val="40"/>
          <w:sz w:val="22"/>
          <w:szCs w:val="22"/>
        </w:rPr>
        <w:t xml:space="preserve"> </w:t>
      </w:r>
      <w:r w:rsidRPr="000D25CB">
        <w:rPr>
          <w:color w:val="000000"/>
          <w:sz w:val="22"/>
          <w:szCs w:val="22"/>
        </w:rPr>
        <w:t>the</w:t>
      </w:r>
      <w:r w:rsidRPr="000D25CB">
        <w:rPr>
          <w:color w:val="000000"/>
          <w:spacing w:val="9"/>
          <w:sz w:val="22"/>
          <w:szCs w:val="22"/>
        </w:rPr>
        <w:t xml:space="preserve"> </w:t>
      </w:r>
      <w:r w:rsidRPr="000D25CB">
        <w:rPr>
          <w:color w:val="000000"/>
          <w:w w:val="108"/>
          <w:sz w:val="22"/>
          <w:szCs w:val="22"/>
        </w:rPr>
        <w:t>"</w:t>
      </w:r>
      <w:r w:rsidRPr="000D25CB" w:rsidR="002F11FC">
        <w:rPr>
          <w:color w:val="000000"/>
          <w:w w:val="108"/>
          <w:sz w:val="22"/>
          <w:szCs w:val="22"/>
        </w:rPr>
        <w:t xml:space="preserve">NISP </w:t>
      </w:r>
      <w:r w:rsidRPr="000D25CB" w:rsidR="002F11FC">
        <w:rPr>
          <w:color w:val="000000"/>
          <w:sz w:val="22"/>
          <w:szCs w:val="22"/>
        </w:rPr>
        <w:t>Cost Collection</w:t>
      </w:r>
      <w:r w:rsidRPr="000D25CB">
        <w:rPr>
          <w:color w:val="000000"/>
          <w:w w:val="108"/>
          <w:sz w:val="22"/>
          <w:szCs w:val="22"/>
        </w:rPr>
        <w:t>"</w:t>
      </w:r>
      <w:r w:rsidRPr="000D25CB">
        <w:rPr>
          <w:color w:val="000000"/>
          <w:sz w:val="22"/>
          <w:szCs w:val="22"/>
        </w:rPr>
        <w:t xml:space="preserve"> electronically</w:t>
      </w:r>
      <w:r w:rsidRPr="000D25CB" w:rsidR="00006BB0">
        <w:rPr>
          <w:color w:val="000000"/>
          <w:sz w:val="22"/>
          <w:szCs w:val="22"/>
        </w:rPr>
        <w:t xml:space="preserve">. </w:t>
      </w:r>
    </w:p>
    <w:p w:rsidRPr="000D25CB" w:rsidR="00BF1B29" w:rsidP="008429D4" w:rsidRDefault="005E0A0F">
      <w:pPr>
        <w:pStyle w:val="NormalWeb"/>
        <w:numPr>
          <w:ilvl w:val="0"/>
          <w:numId w:val="4"/>
        </w:numPr>
        <w:spacing w:before="120" w:beforeAutospacing="0" w:after="120" w:afterAutospacing="0"/>
        <w:jc w:val="both"/>
        <w:rPr>
          <w:sz w:val="22"/>
          <w:szCs w:val="22"/>
        </w:rPr>
      </w:pPr>
      <w:r w:rsidRPr="000D25CB">
        <w:rPr>
          <w:sz w:val="22"/>
          <w:szCs w:val="22"/>
          <w:u w:val="single"/>
        </w:rPr>
        <w:t>Non-duplication</w:t>
      </w:r>
    </w:p>
    <w:p w:rsidRPr="000D25CB" w:rsidR="009128BC" w:rsidP="00316E72" w:rsidRDefault="009128BC">
      <w:pPr>
        <w:pStyle w:val="NormalWeb"/>
        <w:spacing w:before="120" w:beforeAutospacing="0" w:after="120" w:afterAutospacing="0"/>
        <w:ind w:left="720"/>
        <w:jc w:val="both"/>
        <w:rPr>
          <w:sz w:val="22"/>
          <w:szCs w:val="22"/>
        </w:rPr>
      </w:pPr>
      <w:r w:rsidRPr="000D25CB">
        <w:rPr>
          <w:sz w:val="22"/>
          <w:szCs w:val="22"/>
        </w:rPr>
        <w:t>The joint-government-industry Industrial Security Cost Task Force was formed in early 1995 to develop an acceptable model to fulfill 32 CFR, Subpart F obligations of the Secretary of Defense under the NISP</w:t>
      </w:r>
      <w:r w:rsidRPr="000D25CB" w:rsidR="00006BB0">
        <w:rPr>
          <w:sz w:val="22"/>
          <w:szCs w:val="22"/>
        </w:rPr>
        <w:t xml:space="preserve">. </w:t>
      </w:r>
      <w:r w:rsidRPr="000D25CB">
        <w:rPr>
          <w:sz w:val="22"/>
          <w:szCs w:val="22"/>
        </w:rPr>
        <w:t>The objective of the Task Force was to formulate a cost collection and reporting methodology that would not be prohibitively expensive, but would take into account “lessons learned” from previous related studies, and responsibly address newly articulated problematic aspects expressed by its industry members</w:t>
      </w:r>
      <w:r w:rsidRPr="000D25CB" w:rsidR="00006BB0">
        <w:rPr>
          <w:sz w:val="22"/>
          <w:szCs w:val="22"/>
        </w:rPr>
        <w:t xml:space="preserve">. </w:t>
      </w:r>
      <w:r w:rsidRPr="000D25CB">
        <w:rPr>
          <w:sz w:val="22"/>
          <w:szCs w:val="22"/>
        </w:rPr>
        <w:t>The draft methodology was supported by the joint-government-industry NISP Policy Advisory</w:t>
      </w:r>
      <w:r w:rsidRPr="000D25CB" w:rsidR="007B54F6">
        <w:rPr>
          <w:sz w:val="22"/>
          <w:szCs w:val="22"/>
        </w:rPr>
        <w:t xml:space="preserve"> Committee during its meeting on</w:t>
      </w:r>
      <w:r w:rsidRPr="000D25CB">
        <w:rPr>
          <w:sz w:val="22"/>
          <w:szCs w:val="22"/>
        </w:rPr>
        <w:t xml:space="preserve"> September 27, 1995 and was accepted for implementation on February 9, 1996 by the six industry group signatories to the memorandum of understanding </w:t>
      </w:r>
      <w:r w:rsidRPr="000D25CB" w:rsidR="007B54F6">
        <w:rPr>
          <w:sz w:val="22"/>
          <w:szCs w:val="22"/>
        </w:rPr>
        <w:t xml:space="preserve">(MOU), which was </w:t>
      </w:r>
      <w:r w:rsidRPr="000D25CB">
        <w:rPr>
          <w:sz w:val="22"/>
          <w:szCs w:val="22"/>
        </w:rPr>
        <w:t>established to convey consensus positions to appropriate government security authorities relative to NISP policies, procedures, and practices.</w:t>
      </w:r>
    </w:p>
    <w:p w:rsidR="00097B80" w:rsidP="00097B80" w:rsidRDefault="009128BC">
      <w:pPr>
        <w:ind w:left="720"/>
      </w:pPr>
      <w:r w:rsidRPr="000D25CB">
        <w:rPr>
          <w:sz w:val="22"/>
          <w:szCs w:val="22"/>
        </w:rPr>
        <w:t>Since this data collection’s implementation in 1995</w:t>
      </w:r>
      <w:r w:rsidRPr="000D25CB" w:rsidR="007B54F6">
        <w:rPr>
          <w:sz w:val="22"/>
          <w:szCs w:val="22"/>
        </w:rPr>
        <w:t>,</w:t>
      </w:r>
      <w:r w:rsidRPr="000D25CB">
        <w:rPr>
          <w:sz w:val="22"/>
          <w:szCs w:val="22"/>
        </w:rPr>
        <w:t xml:space="preserve"> no other duplicative efforts have been undertaken to estimate Industry cost associated with implementation of the </w:t>
      </w:r>
      <w:r w:rsidRPr="000D25CB" w:rsidR="007B54F6">
        <w:rPr>
          <w:sz w:val="22"/>
          <w:szCs w:val="22"/>
        </w:rPr>
        <w:t>NISP</w:t>
      </w:r>
      <w:r w:rsidRPr="000D25CB" w:rsidR="00006BB0">
        <w:rPr>
          <w:sz w:val="22"/>
          <w:szCs w:val="22"/>
        </w:rPr>
        <w:t xml:space="preserve">. </w:t>
      </w:r>
      <w:r w:rsidRPr="000D25CB">
        <w:rPr>
          <w:sz w:val="22"/>
          <w:szCs w:val="22"/>
        </w:rPr>
        <w:t xml:space="preserve">Government organizations and industry representatives within the Industrial Security Cost Task Force are aware that this is an annual </w:t>
      </w:r>
      <w:r w:rsidRPr="000D25CB" w:rsidR="00DE0536">
        <w:rPr>
          <w:sz w:val="22"/>
          <w:szCs w:val="22"/>
        </w:rPr>
        <w:t xml:space="preserve">request, slated to occur in late winter </w:t>
      </w:r>
      <w:r w:rsidRPr="000D25CB">
        <w:rPr>
          <w:sz w:val="22"/>
          <w:szCs w:val="22"/>
        </w:rPr>
        <w:t>of each calendar year to align with the budget cycle.</w:t>
      </w:r>
      <w:bookmarkStart w:name="cp440" w:id="2"/>
    </w:p>
    <w:p w:rsidR="00097B80" w:rsidP="00097B80" w:rsidRDefault="00097B80">
      <w:pPr>
        <w:ind w:left="720"/>
      </w:pPr>
    </w:p>
    <w:p w:rsidRPr="00097B80" w:rsidR="00EC17A1" w:rsidP="00097B80" w:rsidRDefault="00752D7F">
      <w:pPr>
        <w:pStyle w:val="ListParagraph"/>
        <w:numPr>
          <w:ilvl w:val="0"/>
          <w:numId w:val="4"/>
        </w:numPr>
        <w:rPr>
          <w:u w:val="single"/>
        </w:rPr>
      </w:pPr>
      <w:r w:rsidRPr="00097B80">
        <w:rPr>
          <w:u w:val="single"/>
        </w:rPr>
        <w:t>Burden on Small Business</w:t>
      </w:r>
    </w:p>
    <w:p w:rsidR="00097B80" w:rsidP="00097B80" w:rsidRDefault="00752D7F">
      <w:pPr>
        <w:ind w:left="720"/>
        <w:rPr>
          <w:sz w:val="22"/>
          <w:szCs w:val="22"/>
        </w:rPr>
      </w:pPr>
      <w:bookmarkStart w:name="cp441" w:id="3"/>
      <w:bookmarkEnd w:id="2"/>
      <w:r w:rsidRPr="00097B80">
        <w:rPr>
          <w:sz w:val="22"/>
          <w:szCs w:val="22"/>
        </w:rPr>
        <w:t>DCSA is only asking for the minimum amount of information necessary for reporting needs. Due to the unique facility categories of contractors participating in the NISP, DCSA can employ a random sampling technique to minimize the amount of respondents required. DCSA conducts an annual data collection (1,014 respondents) at cleared contractor facilities eligible to protect classified information participating within the NISP. In short, this collection has a very minimal impact on businesses.</w:t>
      </w:r>
      <w:bookmarkEnd w:id="3"/>
    </w:p>
    <w:p w:rsidR="00097B80" w:rsidP="00097B80" w:rsidRDefault="00097B80">
      <w:pPr>
        <w:ind w:left="720"/>
        <w:rPr>
          <w:sz w:val="22"/>
          <w:szCs w:val="22"/>
        </w:rPr>
      </w:pPr>
    </w:p>
    <w:p w:rsidRPr="00097B80" w:rsidR="00EC17A1" w:rsidP="00097B80" w:rsidRDefault="00752D7F">
      <w:pPr>
        <w:pStyle w:val="ListParagraph"/>
        <w:numPr>
          <w:ilvl w:val="0"/>
          <w:numId w:val="4"/>
        </w:numPr>
        <w:rPr>
          <w:sz w:val="22"/>
          <w:szCs w:val="22"/>
          <w:u w:val="single"/>
        </w:rPr>
      </w:pPr>
      <w:r w:rsidRPr="00097B80">
        <w:rPr>
          <w:sz w:val="22"/>
          <w:szCs w:val="22"/>
          <w:u w:val="single"/>
        </w:rPr>
        <w:t>Less Frequent Collection</w:t>
      </w:r>
    </w:p>
    <w:p w:rsidRPr="00097B80" w:rsidR="00EC17A1" w:rsidP="00097B80" w:rsidRDefault="00752D7F">
      <w:pPr>
        <w:ind w:left="720"/>
        <w:rPr>
          <w:sz w:val="22"/>
          <w:szCs w:val="22"/>
        </w:rPr>
      </w:pPr>
      <w:r w:rsidRPr="00097B80">
        <w:rPr>
          <w:sz w:val="22"/>
          <w:szCs w:val="22"/>
        </w:rPr>
        <w:t xml:space="preserve">Pursuant to EO 12829, “NISP, and reporting requirement of 32 CFR Part 2001, Subpart F, section 2001.61 (b); Classified National Security Information, the DoD estimates aggregate security costs for contractors to the ISOO. In turn, ISOO reports to the President on the cost of the NISP annually. To meet the requirement of the EO, DCSA is tasked to collect the costs by surveying contractors who possess classified information at their cleared facility. </w:t>
      </w:r>
    </w:p>
    <w:p w:rsidR="00097B80" w:rsidP="00097B80" w:rsidRDefault="00097B80">
      <w:pPr>
        <w:ind w:left="720"/>
        <w:rPr>
          <w:sz w:val="22"/>
          <w:szCs w:val="22"/>
        </w:rPr>
      </w:pPr>
      <w:bookmarkStart w:name="cp444" w:id="4"/>
    </w:p>
    <w:p w:rsidRPr="00097B80" w:rsidR="00EC17A1" w:rsidP="00097B80" w:rsidRDefault="00752D7F">
      <w:pPr>
        <w:pStyle w:val="ListParagraph"/>
        <w:numPr>
          <w:ilvl w:val="0"/>
          <w:numId w:val="4"/>
        </w:numPr>
        <w:rPr>
          <w:sz w:val="22"/>
          <w:szCs w:val="22"/>
          <w:u w:val="single"/>
        </w:rPr>
      </w:pPr>
      <w:r w:rsidRPr="00097B80">
        <w:rPr>
          <w:sz w:val="22"/>
          <w:szCs w:val="22"/>
          <w:u w:val="single"/>
        </w:rPr>
        <w:t>Paperwork Reduction Act Guidelines</w:t>
      </w:r>
    </w:p>
    <w:p w:rsidRPr="00097B80" w:rsidR="00EC17A1" w:rsidP="00097B80" w:rsidRDefault="00752D7F">
      <w:pPr>
        <w:ind w:left="720"/>
        <w:rPr>
          <w:sz w:val="22"/>
          <w:szCs w:val="22"/>
        </w:rPr>
      </w:pPr>
      <w:bookmarkStart w:name="cp446" w:id="5"/>
      <w:bookmarkEnd w:id="4"/>
      <w:r w:rsidRPr="00097B80">
        <w:rPr>
          <w:sz w:val="22"/>
          <w:szCs w:val="22"/>
        </w:rPr>
        <w:t>There are no special circumstances affecting this collection.</w:t>
      </w:r>
    </w:p>
    <w:p w:rsidRPr="00097B80" w:rsidR="00EC17A1" w:rsidP="00097B80" w:rsidRDefault="00752D7F">
      <w:pPr>
        <w:pStyle w:val="ListParagraph"/>
        <w:numPr>
          <w:ilvl w:val="0"/>
          <w:numId w:val="4"/>
        </w:numPr>
        <w:rPr>
          <w:sz w:val="22"/>
          <w:szCs w:val="22"/>
          <w:u w:val="single"/>
        </w:rPr>
      </w:pPr>
      <w:r w:rsidRPr="00097B80">
        <w:rPr>
          <w:sz w:val="22"/>
          <w:szCs w:val="22"/>
          <w:u w:val="single"/>
        </w:rPr>
        <w:t>Consultation and Public Comments</w:t>
      </w:r>
    </w:p>
    <w:p w:rsidR="00097B80" w:rsidP="00097B80" w:rsidRDefault="00097B80">
      <w:pPr>
        <w:ind w:left="720"/>
        <w:rPr>
          <w:sz w:val="22"/>
          <w:szCs w:val="22"/>
        </w:rPr>
      </w:pPr>
      <w:bookmarkStart w:name="cp449" w:id="6"/>
      <w:bookmarkEnd w:id="5"/>
    </w:p>
    <w:p w:rsidRPr="00097B80" w:rsidR="00EC17A1" w:rsidP="00097B80" w:rsidRDefault="00752D7F">
      <w:pPr>
        <w:ind w:left="720"/>
        <w:rPr>
          <w:sz w:val="22"/>
          <w:szCs w:val="22"/>
        </w:rPr>
      </w:pPr>
      <w:r w:rsidRPr="00097B80">
        <w:rPr>
          <w:sz w:val="22"/>
          <w:szCs w:val="22"/>
        </w:rPr>
        <w:t>Part A: PUBLIC NOTICE</w:t>
      </w:r>
    </w:p>
    <w:p w:rsidR="00097B80" w:rsidP="00097B80" w:rsidRDefault="00097B80">
      <w:pPr>
        <w:ind w:left="720"/>
        <w:rPr>
          <w:sz w:val="22"/>
          <w:szCs w:val="22"/>
        </w:rPr>
      </w:pPr>
    </w:p>
    <w:p w:rsidR="00097B80" w:rsidP="00097B80" w:rsidRDefault="00752D7F">
      <w:pPr>
        <w:ind w:left="720"/>
        <w:rPr>
          <w:sz w:val="22"/>
          <w:szCs w:val="22"/>
        </w:rPr>
      </w:pPr>
      <w:r w:rsidRPr="00097B80">
        <w:rPr>
          <w:sz w:val="22"/>
          <w:szCs w:val="22"/>
        </w:rPr>
        <w:t>A 60-Day Federal Register Notice (FRN) for the collection published on Wednesday, February 5, 2020.  The 60-Day</w:t>
      </w:r>
      <w:r w:rsidR="00097B80">
        <w:rPr>
          <w:sz w:val="22"/>
          <w:szCs w:val="22"/>
        </w:rPr>
        <w:t xml:space="preserve"> FRN citation is 85 FRN 6535. </w:t>
      </w:r>
      <w:r w:rsidR="00097B80">
        <w:rPr>
          <w:sz w:val="22"/>
          <w:szCs w:val="22"/>
        </w:rPr>
        <w:cr/>
      </w:r>
    </w:p>
    <w:p w:rsidR="00097B80" w:rsidP="00097B80" w:rsidRDefault="00752D7F">
      <w:pPr>
        <w:ind w:left="720"/>
        <w:rPr>
          <w:sz w:val="22"/>
          <w:szCs w:val="22"/>
        </w:rPr>
      </w:pPr>
      <w:r w:rsidRPr="00097B80">
        <w:rPr>
          <w:sz w:val="22"/>
          <w:szCs w:val="22"/>
        </w:rPr>
        <w:t xml:space="preserve">No comments were received during the 60-Day Comment Period. </w:t>
      </w:r>
      <w:r w:rsidRPr="00097B80">
        <w:rPr>
          <w:sz w:val="22"/>
          <w:szCs w:val="22"/>
        </w:rPr>
        <w:cr/>
      </w:r>
    </w:p>
    <w:p w:rsidRPr="00097B80" w:rsidR="00EC17A1" w:rsidP="00097B80" w:rsidRDefault="00752D7F">
      <w:pPr>
        <w:ind w:left="720"/>
        <w:rPr>
          <w:sz w:val="22"/>
          <w:szCs w:val="22"/>
        </w:rPr>
      </w:pPr>
      <w:r w:rsidRPr="00097B80">
        <w:rPr>
          <w:sz w:val="22"/>
          <w:szCs w:val="22"/>
        </w:rPr>
        <w:t>A 30-Day Federal Register Notice for the collection published on Friday, April 24, 2020. The 30-Day</w:t>
      </w:r>
      <w:r w:rsidRPr="00097B80" w:rsidR="00BA48A3">
        <w:rPr>
          <w:sz w:val="22"/>
          <w:szCs w:val="22"/>
        </w:rPr>
        <w:t xml:space="preserve"> FRN citation is 85 FRN 23010.</w:t>
      </w:r>
    </w:p>
    <w:p w:rsidR="00097B80" w:rsidP="00097B80" w:rsidRDefault="00097B80">
      <w:pPr>
        <w:ind w:left="720"/>
        <w:rPr>
          <w:sz w:val="22"/>
          <w:szCs w:val="22"/>
        </w:rPr>
      </w:pPr>
    </w:p>
    <w:p w:rsidRPr="00097B80" w:rsidR="00F6645A" w:rsidP="00097B80" w:rsidRDefault="00F6645A">
      <w:pPr>
        <w:ind w:left="720"/>
        <w:rPr>
          <w:sz w:val="22"/>
          <w:szCs w:val="22"/>
        </w:rPr>
      </w:pPr>
      <w:r w:rsidRPr="00097B80">
        <w:rPr>
          <w:sz w:val="22"/>
          <w:szCs w:val="22"/>
        </w:rPr>
        <w:t>Part B: CONSULTATION</w:t>
      </w:r>
    </w:p>
    <w:p w:rsidR="00097B80" w:rsidP="00097B80" w:rsidRDefault="007B54F6">
      <w:pPr>
        <w:ind w:left="720"/>
        <w:rPr>
          <w:sz w:val="22"/>
          <w:szCs w:val="22"/>
        </w:rPr>
      </w:pPr>
      <w:r w:rsidRPr="00097B80">
        <w:rPr>
          <w:sz w:val="22"/>
          <w:szCs w:val="22"/>
        </w:rPr>
        <w:t>DCSA</w:t>
      </w:r>
      <w:r w:rsidRPr="00097B80" w:rsidR="00EF3AF0">
        <w:rPr>
          <w:sz w:val="22"/>
          <w:szCs w:val="22"/>
        </w:rPr>
        <w:t xml:space="preserve"> </w:t>
      </w:r>
      <w:r w:rsidRPr="00097B80" w:rsidR="00803BE4">
        <w:rPr>
          <w:sz w:val="22"/>
          <w:szCs w:val="22"/>
        </w:rPr>
        <w:t xml:space="preserve">has consulted with </w:t>
      </w:r>
      <w:r w:rsidRPr="00097B80" w:rsidR="002F11FC">
        <w:rPr>
          <w:sz w:val="22"/>
          <w:szCs w:val="22"/>
        </w:rPr>
        <w:t xml:space="preserve">staff from the </w:t>
      </w:r>
      <w:r w:rsidRPr="00097B80">
        <w:rPr>
          <w:sz w:val="22"/>
          <w:szCs w:val="22"/>
        </w:rPr>
        <w:t>ISOO</w:t>
      </w:r>
      <w:r w:rsidRPr="00097B80" w:rsidR="002F11FC">
        <w:rPr>
          <w:sz w:val="22"/>
          <w:szCs w:val="22"/>
        </w:rPr>
        <w:t xml:space="preserve"> and </w:t>
      </w:r>
      <w:r w:rsidRPr="00097B80" w:rsidR="00EF3AF0">
        <w:rPr>
          <w:sz w:val="22"/>
          <w:szCs w:val="22"/>
        </w:rPr>
        <w:t xml:space="preserve">Industry </w:t>
      </w:r>
      <w:r w:rsidRPr="00097B80" w:rsidR="00803BE4">
        <w:rPr>
          <w:sz w:val="22"/>
          <w:szCs w:val="22"/>
        </w:rPr>
        <w:t>members of the National Industrial Security Program Policy Advisory Committee (NISPPAC)</w:t>
      </w:r>
      <w:r w:rsidRPr="00097B80" w:rsidR="00006BB0">
        <w:rPr>
          <w:sz w:val="22"/>
          <w:szCs w:val="22"/>
        </w:rPr>
        <w:t xml:space="preserve">. </w:t>
      </w:r>
      <w:r w:rsidRPr="00097B80" w:rsidR="00803BE4">
        <w:rPr>
          <w:sz w:val="22"/>
          <w:szCs w:val="22"/>
          <w:lang w:val="en"/>
        </w:rPr>
        <w:t xml:space="preserve">The NISPPAC is responsible for recommending changes in industrial security policy through modifications to </w:t>
      </w:r>
      <w:r w:rsidRPr="00097B80">
        <w:rPr>
          <w:sz w:val="22"/>
          <w:szCs w:val="22"/>
          <w:lang w:val="en"/>
        </w:rPr>
        <w:t>EO</w:t>
      </w:r>
      <w:r w:rsidRPr="00097B80" w:rsidR="00803BE4">
        <w:rPr>
          <w:sz w:val="22"/>
          <w:szCs w:val="22"/>
          <w:lang w:val="en"/>
        </w:rPr>
        <w:t xml:space="preserve"> 12829</w:t>
      </w:r>
      <w:r w:rsidRPr="00097B80" w:rsidR="00006BB0">
        <w:rPr>
          <w:sz w:val="22"/>
          <w:szCs w:val="22"/>
          <w:lang w:val="en"/>
        </w:rPr>
        <w:t xml:space="preserve">. </w:t>
      </w:r>
      <w:r w:rsidRPr="00097B80" w:rsidR="00803BE4">
        <w:rPr>
          <w:sz w:val="22"/>
          <w:szCs w:val="22"/>
          <w:lang w:val="en"/>
        </w:rPr>
        <w:t xml:space="preserve">The NISPPAC also advises the ISOO on all matters concerning </w:t>
      </w:r>
      <w:r w:rsidRPr="00097B80" w:rsidR="00EF3AF0">
        <w:rPr>
          <w:sz w:val="22"/>
          <w:szCs w:val="22"/>
          <w:lang w:val="en"/>
        </w:rPr>
        <w:t xml:space="preserve">NISP policy </w:t>
      </w:r>
      <w:r w:rsidRPr="00097B80" w:rsidR="00803BE4">
        <w:rPr>
          <w:sz w:val="22"/>
          <w:szCs w:val="22"/>
          <w:lang w:val="en"/>
        </w:rPr>
        <w:t>and serves as a forum to discuss policy issues in dispute.</w:t>
      </w:r>
      <w:r w:rsidRPr="00097B80" w:rsidR="00EF3AF0">
        <w:rPr>
          <w:sz w:val="22"/>
          <w:szCs w:val="22"/>
          <w:lang w:val="en"/>
        </w:rPr>
        <w:t xml:space="preserve"> </w:t>
      </w:r>
      <w:r w:rsidRPr="00097B80" w:rsidR="002F11FC">
        <w:rPr>
          <w:sz w:val="22"/>
          <w:szCs w:val="22"/>
          <w:lang w:val="en"/>
        </w:rPr>
        <w:t xml:space="preserve">As a result of those discussions, an effort </w:t>
      </w:r>
      <w:r w:rsidRPr="00097B80" w:rsidR="00F338AA">
        <w:rPr>
          <w:sz w:val="22"/>
          <w:szCs w:val="22"/>
          <w:lang w:val="en"/>
        </w:rPr>
        <w:t xml:space="preserve">is </w:t>
      </w:r>
      <w:r w:rsidRPr="00097B80" w:rsidR="002F11FC">
        <w:rPr>
          <w:sz w:val="22"/>
          <w:szCs w:val="22"/>
          <w:lang w:val="en"/>
        </w:rPr>
        <w:t xml:space="preserve">underway to </w:t>
      </w:r>
      <w:r w:rsidRPr="00097B80" w:rsidR="00483689">
        <w:rPr>
          <w:sz w:val="22"/>
          <w:szCs w:val="22"/>
          <w:lang w:val="en"/>
        </w:rPr>
        <w:t>improve</w:t>
      </w:r>
      <w:r w:rsidRPr="00097B80" w:rsidR="0098619D">
        <w:rPr>
          <w:sz w:val="22"/>
          <w:szCs w:val="22"/>
          <w:lang w:val="en"/>
        </w:rPr>
        <w:t xml:space="preserve"> this data collection </w:t>
      </w:r>
      <w:r w:rsidRPr="00097B80" w:rsidR="00483689">
        <w:rPr>
          <w:sz w:val="22"/>
          <w:szCs w:val="22"/>
          <w:lang w:val="en"/>
        </w:rPr>
        <w:t>through incorporating</w:t>
      </w:r>
      <w:r w:rsidRPr="00097B80" w:rsidR="0098619D">
        <w:rPr>
          <w:sz w:val="22"/>
          <w:szCs w:val="22"/>
          <w:lang w:val="en"/>
        </w:rPr>
        <w:t xml:space="preserve"> </w:t>
      </w:r>
      <w:r w:rsidRPr="00097B80" w:rsidR="00483689">
        <w:rPr>
          <w:sz w:val="22"/>
          <w:szCs w:val="22"/>
          <w:lang w:val="en"/>
        </w:rPr>
        <w:t xml:space="preserve">additional </w:t>
      </w:r>
      <w:r w:rsidRPr="00097B80" w:rsidR="00EF3AF0">
        <w:rPr>
          <w:sz w:val="22"/>
          <w:szCs w:val="22"/>
          <w:lang w:val="en"/>
        </w:rPr>
        <w:t>definitions</w:t>
      </w:r>
      <w:r w:rsidRPr="00097B80" w:rsidR="00006BB0">
        <w:rPr>
          <w:sz w:val="22"/>
          <w:szCs w:val="22"/>
          <w:lang w:val="en"/>
        </w:rPr>
        <w:t xml:space="preserve">. </w:t>
      </w:r>
      <w:r w:rsidRPr="00097B80" w:rsidR="006304F9">
        <w:rPr>
          <w:sz w:val="22"/>
          <w:szCs w:val="22"/>
          <w:lang w:val="en"/>
        </w:rPr>
        <w:t>DCSA</w:t>
      </w:r>
      <w:r w:rsidRPr="00097B80" w:rsidR="00EF3AF0">
        <w:rPr>
          <w:sz w:val="22"/>
          <w:szCs w:val="22"/>
          <w:lang w:val="en"/>
        </w:rPr>
        <w:t xml:space="preserve"> </w:t>
      </w:r>
      <w:r w:rsidRPr="00097B80" w:rsidR="0098619D">
        <w:rPr>
          <w:sz w:val="22"/>
          <w:szCs w:val="22"/>
          <w:lang w:val="en"/>
        </w:rPr>
        <w:t>expects</w:t>
      </w:r>
      <w:r w:rsidRPr="00097B80" w:rsidR="00843915">
        <w:rPr>
          <w:sz w:val="22"/>
          <w:szCs w:val="22"/>
          <w:lang w:val="en"/>
        </w:rPr>
        <w:t xml:space="preserve"> </w:t>
      </w:r>
      <w:r w:rsidRPr="00097B80" w:rsidR="00483689">
        <w:rPr>
          <w:sz w:val="22"/>
          <w:szCs w:val="22"/>
          <w:lang w:val="en"/>
        </w:rPr>
        <w:t xml:space="preserve">the </w:t>
      </w:r>
      <w:r w:rsidRPr="00097B80" w:rsidR="00EF3AF0">
        <w:rPr>
          <w:sz w:val="22"/>
          <w:szCs w:val="22"/>
          <w:lang w:val="en"/>
        </w:rPr>
        <w:t xml:space="preserve">dialogue with </w:t>
      </w:r>
      <w:r w:rsidRPr="00097B80" w:rsidR="0098619D">
        <w:rPr>
          <w:sz w:val="22"/>
          <w:szCs w:val="22"/>
          <w:lang w:val="en"/>
        </w:rPr>
        <w:t xml:space="preserve">ISOO </w:t>
      </w:r>
      <w:r w:rsidRPr="00097B80" w:rsidR="00843915">
        <w:rPr>
          <w:sz w:val="22"/>
          <w:szCs w:val="22"/>
          <w:lang w:val="en"/>
        </w:rPr>
        <w:t xml:space="preserve">to continue </w:t>
      </w:r>
      <w:r w:rsidRPr="00097B80" w:rsidR="00EF3AF0">
        <w:rPr>
          <w:sz w:val="22"/>
          <w:szCs w:val="22"/>
          <w:lang w:val="en"/>
        </w:rPr>
        <w:t>into the future</w:t>
      </w:r>
      <w:r w:rsidRPr="00097B80" w:rsidR="00006BB0">
        <w:rPr>
          <w:sz w:val="22"/>
          <w:szCs w:val="22"/>
          <w:lang w:val="en"/>
        </w:rPr>
        <w:t xml:space="preserve">. </w:t>
      </w:r>
      <w:r w:rsidRPr="00097B80" w:rsidR="00EF226D">
        <w:rPr>
          <w:sz w:val="22"/>
          <w:szCs w:val="22"/>
          <w:lang w:val="en"/>
        </w:rPr>
        <w:t>However, t</w:t>
      </w:r>
      <w:r w:rsidRPr="00097B80" w:rsidR="0098619D">
        <w:rPr>
          <w:sz w:val="22"/>
          <w:szCs w:val="22"/>
          <w:lang w:val="en"/>
        </w:rPr>
        <w:t>here are no plans to alter the questions themselves</w:t>
      </w:r>
      <w:r w:rsidRPr="00097B80">
        <w:rPr>
          <w:sz w:val="22"/>
          <w:szCs w:val="22"/>
          <w:lang w:val="en"/>
        </w:rPr>
        <w:t xml:space="preserve"> and </w:t>
      </w:r>
      <w:r w:rsidRPr="00097B80" w:rsidR="006304F9">
        <w:rPr>
          <w:sz w:val="22"/>
          <w:szCs w:val="22"/>
          <w:lang w:val="en"/>
        </w:rPr>
        <w:t>DCSA</w:t>
      </w:r>
      <w:r w:rsidRPr="00097B80" w:rsidR="00843915">
        <w:rPr>
          <w:sz w:val="22"/>
          <w:szCs w:val="22"/>
          <w:lang w:val="en"/>
        </w:rPr>
        <w:t xml:space="preserve"> will </w:t>
      </w:r>
      <w:r w:rsidRPr="00097B80" w:rsidR="00EF3AF0">
        <w:rPr>
          <w:sz w:val="22"/>
          <w:szCs w:val="22"/>
          <w:lang w:val="en"/>
        </w:rPr>
        <w:t xml:space="preserve">implement </w:t>
      </w:r>
      <w:r w:rsidRPr="00097B80" w:rsidR="00843915">
        <w:rPr>
          <w:sz w:val="22"/>
          <w:szCs w:val="22"/>
          <w:lang w:val="en"/>
        </w:rPr>
        <w:t>once finalized</w:t>
      </w:r>
      <w:r w:rsidRPr="00097B80" w:rsidR="00006BB0">
        <w:rPr>
          <w:sz w:val="22"/>
          <w:szCs w:val="22"/>
          <w:lang w:val="en"/>
        </w:rPr>
        <w:t xml:space="preserve">. </w:t>
      </w:r>
      <w:r w:rsidRPr="00097B80" w:rsidR="00EF3AF0">
        <w:rPr>
          <w:sz w:val="22"/>
          <w:szCs w:val="22"/>
          <w:lang w:val="en"/>
        </w:rPr>
        <w:t xml:space="preserve"> </w:t>
      </w:r>
      <w:r w:rsidRPr="00097B80" w:rsidR="00F6645A">
        <w:rPr>
          <w:sz w:val="22"/>
          <w:szCs w:val="22"/>
        </w:rPr>
        <w:cr/>
      </w:r>
    </w:p>
    <w:p w:rsidRPr="00097B80" w:rsidR="00EC17A1" w:rsidP="00097B80" w:rsidRDefault="005E0A0F">
      <w:pPr>
        <w:pStyle w:val="ListParagraph"/>
        <w:numPr>
          <w:ilvl w:val="0"/>
          <w:numId w:val="4"/>
        </w:numPr>
        <w:rPr>
          <w:sz w:val="22"/>
          <w:szCs w:val="22"/>
        </w:rPr>
      </w:pPr>
      <w:r w:rsidRPr="00097B80">
        <w:rPr>
          <w:sz w:val="22"/>
          <w:szCs w:val="22"/>
          <w:u w:val="single"/>
        </w:rPr>
        <w:t>Gifts or Payment</w:t>
      </w:r>
      <w:bookmarkStart w:name="cp450" w:id="7"/>
      <w:bookmarkEnd w:id="6"/>
      <w:r w:rsidRPr="00097B80" w:rsidR="002D2D94">
        <w:rPr>
          <w:sz w:val="22"/>
          <w:szCs w:val="22"/>
        </w:rPr>
        <w:cr/>
      </w:r>
      <w:r w:rsidRPr="00097B80" w:rsidR="00752D7F">
        <w:rPr>
          <w:sz w:val="22"/>
          <w:szCs w:val="22"/>
        </w:rPr>
        <w:t>No payments or gifts will be provided to respondents.</w:t>
      </w:r>
      <w:bookmarkEnd w:id="7"/>
    </w:p>
    <w:p w:rsidR="00097B80" w:rsidP="00097B80" w:rsidRDefault="00097B80">
      <w:pPr>
        <w:ind w:left="720"/>
        <w:rPr>
          <w:sz w:val="22"/>
          <w:szCs w:val="22"/>
        </w:rPr>
      </w:pPr>
    </w:p>
    <w:p w:rsidRPr="00097B80" w:rsidR="00EC17A1" w:rsidP="00097B80" w:rsidRDefault="00752D7F">
      <w:pPr>
        <w:pStyle w:val="ListParagraph"/>
        <w:numPr>
          <w:ilvl w:val="0"/>
          <w:numId w:val="4"/>
        </w:numPr>
        <w:rPr>
          <w:sz w:val="22"/>
          <w:szCs w:val="22"/>
          <w:u w:val="single"/>
        </w:rPr>
      </w:pPr>
      <w:r w:rsidRPr="00097B80">
        <w:rPr>
          <w:sz w:val="22"/>
          <w:szCs w:val="22"/>
          <w:u w:val="single"/>
        </w:rPr>
        <w:t>Confidentiality</w:t>
      </w:r>
    </w:p>
    <w:p w:rsidR="00097B80" w:rsidP="00097B80" w:rsidRDefault="00097B80">
      <w:pPr>
        <w:ind w:left="720"/>
        <w:rPr>
          <w:sz w:val="22"/>
          <w:szCs w:val="22"/>
        </w:rPr>
      </w:pPr>
    </w:p>
    <w:p w:rsidRPr="00097B80" w:rsidR="00EC17A1" w:rsidP="00097B80" w:rsidRDefault="00752D7F">
      <w:pPr>
        <w:ind w:left="720"/>
        <w:rPr>
          <w:sz w:val="22"/>
          <w:szCs w:val="22"/>
        </w:rPr>
      </w:pPr>
      <w:r w:rsidRPr="00097B80">
        <w:rPr>
          <w:sz w:val="22"/>
          <w:szCs w:val="22"/>
        </w:rPr>
        <w:t>The response to questions on the “Industry Cost Collection Report” may be considered by the respondent to be company proprietary. Information provided by the contractor will be kept private to the extent permitted by law. Information collected is compiled to create an aggregate estimated cost of NISP classification-related activities. Only the aggregate data is reported and all individual company information is kept in DCSA records.</w:t>
      </w:r>
    </w:p>
    <w:p w:rsidR="00097B80" w:rsidP="00097B80" w:rsidRDefault="00097B80">
      <w:pPr>
        <w:ind w:left="720"/>
        <w:rPr>
          <w:sz w:val="22"/>
          <w:szCs w:val="22"/>
        </w:rPr>
      </w:pPr>
    </w:p>
    <w:p w:rsidRPr="00097B80" w:rsidR="00EC17A1" w:rsidP="00097B80" w:rsidRDefault="00752D7F">
      <w:pPr>
        <w:ind w:left="720"/>
        <w:rPr>
          <w:sz w:val="22"/>
          <w:szCs w:val="22"/>
        </w:rPr>
      </w:pPr>
      <w:r w:rsidRPr="00097B80">
        <w:rPr>
          <w:sz w:val="22"/>
          <w:szCs w:val="22"/>
        </w:rPr>
        <w:t>A Privacy Act Statement (PAS) is not required since PII is not being collected.</w:t>
      </w:r>
    </w:p>
    <w:p w:rsidR="00097B80" w:rsidP="00097B80" w:rsidRDefault="00097B80">
      <w:pPr>
        <w:ind w:left="720"/>
        <w:rPr>
          <w:sz w:val="22"/>
          <w:szCs w:val="22"/>
        </w:rPr>
      </w:pPr>
    </w:p>
    <w:p w:rsidR="00097B80" w:rsidP="00097B80" w:rsidRDefault="00752D7F">
      <w:pPr>
        <w:ind w:left="720"/>
        <w:rPr>
          <w:sz w:val="22"/>
          <w:szCs w:val="22"/>
        </w:rPr>
      </w:pPr>
      <w:r w:rsidRPr="00097B80">
        <w:rPr>
          <w:sz w:val="22"/>
          <w:szCs w:val="22"/>
        </w:rPr>
        <w:t>A System of Record Notice (SORN) is not required since records are not retrieved by personally identifiable information (PII).</w:t>
      </w:r>
      <w:r w:rsidRPr="00097B80">
        <w:rPr>
          <w:sz w:val="22"/>
          <w:szCs w:val="22"/>
        </w:rPr>
        <w:cr/>
      </w:r>
    </w:p>
    <w:p w:rsidRPr="00097B80" w:rsidR="00EC17A1" w:rsidP="00097B80" w:rsidRDefault="00752D7F">
      <w:pPr>
        <w:ind w:left="720"/>
        <w:rPr>
          <w:sz w:val="22"/>
          <w:szCs w:val="22"/>
        </w:rPr>
      </w:pPr>
      <w:r w:rsidRPr="00097B80">
        <w:rPr>
          <w:sz w:val="22"/>
          <w:szCs w:val="22"/>
        </w:rPr>
        <w:t>A Privacy Impact Assessment (PIA) is not required since PII is not being collected electronically.</w:t>
      </w:r>
    </w:p>
    <w:p w:rsidR="00097B80" w:rsidP="00097B80" w:rsidRDefault="00097B80">
      <w:pPr>
        <w:ind w:left="720"/>
        <w:rPr>
          <w:sz w:val="22"/>
          <w:szCs w:val="22"/>
        </w:rPr>
      </w:pPr>
    </w:p>
    <w:p w:rsidRPr="00097B80" w:rsidR="00EC17A1" w:rsidP="00097B80" w:rsidRDefault="00752D7F">
      <w:pPr>
        <w:ind w:left="720"/>
        <w:rPr>
          <w:sz w:val="22"/>
          <w:szCs w:val="22"/>
        </w:rPr>
      </w:pPr>
      <w:r w:rsidRPr="00097B80">
        <w:rPr>
          <w:sz w:val="22"/>
          <w:szCs w:val="22"/>
        </w:rPr>
        <w:t xml:space="preserve">The Records Retention and Disposition Schedule is 040-DAA-GRS-2013-0003-0012. Cost accounting for stores, inventory, and materials for this collection are temporary and destroyed when three years old, but longer retention is authorized if required for business use. </w:t>
      </w:r>
    </w:p>
    <w:p w:rsidR="00097B80" w:rsidP="00097B80" w:rsidRDefault="00097B80">
      <w:pPr>
        <w:ind w:left="720"/>
        <w:rPr>
          <w:sz w:val="22"/>
          <w:szCs w:val="22"/>
        </w:rPr>
      </w:pPr>
    </w:p>
    <w:p w:rsidRPr="00097B80" w:rsidR="00EC17A1" w:rsidP="00097B80" w:rsidRDefault="00752D7F">
      <w:pPr>
        <w:pStyle w:val="ListParagraph"/>
        <w:numPr>
          <w:ilvl w:val="0"/>
          <w:numId w:val="4"/>
        </w:numPr>
        <w:rPr>
          <w:sz w:val="22"/>
          <w:szCs w:val="22"/>
        </w:rPr>
      </w:pPr>
      <w:r w:rsidRPr="00097B80">
        <w:rPr>
          <w:sz w:val="22"/>
          <w:szCs w:val="22"/>
        </w:rPr>
        <w:t>Sensitive Questions</w:t>
      </w:r>
    </w:p>
    <w:p w:rsidR="00EC17A1" w:rsidP="00097B80" w:rsidRDefault="00752D7F">
      <w:pPr>
        <w:ind w:left="720"/>
        <w:rPr>
          <w:sz w:val="22"/>
          <w:szCs w:val="22"/>
        </w:rPr>
      </w:pPr>
      <w:bookmarkStart w:name="cp456" w:id="8"/>
      <w:r w:rsidRPr="00097B80">
        <w:rPr>
          <w:sz w:val="22"/>
          <w:szCs w:val="22"/>
        </w:rPr>
        <w:t>There are no sensitive questions asked in this collection</w:t>
      </w:r>
      <w:r w:rsidRPr="00097B80" w:rsidR="0003306A">
        <w:rPr>
          <w:sz w:val="22"/>
          <w:szCs w:val="22"/>
        </w:rPr>
        <w:t>.</w:t>
      </w:r>
    </w:p>
    <w:p w:rsidR="00097B80" w:rsidP="00097B80" w:rsidRDefault="00097B80">
      <w:pPr>
        <w:ind w:left="720"/>
        <w:rPr>
          <w:sz w:val="22"/>
          <w:szCs w:val="22"/>
        </w:rPr>
      </w:pPr>
    </w:p>
    <w:p w:rsidR="00097B80" w:rsidP="00097B80" w:rsidRDefault="00097B80">
      <w:pPr>
        <w:ind w:left="720"/>
        <w:rPr>
          <w:sz w:val="22"/>
          <w:szCs w:val="22"/>
        </w:rPr>
      </w:pPr>
    </w:p>
    <w:p w:rsidR="00097B80" w:rsidP="00097B80" w:rsidRDefault="00097B80">
      <w:pPr>
        <w:ind w:left="720"/>
        <w:rPr>
          <w:sz w:val="22"/>
          <w:szCs w:val="22"/>
        </w:rPr>
      </w:pPr>
    </w:p>
    <w:p w:rsidR="00097B80" w:rsidP="00097B80" w:rsidRDefault="00097B80">
      <w:pPr>
        <w:ind w:left="720"/>
        <w:rPr>
          <w:sz w:val="22"/>
          <w:szCs w:val="22"/>
        </w:rPr>
      </w:pPr>
    </w:p>
    <w:p w:rsidR="00097B80" w:rsidP="00097B80" w:rsidRDefault="00097B80">
      <w:pPr>
        <w:ind w:left="720"/>
        <w:rPr>
          <w:sz w:val="22"/>
          <w:szCs w:val="22"/>
        </w:rPr>
      </w:pPr>
    </w:p>
    <w:p w:rsidR="00097B80" w:rsidP="00097B80" w:rsidRDefault="00097B80">
      <w:pPr>
        <w:ind w:left="720"/>
        <w:rPr>
          <w:sz w:val="22"/>
          <w:szCs w:val="22"/>
        </w:rPr>
      </w:pPr>
    </w:p>
    <w:p w:rsidRPr="00097B80" w:rsidR="00097B80" w:rsidP="00097B80" w:rsidRDefault="00097B80">
      <w:pPr>
        <w:ind w:left="720"/>
        <w:rPr>
          <w:sz w:val="22"/>
          <w:szCs w:val="22"/>
        </w:rPr>
      </w:pPr>
    </w:p>
    <w:p w:rsidR="00097B80" w:rsidRDefault="00097B80">
      <w:pPr>
        <w:rPr>
          <w:sz w:val="22"/>
          <w:szCs w:val="22"/>
        </w:rPr>
      </w:pPr>
    </w:p>
    <w:p w:rsidR="005E0A0F" w:rsidP="00097B80" w:rsidRDefault="005E0A0F">
      <w:pPr>
        <w:pStyle w:val="ListParagraph"/>
        <w:numPr>
          <w:ilvl w:val="0"/>
          <w:numId w:val="4"/>
        </w:numPr>
        <w:rPr>
          <w:sz w:val="22"/>
          <w:szCs w:val="22"/>
          <w:u w:val="single"/>
        </w:rPr>
      </w:pPr>
      <w:r w:rsidRPr="00097B80">
        <w:rPr>
          <w:sz w:val="22"/>
          <w:szCs w:val="22"/>
          <w:u w:val="single"/>
        </w:rPr>
        <w:t>Respondent Burden, and its Labor Costs</w:t>
      </w:r>
    </w:p>
    <w:p w:rsidRPr="00097B80" w:rsidR="00097B80" w:rsidP="00097B80" w:rsidRDefault="00097B80">
      <w:pPr>
        <w:rPr>
          <w:sz w:val="22"/>
          <w:szCs w:val="22"/>
        </w:rPr>
      </w:pPr>
      <w:bookmarkStart w:name="cp457" w:id="9"/>
      <w:bookmarkEnd w:id="8"/>
    </w:p>
    <w:p w:rsidRPr="00097B80" w:rsidR="009279AC" w:rsidP="00097B80" w:rsidRDefault="009279AC">
      <w:pPr>
        <w:pStyle w:val="ListParagraph"/>
        <w:numPr>
          <w:ilvl w:val="0"/>
          <w:numId w:val="17"/>
        </w:numPr>
        <w:rPr>
          <w:sz w:val="22"/>
          <w:szCs w:val="22"/>
        </w:rPr>
      </w:pPr>
      <w:r w:rsidRPr="00097B80">
        <w:rPr>
          <w:sz w:val="22"/>
          <w:szCs w:val="22"/>
        </w:rPr>
        <w:t xml:space="preserve">Number of Respondents: </w:t>
      </w:r>
      <w:r w:rsidRPr="00097B80" w:rsidR="003E68FA">
        <w:rPr>
          <w:sz w:val="22"/>
          <w:szCs w:val="22"/>
        </w:rPr>
        <w:t>1</w:t>
      </w:r>
      <w:r w:rsidRPr="00097B80" w:rsidR="009F0B59">
        <w:rPr>
          <w:sz w:val="22"/>
          <w:szCs w:val="22"/>
        </w:rPr>
        <w:t>,</w:t>
      </w:r>
      <w:r w:rsidRPr="00097B80" w:rsidR="003E68FA">
        <w:rPr>
          <w:sz w:val="22"/>
          <w:szCs w:val="22"/>
        </w:rPr>
        <w:t>150</w:t>
      </w:r>
    </w:p>
    <w:p w:rsidRPr="00097B80" w:rsidR="009279AC" w:rsidP="00097B80" w:rsidRDefault="009279AC">
      <w:pPr>
        <w:pStyle w:val="ListParagraph"/>
        <w:numPr>
          <w:ilvl w:val="0"/>
          <w:numId w:val="17"/>
        </w:numPr>
        <w:rPr>
          <w:sz w:val="22"/>
          <w:szCs w:val="22"/>
        </w:rPr>
      </w:pPr>
      <w:r w:rsidRPr="00097B80">
        <w:rPr>
          <w:sz w:val="22"/>
          <w:szCs w:val="22"/>
        </w:rPr>
        <w:t>Number of Responses per Respondent: 1</w:t>
      </w:r>
    </w:p>
    <w:p w:rsidRPr="00097B80" w:rsidR="009279AC" w:rsidP="00097B80" w:rsidRDefault="009279AC">
      <w:pPr>
        <w:pStyle w:val="ListParagraph"/>
        <w:numPr>
          <w:ilvl w:val="0"/>
          <w:numId w:val="17"/>
        </w:numPr>
        <w:jc w:val="both"/>
        <w:rPr>
          <w:sz w:val="22"/>
          <w:szCs w:val="22"/>
        </w:rPr>
      </w:pPr>
      <w:r w:rsidRPr="00097B80">
        <w:rPr>
          <w:sz w:val="22"/>
          <w:szCs w:val="22"/>
        </w:rPr>
        <w:t>Number of Total Annual Responses: 1,</w:t>
      </w:r>
      <w:r w:rsidRPr="00097B80" w:rsidR="003E68FA">
        <w:rPr>
          <w:sz w:val="22"/>
          <w:szCs w:val="22"/>
        </w:rPr>
        <w:t>150</w:t>
      </w:r>
    </w:p>
    <w:p w:rsidRPr="00097B80" w:rsidR="009279AC" w:rsidP="00097B80" w:rsidRDefault="009279AC">
      <w:pPr>
        <w:pStyle w:val="ListParagraph"/>
        <w:numPr>
          <w:ilvl w:val="0"/>
          <w:numId w:val="17"/>
        </w:numPr>
        <w:jc w:val="both"/>
        <w:rPr>
          <w:sz w:val="22"/>
          <w:szCs w:val="22"/>
        </w:rPr>
      </w:pPr>
      <w:r w:rsidRPr="00097B80">
        <w:rPr>
          <w:sz w:val="22"/>
          <w:szCs w:val="22"/>
        </w:rPr>
        <w:t>Response Time: 30 Minutes</w:t>
      </w:r>
    </w:p>
    <w:p w:rsidRPr="00097B80" w:rsidR="009279AC" w:rsidP="00097B80" w:rsidRDefault="009279AC">
      <w:pPr>
        <w:pStyle w:val="ListParagraph"/>
        <w:numPr>
          <w:ilvl w:val="0"/>
          <w:numId w:val="17"/>
        </w:numPr>
        <w:jc w:val="both"/>
        <w:rPr>
          <w:sz w:val="22"/>
          <w:szCs w:val="22"/>
        </w:rPr>
      </w:pPr>
      <w:r w:rsidRPr="00097B80">
        <w:rPr>
          <w:sz w:val="22"/>
          <w:szCs w:val="22"/>
        </w:rPr>
        <w:t>Respondent Burden Hours: 5</w:t>
      </w:r>
      <w:r w:rsidRPr="00097B80" w:rsidR="003E68FA">
        <w:rPr>
          <w:sz w:val="22"/>
          <w:szCs w:val="22"/>
        </w:rPr>
        <w:t>75</w:t>
      </w:r>
      <w:r w:rsidRPr="00097B80">
        <w:rPr>
          <w:sz w:val="22"/>
          <w:szCs w:val="22"/>
        </w:rPr>
        <w:t xml:space="preserve"> Hours </w:t>
      </w:r>
    </w:p>
    <w:p w:rsidRPr="002E79BC" w:rsidR="009279AC" w:rsidP="00097B80" w:rsidRDefault="009F0B59">
      <w:pPr>
        <w:spacing w:before="120" w:after="120"/>
        <w:ind w:firstLine="720"/>
        <w:jc w:val="both"/>
        <w:rPr>
          <w:sz w:val="22"/>
          <w:szCs w:val="22"/>
        </w:rPr>
      </w:pPr>
      <w:r w:rsidRPr="002E79BC">
        <w:rPr>
          <w:sz w:val="22"/>
          <w:szCs w:val="22"/>
        </w:rPr>
        <w:t>Total Submission Burden</w:t>
      </w:r>
    </w:p>
    <w:p w:rsidRPr="00097B80" w:rsidR="009279AC" w:rsidP="00097B80" w:rsidRDefault="009279AC">
      <w:pPr>
        <w:pStyle w:val="ListParagraph"/>
        <w:numPr>
          <w:ilvl w:val="0"/>
          <w:numId w:val="18"/>
        </w:numPr>
        <w:jc w:val="both"/>
        <w:rPr>
          <w:sz w:val="22"/>
          <w:szCs w:val="22"/>
        </w:rPr>
      </w:pPr>
      <w:r w:rsidRPr="00097B80">
        <w:rPr>
          <w:sz w:val="22"/>
          <w:szCs w:val="22"/>
        </w:rPr>
        <w:t>Total Number of Respondents: 1,</w:t>
      </w:r>
      <w:r w:rsidRPr="00097B80" w:rsidR="003E68FA">
        <w:rPr>
          <w:sz w:val="22"/>
          <w:szCs w:val="22"/>
        </w:rPr>
        <w:t>150</w:t>
      </w:r>
    </w:p>
    <w:p w:rsidR="00097B80" w:rsidP="00097B80" w:rsidRDefault="009279AC">
      <w:pPr>
        <w:pStyle w:val="ListParagraph"/>
        <w:numPr>
          <w:ilvl w:val="0"/>
          <w:numId w:val="18"/>
        </w:numPr>
        <w:jc w:val="both"/>
        <w:rPr>
          <w:sz w:val="22"/>
          <w:szCs w:val="22"/>
        </w:rPr>
      </w:pPr>
      <w:r w:rsidRPr="00097B80">
        <w:rPr>
          <w:sz w:val="22"/>
          <w:szCs w:val="22"/>
        </w:rPr>
        <w:t>Total Number of Annual Responses: 1,</w:t>
      </w:r>
      <w:r w:rsidRPr="00097B80" w:rsidR="003E68FA">
        <w:rPr>
          <w:sz w:val="22"/>
          <w:szCs w:val="22"/>
        </w:rPr>
        <w:t>150</w:t>
      </w:r>
    </w:p>
    <w:p w:rsidRPr="00097B80" w:rsidR="009279AC" w:rsidP="00097B80" w:rsidRDefault="009279AC">
      <w:pPr>
        <w:pStyle w:val="ListParagraph"/>
        <w:numPr>
          <w:ilvl w:val="0"/>
          <w:numId w:val="18"/>
        </w:numPr>
        <w:jc w:val="both"/>
        <w:rPr>
          <w:sz w:val="22"/>
          <w:szCs w:val="22"/>
        </w:rPr>
      </w:pPr>
      <w:r w:rsidRPr="00097B80">
        <w:rPr>
          <w:sz w:val="22"/>
          <w:szCs w:val="22"/>
        </w:rPr>
        <w:t>Total Respondent Burden Hours: 5</w:t>
      </w:r>
      <w:r w:rsidRPr="00097B80" w:rsidR="003E68FA">
        <w:rPr>
          <w:sz w:val="22"/>
          <w:szCs w:val="22"/>
        </w:rPr>
        <w:t>75</w:t>
      </w:r>
      <w:r w:rsidRPr="00097B80">
        <w:rPr>
          <w:sz w:val="22"/>
          <w:szCs w:val="22"/>
        </w:rPr>
        <w:t xml:space="preserve"> Hours</w:t>
      </w:r>
    </w:p>
    <w:p w:rsidRPr="000D25CB" w:rsidR="00652E45" w:rsidP="00097B80" w:rsidRDefault="005E0A0F">
      <w:pPr>
        <w:pStyle w:val="NormalWeb"/>
        <w:spacing w:before="120" w:beforeAutospacing="0" w:after="120" w:afterAutospacing="0"/>
        <w:ind w:left="720"/>
        <w:jc w:val="both"/>
        <w:rPr>
          <w:sz w:val="22"/>
          <w:szCs w:val="22"/>
          <w:u w:val="single"/>
        </w:rPr>
      </w:pPr>
      <w:bookmarkStart w:name="cp460" w:id="10"/>
      <w:bookmarkEnd w:id="9"/>
      <w:r w:rsidRPr="000D25CB">
        <w:rPr>
          <w:sz w:val="22"/>
          <w:szCs w:val="22"/>
          <w:u w:val="single"/>
        </w:rPr>
        <w:t>Labor Cost of Respondent Burden</w:t>
      </w:r>
    </w:p>
    <w:p w:rsidRPr="00097B80" w:rsidR="009279AC" w:rsidP="00097B80" w:rsidRDefault="009279AC">
      <w:pPr>
        <w:pStyle w:val="ListParagraph"/>
        <w:numPr>
          <w:ilvl w:val="0"/>
          <w:numId w:val="19"/>
        </w:numPr>
        <w:jc w:val="both"/>
        <w:rPr>
          <w:sz w:val="22"/>
          <w:szCs w:val="22"/>
        </w:rPr>
      </w:pPr>
      <w:r w:rsidRPr="00097B80">
        <w:rPr>
          <w:sz w:val="22"/>
          <w:szCs w:val="22"/>
        </w:rPr>
        <w:t>Number of Total Annual Responses: 1,</w:t>
      </w:r>
      <w:r w:rsidRPr="00097B80" w:rsidR="003E68FA">
        <w:rPr>
          <w:sz w:val="22"/>
          <w:szCs w:val="22"/>
        </w:rPr>
        <w:t>150</w:t>
      </w:r>
    </w:p>
    <w:p w:rsidRPr="00097B80" w:rsidR="009279AC" w:rsidP="00097B80" w:rsidRDefault="009279AC">
      <w:pPr>
        <w:pStyle w:val="ListParagraph"/>
        <w:numPr>
          <w:ilvl w:val="0"/>
          <w:numId w:val="19"/>
        </w:numPr>
        <w:jc w:val="both"/>
        <w:rPr>
          <w:sz w:val="22"/>
          <w:szCs w:val="22"/>
        </w:rPr>
      </w:pPr>
      <w:r w:rsidRPr="00097B80">
        <w:rPr>
          <w:sz w:val="22"/>
          <w:szCs w:val="22"/>
        </w:rPr>
        <w:t>Response Time: 30 Minutes</w:t>
      </w:r>
    </w:p>
    <w:p w:rsidRPr="00097B80" w:rsidR="009279AC" w:rsidP="00097B80" w:rsidRDefault="009279AC">
      <w:pPr>
        <w:pStyle w:val="ListParagraph"/>
        <w:numPr>
          <w:ilvl w:val="0"/>
          <w:numId w:val="19"/>
        </w:numPr>
        <w:jc w:val="both"/>
        <w:rPr>
          <w:sz w:val="22"/>
          <w:szCs w:val="22"/>
        </w:rPr>
      </w:pPr>
      <w:r w:rsidRPr="00097B80">
        <w:rPr>
          <w:sz w:val="22"/>
          <w:szCs w:val="22"/>
        </w:rPr>
        <w:t>Respondent Hourly Wage: $49.19</w:t>
      </w:r>
      <w:r w:rsidRPr="000D25CB">
        <w:rPr>
          <w:rStyle w:val="FootnoteReference"/>
          <w:b/>
          <w:bCs/>
          <w:sz w:val="22"/>
          <w:szCs w:val="22"/>
        </w:rPr>
        <w:footnoteReference w:id="1"/>
      </w:r>
    </w:p>
    <w:p w:rsidRPr="00097B80" w:rsidR="009279AC" w:rsidP="00097B80" w:rsidRDefault="009279AC">
      <w:pPr>
        <w:pStyle w:val="ListParagraph"/>
        <w:numPr>
          <w:ilvl w:val="0"/>
          <w:numId w:val="19"/>
        </w:numPr>
        <w:jc w:val="both"/>
        <w:rPr>
          <w:sz w:val="22"/>
          <w:szCs w:val="22"/>
        </w:rPr>
      </w:pPr>
      <w:r w:rsidRPr="00097B80">
        <w:rPr>
          <w:sz w:val="22"/>
          <w:szCs w:val="22"/>
        </w:rPr>
        <w:t>Labor Burden per Response: $24.60</w:t>
      </w:r>
    </w:p>
    <w:p w:rsidRPr="00097B80" w:rsidR="009279AC" w:rsidP="00097B80" w:rsidRDefault="009279AC">
      <w:pPr>
        <w:pStyle w:val="ListParagraph"/>
        <w:numPr>
          <w:ilvl w:val="0"/>
          <w:numId w:val="19"/>
        </w:numPr>
        <w:jc w:val="both"/>
        <w:rPr>
          <w:sz w:val="22"/>
          <w:szCs w:val="22"/>
        </w:rPr>
      </w:pPr>
      <w:r w:rsidRPr="00097B80">
        <w:rPr>
          <w:sz w:val="22"/>
          <w:szCs w:val="22"/>
        </w:rPr>
        <w:t>Total Labor Burden: $</w:t>
      </w:r>
      <w:r w:rsidRPr="00097B80" w:rsidR="000914DD">
        <w:rPr>
          <w:sz w:val="22"/>
          <w:szCs w:val="22"/>
        </w:rPr>
        <w:t>28,284</w:t>
      </w:r>
      <w:r w:rsidRPr="00097B80">
        <w:rPr>
          <w:sz w:val="22"/>
          <w:szCs w:val="22"/>
        </w:rPr>
        <w:t>.</w:t>
      </w:r>
      <w:r w:rsidRPr="00097B80" w:rsidR="000914DD">
        <w:rPr>
          <w:sz w:val="22"/>
          <w:szCs w:val="22"/>
        </w:rPr>
        <w:t>25</w:t>
      </w:r>
    </w:p>
    <w:p w:rsidRPr="002E79BC" w:rsidR="009279AC" w:rsidP="002E79BC" w:rsidRDefault="009279AC">
      <w:pPr>
        <w:spacing w:before="120" w:after="120"/>
        <w:ind w:firstLine="720"/>
        <w:jc w:val="both"/>
        <w:rPr>
          <w:sz w:val="22"/>
          <w:szCs w:val="22"/>
        </w:rPr>
      </w:pPr>
      <w:r w:rsidRPr="002E79BC">
        <w:rPr>
          <w:sz w:val="22"/>
          <w:szCs w:val="22"/>
        </w:rPr>
        <w:t>Overall Labor Burden</w:t>
      </w:r>
    </w:p>
    <w:p w:rsidR="002E79BC" w:rsidP="002E79BC" w:rsidRDefault="009279AC">
      <w:pPr>
        <w:pStyle w:val="ListParagraph"/>
        <w:numPr>
          <w:ilvl w:val="0"/>
          <w:numId w:val="20"/>
        </w:numPr>
        <w:jc w:val="both"/>
        <w:rPr>
          <w:sz w:val="22"/>
          <w:szCs w:val="22"/>
        </w:rPr>
      </w:pPr>
      <w:r w:rsidRPr="002E79BC">
        <w:rPr>
          <w:sz w:val="22"/>
          <w:szCs w:val="22"/>
        </w:rPr>
        <w:t>Total Number of Annual Responses: 1,</w:t>
      </w:r>
      <w:r w:rsidRPr="002E79BC" w:rsidR="003E68FA">
        <w:rPr>
          <w:sz w:val="22"/>
          <w:szCs w:val="22"/>
        </w:rPr>
        <w:t>150</w:t>
      </w:r>
    </w:p>
    <w:p w:rsidRPr="002E79BC" w:rsidR="009279AC" w:rsidP="002E79BC" w:rsidRDefault="009279AC">
      <w:pPr>
        <w:pStyle w:val="ListParagraph"/>
        <w:numPr>
          <w:ilvl w:val="0"/>
          <w:numId w:val="20"/>
        </w:numPr>
        <w:jc w:val="both"/>
        <w:rPr>
          <w:sz w:val="22"/>
          <w:szCs w:val="22"/>
        </w:rPr>
      </w:pPr>
      <w:r w:rsidRPr="002E79BC">
        <w:rPr>
          <w:sz w:val="22"/>
          <w:szCs w:val="22"/>
        </w:rPr>
        <w:t>Total Labor Burden: $2</w:t>
      </w:r>
      <w:r w:rsidRPr="002E79BC" w:rsidR="000914DD">
        <w:rPr>
          <w:sz w:val="22"/>
          <w:szCs w:val="22"/>
        </w:rPr>
        <w:t>8</w:t>
      </w:r>
      <w:r w:rsidRPr="002E79BC">
        <w:rPr>
          <w:sz w:val="22"/>
          <w:szCs w:val="22"/>
        </w:rPr>
        <w:t>,</w:t>
      </w:r>
      <w:r w:rsidRPr="002E79BC" w:rsidR="000914DD">
        <w:rPr>
          <w:sz w:val="22"/>
          <w:szCs w:val="22"/>
        </w:rPr>
        <w:t>284</w:t>
      </w:r>
      <w:r w:rsidRPr="002E79BC">
        <w:rPr>
          <w:sz w:val="22"/>
          <w:szCs w:val="22"/>
        </w:rPr>
        <w:t>.</w:t>
      </w:r>
      <w:r w:rsidRPr="002E79BC" w:rsidR="000914DD">
        <w:rPr>
          <w:sz w:val="22"/>
          <w:szCs w:val="22"/>
        </w:rPr>
        <w:t>25</w:t>
      </w:r>
    </w:p>
    <w:p w:rsidRPr="000D25CB" w:rsidR="005E0A0F" w:rsidP="008429D4" w:rsidRDefault="005E0A0F">
      <w:pPr>
        <w:pStyle w:val="NormalWeb"/>
        <w:numPr>
          <w:ilvl w:val="0"/>
          <w:numId w:val="4"/>
        </w:numPr>
        <w:spacing w:before="120" w:beforeAutospacing="0" w:after="120" w:afterAutospacing="0"/>
        <w:jc w:val="both"/>
        <w:rPr>
          <w:sz w:val="22"/>
          <w:szCs w:val="22"/>
          <w:u w:val="single"/>
        </w:rPr>
      </w:pPr>
      <w:bookmarkStart w:name="cp462" w:id="11"/>
      <w:bookmarkEnd w:id="10"/>
      <w:r w:rsidRPr="000D25CB">
        <w:rPr>
          <w:sz w:val="22"/>
          <w:szCs w:val="22"/>
          <w:u w:val="single"/>
        </w:rPr>
        <w:t>Respondent Costs Other Than Burden Hour Costs</w:t>
      </w:r>
    </w:p>
    <w:p w:rsidRPr="000D25CB" w:rsidR="009128BC" w:rsidP="009279AC" w:rsidRDefault="00255D55">
      <w:pPr>
        <w:pStyle w:val="NormalWeb"/>
        <w:spacing w:before="120" w:beforeAutospacing="0" w:after="120" w:afterAutospacing="0"/>
        <w:ind w:left="720"/>
        <w:jc w:val="both"/>
        <w:rPr>
          <w:sz w:val="22"/>
          <w:szCs w:val="22"/>
        </w:rPr>
      </w:pPr>
      <w:bookmarkStart w:name="cp466" w:id="12"/>
      <w:bookmarkEnd w:id="11"/>
      <w:r w:rsidRPr="000D25CB">
        <w:rPr>
          <w:sz w:val="22"/>
          <w:szCs w:val="22"/>
        </w:rPr>
        <w:t xml:space="preserve">There </w:t>
      </w:r>
      <w:r w:rsidRPr="000D25CB" w:rsidR="00B165B1">
        <w:rPr>
          <w:sz w:val="22"/>
          <w:szCs w:val="22"/>
        </w:rPr>
        <w:t>are no costs to respondents other than labor costs.</w:t>
      </w:r>
    </w:p>
    <w:p w:rsidRPr="000D25CB" w:rsidR="005E0A0F" w:rsidP="008429D4" w:rsidRDefault="005E0A0F">
      <w:pPr>
        <w:pStyle w:val="NormalWeb"/>
        <w:numPr>
          <w:ilvl w:val="0"/>
          <w:numId w:val="4"/>
        </w:numPr>
        <w:spacing w:before="120" w:beforeAutospacing="0" w:after="120" w:afterAutospacing="0"/>
        <w:jc w:val="both"/>
        <w:rPr>
          <w:sz w:val="22"/>
          <w:szCs w:val="22"/>
          <w:u w:val="single"/>
        </w:rPr>
      </w:pPr>
      <w:r w:rsidRPr="000D25CB">
        <w:rPr>
          <w:sz w:val="22"/>
          <w:szCs w:val="22"/>
          <w:u w:val="single"/>
        </w:rPr>
        <w:t>Cost to the Federal Government</w:t>
      </w:r>
    </w:p>
    <w:p w:rsidRPr="000D25CB" w:rsidR="000D25CB" w:rsidP="008429D4" w:rsidRDefault="000D25CB">
      <w:pPr>
        <w:pStyle w:val="ListParagraph"/>
        <w:numPr>
          <w:ilvl w:val="3"/>
          <w:numId w:val="10"/>
        </w:numPr>
        <w:spacing w:before="120" w:after="120"/>
        <w:ind w:left="1080"/>
        <w:contextualSpacing w:val="0"/>
        <w:jc w:val="both"/>
        <w:rPr>
          <w:sz w:val="22"/>
          <w:szCs w:val="22"/>
        </w:rPr>
      </w:pPr>
      <w:r w:rsidRPr="000D25CB">
        <w:rPr>
          <w:sz w:val="22"/>
          <w:szCs w:val="22"/>
        </w:rPr>
        <w:t xml:space="preserve">Industry Cost Collection Report </w:t>
      </w:r>
    </w:p>
    <w:p w:rsidRPr="000D25CB" w:rsidR="000D25CB" w:rsidP="008429D4" w:rsidRDefault="000D25CB">
      <w:pPr>
        <w:pStyle w:val="ListParagraph"/>
        <w:numPr>
          <w:ilvl w:val="1"/>
          <w:numId w:val="11"/>
        </w:numPr>
        <w:ind w:left="1440"/>
        <w:jc w:val="both"/>
        <w:rPr>
          <w:sz w:val="22"/>
          <w:szCs w:val="22"/>
        </w:rPr>
      </w:pPr>
      <w:r w:rsidRPr="000D25CB">
        <w:rPr>
          <w:sz w:val="22"/>
          <w:szCs w:val="22"/>
        </w:rPr>
        <w:t>Number of Total Annual Responses: 1,</w:t>
      </w:r>
      <w:r w:rsidR="003E68FA">
        <w:rPr>
          <w:sz w:val="22"/>
          <w:szCs w:val="22"/>
        </w:rPr>
        <w:t>150</w:t>
      </w:r>
    </w:p>
    <w:p w:rsidRPr="000D25CB" w:rsidR="000D25CB" w:rsidP="008429D4" w:rsidRDefault="000D25CB">
      <w:pPr>
        <w:pStyle w:val="ListParagraph"/>
        <w:numPr>
          <w:ilvl w:val="0"/>
          <w:numId w:val="11"/>
        </w:numPr>
        <w:ind w:left="1440"/>
        <w:jc w:val="both"/>
        <w:rPr>
          <w:sz w:val="22"/>
          <w:szCs w:val="22"/>
        </w:rPr>
      </w:pPr>
      <w:r w:rsidRPr="000D25CB">
        <w:rPr>
          <w:sz w:val="22"/>
          <w:szCs w:val="22"/>
        </w:rPr>
        <w:t xml:space="preserve">Processing Time per Response: 0.09 hours </w:t>
      </w:r>
    </w:p>
    <w:p w:rsidRPr="000D25CB" w:rsidR="000D25CB" w:rsidP="008429D4" w:rsidRDefault="000D25CB">
      <w:pPr>
        <w:pStyle w:val="ListParagraph"/>
        <w:numPr>
          <w:ilvl w:val="0"/>
          <w:numId w:val="11"/>
        </w:numPr>
        <w:ind w:left="1440"/>
        <w:jc w:val="both"/>
        <w:rPr>
          <w:sz w:val="22"/>
          <w:szCs w:val="22"/>
        </w:rPr>
      </w:pPr>
      <w:r w:rsidRPr="000D25CB">
        <w:rPr>
          <w:sz w:val="22"/>
          <w:szCs w:val="22"/>
        </w:rPr>
        <w:t>Hourly Wage of Worker(s) Processing Responses: $59.95</w:t>
      </w:r>
      <w:r w:rsidRPr="000D25CB">
        <w:rPr>
          <w:rStyle w:val="FootnoteReference"/>
          <w:sz w:val="22"/>
          <w:szCs w:val="22"/>
        </w:rPr>
        <w:footnoteReference w:id="2"/>
      </w:r>
    </w:p>
    <w:p w:rsidRPr="000D25CB" w:rsidR="000D25CB" w:rsidP="008429D4" w:rsidRDefault="000D25CB">
      <w:pPr>
        <w:pStyle w:val="ListParagraph"/>
        <w:numPr>
          <w:ilvl w:val="0"/>
          <w:numId w:val="11"/>
        </w:numPr>
        <w:ind w:left="1440"/>
        <w:jc w:val="both"/>
        <w:rPr>
          <w:sz w:val="22"/>
          <w:szCs w:val="22"/>
        </w:rPr>
      </w:pPr>
      <w:r w:rsidRPr="000D25CB">
        <w:rPr>
          <w:sz w:val="22"/>
          <w:szCs w:val="22"/>
        </w:rPr>
        <w:t>Cost to Process Each Response: $5.40</w:t>
      </w:r>
    </w:p>
    <w:p w:rsidRPr="000D25CB" w:rsidR="000D25CB" w:rsidP="008429D4" w:rsidRDefault="000D25CB">
      <w:pPr>
        <w:pStyle w:val="ListParagraph"/>
        <w:numPr>
          <w:ilvl w:val="0"/>
          <w:numId w:val="11"/>
        </w:numPr>
        <w:ind w:left="1440"/>
        <w:jc w:val="both"/>
        <w:rPr>
          <w:sz w:val="22"/>
          <w:szCs w:val="22"/>
        </w:rPr>
      </w:pPr>
      <w:r w:rsidRPr="000D25CB">
        <w:rPr>
          <w:sz w:val="22"/>
          <w:szCs w:val="22"/>
        </w:rPr>
        <w:t>Total Cost to Process Responses: $</w:t>
      </w:r>
      <w:r w:rsidR="003E68FA">
        <w:rPr>
          <w:sz w:val="22"/>
          <w:szCs w:val="22"/>
        </w:rPr>
        <w:t>6,204.83</w:t>
      </w:r>
    </w:p>
    <w:p w:rsidRPr="000D25CB" w:rsidR="000D25CB" w:rsidP="008429D4" w:rsidRDefault="000D25CB">
      <w:pPr>
        <w:pStyle w:val="ListParagraph"/>
        <w:numPr>
          <w:ilvl w:val="0"/>
          <w:numId w:val="13"/>
        </w:numPr>
        <w:spacing w:before="120" w:after="120"/>
        <w:ind w:left="1080"/>
        <w:contextualSpacing w:val="0"/>
        <w:jc w:val="both"/>
        <w:rPr>
          <w:sz w:val="22"/>
          <w:szCs w:val="22"/>
        </w:rPr>
      </w:pPr>
      <w:r w:rsidRPr="000D25CB">
        <w:rPr>
          <w:sz w:val="22"/>
          <w:szCs w:val="22"/>
        </w:rPr>
        <w:t xml:space="preserve">Overall Labor Burden to Federal Government </w:t>
      </w:r>
    </w:p>
    <w:p w:rsidRPr="000D25CB" w:rsidR="000D25CB" w:rsidP="008429D4" w:rsidRDefault="000D25CB">
      <w:pPr>
        <w:pStyle w:val="ListParagraph"/>
        <w:numPr>
          <w:ilvl w:val="4"/>
          <w:numId w:val="12"/>
        </w:numPr>
        <w:ind w:left="1440"/>
        <w:jc w:val="both"/>
        <w:rPr>
          <w:sz w:val="22"/>
          <w:szCs w:val="22"/>
        </w:rPr>
      </w:pPr>
      <w:r w:rsidRPr="000D25CB">
        <w:rPr>
          <w:sz w:val="22"/>
          <w:szCs w:val="22"/>
        </w:rPr>
        <w:t>Total Number of Annual Responses: 1,</w:t>
      </w:r>
      <w:r w:rsidR="003E68FA">
        <w:rPr>
          <w:sz w:val="22"/>
          <w:szCs w:val="22"/>
        </w:rPr>
        <w:t>150</w:t>
      </w:r>
    </w:p>
    <w:p w:rsidRPr="000D25CB" w:rsidR="000D25CB" w:rsidP="00951363" w:rsidRDefault="000D25CB">
      <w:pPr>
        <w:pStyle w:val="NormalWeb"/>
        <w:spacing w:before="120" w:beforeAutospacing="0" w:after="120" w:afterAutospacing="0"/>
        <w:ind w:left="1440"/>
        <w:jc w:val="both"/>
        <w:rPr>
          <w:sz w:val="22"/>
          <w:szCs w:val="22"/>
          <w:u w:val="single"/>
        </w:rPr>
      </w:pPr>
      <w:r w:rsidRPr="000D25CB">
        <w:rPr>
          <w:sz w:val="22"/>
          <w:szCs w:val="22"/>
        </w:rPr>
        <w:t>Total Labor Burden: $</w:t>
      </w:r>
      <w:r w:rsidR="00DF7804">
        <w:rPr>
          <w:sz w:val="22"/>
          <w:szCs w:val="22"/>
        </w:rPr>
        <w:t>6,204</w:t>
      </w:r>
      <w:r w:rsidRPr="000D25CB">
        <w:rPr>
          <w:sz w:val="22"/>
          <w:szCs w:val="22"/>
        </w:rPr>
        <w:t>.</w:t>
      </w:r>
      <w:r w:rsidR="00DF7804">
        <w:rPr>
          <w:sz w:val="22"/>
          <w:szCs w:val="22"/>
        </w:rPr>
        <w:t>83</w:t>
      </w:r>
    </w:p>
    <w:p w:rsidRPr="000D25CB" w:rsidR="000D25CB" w:rsidP="002E79BC" w:rsidRDefault="000D25CB">
      <w:pPr>
        <w:pStyle w:val="NormalWeb"/>
        <w:spacing w:before="120" w:beforeAutospacing="0" w:after="120" w:afterAutospacing="0"/>
        <w:ind w:left="720"/>
        <w:jc w:val="both"/>
        <w:rPr>
          <w:sz w:val="22"/>
          <w:szCs w:val="22"/>
          <w:u w:val="single"/>
        </w:rPr>
      </w:pPr>
      <w:bookmarkStart w:name="cp467" w:id="13"/>
      <w:bookmarkEnd w:id="12"/>
      <w:r w:rsidRPr="000D25CB">
        <w:rPr>
          <w:sz w:val="22"/>
          <w:szCs w:val="22"/>
          <w:u w:val="single"/>
        </w:rPr>
        <w:t>Operational and Maintenance Costs</w:t>
      </w:r>
    </w:p>
    <w:p w:rsidRPr="000D25CB" w:rsidR="000D25CB" w:rsidP="000D25CB" w:rsidRDefault="000D25CB">
      <w:pPr>
        <w:pStyle w:val="NormalWeb"/>
        <w:spacing w:before="120" w:beforeAutospacing="0" w:after="120" w:afterAutospacing="0"/>
        <w:ind w:left="720"/>
        <w:jc w:val="both"/>
        <w:rPr>
          <w:sz w:val="22"/>
          <w:szCs w:val="22"/>
          <w:u w:val="single"/>
        </w:rPr>
      </w:pPr>
      <w:r w:rsidRPr="000D25CB">
        <w:rPr>
          <w:sz w:val="22"/>
          <w:szCs w:val="22"/>
        </w:rPr>
        <w:t>There are no operational and maintenance costs that come as a result of this collection, as no new equipment, printing, postage, software purchases, licensing costs, or other costs are involved.</w:t>
      </w:r>
    </w:p>
    <w:p w:rsidRPr="000D25CB" w:rsidR="000D25CB" w:rsidP="008429D4" w:rsidRDefault="000D25CB">
      <w:pPr>
        <w:pStyle w:val="ListParagraph"/>
        <w:numPr>
          <w:ilvl w:val="0"/>
          <w:numId w:val="15"/>
        </w:numPr>
        <w:ind w:left="1080"/>
        <w:jc w:val="both"/>
        <w:rPr>
          <w:sz w:val="22"/>
          <w:szCs w:val="22"/>
          <w:u w:val="single"/>
        </w:rPr>
      </w:pPr>
      <w:r w:rsidRPr="000D25CB">
        <w:rPr>
          <w:sz w:val="22"/>
          <w:szCs w:val="22"/>
          <w:u w:val="single"/>
        </w:rPr>
        <w:t>Equipment:</w:t>
      </w:r>
      <w:r w:rsidRPr="000D25CB">
        <w:rPr>
          <w:sz w:val="22"/>
          <w:szCs w:val="22"/>
        </w:rPr>
        <w:t xml:space="preserve"> $0</w:t>
      </w:r>
    </w:p>
    <w:p w:rsidRPr="000D25CB" w:rsidR="000D25CB" w:rsidP="008429D4" w:rsidRDefault="00F20EAD">
      <w:pPr>
        <w:pStyle w:val="ListParagraph"/>
        <w:numPr>
          <w:ilvl w:val="0"/>
          <w:numId w:val="15"/>
        </w:numPr>
        <w:ind w:left="1080"/>
        <w:jc w:val="both"/>
        <w:rPr>
          <w:sz w:val="22"/>
          <w:szCs w:val="22"/>
          <w:u w:val="single"/>
        </w:rPr>
      </w:pPr>
      <w:r>
        <w:rPr>
          <w:sz w:val="22"/>
          <w:szCs w:val="22"/>
          <w:u w:val="single"/>
        </w:rPr>
        <w:t>Printing:</w:t>
      </w:r>
      <w:r>
        <w:rPr>
          <w:sz w:val="22"/>
          <w:szCs w:val="22"/>
        </w:rPr>
        <w:t xml:space="preserve"> </w:t>
      </w:r>
      <w:r w:rsidRPr="000D25CB" w:rsidR="000D25CB">
        <w:rPr>
          <w:sz w:val="22"/>
          <w:szCs w:val="22"/>
        </w:rPr>
        <w:t>$20,000</w:t>
      </w:r>
    </w:p>
    <w:p w:rsidRPr="000D25CB" w:rsidR="000D25CB" w:rsidP="008429D4" w:rsidRDefault="00F20EAD">
      <w:pPr>
        <w:pStyle w:val="ListParagraph"/>
        <w:numPr>
          <w:ilvl w:val="0"/>
          <w:numId w:val="15"/>
        </w:numPr>
        <w:ind w:left="1080"/>
        <w:jc w:val="both"/>
        <w:rPr>
          <w:sz w:val="22"/>
          <w:szCs w:val="22"/>
          <w:u w:val="single"/>
        </w:rPr>
      </w:pPr>
      <w:r>
        <w:rPr>
          <w:sz w:val="22"/>
          <w:szCs w:val="22"/>
          <w:u w:val="single"/>
        </w:rPr>
        <w:t>Postage:</w:t>
      </w:r>
      <w:r>
        <w:rPr>
          <w:sz w:val="22"/>
          <w:szCs w:val="22"/>
        </w:rPr>
        <w:t xml:space="preserve"> </w:t>
      </w:r>
      <w:r w:rsidRPr="000D25CB" w:rsidR="000D25CB">
        <w:rPr>
          <w:sz w:val="22"/>
          <w:szCs w:val="22"/>
        </w:rPr>
        <w:t>$120,000</w:t>
      </w:r>
    </w:p>
    <w:p w:rsidRPr="000D25CB" w:rsidR="000D25CB" w:rsidP="008429D4" w:rsidRDefault="00F20EAD">
      <w:pPr>
        <w:pStyle w:val="ListParagraph"/>
        <w:numPr>
          <w:ilvl w:val="0"/>
          <w:numId w:val="15"/>
        </w:numPr>
        <w:ind w:left="1080"/>
        <w:jc w:val="both"/>
        <w:rPr>
          <w:sz w:val="22"/>
          <w:szCs w:val="22"/>
          <w:u w:val="single"/>
        </w:rPr>
      </w:pPr>
      <w:r>
        <w:rPr>
          <w:sz w:val="22"/>
          <w:szCs w:val="22"/>
          <w:u w:val="single"/>
        </w:rPr>
        <w:t>Software Purchases:</w:t>
      </w:r>
      <w:r>
        <w:rPr>
          <w:sz w:val="22"/>
          <w:szCs w:val="22"/>
        </w:rPr>
        <w:t xml:space="preserve"> </w:t>
      </w:r>
      <w:r w:rsidRPr="000D25CB" w:rsidR="000D25CB">
        <w:rPr>
          <w:sz w:val="22"/>
          <w:szCs w:val="22"/>
        </w:rPr>
        <w:t>$0</w:t>
      </w:r>
    </w:p>
    <w:p w:rsidRPr="000D25CB" w:rsidR="000D25CB" w:rsidP="008429D4" w:rsidRDefault="00F20EAD">
      <w:pPr>
        <w:pStyle w:val="ListParagraph"/>
        <w:numPr>
          <w:ilvl w:val="0"/>
          <w:numId w:val="15"/>
        </w:numPr>
        <w:ind w:left="1080"/>
        <w:jc w:val="both"/>
        <w:rPr>
          <w:sz w:val="22"/>
          <w:szCs w:val="22"/>
          <w:u w:val="single"/>
        </w:rPr>
      </w:pPr>
      <w:r>
        <w:rPr>
          <w:sz w:val="22"/>
          <w:szCs w:val="22"/>
          <w:u w:val="single"/>
        </w:rPr>
        <w:t>Licensing Costs:</w:t>
      </w:r>
      <w:r>
        <w:rPr>
          <w:sz w:val="22"/>
          <w:szCs w:val="22"/>
        </w:rPr>
        <w:t xml:space="preserve"> </w:t>
      </w:r>
      <w:r w:rsidRPr="000D25CB" w:rsidR="000D25CB">
        <w:rPr>
          <w:sz w:val="22"/>
          <w:szCs w:val="22"/>
        </w:rPr>
        <w:t>$0</w:t>
      </w:r>
    </w:p>
    <w:p w:rsidRPr="000D25CB" w:rsidR="000D25CB" w:rsidP="008429D4" w:rsidRDefault="00F20EAD">
      <w:pPr>
        <w:pStyle w:val="ListParagraph"/>
        <w:numPr>
          <w:ilvl w:val="0"/>
          <w:numId w:val="15"/>
        </w:numPr>
        <w:ind w:left="1080"/>
        <w:jc w:val="both"/>
        <w:rPr>
          <w:sz w:val="22"/>
          <w:szCs w:val="22"/>
          <w:u w:val="single"/>
        </w:rPr>
      </w:pPr>
      <w:r>
        <w:rPr>
          <w:sz w:val="22"/>
          <w:szCs w:val="22"/>
          <w:u w:val="single"/>
        </w:rPr>
        <w:t>Other:</w:t>
      </w:r>
      <w:r>
        <w:rPr>
          <w:sz w:val="22"/>
          <w:szCs w:val="22"/>
        </w:rPr>
        <w:t xml:space="preserve"> </w:t>
      </w:r>
      <w:r w:rsidRPr="000D25CB" w:rsidR="000D25CB">
        <w:rPr>
          <w:sz w:val="22"/>
          <w:szCs w:val="22"/>
        </w:rPr>
        <w:t>$0</w:t>
      </w:r>
    </w:p>
    <w:p w:rsidRPr="000D25CB" w:rsidR="000D25CB" w:rsidP="000D25CB" w:rsidRDefault="000D25CB">
      <w:pPr>
        <w:ind w:left="1080" w:hanging="360"/>
        <w:jc w:val="both"/>
        <w:rPr>
          <w:sz w:val="22"/>
          <w:szCs w:val="22"/>
        </w:rPr>
      </w:pPr>
      <w:r w:rsidRPr="000D25CB">
        <w:rPr>
          <w:sz w:val="22"/>
          <w:szCs w:val="22"/>
        </w:rPr>
        <w:t xml:space="preserve">g. </w:t>
      </w:r>
      <w:r w:rsidRPr="000D25CB">
        <w:rPr>
          <w:sz w:val="22"/>
          <w:szCs w:val="22"/>
        </w:rPr>
        <w:tab/>
      </w:r>
      <w:r w:rsidRPr="000D25CB">
        <w:rPr>
          <w:sz w:val="22"/>
          <w:szCs w:val="22"/>
          <w:u w:val="single"/>
        </w:rPr>
        <w:t>Total:</w:t>
      </w:r>
      <w:r w:rsidRPr="000D25CB">
        <w:rPr>
          <w:sz w:val="22"/>
          <w:szCs w:val="22"/>
        </w:rPr>
        <w:t xml:space="preserve"> $0</w:t>
      </w:r>
    </w:p>
    <w:p w:rsidRPr="000D25CB" w:rsidR="000D25CB" w:rsidP="008429D4" w:rsidRDefault="000D25CB">
      <w:pPr>
        <w:pStyle w:val="ListParagraph"/>
        <w:numPr>
          <w:ilvl w:val="3"/>
          <w:numId w:val="14"/>
        </w:numPr>
        <w:spacing w:before="120"/>
        <w:ind w:left="1080"/>
        <w:contextualSpacing w:val="0"/>
        <w:jc w:val="both"/>
        <w:rPr>
          <w:sz w:val="22"/>
          <w:szCs w:val="22"/>
        </w:rPr>
      </w:pPr>
      <w:r w:rsidRPr="000D25CB">
        <w:rPr>
          <w:sz w:val="22"/>
          <w:szCs w:val="22"/>
        </w:rPr>
        <w:t>Total Operational and Maintenance Costs: $0</w:t>
      </w:r>
    </w:p>
    <w:p w:rsidRPr="000D25CB" w:rsidR="000D25CB" w:rsidP="008429D4" w:rsidRDefault="000D25CB">
      <w:pPr>
        <w:pStyle w:val="ListParagraph"/>
        <w:numPr>
          <w:ilvl w:val="3"/>
          <w:numId w:val="14"/>
        </w:numPr>
        <w:ind w:left="1080"/>
        <w:jc w:val="both"/>
        <w:rPr>
          <w:sz w:val="22"/>
          <w:szCs w:val="22"/>
        </w:rPr>
      </w:pPr>
      <w:r w:rsidRPr="000D25CB">
        <w:rPr>
          <w:sz w:val="22"/>
          <w:szCs w:val="22"/>
        </w:rPr>
        <w:t xml:space="preserve">Total Labor Cost to the Federal Government: </w:t>
      </w:r>
      <w:r w:rsidRPr="000D25CB" w:rsidR="00DF7804">
        <w:rPr>
          <w:sz w:val="22"/>
          <w:szCs w:val="22"/>
        </w:rPr>
        <w:t>$</w:t>
      </w:r>
      <w:r w:rsidR="00DF7804">
        <w:rPr>
          <w:sz w:val="22"/>
          <w:szCs w:val="22"/>
        </w:rPr>
        <w:t>6,204</w:t>
      </w:r>
      <w:r w:rsidRPr="000D25CB" w:rsidR="00DF7804">
        <w:rPr>
          <w:sz w:val="22"/>
          <w:szCs w:val="22"/>
        </w:rPr>
        <w:t>.</w:t>
      </w:r>
      <w:r w:rsidR="00DF7804">
        <w:rPr>
          <w:sz w:val="22"/>
          <w:szCs w:val="22"/>
        </w:rPr>
        <w:t>83</w:t>
      </w:r>
    </w:p>
    <w:p w:rsidRPr="000D25CB" w:rsidR="008C745B" w:rsidP="008429D4" w:rsidRDefault="000D25CB">
      <w:pPr>
        <w:pStyle w:val="ListParagraph"/>
        <w:numPr>
          <w:ilvl w:val="3"/>
          <w:numId w:val="14"/>
        </w:numPr>
        <w:ind w:left="1080"/>
        <w:jc w:val="both"/>
        <w:rPr>
          <w:sz w:val="22"/>
          <w:szCs w:val="22"/>
        </w:rPr>
      </w:pPr>
      <w:r w:rsidRPr="000D25CB">
        <w:rPr>
          <w:sz w:val="22"/>
          <w:szCs w:val="22"/>
        </w:rPr>
        <w:t xml:space="preserve">Total Cost to the Federal Government: </w:t>
      </w:r>
      <w:r w:rsidRPr="000D25CB" w:rsidR="00DF7804">
        <w:rPr>
          <w:sz w:val="22"/>
          <w:szCs w:val="22"/>
        </w:rPr>
        <w:t>$</w:t>
      </w:r>
      <w:r w:rsidR="00DF7804">
        <w:rPr>
          <w:sz w:val="22"/>
          <w:szCs w:val="22"/>
        </w:rPr>
        <w:t>6,204</w:t>
      </w:r>
      <w:r w:rsidRPr="000D25CB" w:rsidR="00DF7804">
        <w:rPr>
          <w:sz w:val="22"/>
          <w:szCs w:val="22"/>
        </w:rPr>
        <w:t>.</w:t>
      </w:r>
      <w:r w:rsidR="00DF7804">
        <w:rPr>
          <w:sz w:val="22"/>
          <w:szCs w:val="22"/>
        </w:rPr>
        <w:t>83</w:t>
      </w:r>
    </w:p>
    <w:p w:rsidRPr="000D25CB" w:rsidR="005E0A0F" w:rsidP="008429D4" w:rsidRDefault="005E0A0F">
      <w:pPr>
        <w:pStyle w:val="NormalWeb"/>
        <w:numPr>
          <w:ilvl w:val="0"/>
          <w:numId w:val="4"/>
        </w:numPr>
        <w:spacing w:before="120" w:beforeAutospacing="0" w:after="120" w:afterAutospacing="0"/>
        <w:jc w:val="both"/>
        <w:rPr>
          <w:sz w:val="22"/>
          <w:szCs w:val="22"/>
          <w:u w:val="single"/>
        </w:rPr>
      </w:pPr>
      <w:bookmarkStart w:name="cp468" w:id="14"/>
      <w:bookmarkEnd w:id="13"/>
      <w:r w:rsidRPr="000D25CB">
        <w:rPr>
          <w:sz w:val="22"/>
          <w:szCs w:val="22"/>
          <w:u w:val="single"/>
        </w:rPr>
        <w:t>Reasons for Change in Burden</w:t>
      </w:r>
    </w:p>
    <w:p w:rsidRPr="000A247C" w:rsidR="000A247C" w:rsidP="000A247C" w:rsidRDefault="0007644E">
      <w:pPr>
        <w:pStyle w:val="NormalWeb"/>
        <w:spacing w:before="120" w:beforeAutospacing="0" w:after="120" w:afterAutospacing="0"/>
        <w:ind w:left="720"/>
        <w:jc w:val="both"/>
        <w:rPr>
          <w:sz w:val="22"/>
          <w:szCs w:val="22"/>
        </w:rPr>
      </w:pPr>
      <w:r w:rsidRPr="000D25CB">
        <w:rPr>
          <w:sz w:val="22"/>
          <w:szCs w:val="22"/>
        </w:rPr>
        <w:t>The b</w:t>
      </w:r>
      <w:bookmarkStart w:name="_GoBack" w:id="15"/>
      <w:bookmarkEnd w:id="15"/>
      <w:r w:rsidRPr="000D25CB">
        <w:rPr>
          <w:sz w:val="22"/>
          <w:szCs w:val="22"/>
        </w:rPr>
        <w:t xml:space="preserve">urden time for each respondent to complete this </w:t>
      </w:r>
      <w:r w:rsidR="00FC61A3">
        <w:rPr>
          <w:sz w:val="22"/>
          <w:szCs w:val="22"/>
        </w:rPr>
        <w:t>data collection</w:t>
      </w:r>
      <w:r w:rsidRPr="000D25CB">
        <w:rPr>
          <w:sz w:val="22"/>
          <w:szCs w:val="22"/>
        </w:rPr>
        <w:t xml:space="preserve"> has remained the same (30 minutes) since the last time this collection was approved in 20</w:t>
      </w:r>
      <w:r w:rsidRPr="000D25CB" w:rsidR="00407E6B">
        <w:rPr>
          <w:sz w:val="22"/>
          <w:szCs w:val="22"/>
        </w:rPr>
        <w:t>16</w:t>
      </w:r>
      <w:r w:rsidRPr="000D25CB">
        <w:rPr>
          <w:sz w:val="22"/>
          <w:szCs w:val="22"/>
        </w:rPr>
        <w:t xml:space="preserve">. </w:t>
      </w:r>
      <w:r w:rsidR="00FC61A3">
        <w:rPr>
          <w:sz w:val="22"/>
          <w:szCs w:val="22"/>
        </w:rPr>
        <w:t>T</w:t>
      </w:r>
      <w:r w:rsidRPr="000D25CB">
        <w:rPr>
          <w:sz w:val="22"/>
          <w:szCs w:val="22"/>
        </w:rPr>
        <w:t xml:space="preserve">he number </w:t>
      </w:r>
      <w:r w:rsidRPr="000D25CB" w:rsidR="00B165B1">
        <w:rPr>
          <w:sz w:val="22"/>
          <w:szCs w:val="22"/>
        </w:rPr>
        <w:t>of respondents</w:t>
      </w:r>
      <w:r w:rsidRPr="000D25CB">
        <w:rPr>
          <w:sz w:val="22"/>
          <w:szCs w:val="22"/>
        </w:rPr>
        <w:t xml:space="preserve"> has </w:t>
      </w:r>
      <w:r w:rsidR="003E68FA">
        <w:rPr>
          <w:sz w:val="22"/>
          <w:szCs w:val="22"/>
        </w:rPr>
        <w:t>increased slightly</w:t>
      </w:r>
      <w:r w:rsidR="000D25CB">
        <w:rPr>
          <w:sz w:val="22"/>
          <w:szCs w:val="22"/>
        </w:rPr>
        <w:t xml:space="preserve"> (~ </w:t>
      </w:r>
      <w:r w:rsidRPr="000D25CB">
        <w:rPr>
          <w:sz w:val="22"/>
          <w:szCs w:val="22"/>
        </w:rPr>
        <w:t>1,</w:t>
      </w:r>
      <w:r w:rsidR="003E68FA">
        <w:rPr>
          <w:sz w:val="22"/>
          <w:szCs w:val="22"/>
        </w:rPr>
        <w:t>150</w:t>
      </w:r>
      <w:r w:rsidR="000D25CB">
        <w:rPr>
          <w:sz w:val="22"/>
          <w:szCs w:val="22"/>
        </w:rPr>
        <w:t>)</w:t>
      </w:r>
      <w:r w:rsidRPr="000D25CB">
        <w:rPr>
          <w:sz w:val="22"/>
          <w:szCs w:val="22"/>
        </w:rPr>
        <w:t xml:space="preserve">. </w:t>
      </w:r>
      <w:r w:rsidR="00FC61A3">
        <w:rPr>
          <w:sz w:val="22"/>
          <w:szCs w:val="22"/>
        </w:rPr>
        <w:t xml:space="preserve">Therefore the </w:t>
      </w:r>
      <w:r w:rsidRPr="000D25CB">
        <w:rPr>
          <w:sz w:val="22"/>
          <w:szCs w:val="22"/>
        </w:rPr>
        <w:t>total burden hours</w:t>
      </w:r>
      <w:r w:rsidR="00FC61A3">
        <w:rPr>
          <w:sz w:val="22"/>
          <w:szCs w:val="22"/>
        </w:rPr>
        <w:t xml:space="preserve"> </w:t>
      </w:r>
      <w:r w:rsidR="00DF7804">
        <w:rPr>
          <w:sz w:val="22"/>
          <w:szCs w:val="22"/>
        </w:rPr>
        <w:t>have slightly increased,</w:t>
      </w:r>
      <w:r w:rsidRPr="000D25CB">
        <w:rPr>
          <w:sz w:val="22"/>
          <w:szCs w:val="22"/>
        </w:rPr>
        <w:t xml:space="preserve"> and</w:t>
      </w:r>
      <w:r w:rsidR="00FC61A3">
        <w:rPr>
          <w:sz w:val="22"/>
          <w:szCs w:val="22"/>
        </w:rPr>
        <w:t xml:space="preserve"> the associated</w:t>
      </w:r>
      <w:r w:rsidRPr="000D25CB">
        <w:rPr>
          <w:sz w:val="22"/>
          <w:szCs w:val="22"/>
        </w:rPr>
        <w:t xml:space="preserve"> costs</w:t>
      </w:r>
      <w:r w:rsidR="00FC61A3">
        <w:rPr>
          <w:sz w:val="22"/>
          <w:szCs w:val="22"/>
        </w:rPr>
        <w:t xml:space="preserve"> have </w:t>
      </w:r>
      <w:r w:rsidR="00DF7804">
        <w:rPr>
          <w:sz w:val="22"/>
          <w:szCs w:val="22"/>
        </w:rPr>
        <w:t xml:space="preserve">also </w:t>
      </w:r>
      <w:r w:rsidR="00FC61A3">
        <w:rPr>
          <w:sz w:val="22"/>
          <w:szCs w:val="22"/>
        </w:rPr>
        <w:t>increased based on an increase in labor costs from 2016 to 2020</w:t>
      </w:r>
      <w:r w:rsidRPr="000D25CB">
        <w:rPr>
          <w:sz w:val="22"/>
          <w:szCs w:val="22"/>
        </w:rPr>
        <w:t xml:space="preserve">. </w:t>
      </w:r>
      <w:bookmarkEnd w:id="14"/>
    </w:p>
    <w:p w:rsidRPr="000D25CB" w:rsidR="005E0A0F" w:rsidP="000A247C" w:rsidRDefault="005E0A0F">
      <w:pPr>
        <w:pStyle w:val="NormalWeb"/>
        <w:numPr>
          <w:ilvl w:val="0"/>
          <w:numId w:val="4"/>
        </w:numPr>
        <w:spacing w:before="120" w:beforeAutospacing="0" w:after="120" w:afterAutospacing="0"/>
        <w:jc w:val="both"/>
        <w:rPr>
          <w:sz w:val="22"/>
          <w:szCs w:val="22"/>
          <w:u w:val="single"/>
        </w:rPr>
      </w:pPr>
      <w:r w:rsidRPr="000D25CB">
        <w:rPr>
          <w:sz w:val="22"/>
          <w:szCs w:val="22"/>
          <w:u w:val="single"/>
        </w:rPr>
        <w:t>Publication of Results</w:t>
      </w:r>
    </w:p>
    <w:p w:rsidRPr="000D25CB" w:rsidR="00990339" w:rsidP="00F20EAD" w:rsidRDefault="009128BC">
      <w:pPr>
        <w:pStyle w:val="NormalWeb"/>
        <w:spacing w:before="120" w:beforeAutospacing="0" w:after="120" w:afterAutospacing="0"/>
        <w:ind w:left="720"/>
        <w:jc w:val="both"/>
        <w:rPr>
          <w:sz w:val="22"/>
          <w:szCs w:val="22"/>
        </w:rPr>
      </w:pPr>
      <w:r w:rsidRPr="000D25CB">
        <w:rPr>
          <w:sz w:val="22"/>
          <w:szCs w:val="22"/>
        </w:rPr>
        <w:lastRenderedPageBreak/>
        <w:t xml:space="preserve">The data is analyzed and reported by </w:t>
      </w:r>
      <w:r w:rsidRPr="000D25CB" w:rsidR="006304F9">
        <w:rPr>
          <w:sz w:val="22"/>
          <w:szCs w:val="22"/>
        </w:rPr>
        <w:t>DCSA</w:t>
      </w:r>
      <w:r w:rsidRPr="000D25CB">
        <w:rPr>
          <w:sz w:val="22"/>
          <w:szCs w:val="22"/>
        </w:rPr>
        <w:t xml:space="preserve"> to the </w:t>
      </w:r>
      <w:r w:rsidR="00F20EAD">
        <w:rPr>
          <w:sz w:val="22"/>
          <w:szCs w:val="22"/>
        </w:rPr>
        <w:t xml:space="preserve">ISOO </w:t>
      </w:r>
      <w:r w:rsidRPr="000D25CB">
        <w:rPr>
          <w:sz w:val="22"/>
          <w:szCs w:val="22"/>
        </w:rPr>
        <w:t xml:space="preserve">Director in order to comply with </w:t>
      </w:r>
      <w:r w:rsidR="00F20EAD">
        <w:rPr>
          <w:sz w:val="22"/>
          <w:szCs w:val="22"/>
        </w:rPr>
        <w:t xml:space="preserve">EO 12829, </w:t>
      </w:r>
      <w:r w:rsidRPr="000D25CB">
        <w:rPr>
          <w:sz w:val="22"/>
          <w:szCs w:val="22"/>
        </w:rPr>
        <w:t xml:space="preserve">which requires the </w:t>
      </w:r>
      <w:r w:rsidR="00F20EAD">
        <w:rPr>
          <w:sz w:val="22"/>
          <w:szCs w:val="22"/>
        </w:rPr>
        <w:t>DoD</w:t>
      </w:r>
      <w:r w:rsidRPr="000D25CB">
        <w:rPr>
          <w:sz w:val="22"/>
          <w:szCs w:val="22"/>
        </w:rPr>
        <w:t xml:space="preserve"> to account each year for the costs associated with implementation of the </w:t>
      </w:r>
      <w:r w:rsidR="00F20EAD">
        <w:rPr>
          <w:sz w:val="22"/>
          <w:szCs w:val="22"/>
        </w:rPr>
        <w:t>NISP</w:t>
      </w:r>
      <w:r w:rsidRPr="000D25CB">
        <w:rPr>
          <w:sz w:val="22"/>
          <w:szCs w:val="22"/>
        </w:rPr>
        <w:t xml:space="preserve"> and report those costs.</w:t>
      </w:r>
    </w:p>
    <w:p w:rsidRPr="000D25CB" w:rsidR="005E0A0F" w:rsidP="008429D4" w:rsidRDefault="005E0A0F">
      <w:pPr>
        <w:pStyle w:val="NormalWeb"/>
        <w:numPr>
          <w:ilvl w:val="0"/>
          <w:numId w:val="4"/>
        </w:numPr>
        <w:spacing w:before="120" w:beforeAutospacing="0" w:after="120" w:afterAutospacing="0"/>
        <w:jc w:val="both"/>
        <w:rPr>
          <w:sz w:val="22"/>
          <w:szCs w:val="22"/>
          <w:u w:val="single"/>
        </w:rPr>
      </w:pPr>
      <w:bookmarkStart w:name="cp471" w:id="16"/>
      <w:r w:rsidRPr="000D25CB">
        <w:rPr>
          <w:sz w:val="22"/>
          <w:szCs w:val="22"/>
          <w:u w:val="single"/>
        </w:rPr>
        <w:t>Non-Display of O</w:t>
      </w:r>
      <w:r w:rsidR="00F20EAD">
        <w:rPr>
          <w:sz w:val="22"/>
          <w:szCs w:val="22"/>
          <w:u w:val="single"/>
        </w:rPr>
        <w:t>ffice of Management and Budget (O</w:t>
      </w:r>
      <w:r w:rsidRPr="000D25CB">
        <w:rPr>
          <w:sz w:val="22"/>
          <w:szCs w:val="22"/>
          <w:u w:val="single"/>
        </w:rPr>
        <w:t>MB</w:t>
      </w:r>
      <w:r w:rsidR="00F20EAD">
        <w:rPr>
          <w:sz w:val="22"/>
          <w:szCs w:val="22"/>
          <w:u w:val="single"/>
        </w:rPr>
        <w:t>)</w:t>
      </w:r>
      <w:r w:rsidRPr="000D25CB">
        <w:rPr>
          <w:sz w:val="22"/>
          <w:szCs w:val="22"/>
          <w:u w:val="single"/>
        </w:rPr>
        <w:t xml:space="preserve"> Expiration Date</w:t>
      </w:r>
    </w:p>
    <w:p w:rsidRPr="000D25CB" w:rsidR="00990339" w:rsidP="00F20EAD" w:rsidRDefault="009128BC">
      <w:pPr>
        <w:pStyle w:val="NormalWeb"/>
        <w:spacing w:before="120" w:beforeAutospacing="0" w:after="120" w:afterAutospacing="0"/>
        <w:ind w:left="720"/>
        <w:jc w:val="both"/>
        <w:rPr>
          <w:sz w:val="22"/>
          <w:szCs w:val="22"/>
        </w:rPr>
      </w:pPr>
      <w:r w:rsidRPr="000D25CB">
        <w:rPr>
          <w:sz w:val="22"/>
          <w:szCs w:val="22"/>
        </w:rPr>
        <w:t>Approval is not sought for avoiding display of the expiration date for OMB approval of the information collection</w:t>
      </w:r>
      <w:r w:rsidRPr="000D25CB" w:rsidR="00006BB0">
        <w:rPr>
          <w:sz w:val="22"/>
          <w:szCs w:val="22"/>
        </w:rPr>
        <w:t xml:space="preserve">. </w:t>
      </w:r>
    </w:p>
    <w:p w:rsidRPr="000D25CB" w:rsidR="00743072" w:rsidP="008429D4" w:rsidRDefault="005E0A0F">
      <w:pPr>
        <w:pStyle w:val="NormalWeb"/>
        <w:numPr>
          <w:ilvl w:val="0"/>
          <w:numId w:val="4"/>
        </w:numPr>
        <w:spacing w:before="120" w:beforeAutospacing="0" w:after="120" w:afterAutospacing="0"/>
        <w:jc w:val="both"/>
        <w:rPr>
          <w:sz w:val="22"/>
          <w:szCs w:val="22"/>
          <w:u w:val="single"/>
        </w:rPr>
      </w:pPr>
      <w:bookmarkStart w:name="cp473" w:id="17"/>
      <w:bookmarkEnd w:id="16"/>
      <w:r w:rsidRPr="000D25CB">
        <w:rPr>
          <w:sz w:val="22"/>
          <w:szCs w:val="22"/>
          <w:u w:val="single"/>
        </w:rPr>
        <w:t>Exceptions to "Certification for Paperwork Reduction</w:t>
      </w:r>
      <w:r w:rsidRPr="000D25CB" w:rsidR="0003306A">
        <w:rPr>
          <w:sz w:val="22"/>
          <w:szCs w:val="22"/>
          <w:u w:val="single"/>
        </w:rPr>
        <w:t xml:space="preserve"> </w:t>
      </w:r>
      <w:r w:rsidRPr="000D25CB">
        <w:rPr>
          <w:sz w:val="22"/>
          <w:szCs w:val="22"/>
          <w:u w:val="single"/>
        </w:rPr>
        <w:t>Submissions"</w:t>
      </w:r>
    </w:p>
    <w:p w:rsidRPr="00F20EAD" w:rsidR="001F2F74" w:rsidP="00F20EAD" w:rsidRDefault="00B165B1">
      <w:pPr>
        <w:pStyle w:val="NormalWeb"/>
        <w:spacing w:before="120" w:beforeAutospacing="0" w:after="120" w:afterAutospacing="0"/>
        <w:ind w:left="720"/>
        <w:jc w:val="both"/>
        <w:rPr>
          <w:sz w:val="22"/>
          <w:szCs w:val="22"/>
        </w:rPr>
      </w:pPr>
      <w:bookmarkStart w:name="cp474" w:id="18"/>
      <w:bookmarkEnd w:id="17"/>
      <w:r w:rsidRPr="000D25CB">
        <w:rPr>
          <w:sz w:val="22"/>
          <w:szCs w:val="22"/>
        </w:rPr>
        <w:t>No exemptions are sought with this collection</w:t>
      </w:r>
      <w:r w:rsidRPr="000D25CB" w:rsidR="009128BC">
        <w:rPr>
          <w:sz w:val="22"/>
          <w:szCs w:val="22"/>
        </w:rPr>
        <w:t>.</w:t>
      </w:r>
      <w:bookmarkEnd w:id="18"/>
    </w:p>
    <w:sectPr w:rsidRPr="00F20EAD" w:rsidR="001F2F74" w:rsidSect="007B54F6">
      <w:footerReference w:type="default" r:id="rId13"/>
      <w:pgSz w:w="12240" w:h="15840"/>
      <w:pgMar w:top="1080" w:right="1440" w:bottom="99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A9A" w:rsidRDefault="004F4A9A" w:rsidP="00D74D55">
      <w:r>
        <w:separator/>
      </w:r>
    </w:p>
  </w:endnote>
  <w:endnote w:type="continuationSeparator" w:id="0">
    <w:p w:rsidR="004F4A9A" w:rsidRDefault="004F4A9A"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793" w:rsidRDefault="00FC0793">
    <w:pPr>
      <w:pStyle w:val="Footer"/>
      <w:jc w:val="center"/>
    </w:pPr>
    <w:r>
      <w:fldChar w:fldCharType="begin"/>
    </w:r>
    <w:r>
      <w:instrText xml:space="preserve"> PAGE   \* MERGEFORMAT </w:instrText>
    </w:r>
    <w:r>
      <w:fldChar w:fldCharType="separate"/>
    </w:r>
    <w:r w:rsidR="002E79BC">
      <w:rPr>
        <w:noProof/>
      </w:rPr>
      <w:t>1</w:t>
    </w:r>
    <w:r>
      <w:fldChar w:fldCharType="end"/>
    </w:r>
  </w:p>
  <w:p w:rsidR="00FC0793" w:rsidRDefault="00FC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A9A" w:rsidRDefault="004F4A9A" w:rsidP="00D74D55">
      <w:r>
        <w:separator/>
      </w:r>
    </w:p>
  </w:footnote>
  <w:footnote w:type="continuationSeparator" w:id="0">
    <w:p w:rsidR="004F4A9A" w:rsidRDefault="004F4A9A" w:rsidP="00D74D55">
      <w:r>
        <w:continuationSeparator/>
      </w:r>
    </w:p>
  </w:footnote>
  <w:footnote w:id="1">
    <w:p w:rsidR="009279AC" w:rsidRPr="000D25CB" w:rsidRDefault="009279AC" w:rsidP="009279AC">
      <w:pPr>
        <w:pStyle w:val="FootnoteText"/>
        <w:rPr>
          <w:rFonts w:ascii="Times New Roman" w:hAnsi="Times New Roman"/>
          <w:sz w:val="18"/>
          <w:szCs w:val="18"/>
        </w:rPr>
      </w:pPr>
      <w:r w:rsidRPr="000D25CB">
        <w:rPr>
          <w:rStyle w:val="FootnoteReference"/>
          <w:rFonts w:ascii="Times New Roman" w:hAnsi="Times New Roman"/>
          <w:sz w:val="18"/>
          <w:szCs w:val="18"/>
        </w:rPr>
        <w:footnoteRef/>
      </w:r>
      <w:r w:rsidRPr="000D25CB">
        <w:rPr>
          <w:rFonts w:ascii="Times New Roman" w:hAnsi="Times New Roman"/>
          <w:sz w:val="18"/>
          <w:szCs w:val="18"/>
        </w:rPr>
        <w:t xml:space="preserve"> Using OPM 2020 General Schedule for</w:t>
      </w:r>
      <w:r w:rsidR="00F20EAD">
        <w:rPr>
          <w:rFonts w:ascii="Times New Roman" w:hAnsi="Times New Roman"/>
          <w:sz w:val="18"/>
          <w:szCs w:val="18"/>
        </w:rPr>
        <w:t xml:space="preserve"> Washington-Baltimore-Arlington</w:t>
      </w:r>
      <w:r w:rsidRPr="000D25CB">
        <w:rPr>
          <w:rFonts w:ascii="Times New Roman" w:hAnsi="Times New Roman"/>
          <w:sz w:val="18"/>
          <w:szCs w:val="18"/>
        </w:rPr>
        <w:t>, DC-MD-VA-WV-PA, GS-13 Step 1 which</w:t>
      </w:r>
      <w:r w:rsidR="00F20EAD">
        <w:rPr>
          <w:rFonts w:ascii="Times New Roman" w:hAnsi="Times New Roman"/>
          <w:sz w:val="18"/>
          <w:szCs w:val="18"/>
        </w:rPr>
        <w:t xml:space="preserve"> better fits the pay level for </w:t>
      </w:r>
      <w:r w:rsidRPr="000D25CB">
        <w:rPr>
          <w:rFonts w:ascii="Times New Roman" w:hAnsi="Times New Roman"/>
          <w:sz w:val="18"/>
          <w:szCs w:val="18"/>
        </w:rPr>
        <w:t>the occupation of Facility Security Officer and it can be found at: https://www.opm.gov/policy-data-oversight/pay-leave/salaries-wages/salary-tables/pdf/2020/DCB_h.pdf.</w:t>
      </w:r>
    </w:p>
  </w:footnote>
  <w:footnote w:id="2">
    <w:p w:rsidR="000D25CB" w:rsidRDefault="000D25CB">
      <w:pPr>
        <w:pStyle w:val="FootnoteText"/>
      </w:pPr>
      <w:r w:rsidRPr="000D25CB">
        <w:rPr>
          <w:rStyle w:val="FootnoteReference"/>
          <w:rFonts w:ascii="Times New Roman" w:hAnsi="Times New Roman"/>
          <w:sz w:val="18"/>
          <w:szCs w:val="18"/>
        </w:rPr>
        <w:footnoteRef/>
      </w:r>
      <w:r w:rsidRPr="000D25CB">
        <w:rPr>
          <w:rFonts w:ascii="Times New Roman" w:hAnsi="Times New Roman"/>
          <w:sz w:val="18"/>
          <w:szCs w:val="18"/>
        </w:rPr>
        <w:t xml:space="preserve"> The weighted average wage is $59.95 which is based on 32 hours @ $67.82 for GS-14 Step 6 and 60 hours @ $55.75 for GS-13- Step 5 using OPM 2020 General Schedule for Washington-Baltimore-Arlington, DC-MD-VA-WV-PA and can be found at: https://www.opm.gov/policy-data-oversight/pay-leave/salaries-wages/salary-tables/pdf/2020/DCB_h.pdf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790A"/>
    <w:multiLevelType w:val="hybridMultilevel"/>
    <w:tmpl w:val="BB5A12C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4A6783B"/>
    <w:multiLevelType w:val="hybridMultilevel"/>
    <w:tmpl w:val="694E3BB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FF7F6C"/>
    <w:multiLevelType w:val="hybridMultilevel"/>
    <w:tmpl w:val="3B300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E78DD"/>
    <w:multiLevelType w:val="hybridMultilevel"/>
    <w:tmpl w:val="9DAA08BE"/>
    <w:lvl w:ilvl="0" w:tplc="15CA2F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9430B"/>
    <w:multiLevelType w:val="hybridMultilevel"/>
    <w:tmpl w:val="C5BC4E9A"/>
    <w:lvl w:ilvl="0" w:tplc="CB0C486E">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16BE4"/>
    <w:multiLevelType w:val="hybridMultilevel"/>
    <w:tmpl w:val="6D92EA3C"/>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25D35D3"/>
    <w:multiLevelType w:val="hybridMultilevel"/>
    <w:tmpl w:val="59D8193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F7DFA"/>
    <w:multiLevelType w:val="hybridMultilevel"/>
    <w:tmpl w:val="77128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50450"/>
    <w:multiLevelType w:val="hybridMultilevel"/>
    <w:tmpl w:val="348AFC34"/>
    <w:lvl w:ilvl="0" w:tplc="C64AA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F67E4E"/>
    <w:multiLevelType w:val="hybridMultilevel"/>
    <w:tmpl w:val="9884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C1E20"/>
    <w:multiLevelType w:val="hybridMultilevel"/>
    <w:tmpl w:val="2E2EE5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B459B"/>
    <w:multiLevelType w:val="hybridMultilevel"/>
    <w:tmpl w:val="2446F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81071"/>
    <w:multiLevelType w:val="hybridMultilevel"/>
    <w:tmpl w:val="88EEA1E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71D96DA1"/>
    <w:multiLevelType w:val="hybridMultilevel"/>
    <w:tmpl w:val="69BE23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43793"/>
    <w:multiLevelType w:val="hybridMultilevel"/>
    <w:tmpl w:val="5FD26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B42F99"/>
    <w:multiLevelType w:val="hybridMultilevel"/>
    <w:tmpl w:val="489AC036"/>
    <w:lvl w:ilvl="0" w:tplc="6FF22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ED0283"/>
    <w:multiLevelType w:val="hybridMultilevel"/>
    <w:tmpl w:val="DBF019EC"/>
    <w:lvl w:ilvl="0" w:tplc="71B0E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63BA3"/>
    <w:multiLevelType w:val="hybridMultilevel"/>
    <w:tmpl w:val="9D460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B7C42"/>
    <w:multiLevelType w:val="hybridMultilevel"/>
    <w:tmpl w:val="87C2A216"/>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3"/>
  </w:num>
  <w:num w:numId="3">
    <w:abstractNumId w:val="10"/>
  </w:num>
  <w:num w:numId="4">
    <w:abstractNumId w:val="14"/>
  </w:num>
  <w:num w:numId="5">
    <w:abstractNumId w:val="0"/>
  </w:num>
  <w:num w:numId="6">
    <w:abstractNumId w:val="18"/>
  </w:num>
  <w:num w:numId="7">
    <w:abstractNumId w:val="7"/>
  </w:num>
  <w:num w:numId="8">
    <w:abstractNumId w:val="2"/>
  </w:num>
  <w:num w:numId="9">
    <w:abstractNumId w:val="12"/>
  </w:num>
  <w:num w:numId="10">
    <w:abstractNumId w:val="19"/>
  </w:num>
  <w:num w:numId="11">
    <w:abstractNumId w:val="6"/>
  </w:num>
  <w:num w:numId="12">
    <w:abstractNumId w:val="15"/>
  </w:num>
  <w:num w:numId="13">
    <w:abstractNumId w:val="4"/>
  </w:num>
  <w:num w:numId="14">
    <w:abstractNumId w:val="5"/>
  </w:num>
  <w:num w:numId="15">
    <w:abstractNumId w:val="11"/>
  </w:num>
  <w:num w:numId="16">
    <w:abstractNumId w:val="9"/>
  </w:num>
  <w:num w:numId="17">
    <w:abstractNumId w:val="8"/>
  </w:num>
  <w:num w:numId="18">
    <w:abstractNumId w:val="3"/>
  </w:num>
  <w:num w:numId="19">
    <w:abstractNumId w:val="16"/>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6BB0"/>
    <w:rsid w:val="00016806"/>
    <w:rsid w:val="00026915"/>
    <w:rsid w:val="0003306A"/>
    <w:rsid w:val="0004315C"/>
    <w:rsid w:val="000437A8"/>
    <w:rsid w:val="0007644E"/>
    <w:rsid w:val="000914DD"/>
    <w:rsid w:val="00092F82"/>
    <w:rsid w:val="00097B80"/>
    <w:rsid w:val="000A21B6"/>
    <w:rsid w:val="000A2459"/>
    <w:rsid w:val="000A247C"/>
    <w:rsid w:val="000C562F"/>
    <w:rsid w:val="000D25CB"/>
    <w:rsid w:val="000D555B"/>
    <w:rsid w:val="000D6BD4"/>
    <w:rsid w:val="000D7D41"/>
    <w:rsid w:val="000F22FE"/>
    <w:rsid w:val="00127A99"/>
    <w:rsid w:val="00143A69"/>
    <w:rsid w:val="00157FCE"/>
    <w:rsid w:val="00170ABF"/>
    <w:rsid w:val="001858F3"/>
    <w:rsid w:val="001943B3"/>
    <w:rsid w:val="0019490A"/>
    <w:rsid w:val="001A1481"/>
    <w:rsid w:val="001B33C1"/>
    <w:rsid w:val="001B631E"/>
    <w:rsid w:val="001B635E"/>
    <w:rsid w:val="001B650B"/>
    <w:rsid w:val="001F2F74"/>
    <w:rsid w:val="00235E69"/>
    <w:rsid w:val="00252103"/>
    <w:rsid w:val="00255D55"/>
    <w:rsid w:val="00260127"/>
    <w:rsid w:val="00270A6D"/>
    <w:rsid w:val="00291412"/>
    <w:rsid w:val="002C43DB"/>
    <w:rsid w:val="002D2D94"/>
    <w:rsid w:val="002D69C6"/>
    <w:rsid w:val="002E5E0A"/>
    <w:rsid w:val="002E78C3"/>
    <w:rsid w:val="002E79BC"/>
    <w:rsid w:val="002F11FC"/>
    <w:rsid w:val="0030008B"/>
    <w:rsid w:val="00316E72"/>
    <w:rsid w:val="0032094E"/>
    <w:rsid w:val="0032295F"/>
    <w:rsid w:val="00332B57"/>
    <w:rsid w:val="00333214"/>
    <w:rsid w:val="00343D19"/>
    <w:rsid w:val="003652DE"/>
    <w:rsid w:val="003706CB"/>
    <w:rsid w:val="00374B99"/>
    <w:rsid w:val="0038688D"/>
    <w:rsid w:val="003922AA"/>
    <w:rsid w:val="003B040F"/>
    <w:rsid w:val="003E68FA"/>
    <w:rsid w:val="003F4402"/>
    <w:rsid w:val="00407E6B"/>
    <w:rsid w:val="00413284"/>
    <w:rsid w:val="004357E9"/>
    <w:rsid w:val="00445581"/>
    <w:rsid w:val="004664A4"/>
    <w:rsid w:val="00471929"/>
    <w:rsid w:val="00471DD3"/>
    <w:rsid w:val="00483689"/>
    <w:rsid w:val="00490756"/>
    <w:rsid w:val="004A5282"/>
    <w:rsid w:val="004A60CA"/>
    <w:rsid w:val="004B2960"/>
    <w:rsid w:val="004C7516"/>
    <w:rsid w:val="004E2180"/>
    <w:rsid w:val="004F4A9A"/>
    <w:rsid w:val="004F6888"/>
    <w:rsid w:val="0050300D"/>
    <w:rsid w:val="00523228"/>
    <w:rsid w:val="00525CAE"/>
    <w:rsid w:val="00540DD4"/>
    <w:rsid w:val="00564656"/>
    <w:rsid w:val="005647FA"/>
    <w:rsid w:val="00577382"/>
    <w:rsid w:val="005824A0"/>
    <w:rsid w:val="005A414A"/>
    <w:rsid w:val="005B1DBB"/>
    <w:rsid w:val="005C750A"/>
    <w:rsid w:val="005E0A0F"/>
    <w:rsid w:val="0060388A"/>
    <w:rsid w:val="00617F69"/>
    <w:rsid w:val="00621C9D"/>
    <w:rsid w:val="006304F9"/>
    <w:rsid w:val="006462F8"/>
    <w:rsid w:val="00652E45"/>
    <w:rsid w:val="0065747D"/>
    <w:rsid w:val="00675F39"/>
    <w:rsid w:val="00686360"/>
    <w:rsid w:val="00687CFE"/>
    <w:rsid w:val="00690830"/>
    <w:rsid w:val="006A4AD0"/>
    <w:rsid w:val="006A6400"/>
    <w:rsid w:val="006A728C"/>
    <w:rsid w:val="006B1809"/>
    <w:rsid w:val="006B2B17"/>
    <w:rsid w:val="006C0722"/>
    <w:rsid w:val="006C6FEA"/>
    <w:rsid w:val="006D635A"/>
    <w:rsid w:val="006E122A"/>
    <w:rsid w:val="006E3571"/>
    <w:rsid w:val="006F233D"/>
    <w:rsid w:val="006F3A2E"/>
    <w:rsid w:val="006F5D70"/>
    <w:rsid w:val="00715020"/>
    <w:rsid w:val="00721367"/>
    <w:rsid w:val="00743072"/>
    <w:rsid w:val="00747C25"/>
    <w:rsid w:val="00752D7F"/>
    <w:rsid w:val="00775086"/>
    <w:rsid w:val="00775FAA"/>
    <w:rsid w:val="007772A2"/>
    <w:rsid w:val="00785D55"/>
    <w:rsid w:val="0079370F"/>
    <w:rsid w:val="00793AB1"/>
    <w:rsid w:val="00795C32"/>
    <w:rsid w:val="007975C6"/>
    <w:rsid w:val="007A6253"/>
    <w:rsid w:val="007A7148"/>
    <w:rsid w:val="007A74EC"/>
    <w:rsid w:val="007B08BF"/>
    <w:rsid w:val="007B4B96"/>
    <w:rsid w:val="007B54F6"/>
    <w:rsid w:val="007C158E"/>
    <w:rsid w:val="007D430D"/>
    <w:rsid w:val="007D7AFE"/>
    <w:rsid w:val="007F4E2E"/>
    <w:rsid w:val="00803BE4"/>
    <w:rsid w:val="008155BE"/>
    <w:rsid w:val="00822219"/>
    <w:rsid w:val="00833E39"/>
    <w:rsid w:val="00840CD9"/>
    <w:rsid w:val="008429D4"/>
    <w:rsid w:val="00843915"/>
    <w:rsid w:val="00857B91"/>
    <w:rsid w:val="00860BF6"/>
    <w:rsid w:val="00865ABE"/>
    <w:rsid w:val="00871E74"/>
    <w:rsid w:val="008834EB"/>
    <w:rsid w:val="008A1896"/>
    <w:rsid w:val="008B44FD"/>
    <w:rsid w:val="008B7830"/>
    <w:rsid w:val="008C745B"/>
    <w:rsid w:val="008E0F76"/>
    <w:rsid w:val="008E6126"/>
    <w:rsid w:val="008F583F"/>
    <w:rsid w:val="00911DC9"/>
    <w:rsid w:val="009128BC"/>
    <w:rsid w:val="00922F61"/>
    <w:rsid w:val="009279AC"/>
    <w:rsid w:val="00932507"/>
    <w:rsid w:val="00943317"/>
    <w:rsid w:val="00951363"/>
    <w:rsid w:val="00966421"/>
    <w:rsid w:val="0096762B"/>
    <w:rsid w:val="0098619D"/>
    <w:rsid w:val="00990339"/>
    <w:rsid w:val="009A6AA0"/>
    <w:rsid w:val="009B4B3B"/>
    <w:rsid w:val="009D0F87"/>
    <w:rsid w:val="009F0B59"/>
    <w:rsid w:val="009F3977"/>
    <w:rsid w:val="00A0052F"/>
    <w:rsid w:val="00A0351C"/>
    <w:rsid w:val="00A21046"/>
    <w:rsid w:val="00A27879"/>
    <w:rsid w:val="00A317CF"/>
    <w:rsid w:val="00A343BA"/>
    <w:rsid w:val="00A42E03"/>
    <w:rsid w:val="00A5325F"/>
    <w:rsid w:val="00A55A11"/>
    <w:rsid w:val="00A64CC2"/>
    <w:rsid w:val="00A93CBF"/>
    <w:rsid w:val="00A95CE2"/>
    <w:rsid w:val="00A97CB8"/>
    <w:rsid w:val="00AA2C42"/>
    <w:rsid w:val="00AB0141"/>
    <w:rsid w:val="00AF66E0"/>
    <w:rsid w:val="00AF6B08"/>
    <w:rsid w:val="00B040E8"/>
    <w:rsid w:val="00B05882"/>
    <w:rsid w:val="00B12B8E"/>
    <w:rsid w:val="00B165B1"/>
    <w:rsid w:val="00B17FE5"/>
    <w:rsid w:val="00B3799D"/>
    <w:rsid w:val="00B5025B"/>
    <w:rsid w:val="00B529DE"/>
    <w:rsid w:val="00B77302"/>
    <w:rsid w:val="00B8495C"/>
    <w:rsid w:val="00BA48A3"/>
    <w:rsid w:val="00BF1B29"/>
    <w:rsid w:val="00BF7363"/>
    <w:rsid w:val="00C05610"/>
    <w:rsid w:val="00C1222B"/>
    <w:rsid w:val="00C201E4"/>
    <w:rsid w:val="00C34D08"/>
    <w:rsid w:val="00C459BE"/>
    <w:rsid w:val="00C66D8C"/>
    <w:rsid w:val="00C716AB"/>
    <w:rsid w:val="00C96684"/>
    <w:rsid w:val="00CE7927"/>
    <w:rsid w:val="00CF7233"/>
    <w:rsid w:val="00D01216"/>
    <w:rsid w:val="00D201AD"/>
    <w:rsid w:val="00D33330"/>
    <w:rsid w:val="00D37A50"/>
    <w:rsid w:val="00D37ED7"/>
    <w:rsid w:val="00D412C5"/>
    <w:rsid w:val="00D46148"/>
    <w:rsid w:val="00D55DFB"/>
    <w:rsid w:val="00D631C4"/>
    <w:rsid w:val="00D64236"/>
    <w:rsid w:val="00D74D55"/>
    <w:rsid w:val="00D74ED0"/>
    <w:rsid w:val="00D77B1A"/>
    <w:rsid w:val="00D83B6F"/>
    <w:rsid w:val="00D8489B"/>
    <w:rsid w:val="00D86A8E"/>
    <w:rsid w:val="00DA3AE7"/>
    <w:rsid w:val="00DA711E"/>
    <w:rsid w:val="00DC6169"/>
    <w:rsid w:val="00DE0536"/>
    <w:rsid w:val="00DF7804"/>
    <w:rsid w:val="00E53C2C"/>
    <w:rsid w:val="00E57EEE"/>
    <w:rsid w:val="00E74719"/>
    <w:rsid w:val="00E80654"/>
    <w:rsid w:val="00E87350"/>
    <w:rsid w:val="00EA00D6"/>
    <w:rsid w:val="00EB07B0"/>
    <w:rsid w:val="00EB274B"/>
    <w:rsid w:val="00EC17A1"/>
    <w:rsid w:val="00EC4D68"/>
    <w:rsid w:val="00EC633C"/>
    <w:rsid w:val="00ED4101"/>
    <w:rsid w:val="00EF226D"/>
    <w:rsid w:val="00EF3AF0"/>
    <w:rsid w:val="00F0169A"/>
    <w:rsid w:val="00F041D2"/>
    <w:rsid w:val="00F11DA9"/>
    <w:rsid w:val="00F13467"/>
    <w:rsid w:val="00F1447C"/>
    <w:rsid w:val="00F17C47"/>
    <w:rsid w:val="00F20EAD"/>
    <w:rsid w:val="00F22088"/>
    <w:rsid w:val="00F31D24"/>
    <w:rsid w:val="00F338AA"/>
    <w:rsid w:val="00F378B8"/>
    <w:rsid w:val="00F508E6"/>
    <w:rsid w:val="00F6645A"/>
    <w:rsid w:val="00F8118C"/>
    <w:rsid w:val="00F92085"/>
    <w:rsid w:val="00F92ACC"/>
    <w:rsid w:val="00F9625B"/>
    <w:rsid w:val="00FB19E6"/>
    <w:rsid w:val="00FC0793"/>
    <w:rsid w:val="00FC61A3"/>
    <w:rsid w:val="00FD0C1D"/>
    <w:rsid w:val="00FD5883"/>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141904F"/>
  <w15:chartTrackingRefBased/>
  <w15:docId w15:val="{9FAB237F-E77E-4A6A-8A00-A649BADE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PlainText">
    <w:name w:val="Plain Text"/>
    <w:basedOn w:val="Normal"/>
    <w:link w:val="PlainTextChar"/>
    <w:uiPriority w:val="99"/>
    <w:semiHidden/>
    <w:unhideWhenUsed/>
    <w:rsid w:val="00E87350"/>
    <w:rPr>
      <w:rFonts w:ascii="Calibri" w:eastAsia="Calibri" w:hAnsi="Calibri"/>
      <w:sz w:val="22"/>
      <w:szCs w:val="21"/>
    </w:rPr>
  </w:style>
  <w:style w:type="character" w:customStyle="1" w:styleId="PlainTextChar">
    <w:name w:val="Plain Text Char"/>
    <w:link w:val="PlainText"/>
    <w:uiPriority w:val="99"/>
    <w:semiHidden/>
    <w:rsid w:val="00E87350"/>
    <w:rPr>
      <w:sz w:val="22"/>
      <w:szCs w:val="21"/>
    </w:rPr>
  </w:style>
  <w:style w:type="character" w:styleId="Hyperlink">
    <w:name w:val="Hyperlink"/>
    <w:uiPriority w:val="99"/>
    <w:unhideWhenUsed/>
    <w:rsid w:val="003922AA"/>
    <w:rPr>
      <w:color w:val="0000FF"/>
      <w:u w:val="single"/>
    </w:rPr>
  </w:style>
  <w:style w:type="character" w:customStyle="1" w:styleId="tgc">
    <w:name w:val="_tgc"/>
    <w:rsid w:val="00270A6D"/>
  </w:style>
  <w:style w:type="paragraph" w:styleId="ListParagraph">
    <w:name w:val="List Paragraph"/>
    <w:basedOn w:val="Normal"/>
    <w:link w:val="ListParagraphChar"/>
    <w:uiPriority w:val="34"/>
    <w:qFormat/>
    <w:rsid w:val="009279AC"/>
    <w:pPr>
      <w:ind w:left="720"/>
      <w:contextualSpacing/>
    </w:pPr>
    <w:rPr>
      <w:sz w:val="20"/>
    </w:rPr>
  </w:style>
  <w:style w:type="character" w:customStyle="1" w:styleId="ListParagraphChar">
    <w:name w:val="List Paragraph Char"/>
    <w:link w:val="ListParagraph"/>
    <w:uiPriority w:val="99"/>
    <w:locked/>
    <w:rsid w:val="009279AC"/>
    <w:rPr>
      <w:rFonts w:ascii="Times New Roman" w:eastAsia="Times New Roman" w:hAnsi="Times New Roman"/>
      <w:szCs w:val="24"/>
    </w:rPr>
  </w:style>
  <w:style w:type="paragraph" w:styleId="FootnoteText">
    <w:name w:val="footnote text"/>
    <w:aliases w:val="F1,Tablenote Text"/>
    <w:basedOn w:val="Normal"/>
    <w:link w:val="FootnoteTextChar"/>
    <w:uiPriority w:val="99"/>
    <w:unhideWhenUsed/>
    <w:rsid w:val="009279AC"/>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9279AC"/>
  </w:style>
  <w:style w:type="character" w:styleId="FootnoteReference">
    <w:name w:val="footnote reference"/>
    <w:unhideWhenUsed/>
    <w:rsid w:val="00927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36783170">
      <w:bodyDiv w:val="1"/>
      <w:marLeft w:val="0"/>
      <w:marRight w:val="0"/>
      <w:marTop w:val="0"/>
      <w:marBottom w:val="0"/>
      <w:divBdr>
        <w:top w:val="none" w:sz="0" w:space="0" w:color="auto"/>
        <w:left w:val="none" w:sz="0" w:space="0" w:color="auto"/>
        <w:bottom w:val="none" w:sz="0" w:space="0" w:color="auto"/>
        <w:right w:val="none" w:sz="0" w:space="0" w:color="auto"/>
      </w:divBdr>
    </w:div>
    <w:div w:id="17927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B7CBF-5D33-4889-B7A4-5B894193F095}">
  <ds:schemaRefs>
    <ds:schemaRef ds:uri="http://schemas.microsoft.com/sharepoint/v3/contenttype/forms"/>
  </ds:schemaRefs>
</ds:datastoreItem>
</file>

<file path=customXml/itemProps2.xml><?xml version="1.0" encoding="utf-8"?>
<ds:datastoreItem xmlns:ds="http://schemas.openxmlformats.org/officeDocument/2006/customXml" ds:itemID="{8B83CE9C-089C-4325-97E5-9F3FC438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A8358-D58B-4BED-8A22-25443CFB1A39}">
  <ds:schemaRefs>
    <ds:schemaRef ds:uri="http://schemas.microsoft.com/sharepoint/events"/>
  </ds:schemaRefs>
</ds:datastoreItem>
</file>

<file path=customXml/itemProps4.xml><?xml version="1.0" encoding="utf-8"?>
<ds:datastoreItem xmlns:ds="http://schemas.openxmlformats.org/officeDocument/2006/customXml" ds:itemID="{10221295-8015-4373-BFD3-6EDFCE06E68E}">
  <ds:schemaRefs>
    <ds:schemaRef ds:uri="4f06cbb4-5319-44a1-b73c-03442379dfaa"/>
    <ds:schemaRef ds:uri="http://purl.org/dc/elements/1.1/"/>
    <ds:schemaRef ds:uri="http://schemas.microsoft.com/office/2006/metadata/properties"/>
    <ds:schemaRef ds:uri="456AF0B4-47B6-441D-9D5F-F64341D14F8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2B4B8F0-B36B-48FF-89EC-CD5D86915A7D}">
  <ds:schemaRefs>
    <ds:schemaRef ds:uri="http://schemas.microsoft.com/office/2006/metadata/longProperties"/>
  </ds:schemaRefs>
</ds:datastoreItem>
</file>

<file path=customXml/itemProps6.xml><?xml version="1.0" encoding="utf-8"?>
<ds:datastoreItem xmlns:ds="http://schemas.openxmlformats.org/officeDocument/2006/customXml" ds:itemID="{AB4400DF-1233-4107-BD9A-4428297C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WHS</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Patricia Toppings</dc:creator>
  <cp:keywords/>
  <cp:lastModifiedBy>James, Angela N CIV WHS ESD (US)</cp:lastModifiedBy>
  <cp:revision>2</cp:revision>
  <cp:lastPrinted>2017-01-31T17:10:00Z</cp:lastPrinted>
  <dcterms:created xsi:type="dcterms:W3CDTF">2020-04-24T16:53:00Z</dcterms:created>
  <dcterms:modified xsi:type="dcterms:W3CDTF">2020-04-24T16:53:00Z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0x0101000FA6EE544AEEFB47B63CA292ECEAE65E</vt:lpwstr>
  </property>
  <property fmtid="{D5CDD505-2E9C-101B-9397-08002B2CF9AE}" pid="3" name="Collection">
    <vt:lpwstr>1</vt:lpwstr>
  </property>
  <property fmtid="{D5CDD505-2E9C-101B-9397-08002B2CF9AE}" pid="4" name="Category">
    <vt:lpwstr>16</vt:lpwstr>
  </property>
  <property fmtid="{D5CDD505-2E9C-101B-9397-08002B2CF9AE}" pid="5" name="_dlc_DocId">
    <vt:lpwstr>TH3QXZ4CCXAT-18-903</vt:lpwstr>
  </property>
  <property fmtid="{D5CDD505-2E9C-101B-9397-08002B2CF9AE}" pid="6" name="_dlc_DocIdItemGuid">
    <vt:lpwstr>cc1b78a9-93b8-457b-8cec-39da9f6898c7</vt:lpwstr>
  </property>
  <property fmtid="{D5CDD505-2E9C-101B-9397-08002B2CF9AE}" pid="7" name="_dlc_DocIdUrl">
    <vt:lpwstr>https://eitsdext.osd.mil/sites/dodiic/_layouts/DocIdRedir.aspx?ID=TH3QXZ4CCXAT-18-903, TH3QXZ4CCXAT-18-903</vt:lpwstr>
  </property>
</Properties>
</file>