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pPr>
        <w:tabs>
          <w:tab w:val="left" w:pos="540"/>
        </w:tabs>
        <w:ind w:left="540" w:hanging="540"/>
        <w:jc w:val="center"/>
        <w:rPr>
          <w:b/>
          <w:sz w:val="24"/>
          <w:szCs w:val="24"/>
        </w:rPr>
      </w:pPr>
      <w:r w:rsidRPr="00B701E8">
        <w:rPr>
          <w:b/>
          <w:sz w:val="24"/>
          <w:szCs w:val="24"/>
        </w:rPr>
        <w:t>National Oceanic &amp; Atmospheric Administration</w:t>
      </w:r>
    </w:p>
    <w:p w:rsidRPr="007445F8" w:rsidR="004A76F5" w:rsidP="007445F8" w:rsidRDefault="007445F8">
      <w:pPr>
        <w:pStyle w:val="Default"/>
        <w:jc w:val="center"/>
        <w:rPr>
          <w:b/>
          <w:bCs/>
          <w:color w:val="auto"/>
        </w:rPr>
      </w:pPr>
      <w:r>
        <w:rPr>
          <w:b/>
          <w:bCs/>
          <w:color w:val="auto"/>
        </w:rPr>
        <w:t xml:space="preserve">NOAA </w:t>
      </w:r>
      <w:r w:rsidR="00D33508">
        <w:rPr>
          <w:b/>
          <w:bCs/>
          <w:color w:val="auto"/>
        </w:rPr>
        <w:t>Space-Based Data Collection System (DCS) Agreements</w:t>
      </w:r>
    </w:p>
    <w:p w:rsidRPr="00B701E8" w:rsidR="004A76F5" w:rsidP="00493868" w:rsidRDefault="007445F8">
      <w:pPr>
        <w:tabs>
          <w:tab w:val="left" w:pos="540"/>
        </w:tabs>
        <w:ind w:left="540" w:hanging="540"/>
        <w:jc w:val="center"/>
        <w:rPr>
          <w:b/>
          <w:sz w:val="24"/>
          <w:szCs w:val="24"/>
        </w:rPr>
      </w:pPr>
      <w:r>
        <w:rPr>
          <w:b/>
          <w:sz w:val="24"/>
          <w:szCs w:val="24"/>
        </w:rPr>
        <w:t>OMB Control No. 0648-0157</w:t>
      </w:r>
    </w:p>
    <w:p w:rsidR="004F26E9" w:rsidP="00493868" w:rsidRDefault="004F26E9">
      <w:pPr>
        <w:tabs>
          <w:tab w:val="left" w:pos="540"/>
        </w:tabs>
        <w:ind w:left="540" w:hanging="540"/>
        <w:rPr>
          <w:sz w:val="24"/>
          <w:szCs w:val="24"/>
        </w:rPr>
      </w:pPr>
    </w:p>
    <w:p w:rsidR="004F26E9" w:rsidP="00493868" w:rsidRDefault="004F26E9">
      <w:pPr>
        <w:tabs>
          <w:tab w:val="left" w:pos="540"/>
        </w:tabs>
        <w:ind w:left="540" w:hanging="540"/>
        <w:rPr>
          <w:sz w:val="24"/>
          <w:szCs w:val="24"/>
        </w:rPr>
      </w:pPr>
    </w:p>
    <w:p w:rsidR="004F26E9" w:rsidP="00493868" w:rsidRDefault="004F26E9">
      <w:pPr>
        <w:tabs>
          <w:tab w:val="left" w:pos="540"/>
          <w:tab w:val="left" w:pos="720"/>
        </w:tabs>
        <w:ind w:left="540" w:hanging="540"/>
        <w:rPr>
          <w:sz w:val="24"/>
          <w:szCs w:val="24"/>
        </w:rPr>
      </w:pPr>
      <w:r>
        <w:rPr>
          <w:b/>
          <w:bCs/>
          <w:sz w:val="24"/>
          <w:szCs w:val="24"/>
        </w:rPr>
        <w:t xml:space="preserve">A. </w:t>
      </w:r>
      <w:r>
        <w:rPr>
          <w:b/>
          <w:bCs/>
          <w:sz w:val="24"/>
          <w:szCs w:val="24"/>
        </w:rPr>
        <w:tab/>
        <w:t>JUSTIFICATION</w:t>
      </w:r>
    </w:p>
    <w:p w:rsidR="004F26E9" w:rsidP="00493868" w:rsidRDefault="004F26E9">
      <w:pPr>
        <w:tabs>
          <w:tab w:val="left" w:pos="540"/>
        </w:tabs>
        <w:ind w:left="540" w:hanging="540"/>
        <w:rPr>
          <w:sz w:val="24"/>
          <w:szCs w:val="24"/>
        </w:rPr>
      </w:pPr>
    </w:p>
    <w:p w:rsidR="004F26E9" w:rsidP="00493868" w:rsidRDefault="004F26E9">
      <w:pPr>
        <w:tabs>
          <w:tab w:val="left" w:pos="540"/>
        </w:tabs>
        <w:ind w:left="540" w:hanging="540"/>
        <w:rPr>
          <w:sz w:val="24"/>
          <w:szCs w:val="24"/>
        </w:rPr>
        <w:sectPr w:rsidR="004F26E9"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p>
    <w:p w:rsidR="00E6174B" w:rsidP="00493868" w:rsidRDefault="00493868">
      <w:pPr>
        <w:tabs>
          <w:tab w:val="left" w:pos="540"/>
        </w:tabs>
        <w:ind w:left="540" w:hanging="540"/>
        <w:rPr>
          <w:b/>
          <w:bCs/>
          <w:sz w:val="24"/>
          <w:szCs w:val="24"/>
        </w:rPr>
      </w:pPr>
      <w:r>
        <w:rPr>
          <w:b/>
          <w:bCs/>
          <w:sz w:val="24"/>
          <w:szCs w:val="24"/>
        </w:rPr>
        <w:t>1.</w:t>
      </w:r>
      <w:r>
        <w:rPr>
          <w:b/>
          <w:bCs/>
          <w:sz w:val="24"/>
          <w:szCs w:val="24"/>
        </w:rPr>
        <w:tab/>
      </w:r>
      <w:r w:rsidRPr="000A0540" w:rsidR="004F26E9">
        <w:rPr>
          <w:b/>
          <w:bCs/>
          <w:sz w:val="24"/>
          <w:szCs w:val="24"/>
        </w:rPr>
        <w:t>Explain the circumstances that make the collection of information necessary</w:t>
      </w:r>
      <w:r w:rsidR="00E6174B">
        <w:rPr>
          <w:b/>
          <w:bCs/>
          <w:sz w:val="24"/>
          <w:szCs w:val="24"/>
        </w:rPr>
        <w:t>.</w:t>
      </w:r>
    </w:p>
    <w:p w:rsidRPr="00E6174B" w:rsidR="004F26E9" w:rsidP="00E6174B" w:rsidRDefault="00E6174B">
      <w:pPr>
        <w:tabs>
          <w:tab w:val="left" w:pos="540"/>
        </w:tabs>
        <w:ind w:left="540"/>
        <w:rPr>
          <w:sz w:val="24"/>
          <w:szCs w:val="24"/>
        </w:rPr>
      </w:pPr>
      <w:r>
        <w:rPr>
          <w:b/>
          <w:bCs/>
          <w:sz w:val="24"/>
          <w:szCs w:val="24"/>
        </w:rPr>
        <w:t>Cite all applicable authorities for this information collection.</w:t>
      </w:r>
    </w:p>
    <w:p w:rsidR="004F26E9" w:rsidP="0020448B" w:rsidRDefault="004F26E9">
      <w:pPr>
        <w:rPr>
          <w:sz w:val="24"/>
          <w:szCs w:val="24"/>
        </w:rPr>
      </w:pPr>
    </w:p>
    <w:p w:rsidR="007445F8" w:rsidP="007445F8" w:rsidRDefault="007445F8">
      <w:pPr>
        <w:pStyle w:val="Default"/>
        <w:spacing w:after="280"/>
        <w:rPr>
          <w:color w:val="auto"/>
        </w:rPr>
      </w:pPr>
      <w:r>
        <w:rPr>
          <w:color w:val="auto"/>
        </w:rPr>
        <w:t>This request is for extension of a current information collection.</w:t>
      </w:r>
    </w:p>
    <w:p w:rsidR="007445F8" w:rsidP="007445F8" w:rsidRDefault="007445F8">
      <w:pPr>
        <w:pStyle w:val="Default"/>
        <w:spacing w:after="280"/>
        <w:rPr>
          <w:color w:val="auto"/>
        </w:rPr>
      </w:pPr>
      <w:r>
        <w:rPr>
          <w:color w:val="auto"/>
        </w:rPr>
        <w:t xml:space="preserve">NOAA operates two space-based data collection systems: the Geostationary Operational Environmental Satellite Data Collection System (GOES </w:t>
      </w:r>
      <w:smartTag w:uri="urn:schemas-microsoft-com:office:smarttags" w:element="stockticker">
        <w:r>
          <w:rPr>
            <w:color w:val="auto"/>
          </w:rPr>
          <w:t>DCS</w:t>
        </w:r>
      </w:smartTag>
      <w:r>
        <w:rPr>
          <w:color w:val="auto"/>
        </w:rPr>
        <w:t xml:space="preserve">) and the Argos Data Collection System (Argos </w:t>
      </w:r>
      <w:smartTag w:uri="urn:schemas-microsoft-com:office:smarttags" w:element="stockticker">
        <w:r>
          <w:rPr>
            <w:color w:val="auto"/>
          </w:rPr>
          <w:t>DCS</w:t>
        </w:r>
      </w:smartTag>
      <w:r>
        <w:rPr>
          <w:color w:val="auto"/>
        </w:rPr>
        <w:t xml:space="preserve">), which is flown aboard NOAA's Polar-orbiting Operational Environmental Satellites (POES). Both the GOES </w:t>
      </w:r>
      <w:smartTag w:uri="urn:schemas-microsoft-com:office:smarttags" w:element="stockticker">
        <w:r>
          <w:rPr>
            <w:color w:val="auto"/>
          </w:rPr>
          <w:t>DCS</w:t>
        </w:r>
      </w:smartTag>
      <w:r>
        <w:rPr>
          <w:color w:val="auto"/>
        </w:rPr>
        <w:t xml:space="preserve"> and the Argos </w:t>
      </w:r>
      <w:smartTag w:uri="urn:schemas-microsoft-com:office:smarttags" w:element="stockticker">
        <w:r>
          <w:rPr>
            <w:color w:val="auto"/>
          </w:rPr>
          <w:t>DCS</w:t>
        </w:r>
      </w:smartTag>
      <w:r>
        <w:rPr>
          <w:color w:val="auto"/>
        </w:rPr>
        <w:t xml:space="preserve"> are operated to support environmental applications, e.g., meteorology, oceanography, hydrology, ecology, and remote sensing of Earth resources. In addition, the Argos </w:t>
      </w:r>
      <w:smartTag w:uri="urn:schemas-microsoft-com:office:smarttags" w:element="stockticker">
        <w:r>
          <w:rPr>
            <w:color w:val="auto"/>
          </w:rPr>
          <w:t>DCS</w:t>
        </w:r>
      </w:smartTag>
      <w:r>
        <w:rPr>
          <w:color w:val="auto"/>
        </w:rPr>
        <w:t xml:space="preserve"> currently supports applications related to protection of the environment, e.g., hazardous material tracking, fishing vessel tracking for treaty enforcement, and animal tracking.  Presently, the majority of users of these systems are government agencies and researchers and, in fact, much of the data collected by both the GOES </w:t>
      </w:r>
      <w:smartTag w:uri="urn:schemas-microsoft-com:office:smarttags" w:element="stockticker">
        <w:r>
          <w:rPr>
            <w:color w:val="auto"/>
          </w:rPr>
          <w:t>DCS</w:t>
        </w:r>
      </w:smartTag>
      <w:r>
        <w:rPr>
          <w:color w:val="auto"/>
        </w:rPr>
        <w:t xml:space="preserve"> and the Argos </w:t>
      </w:r>
      <w:smartTag w:uri="urn:schemas-microsoft-com:office:smarttags" w:element="stockticker">
        <w:r>
          <w:rPr>
            <w:color w:val="auto"/>
          </w:rPr>
          <w:t>DCS</w:t>
        </w:r>
      </w:smartTag>
      <w:r>
        <w:rPr>
          <w:color w:val="auto"/>
        </w:rPr>
        <w:t xml:space="preserve"> are provided to the World Meteorological Organization via the Global Telecommunication System for inclusion in the World Weather Watch Program.  Current loading on both of the systems does not use the entire capacity of that system, so NOAA is able to make its excess capacity available to other users who meet certain criteria (see Question 2 below).  Accepted applicants use the NOAA </w:t>
      </w:r>
      <w:smartTag w:uri="urn:schemas-microsoft-com:office:smarttags" w:element="stockticker">
        <w:r>
          <w:rPr>
            <w:color w:val="auto"/>
          </w:rPr>
          <w:t>DCS</w:t>
        </w:r>
      </w:smartTag>
      <w:r>
        <w:rPr>
          <w:color w:val="auto"/>
        </w:rPr>
        <w:t xml:space="preserve"> to collect environmental data and in limited cases, non-environmental data via the Argos </w:t>
      </w:r>
      <w:smartTag w:uri="urn:schemas-microsoft-com:office:smarttags" w:element="stockticker">
        <w:r>
          <w:rPr>
            <w:color w:val="auto"/>
          </w:rPr>
          <w:t>DCS</w:t>
        </w:r>
      </w:smartTag>
      <w:r>
        <w:rPr>
          <w:color w:val="auto"/>
        </w:rPr>
        <w:t xml:space="preserve">, to support other governmental and non-governmental research or operational requirements, such as for law enforcement purposes.   </w:t>
      </w:r>
    </w:p>
    <w:p w:rsidRPr="00F35C9B" w:rsidR="004F26E9" w:rsidP="00F35C9B" w:rsidRDefault="007445F8">
      <w:pPr>
        <w:pStyle w:val="Default"/>
        <w:spacing w:after="280"/>
        <w:ind w:right="180"/>
        <w:rPr>
          <w:color w:val="auto"/>
        </w:rPr>
      </w:pPr>
      <w:r>
        <w:rPr>
          <w:color w:val="auto"/>
        </w:rPr>
        <w:t xml:space="preserve">Regulations (15 CFR 911) explain not only the policy for using the GOES </w:t>
      </w:r>
      <w:smartTag w:uri="urn:schemas-microsoft-com:office:smarttags" w:element="stockticker">
        <w:r>
          <w:rPr>
            <w:color w:val="auto"/>
          </w:rPr>
          <w:t>DCS</w:t>
        </w:r>
      </w:smartTag>
      <w:r>
        <w:rPr>
          <w:color w:val="auto"/>
        </w:rPr>
        <w:t xml:space="preserve">, but also how users may use the Argos </w:t>
      </w:r>
      <w:smartTag w:uri="urn:schemas-microsoft-com:office:smarttags" w:element="stockticker">
        <w:r>
          <w:rPr>
            <w:color w:val="auto"/>
          </w:rPr>
          <w:t>DCS</w:t>
        </w:r>
      </w:smartTag>
      <w:r>
        <w:rPr>
          <w:color w:val="auto"/>
        </w:rPr>
        <w:t xml:space="preserve">. These regulations ensure that the Government will not allow its space-based data collection systems to be used where there are commercial services available that fulfill users’ requirements.  The regulations contain the minimum information requirements necessary to determine if a user meets these criteria.  NOAA enters into an agreement with accepted applicants and gives them access to the system.  </w:t>
      </w:r>
    </w:p>
    <w:p w:rsidR="00493868" w:rsidP="00493868" w:rsidRDefault="00493868">
      <w:pPr>
        <w:tabs>
          <w:tab w:val="left" w:pos="540"/>
        </w:tabs>
        <w:ind w:left="540" w:hanging="540"/>
        <w:rPr>
          <w:b/>
          <w:bCs/>
          <w:sz w:val="24"/>
          <w:szCs w:val="24"/>
        </w:rPr>
      </w:pPr>
      <w:r>
        <w:rPr>
          <w:b/>
          <w:bCs/>
          <w:sz w:val="24"/>
          <w:szCs w:val="24"/>
        </w:rPr>
        <w:t>2.</w:t>
      </w: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Explain how, by whom, how frequently, and for what purpos</w:t>
      </w:r>
      <w:r w:rsidR="00F413AC">
        <w:rPr>
          <w:b/>
          <w:bCs/>
          <w:sz w:val="24"/>
          <w:szCs w:val="24"/>
        </w:rPr>
        <w:t>e the information will be used.</w:t>
      </w:r>
    </w:p>
    <w:p w:rsidR="004F26E9" w:rsidP="00493868" w:rsidRDefault="00493868">
      <w:pPr>
        <w:tabs>
          <w:tab w:val="left" w:pos="540"/>
        </w:tabs>
        <w:ind w:left="540" w:hanging="540"/>
        <w:rPr>
          <w:sz w:val="24"/>
          <w:szCs w:val="24"/>
        </w:rPr>
      </w:pP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rsidR="004F26E9" w:rsidP="0020448B" w:rsidRDefault="004F26E9">
      <w:pPr>
        <w:rPr>
          <w:sz w:val="24"/>
          <w:szCs w:val="24"/>
        </w:rPr>
      </w:pPr>
    </w:p>
    <w:p w:rsidR="007445F8" w:rsidP="007445F8" w:rsidRDefault="007445F8">
      <w:pPr>
        <w:pStyle w:val="Default"/>
        <w:rPr>
          <w:color w:val="auto"/>
        </w:rPr>
      </w:pPr>
      <w:r>
        <w:rPr>
          <w:color w:val="auto"/>
        </w:rPr>
        <w:t xml:space="preserve">Applications are made in response to the requirements in </w:t>
      </w:r>
      <w:r w:rsidRPr="00C95B29">
        <w:t>15 CFR 911</w:t>
      </w:r>
      <w:r>
        <w:rPr>
          <w:color w:val="auto"/>
        </w:rPr>
        <w:t xml:space="preserve"> (under the authority of </w:t>
      </w:r>
      <w:r>
        <w:t>15 U.S.</w:t>
      </w:r>
      <w:r w:rsidRPr="00C95B29">
        <w:t>C. 313, Duties of the Secretary of Commerce</w:t>
      </w:r>
      <w:r>
        <w:rPr>
          <w:color w:val="auto"/>
        </w:rPr>
        <w:t xml:space="preserve"> and others), using system use agreement (SUA) forms.  The application information received is used to determine if the applicant meets the criteria for use of the system.  The system use agreements contain the following information: (1) the period of time the agreement is valid and procedures for its termination, (2) the authorized use(s) of the DCS, and its priorities for use, (3) the extent of the availability of </w:t>
      </w:r>
      <w:r>
        <w:rPr>
          <w:color w:val="auto"/>
        </w:rPr>
        <w:lastRenderedPageBreak/>
        <w:t xml:space="preserve">commercial services which met the user's requirements and the reasons for choosing the government system, (4) any applicable government interest in the data, (5) required equipment standards, (6) standards of operation, (7) conformance with applicable International Telecommunication Union (ITU ) and Federal Communications Commission (FCC) agreements and regulations, (8) reporting time and frequencies, (9) data formats, (10) data delivery systems and schedules and (11) user-borne costs.  </w:t>
      </w:r>
    </w:p>
    <w:p w:rsidR="007445F8" w:rsidP="007445F8" w:rsidRDefault="007445F8">
      <w:pPr>
        <w:pStyle w:val="Default"/>
        <w:rPr>
          <w:color w:val="auto"/>
        </w:rPr>
      </w:pPr>
    </w:p>
    <w:p w:rsidR="007445F8" w:rsidP="007445F8" w:rsidRDefault="007445F8">
      <w:pPr>
        <w:pStyle w:val="Default"/>
        <w:rPr>
          <w:color w:val="auto"/>
        </w:rPr>
      </w:pPr>
      <w:r>
        <w:rPr>
          <w:color w:val="auto"/>
        </w:rPr>
        <w:t xml:space="preserve">For both systems, an important prerequisite in reviewing applications for use is that there are no commercial space-based services available which meet the users’ requirements in terms of satellite coverage, accuracy, data throughput, platform power consumption, size and weight, platform compatibility, service continuity and reliability.  The GOES </w:t>
      </w:r>
      <w:smartTag w:uri="urn:schemas-microsoft-com:office:smarttags" w:element="stockticker">
        <w:r>
          <w:rPr>
            <w:color w:val="auto"/>
          </w:rPr>
          <w:t>DCS</w:t>
        </w:r>
      </w:smartTag>
      <w:r>
        <w:rPr>
          <w:color w:val="auto"/>
        </w:rPr>
        <w:t xml:space="preserve"> can be used only for environmental purposes and the user needs to be a government agency or sponsored by one for use, while the Argos </w:t>
      </w:r>
      <w:smartTag w:uri="urn:schemas-microsoft-com:office:smarttags" w:element="stockticker">
        <w:r>
          <w:rPr>
            <w:color w:val="auto"/>
          </w:rPr>
          <w:t>DCS</w:t>
        </w:r>
      </w:smartTag>
      <w:r>
        <w:rPr>
          <w:color w:val="auto"/>
        </w:rPr>
        <w:t xml:space="preserve"> can be used for environmental and some very limited non-environmental purposes.  The non-environmental use of the </w:t>
      </w:r>
      <w:smartTag w:uri="urn:schemas-microsoft-com:office:smarttags" w:element="City">
        <w:smartTag w:uri="urn:schemas-microsoft-com:office:smarttags" w:element="place">
          <w:r>
            <w:rPr>
              <w:color w:val="auto"/>
            </w:rPr>
            <w:t>Argos</w:t>
          </w:r>
        </w:smartTag>
      </w:smartTag>
      <w:r>
        <w:rPr>
          <w:color w:val="auto"/>
        </w:rPr>
        <w:t xml:space="preserve"> system is primarily authorized for government users, for such applications as humanitarian cargo tracking, law enforcement, or national security purposes. For non-governmental, environmental use of the Argos system, a prerequisite has been added that there must be a government interest in the collection of the data.  This prerequisite is similar to, but not the same, as the current GOES </w:t>
      </w:r>
      <w:smartTag w:uri="urn:schemas-microsoft-com:office:smarttags" w:element="stockticker">
        <w:r>
          <w:rPr>
            <w:color w:val="auto"/>
          </w:rPr>
          <w:t>DCS</w:t>
        </w:r>
      </w:smartTag>
      <w:r>
        <w:rPr>
          <w:color w:val="auto"/>
        </w:rPr>
        <w:t xml:space="preserve"> sponsorship requirement. </w:t>
      </w:r>
    </w:p>
    <w:p w:rsidR="007445F8" w:rsidP="007445F8" w:rsidRDefault="007445F8">
      <w:pPr>
        <w:pStyle w:val="Default"/>
        <w:rPr>
          <w:color w:val="auto"/>
        </w:rPr>
      </w:pPr>
    </w:p>
    <w:p w:rsidR="007445F8" w:rsidP="007445F8" w:rsidRDefault="007445F8">
      <w:pPr>
        <w:pStyle w:val="Default"/>
        <w:rPr>
          <w:color w:val="auto"/>
        </w:rPr>
      </w:pPr>
      <w:r>
        <w:rPr>
          <w:color w:val="auto"/>
        </w:rPr>
        <w:t xml:space="preserve">Moreover, only government and non-profit users may be allowed to use the Argos </w:t>
      </w:r>
      <w:smartTag w:uri="urn:schemas-microsoft-com:office:smarttags" w:element="stockticker">
        <w:r>
          <w:rPr>
            <w:color w:val="auto"/>
          </w:rPr>
          <w:t>DCS</w:t>
        </w:r>
      </w:smartTag>
      <w:r>
        <w:rPr>
          <w:color w:val="auto"/>
        </w:rPr>
        <w:t xml:space="preserve"> for non-environmental uses, except in cases where there is a significant possibility of the loss of life. However, at no time will non-environmental use of the Argos </w:t>
      </w:r>
      <w:smartTag w:uri="urn:schemas-microsoft-com:office:smarttags" w:element="stockticker">
        <w:r>
          <w:rPr>
            <w:color w:val="auto"/>
          </w:rPr>
          <w:t>DCS</w:t>
        </w:r>
      </w:smartTag>
      <w:r>
        <w:rPr>
          <w:color w:val="auto"/>
        </w:rPr>
        <w:t xml:space="preserve"> exceed five percent of the system’s total use.  These criteria are necessary because neither system is intended to compete with private sector services. Details concerning the use of the data are also necessary to rank system use.  A standard part of the system use agreement with accepted applicants is that the user must provide free and open access to the data by U.S. Government agencies.    </w:t>
      </w:r>
    </w:p>
    <w:p w:rsidR="007445F8" w:rsidP="007445F8" w:rsidRDefault="007445F8">
      <w:pPr>
        <w:pStyle w:val="CM7"/>
        <w:spacing w:after="0" w:line="280" w:lineRule="atLeast"/>
      </w:pPr>
    </w:p>
    <w:p w:rsidR="007445F8" w:rsidP="007445F8" w:rsidRDefault="007445F8">
      <w:pPr>
        <w:pStyle w:val="CM7"/>
        <w:spacing w:after="0" w:line="280" w:lineRule="atLeast"/>
        <w:rPr>
          <w:rFonts w:ascii="JEOONB+TimesNewRoman" w:hAnsi="JEOONB+TimesNewRoman" w:cs="JEOONB+TimesNewRoman"/>
        </w:rPr>
      </w:pPr>
      <w:r>
        <w:t xml:space="preserve">The GOES </w:t>
      </w:r>
      <w:smartTag w:uri="urn:schemas-microsoft-com:office:smarttags" w:element="stockticker">
        <w:r>
          <w:t>DCS</w:t>
        </w:r>
      </w:smartTag>
      <w:r>
        <w:t xml:space="preserve"> is managed solely by NOAA; while the Argos </w:t>
      </w:r>
      <w:smartTag w:uri="urn:schemas-microsoft-com:office:smarttags" w:element="stockticker">
        <w:r>
          <w:t>DCS</w:t>
        </w:r>
      </w:smartTag>
      <w:r>
        <w:t xml:space="preserve"> is managed cooperatively with the Centre National </w:t>
      </w:r>
      <w:proofErr w:type="spellStart"/>
      <w:r>
        <w:t>d’Etudes</w:t>
      </w:r>
      <w:proofErr w:type="spellEnd"/>
      <w:r>
        <w:t xml:space="preserve"> </w:t>
      </w:r>
      <w:proofErr w:type="spellStart"/>
      <w:r>
        <w:t>Spatiales</w:t>
      </w:r>
      <w:proofErr w:type="spellEnd"/>
      <w:r>
        <w:t xml:space="preserve"> (CNES), the French Space Agency. As a result of the cooperative nature of the Argos </w:t>
      </w:r>
      <w:smartTag w:uri="urn:schemas-microsoft-com:office:smarttags" w:element="stockticker">
        <w:r>
          <w:t>DCS</w:t>
        </w:r>
      </w:smartTag>
      <w:r>
        <w:t xml:space="preserve">, CNES handles more of the daily administration of the system, and thus NOAA does not require the same information from users of the Argos </w:t>
      </w:r>
      <w:smartTag w:uri="urn:schemas-microsoft-com:office:smarttags" w:element="stockticker">
        <w:r>
          <w:t>DCS</w:t>
        </w:r>
      </w:smartTag>
      <w:r>
        <w:t xml:space="preserve"> that it requires from users of the GOES </w:t>
      </w:r>
      <w:smartTag w:uri="urn:schemas-microsoft-com:office:smarttags" w:element="stockticker">
        <w:r>
          <w:t>DCS</w:t>
        </w:r>
      </w:smartTag>
      <w:r>
        <w:t xml:space="preserve">.  </w:t>
      </w:r>
      <w:r>
        <w:rPr>
          <w:rFonts w:ascii="JEOONB+TimesNewRoman" w:hAnsi="JEOONB+TimesNewRoman" w:cs="JEOONB+TimesNewRoman"/>
        </w:rPr>
        <w:t>The system use agreement is under the care of the CNES, and NOAA is responsible for collecting the technical information.</w:t>
      </w:r>
    </w:p>
    <w:p w:rsidRPr="007B37C9" w:rsidR="007445F8" w:rsidP="007445F8" w:rsidRDefault="007445F8"/>
    <w:p w:rsidR="007445F8" w:rsidP="007445F8" w:rsidRDefault="007445F8">
      <w:pPr>
        <w:pStyle w:val="Default"/>
        <w:rPr>
          <w:color w:val="auto"/>
        </w:rPr>
      </w:pPr>
      <w:r>
        <w:rPr>
          <w:color w:val="auto"/>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9">
        <w:r w:rsidRPr="00027FAA">
          <w:rPr>
            <w:rStyle w:val="Hyperlink"/>
          </w:rPr>
          <w:t>Section 515 of Public Law 106-554</w:t>
        </w:r>
      </w:hyperlink>
      <w:r>
        <w:rPr>
          <w:color w:val="auto"/>
        </w:rPr>
        <w:t xml:space="preserve">. </w:t>
      </w:r>
    </w:p>
    <w:p w:rsidR="004F26E9" w:rsidP="0020448B" w:rsidRDefault="004F26E9">
      <w:pPr>
        <w:rPr>
          <w:sz w:val="24"/>
          <w:szCs w:val="24"/>
        </w:rPr>
      </w:pPr>
    </w:p>
    <w:p w:rsidR="004F26E9" w:rsidP="00493868" w:rsidRDefault="00493868">
      <w:pPr>
        <w:tabs>
          <w:tab w:val="left" w:pos="540"/>
        </w:tabs>
        <w:ind w:left="540" w:hanging="540"/>
        <w:rPr>
          <w:sz w:val="24"/>
          <w:szCs w:val="24"/>
        </w:rPr>
      </w:pPr>
      <w:r>
        <w:rPr>
          <w:b/>
          <w:bCs/>
          <w:sz w:val="24"/>
          <w:szCs w:val="24"/>
        </w:rPr>
        <w:t>3.</w:t>
      </w:r>
      <w:r>
        <w:rPr>
          <w:b/>
          <w:bCs/>
          <w:sz w:val="24"/>
          <w:szCs w:val="24"/>
        </w:rPr>
        <w:tab/>
      </w:r>
      <w:r w:rsidRPr="000A0540" w:rsidR="004F26E9">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rsidR="004F26E9" w:rsidP="0020448B" w:rsidRDefault="004F26E9">
      <w:pPr>
        <w:rPr>
          <w:sz w:val="24"/>
          <w:szCs w:val="24"/>
        </w:rPr>
      </w:pPr>
    </w:p>
    <w:p w:rsidRPr="007445F8" w:rsidR="004F26E9" w:rsidP="007445F8" w:rsidRDefault="007445F8">
      <w:pPr>
        <w:pStyle w:val="Default"/>
        <w:spacing w:after="280"/>
        <w:rPr>
          <w:color w:val="auto"/>
        </w:rPr>
      </w:pPr>
      <w:r>
        <w:rPr>
          <w:color w:val="auto"/>
        </w:rPr>
        <w:lastRenderedPageBreak/>
        <w:t>S</w:t>
      </w:r>
      <w:r w:rsidRPr="00976451">
        <w:rPr>
          <w:color w:val="auto"/>
        </w:rPr>
        <w:t xml:space="preserve">ystem use agreements are </w:t>
      </w:r>
      <w:r>
        <w:rPr>
          <w:color w:val="auto"/>
        </w:rPr>
        <w:t xml:space="preserve">submitted and processed via the DCS Administration and Data Distribution System (DADDS): </w:t>
      </w:r>
      <w:hyperlink w:history="1" r:id="rId10">
        <w:r w:rsidRPr="00F61E65">
          <w:rPr>
            <w:rStyle w:val="Hyperlink"/>
          </w:rPr>
          <w:t>https://dcs1.noaa.gov/</w:t>
        </w:r>
      </w:hyperlink>
      <w:r>
        <w:rPr>
          <w:color w:val="auto"/>
        </w:rPr>
        <w:t xml:space="preserve"> </w:t>
      </w:r>
    </w:p>
    <w:p w:rsidR="004F26E9" w:rsidP="00493868" w:rsidRDefault="00493868">
      <w:pPr>
        <w:tabs>
          <w:tab w:val="left" w:pos="540"/>
        </w:tabs>
        <w:ind w:left="540" w:hanging="540"/>
        <w:rPr>
          <w:sz w:val="24"/>
          <w:szCs w:val="24"/>
        </w:rPr>
      </w:pPr>
      <w:r>
        <w:rPr>
          <w:b/>
          <w:bCs/>
          <w:sz w:val="24"/>
          <w:szCs w:val="24"/>
        </w:rPr>
        <w:t>4.</w:t>
      </w:r>
      <w:r>
        <w:rPr>
          <w:b/>
          <w:bCs/>
          <w:sz w:val="24"/>
          <w:szCs w:val="24"/>
        </w:rPr>
        <w:tab/>
      </w:r>
      <w:r w:rsidRPr="000A0540" w:rsidR="004F26E9">
        <w:rPr>
          <w:b/>
          <w:bCs/>
          <w:sz w:val="24"/>
          <w:szCs w:val="24"/>
        </w:rPr>
        <w:t>Describe efforts to identify duplication</w:t>
      </w:r>
      <w:r w:rsidR="004F26E9">
        <w:rPr>
          <w:b/>
          <w:bCs/>
          <w:sz w:val="24"/>
          <w:szCs w:val="24"/>
        </w:rPr>
        <w:t>.</w:t>
      </w:r>
    </w:p>
    <w:p w:rsidR="004F26E9" w:rsidP="0020448B" w:rsidRDefault="004F26E9">
      <w:pPr>
        <w:rPr>
          <w:sz w:val="24"/>
          <w:szCs w:val="24"/>
        </w:rPr>
      </w:pPr>
    </w:p>
    <w:p w:rsidRPr="00F35C9B" w:rsidR="004F26E9" w:rsidP="00F35C9B" w:rsidRDefault="007445F8">
      <w:pPr>
        <w:pStyle w:val="Default"/>
        <w:spacing w:after="280"/>
        <w:rPr>
          <w:color w:val="auto"/>
        </w:rPr>
      </w:pPr>
      <w:r>
        <w:rPr>
          <w:color w:val="auto"/>
        </w:rPr>
        <w:t xml:space="preserve">The information collected relates to a unique benefit and no duplication has been identified.  </w:t>
      </w:r>
    </w:p>
    <w:p w:rsidR="004F26E9" w:rsidP="00493868" w:rsidRDefault="00493868">
      <w:pPr>
        <w:tabs>
          <w:tab w:val="left" w:pos="540"/>
        </w:tabs>
        <w:ind w:left="540" w:hanging="540"/>
        <w:rPr>
          <w:sz w:val="24"/>
          <w:szCs w:val="24"/>
        </w:rPr>
      </w:pPr>
      <w:r>
        <w:rPr>
          <w:b/>
          <w:bCs/>
          <w:sz w:val="24"/>
          <w:szCs w:val="24"/>
        </w:rPr>
        <w:t>5.</w:t>
      </w:r>
      <w:r>
        <w:rPr>
          <w:b/>
          <w:bCs/>
          <w:sz w:val="24"/>
          <w:szCs w:val="24"/>
        </w:rPr>
        <w:tab/>
      </w:r>
      <w:r w:rsidRPr="000A0540" w:rsidR="004F26E9">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004F26E9" w:rsidP="0020448B" w:rsidRDefault="004F26E9">
      <w:pPr>
        <w:rPr>
          <w:sz w:val="24"/>
          <w:szCs w:val="24"/>
        </w:rPr>
      </w:pPr>
    </w:p>
    <w:p w:rsidRPr="007445F8" w:rsidR="004F26E9" w:rsidP="007445F8" w:rsidRDefault="007445F8">
      <w:pPr>
        <w:pStyle w:val="Default"/>
        <w:spacing w:after="280"/>
        <w:ind w:right="180"/>
        <w:rPr>
          <w:color w:val="auto"/>
        </w:rPr>
      </w:pPr>
      <w:r>
        <w:rPr>
          <w:color w:val="auto"/>
        </w:rPr>
        <w:t xml:space="preserve">While small businesses may be respondents, the collection would not have any significant impact upon them and the information requested is the minimum needed to make the necessary determinations.  </w:t>
      </w:r>
    </w:p>
    <w:p w:rsidR="004F26E9" w:rsidP="00493868" w:rsidRDefault="00493868">
      <w:pPr>
        <w:tabs>
          <w:tab w:val="left" w:pos="540"/>
        </w:tabs>
        <w:ind w:left="540" w:hanging="540"/>
        <w:rPr>
          <w:sz w:val="24"/>
          <w:szCs w:val="24"/>
        </w:rPr>
      </w:pPr>
      <w:r>
        <w:rPr>
          <w:b/>
          <w:bCs/>
          <w:sz w:val="24"/>
          <w:szCs w:val="24"/>
        </w:rPr>
        <w:t>6.</w:t>
      </w:r>
      <w:r>
        <w:rPr>
          <w:b/>
          <w:bCs/>
          <w:sz w:val="24"/>
          <w:szCs w:val="24"/>
        </w:rPr>
        <w:tab/>
      </w:r>
      <w:r w:rsidRPr="000A0540" w:rsidR="004F26E9">
        <w:rPr>
          <w:b/>
          <w:bCs/>
          <w:sz w:val="24"/>
          <w:szCs w:val="24"/>
        </w:rPr>
        <w:t>Describe the consequences to the Federal program or policy activities if the collection is not conducted or is conducted less frequently</w:t>
      </w:r>
      <w:r w:rsidR="004F26E9">
        <w:rPr>
          <w:b/>
          <w:bCs/>
          <w:sz w:val="24"/>
          <w:szCs w:val="24"/>
        </w:rPr>
        <w:t>.</w:t>
      </w:r>
      <w:r w:rsidR="004F26E9">
        <w:rPr>
          <w:sz w:val="24"/>
          <w:szCs w:val="24"/>
        </w:rPr>
        <w:t xml:space="preserve"> </w:t>
      </w:r>
    </w:p>
    <w:p w:rsidR="004F26E9" w:rsidP="0020448B" w:rsidRDefault="004F26E9">
      <w:pPr>
        <w:rPr>
          <w:sz w:val="24"/>
          <w:szCs w:val="24"/>
        </w:rPr>
      </w:pPr>
    </w:p>
    <w:p w:rsidRPr="007445F8" w:rsidR="004F26E9" w:rsidP="007445F8" w:rsidRDefault="007445F8">
      <w:pPr>
        <w:pStyle w:val="Default"/>
        <w:spacing w:after="280"/>
        <w:rPr>
          <w:color w:val="auto"/>
        </w:rPr>
      </w:pPr>
      <w:r>
        <w:rPr>
          <w:color w:val="auto"/>
        </w:rPr>
        <w:t xml:space="preserve">If the collection was not conducted, NOAA could not allow potential users access to the system, which would be to the detriment of those potential users and the government agency using their data or services. The term of system use agreements for use of the GOES </w:t>
      </w:r>
      <w:smartTag w:uri="urn:schemas-microsoft-com:office:smarttags" w:element="stockticker">
        <w:r>
          <w:rPr>
            <w:color w:val="auto"/>
          </w:rPr>
          <w:t>DCS</w:t>
        </w:r>
      </w:smartTag>
      <w:r>
        <w:rPr>
          <w:color w:val="auto"/>
        </w:rPr>
        <w:t xml:space="preserve"> is five years; for use of the Argos </w:t>
      </w:r>
      <w:smartTag w:uri="urn:schemas-microsoft-com:office:smarttags" w:element="stockticker">
        <w:r>
          <w:rPr>
            <w:color w:val="auto"/>
          </w:rPr>
          <w:t>DCS</w:t>
        </w:r>
      </w:smartTag>
      <w:r>
        <w:rPr>
          <w:color w:val="auto"/>
        </w:rPr>
        <w:t xml:space="preserve"> the term is one or three years (depending on type of organization and application).  These terms are necessary to ensure that users will periodically canvass the marketplace to determine whether commercial services have developed the capabilities to meet their requirements.  </w:t>
      </w:r>
    </w:p>
    <w:p w:rsidR="004F26E9" w:rsidP="00493868" w:rsidRDefault="00493868">
      <w:pPr>
        <w:tabs>
          <w:tab w:val="left" w:pos="540"/>
        </w:tabs>
        <w:ind w:left="540" w:hanging="540"/>
        <w:rPr>
          <w:sz w:val="24"/>
          <w:szCs w:val="24"/>
        </w:rPr>
      </w:pPr>
      <w:r>
        <w:rPr>
          <w:b/>
          <w:bCs/>
          <w:sz w:val="24"/>
          <w:szCs w:val="24"/>
        </w:rPr>
        <w:t>7.</w:t>
      </w:r>
      <w:r>
        <w:rPr>
          <w:b/>
          <w:bCs/>
          <w:sz w:val="24"/>
          <w:szCs w:val="24"/>
        </w:rPr>
        <w:tab/>
      </w:r>
      <w:r w:rsidRPr="000A0540" w:rsidR="004F26E9">
        <w:rPr>
          <w:b/>
          <w:bCs/>
          <w:sz w:val="24"/>
          <w:szCs w:val="24"/>
        </w:rPr>
        <w:t>Explain any special circumstances that require the collection to be conducted in a manner inconsistent with OMB guidelines.</w:t>
      </w:r>
      <w:r w:rsidR="004F26E9">
        <w:rPr>
          <w:b/>
          <w:bCs/>
          <w:sz w:val="24"/>
          <w:szCs w:val="24"/>
        </w:rPr>
        <w:t xml:space="preserve"> </w:t>
      </w:r>
    </w:p>
    <w:p w:rsidR="004F26E9" w:rsidP="00CD5390" w:rsidRDefault="004F26E9">
      <w:pPr>
        <w:rPr>
          <w:sz w:val="24"/>
          <w:szCs w:val="24"/>
        </w:rPr>
      </w:pPr>
    </w:p>
    <w:p w:rsidRPr="007445F8" w:rsidR="00725C5C" w:rsidP="007445F8" w:rsidRDefault="007445F8">
      <w:pPr>
        <w:pStyle w:val="Default"/>
        <w:spacing w:after="280"/>
        <w:rPr>
          <w:color w:val="auto"/>
        </w:rPr>
      </w:pPr>
      <w:r>
        <w:rPr>
          <w:color w:val="auto"/>
        </w:rPr>
        <w:t xml:space="preserve">The collection is consistent with the OMB guidelines.  </w:t>
      </w:r>
    </w:p>
    <w:p w:rsidR="004F26E9" w:rsidP="009B07A7" w:rsidRDefault="00493868">
      <w:pPr>
        <w:tabs>
          <w:tab w:val="left" w:pos="540"/>
        </w:tabs>
        <w:ind w:left="540" w:hanging="540"/>
        <w:rPr>
          <w:b/>
          <w:bCs/>
          <w:sz w:val="24"/>
          <w:szCs w:val="24"/>
        </w:rPr>
      </w:pPr>
      <w:r>
        <w:rPr>
          <w:b/>
          <w:bCs/>
          <w:sz w:val="24"/>
          <w:szCs w:val="24"/>
        </w:rPr>
        <w:t>8.</w:t>
      </w:r>
      <w:r>
        <w:rPr>
          <w:b/>
          <w:bCs/>
          <w:sz w:val="24"/>
          <w:szCs w:val="24"/>
        </w:rPr>
        <w:tab/>
      </w:r>
      <w:r w:rsidRPr="009B07A7" w:rsidR="009B07A7">
        <w:rPr>
          <w:b/>
          <w:bCs/>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B07A7" w:rsidP="009B07A7" w:rsidRDefault="009B07A7">
      <w:pPr>
        <w:tabs>
          <w:tab w:val="left" w:pos="540"/>
        </w:tabs>
        <w:ind w:left="540" w:hanging="540"/>
        <w:rPr>
          <w:sz w:val="24"/>
          <w:szCs w:val="24"/>
        </w:rPr>
      </w:pPr>
    </w:p>
    <w:p w:rsidR="004F26E9" w:rsidP="00CD5390" w:rsidRDefault="001E6F72">
      <w:pPr>
        <w:rPr>
          <w:sz w:val="24"/>
          <w:szCs w:val="24"/>
        </w:rPr>
      </w:pPr>
      <w:r w:rsidRPr="00F35C9B">
        <w:rPr>
          <w:sz w:val="24"/>
          <w:szCs w:val="24"/>
        </w:rPr>
        <w:t>A Federal Register Notice published on</w:t>
      </w:r>
      <w:r w:rsidRPr="00F35C9B" w:rsidR="00F35C9B">
        <w:rPr>
          <w:sz w:val="24"/>
          <w:szCs w:val="24"/>
        </w:rPr>
        <w:t xml:space="preserve"> February 10</w:t>
      </w:r>
      <w:r w:rsidRPr="00F35C9B">
        <w:rPr>
          <w:sz w:val="24"/>
          <w:szCs w:val="24"/>
        </w:rPr>
        <w:t>, 20</w:t>
      </w:r>
      <w:r w:rsidRPr="00F35C9B" w:rsidR="007445F8">
        <w:rPr>
          <w:sz w:val="24"/>
          <w:szCs w:val="24"/>
        </w:rPr>
        <w:t>20</w:t>
      </w:r>
      <w:r w:rsidRPr="00F35C9B">
        <w:rPr>
          <w:sz w:val="24"/>
          <w:szCs w:val="24"/>
        </w:rPr>
        <w:t xml:space="preserve"> (</w:t>
      </w:r>
      <w:r w:rsidRPr="00F35C9B" w:rsidR="00F35C9B">
        <w:rPr>
          <w:sz w:val="24"/>
          <w:szCs w:val="24"/>
        </w:rPr>
        <w:t>85 FR 7536</w:t>
      </w:r>
      <w:r w:rsidRPr="00F35C9B">
        <w:rPr>
          <w:sz w:val="24"/>
          <w:szCs w:val="24"/>
        </w:rPr>
        <w:t xml:space="preserve">) solicited public comments. </w:t>
      </w:r>
      <w:r w:rsidRPr="00F35C9B" w:rsidR="00F35C9B">
        <w:rPr>
          <w:sz w:val="24"/>
          <w:szCs w:val="24"/>
        </w:rPr>
        <w:t>No comments were received.</w:t>
      </w:r>
    </w:p>
    <w:p w:rsidR="004F26E9" w:rsidP="00CD5390" w:rsidRDefault="004F26E9">
      <w:pPr>
        <w:rPr>
          <w:sz w:val="24"/>
          <w:szCs w:val="24"/>
        </w:rPr>
      </w:pPr>
    </w:p>
    <w:p w:rsidR="007445F8" w:rsidP="007445F8" w:rsidRDefault="007445F8">
      <w:pPr>
        <w:pStyle w:val="Default"/>
        <w:ind w:right="340"/>
        <w:rPr>
          <w:color w:val="auto"/>
        </w:rPr>
      </w:pPr>
      <w:r>
        <w:rPr>
          <w:color w:val="auto"/>
        </w:rPr>
        <w:t>The program managers for the GOES and Argos DCS consult with users at annual meeting</w:t>
      </w:r>
      <w:r w:rsidR="00E73216">
        <w:rPr>
          <w:color w:val="auto"/>
        </w:rPr>
        <w:t>s and user conferences.  N</w:t>
      </w:r>
      <w:r>
        <w:rPr>
          <w:color w:val="auto"/>
        </w:rPr>
        <w:t xml:space="preserve">o changes have been made to our procedures or systems since </w:t>
      </w:r>
      <w:r w:rsidR="00E73216">
        <w:rPr>
          <w:color w:val="auto"/>
        </w:rPr>
        <w:t>2017.</w:t>
      </w:r>
    </w:p>
    <w:p w:rsidR="00493868" w:rsidP="00CD5390" w:rsidRDefault="00493868">
      <w:pPr>
        <w:rPr>
          <w:sz w:val="24"/>
          <w:szCs w:val="24"/>
        </w:rPr>
      </w:pPr>
    </w:p>
    <w:p w:rsidR="004F26E9" w:rsidP="00493868" w:rsidRDefault="00493868">
      <w:pPr>
        <w:tabs>
          <w:tab w:val="left" w:pos="540"/>
        </w:tabs>
        <w:ind w:left="540" w:hanging="540"/>
        <w:rPr>
          <w:sz w:val="24"/>
          <w:szCs w:val="24"/>
        </w:rPr>
      </w:pPr>
      <w:r>
        <w:rPr>
          <w:b/>
          <w:bCs/>
          <w:sz w:val="24"/>
          <w:szCs w:val="24"/>
        </w:rPr>
        <w:lastRenderedPageBreak/>
        <w:t>9.</w:t>
      </w:r>
      <w:r>
        <w:rPr>
          <w:b/>
          <w:bCs/>
          <w:sz w:val="24"/>
          <w:szCs w:val="24"/>
        </w:rPr>
        <w:tab/>
      </w:r>
      <w:r w:rsidRPr="000A0540" w:rsidR="004F26E9">
        <w:rPr>
          <w:b/>
          <w:bCs/>
          <w:sz w:val="24"/>
          <w:szCs w:val="24"/>
        </w:rPr>
        <w:t>Explain any decisions to provide payments or gifts to respondents, other than remuneration of contractors or grantees.</w:t>
      </w:r>
    </w:p>
    <w:p w:rsidR="004F26E9" w:rsidP="00CD5390" w:rsidRDefault="004F26E9">
      <w:pPr>
        <w:rPr>
          <w:sz w:val="24"/>
          <w:szCs w:val="24"/>
        </w:rPr>
      </w:pPr>
    </w:p>
    <w:p w:rsidRPr="00E73216" w:rsidR="004F26E9" w:rsidP="00E73216" w:rsidRDefault="00E73216">
      <w:pPr>
        <w:pStyle w:val="Default"/>
        <w:spacing w:after="280"/>
        <w:rPr>
          <w:color w:val="auto"/>
        </w:rPr>
      </w:pPr>
      <w:r>
        <w:rPr>
          <w:color w:val="auto"/>
        </w:rPr>
        <w:t xml:space="preserve">No payments or gifts are made to respondents.  </w:t>
      </w:r>
    </w:p>
    <w:p w:rsidR="004F26E9" w:rsidP="00493868" w:rsidRDefault="00493868">
      <w:pPr>
        <w:tabs>
          <w:tab w:val="left" w:pos="540"/>
        </w:tabs>
        <w:ind w:left="540" w:hanging="540"/>
        <w:rPr>
          <w:sz w:val="24"/>
          <w:szCs w:val="24"/>
        </w:rPr>
      </w:pPr>
      <w:r>
        <w:rPr>
          <w:b/>
          <w:bCs/>
          <w:sz w:val="24"/>
          <w:szCs w:val="24"/>
        </w:rPr>
        <w:t>10.</w:t>
      </w:r>
      <w:r>
        <w:rPr>
          <w:b/>
          <w:bCs/>
          <w:sz w:val="24"/>
          <w:szCs w:val="24"/>
        </w:rPr>
        <w:tab/>
      </w:r>
      <w:r w:rsidRPr="000A0540" w:rsidR="004F26E9">
        <w:rPr>
          <w:b/>
          <w:bCs/>
          <w:sz w:val="24"/>
          <w:szCs w:val="24"/>
        </w:rPr>
        <w:t>Describe any assurance of confidentiality provided to respondents and the basis for assurance in statute, regulation, or agency policy.</w:t>
      </w:r>
    </w:p>
    <w:p w:rsidR="004F26E9" w:rsidP="00CD5390" w:rsidRDefault="004F26E9">
      <w:pPr>
        <w:rPr>
          <w:sz w:val="24"/>
          <w:szCs w:val="24"/>
        </w:rPr>
      </w:pPr>
    </w:p>
    <w:p w:rsidRPr="00E73216" w:rsidR="004F26E9" w:rsidP="00E73216" w:rsidRDefault="00E73216">
      <w:pPr>
        <w:pStyle w:val="Default"/>
        <w:spacing w:after="280"/>
        <w:rPr>
          <w:color w:val="auto"/>
        </w:rPr>
      </w:pPr>
      <w:r>
        <w:rPr>
          <w:color w:val="auto"/>
        </w:rPr>
        <w:t xml:space="preserve">No confidentiality is promised or provided.   </w:t>
      </w:r>
    </w:p>
    <w:p w:rsidR="004F26E9" w:rsidP="00493868" w:rsidRDefault="00493868">
      <w:pPr>
        <w:tabs>
          <w:tab w:val="left" w:pos="540"/>
        </w:tabs>
        <w:ind w:left="540" w:hanging="540"/>
        <w:rPr>
          <w:sz w:val="24"/>
          <w:szCs w:val="24"/>
        </w:rPr>
      </w:pPr>
      <w:r>
        <w:rPr>
          <w:b/>
          <w:bCs/>
          <w:sz w:val="24"/>
          <w:szCs w:val="24"/>
        </w:rPr>
        <w:t>11.</w:t>
      </w:r>
      <w:r>
        <w:rPr>
          <w:b/>
          <w:bCs/>
          <w:sz w:val="24"/>
          <w:szCs w:val="24"/>
        </w:rPr>
        <w:tab/>
      </w:r>
      <w:r w:rsidRPr="000A0540" w:rsidR="004F26E9">
        <w:rPr>
          <w:b/>
          <w:bCs/>
          <w:sz w:val="24"/>
          <w:szCs w:val="24"/>
        </w:rPr>
        <w:t>Provide additional justification for any questions of a sensitive nature, such as sexual behavior and attitudes, religious beliefs, and other matters that are commonly considered private</w:t>
      </w:r>
      <w:r w:rsidR="004F26E9">
        <w:rPr>
          <w:b/>
          <w:bCs/>
          <w:sz w:val="24"/>
          <w:szCs w:val="24"/>
        </w:rPr>
        <w:t>.</w:t>
      </w:r>
    </w:p>
    <w:p w:rsidR="004F26E9" w:rsidP="00CD5390" w:rsidRDefault="004F26E9">
      <w:pPr>
        <w:rPr>
          <w:sz w:val="24"/>
          <w:szCs w:val="24"/>
        </w:rPr>
      </w:pPr>
    </w:p>
    <w:p w:rsidR="00E73216" w:rsidP="00E73216" w:rsidRDefault="00E73216">
      <w:pPr>
        <w:pStyle w:val="Default"/>
        <w:spacing w:after="280"/>
        <w:rPr>
          <w:color w:val="auto"/>
        </w:rPr>
      </w:pPr>
      <w:r>
        <w:rPr>
          <w:color w:val="auto"/>
        </w:rPr>
        <w:t xml:space="preserve">No sensitive questions are asked.  </w:t>
      </w:r>
    </w:p>
    <w:p w:rsidR="004F26E9" w:rsidP="00CD5390" w:rsidRDefault="004F26E9">
      <w:pPr>
        <w:rPr>
          <w:sz w:val="24"/>
          <w:szCs w:val="24"/>
        </w:rPr>
      </w:pPr>
    </w:p>
    <w:p w:rsidR="004F26E9" w:rsidP="00CD5390" w:rsidRDefault="004F26E9">
      <w:pPr>
        <w:rPr>
          <w:sz w:val="24"/>
          <w:szCs w:val="24"/>
        </w:rPr>
      </w:pPr>
    </w:p>
    <w:p w:rsidR="00CA2B37" w:rsidP="00CD5390" w:rsidRDefault="00CA2B3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004F26E9" w:rsidP="00493868" w:rsidRDefault="00493868">
      <w:pPr>
        <w:tabs>
          <w:tab w:val="left" w:pos="540"/>
        </w:tabs>
        <w:ind w:left="540" w:hanging="540"/>
        <w:rPr>
          <w:b/>
          <w:bCs/>
          <w:sz w:val="24"/>
          <w:szCs w:val="24"/>
        </w:rPr>
      </w:pPr>
      <w:r>
        <w:rPr>
          <w:b/>
          <w:bCs/>
          <w:sz w:val="24"/>
          <w:szCs w:val="24"/>
        </w:rPr>
        <w:lastRenderedPageBreak/>
        <w:t>12.</w:t>
      </w:r>
      <w:r>
        <w:rPr>
          <w:b/>
          <w:bCs/>
          <w:sz w:val="24"/>
          <w:szCs w:val="24"/>
        </w:rPr>
        <w:tab/>
      </w:r>
      <w:r w:rsidRPr="000A0540" w:rsidR="004F26E9">
        <w:rPr>
          <w:b/>
          <w:bCs/>
          <w:sz w:val="24"/>
          <w:szCs w:val="24"/>
        </w:rPr>
        <w:t>Provide an estimate in hours of the burden of the collection of information</w:t>
      </w:r>
      <w:r w:rsidR="004F26E9">
        <w:rPr>
          <w:b/>
          <w:bCs/>
          <w:sz w:val="24"/>
          <w:szCs w:val="24"/>
        </w:rPr>
        <w:t>.</w:t>
      </w:r>
      <w:r w:rsidR="00557696">
        <w:rPr>
          <w:b/>
          <w:bCs/>
          <w:sz w:val="24"/>
          <w:szCs w:val="24"/>
        </w:rPr>
        <w:t xml:space="preserve">  (add rows as necessary)</w:t>
      </w:r>
    </w:p>
    <w:p w:rsidR="00580714" w:rsidP="00580714" w:rsidRDefault="00D9308B">
      <w:pPr>
        <w:rPr>
          <w:sz w:val="24"/>
          <w:szCs w:val="24"/>
        </w:rPr>
      </w:pPr>
      <w:r>
        <w:rPr>
          <w:b/>
          <w:bCs/>
          <w:sz w:val="24"/>
          <w:szCs w:val="24"/>
        </w:rPr>
        <w:t>For wage costs:  u</w:t>
      </w:r>
      <w:r w:rsidR="00580714">
        <w:rPr>
          <w:b/>
          <w:bCs/>
          <w:sz w:val="24"/>
          <w:szCs w:val="24"/>
        </w:rPr>
        <w:t xml:space="preserve">se </w:t>
      </w:r>
      <w:hyperlink w:history="1" r:id="rId11">
        <w:r w:rsidRPr="00EA7B5B" w:rsidR="00580714">
          <w:rPr>
            <w:rStyle w:val="Hyperlink"/>
            <w:b/>
            <w:bCs/>
            <w:sz w:val="24"/>
            <w:szCs w:val="24"/>
          </w:rPr>
          <w:t>www.bls.gov/oes</w:t>
        </w:r>
      </w:hyperlink>
      <w:r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Pr>
          <w:b/>
          <w:bCs/>
          <w:sz w:val="24"/>
          <w:szCs w:val="24"/>
        </w:rPr>
        <w:t xml:space="preserve"> and use the Mean hourly wage.</w:t>
      </w:r>
      <w:r w:rsidR="00580714">
        <w:rPr>
          <w:b/>
          <w:bCs/>
          <w:sz w:val="24"/>
          <w:szCs w:val="24"/>
        </w:rPr>
        <w:t xml:space="preserve">  </w:t>
      </w:r>
    </w:p>
    <w:p w:rsidR="004F26E9" w:rsidP="00CA2B37" w:rsidRDefault="004F26E9">
      <w:pPr>
        <w:ind w:left="-360"/>
        <w:rPr>
          <w:sz w:val="24"/>
          <w:szCs w:val="24"/>
        </w:rPr>
      </w:pPr>
    </w:p>
    <w:tbl>
      <w:tblPr>
        <w:tblW w:w="14066" w:type="dxa"/>
        <w:tblLook w:val="04A0" w:firstRow="1" w:lastRow="0" w:firstColumn="1" w:lastColumn="0" w:noHBand="0" w:noVBand="1"/>
      </w:tblPr>
      <w:tblGrid>
        <w:gridCol w:w="3680"/>
        <w:gridCol w:w="1710"/>
        <w:gridCol w:w="1188"/>
        <w:gridCol w:w="1152"/>
        <w:gridCol w:w="1260"/>
        <w:gridCol w:w="1206"/>
        <w:gridCol w:w="1170"/>
        <w:gridCol w:w="1350"/>
        <w:gridCol w:w="1350"/>
      </w:tblGrid>
      <w:tr w:rsidRPr="000D49BA" w:rsidR="000D49BA" w:rsidTr="00AB643A">
        <w:trPr>
          <w:trHeight w:val="1140"/>
        </w:trPr>
        <w:tc>
          <w:tcPr>
            <w:tcW w:w="368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F160E2" w:rsidP="00CA2B37"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F160E2"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F160E2"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206"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p w:rsidRPr="00CA2B37" w:rsidR="00F160E2" w:rsidP="00CA2B37"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F160E2"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p w:rsidRPr="00CA2B37" w:rsidR="00F160E2" w:rsidP="00F160E2"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D9308B">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p w:rsidRPr="00CA2B37" w:rsidR="00F160E2" w:rsidP="00CA2B37"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CA2B37"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CA2B3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E73216">
              <w:rPr>
                <w:rFonts w:ascii="Calibri" w:hAnsi="Calibri" w:cs="Calibri"/>
                <w:color w:val="000000"/>
                <w:sz w:val="16"/>
                <w:szCs w:val="16"/>
              </w:rPr>
              <w:t>GOES DCS</w:t>
            </w:r>
          </w:p>
        </w:tc>
        <w:tc>
          <w:tcPr>
            <w:tcW w:w="171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E7321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Physical Scientist</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E732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w:t>
            </w:r>
            <w:r w:rsidRPr="00CA2B37" w:rsidR="00CA2B37">
              <w:rPr>
                <w:rFonts w:ascii="Calibri" w:hAnsi="Calibri" w:cs="Calibri"/>
                <w:color w:val="000000"/>
                <w:sz w:val="16"/>
                <w:szCs w:val="16"/>
              </w:rPr>
              <w:t> </w:t>
            </w:r>
          </w:p>
        </w:tc>
        <w:tc>
          <w:tcPr>
            <w:tcW w:w="1152"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E732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E732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w:t>
            </w:r>
          </w:p>
        </w:tc>
        <w:tc>
          <w:tcPr>
            <w:tcW w:w="1206"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E732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E732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37.5</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E732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$43.49</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CA2B37" w:rsidRDefault="00E732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ED1E01">
              <w:rPr>
                <w:rFonts w:ascii="Calibri" w:hAnsi="Calibri" w:cs="Calibri"/>
                <w:color w:val="000000"/>
                <w:sz w:val="16"/>
                <w:szCs w:val="16"/>
              </w:rPr>
              <w:t>1631</w:t>
            </w:r>
          </w:p>
        </w:tc>
      </w:tr>
      <w:tr w:rsidRPr="00CA2B37" w:rsidR="00CA2B37"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E73216">
            <w:pPr>
              <w:widowControl/>
              <w:autoSpaceDE/>
              <w:autoSpaceDN/>
              <w:adjustRightInd/>
              <w:rPr>
                <w:rFonts w:ascii="Calibri" w:hAnsi="Calibri" w:cs="Calibri"/>
                <w:color w:val="000000"/>
                <w:sz w:val="16"/>
                <w:szCs w:val="16"/>
              </w:rPr>
            </w:pPr>
            <w:r>
              <w:rPr>
                <w:rFonts w:ascii="Calibri" w:hAnsi="Calibri" w:cs="Calibri"/>
                <w:color w:val="000000"/>
                <w:sz w:val="16"/>
                <w:szCs w:val="16"/>
              </w:rPr>
              <w:t>Argos DCS</w:t>
            </w:r>
          </w:p>
        </w:tc>
        <w:tc>
          <w:tcPr>
            <w:tcW w:w="171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E7321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Physical Scientist</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E732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152"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E732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E732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206"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E732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E732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E732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$43.49</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CA2B37" w:rsidRDefault="00E732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ED1E01">
              <w:rPr>
                <w:rFonts w:ascii="Calibri" w:hAnsi="Calibri" w:cs="Calibri"/>
                <w:color w:val="000000"/>
                <w:sz w:val="16"/>
                <w:szCs w:val="16"/>
              </w:rPr>
              <w:t>3262</w:t>
            </w:r>
          </w:p>
        </w:tc>
      </w:tr>
      <w:tr w:rsidRPr="00CA2B37" w:rsidR="00CA2B37" w:rsidTr="00AB643A">
        <w:trPr>
          <w:trHeight w:val="315"/>
        </w:trPr>
        <w:tc>
          <w:tcPr>
            <w:tcW w:w="368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1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52"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color="auto" w:sz="8" w:space="0"/>
              <w:right w:val="single" w:color="auto" w:sz="8" w:space="0"/>
            </w:tcBorders>
            <w:shd w:val="clear" w:color="000000" w:fill="BDD7EE"/>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E73216">
              <w:rPr>
                <w:rFonts w:ascii="Calibri" w:hAnsi="Calibri" w:cs="Calibri"/>
                <w:b/>
                <w:bCs/>
                <w:color w:val="000000"/>
                <w:sz w:val="22"/>
                <w:szCs w:val="22"/>
              </w:rPr>
              <w:t>225</w:t>
            </w:r>
          </w:p>
        </w:tc>
        <w:tc>
          <w:tcPr>
            <w:tcW w:w="1206"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CA2B37" w:rsidR="00CA2B37" w:rsidP="00CA2B37" w:rsidRDefault="00E73216">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112.5</w:t>
            </w:r>
          </w:p>
        </w:tc>
        <w:tc>
          <w:tcPr>
            <w:tcW w:w="135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50" w:type="dxa"/>
            <w:tcBorders>
              <w:top w:val="nil"/>
              <w:left w:val="nil"/>
              <w:bottom w:val="single" w:color="auto" w:sz="8" w:space="0"/>
              <w:right w:val="single" w:color="auto" w:sz="8" w:space="0"/>
            </w:tcBorders>
            <w:shd w:val="clear" w:color="000000" w:fill="BDD7EE"/>
            <w:noWrap/>
            <w:vAlign w:val="bottom"/>
            <w:hideMark/>
          </w:tcPr>
          <w:p w:rsidRPr="00CA2B37" w:rsidR="00E73216" w:rsidP="00CA2B37" w:rsidRDefault="00E73216">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w:t>
            </w:r>
            <w:r w:rsidR="00ED1E01">
              <w:rPr>
                <w:rFonts w:ascii="Calibri" w:hAnsi="Calibri" w:cs="Calibri"/>
                <w:b/>
                <w:bCs/>
                <w:color w:val="000000"/>
                <w:sz w:val="22"/>
                <w:szCs w:val="22"/>
              </w:rPr>
              <w:t>4</w:t>
            </w:r>
            <w:r w:rsidR="00C00491">
              <w:rPr>
                <w:rFonts w:ascii="Calibri" w:hAnsi="Calibri" w:cs="Calibri"/>
                <w:b/>
                <w:bCs/>
                <w:color w:val="000000"/>
                <w:sz w:val="22"/>
                <w:szCs w:val="22"/>
              </w:rPr>
              <w:t>,</w:t>
            </w:r>
            <w:r w:rsidR="00ED1E01">
              <w:rPr>
                <w:rFonts w:ascii="Calibri" w:hAnsi="Calibri" w:cs="Calibri"/>
                <w:b/>
                <w:bCs/>
                <w:color w:val="000000"/>
                <w:sz w:val="22"/>
                <w:szCs w:val="22"/>
              </w:rPr>
              <w:t>893</w:t>
            </w:r>
          </w:p>
        </w:tc>
      </w:tr>
    </w:tbl>
    <w:p w:rsidR="00CA2B37" w:rsidP="00CA2B37" w:rsidRDefault="00CA2B37">
      <w:pPr>
        <w:ind w:left="-360"/>
        <w:rPr>
          <w:sz w:val="24"/>
          <w:szCs w:val="24"/>
        </w:rPr>
      </w:pPr>
    </w:p>
    <w:p w:rsidR="004F26E9" w:rsidP="00CA2B37" w:rsidRDefault="004F26E9">
      <w:pPr>
        <w:ind w:left="-360"/>
        <w:rPr>
          <w:sz w:val="24"/>
          <w:szCs w:val="24"/>
        </w:rPr>
      </w:pPr>
    </w:p>
    <w:p w:rsidR="00CA2B37" w:rsidP="00CA2B37" w:rsidRDefault="00CA2B37">
      <w:pPr>
        <w:ind w:left="-360"/>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493868" w:rsidRDefault="00493868">
      <w:pPr>
        <w:tabs>
          <w:tab w:val="left" w:pos="540"/>
        </w:tabs>
        <w:ind w:left="540" w:hanging="540"/>
        <w:rPr>
          <w:sz w:val="24"/>
          <w:szCs w:val="24"/>
        </w:rPr>
      </w:pPr>
      <w:r>
        <w:rPr>
          <w:b/>
          <w:bCs/>
          <w:sz w:val="24"/>
          <w:szCs w:val="24"/>
        </w:rPr>
        <w:lastRenderedPageBreak/>
        <w:t>13.</w:t>
      </w:r>
      <w:r>
        <w:rPr>
          <w:b/>
          <w:bCs/>
          <w:sz w:val="24"/>
          <w:szCs w:val="24"/>
        </w:rPr>
        <w:tab/>
      </w:r>
      <w:r w:rsidRPr="000A0540" w:rsidR="004F26E9">
        <w:rPr>
          <w:b/>
          <w:bCs/>
          <w:sz w:val="24"/>
          <w:szCs w:val="24"/>
        </w:rPr>
        <w:t xml:space="preserve">Provide an estimate of the total annual cost burden to the respondents or record-keepers resulting from the collection (excluding the value of the burden hours in </w:t>
      </w:r>
      <w:r w:rsidRPr="000A0540" w:rsidR="00725C5C">
        <w:rPr>
          <w:b/>
          <w:bCs/>
          <w:sz w:val="24"/>
          <w:szCs w:val="24"/>
        </w:rPr>
        <w:t xml:space="preserve">Question </w:t>
      </w:r>
      <w:r w:rsidRPr="000A0540" w:rsidR="004F26E9">
        <w:rPr>
          <w:b/>
          <w:bCs/>
          <w:sz w:val="24"/>
          <w:szCs w:val="24"/>
        </w:rPr>
        <w:t>12 above)</w:t>
      </w:r>
      <w:r w:rsidR="004F26E9">
        <w:rPr>
          <w:b/>
          <w:bCs/>
          <w:sz w:val="24"/>
          <w:szCs w:val="24"/>
        </w:rPr>
        <w:t>.</w:t>
      </w:r>
      <w:r w:rsidR="00F37052">
        <w:rPr>
          <w:b/>
          <w:bCs/>
          <w:sz w:val="24"/>
          <w:szCs w:val="24"/>
        </w:rPr>
        <w:t xml:space="preserve"> (add rows as necessary)</w:t>
      </w:r>
    </w:p>
    <w:p w:rsidRPr="00E73216" w:rsidR="00E73216" w:rsidP="00E73216" w:rsidRDefault="00E73216">
      <w:pPr>
        <w:pStyle w:val="Default"/>
        <w:spacing w:after="280"/>
        <w:ind w:right="500"/>
        <w:rPr>
          <w:color w:val="auto"/>
        </w:rPr>
      </w:pPr>
    </w:p>
    <w:tbl>
      <w:tblPr>
        <w:tblW w:w="9980" w:type="dxa"/>
        <w:tblLook w:val="04A0" w:firstRow="1" w:lastRow="0" w:firstColumn="1" w:lastColumn="0" w:noHBand="0" w:noVBand="1"/>
      </w:tblPr>
      <w:tblGrid>
        <w:gridCol w:w="3230"/>
        <w:gridCol w:w="1260"/>
        <w:gridCol w:w="1530"/>
        <w:gridCol w:w="1350"/>
        <w:gridCol w:w="1263"/>
        <w:gridCol w:w="1347"/>
      </w:tblGrid>
      <w:tr w:rsidRPr="000D49BA" w:rsidR="00185785" w:rsidTr="000741CA">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D37919" w:rsidP="00185785" w:rsidRDefault="00D37919">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D37919" w:rsidP="00185785" w:rsidRDefault="00D37919">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D37919" w:rsidP="00185785" w:rsidRDefault="00D37919">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w:t>
            </w:r>
            <w:r w:rsidR="00946591">
              <w:rPr>
                <w:rFonts w:ascii="Calibri" w:hAnsi="Calibri" w:cs="Calibri"/>
                <w:b/>
                <w:bCs/>
                <w:color w:val="000000"/>
                <w:sz w:val="18"/>
                <w:szCs w:val="18"/>
              </w:rPr>
              <w:t>se</w:t>
            </w:r>
          </w:p>
          <w:p w:rsidRPr="00185785" w:rsidR="00D37919" w:rsidP="00185785" w:rsidRDefault="00D37919">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D37919" w:rsidP="00185785" w:rsidRDefault="00D37919">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w:t>
            </w:r>
            <w:proofErr w:type="spellStart"/>
            <w:r>
              <w:rPr>
                <w:rFonts w:ascii="Calibri" w:hAnsi="Calibri" w:cs="Calibri"/>
                <w:b/>
                <w:bCs/>
                <w:color w:val="000000"/>
                <w:sz w:val="18"/>
                <w:szCs w:val="18"/>
              </w:rPr>
              <w:t>i</w:t>
            </w:r>
            <w:proofErr w:type="spellEnd"/>
            <w:r>
              <w:rPr>
                <w:rFonts w:ascii="Calibri" w:hAnsi="Calibri" w:cs="Calibri"/>
                <w:b/>
                <w:bCs/>
                <w:color w:val="000000"/>
                <w:sz w:val="18"/>
                <w:szCs w:val="18"/>
              </w:rPr>
              <w:t>) = (c) x (h)</w:t>
            </w:r>
          </w:p>
        </w:tc>
      </w:tr>
      <w:tr w:rsidRPr="00185785" w:rsidR="00185785" w:rsidTr="000741CA">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185785" w:rsidR="00185785" w:rsidP="00185785" w:rsidRDefault="00ED1E01">
            <w:pPr>
              <w:widowControl/>
              <w:autoSpaceDE/>
              <w:autoSpaceDN/>
              <w:adjustRightInd/>
              <w:rPr>
                <w:rFonts w:ascii="Calibri" w:hAnsi="Calibri" w:cs="Calibri"/>
                <w:color w:val="000000"/>
                <w:sz w:val="16"/>
                <w:szCs w:val="16"/>
              </w:rPr>
            </w:pPr>
            <w:r>
              <w:rPr>
                <w:rFonts w:ascii="Calibri" w:hAnsi="Calibri" w:cs="Calibri"/>
                <w:color w:val="000000"/>
                <w:sz w:val="16"/>
                <w:szCs w:val="16"/>
              </w:rPr>
              <w:t>GOES DCS</w:t>
            </w:r>
          </w:p>
        </w:tc>
        <w:tc>
          <w:tcPr>
            <w:tcW w:w="1260"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ED1E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w:t>
            </w:r>
          </w:p>
        </w:tc>
        <w:tc>
          <w:tcPr>
            <w:tcW w:w="1530"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ED1E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ED1E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w:t>
            </w:r>
          </w:p>
        </w:tc>
        <w:tc>
          <w:tcPr>
            <w:tcW w:w="1263"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ED1E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hideMark/>
          </w:tcPr>
          <w:p w:rsidRPr="00185785" w:rsidR="00185785" w:rsidP="00185785" w:rsidRDefault="00ED1E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640B76" w:rsidTr="000741CA">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185785" w:rsidR="00640B76" w:rsidP="00185785" w:rsidRDefault="00ED1E01">
            <w:pPr>
              <w:widowControl/>
              <w:autoSpaceDE/>
              <w:autoSpaceDN/>
              <w:adjustRightInd/>
              <w:rPr>
                <w:rFonts w:ascii="Calibri" w:hAnsi="Calibri" w:cs="Calibri"/>
                <w:color w:val="000000"/>
                <w:sz w:val="16"/>
                <w:szCs w:val="16"/>
              </w:rPr>
            </w:pPr>
            <w:r>
              <w:rPr>
                <w:rFonts w:ascii="Calibri" w:hAnsi="Calibri" w:cs="Calibri"/>
                <w:color w:val="000000"/>
                <w:sz w:val="16"/>
                <w:szCs w:val="16"/>
              </w:rPr>
              <w:t>Argos DCS</w:t>
            </w:r>
          </w:p>
        </w:tc>
        <w:tc>
          <w:tcPr>
            <w:tcW w:w="1260" w:type="dxa"/>
            <w:tcBorders>
              <w:top w:val="nil"/>
              <w:left w:val="nil"/>
              <w:bottom w:val="single" w:color="auto" w:sz="4" w:space="0"/>
              <w:right w:val="single" w:color="auto" w:sz="4" w:space="0"/>
            </w:tcBorders>
            <w:shd w:val="clear" w:color="000000" w:fill="FFFFFF"/>
            <w:vAlign w:val="center"/>
          </w:tcPr>
          <w:p w:rsidRPr="00185785" w:rsidR="00640B76" w:rsidP="00185785" w:rsidRDefault="00ED1E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530" w:type="dxa"/>
            <w:tcBorders>
              <w:top w:val="nil"/>
              <w:left w:val="nil"/>
              <w:bottom w:val="single" w:color="auto" w:sz="4" w:space="0"/>
              <w:right w:val="single" w:color="auto" w:sz="4" w:space="0"/>
            </w:tcBorders>
            <w:shd w:val="clear" w:color="000000" w:fill="FFFFFF"/>
            <w:vAlign w:val="center"/>
          </w:tcPr>
          <w:p w:rsidRPr="00185785" w:rsidR="00640B76" w:rsidP="00185785" w:rsidRDefault="00ED1E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185785" w:rsidR="00640B76" w:rsidP="00185785" w:rsidRDefault="00ED1E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w:t>
            </w:r>
          </w:p>
        </w:tc>
        <w:tc>
          <w:tcPr>
            <w:tcW w:w="1263" w:type="dxa"/>
            <w:tcBorders>
              <w:top w:val="nil"/>
              <w:left w:val="nil"/>
              <w:bottom w:val="single" w:color="auto" w:sz="4" w:space="0"/>
              <w:right w:val="single" w:color="auto" w:sz="4" w:space="0"/>
            </w:tcBorders>
            <w:shd w:val="clear" w:color="000000" w:fill="FFFFFF"/>
            <w:vAlign w:val="center"/>
          </w:tcPr>
          <w:p w:rsidRPr="00185785" w:rsidR="00640B76" w:rsidP="00185785" w:rsidRDefault="00ED1E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640B76" w:rsidP="00185785" w:rsidRDefault="00ED1E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185785" w:rsidTr="000741CA">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185785" w:rsidP="000D49BA" w:rsidRDefault="00185785">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185785" w:rsidP="00185785" w:rsidRDefault="00ED1E01">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0</w:t>
            </w:r>
          </w:p>
        </w:tc>
        <w:tc>
          <w:tcPr>
            <w:tcW w:w="1263"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185785" w:rsidP="00185785" w:rsidRDefault="00ED1E01">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0</w:t>
            </w:r>
          </w:p>
        </w:tc>
      </w:tr>
    </w:tbl>
    <w:p w:rsidR="004F26E9" w:rsidP="00493868" w:rsidRDefault="004F26E9">
      <w:pPr>
        <w:tabs>
          <w:tab w:val="left" w:pos="540"/>
        </w:tabs>
        <w:ind w:left="540"/>
        <w:rPr>
          <w:sz w:val="24"/>
          <w:szCs w:val="24"/>
        </w:rPr>
      </w:pPr>
    </w:p>
    <w:p w:rsidR="004F26E9" w:rsidP="00493868" w:rsidRDefault="004F26E9">
      <w:pPr>
        <w:tabs>
          <w:tab w:val="left" w:pos="540"/>
        </w:tabs>
        <w:ind w:left="540"/>
        <w:rPr>
          <w:sz w:val="24"/>
          <w:szCs w:val="24"/>
        </w:rPr>
      </w:pPr>
    </w:p>
    <w:p w:rsidR="004F26E9" w:rsidP="00493868" w:rsidRDefault="00493868">
      <w:pPr>
        <w:tabs>
          <w:tab w:val="left" w:pos="540"/>
        </w:tabs>
        <w:ind w:left="540" w:hanging="540"/>
        <w:rPr>
          <w:sz w:val="24"/>
          <w:szCs w:val="24"/>
        </w:rPr>
      </w:pPr>
      <w:r>
        <w:rPr>
          <w:b/>
          <w:bCs/>
          <w:sz w:val="24"/>
          <w:szCs w:val="24"/>
        </w:rPr>
        <w:t>14.</w:t>
      </w:r>
      <w:r>
        <w:rPr>
          <w:b/>
          <w:bCs/>
          <w:sz w:val="24"/>
          <w:szCs w:val="24"/>
        </w:rPr>
        <w:tab/>
      </w:r>
      <w:r w:rsidRPr="000A0540" w:rsidR="004F26E9">
        <w:rPr>
          <w:b/>
          <w:bCs/>
          <w:sz w:val="24"/>
          <w:szCs w:val="24"/>
        </w:rPr>
        <w:t>Provide estimates of annualized cost to the Federal government.</w:t>
      </w:r>
      <w:r w:rsidR="003666C0">
        <w:rPr>
          <w:b/>
          <w:bCs/>
          <w:sz w:val="24"/>
          <w:szCs w:val="24"/>
        </w:rPr>
        <w:t xml:space="preserve"> (add rows/information as necessary)</w:t>
      </w:r>
    </w:p>
    <w:p w:rsidR="004F26E9" w:rsidP="00493868" w:rsidRDefault="004F26E9">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0D49BA" w:rsidTr="000D49BA">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37052" w:rsidTr="000D49BA">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C00491" w:rsidR="00F37052" w:rsidP="00F37052" w:rsidRDefault="00F37052">
            <w:pPr>
              <w:widowControl/>
              <w:autoSpaceDE/>
              <w:autoSpaceDN/>
              <w:adjustRightInd/>
              <w:rPr>
                <w:rFonts w:ascii="Calibri" w:hAnsi="Calibri" w:cs="Calibri"/>
                <w:b/>
                <w:bCs/>
                <w:color w:val="000000"/>
                <w:sz w:val="16"/>
                <w:szCs w:val="16"/>
              </w:rPr>
            </w:pPr>
            <w:r w:rsidRPr="00C00491">
              <w:rPr>
                <w:rFonts w:ascii="Calibri" w:hAnsi="Calibri" w:cs="Calibri"/>
                <w:b/>
                <w:bCs/>
                <w:color w:val="000000"/>
                <w:sz w:val="16"/>
                <w:szCs w:val="16"/>
              </w:rPr>
              <w:t>Federal Oversight</w:t>
            </w:r>
            <w:r w:rsidRPr="00C00491" w:rsidR="00ED1E01">
              <w:rPr>
                <w:rFonts w:ascii="Calibri" w:hAnsi="Calibri" w:cs="Calibri"/>
                <w:b/>
                <w:bCs/>
                <w:color w:val="000000"/>
                <w:sz w:val="16"/>
                <w:szCs w:val="16"/>
              </w:rPr>
              <w:t xml:space="preserve"> –</w:t>
            </w:r>
            <w:r w:rsidRPr="00C00491" w:rsidR="00C00491">
              <w:rPr>
                <w:rFonts w:ascii="Calibri" w:hAnsi="Calibri" w:cs="Calibri"/>
                <w:b/>
                <w:bCs/>
                <w:color w:val="000000"/>
                <w:sz w:val="16"/>
                <w:szCs w:val="16"/>
              </w:rPr>
              <w:t xml:space="preserve"> GOES</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C004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w:t>
            </w:r>
            <w:r w:rsidR="00B73C29">
              <w:rPr>
                <w:rFonts w:ascii="Calibri" w:hAnsi="Calibri" w:cs="Calibri"/>
                <w:color w:val="000000"/>
                <w:sz w:val="16"/>
                <w:szCs w:val="16"/>
              </w:rPr>
              <w:t>-</w:t>
            </w:r>
            <w:r>
              <w:rPr>
                <w:rFonts w:ascii="Calibri" w:hAnsi="Calibri" w:cs="Calibri"/>
                <w:color w:val="000000"/>
                <w:sz w:val="16"/>
                <w:szCs w:val="16"/>
              </w:rPr>
              <w:t>12/10</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C00491" w:rsidRDefault="00C004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$112,240</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C004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F37052" w:rsidP="00F37052" w:rsidRDefault="00C004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$5,612</w:t>
            </w:r>
            <w:r w:rsidRPr="00F37052" w:rsid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C00491" w:rsidR="00F37052" w:rsidP="00F37052" w:rsidRDefault="00ED1E01">
            <w:pPr>
              <w:widowControl/>
              <w:autoSpaceDE/>
              <w:autoSpaceDN/>
              <w:adjustRightInd/>
              <w:rPr>
                <w:rFonts w:ascii="Calibri" w:hAnsi="Calibri" w:cs="Calibri"/>
                <w:b/>
                <w:color w:val="000000"/>
                <w:sz w:val="16"/>
                <w:szCs w:val="16"/>
              </w:rPr>
            </w:pPr>
            <w:r w:rsidRPr="00C00491">
              <w:rPr>
                <w:rFonts w:ascii="Calibri" w:hAnsi="Calibri" w:cs="Calibri"/>
                <w:b/>
                <w:color w:val="000000"/>
                <w:sz w:val="16"/>
                <w:szCs w:val="16"/>
              </w:rPr>
              <w:t>Federal Oversight –</w:t>
            </w:r>
            <w:r w:rsidRPr="00C00491" w:rsidR="00C00491">
              <w:rPr>
                <w:rFonts w:ascii="Calibri" w:hAnsi="Calibri" w:cs="Calibri"/>
                <w:b/>
                <w:color w:val="000000"/>
                <w:sz w:val="16"/>
                <w:szCs w:val="16"/>
              </w:rPr>
              <w:t xml:space="preserve"> Argos</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C004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w:t>
            </w:r>
            <w:r w:rsidR="00B73C29">
              <w:rPr>
                <w:rFonts w:ascii="Calibri" w:hAnsi="Calibri" w:cs="Calibri"/>
                <w:color w:val="000000"/>
                <w:sz w:val="16"/>
                <w:szCs w:val="16"/>
              </w:rPr>
              <w:t>-</w:t>
            </w:r>
            <w:r>
              <w:rPr>
                <w:rFonts w:ascii="Calibri" w:hAnsi="Calibri" w:cs="Calibri"/>
                <w:color w:val="000000"/>
                <w:sz w:val="16"/>
                <w:szCs w:val="16"/>
              </w:rPr>
              <w:t>14/10</w:t>
            </w:r>
            <w:r w:rsidRPr="00F37052" w:rsid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C004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$157,709</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C004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C004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$7,885</w:t>
            </w:r>
            <w:r w:rsidRPr="00F37052" w:rsid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C00491" w:rsidR="00F37052" w:rsidP="00F37052" w:rsidRDefault="00ED1E01">
            <w:pPr>
              <w:widowControl/>
              <w:autoSpaceDE/>
              <w:autoSpaceDN/>
              <w:adjustRightInd/>
              <w:rPr>
                <w:rFonts w:ascii="Calibri" w:hAnsi="Calibri" w:cs="Calibri"/>
                <w:b/>
                <w:color w:val="000000"/>
                <w:sz w:val="16"/>
                <w:szCs w:val="16"/>
              </w:rPr>
            </w:pPr>
            <w:r w:rsidRPr="00C00491">
              <w:rPr>
                <w:rFonts w:ascii="Calibri" w:hAnsi="Calibri" w:cs="Calibri"/>
                <w:b/>
                <w:color w:val="000000"/>
                <w:sz w:val="16"/>
                <w:szCs w:val="16"/>
              </w:rPr>
              <w:t>Federal Oversight - SPSD</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C004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w:t>
            </w:r>
            <w:r w:rsidR="00B73C29">
              <w:rPr>
                <w:rFonts w:ascii="Calibri" w:hAnsi="Calibri" w:cs="Calibri"/>
                <w:color w:val="000000"/>
                <w:sz w:val="16"/>
                <w:szCs w:val="16"/>
              </w:rPr>
              <w:t>-</w:t>
            </w:r>
            <w:r>
              <w:rPr>
                <w:rFonts w:ascii="Calibri" w:hAnsi="Calibri" w:cs="Calibri"/>
                <w:color w:val="000000"/>
                <w:sz w:val="16"/>
                <w:szCs w:val="16"/>
              </w:rPr>
              <w:t>15/10</w:t>
            </w:r>
            <w:r w:rsidRPr="00F37052" w:rsid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C004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$170,800</w:t>
            </w:r>
            <w:r w:rsidRPr="00F37052" w:rsid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C004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C004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$4,270</w:t>
            </w:r>
            <w:r w:rsidRPr="00F37052" w:rsid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C004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$75,000</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C004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ED1E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C00491">
              <w:rPr>
                <w:rFonts w:ascii="Calibri" w:hAnsi="Calibri" w:cs="Calibri"/>
                <w:color w:val="000000"/>
                <w:sz w:val="16"/>
                <w:szCs w:val="16"/>
              </w:rPr>
              <w:t>3,750</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trPr>
          <w:trHeight w:val="315"/>
        </w:trPr>
        <w:tc>
          <w:tcPr>
            <w:tcW w:w="1970" w:type="dxa"/>
            <w:tcBorders>
              <w:top w:val="nil"/>
              <w:left w:val="single" w:color="auto" w:sz="8" w:space="0"/>
              <w:bottom w:val="nil"/>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nil"/>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nil"/>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nil"/>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nil"/>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nil"/>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A46F7" w:rsidTr="001A46F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F37052" w:rsidP="00F37052" w:rsidRDefault="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ED1E01">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C00491">
              <w:rPr>
                <w:rFonts w:ascii="Calibri" w:hAnsi="Calibri" w:cs="Calibri"/>
                <w:b/>
                <w:color w:val="000000"/>
                <w:sz w:val="16"/>
                <w:szCs w:val="16"/>
              </w:rPr>
              <w:t>21,517</w:t>
            </w:r>
          </w:p>
        </w:tc>
      </w:tr>
    </w:tbl>
    <w:p w:rsidR="004F26E9" w:rsidP="00493868" w:rsidRDefault="004F26E9">
      <w:pPr>
        <w:tabs>
          <w:tab w:val="left" w:pos="540"/>
        </w:tabs>
        <w:ind w:left="540"/>
        <w:rPr>
          <w:sz w:val="24"/>
          <w:szCs w:val="24"/>
        </w:rPr>
      </w:pPr>
    </w:p>
    <w:p w:rsidR="004F26E9" w:rsidP="00493868" w:rsidRDefault="004F26E9">
      <w:pPr>
        <w:tabs>
          <w:tab w:val="left" w:pos="540"/>
        </w:tabs>
        <w:ind w:left="540"/>
        <w:rPr>
          <w:sz w:val="24"/>
          <w:szCs w:val="24"/>
        </w:rPr>
      </w:pPr>
    </w:p>
    <w:p w:rsidR="004F26E9" w:rsidP="00493868" w:rsidRDefault="00493868">
      <w:pPr>
        <w:tabs>
          <w:tab w:val="left" w:pos="540"/>
        </w:tabs>
        <w:ind w:left="540" w:hanging="540"/>
        <w:rPr>
          <w:sz w:val="24"/>
          <w:szCs w:val="24"/>
        </w:rPr>
      </w:pPr>
      <w:r>
        <w:rPr>
          <w:b/>
          <w:bCs/>
          <w:sz w:val="24"/>
          <w:szCs w:val="24"/>
        </w:rPr>
        <w:t>15.</w:t>
      </w:r>
      <w:r>
        <w:rPr>
          <w:b/>
          <w:bCs/>
          <w:sz w:val="24"/>
          <w:szCs w:val="24"/>
        </w:rPr>
        <w:tab/>
      </w:r>
      <w:r w:rsidRPr="000A0540" w:rsidR="004F26E9">
        <w:rPr>
          <w:b/>
          <w:bCs/>
          <w:sz w:val="24"/>
          <w:szCs w:val="24"/>
        </w:rPr>
        <w:t>Explain the reasons for any program changes or adjustments.</w:t>
      </w:r>
    </w:p>
    <w:p w:rsidR="00A110F0" w:rsidP="00732713" w:rsidRDefault="00A110F0">
      <w:pPr>
        <w:rPr>
          <w:sz w:val="24"/>
          <w:szCs w:val="24"/>
        </w:rPr>
      </w:pPr>
    </w:p>
    <w:p w:rsidRPr="00732713" w:rsidR="00732713" w:rsidP="00732713" w:rsidRDefault="00732713">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4F26E9" w:rsidP="00493868" w:rsidRDefault="004F26E9">
      <w:pPr>
        <w:tabs>
          <w:tab w:val="left" w:pos="540"/>
        </w:tabs>
        <w:ind w:left="540"/>
        <w:rPr>
          <w:sz w:val="24"/>
          <w:szCs w:val="24"/>
        </w:rPr>
      </w:pPr>
    </w:p>
    <w:tbl>
      <w:tblPr>
        <w:tblW w:w="1032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251"/>
        <w:gridCol w:w="1155"/>
        <w:gridCol w:w="1058"/>
        <w:gridCol w:w="1252"/>
        <w:gridCol w:w="3133"/>
      </w:tblGrid>
      <w:tr w:rsidRPr="00A110F0" w:rsidR="00A110F0" w:rsidTr="009B07A7">
        <w:tc>
          <w:tcPr>
            <w:tcW w:w="2478" w:type="dxa"/>
            <w:vMerge w:val="restart"/>
            <w:shd w:val="clear" w:color="auto" w:fill="5B9BD5" w:themeFill="accent1"/>
            <w:vAlign w:val="center"/>
          </w:tcPr>
          <w:p w:rsidRPr="00A110F0" w:rsidR="00A110F0" w:rsidP="00A110F0" w:rsidRDefault="00A110F0">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406" w:type="dxa"/>
            <w:gridSpan w:val="2"/>
            <w:tcBorders>
              <w:bottom w:val="single" w:color="auto" w:sz="4" w:space="0"/>
            </w:tcBorders>
            <w:shd w:val="clear" w:color="auto" w:fill="5B9BD5" w:themeFill="accent1"/>
            <w:vAlign w:val="center"/>
          </w:tcPr>
          <w:p w:rsidRPr="00A110F0" w:rsidR="00A110F0" w:rsidP="00A110F0" w:rsidRDefault="00A110F0">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310" w:type="dxa"/>
            <w:gridSpan w:val="2"/>
            <w:shd w:val="clear" w:color="auto" w:fill="5B9BD5" w:themeFill="accent1"/>
          </w:tcPr>
          <w:p w:rsidRPr="00A110F0" w:rsidR="00A110F0" w:rsidP="00A110F0" w:rsidRDefault="00A110F0">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3133" w:type="dxa"/>
            <w:vMerge w:val="restart"/>
            <w:tcBorders>
              <w:right w:val="single" w:color="auto" w:sz="4" w:space="0"/>
            </w:tcBorders>
            <w:shd w:val="clear" w:color="auto" w:fill="5B9BD5" w:themeFill="accent1"/>
            <w:vAlign w:val="center"/>
          </w:tcPr>
          <w:p w:rsidRPr="00A110F0" w:rsidR="00A110F0" w:rsidP="00A110F0" w:rsidRDefault="00A110F0">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A110F0" w:rsidTr="009B07A7">
        <w:tc>
          <w:tcPr>
            <w:tcW w:w="2478" w:type="dxa"/>
            <w:vMerge/>
            <w:shd w:val="clear" w:color="auto" w:fill="5B9BD5" w:themeFill="accent1"/>
            <w:vAlign w:val="center"/>
          </w:tcPr>
          <w:p w:rsidRPr="00A110F0" w:rsidR="00A110F0" w:rsidP="00FD3D2A" w:rsidRDefault="00A110F0">
            <w:pPr>
              <w:keepNext/>
              <w:jc w:val="center"/>
              <w:rPr>
                <w:rFonts w:eastAsia="Calibri" w:asciiTheme="minorHAnsi" w:hAnsiTheme="minorHAnsi"/>
                <w:sz w:val="16"/>
                <w:szCs w:val="16"/>
              </w:rPr>
            </w:pPr>
          </w:p>
        </w:tc>
        <w:tc>
          <w:tcPr>
            <w:tcW w:w="1251" w:type="dxa"/>
            <w:tcBorders>
              <w:bottom w:val="single" w:color="auto" w:sz="4" w:space="0"/>
              <w:right w:val="dashSmallGap" w:color="auto" w:sz="4" w:space="0"/>
            </w:tcBorders>
            <w:shd w:val="clear" w:color="auto" w:fill="FBE4D5"/>
            <w:vAlign w:val="center"/>
          </w:tcPr>
          <w:p w:rsidRPr="00A110F0" w:rsidR="00A110F0" w:rsidP="00FD3D2A" w:rsidRDefault="00A110F0">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155" w:type="dxa"/>
            <w:tcBorders>
              <w:left w:val="dashSmallGap" w:color="auto" w:sz="4" w:space="0"/>
              <w:bottom w:val="single" w:color="auto" w:sz="4" w:space="0"/>
            </w:tcBorders>
            <w:shd w:val="clear" w:color="auto" w:fill="FBE4D5"/>
            <w:vAlign w:val="center"/>
          </w:tcPr>
          <w:p w:rsidRPr="00A110F0" w:rsidR="00A110F0" w:rsidP="00FD3D2A" w:rsidRDefault="00A110F0">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058" w:type="dxa"/>
            <w:tcBorders>
              <w:right w:val="dashSmallGap" w:color="auto" w:sz="4" w:space="0"/>
            </w:tcBorders>
            <w:shd w:val="clear" w:color="auto" w:fill="FBE4D5"/>
            <w:vAlign w:val="center"/>
          </w:tcPr>
          <w:p w:rsidRPr="00A110F0" w:rsidR="00A110F0" w:rsidP="00FD3D2A" w:rsidRDefault="00A110F0">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52" w:type="dxa"/>
            <w:tcBorders>
              <w:left w:val="dashSmallGap" w:color="auto" w:sz="4" w:space="0"/>
            </w:tcBorders>
            <w:shd w:val="clear" w:color="auto" w:fill="FBE4D5"/>
            <w:vAlign w:val="center"/>
          </w:tcPr>
          <w:p w:rsidRPr="00A110F0" w:rsidR="00A110F0" w:rsidP="00FD3D2A" w:rsidRDefault="00A110F0">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3133" w:type="dxa"/>
            <w:vMerge/>
            <w:tcBorders>
              <w:right w:val="single" w:color="auto" w:sz="4" w:space="0"/>
            </w:tcBorders>
            <w:shd w:val="clear" w:color="auto" w:fill="FBE4D5"/>
            <w:vAlign w:val="center"/>
          </w:tcPr>
          <w:p w:rsidRPr="00A110F0" w:rsidR="00A110F0" w:rsidP="00FD3D2A" w:rsidRDefault="00A110F0">
            <w:pPr>
              <w:keepNext/>
              <w:rPr>
                <w:rFonts w:eastAsia="Calibri" w:asciiTheme="minorHAnsi" w:hAnsiTheme="minorHAnsi"/>
                <w:sz w:val="16"/>
                <w:szCs w:val="16"/>
              </w:rPr>
            </w:pPr>
          </w:p>
        </w:tc>
      </w:tr>
      <w:tr w:rsidRPr="00A110F0" w:rsidR="00A110F0" w:rsidTr="009B07A7">
        <w:tc>
          <w:tcPr>
            <w:tcW w:w="2478" w:type="dxa"/>
            <w:shd w:val="clear" w:color="auto" w:fill="auto"/>
            <w:vAlign w:val="bottom"/>
          </w:tcPr>
          <w:p w:rsidRPr="00A110F0" w:rsidR="00A110F0" w:rsidP="00A110F0" w:rsidRDefault="00466EED">
            <w:pPr>
              <w:keepNext/>
              <w:rPr>
                <w:rFonts w:eastAsia="Calibri" w:asciiTheme="minorHAnsi" w:hAnsiTheme="minorHAnsi"/>
                <w:sz w:val="16"/>
                <w:szCs w:val="16"/>
              </w:rPr>
            </w:pPr>
            <w:r>
              <w:rPr>
                <w:rFonts w:eastAsia="Calibri" w:asciiTheme="minorHAnsi" w:hAnsiTheme="minorHAnsi"/>
                <w:sz w:val="16"/>
                <w:szCs w:val="16"/>
              </w:rPr>
              <w:t>GOES DCS</w:t>
            </w:r>
          </w:p>
        </w:tc>
        <w:tc>
          <w:tcPr>
            <w:tcW w:w="1251" w:type="dxa"/>
            <w:tcBorders>
              <w:bottom w:val="dotted" w:color="auto" w:sz="4" w:space="0"/>
              <w:right w:val="dashSmallGap" w:color="auto" w:sz="4" w:space="0"/>
            </w:tcBorders>
            <w:shd w:val="clear" w:color="auto" w:fill="auto"/>
            <w:vAlign w:val="center"/>
          </w:tcPr>
          <w:p w:rsidRPr="00A110F0" w:rsidR="00A110F0" w:rsidP="00FD3D2A" w:rsidRDefault="00466EED">
            <w:pPr>
              <w:jc w:val="center"/>
              <w:rPr>
                <w:rFonts w:eastAsia="Calibri" w:asciiTheme="minorHAnsi" w:hAnsiTheme="minorHAnsi"/>
                <w:sz w:val="16"/>
                <w:szCs w:val="16"/>
              </w:rPr>
            </w:pPr>
            <w:r>
              <w:rPr>
                <w:rFonts w:eastAsia="Calibri" w:asciiTheme="minorHAnsi" w:hAnsiTheme="minorHAnsi"/>
                <w:sz w:val="16"/>
                <w:szCs w:val="16"/>
              </w:rPr>
              <w:t>$1631</w:t>
            </w:r>
          </w:p>
        </w:tc>
        <w:tc>
          <w:tcPr>
            <w:tcW w:w="1155" w:type="dxa"/>
            <w:tcBorders>
              <w:left w:val="dashSmallGap" w:color="auto" w:sz="4" w:space="0"/>
              <w:bottom w:val="dotted" w:color="auto" w:sz="4" w:space="0"/>
            </w:tcBorders>
            <w:shd w:val="clear" w:color="auto" w:fill="auto"/>
            <w:vAlign w:val="center"/>
          </w:tcPr>
          <w:p w:rsidRPr="00A110F0" w:rsidR="00A110F0" w:rsidP="00FD3D2A" w:rsidRDefault="00466EED">
            <w:pPr>
              <w:keepNext/>
              <w:jc w:val="center"/>
              <w:rPr>
                <w:rFonts w:eastAsia="Calibri" w:asciiTheme="minorHAnsi" w:hAnsiTheme="minorHAnsi"/>
                <w:sz w:val="16"/>
                <w:szCs w:val="16"/>
              </w:rPr>
            </w:pPr>
            <w:r>
              <w:rPr>
                <w:rFonts w:eastAsia="Calibri" w:asciiTheme="minorHAnsi" w:hAnsiTheme="minorHAnsi"/>
                <w:sz w:val="16"/>
                <w:szCs w:val="16"/>
              </w:rPr>
              <w:t>$1500</w:t>
            </w:r>
          </w:p>
        </w:tc>
        <w:tc>
          <w:tcPr>
            <w:tcW w:w="1058" w:type="dxa"/>
            <w:tcBorders>
              <w:left w:val="dotted" w:color="auto" w:sz="4" w:space="0"/>
              <w:bottom w:val="dotted" w:color="auto" w:sz="4" w:space="0"/>
              <w:right w:val="dashSmallGap" w:color="auto" w:sz="4" w:space="0"/>
            </w:tcBorders>
            <w:vAlign w:val="center"/>
          </w:tcPr>
          <w:p w:rsidRPr="00A110F0" w:rsidR="00A110F0" w:rsidP="00FD3D2A" w:rsidRDefault="00466EED">
            <w:pPr>
              <w:keepNext/>
              <w:jc w:val="center"/>
              <w:rPr>
                <w:rFonts w:eastAsia="Calibri" w:asciiTheme="minorHAnsi" w:hAnsiTheme="minorHAnsi"/>
                <w:sz w:val="16"/>
                <w:szCs w:val="16"/>
              </w:rPr>
            </w:pPr>
            <w:r>
              <w:rPr>
                <w:rFonts w:eastAsia="Calibri" w:asciiTheme="minorHAnsi" w:hAnsiTheme="minorHAnsi"/>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A110F0" w:rsidP="00FD3D2A" w:rsidRDefault="00466EED">
            <w:pPr>
              <w:keepNext/>
              <w:jc w:val="center"/>
              <w:rPr>
                <w:rFonts w:eastAsia="Calibri" w:asciiTheme="minorHAnsi" w:hAnsiTheme="minorHAnsi"/>
                <w:sz w:val="16"/>
                <w:szCs w:val="16"/>
              </w:rPr>
            </w:pPr>
            <w:r>
              <w:rPr>
                <w:rFonts w:eastAsia="Calibri" w:asciiTheme="minorHAnsi" w:hAnsiTheme="minorHAnsi"/>
                <w:sz w:val="16"/>
                <w:szCs w:val="16"/>
              </w:rPr>
              <w:t>0</w:t>
            </w:r>
          </w:p>
        </w:tc>
        <w:tc>
          <w:tcPr>
            <w:tcW w:w="3133" w:type="dxa"/>
            <w:tcBorders>
              <w:left w:val="single" w:color="auto" w:sz="4" w:space="0"/>
              <w:bottom w:val="dotted" w:color="auto" w:sz="4" w:space="0"/>
              <w:right w:val="single" w:color="auto" w:sz="4" w:space="0"/>
            </w:tcBorders>
            <w:shd w:val="clear" w:color="auto" w:fill="auto"/>
            <w:vAlign w:val="center"/>
          </w:tcPr>
          <w:p w:rsidRPr="00A110F0" w:rsidR="00466EED" w:rsidP="00FD3D2A" w:rsidRDefault="00466EED">
            <w:pPr>
              <w:keepNext/>
              <w:rPr>
                <w:rFonts w:eastAsia="Calibri" w:asciiTheme="minorHAnsi" w:hAnsiTheme="minorHAnsi"/>
                <w:sz w:val="16"/>
                <w:szCs w:val="16"/>
              </w:rPr>
            </w:pPr>
            <w:r>
              <w:rPr>
                <w:rFonts w:eastAsia="Calibri" w:asciiTheme="minorHAnsi" w:hAnsiTheme="minorHAnsi"/>
                <w:sz w:val="16"/>
                <w:szCs w:val="16"/>
              </w:rPr>
              <w:t>Hourly rate changed from $40 to $43.49</w:t>
            </w:r>
          </w:p>
        </w:tc>
      </w:tr>
      <w:tr w:rsidRPr="00A110F0" w:rsidR="00A110F0" w:rsidTr="009B07A7">
        <w:tc>
          <w:tcPr>
            <w:tcW w:w="2478" w:type="dxa"/>
            <w:shd w:val="clear" w:color="auto" w:fill="auto"/>
            <w:vAlign w:val="bottom"/>
          </w:tcPr>
          <w:p w:rsidRPr="00A110F0" w:rsidR="00A110F0" w:rsidP="00A110F0" w:rsidRDefault="00466EED">
            <w:pPr>
              <w:keepNext/>
              <w:rPr>
                <w:rFonts w:eastAsia="Calibri" w:asciiTheme="minorHAnsi" w:hAnsiTheme="minorHAnsi"/>
                <w:sz w:val="16"/>
                <w:szCs w:val="16"/>
              </w:rPr>
            </w:pPr>
            <w:r>
              <w:rPr>
                <w:rFonts w:eastAsia="Calibri" w:asciiTheme="minorHAnsi" w:hAnsiTheme="minorHAnsi"/>
                <w:sz w:val="16"/>
                <w:szCs w:val="16"/>
              </w:rPr>
              <w:t>Argos DCS</w:t>
            </w:r>
          </w:p>
        </w:tc>
        <w:tc>
          <w:tcPr>
            <w:tcW w:w="1251" w:type="dxa"/>
            <w:tcBorders>
              <w:bottom w:val="dotted" w:color="auto" w:sz="4" w:space="0"/>
              <w:right w:val="dashSmallGap" w:color="auto" w:sz="4" w:space="0"/>
            </w:tcBorders>
            <w:shd w:val="clear" w:color="auto" w:fill="auto"/>
            <w:vAlign w:val="center"/>
          </w:tcPr>
          <w:p w:rsidRPr="00A110F0" w:rsidR="00A110F0" w:rsidP="00FD3D2A" w:rsidRDefault="00466EED">
            <w:pPr>
              <w:jc w:val="center"/>
              <w:rPr>
                <w:rFonts w:eastAsia="Calibri" w:asciiTheme="minorHAnsi" w:hAnsiTheme="minorHAnsi"/>
                <w:sz w:val="16"/>
                <w:szCs w:val="16"/>
              </w:rPr>
            </w:pPr>
            <w:r>
              <w:rPr>
                <w:rFonts w:eastAsia="Calibri" w:asciiTheme="minorHAnsi" w:hAnsiTheme="minorHAnsi"/>
                <w:sz w:val="16"/>
                <w:szCs w:val="16"/>
              </w:rPr>
              <w:t>$3262</w:t>
            </w:r>
          </w:p>
        </w:tc>
        <w:tc>
          <w:tcPr>
            <w:tcW w:w="1155" w:type="dxa"/>
            <w:tcBorders>
              <w:left w:val="dashSmallGap" w:color="auto" w:sz="4" w:space="0"/>
              <w:bottom w:val="dotted" w:color="auto" w:sz="4" w:space="0"/>
            </w:tcBorders>
            <w:shd w:val="clear" w:color="auto" w:fill="auto"/>
            <w:vAlign w:val="center"/>
          </w:tcPr>
          <w:p w:rsidRPr="00A110F0" w:rsidR="00A110F0" w:rsidP="00FD3D2A" w:rsidRDefault="00466EED">
            <w:pPr>
              <w:keepNext/>
              <w:jc w:val="center"/>
              <w:rPr>
                <w:rFonts w:eastAsia="Calibri" w:asciiTheme="minorHAnsi" w:hAnsiTheme="minorHAnsi"/>
                <w:sz w:val="16"/>
                <w:szCs w:val="16"/>
              </w:rPr>
            </w:pPr>
            <w:r>
              <w:rPr>
                <w:rFonts w:eastAsia="Calibri" w:asciiTheme="minorHAnsi" w:hAnsiTheme="minorHAnsi"/>
                <w:sz w:val="16"/>
                <w:szCs w:val="16"/>
              </w:rPr>
              <w:t>$3000</w:t>
            </w:r>
          </w:p>
        </w:tc>
        <w:tc>
          <w:tcPr>
            <w:tcW w:w="1058" w:type="dxa"/>
            <w:tcBorders>
              <w:left w:val="dotted" w:color="auto" w:sz="4" w:space="0"/>
              <w:bottom w:val="dotted" w:color="auto" w:sz="4" w:space="0"/>
              <w:right w:val="dashSmallGap" w:color="auto" w:sz="4" w:space="0"/>
            </w:tcBorders>
            <w:vAlign w:val="center"/>
          </w:tcPr>
          <w:p w:rsidRPr="00A110F0" w:rsidR="00A110F0" w:rsidP="00FD3D2A" w:rsidRDefault="00466EED">
            <w:pPr>
              <w:keepNext/>
              <w:jc w:val="center"/>
              <w:rPr>
                <w:rFonts w:eastAsia="Calibri" w:asciiTheme="minorHAnsi" w:hAnsiTheme="minorHAnsi"/>
                <w:sz w:val="16"/>
                <w:szCs w:val="16"/>
              </w:rPr>
            </w:pPr>
            <w:r>
              <w:rPr>
                <w:rFonts w:eastAsia="Calibri" w:asciiTheme="minorHAnsi" w:hAnsiTheme="minorHAnsi"/>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A110F0" w:rsidP="00FD3D2A" w:rsidRDefault="00466EED">
            <w:pPr>
              <w:keepNext/>
              <w:jc w:val="center"/>
              <w:rPr>
                <w:rFonts w:eastAsia="Calibri" w:asciiTheme="minorHAnsi" w:hAnsiTheme="minorHAnsi"/>
                <w:sz w:val="16"/>
                <w:szCs w:val="16"/>
              </w:rPr>
            </w:pPr>
            <w:r>
              <w:rPr>
                <w:rFonts w:eastAsia="Calibri" w:asciiTheme="minorHAnsi" w:hAnsiTheme="minorHAnsi"/>
                <w:sz w:val="16"/>
                <w:szCs w:val="16"/>
              </w:rPr>
              <w:t>0</w:t>
            </w:r>
          </w:p>
        </w:tc>
        <w:tc>
          <w:tcPr>
            <w:tcW w:w="3133" w:type="dxa"/>
            <w:tcBorders>
              <w:left w:val="single" w:color="auto" w:sz="4" w:space="0"/>
              <w:bottom w:val="dotted" w:color="auto" w:sz="4" w:space="0"/>
              <w:right w:val="single" w:color="auto" w:sz="4" w:space="0"/>
            </w:tcBorders>
            <w:shd w:val="clear" w:color="auto" w:fill="auto"/>
            <w:vAlign w:val="center"/>
          </w:tcPr>
          <w:p w:rsidRPr="00A110F0" w:rsidR="00A110F0" w:rsidP="00FD3D2A" w:rsidRDefault="00466EED">
            <w:pPr>
              <w:keepNext/>
              <w:rPr>
                <w:rFonts w:eastAsia="Calibri" w:asciiTheme="minorHAnsi" w:hAnsiTheme="minorHAnsi"/>
                <w:sz w:val="16"/>
                <w:szCs w:val="16"/>
              </w:rPr>
            </w:pPr>
            <w:r>
              <w:rPr>
                <w:rFonts w:eastAsia="Calibri" w:asciiTheme="minorHAnsi" w:hAnsiTheme="minorHAnsi"/>
                <w:sz w:val="16"/>
                <w:szCs w:val="16"/>
              </w:rPr>
              <w:t>Hourly rate changed from $40 to $43.49</w:t>
            </w:r>
          </w:p>
        </w:tc>
      </w:tr>
      <w:tr w:rsidRPr="00A110F0" w:rsidR="00732713" w:rsidTr="009B07A7">
        <w:tc>
          <w:tcPr>
            <w:tcW w:w="2478" w:type="dxa"/>
            <w:shd w:val="clear" w:color="auto" w:fill="BDD6EE" w:themeFill="accent1" w:themeFillTint="66"/>
            <w:vAlign w:val="center"/>
          </w:tcPr>
          <w:p w:rsidRPr="00A110F0" w:rsidR="00732713" w:rsidP="00FD3D2A" w:rsidRDefault="00732713">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251" w:type="dxa"/>
            <w:tcBorders>
              <w:right w:val="dashSmallGap" w:color="auto" w:sz="4" w:space="0"/>
            </w:tcBorders>
            <w:shd w:val="clear" w:color="auto" w:fill="BDD6EE" w:themeFill="accent1" w:themeFillTint="66"/>
            <w:vAlign w:val="center"/>
          </w:tcPr>
          <w:p w:rsidRPr="00A110F0" w:rsidR="00732713" w:rsidP="00FD3D2A" w:rsidRDefault="00466EED">
            <w:pPr>
              <w:keepNext/>
              <w:jc w:val="center"/>
              <w:rPr>
                <w:rFonts w:eastAsia="Calibri" w:asciiTheme="minorHAnsi" w:hAnsiTheme="minorHAnsi"/>
                <w:b/>
                <w:sz w:val="16"/>
                <w:szCs w:val="16"/>
              </w:rPr>
            </w:pPr>
            <w:r>
              <w:rPr>
                <w:rFonts w:eastAsia="Calibri" w:asciiTheme="minorHAnsi" w:hAnsiTheme="minorHAnsi"/>
                <w:b/>
                <w:sz w:val="16"/>
                <w:szCs w:val="16"/>
              </w:rPr>
              <w:t>$4893</w:t>
            </w:r>
          </w:p>
        </w:tc>
        <w:tc>
          <w:tcPr>
            <w:tcW w:w="1155" w:type="dxa"/>
            <w:tcBorders>
              <w:left w:val="dashSmallGap" w:color="auto" w:sz="4" w:space="0"/>
            </w:tcBorders>
            <w:shd w:val="clear" w:color="auto" w:fill="BDD6EE" w:themeFill="accent1" w:themeFillTint="66"/>
            <w:vAlign w:val="center"/>
          </w:tcPr>
          <w:p w:rsidRPr="00A110F0" w:rsidR="00732713" w:rsidP="00FD3D2A" w:rsidRDefault="00466EED">
            <w:pPr>
              <w:jc w:val="center"/>
              <w:rPr>
                <w:rFonts w:eastAsia="Calibri" w:asciiTheme="minorHAnsi" w:hAnsiTheme="minorHAnsi"/>
                <w:b/>
                <w:bCs/>
                <w:sz w:val="16"/>
                <w:szCs w:val="16"/>
              </w:rPr>
            </w:pPr>
            <w:r>
              <w:rPr>
                <w:rFonts w:eastAsia="Calibri" w:asciiTheme="minorHAnsi" w:hAnsiTheme="minorHAnsi"/>
                <w:b/>
                <w:bCs/>
                <w:sz w:val="16"/>
                <w:szCs w:val="16"/>
              </w:rPr>
              <w:t>$4500</w:t>
            </w:r>
          </w:p>
        </w:tc>
        <w:tc>
          <w:tcPr>
            <w:tcW w:w="1058" w:type="dxa"/>
            <w:tcBorders>
              <w:left w:val="dotted" w:color="auto" w:sz="4" w:space="0"/>
              <w:right w:val="dashSmallGap" w:color="auto" w:sz="4" w:space="0"/>
            </w:tcBorders>
            <w:shd w:val="clear" w:color="auto" w:fill="BDD6EE" w:themeFill="accent1" w:themeFillTint="66"/>
            <w:vAlign w:val="center"/>
          </w:tcPr>
          <w:p w:rsidRPr="00A110F0" w:rsidR="00732713" w:rsidP="00FD3D2A" w:rsidRDefault="00466EED">
            <w:pPr>
              <w:keepNext/>
              <w:jc w:val="center"/>
              <w:rPr>
                <w:rFonts w:eastAsia="Calibri" w:asciiTheme="minorHAnsi" w:hAnsiTheme="minorHAnsi"/>
                <w:b/>
                <w:sz w:val="16"/>
                <w:szCs w:val="16"/>
              </w:rPr>
            </w:pPr>
            <w:r>
              <w:rPr>
                <w:rFonts w:eastAsia="Calibri" w:asciiTheme="minorHAnsi" w:hAnsiTheme="minorHAnsi"/>
                <w:b/>
                <w:sz w:val="16"/>
                <w:szCs w:val="16"/>
              </w:rPr>
              <w:t>0</w:t>
            </w:r>
          </w:p>
        </w:tc>
        <w:tc>
          <w:tcPr>
            <w:tcW w:w="1252" w:type="dxa"/>
            <w:tcBorders>
              <w:left w:val="dashSmallGap" w:color="auto" w:sz="4" w:space="0"/>
              <w:right w:val="single" w:color="auto" w:sz="4" w:space="0"/>
            </w:tcBorders>
            <w:shd w:val="clear" w:color="auto" w:fill="BDD6EE" w:themeFill="accent1" w:themeFillTint="66"/>
            <w:vAlign w:val="center"/>
          </w:tcPr>
          <w:p w:rsidRPr="00A110F0" w:rsidR="00732713" w:rsidP="00FD3D2A" w:rsidRDefault="00466EED">
            <w:pPr>
              <w:keepNext/>
              <w:jc w:val="center"/>
              <w:rPr>
                <w:rFonts w:eastAsia="Calibri" w:asciiTheme="minorHAnsi" w:hAnsiTheme="minorHAnsi"/>
                <w:b/>
                <w:sz w:val="16"/>
                <w:szCs w:val="16"/>
              </w:rPr>
            </w:pPr>
            <w:r>
              <w:rPr>
                <w:rFonts w:eastAsia="Calibri" w:asciiTheme="minorHAnsi" w:hAnsiTheme="minorHAnsi"/>
                <w:b/>
                <w:sz w:val="16"/>
                <w:szCs w:val="16"/>
              </w:rPr>
              <w:t>0</w:t>
            </w:r>
          </w:p>
        </w:tc>
        <w:tc>
          <w:tcPr>
            <w:tcW w:w="3133" w:type="dxa"/>
            <w:tcBorders>
              <w:left w:val="single" w:color="auto" w:sz="4" w:space="0"/>
              <w:bottom w:val="single" w:color="auto" w:sz="4" w:space="0"/>
              <w:right w:val="single" w:color="auto" w:sz="4" w:space="0"/>
            </w:tcBorders>
            <w:shd w:val="clear" w:color="auto" w:fill="BDD6EE" w:themeFill="accent1" w:themeFillTint="66"/>
            <w:vAlign w:val="center"/>
          </w:tcPr>
          <w:p w:rsidRPr="00A110F0" w:rsidR="00732713" w:rsidP="00FD3D2A" w:rsidRDefault="00732713">
            <w:pPr>
              <w:keepNext/>
              <w:jc w:val="center"/>
              <w:rPr>
                <w:rFonts w:eastAsia="Calibri" w:asciiTheme="minorHAnsi" w:hAnsiTheme="minorHAnsi"/>
                <w:b/>
                <w:sz w:val="16"/>
                <w:szCs w:val="16"/>
              </w:rPr>
            </w:pPr>
          </w:p>
        </w:tc>
      </w:tr>
    </w:tbl>
    <w:p w:rsidR="004F26E9" w:rsidP="00493868" w:rsidRDefault="004F26E9">
      <w:pPr>
        <w:tabs>
          <w:tab w:val="left" w:pos="540"/>
        </w:tabs>
        <w:ind w:left="540"/>
        <w:rPr>
          <w:sz w:val="24"/>
          <w:szCs w:val="24"/>
        </w:rPr>
      </w:pPr>
    </w:p>
    <w:p w:rsidR="004F26E9" w:rsidP="00CD5390" w:rsidRDefault="004F26E9">
      <w:pPr>
        <w:rPr>
          <w:sz w:val="24"/>
          <w:szCs w:val="24"/>
        </w:rPr>
      </w:pPr>
    </w:p>
    <w:p w:rsidR="004F26E9" w:rsidP="00493868" w:rsidRDefault="00493868">
      <w:pPr>
        <w:tabs>
          <w:tab w:val="left" w:pos="540"/>
        </w:tabs>
        <w:ind w:left="540" w:hanging="540"/>
        <w:rPr>
          <w:sz w:val="24"/>
          <w:szCs w:val="24"/>
        </w:rPr>
      </w:pPr>
      <w:r>
        <w:rPr>
          <w:b/>
          <w:bCs/>
          <w:sz w:val="24"/>
          <w:szCs w:val="24"/>
        </w:rPr>
        <w:t>16.</w:t>
      </w:r>
      <w:r>
        <w:rPr>
          <w:b/>
          <w:bCs/>
          <w:sz w:val="24"/>
          <w:szCs w:val="24"/>
        </w:rPr>
        <w:tab/>
      </w:r>
      <w:r w:rsidRPr="000A0540" w:rsidR="004F26E9">
        <w:rPr>
          <w:b/>
          <w:bCs/>
          <w:sz w:val="24"/>
          <w:szCs w:val="24"/>
        </w:rPr>
        <w:t>For collections whose results will be published, outline the plans for tabulation and publication.</w:t>
      </w:r>
    </w:p>
    <w:p w:rsidR="004F26E9" w:rsidP="00CD5390" w:rsidRDefault="004F26E9">
      <w:pPr>
        <w:rPr>
          <w:sz w:val="24"/>
          <w:szCs w:val="24"/>
        </w:rPr>
      </w:pPr>
    </w:p>
    <w:p w:rsidRPr="005130C1" w:rsidR="004F26E9" w:rsidP="005130C1" w:rsidRDefault="005130C1">
      <w:pPr>
        <w:pStyle w:val="Default"/>
        <w:rPr>
          <w:color w:val="auto"/>
        </w:rPr>
      </w:pPr>
      <w:r>
        <w:rPr>
          <w:color w:val="auto"/>
        </w:rPr>
        <w:t xml:space="preserve">The results of the collection will not be published.  </w:t>
      </w:r>
    </w:p>
    <w:p w:rsidR="004F26E9" w:rsidP="00CD5390" w:rsidRDefault="004F26E9">
      <w:pPr>
        <w:rPr>
          <w:sz w:val="24"/>
          <w:szCs w:val="24"/>
        </w:rPr>
      </w:pPr>
    </w:p>
    <w:p w:rsidR="004F26E9" w:rsidP="00493868" w:rsidRDefault="00493868">
      <w:pPr>
        <w:tabs>
          <w:tab w:val="left" w:pos="540"/>
        </w:tabs>
        <w:ind w:left="540" w:hanging="540"/>
        <w:rPr>
          <w:sz w:val="24"/>
          <w:szCs w:val="24"/>
        </w:rPr>
      </w:pPr>
      <w:r>
        <w:rPr>
          <w:b/>
          <w:bCs/>
          <w:sz w:val="24"/>
          <w:szCs w:val="24"/>
        </w:rPr>
        <w:lastRenderedPageBreak/>
        <w:t>17.</w:t>
      </w:r>
      <w:r>
        <w:rPr>
          <w:b/>
          <w:bCs/>
          <w:sz w:val="24"/>
          <w:szCs w:val="24"/>
        </w:rPr>
        <w:tab/>
      </w:r>
      <w:r w:rsidRPr="000A0540" w:rsidR="004F26E9">
        <w:rPr>
          <w:b/>
          <w:bCs/>
          <w:sz w:val="24"/>
          <w:szCs w:val="24"/>
        </w:rPr>
        <w:t>If seeking approval to not display the expiration date for OMB approval of the information collection, explain the reasons why display would be inappropriate.</w:t>
      </w:r>
    </w:p>
    <w:p w:rsidR="004F26E9" w:rsidP="00CD5390" w:rsidRDefault="004F26E9">
      <w:pPr>
        <w:rPr>
          <w:sz w:val="24"/>
          <w:szCs w:val="24"/>
        </w:rPr>
      </w:pPr>
    </w:p>
    <w:p w:rsidR="005130C1" w:rsidP="005130C1" w:rsidRDefault="005130C1">
      <w:pPr>
        <w:pStyle w:val="Default"/>
        <w:rPr>
          <w:color w:val="auto"/>
        </w:rPr>
      </w:pPr>
      <w:r>
        <w:rPr>
          <w:color w:val="auto"/>
        </w:rPr>
        <w:t xml:space="preserve">NOAA requests an exemption from displaying the OMB control number and expiration data on the Argos DCS System Use Agreement itself, and will include it on an insert that contains the other PRA information.  The Argos </w:t>
      </w:r>
      <w:smartTag w:uri="urn:schemas-microsoft-com:office:smarttags" w:element="place">
        <w:r>
          <w:rPr>
            <w:color w:val="auto"/>
          </w:rPr>
          <w:t>DCS</w:t>
        </w:r>
      </w:smartTag>
      <w:r>
        <w:rPr>
          <w:color w:val="auto"/>
        </w:rPr>
        <w:t xml:space="preserve"> is operated through a cooperative program between the </w:t>
      </w:r>
      <w:smartTag w:uri="urn:schemas-microsoft-com:office:smarttags" w:element="place">
        <w:r>
          <w:rPr>
            <w:color w:val="auto"/>
          </w:rPr>
          <w:t>United States</w:t>
        </w:r>
      </w:smartTag>
      <w:r>
        <w:rPr>
          <w:color w:val="auto"/>
        </w:rPr>
        <w:t xml:space="preserve"> and </w:t>
      </w:r>
      <w:smartTag w:uri="urn:schemas-microsoft-com:office:smarttags" w:element="place">
        <w:r>
          <w:rPr>
            <w:color w:val="auto"/>
          </w:rPr>
          <w:t>France</w:t>
        </w:r>
      </w:smartTag>
      <w:r>
        <w:rPr>
          <w:color w:val="auto"/>
        </w:rPr>
        <w:t xml:space="preserve">. The French have requested that the PRA guidance be less conspicuous on the form.  </w:t>
      </w:r>
    </w:p>
    <w:p w:rsidR="004F26E9" w:rsidP="00CD5390" w:rsidRDefault="004F26E9">
      <w:pPr>
        <w:rPr>
          <w:sz w:val="24"/>
          <w:szCs w:val="24"/>
        </w:rPr>
      </w:pPr>
    </w:p>
    <w:p w:rsidRPr="00A52249" w:rsidR="004F26E9" w:rsidP="00493868" w:rsidRDefault="00493868">
      <w:pPr>
        <w:tabs>
          <w:tab w:val="left" w:pos="540"/>
        </w:tabs>
        <w:ind w:left="540" w:hanging="540"/>
        <w:rPr>
          <w:b/>
          <w:bCs/>
          <w:sz w:val="24"/>
          <w:szCs w:val="24"/>
        </w:rPr>
      </w:pPr>
      <w:r>
        <w:rPr>
          <w:b/>
          <w:bCs/>
          <w:sz w:val="24"/>
          <w:szCs w:val="24"/>
        </w:rPr>
        <w:t>18.</w:t>
      </w:r>
      <w:r>
        <w:rPr>
          <w:b/>
          <w:bCs/>
          <w:sz w:val="24"/>
          <w:szCs w:val="24"/>
        </w:rPr>
        <w:tab/>
      </w:r>
      <w:r w:rsidRPr="000A0540" w:rsidR="004F26E9">
        <w:rPr>
          <w:b/>
          <w:bCs/>
          <w:sz w:val="24"/>
          <w:szCs w:val="24"/>
        </w:rPr>
        <w:t>Explain each</w:t>
      </w:r>
      <w:r w:rsidRPr="000A0540" w:rsidR="00A52249">
        <w:rPr>
          <w:b/>
          <w:bCs/>
          <w:sz w:val="24"/>
          <w:szCs w:val="24"/>
        </w:rPr>
        <w:t xml:space="preserve"> exception to the certification </w:t>
      </w:r>
      <w:r w:rsidRPr="000A0540" w:rsidR="004F26E9">
        <w:rPr>
          <w:b/>
          <w:bCs/>
          <w:sz w:val="24"/>
          <w:szCs w:val="24"/>
        </w:rPr>
        <w:t>statement.</w:t>
      </w:r>
    </w:p>
    <w:p w:rsidR="004F26E9" w:rsidP="00CD5390" w:rsidRDefault="004F26E9">
      <w:pPr>
        <w:rPr>
          <w:sz w:val="24"/>
          <w:szCs w:val="24"/>
        </w:rPr>
      </w:pPr>
    </w:p>
    <w:p w:rsidR="004F26E9" w:rsidP="00CD5390" w:rsidRDefault="005643CC">
      <w:pPr>
        <w:rPr>
          <w:sz w:val="24"/>
          <w:szCs w:val="24"/>
        </w:rPr>
      </w:pPr>
      <w:r w:rsidRPr="005643CC">
        <w:rPr>
          <w:sz w:val="24"/>
          <w:szCs w:val="24"/>
        </w:rPr>
        <w:t>There are no exceptions for compliance with provisions in the certification statement.</w:t>
      </w:r>
    </w:p>
    <w:p w:rsidR="00946AB0" w:rsidP="009B07A7" w:rsidRDefault="00946AB0">
      <w:pPr>
        <w:rPr>
          <w:sz w:val="24"/>
          <w:szCs w:val="24"/>
        </w:rPr>
      </w:pPr>
      <w:bookmarkStart w:name="_GoBack" w:id="0"/>
      <w:bookmarkEnd w:id="0"/>
    </w:p>
    <w:sectPr w:rsidR="00946AB0" w:rsidSect="009B07A7">
      <w:footnotePr>
        <w:numRestart w:val="eachSect"/>
      </w:footnotePr>
      <w:endnotePr>
        <w:numFmt w:val="decimal"/>
      </w:endnotePr>
      <w:pgSz w:w="12240" w:h="15840"/>
      <w:pgMar w:top="1440" w:right="1440" w:bottom="1350" w:left="13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369" w:rsidRDefault="00530369">
      <w:r>
        <w:separator/>
      </w:r>
    </w:p>
  </w:endnote>
  <w:endnote w:type="continuationSeparator" w:id="0">
    <w:p w:rsidR="00530369" w:rsidRDefault="0053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JEOPAF+TimesNewRoman,Bold">
    <w:altName w:val="Times New Roman"/>
    <w:panose1 w:val="00000000000000000000"/>
    <w:charset w:val="00"/>
    <w:family w:val="roman"/>
    <w:notTrueType/>
    <w:pitch w:val="default"/>
    <w:sig w:usb0="00000003" w:usb1="00000000" w:usb2="00000000" w:usb3="00000000" w:csb0="00000001" w:csb1="00000000"/>
  </w:font>
  <w:font w:name="JEOONB+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5F8" w:rsidRDefault="007445F8">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9B07A7">
      <w:rPr>
        <w:rStyle w:val="PageNumber"/>
        <w:noProof/>
        <w:sz w:val="24"/>
        <w:szCs w:val="24"/>
      </w:rPr>
      <w:t>7</w:t>
    </w:r>
    <w:r>
      <w:rPr>
        <w:rStyle w:val="PageNumber"/>
        <w:sz w:val="24"/>
        <w:szCs w:val="24"/>
      </w:rPr>
      <w:fldChar w:fldCharType="end"/>
    </w:r>
  </w:p>
  <w:p w:rsidR="007445F8" w:rsidRDefault="00744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369" w:rsidRDefault="00530369">
      <w:r>
        <w:separator/>
      </w:r>
    </w:p>
  </w:footnote>
  <w:footnote w:type="continuationSeparator" w:id="0">
    <w:p w:rsidR="00530369" w:rsidRDefault="00530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222B1"/>
    <w:rsid w:val="00066544"/>
    <w:rsid w:val="000741CA"/>
    <w:rsid w:val="000A0540"/>
    <w:rsid w:val="000D49BA"/>
    <w:rsid w:val="00107F5D"/>
    <w:rsid w:val="00185785"/>
    <w:rsid w:val="00193F97"/>
    <w:rsid w:val="001A46F7"/>
    <w:rsid w:val="001A68BE"/>
    <w:rsid w:val="001E6F72"/>
    <w:rsid w:val="0020448B"/>
    <w:rsid w:val="002C02DB"/>
    <w:rsid w:val="002C148E"/>
    <w:rsid w:val="002F685F"/>
    <w:rsid w:val="003340D8"/>
    <w:rsid w:val="003666C0"/>
    <w:rsid w:val="00382FB9"/>
    <w:rsid w:val="003F2E12"/>
    <w:rsid w:val="00466EED"/>
    <w:rsid w:val="00493868"/>
    <w:rsid w:val="004A76F5"/>
    <w:rsid w:val="004F26E9"/>
    <w:rsid w:val="005130C1"/>
    <w:rsid w:val="00530369"/>
    <w:rsid w:val="00532DD5"/>
    <w:rsid w:val="00557696"/>
    <w:rsid w:val="005643CC"/>
    <w:rsid w:val="00580714"/>
    <w:rsid w:val="00581C79"/>
    <w:rsid w:val="005B4C31"/>
    <w:rsid w:val="005C6849"/>
    <w:rsid w:val="00612ED1"/>
    <w:rsid w:val="00640B76"/>
    <w:rsid w:val="006D76FE"/>
    <w:rsid w:val="00725C5C"/>
    <w:rsid w:val="00732713"/>
    <w:rsid w:val="007445F8"/>
    <w:rsid w:val="00772FFC"/>
    <w:rsid w:val="00784D9F"/>
    <w:rsid w:val="007B442E"/>
    <w:rsid w:val="00846C18"/>
    <w:rsid w:val="00855631"/>
    <w:rsid w:val="0090431D"/>
    <w:rsid w:val="00946591"/>
    <w:rsid w:val="00946AB0"/>
    <w:rsid w:val="00984CDB"/>
    <w:rsid w:val="009B07A7"/>
    <w:rsid w:val="009F499F"/>
    <w:rsid w:val="00A110F0"/>
    <w:rsid w:val="00A52249"/>
    <w:rsid w:val="00AB643A"/>
    <w:rsid w:val="00AD3F53"/>
    <w:rsid w:val="00AE7E8A"/>
    <w:rsid w:val="00AF4B65"/>
    <w:rsid w:val="00B73C29"/>
    <w:rsid w:val="00BB7E74"/>
    <w:rsid w:val="00C00491"/>
    <w:rsid w:val="00CA2B37"/>
    <w:rsid w:val="00CB64E6"/>
    <w:rsid w:val="00CD5390"/>
    <w:rsid w:val="00CE1E61"/>
    <w:rsid w:val="00D20BBD"/>
    <w:rsid w:val="00D33508"/>
    <w:rsid w:val="00D37919"/>
    <w:rsid w:val="00D878A4"/>
    <w:rsid w:val="00D9308B"/>
    <w:rsid w:val="00DF7B97"/>
    <w:rsid w:val="00E166E6"/>
    <w:rsid w:val="00E6174B"/>
    <w:rsid w:val="00E73216"/>
    <w:rsid w:val="00ED1E01"/>
    <w:rsid w:val="00F160E2"/>
    <w:rsid w:val="00F16BFA"/>
    <w:rsid w:val="00F35C9B"/>
    <w:rsid w:val="00F37052"/>
    <w:rsid w:val="00F413AC"/>
    <w:rsid w:val="00FC32B9"/>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36185CAD"/>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customStyle="1" w:styleId="Default">
    <w:name w:val="Default"/>
    <w:uiPriority w:val="99"/>
    <w:rsid w:val="007445F8"/>
    <w:pPr>
      <w:widowControl w:val="0"/>
      <w:autoSpaceDE w:val="0"/>
      <w:autoSpaceDN w:val="0"/>
      <w:adjustRightInd w:val="0"/>
    </w:pPr>
    <w:rPr>
      <w:color w:val="000000"/>
      <w:sz w:val="24"/>
      <w:szCs w:val="24"/>
    </w:rPr>
  </w:style>
  <w:style w:type="character" w:styleId="CommentReference">
    <w:name w:val="annotation reference"/>
    <w:basedOn w:val="DefaultParagraphFont"/>
    <w:uiPriority w:val="99"/>
    <w:unhideWhenUsed/>
    <w:rsid w:val="007445F8"/>
    <w:rPr>
      <w:rFonts w:cs="Times New Roman"/>
      <w:sz w:val="16"/>
      <w:szCs w:val="16"/>
    </w:rPr>
  </w:style>
  <w:style w:type="paragraph" w:styleId="CommentText">
    <w:name w:val="annotation text"/>
    <w:basedOn w:val="Normal"/>
    <w:link w:val="CommentTextChar"/>
    <w:uiPriority w:val="99"/>
    <w:unhideWhenUsed/>
    <w:rsid w:val="007445F8"/>
    <w:pPr>
      <w:widowControl/>
      <w:autoSpaceDE/>
      <w:autoSpaceDN/>
      <w:adjustRightInd/>
    </w:pPr>
  </w:style>
  <w:style w:type="character" w:customStyle="1" w:styleId="CommentTextChar">
    <w:name w:val="Comment Text Char"/>
    <w:basedOn w:val="DefaultParagraphFont"/>
    <w:link w:val="CommentText"/>
    <w:uiPriority w:val="99"/>
    <w:rsid w:val="007445F8"/>
  </w:style>
  <w:style w:type="paragraph" w:styleId="BalloonText">
    <w:name w:val="Balloon Text"/>
    <w:basedOn w:val="Normal"/>
    <w:link w:val="BalloonTextChar"/>
    <w:rsid w:val="007445F8"/>
    <w:rPr>
      <w:rFonts w:ascii="Segoe UI" w:hAnsi="Segoe UI" w:cs="Segoe UI"/>
      <w:sz w:val="18"/>
      <w:szCs w:val="18"/>
    </w:rPr>
  </w:style>
  <w:style w:type="character" w:customStyle="1" w:styleId="BalloonTextChar">
    <w:name w:val="Balloon Text Char"/>
    <w:basedOn w:val="DefaultParagraphFont"/>
    <w:link w:val="BalloonText"/>
    <w:rsid w:val="007445F8"/>
    <w:rPr>
      <w:rFonts w:ascii="Segoe UI" w:hAnsi="Segoe UI" w:cs="Segoe UI"/>
      <w:sz w:val="18"/>
      <w:szCs w:val="18"/>
    </w:rPr>
  </w:style>
  <w:style w:type="paragraph" w:customStyle="1" w:styleId="CM7">
    <w:name w:val="CM7"/>
    <w:basedOn w:val="Normal"/>
    <w:next w:val="Normal"/>
    <w:uiPriority w:val="99"/>
    <w:rsid w:val="007445F8"/>
    <w:pPr>
      <w:spacing w:after="280"/>
    </w:pPr>
    <w:rPr>
      <w:rFonts w:ascii="JEOPAF+TimesNewRoman,Bold" w:hAnsi="JEOPAF+TimesNewRoman,Bold" w:cs="JEOPAF+TimesNewRoman,Bold"/>
      <w:sz w:val="24"/>
      <w:szCs w:val="24"/>
    </w:rPr>
  </w:style>
  <w:style w:type="character" w:styleId="FollowedHyperlink">
    <w:name w:val="FollowedHyperlink"/>
    <w:basedOn w:val="DefaultParagraphFont"/>
    <w:rsid w:val="00E732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 TargetMode="External"/><Relationship Id="rId5" Type="http://schemas.openxmlformats.org/officeDocument/2006/relationships/webSettings" Target="webSettings.xml"/><Relationship Id="rId10" Type="http://schemas.openxmlformats.org/officeDocument/2006/relationships/hyperlink" Target="https://dcs1.noaa.gov/"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5671D-E7AE-4A48-8FE9-EF2D71E3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2006</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 Thomas</cp:lastModifiedBy>
  <cp:revision>3</cp:revision>
  <cp:lastPrinted>2020-02-05T22:27:00Z</cp:lastPrinted>
  <dcterms:created xsi:type="dcterms:W3CDTF">2020-04-20T12:53:00Z</dcterms:created>
  <dcterms:modified xsi:type="dcterms:W3CDTF">2020-04-20T13:24:00Z</dcterms:modified>
</cp:coreProperties>
</file>